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4F5D2">
      <w:pPr>
        <w:widowControl w:val="0"/>
        <w:snapToGrid w:val="0"/>
        <w:spacing w:line="560" w:lineRule="exact"/>
        <w:jc w:val="center"/>
        <w:rPr>
          <w:rFonts w:hint="eastAsia" w:ascii="黑体" w:hAnsi="黑体" w:eastAsia="黑体" w:cs="黑体"/>
          <w:bCs/>
          <w:sz w:val="36"/>
          <w:szCs w:val="32"/>
        </w:rPr>
      </w:pPr>
      <w:r>
        <w:rPr>
          <w:rFonts w:hint="eastAsia" w:ascii="黑体" w:hAnsi="黑体" w:eastAsia="黑体" w:cs="黑体"/>
          <w:bCs/>
          <w:sz w:val="36"/>
          <w:szCs w:val="32"/>
        </w:rPr>
        <w:t>青岛三十九中（海大附中)2024—2025学年工作计划</w:t>
      </w:r>
    </w:p>
    <w:p w14:paraId="1C17D75F">
      <w:pPr>
        <w:widowControl w:val="0"/>
        <w:autoSpaceDE w:val="0"/>
        <w:snapToGrid w:val="0"/>
        <w:spacing w:line="560" w:lineRule="exact"/>
        <w:ind w:firstLine="640" w:firstLineChars="200"/>
        <w:rPr>
          <w:rFonts w:hint="default" w:ascii="黑体" w:hAnsi="宋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/>
        </w:rPr>
        <w:t>一</w:t>
      </w:r>
      <w:r>
        <w:rPr>
          <w:rFonts w:hint="eastAsia" w:ascii="黑体" w:hAnsi="宋体" w:eastAsia="黑体" w:cs="黑体"/>
          <w:kern w:val="0"/>
          <w:sz w:val="32"/>
          <w:szCs w:val="32"/>
        </w:rPr>
        <w:t>、聚焦教学质量提升，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/>
        </w:rPr>
        <w:t>以数字技术推进教学改革</w:t>
      </w:r>
    </w:p>
    <w:p w14:paraId="479DBF7C">
      <w:pPr>
        <w:snapToGrid w:val="0"/>
        <w:spacing w:line="560" w:lineRule="exact"/>
        <w:ind w:firstLine="640" w:firstLineChars="200"/>
        <w:rPr>
          <w:rFonts w:hint="default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1.全面提升教学质量。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化备课与教研，落实一周一集备，两周一教研。以项目式教学改革，学历案质量提升，推进高效课堂建设。推进常态化巡课、听评课活动，落实月度公开课、展示课，开展教学比赛。完善教学评价机制，提升选科走班分层教学质量。落实一生一策和全员导师制，推进“培优补弱”。推进教师述评制度建设，推进教研组考评制度建设，促进教师专业发展。加强高三备考指导，推进边缘生转化，全面提升教学质量。</w:t>
      </w:r>
    </w:p>
    <w:p w14:paraId="59AE27E9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 w:cs="楷体"/>
          <w:sz w:val="32"/>
          <w:szCs w:val="32"/>
        </w:rPr>
        <w:t>.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提升学科教研水平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落实常态化教研，加强学科基地建设。加强课堂教学、课题研究、教师专业发展督导，推进大单元教学，提升教师课程执行力。推进月度教研组述评、主题教研、先行课常态化建设。开展</w:t>
      </w:r>
      <w:r>
        <w:rPr>
          <w:rFonts w:ascii="仿宋" w:hAnsi="仿宋" w:eastAsia="仿宋" w:cs="仿宋"/>
          <w:sz w:val="32"/>
          <w:szCs w:val="32"/>
          <w:lang w:val="zh-CN"/>
        </w:rPr>
        <w:t>原创试题命制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课堂教学比赛活动，落实领导包学科制度，推进</w:t>
      </w:r>
      <w:r>
        <w:rPr>
          <w:rFonts w:ascii="仿宋" w:hAnsi="仿宋" w:eastAsia="仿宋" w:cs="仿宋"/>
          <w:sz w:val="32"/>
          <w:szCs w:val="32"/>
          <w:lang w:val="zh-CN"/>
        </w:rPr>
        <w:t>初高中联合大教研、集团校线上联动教研、跨学科联合教研、“说课式”集体备课，组织学科周、学科竞赛等特色活动。</w:t>
      </w:r>
    </w:p>
    <w:p w14:paraId="093DEBAA">
      <w:pPr>
        <w:widowControl w:val="0"/>
        <w:autoSpaceDE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</w:t>
      </w:r>
      <w:r>
        <w:rPr>
          <w:rFonts w:hint="eastAsia" w:ascii="楷体" w:hAnsi="楷体" w:eastAsia="楷体" w:cs="楷体"/>
          <w:sz w:val="32"/>
          <w:szCs w:val="32"/>
        </w:rPr>
        <w:t>.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创新国家课程实施路径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化项目式教学改革，推进国家课程三年一体化设计，完善国家课程校本化实施方案，推进强基竞赛等延展性课程建设。推进海洋教育课程与国家课程的深度融合，加强国家课程数字化建设，探索跨学科课程建设。完善国家课程评价体系，推进科学教育、课程思政与国家课程的融合</w:t>
      </w:r>
      <w:r>
        <w:rPr>
          <w:rFonts w:ascii="仿宋" w:hAnsi="仿宋" w:eastAsia="仿宋" w:cs="仿宋"/>
          <w:sz w:val="32"/>
          <w:szCs w:val="32"/>
          <w:lang w:val="zh-CN"/>
        </w:rPr>
        <w:t>。</w:t>
      </w:r>
    </w:p>
    <w:p w14:paraId="06873AF8">
      <w:pPr>
        <w:snapToGrid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 w:cs="楷体"/>
          <w:sz w:val="32"/>
          <w:szCs w:val="32"/>
        </w:rPr>
        <w:t>.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落实</w:t>
      </w:r>
      <w:r>
        <w:rPr>
          <w:rFonts w:hint="eastAsia" w:ascii="楷体" w:hAnsi="楷体" w:eastAsia="楷体" w:cs="楷体"/>
          <w:sz w:val="32"/>
          <w:szCs w:val="32"/>
        </w:rPr>
        <w:t>深度学习机制。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完善深度学习机制，加强常态化落实。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推进</w:t>
      </w:r>
      <w:r>
        <w:rPr>
          <w:rFonts w:ascii="仿宋" w:hAnsi="仿宋" w:eastAsia="仿宋" w:cs="仿宋"/>
          <w:sz w:val="32"/>
          <w:szCs w:val="32"/>
          <w:lang w:val="zh-CN"/>
        </w:rPr>
        <w:t>分层教学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，</w:t>
      </w:r>
      <w:r>
        <w:rPr>
          <w:rFonts w:ascii="仿宋" w:hAnsi="仿宋" w:eastAsia="仿宋" w:cs="仿宋"/>
          <w:sz w:val="32"/>
          <w:szCs w:val="32"/>
          <w:lang w:val="zh-CN"/>
        </w:rPr>
        <w:t>加强导学案、分层作业和补偿性作业研究，着力抓好学业质量后30%学生和边缘生转化提升。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进行月度主题落实，重点推进课堂教学改革和学习方式变革。</w:t>
      </w:r>
    </w:p>
    <w:p w14:paraId="72C108CE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楷体"/>
          <w:sz w:val="32"/>
          <w:szCs w:val="32"/>
        </w:rPr>
        <w:t>.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提升数教融合水平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提高教师数字素养和信息化教学能力，提升教师数字课程开发能力，推进国家课程数字化建设。探索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数教融合教学模式，如项目式学习、线上线下混合式教学、探究式学习等，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助力高效课堂建设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推进学习方式变革，聚焦学生数字素养提升，完善学习指导机制。依托数字校园建设，助力学校课程建设。</w:t>
      </w:r>
      <w:r>
        <w:rPr>
          <w:rFonts w:ascii="仿宋" w:hAnsi="仿宋" w:eastAsia="仿宋" w:cs="仿宋"/>
          <w:sz w:val="32"/>
          <w:szCs w:val="32"/>
          <w:lang w:val="zh-CN"/>
        </w:rPr>
        <w:t>借数字化技术进行学业评价，实现教学评一体化。</w:t>
      </w:r>
    </w:p>
    <w:p w14:paraId="5500126D">
      <w:pPr>
        <w:widowControl w:val="0"/>
        <w:autoSpaceDE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sz w:val="32"/>
          <w:szCs w:val="32"/>
        </w:rPr>
        <w:t>.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加强教学常规建设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细化教学常规要求，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提高教研集备、教案撰写、学案制作、课堂教学、作业布置与批阅、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试题命制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与检测的规范化水平，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完善检查反馈制度。推进教师述评制度建设，开展教学诊断活动，推进校长书记听评课、学科组听评课活动，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高效课堂建设。开展名师展示课、青年教师汇报课、骨干教师交流课活动，建立课堂、自习、监考抽查评价制度，规范工作秩序，完善课后答疑制度。加强导学案、分层作业和补偿性作业研究，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完善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走班分层教学实施机制，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构建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边缘生和优质生培养机制。</w:t>
      </w:r>
    </w:p>
    <w:p w14:paraId="7973FA2F">
      <w:pPr>
        <w:pStyle w:val="2"/>
        <w:ind w:firstLine="643" w:firstLineChars="20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7.完善教学评价机制。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完善选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走班增值性评价机制，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加强教学业绩与育人成效的评价力度，形成以过程提升为侧重，结果性成效为参考的评价机制。围绕教师专业发展，完善评价体系，优化学生评教、教学教研、教学课时量等相关内容。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以学科核心素养为基准，关注学生成长轨迹，注重学生知识落实和能力迁移的发展性评价。</w:t>
      </w:r>
    </w:p>
    <w:p w14:paraId="425D2A20">
      <w:pPr>
        <w:widowControl w:val="0"/>
        <w:autoSpaceDE w:val="0"/>
        <w:snapToGrid w:val="0"/>
        <w:spacing w:line="560" w:lineRule="exact"/>
        <w:ind w:firstLine="645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 w:cs="楷体"/>
          <w:sz w:val="32"/>
          <w:szCs w:val="32"/>
        </w:rPr>
        <w:t>.再创中高考佳绩。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认真总结202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届毕业班复习指导工作的经验，研究新课标背景下的中、高考命题，结合学情进行分层复习指导。精研自招政策，发挥完中优势，组建高初中辅导团队，做好初三自招和初二奇点计划的培养工作。高三年级精细管理、科学备考，扎实推进各项复习备考工作，同时加强综合评价招生等报考指导工作，争创高考佳绩。</w:t>
      </w:r>
    </w:p>
    <w:p w14:paraId="727BCEAE">
      <w:pPr>
        <w:spacing w:line="560" w:lineRule="auto"/>
        <w:ind w:firstLine="640" w:firstLineChars="200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二</w:t>
      </w:r>
      <w:r>
        <w:rPr>
          <w:rFonts w:ascii="黑体" w:hAnsi="黑体" w:eastAsia="黑体" w:cs="黑体"/>
          <w:sz w:val="32"/>
        </w:rPr>
        <w:t>、</w:t>
      </w:r>
      <w:r>
        <w:rPr>
          <w:rFonts w:hint="eastAsia" w:ascii="黑体" w:hAnsi="黑体" w:eastAsia="黑体" w:cs="黑体"/>
          <w:sz w:val="32"/>
          <w:lang w:val="en-US" w:eastAsia="zh-CN"/>
        </w:rPr>
        <w:t>深入推进课程建设</w:t>
      </w:r>
      <w:r>
        <w:rPr>
          <w:rFonts w:ascii="黑体" w:hAnsi="黑体" w:eastAsia="黑体" w:cs="黑体"/>
          <w:sz w:val="32"/>
        </w:rPr>
        <w:t>，</w:t>
      </w:r>
      <w:r>
        <w:rPr>
          <w:rFonts w:hint="eastAsia" w:ascii="黑体" w:hAnsi="黑体" w:eastAsia="黑体" w:cs="黑体"/>
          <w:sz w:val="32"/>
          <w:lang w:val="en-US" w:eastAsia="zh-CN"/>
        </w:rPr>
        <w:t>提升特色办学质量</w:t>
      </w:r>
    </w:p>
    <w:p w14:paraId="4D071327">
      <w:pPr>
        <w:widowControl w:val="0"/>
        <w:autoSpaceDE w:val="0"/>
        <w:snapToGrid w:val="0"/>
        <w:spacing w:line="560" w:lineRule="exact"/>
        <w:ind w:firstLine="643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9.深化课程建设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围绕特色发展和创新人才培养，完善课程体系，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加强国家课程校本化建设，推进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蓝色海洋课程、科学教育课程、优秀传统文化课程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优化提升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。深化项目式教学改革，加强项目式教学评价研究。推进实验课程建设、创新实验教学，加强跨学科实验教学。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以国家课程实施质量提升，聚合特色课程和科学教育课程，聚焦创新人才培养，拓宽课程是路径。</w:t>
      </w:r>
    </w:p>
    <w:p w14:paraId="505F5D98">
      <w:pPr>
        <w:widowControl w:val="0"/>
        <w:snapToGrid w:val="0"/>
        <w:spacing w:line="560" w:lineRule="exact"/>
        <w:ind w:firstLine="640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10</w:t>
      </w:r>
      <w:r>
        <w:rPr>
          <w:rFonts w:hint="eastAsia" w:ascii="楷体" w:hAnsi="楷体" w:eastAsia="楷体" w:cs="楷体"/>
          <w:sz w:val="32"/>
          <w:szCs w:val="32"/>
        </w:rPr>
        <w:t>.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发展海洋教育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拓宽实践平台、完善实践课程、创新实施模式，加强海洋人文课程建设，推进海洋课程与学科课程深度融合。深化与中国海洋大学、中国海洋发展基金会合作，开展海洋科普夏令营、海洋研学等活动。推进海洋课题研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完善跨学科课程体系，优化海洋教师队伍。加强海洋教育输出，扩大海洋成果影响力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。</w:t>
      </w:r>
    </w:p>
    <w:p w14:paraId="1A959F81">
      <w:pPr>
        <w:widowControl w:val="0"/>
        <w:snapToGrid w:val="0"/>
        <w:spacing w:line="56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11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.建设智慧校园。</w:t>
      </w:r>
      <w:r>
        <w:rPr>
          <w:rFonts w:hint="eastAsia" w:ascii="楷体" w:hAnsi="楷体" w:eastAsia="楷体" w:cs="楷体"/>
          <w:color w:val="FF0000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推进中小学智慧校园建设</w:t>
      </w:r>
      <w:r>
        <w:rPr>
          <w:rFonts w:hint="eastAsia" w:ascii="仿宋" w:hAnsi="仿宋" w:eastAsia="仿宋" w:cs="仿宋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ascii="仿宋" w:hAnsi="仿宋" w:eastAsia="仿宋" w:cs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应用特色学校</w:t>
      </w:r>
      <w:r>
        <w:rPr>
          <w:rFonts w:hint="eastAsia" w:ascii="仿宋" w:hAnsi="仿宋" w:eastAsia="仿宋" w:cs="仿宋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ascii="仿宋" w:hAnsi="仿宋" w:eastAsia="仿宋" w:cs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。提高国家中小学智慧教育平台、青岛教育e平台相关教育资源的使用水平</w:t>
      </w:r>
      <w:r>
        <w:rPr>
          <w:rFonts w:hint="eastAsia" w:ascii="仿宋" w:hAnsi="仿宋" w:eastAsia="仿宋" w:cs="仿宋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全面提升教学数字化水平</w:t>
      </w:r>
      <w:r>
        <w:rPr>
          <w:rFonts w:ascii="仿宋" w:hAnsi="仿宋" w:eastAsia="仿宋" w:cs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加强</w:t>
      </w:r>
      <w:r>
        <w:rPr>
          <w:rFonts w:ascii="仿宋" w:hAnsi="仿宋" w:eastAsia="仿宋" w:cs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人工智能体质检测系统</w:t>
      </w:r>
      <w:r>
        <w:rPr>
          <w:rFonts w:hint="eastAsia" w:ascii="仿宋" w:hAnsi="仿宋" w:eastAsia="仿宋" w:cs="仿宋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ascii="仿宋" w:hAnsi="仿宋" w:eastAsia="仿宋" w:cs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助力学生健康成长</w:t>
      </w:r>
      <w:r>
        <w:rPr>
          <w:rFonts w:ascii="仿宋" w:hAnsi="仿宋" w:eastAsia="仿宋" w:cs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。引入人工智能心理大模型，辅助解决学生心理健康问题。升级校园监控、推进录播教室、数字实验室、人工智能实验室建设，提高智联教室的利用率。开展国家课程和特色课程数字资源开发，参加数字资源建设各项评比活动，加强信息奥赛培训。以数字建设推进课程建设和课堂教学变革，提升学生学习效率，创新教育教学评价。</w:t>
      </w:r>
    </w:p>
    <w:p w14:paraId="3282E0F6">
      <w:pPr>
        <w:widowControl w:val="0"/>
        <w:snapToGrid w:val="0"/>
        <w:spacing w:line="560" w:lineRule="exact"/>
        <w:ind w:firstLine="64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12</w:t>
      </w:r>
      <w:r>
        <w:rPr>
          <w:rFonts w:hint="eastAsia" w:ascii="楷体" w:hAnsi="楷体" w:eastAsia="楷体" w:cs="楷体"/>
          <w:sz w:val="32"/>
          <w:szCs w:val="32"/>
        </w:rPr>
        <w:t>.促进集团化办学。</w:t>
      </w:r>
      <w:r>
        <w:rPr>
          <w:rFonts w:ascii="仿宋" w:hAnsi="仿宋" w:eastAsia="仿宋" w:cs="仿宋"/>
          <w:sz w:val="32"/>
          <w:szCs w:val="32"/>
          <w:lang w:val="zh-CN"/>
        </w:rPr>
        <w:t>进一步发挥本部对分校的支持、输出、引领作用。探索初高中一体化办学的融通机制，建立初高衔接的人才培养机制。围绕育人机制、教学模式、管理模式、教研模式、学习模式、特色教育、课程建设等开展主题交流活动。举办集团教学比赛活动，推进教育集团一体化教研机制建设。加强优质教育资源的输出，实现教育集团扩编增员。统筹支持高新区第一实验初中、第二实验初中发展，做好高新分校工作。</w:t>
      </w:r>
    </w:p>
    <w:p w14:paraId="251F4241">
      <w:pPr>
        <w:widowControl w:val="0"/>
        <w:snapToGrid w:val="0"/>
        <w:spacing w:line="560" w:lineRule="exact"/>
        <w:ind w:firstLine="64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13</w:t>
      </w:r>
      <w:r>
        <w:rPr>
          <w:rFonts w:hint="eastAsia" w:ascii="楷体" w:hAnsi="楷体" w:eastAsia="楷体" w:cs="楷体"/>
          <w:sz w:val="32"/>
          <w:szCs w:val="32"/>
        </w:rPr>
        <w:t>.落实县中帮扶。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做好县中帮扶阶段性成果总结。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围绕高考改革、高效课堂建设、学案式教学、课程建设、教研组建设、德育建设等主题开展主题交流活动。建立常态化教研机制，推进同课异构和异课同构。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现场送教、送研活动，承担帮扶学校的跟岗培训。</w:t>
      </w:r>
    </w:p>
    <w:p w14:paraId="3CF0E9AA">
      <w:pPr>
        <w:widowControl w:val="0"/>
        <w:autoSpaceDE w:val="0"/>
        <w:snapToGrid w:val="0"/>
        <w:spacing w:line="560" w:lineRule="exact"/>
        <w:ind w:firstLine="640" w:firstLineChars="200"/>
        <w:rPr>
          <w:rFonts w:hint="eastAsia" w:ascii="黑体" w:hAnsi="宋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宋体" w:eastAsia="黑体" w:cs="黑体"/>
          <w:kern w:val="0"/>
          <w:sz w:val="32"/>
          <w:szCs w:val="32"/>
        </w:rPr>
        <w:t>、实施科学教育，推进拔尖创新人才培养</w:t>
      </w:r>
    </w:p>
    <w:p w14:paraId="0140E50B">
      <w:pPr>
        <w:widowControl w:val="0"/>
        <w:adjustRightInd w:val="0"/>
        <w:snapToGrid w:val="0"/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14</w:t>
      </w:r>
      <w:r>
        <w:rPr>
          <w:rFonts w:hint="eastAsia" w:ascii="楷体" w:hAnsi="楷体" w:eastAsia="楷体" w:cs="楷体"/>
          <w:sz w:val="32"/>
          <w:szCs w:val="32"/>
        </w:rPr>
        <w:t>.完善科学教育实施机制。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加强组织领导和师资队伍建设，推进住校博士工作占建设，健全评价机制，开展科学教育培训。推进科学大讲堂建设，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科普阅读、科普宣传、科普公益、科创比赛等科技类活动。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加强教育部中小学科学教育示范校建议，推进跨区域校际科学教育交流活动。</w:t>
      </w:r>
    </w:p>
    <w:p w14:paraId="4B6D6DE2">
      <w:pPr>
        <w:widowControl w:val="0"/>
        <w:autoSpaceDE w:val="0"/>
        <w:snapToGrid w:val="0"/>
        <w:spacing w:line="560" w:lineRule="exact"/>
        <w:ind w:firstLine="645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15</w:t>
      </w:r>
      <w:r>
        <w:rPr>
          <w:rFonts w:hint="eastAsia" w:ascii="楷体" w:hAnsi="楷体" w:eastAsia="楷体" w:cs="楷体"/>
          <w:sz w:val="32"/>
          <w:szCs w:val="32"/>
        </w:rPr>
        <w:t>.构建科学教育课程体系。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国家课程为基础，拓宽特色教育实施领域，完善“国家课程+特色课程+特需课程”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为核心内容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的科学教育课程体系。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构建基于国家课程的科学教育课程体系，以科学教育实施推进特色课程与国家课程的融通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。大力推进信息奥赛，推进科学社团建设。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加强社会性科学议题教学模式研究，创新科学教育实施模式，助力科学教育课程落地推进。推进跨学科科学教育案例开发，培育并出版科学教育成果。 </w:t>
      </w:r>
    </w:p>
    <w:p w14:paraId="6C83305B">
      <w:pPr>
        <w:widowControl w:val="0"/>
        <w:autoSpaceDE w:val="0"/>
        <w:snapToGrid w:val="0"/>
        <w:spacing w:line="560" w:lineRule="exact"/>
        <w:ind w:firstLine="645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16</w:t>
      </w:r>
      <w:r>
        <w:rPr>
          <w:rFonts w:hint="eastAsia" w:ascii="楷体" w:hAnsi="楷体" w:eastAsia="楷体" w:cs="楷体"/>
          <w:sz w:val="32"/>
          <w:szCs w:val="32"/>
        </w:rPr>
        <w:t>.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深入推进</w:t>
      </w:r>
      <w:r>
        <w:rPr>
          <w:rFonts w:hint="eastAsia" w:ascii="楷体" w:hAnsi="楷体" w:eastAsia="楷体" w:cs="楷体"/>
          <w:sz w:val="32"/>
          <w:szCs w:val="32"/>
        </w:rPr>
        <w:t>科学实践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活动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将科学教育、实验教学、跨学科主题学习等纳入教研活动，开展相关课题研究。强化实验操作，规范演示实验、分组实验、探究实验开展。组织海洋知识竞赛，指导学生参加“白名单”竞赛、科技创新展示活动，评选“科技创新之星”。统筹社会优质科学教育资源，开展研学实践和科学冬夏令营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拓展科学教育实践基地，深化与驻青高校、科研院所、企事业单位合作。</w:t>
      </w:r>
    </w:p>
    <w:p w14:paraId="63D5B76A">
      <w:pPr>
        <w:widowControl w:val="0"/>
        <w:autoSpaceDE w:val="0"/>
        <w:snapToGrid w:val="0"/>
        <w:spacing w:line="560" w:lineRule="exact"/>
        <w:ind w:firstLine="645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17</w:t>
      </w:r>
      <w:r>
        <w:rPr>
          <w:rFonts w:hint="eastAsia" w:ascii="楷体" w:hAnsi="楷体" w:eastAsia="楷体" w:cs="楷体"/>
          <w:sz w:val="32"/>
          <w:szCs w:val="32"/>
        </w:rPr>
        <w:t>.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探索科学教育</w:t>
      </w:r>
      <w:r>
        <w:rPr>
          <w:rFonts w:hint="eastAsia" w:ascii="楷体" w:hAnsi="楷体" w:eastAsia="楷体" w:cs="楷体"/>
          <w:sz w:val="32"/>
          <w:szCs w:val="32"/>
        </w:rPr>
        <w:t>贯通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机制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探索与学生创新素养相适应、有利于拔尖创新后备人才成长的初高中贯通培养模式，初中基于“计算思维深度学习创新实验室”，推进信息奥赛科技辅导。加强初高衔接课程体系建设，实现“筑基计划”“奇点计划”“强基计划”一体化培养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高中科学教育实施体系向初中延伸，加强与高校融通，探索科学教育大中小一体化实施机制。</w:t>
      </w:r>
    </w:p>
    <w:p w14:paraId="5D082E38">
      <w:pPr>
        <w:widowControl w:val="0"/>
        <w:autoSpaceDE w:val="0"/>
        <w:snapToGrid w:val="0"/>
        <w:spacing w:line="560" w:lineRule="exact"/>
        <w:ind w:firstLine="640" w:firstLineChars="200"/>
        <w:rPr>
          <w:rFonts w:ascii="黑体" w:hAnsi="宋体" w:eastAsia="黑体" w:cs="黑体"/>
          <w:kern w:val="0"/>
          <w:sz w:val="32"/>
          <w:szCs w:val="32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/>
        </w:rPr>
        <w:t>四</w:t>
      </w:r>
      <w:r>
        <w:rPr>
          <w:rFonts w:hint="eastAsia" w:ascii="黑体" w:hAnsi="宋体" w:eastAsia="黑体" w:cs="黑体"/>
          <w:kern w:val="0"/>
          <w:sz w:val="32"/>
          <w:szCs w:val="32"/>
        </w:rPr>
        <w:t>、打造高素质教师队伍，激发学校发展新动能</w:t>
      </w:r>
    </w:p>
    <w:p w14:paraId="0297C746">
      <w:pPr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18</w:t>
      </w:r>
      <w:r>
        <w:rPr>
          <w:rFonts w:hint="eastAsia" w:ascii="楷体" w:hAnsi="楷体" w:eastAsia="楷体" w:cs="楷体"/>
          <w:sz w:val="32"/>
          <w:szCs w:val="32"/>
        </w:rPr>
        <w:t>.落实师德师风第一标准。</w:t>
      </w:r>
      <w:r>
        <w:rPr>
          <w:rFonts w:ascii="仿宋" w:hAnsi="仿宋" w:eastAsia="仿宋" w:cs="仿宋"/>
          <w:sz w:val="32"/>
          <w:szCs w:val="32"/>
          <w:lang w:val="zh-CN"/>
        </w:rPr>
        <w:t>将师德师风贯穿于教师管理的全过程，弘扬教育家精神，加强教师理想信念教育，筑牢师德底线。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持续组织学习《教育法》《义务教育法》《山东省义务教育条例》等教育相关法律法规，知法守法，依法执教。全校签订责任书，落实青岛市教育局《严禁教师违规收受学生及家长礼品礼金等行为的规定》。</w:t>
      </w:r>
      <w:r>
        <w:rPr>
          <w:rFonts w:ascii="仿宋" w:hAnsi="仿宋" w:eastAsia="仿宋" w:cs="仿宋"/>
          <w:sz w:val="32"/>
          <w:szCs w:val="32"/>
          <w:lang w:val="zh-CN"/>
        </w:rPr>
        <w:t>充分利用庆祝第40个教师节的契机，引导广大教师积极践行教育家精神。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进一步完善岗位设置工作，以此推动和加强教师队伍建设。</w:t>
      </w:r>
    </w:p>
    <w:p w14:paraId="13C4753D">
      <w:pPr>
        <w:pStyle w:val="2"/>
        <w:widowControl w:val="0"/>
        <w:autoSpaceDE w:val="0"/>
        <w:snapToGrid w:val="0"/>
        <w:spacing w:line="560" w:lineRule="exact"/>
        <w:ind w:firstLine="645"/>
        <w:rPr>
          <w:rFonts w:ascii="仿宋" w:hAnsi="仿宋" w:eastAsia="仿宋" w:cs="仿宋"/>
          <w:lang w:bidi="ar-SA"/>
        </w:rPr>
      </w:pPr>
      <w:r>
        <w:rPr>
          <w:rFonts w:hint="eastAsia" w:ascii="楷体" w:hAnsi="楷体" w:eastAsia="楷体" w:cs="楷体"/>
          <w:lang w:val="en-US" w:eastAsia="zh-CN" w:bidi="ar-SA"/>
        </w:rPr>
        <w:t>19</w:t>
      </w:r>
      <w:r>
        <w:rPr>
          <w:rFonts w:hint="eastAsia" w:ascii="楷体" w:hAnsi="楷体" w:eastAsia="楷体" w:cs="楷体"/>
          <w:lang w:val="en-US" w:bidi="ar-SA"/>
        </w:rPr>
        <w:t>.精准做好教师专业培训培养工作。</w:t>
      </w:r>
      <w:r>
        <w:rPr>
          <w:rFonts w:hint="eastAsia" w:ascii="仿宋" w:hAnsi="仿宋" w:eastAsia="仿宋" w:cs="仿宋"/>
          <w:lang w:bidi="ar-SA"/>
        </w:rPr>
        <w:t>组织全体教师积极参加国家中小学智慧教育平台、山东省远程研修等国家省市培训，并进行精准个性化培训，通过教师论坛和原创题命制，开展新课程、新教材、新中高考三新教育教学专题学习活动。以比赛促发展，借助课题研究提升教师科研能力。遴选优秀教师参加“一师一优课”、优质课、青年教师基本功大赛。以科研引领教师发展，做好课题申报、中期总结、结题及教育教学成果申报工作。组织教师申报、交流教育教学优秀成果，激励教师提高业务水平。</w:t>
      </w:r>
    </w:p>
    <w:p w14:paraId="72D27076">
      <w:pPr>
        <w:widowControl w:val="0"/>
        <w:autoSpaceDE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</w:t>
      </w:r>
      <w:r>
        <w:rPr>
          <w:rFonts w:hint="eastAsia" w:ascii="楷体" w:hAnsi="楷体" w:eastAsia="楷体" w:cs="楷体"/>
          <w:sz w:val="32"/>
          <w:szCs w:val="32"/>
        </w:rPr>
        <w:t>.强化教师队伍梯队建设。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实施新教师育苗行动和青年教师“菁英计划”、“尖兵计划”，采取“师徒结对+新教师汇报展示+集中培训”模式推进落实“青蓝工程”。鼓励青年教师开课、赛课，成为“菁英教师”培养对象。发挥青年教师委员会和学习共同体，开展教育教学专题学习、读书交流活动。实施骨干教师精准进阶培养策略，以山东省特级教师、青岛教育名家、青岛名师、青岛市学科带头人、青岛市教学能手为目标的专门培养。挖掘学校全国省市名师资源优势，开展班主任和名师论坛、名师示范课。</w:t>
      </w:r>
    </w:p>
    <w:p w14:paraId="0E3164C4">
      <w:pPr>
        <w:widowControl w:val="0"/>
        <w:autoSpaceDE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lang w:val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21</w:t>
      </w:r>
      <w:r>
        <w:rPr>
          <w:rFonts w:hint="eastAsia" w:ascii="楷体" w:hAnsi="楷体" w:eastAsia="楷体" w:cs="楷体"/>
          <w:sz w:val="32"/>
          <w:szCs w:val="32"/>
        </w:rPr>
        <w:t>.完善教师发展建设规划。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制定教师专业发展规划，指导教师做好符合本人专业特长和水平的三年发展规划，建设教师发展档案电子平台。</w:t>
      </w:r>
    </w:p>
    <w:p w14:paraId="53B68A8D">
      <w:pPr>
        <w:widowControl w:val="0"/>
        <w:autoSpaceDE w:val="0"/>
        <w:snapToGrid w:val="0"/>
        <w:spacing w:line="560" w:lineRule="exact"/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22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</w:rPr>
        <w:t>.加强学科基地建设。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发挥山东省教师专业发展研究基地、山东省教育科研基地、青岛市教师专业发展学校和青岛市基础教育学科基地作用，举行研讨、论坛等活动，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基地校的示范辐射作用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发挥带动学科基地建设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推动教研组申报省市级教研活动，完善学科基地评价机制，培育学科成果，扩大学科影响力。</w:t>
      </w:r>
    </w:p>
    <w:p w14:paraId="253F3CD4">
      <w:pPr>
        <w:widowControl w:val="0"/>
        <w:autoSpaceDE w:val="0"/>
        <w:snapToGrid w:val="0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  <w:lang w:val="zh-CN"/>
        </w:rPr>
      </w:pP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4ZjBhYTE5YWU0MTE2Yzk5ZTRjMjM2MDhmNGI4ZmYifQ=="/>
    <w:docVar w:name="KSO_WPS_MARK_KEY" w:val="a44975b6-ee6e-41bf-9965-51d95126fca4"/>
  </w:docVars>
  <w:rsids>
    <w:rsidRoot w:val="00772F33"/>
    <w:rsid w:val="00003F7E"/>
    <w:rsid w:val="000D2CB0"/>
    <w:rsid w:val="000D3445"/>
    <w:rsid w:val="000E5049"/>
    <w:rsid w:val="001336CD"/>
    <w:rsid w:val="001423C5"/>
    <w:rsid w:val="0018000C"/>
    <w:rsid w:val="0018474E"/>
    <w:rsid w:val="0019078F"/>
    <w:rsid w:val="001F0CBD"/>
    <w:rsid w:val="002C7B92"/>
    <w:rsid w:val="002D32A0"/>
    <w:rsid w:val="00352CAE"/>
    <w:rsid w:val="00431F4B"/>
    <w:rsid w:val="004344A3"/>
    <w:rsid w:val="0045462D"/>
    <w:rsid w:val="00487E67"/>
    <w:rsid w:val="004B5DAB"/>
    <w:rsid w:val="004E2E2F"/>
    <w:rsid w:val="00570C76"/>
    <w:rsid w:val="00584CDE"/>
    <w:rsid w:val="00701E45"/>
    <w:rsid w:val="007119D9"/>
    <w:rsid w:val="007147F9"/>
    <w:rsid w:val="00743584"/>
    <w:rsid w:val="007603EF"/>
    <w:rsid w:val="00772F33"/>
    <w:rsid w:val="007800B6"/>
    <w:rsid w:val="00895F4D"/>
    <w:rsid w:val="008975F4"/>
    <w:rsid w:val="008A374B"/>
    <w:rsid w:val="008B7A4C"/>
    <w:rsid w:val="008D2A1A"/>
    <w:rsid w:val="008F52BD"/>
    <w:rsid w:val="008F5368"/>
    <w:rsid w:val="00945187"/>
    <w:rsid w:val="00A33C29"/>
    <w:rsid w:val="00A53DE9"/>
    <w:rsid w:val="00A76ACF"/>
    <w:rsid w:val="00A84B5B"/>
    <w:rsid w:val="00AB4DC6"/>
    <w:rsid w:val="00AD1540"/>
    <w:rsid w:val="00AE222D"/>
    <w:rsid w:val="00AF36C8"/>
    <w:rsid w:val="00AF6E27"/>
    <w:rsid w:val="00B23F11"/>
    <w:rsid w:val="00C0355F"/>
    <w:rsid w:val="00C10EE9"/>
    <w:rsid w:val="00C21AE5"/>
    <w:rsid w:val="00C734EA"/>
    <w:rsid w:val="00CA7BF3"/>
    <w:rsid w:val="00CE7A8B"/>
    <w:rsid w:val="00CF40DA"/>
    <w:rsid w:val="00D20677"/>
    <w:rsid w:val="00D50713"/>
    <w:rsid w:val="00D5334E"/>
    <w:rsid w:val="00DA3602"/>
    <w:rsid w:val="00DC208F"/>
    <w:rsid w:val="00DE5B15"/>
    <w:rsid w:val="00E039D8"/>
    <w:rsid w:val="00E65A16"/>
    <w:rsid w:val="00E722E3"/>
    <w:rsid w:val="00EC2D19"/>
    <w:rsid w:val="00EE0C25"/>
    <w:rsid w:val="00F25750"/>
    <w:rsid w:val="00FA64B5"/>
    <w:rsid w:val="03932E7A"/>
    <w:rsid w:val="10C87F96"/>
    <w:rsid w:val="1C142410"/>
    <w:rsid w:val="1CF76499"/>
    <w:rsid w:val="27692EC0"/>
    <w:rsid w:val="346A7D6E"/>
    <w:rsid w:val="34D0343D"/>
    <w:rsid w:val="3776511E"/>
    <w:rsid w:val="39B64096"/>
    <w:rsid w:val="41BE41FA"/>
    <w:rsid w:val="4DF70ADC"/>
    <w:rsid w:val="5398500B"/>
    <w:rsid w:val="5A8A4C71"/>
    <w:rsid w:val="69A27B72"/>
    <w:rsid w:val="6A0A3FCB"/>
    <w:rsid w:val="6EC922AC"/>
    <w:rsid w:val="70D554B1"/>
    <w:rsid w:val="71E55847"/>
    <w:rsid w:val="72460755"/>
    <w:rsid w:val="74B13DC4"/>
    <w:rsid w:val="75102534"/>
    <w:rsid w:val="757B4FA1"/>
    <w:rsid w:val="770E14AA"/>
    <w:rsid w:val="7CE7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rPr>
      <w:rFonts w:ascii="宋体" w:hAnsi="宋体" w:cs="宋体"/>
      <w:sz w:val="32"/>
      <w:szCs w:val="32"/>
      <w:lang w:val="zh-CN" w:bidi="zh-CN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脚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 字符"/>
    <w:basedOn w:val="8"/>
    <w:link w:val="2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character" w:customStyle="1" w:styleId="12">
    <w:name w:val="页眉 字符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3741</Words>
  <Characters>3798</Characters>
  <Lines>54</Lines>
  <Paragraphs>15</Paragraphs>
  <TotalTime>2</TotalTime>
  <ScaleCrop>false</ScaleCrop>
  <LinksUpToDate>false</LinksUpToDate>
  <CharactersWithSpaces>3805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2024-08-26T11:15:00Z</dcterms:created>
  <dc:creator>lizhe</dc:creator>
  <cp:lastModifiedBy>刘锋</cp:lastModifiedBy>
  <dcterms:modified xsi:type="dcterms:W3CDTF">2025-12-17T03:03:48Z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eyJoZGlkIjoiMmVjYzVlY2NkMmJlOTZiNGRjODlkMzIxNzVmZjM5YWEiLCJ1c2VySWQiOiIxNTgwODQ5ODc1In0=</vt:lpwstr>
  </property>
  <property fmtid="{D5CDD505-2E9C-101B-9397-08002B2CF9AE}" pid="3" name="KSOProductBuildVer">
    <vt:lpwstr>2052-12.1.0.19770</vt:lpwstr>
  </property>
  <property fmtid="{D5CDD505-2E9C-101B-9397-08002B2CF9AE}" pid="4" name="ICV">
    <vt:lpwstr>F3AC3862E32643F591EA680FD1F356AE_13</vt:lpwstr>
  </property>
</Properties>
</file>