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CDDF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0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bookmarkStart w:id="15" w:name="_GoBack"/>
      <w:bookmarkEnd w:id="15"/>
      <w:bookmarkStart w:id="0" w:name="heading_0"/>
      <w:r>
        <w:rPr>
          <w:rFonts w:hint="eastAsia" w:ascii="方正小标宋_GBK" w:hAnsi="方正小标宋_GBK" w:eastAsia="方正小标宋_GBK" w:cs="方正小标宋_GBK"/>
          <w:b/>
          <w:sz w:val="36"/>
          <w:szCs w:val="36"/>
        </w:rPr>
        <w:t>青岛三十九中（海大附中）2025年美育工作报告</w:t>
      </w:r>
      <w:bookmarkEnd w:id="0"/>
    </w:p>
    <w:p w14:paraId="091E17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A4306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2025年，学校全面贯彻党的教育方针，落实立德树人根本任务，以“五育融合”为核心导向，将美育融入教育教学全过程，通过课程建设、实践活动、成果展示等多元举措，深耕“以美育人、以文化人”理念，助力学生审美素养与人文素养全面提升，美育工作取得显著成效。</w:t>
      </w:r>
    </w:p>
    <w:p w14:paraId="6BBE36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outlineLvl w:val="1"/>
        <w:rPr>
          <w:rFonts w:hint="eastAsia" w:ascii="黑体" w:hAnsi="黑体" w:eastAsia="黑体" w:cs="黑体"/>
          <w:b w:val="0"/>
          <w:bCs/>
          <w:sz w:val="32"/>
          <w:szCs w:val="32"/>
        </w:rPr>
      </w:pPr>
      <w:bookmarkStart w:id="1" w:name="heading_1"/>
      <w:r>
        <w:rPr>
          <w:rFonts w:hint="eastAsia" w:ascii="黑体" w:hAnsi="黑体" w:eastAsia="黑体" w:cs="黑体"/>
          <w:b w:val="0"/>
          <w:bCs/>
          <w:sz w:val="32"/>
          <w:szCs w:val="32"/>
        </w:rPr>
        <w:t>一、美育课程体系建设：夯实基础，丰富供给</w:t>
      </w:r>
      <w:bookmarkEnd w:id="1"/>
    </w:p>
    <w:p w14:paraId="2CDAD5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jc w:val="both"/>
        <w:textAlignment w:val="auto"/>
        <w:outlineLvl w:val="2"/>
        <w:rPr>
          <w:rFonts w:hint="eastAsia" w:ascii="楷体" w:hAnsi="楷体" w:eastAsia="楷体" w:cs="楷体"/>
          <w:sz w:val="32"/>
          <w:szCs w:val="32"/>
        </w:rPr>
      </w:pPr>
      <w:bookmarkStart w:id="2" w:name="heading_2"/>
      <w:r>
        <w:rPr>
          <w:rFonts w:hint="eastAsia" w:ascii="楷体" w:hAnsi="楷体" w:eastAsia="楷体" w:cs="楷体"/>
          <w:b/>
          <w:sz w:val="32"/>
          <w:szCs w:val="32"/>
        </w:rPr>
        <w:t>（一）特色课程全覆盖</w:t>
      </w:r>
      <w:bookmarkEnd w:id="2"/>
    </w:p>
    <w:p w14:paraId="101982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紧扣“十个一”项目要求，构建多元化美育课程矩阵，开设书法、戏剧、合唱、管弦乐、绘画等8门特色美育课程，覆盖初高中全年级学生，满足不同兴趣特长需求。课程设计注重学科融合，将美育与海洋文化、红色教育等学校特色资源结合，提升课程针对性与实效性。</w:t>
      </w:r>
    </w:p>
    <w:p w14:paraId="6F8BFF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jc w:val="both"/>
        <w:textAlignment w:val="auto"/>
        <w:outlineLvl w:val="2"/>
        <w:rPr>
          <w:rFonts w:hint="eastAsia" w:ascii="楷体" w:hAnsi="楷体" w:eastAsia="楷体" w:cs="楷体"/>
          <w:b/>
          <w:sz w:val="32"/>
          <w:szCs w:val="32"/>
        </w:rPr>
      </w:pPr>
      <w:bookmarkStart w:id="3" w:name="heading_3"/>
      <w:r>
        <w:rPr>
          <w:rFonts w:hint="eastAsia" w:ascii="楷体" w:hAnsi="楷体" w:eastAsia="楷体" w:cs="楷体"/>
          <w:b/>
          <w:sz w:val="32"/>
          <w:szCs w:val="32"/>
        </w:rPr>
        <w:t>（二）课程实施规范化</w:t>
      </w:r>
      <w:bookmarkEnd w:id="3"/>
    </w:p>
    <w:p w14:paraId="28B2D4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以教研为支撑，完善美育课程教学设计、课件开发与评价体系，各美育学科组定期开展集备与教研活动，优化教学流程。通过“骨干教师示范课”“青年教师汇报课”等平台，促进美育教学经验传承与创新，提升课堂教学质量。</w:t>
      </w:r>
    </w:p>
    <w:p w14:paraId="48107E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outlineLvl w:val="1"/>
        <w:rPr>
          <w:rFonts w:hint="eastAsia" w:ascii="黑体" w:hAnsi="黑体" w:eastAsia="黑体" w:cs="黑体"/>
          <w:b w:val="0"/>
          <w:bCs/>
          <w:sz w:val="32"/>
          <w:szCs w:val="32"/>
        </w:rPr>
      </w:pPr>
      <w:bookmarkStart w:id="4" w:name="heading_4"/>
      <w:r>
        <w:rPr>
          <w:rFonts w:hint="eastAsia" w:ascii="黑体" w:hAnsi="黑体" w:eastAsia="黑体" w:cs="黑体"/>
          <w:b w:val="0"/>
          <w:bCs/>
          <w:sz w:val="32"/>
          <w:szCs w:val="32"/>
        </w:rPr>
        <w:t>二、美育实践活动：搭建平台，展示风采</w:t>
      </w:r>
      <w:bookmarkEnd w:id="4"/>
    </w:p>
    <w:p w14:paraId="3C0281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jc w:val="both"/>
        <w:textAlignment w:val="auto"/>
        <w:outlineLvl w:val="2"/>
        <w:rPr>
          <w:rFonts w:hint="eastAsia" w:ascii="楷体" w:hAnsi="楷体" w:eastAsia="楷体" w:cs="楷体"/>
          <w:b/>
          <w:sz w:val="32"/>
          <w:szCs w:val="32"/>
        </w:rPr>
      </w:pPr>
      <w:bookmarkStart w:id="5" w:name="heading_5"/>
      <w:r>
        <w:rPr>
          <w:rFonts w:hint="eastAsia" w:ascii="楷体" w:hAnsi="楷体" w:eastAsia="楷体" w:cs="楷体"/>
          <w:b/>
          <w:sz w:val="32"/>
          <w:szCs w:val="32"/>
        </w:rPr>
        <w:t>（一）艺术社团提质增效</w:t>
      </w:r>
      <w:bookmarkEnd w:id="5"/>
    </w:p>
    <w:p w14:paraId="3732CB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重点打造“清悦”管弦乐团、“戏语”艺术团、校合唱团等特色艺术社团，常态化开展训练与排练，提升社团专业水平。社团活动纳入校本课程管理，配备专职教师指导，保障活动频次与质量。</w:t>
      </w:r>
    </w:p>
    <w:p w14:paraId="6936AF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jc w:val="both"/>
        <w:textAlignment w:val="auto"/>
        <w:outlineLvl w:val="2"/>
        <w:rPr>
          <w:rFonts w:hint="eastAsia" w:ascii="楷体" w:hAnsi="楷体" w:eastAsia="楷体" w:cs="楷体"/>
          <w:b/>
          <w:sz w:val="32"/>
          <w:szCs w:val="32"/>
        </w:rPr>
      </w:pPr>
      <w:bookmarkStart w:id="6" w:name="heading_6"/>
      <w:r>
        <w:rPr>
          <w:rFonts w:hint="eastAsia" w:ascii="楷体" w:hAnsi="楷体" w:eastAsia="楷体" w:cs="楷体"/>
          <w:b/>
          <w:sz w:val="32"/>
          <w:szCs w:val="32"/>
        </w:rPr>
        <w:t>（二）各类展演赛事成果丰硕</w:t>
      </w:r>
      <w:bookmarkEnd w:id="6"/>
    </w:p>
    <w:p w14:paraId="0330ED5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国家级赛事：“清悦”管弦乐团作品《轻骑兵序曲》斩获全国第八届中小学生艺术展演二等奖。</w:t>
      </w:r>
    </w:p>
    <w:p w14:paraId="45E576B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市级赛事：“戏语”艺术团戏剧作品《未觉风来》获青岛市艺术展演一等奖第一名，朗诵作品《谁是最可爱的人》获一等奖第三名；合唱团参与青岛市运会开幕式演出，作品《世界赠予我的》登陆央视栏目，获得广泛好评。</w:t>
      </w:r>
    </w:p>
    <w:p w14:paraId="3AADC76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校园展示：举办“丹青绘梦”绘画展，集中展出学生优秀作品260幅，为学生提供艺术实践成果展示平台，营造浓厚校园艺术氛围。</w:t>
      </w:r>
    </w:p>
    <w:p w14:paraId="26D06B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outlineLvl w:val="1"/>
        <w:rPr>
          <w:rFonts w:hint="eastAsia" w:ascii="黑体" w:hAnsi="黑体" w:eastAsia="黑体" w:cs="黑体"/>
          <w:b w:val="0"/>
          <w:bCs/>
          <w:sz w:val="32"/>
          <w:szCs w:val="32"/>
        </w:rPr>
      </w:pPr>
      <w:bookmarkStart w:id="7" w:name="heading_7"/>
      <w:r>
        <w:rPr>
          <w:rFonts w:hint="eastAsia" w:ascii="黑体" w:hAnsi="黑体" w:eastAsia="黑体" w:cs="黑体"/>
          <w:b w:val="0"/>
          <w:bCs/>
          <w:sz w:val="32"/>
          <w:szCs w:val="32"/>
        </w:rPr>
        <w:t>三、美育育人成效：素养提升，影响广泛</w:t>
      </w:r>
      <w:bookmarkEnd w:id="7"/>
    </w:p>
    <w:p w14:paraId="0D634B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jc w:val="both"/>
        <w:textAlignment w:val="auto"/>
        <w:outlineLvl w:val="2"/>
        <w:rPr>
          <w:rFonts w:hint="eastAsia" w:ascii="楷体" w:hAnsi="楷体" w:eastAsia="楷体" w:cs="楷体"/>
          <w:b/>
          <w:sz w:val="32"/>
          <w:szCs w:val="32"/>
        </w:rPr>
      </w:pPr>
      <w:bookmarkStart w:id="8" w:name="heading_8"/>
      <w:r>
        <w:rPr>
          <w:rFonts w:hint="eastAsia" w:ascii="楷体" w:hAnsi="楷体" w:eastAsia="楷体" w:cs="楷体"/>
          <w:b/>
          <w:sz w:val="32"/>
          <w:szCs w:val="32"/>
        </w:rPr>
        <w:t>（一）学生审美素养显著增强</w:t>
      </w:r>
      <w:bookmarkEnd w:id="8"/>
    </w:p>
    <w:p w14:paraId="22D4D2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通过课程学习与实践体验，学生艺术感知能力、审美鉴赏能力和创作表达能力全面提升，越来越多学生主动参与艺术活动，形成热爱美、追求美、创造美的良好风尚。</w:t>
      </w:r>
    </w:p>
    <w:p w14:paraId="5D7A28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jc w:val="both"/>
        <w:textAlignment w:val="auto"/>
        <w:outlineLvl w:val="2"/>
        <w:rPr>
          <w:rFonts w:hint="eastAsia" w:ascii="楷体" w:hAnsi="楷体" w:eastAsia="楷体" w:cs="楷体"/>
          <w:b/>
          <w:sz w:val="32"/>
          <w:szCs w:val="32"/>
        </w:rPr>
      </w:pPr>
      <w:bookmarkStart w:id="9" w:name="heading_9"/>
      <w:r>
        <w:rPr>
          <w:rFonts w:hint="eastAsia" w:ascii="楷体" w:hAnsi="楷体" w:eastAsia="楷体" w:cs="楷体"/>
          <w:b/>
          <w:sz w:val="32"/>
          <w:szCs w:val="32"/>
        </w:rPr>
        <w:t>（二）美育品牌影响力持续扩大</w:t>
      </w:r>
      <w:bookmarkEnd w:id="9"/>
    </w:p>
    <w:p w14:paraId="5E91EA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学校美育工作多次获得各级各类认可，相关成果通过媒体报道、赛事展示等形式广泛传播，既彰显了学校“明德知礼，崇美向善”的德育品牌内涵，也为区域美育工作提供了可借鉴的实践经验。</w:t>
      </w:r>
    </w:p>
    <w:p w14:paraId="1D631E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outlineLvl w:val="1"/>
        <w:rPr>
          <w:rFonts w:hint="eastAsia" w:ascii="黑体" w:hAnsi="黑体" w:eastAsia="黑体" w:cs="黑体"/>
          <w:b w:val="0"/>
          <w:bCs/>
          <w:sz w:val="32"/>
          <w:szCs w:val="32"/>
        </w:rPr>
      </w:pPr>
      <w:bookmarkStart w:id="10" w:name="heading_10"/>
      <w:r>
        <w:rPr>
          <w:rFonts w:hint="eastAsia" w:ascii="黑体" w:hAnsi="黑体" w:eastAsia="黑体" w:cs="黑体"/>
          <w:b w:val="0"/>
          <w:bCs/>
          <w:sz w:val="32"/>
          <w:szCs w:val="32"/>
        </w:rPr>
        <w:t>四、保障措施：强化支撑，稳步推进</w:t>
      </w:r>
      <w:bookmarkEnd w:id="10"/>
    </w:p>
    <w:p w14:paraId="199356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jc w:val="both"/>
        <w:textAlignment w:val="auto"/>
        <w:outlineLvl w:val="2"/>
        <w:rPr>
          <w:rFonts w:hint="eastAsia" w:ascii="楷体" w:hAnsi="楷体" w:eastAsia="楷体" w:cs="楷体"/>
          <w:b/>
          <w:sz w:val="32"/>
          <w:szCs w:val="32"/>
        </w:rPr>
      </w:pPr>
      <w:bookmarkStart w:id="11" w:name="heading_11"/>
      <w:r>
        <w:rPr>
          <w:rFonts w:hint="eastAsia" w:ascii="楷体" w:hAnsi="楷体" w:eastAsia="楷体" w:cs="楷体"/>
          <w:b/>
          <w:sz w:val="32"/>
          <w:szCs w:val="32"/>
        </w:rPr>
        <w:t>（一）师资保障</w:t>
      </w:r>
      <w:bookmarkEnd w:id="11"/>
    </w:p>
    <w:p w14:paraId="2BC731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配备专业美育教师团队，通过专题培训、教研交流、校外学习等方式，提升教师专业素养与教学能力，为美育工作开展提供核心支撑。</w:t>
      </w:r>
    </w:p>
    <w:p w14:paraId="60671F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jc w:val="both"/>
        <w:textAlignment w:val="auto"/>
        <w:outlineLvl w:val="2"/>
        <w:rPr>
          <w:rFonts w:hint="eastAsia" w:ascii="楷体" w:hAnsi="楷体" w:eastAsia="楷体" w:cs="楷体"/>
          <w:b/>
          <w:sz w:val="32"/>
          <w:szCs w:val="32"/>
        </w:rPr>
      </w:pPr>
      <w:bookmarkStart w:id="12" w:name="heading_12"/>
      <w:r>
        <w:rPr>
          <w:rFonts w:hint="eastAsia" w:ascii="楷体" w:hAnsi="楷体" w:eastAsia="楷体" w:cs="楷体"/>
          <w:b/>
          <w:sz w:val="32"/>
          <w:szCs w:val="32"/>
        </w:rPr>
        <w:t>（二）资源保障</w:t>
      </w:r>
      <w:bookmarkEnd w:id="12"/>
    </w:p>
    <w:p w14:paraId="1E21A5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整合校内外优质资源，完善艺术场馆、器材等硬件设施，为课程教学与社团活动提供充足保障；加强与校外艺术团体、高校的合作，拓展美育实践渠道。</w:t>
      </w:r>
    </w:p>
    <w:p w14:paraId="312BD5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jc w:val="both"/>
        <w:textAlignment w:val="auto"/>
        <w:outlineLvl w:val="2"/>
        <w:rPr>
          <w:rFonts w:hint="eastAsia" w:ascii="楷体" w:hAnsi="楷体" w:eastAsia="楷体" w:cs="楷体"/>
          <w:b/>
          <w:sz w:val="32"/>
          <w:szCs w:val="32"/>
        </w:rPr>
      </w:pPr>
      <w:bookmarkStart w:id="13" w:name="heading_13"/>
      <w:r>
        <w:rPr>
          <w:rFonts w:hint="eastAsia" w:ascii="楷体" w:hAnsi="楷体" w:eastAsia="楷体" w:cs="楷体"/>
          <w:b/>
          <w:sz w:val="32"/>
          <w:szCs w:val="32"/>
        </w:rPr>
        <w:t>（三）制度保障</w:t>
      </w:r>
      <w:bookmarkEnd w:id="13"/>
    </w:p>
    <w:p w14:paraId="7FE8C3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将美育工作纳入学校整体发展规划，完善美育工作管理制度与评价机制，明确工作目标与责任分工，确保各项举措落地见效。</w:t>
      </w:r>
    </w:p>
    <w:p w14:paraId="3005E1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outlineLvl w:val="1"/>
        <w:rPr>
          <w:rFonts w:hint="eastAsia" w:ascii="黑体" w:hAnsi="黑体" w:eastAsia="黑体" w:cs="黑体"/>
          <w:b w:val="0"/>
          <w:bCs/>
          <w:sz w:val="32"/>
          <w:szCs w:val="32"/>
        </w:rPr>
      </w:pPr>
      <w:bookmarkStart w:id="14" w:name="heading_14"/>
      <w:r>
        <w:rPr>
          <w:rFonts w:hint="eastAsia" w:ascii="黑体" w:hAnsi="黑体" w:eastAsia="黑体" w:cs="黑体"/>
          <w:b w:val="0"/>
          <w:bCs/>
          <w:sz w:val="32"/>
          <w:szCs w:val="32"/>
        </w:rPr>
        <w:t>五、总结与展望</w:t>
      </w:r>
      <w:bookmarkEnd w:id="14"/>
    </w:p>
    <w:p w14:paraId="5D0095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2025年，学校美育工作在课程建设、实践活动、成果输出等方面均取得扎实进展，有效助力了学生全面发展。下一步，学校将继续深化美育改革，进一步优化课程体系，丰富实践载体，强化资源整合，推动美育与德育、智育、体育、劳动教育深度融合，让美育之花在校园持续绽放，为学生成长赋能。</w:t>
      </w:r>
    </w:p>
    <w:sectPr>
      <w:headerReference r:id="rId3" w:type="default"/>
      <w:footerReference r:id="rId4" w:type="default"/>
      <w:pgSz w:w="11905" w:h="16840"/>
      <w:pgMar w:top="2098" w:right="1531" w:bottom="1984" w:left="1587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3D5E7DA-C553-4D92-97AD-EB7D254F218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4575BFB7-3649-44B4-A796-6C69C8136CBA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821F5D8F-3E29-4DAF-BCE2-21292D4E5551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1E17F2E6-D5F2-4788-8945-8CB0B3355B0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BAEF64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42C1B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5A7F66"/>
    <w:rsid w:val="5A9B60F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569</Words>
  <Characters>576</Characters>
  <TotalTime>3</TotalTime>
  <ScaleCrop>false</ScaleCrop>
  <LinksUpToDate>false</LinksUpToDate>
  <CharactersWithSpaces>576</CharactersWithSpaces>
  <Application>WPS Office_12.1.0.20305_F1E327BC-269C-435d-A152-05C5408002CA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2025-11-26T13:27:00Z</dcterms:created>
  <dc:creator>Apache POI</dc:creator>
  <cp:lastModifiedBy>朱秀玉</cp:lastModifiedBy>
  <dcterms:modified xsi:type="dcterms:W3CDTF">2025-11-28T00:05:21Z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eyJoZGlkIjoiMWRkY2Q2NzIwZDBiYTk4ZjNmYmMzMDdmZjYzZDI2MTUiLCJ1c2VySWQiOiI0MTYwNzcyMDQifQ==</vt:lpwstr>
  </property>
  <property fmtid="{D5CDD505-2E9C-101B-9397-08002B2CF9AE}" pid="3" name="KSOProductBuildVer">
    <vt:lpwstr>2052-12.1.0.20305</vt:lpwstr>
  </property>
  <property fmtid="{D5CDD505-2E9C-101B-9397-08002B2CF9AE}" pid="4" name="ICV">
    <vt:lpwstr>5C4F2CBC125249C5B38048D9D2B7CB99_13</vt:lpwstr>
  </property>
</Properties>
</file>