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0"/>
          <w:szCs w:val="44"/>
        </w:rPr>
      </w:pPr>
    </w:p>
    <w:p>
      <w:pPr>
        <w:jc w:val="center"/>
        <w:rPr>
          <w:sz w:val="40"/>
          <w:szCs w:val="44"/>
        </w:rPr>
      </w:pPr>
    </w:p>
    <w:p>
      <w:pPr>
        <w:spacing w:line="1200" w:lineRule="exact"/>
        <w:jc w:val="center"/>
        <w:outlineLvl w:val="0"/>
        <w:rPr>
          <w:rFonts w:ascii="Times New Roman" w:hAnsi="Times New Roman" w:eastAsia="华文中宋" w:cs="Times New Roman"/>
          <w:sz w:val="44"/>
          <w:szCs w:val="48"/>
        </w:rPr>
      </w:pPr>
      <w:bookmarkStart w:id="0" w:name="_Toc29897"/>
      <w:r>
        <w:rPr>
          <w:rFonts w:ascii="Times New Roman" w:hAnsi="Times New Roman" w:eastAsia="华文中宋" w:cs="Times New Roman"/>
          <w:sz w:val="44"/>
          <w:szCs w:val="48"/>
        </w:rPr>
        <w:t>青岛华夏职业学校</w:t>
      </w:r>
      <w:r>
        <w:rPr>
          <w:rFonts w:hint="eastAsia" w:ascii="Times New Roman" w:hAnsi="Times New Roman" w:eastAsia="华文中宋" w:cs="Times New Roman"/>
          <w:sz w:val="44"/>
          <w:szCs w:val="48"/>
          <w:lang w:val="en-US" w:eastAsia="zh-CN"/>
        </w:rPr>
        <w:t>2023</w:t>
      </w:r>
      <w:r>
        <w:rPr>
          <w:rFonts w:ascii="Times New Roman" w:hAnsi="Times New Roman" w:eastAsia="华文中宋" w:cs="Times New Roman"/>
          <w:sz w:val="44"/>
          <w:szCs w:val="48"/>
        </w:rPr>
        <w:t>年度现代学徒制</w:t>
      </w:r>
      <w:bookmarkEnd w:id="0"/>
    </w:p>
    <w:p>
      <w:pPr>
        <w:spacing w:line="1200" w:lineRule="exact"/>
        <w:jc w:val="center"/>
        <w:outlineLvl w:val="0"/>
        <w:rPr>
          <w:rFonts w:ascii="Times New Roman" w:hAnsi="Times New Roman" w:eastAsia="华文中宋" w:cs="Times New Roman"/>
          <w:sz w:val="44"/>
          <w:szCs w:val="48"/>
        </w:rPr>
      </w:pPr>
      <w:bookmarkStart w:id="1" w:name="_Toc3308"/>
      <w:r>
        <w:rPr>
          <w:rFonts w:ascii="Times New Roman" w:hAnsi="Times New Roman" w:eastAsia="华文中宋" w:cs="Times New Roman"/>
          <w:sz w:val="44"/>
          <w:szCs w:val="48"/>
        </w:rPr>
        <w:t>试点项目中期自检报告</w:t>
      </w:r>
      <w:bookmarkEnd w:id="1"/>
    </w:p>
    <w:p>
      <w:pPr>
        <w:spacing w:line="1200" w:lineRule="exact"/>
        <w:jc w:val="center"/>
        <w:rPr>
          <w:rFonts w:ascii="Times New Roman" w:hAnsi="Times New Roman" w:eastAsia="华文中宋" w:cs="Times New Roman"/>
          <w:sz w:val="44"/>
          <w:szCs w:val="48"/>
        </w:rPr>
      </w:pPr>
    </w:p>
    <w:p>
      <w:pPr>
        <w:spacing w:line="1200" w:lineRule="exact"/>
        <w:jc w:val="center"/>
        <w:rPr>
          <w:rFonts w:ascii="Times New Roman" w:hAnsi="Times New Roman" w:eastAsia="华文中宋" w:cs="Times New Roman"/>
          <w:sz w:val="44"/>
          <w:szCs w:val="48"/>
        </w:rPr>
      </w:pPr>
    </w:p>
    <w:p>
      <w:pPr>
        <w:pStyle w:val="2"/>
        <w:rPr>
          <w:rFonts w:ascii="Times New Roman" w:hAnsi="Times New Roman" w:eastAsia="华文中宋" w:cs="Times New Roman"/>
          <w:sz w:val="44"/>
          <w:szCs w:val="48"/>
        </w:rPr>
      </w:pPr>
    </w:p>
    <w:p>
      <w:pPr>
        <w:rPr>
          <w:rFonts w:ascii="Times New Roman" w:hAnsi="Times New Roman" w:eastAsia="华文中宋" w:cs="Times New Roman"/>
          <w:sz w:val="44"/>
          <w:szCs w:val="48"/>
        </w:rPr>
      </w:pPr>
    </w:p>
    <w:p>
      <w:pPr>
        <w:pStyle w:val="2"/>
        <w:rPr>
          <w:rFonts w:ascii="Times New Roman" w:hAnsi="Times New Roman" w:eastAsia="华文中宋" w:cs="Times New Roman"/>
          <w:sz w:val="44"/>
          <w:szCs w:val="48"/>
        </w:rPr>
      </w:pPr>
    </w:p>
    <w:p>
      <w:pPr>
        <w:rPr>
          <w:rFonts w:ascii="Times New Roman" w:hAnsi="Times New Roman" w:eastAsia="华文中宋" w:cs="Times New Roman"/>
          <w:sz w:val="44"/>
          <w:szCs w:val="48"/>
        </w:rPr>
      </w:pPr>
    </w:p>
    <w:p>
      <w:pPr>
        <w:spacing w:before="120" w:beforeLines="50" w:line="532" w:lineRule="atLeast"/>
        <w:ind w:left="1260" w:firstLine="420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案例名称：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电子商务现代学徒制发展模式探究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</w:t>
      </w:r>
    </w:p>
    <w:p>
      <w:pPr>
        <w:spacing w:before="120" w:beforeLines="50" w:line="532" w:lineRule="atLeast"/>
        <w:ind w:left="1260" w:firstLine="420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申报单位：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青岛华夏职业学校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</w:t>
      </w:r>
    </w:p>
    <w:p>
      <w:pPr>
        <w:spacing w:before="120" w:beforeLines="50" w:line="532" w:lineRule="atLeast"/>
        <w:ind w:left="1260" w:firstLine="420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合作企业: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青岛麦秋商贸有限公司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</w:t>
      </w:r>
    </w:p>
    <w:p>
      <w:pPr>
        <w:spacing w:before="120" w:beforeLines="50" w:line="532" w:lineRule="atLeast"/>
        <w:ind w:left="1260" w:firstLine="420"/>
        <w:jc w:val="both"/>
        <w:rPr>
          <w:rFonts w:hint="default" w:ascii="仿宋_GB2312" w:hAnsi="仿宋_GB2312" w:eastAsia="仿宋_GB2312" w:cs="仿宋_GB2312"/>
          <w:color w:val="auto"/>
          <w:spacing w:val="3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30"/>
          <w:sz w:val="32"/>
          <w:szCs w:val="32"/>
        </w:rPr>
        <w:t>负责人：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王猛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</w:p>
    <w:p>
      <w:pPr>
        <w:spacing w:before="120" w:beforeLines="50" w:line="532" w:lineRule="atLeast"/>
        <w:ind w:left="1260" w:firstLine="420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+中文正文" w:cs="仿宋_GB2312"/>
          <w:color w:val="auto"/>
          <w:sz w:val="28"/>
          <w:szCs w:val="32"/>
          <w:u w:val="single"/>
          <w:lang w:val="en-US" w:eastAsia="zh-CN"/>
        </w:rPr>
        <w:t>13026528901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</w:t>
      </w:r>
    </w:p>
    <w:p>
      <w:pPr>
        <w:rPr>
          <w:rFonts w:ascii="Times New Roman" w:hAnsi="Times New Roman" w:eastAsia="华文中宋" w:cs="Times New Roman"/>
          <w:sz w:val="44"/>
          <w:szCs w:val="48"/>
        </w:rPr>
      </w:pPr>
    </w:p>
    <w:p>
      <w:pPr>
        <w:spacing w:line="560" w:lineRule="exact"/>
        <w:jc w:val="center"/>
        <w:rPr>
          <w:sz w:val="32"/>
          <w:szCs w:val="36"/>
        </w:rPr>
      </w:pPr>
    </w:p>
    <w:p>
      <w:pPr>
        <w:pStyle w:val="2"/>
      </w:pPr>
    </w:p>
    <w:sdt>
      <w:sdtP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id w:val="147476901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黑体" w:hAnsi="黑体" w:eastAsia="黑体" w:cs="黑体"/>
              <w:sz w:val="32"/>
              <w:szCs w:val="32"/>
            </w:rPr>
          </w:pPr>
          <w:r>
            <w:rPr>
              <w:rFonts w:hint="eastAsia" w:ascii="黑体" w:hAnsi="黑体" w:eastAsia="黑体" w:cs="黑体"/>
              <w:sz w:val="32"/>
              <w:szCs w:val="32"/>
            </w:rPr>
            <w:t>目录</w:t>
          </w:r>
        </w:p>
        <w:p>
          <w:pPr>
            <w:pStyle w:val="9"/>
            <w:tabs>
              <w:tab w:val="right" w:leader="dot" w:pos="8306"/>
            </w:tabs>
            <w:rPr>
              <w:rFonts w:hint="eastAsia" w:ascii="黑体" w:hAnsi="黑体" w:eastAsia="黑体" w:cs="黑体"/>
              <w:sz w:val="28"/>
              <w:szCs w:val="28"/>
            </w:rPr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_Toc11981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概述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_Toc11981 \h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+中文正文" w:cs="黑体"/>
              <w:sz w:val="28"/>
              <w:szCs w:val="28"/>
              <w:lang w:eastAsia="zh-CN"/>
            </w:rPr>
            <w:t>2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_Toc4860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一、 项目组织实施情况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_Toc4860 \h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+中文正文" w:cs="黑体"/>
              <w:sz w:val="28"/>
              <w:szCs w:val="28"/>
              <w:lang w:eastAsia="zh-CN"/>
            </w:rPr>
            <w:t>3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_Toc12011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二、 目标和任务完成情况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_Toc12011 \h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+中文正文" w:cs="黑体"/>
              <w:sz w:val="28"/>
              <w:szCs w:val="28"/>
              <w:lang w:eastAsia="zh-CN"/>
            </w:rPr>
            <w:t>4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_Toc20437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三、 资金使用明细及对应帐目情况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_Toc20437 \h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+中文正文" w:cs="黑体"/>
              <w:sz w:val="28"/>
              <w:szCs w:val="28"/>
              <w:lang w:eastAsia="zh-CN"/>
            </w:rPr>
            <w:t>4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_Toc25701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四、 主要措施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_Toc25701 \h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+中文正文" w:cs="黑体"/>
              <w:sz w:val="28"/>
              <w:szCs w:val="28"/>
              <w:lang w:eastAsia="zh-CN"/>
            </w:rPr>
            <w:t>6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_Toc127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五、 建设成效与特色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_Toc127 \h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+中文正文" w:cs="黑体"/>
              <w:sz w:val="28"/>
              <w:szCs w:val="28"/>
              <w:lang w:eastAsia="zh-CN"/>
            </w:rPr>
            <w:t>8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_Toc8128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六、 存在的主要问题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_Toc8128 \h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+中文正文" w:cs="黑体"/>
              <w:sz w:val="28"/>
              <w:szCs w:val="28"/>
              <w:lang w:eastAsia="zh-CN"/>
            </w:rPr>
            <w:t>9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_Toc9348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附件一：项目教学记录表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_Toc9348 \h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+中文正文" w:cs="黑体"/>
              <w:sz w:val="28"/>
              <w:szCs w:val="28"/>
              <w:lang w:eastAsia="zh-CN"/>
            </w:rPr>
            <w:t>10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_Toc30480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附件二：教学成绩表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_Toc30480 \h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+中文正文" w:cs="黑体"/>
              <w:sz w:val="28"/>
              <w:szCs w:val="28"/>
              <w:lang w:eastAsia="zh-CN"/>
            </w:rPr>
            <w:t>13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_Toc911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附件三：学生晋级式考核评价方案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_Toc911 \h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+中文正文" w:cs="黑体"/>
              <w:sz w:val="28"/>
              <w:szCs w:val="28"/>
              <w:lang w:eastAsia="zh-CN"/>
            </w:rPr>
            <w:t>15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_Toc7580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附件四：项目化教学方案（教案）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_Toc7580 \h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+中文正文" w:cs="黑体"/>
              <w:sz w:val="28"/>
              <w:szCs w:val="28"/>
              <w:lang w:eastAsia="zh-CN"/>
            </w:rPr>
            <w:t>16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</w:p>
        <w:p>
          <w:pPr>
            <w:pStyle w:val="2"/>
          </w:pPr>
          <w:r>
            <w:fldChar w:fldCharType="end"/>
          </w:r>
        </w:p>
      </w:sdtContent>
    </w:sdt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  <w:rPr>
          <w:rFonts w:hint="eastAsia"/>
        </w:rPr>
      </w:pPr>
      <w:bookmarkStart w:id="2" w:name="_Toc11981"/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  <w:rPr>
          <w:rFonts w:hint="eastAsia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  <w:rPr>
          <w:rFonts w:hint="eastAsia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  <w:rPr>
          <w:rFonts w:hint="eastAsia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  <w:rPr>
          <w:rFonts w:hint="eastAsia"/>
        </w:rPr>
      </w:pPr>
      <w:r>
        <w:rPr>
          <w:rFonts w:hint="eastAsia"/>
        </w:rPr>
        <w:t>概述</w:t>
      </w:r>
      <w:bookmarkEnd w:id="2"/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根据教育部《关于开展现代学徒制试点工作的意见》(教职成[</w:t>
      </w:r>
      <w:r>
        <w:rPr>
          <w:rFonts w:hint="eastAsia" w:ascii="Times New Roman" w:hAnsi="Times New Roman" w:eastAsia="+中文正文" w:cs="仿宋_GB2312"/>
          <w:sz w:val="28"/>
          <w:szCs w:val="28"/>
          <w:lang w:eastAsia="zh-CN"/>
        </w:rPr>
        <w:t>2014</w:t>
      </w:r>
      <w:r>
        <w:rPr>
          <w:rFonts w:hint="eastAsia" w:ascii="仿宋_GB2312" w:hAnsi="仿宋_GB2312" w:eastAsia="仿宋_GB2312" w:cs="仿宋_GB2312"/>
          <w:sz w:val="28"/>
          <w:szCs w:val="28"/>
        </w:rPr>
        <w:t>]</w:t>
      </w:r>
      <w:r>
        <w:rPr>
          <w:rFonts w:hint="eastAsia" w:ascii="Times New Roman" w:hAnsi="Times New Roman" w:eastAsia="+中文正文" w:cs="仿宋_GB2312"/>
          <w:sz w:val="28"/>
          <w:szCs w:val="28"/>
          <w:lang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号)、国务院办公厅《关于深化产教融合的若干意见》（国办发〔</w:t>
      </w:r>
      <w:r>
        <w:rPr>
          <w:rFonts w:hint="eastAsia" w:ascii="Times New Roman" w:hAnsi="Times New Roman" w:eastAsia="+中文正文" w:cs="仿宋_GB2312"/>
          <w:sz w:val="28"/>
          <w:szCs w:val="28"/>
          <w:lang w:eastAsia="zh-CN"/>
        </w:rPr>
        <w:t>2017</w:t>
      </w:r>
      <w:r>
        <w:rPr>
          <w:rFonts w:hint="eastAsia" w:ascii="仿宋_GB2312" w:hAnsi="仿宋_GB2312" w:eastAsia="仿宋_GB2312" w:cs="仿宋_GB2312"/>
          <w:sz w:val="28"/>
          <w:szCs w:val="28"/>
        </w:rPr>
        <w:t>〕</w:t>
      </w:r>
      <w:r>
        <w:rPr>
          <w:rFonts w:hint="eastAsia" w:ascii="Times New Roman" w:hAnsi="Times New Roman" w:eastAsia="+中文正文" w:cs="仿宋_GB2312"/>
          <w:sz w:val="28"/>
          <w:szCs w:val="28"/>
          <w:lang w:eastAsia="zh-CN"/>
        </w:rPr>
        <w:t>95</w:t>
      </w:r>
      <w:r>
        <w:rPr>
          <w:rFonts w:hint="eastAsia" w:ascii="仿宋_GB2312" w:hAnsi="仿宋_GB2312" w:eastAsia="仿宋_GB2312" w:cs="仿宋_GB2312"/>
          <w:sz w:val="28"/>
          <w:szCs w:val="28"/>
        </w:rPr>
        <w:t>号）、国务院《国家职业教育改革实施方案》（国发〔</w:t>
      </w:r>
      <w:r>
        <w:rPr>
          <w:rFonts w:hint="eastAsia" w:ascii="Times New Roman" w:hAnsi="Times New Roman" w:eastAsia="+中文正文" w:cs="仿宋_GB2312"/>
          <w:sz w:val="28"/>
          <w:szCs w:val="28"/>
          <w:lang w:eastAsia="zh-CN"/>
        </w:rPr>
        <w:t>2019</w:t>
      </w:r>
      <w:r>
        <w:rPr>
          <w:rFonts w:hint="eastAsia" w:ascii="仿宋_GB2312" w:hAnsi="仿宋_GB2312" w:eastAsia="仿宋_GB2312" w:cs="仿宋_GB2312"/>
          <w:sz w:val="28"/>
          <w:szCs w:val="28"/>
        </w:rPr>
        <w:t>〕</w:t>
      </w:r>
      <w:r>
        <w:rPr>
          <w:rFonts w:hint="eastAsia" w:ascii="Times New Roman" w:hAnsi="Times New Roman" w:eastAsia="+中文正文" w:cs="仿宋_GB2312"/>
          <w:sz w:val="28"/>
          <w:szCs w:val="28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号）的通知精神，有效整合学校和企业优势资源，进一步深化校企双元制工学合一的人才培养模式，打造体现校企共建、产学融合，资源共享的现代学徒制智能云财务创新实践基地。鉴于此，我校积极参与青岛市现代学徒制建设，开展校企合作，积极开展现代学徒制试点研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</w:pPr>
      <w:bookmarkStart w:id="3" w:name="_Toc4860"/>
      <w:r>
        <w:rPr>
          <w:rFonts w:hint="eastAsia"/>
        </w:rPr>
        <w:t>项目组织实施情况</w:t>
      </w:r>
      <w:bookmarkEnd w:id="3"/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本项目自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2023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日启动，第一学期分两部分实施。</w:t>
      </w:r>
    </w:p>
    <w:p>
      <w:pPr>
        <w:pStyle w:val="15"/>
        <w:numPr>
          <w:ilvl w:val="0"/>
          <w:numId w:val="0"/>
        </w:numPr>
        <w:spacing w:line="560" w:lineRule="exact"/>
        <w:ind w:leftChars="0" w:firstLine="496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第一部分为第一学期理论课，针对电子商务专业学生进行《商品知识》课程培训，每周每班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课时，共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周、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160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课时，企业导师在课堂教授学生了解各种电商产品的属性、特点、优劣势，并针对不同产品进行不同的营销方案，通过理论教学与现场讨论并结合对标店铺、账号的方式，让学生对电子商务产品有立体认识，为实操做好知识储备。</w:t>
      </w:r>
    </w:p>
    <w:p>
      <w:pPr>
        <w:pStyle w:val="15"/>
        <w:numPr>
          <w:ilvl w:val="0"/>
          <w:numId w:val="0"/>
        </w:numPr>
        <w:spacing w:line="560" w:lineRule="exact"/>
        <w:ind w:leftChars="0" w:firstLine="496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第二部分为实训课，针对电子商务专业同学进行兴趣电商板块的直播带货、短视频带货和货架电商板块的网店运营培训。学生入驻学校新装修好的电商实训基地，一期进入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27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人，在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2023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日正式启动，进行为期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个月的集训，集训时间为周一到周四每天下午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13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时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30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分至晚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时，周五每天下午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13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时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30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分至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时。</w:t>
      </w:r>
    </w:p>
    <w:p>
      <w:pPr>
        <w:pStyle w:val="15"/>
        <w:numPr>
          <w:ilvl w:val="0"/>
          <w:numId w:val="0"/>
        </w:numPr>
        <w:spacing w:line="560" w:lineRule="exact"/>
        <w:ind w:leftChars="0" w:firstLine="496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集训结束后共启动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个直播间和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家网店，覆盖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27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人。另有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50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人进入机房学习短视频剪辑制作。具体如下：</w:t>
      </w:r>
    </w:p>
    <w:p>
      <w:pPr>
        <w:pStyle w:val="15"/>
        <w:numPr>
          <w:ilvl w:val="0"/>
          <w:numId w:val="0"/>
        </w:numPr>
        <w:spacing w:line="560" w:lineRule="exact"/>
        <w:ind w:leftChars="0" w:firstLine="496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以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人一组入驻直播间（共计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人），进行直播练习，使用企业提供的软硬件设备和直播账号，实操直播，产品覆盖农产品、生活用品、食品、女装、电动车等多种品类。企业导师全程陪伴指导。</w:t>
      </w:r>
    </w:p>
    <w:p>
      <w:pPr>
        <w:pStyle w:val="15"/>
        <w:numPr>
          <w:ilvl w:val="0"/>
          <w:numId w:val="0"/>
        </w:numPr>
        <w:spacing w:line="560" w:lineRule="exact"/>
        <w:ind w:leftChars="0" w:firstLine="496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17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人入驻网店实训室，进行网店运营，从基础的选品、上架、推广、成交、客服，学生实训各个环节具体实操。企业导师全程陪伴指导。</w:t>
      </w:r>
    </w:p>
    <w:p>
      <w:pPr>
        <w:pStyle w:val="15"/>
        <w:numPr>
          <w:ilvl w:val="0"/>
          <w:numId w:val="0"/>
        </w:numPr>
        <w:spacing w:line="560" w:lineRule="exact"/>
        <w:ind w:leftChars="0" w:firstLine="496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50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人入驻电脑机房，通过拆解对标账号，提高网络感知力，写作文案并制作具有高传播性的短视频。</w:t>
      </w:r>
    </w:p>
    <w:p>
      <w:pPr>
        <w:pStyle w:val="15"/>
        <w:numPr>
          <w:ilvl w:val="0"/>
          <w:numId w:val="0"/>
        </w:numPr>
        <w:spacing w:line="560" w:lineRule="exact"/>
        <w:ind w:leftChars="0" w:firstLine="496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本项目运行至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日期末考试前暂停。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</w:pPr>
      <w:bookmarkStart w:id="4" w:name="_Toc12011"/>
      <w:r>
        <w:rPr>
          <w:rFonts w:hint="eastAsia"/>
        </w:rPr>
        <w:t>目标和任务完成情况</w:t>
      </w:r>
      <w:bookmarkEnd w:id="4"/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目标：学生能够对直播板块和网店运营有明确清晰认识，直播板块包括直播话术写作、产品属性挖掘、互动、憋单、成交、投流、客服、退换货；网点运营板块能够独立选品、上下架产品、店铺装修、图片制作、短视频拍摄、推广、直通车、万相台、退换货等环节。了解各环节工作属性与操作流程，提高团队协作意识，并产生一定成交。</w:t>
      </w:r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任务完成情况：目前入驻实训中心的学生已全面实现独立操作，能够独立操作直播间布景、灯光布置、账号启动、上下架产品、直播话术及运营；网店运营组已精细化操作，针对不同产品进行多维度包装营销。短视频运营组已独立写作文案、制作简单版本的短视频并予以发布。</w:t>
      </w:r>
    </w:p>
    <w:p>
      <w:pPr>
        <w:pStyle w:val="15"/>
        <w:numPr>
          <w:ilvl w:val="0"/>
          <w:numId w:val="0"/>
        </w:numPr>
        <w:spacing w:line="560" w:lineRule="exact"/>
        <w:ind w:leftChars="0" w:firstLine="496"/>
        <w:jc w:val="left"/>
        <w:rPr>
          <w:rFonts w:hint="default" w:ascii="华文仿宋" w:hAnsi="华文仿宋" w:eastAsia="华文仿宋" w:cs="Times New Roman"/>
          <w:kern w:val="2"/>
          <w:sz w:val="32"/>
          <w:szCs w:val="32"/>
          <w:lang w:val="en-US" w:eastAsia="zh-CN" w:bidi="ar-SA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</w:pPr>
      <w:bookmarkStart w:id="5" w:name="_Toc20437"/>
      <w:r>
        <w:rPr>
          <w:rFonts w:hint="eastAsia"/>
        </w:rPr>
        <w:t>资金使用明细及对应帐目情况</w:t>
      </w:r>
      <w:bookmarkEnd w:id="5"/>
    </w:p>
    <w:p>
      <w:pPr>
        <w:pStyle w:val="15"/>
        <w:numPr>
          <w:ilvl w:val="0"/>
          <w:numId w:val="0"/>
        </w:numPr>
        <w:spacing w:line="560" w:lineRule="exact"/>
        <w:ind w:leftChars="0"/>
        <w:jc w:val="left"/>
        <w:rPr>
          <w:rFonts w:hint="default" w:eastAsiaTheme="minorEastAsia"/>
          <w:color w:val="C00000"/>
          <w:sz w:val="32"/>
          <w:szCs w:val="36"/>
          <w:vertAlign w:val="baseline"/>
          <w:lang w:val="en-US" w:eastAsia="zh-CN"/>
        </w:rPr>
      </w:pPr>
      <w:r>
        <w:rPr>
          <w:rFonts w:hint="eastAsia"/>
          <w:color w:val="C00000"/>
          <w:sz w:val="32"/>
          <w:szCs w:val="36"/>
          <w:lang w:val="en-US" w:eastAsia="zh-CN"/>
        </w:rPr>
        <w:t xml:space="preserve">    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3"/>
        <w:gridCol w:w="1532"/>
        <w:gridCol w:w="1115"/>
        <w:gridCol w:w="1597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项目类型</w:t>
            </w:r>
          </w:p>
        </w:tc>
        <w:tc>
          <w:tcPr>
            <w:tcW w:w="1532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投入单价</w:t>
            </w:r>
          </w:p>
        </w:tc>
        <w:tc>
          <w:tcPr>
            <w:tcW w:w="1115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280" w:firstLineChars="1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1597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705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校本实训教材开发</w:t>
            </w:r>
          </w:p>
        </w:tc>
        <w:tc>
          <w:tcPr>
            <w:tcW w:w="1532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50000</w:t>
            </w:r>
          </w:p>
        </w:tc>
        <w:tc>
          <w:tcPr>
            <w:tcW w:w="1115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本</w:t>
            </w:r>
          </w:p>
        </w:tc>
        <w:tc>
          <w:tcPr>
            <w:tcW w:w="1597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05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50000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3" w:type="dxa"/>
          </w:tcPr>
          <w:p>
            <w:pPr>
              <w:bidi w:val="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企业导师讲课津贴</w:t>
            </w:r>
          </w:p>
        </w:tc>
        <w:tc>
          <w:tcPr>
            <w:tcW w:w="1532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1440</w:t>
            </w:r>
          </w:p>
        </w:tc>
        <w:tc>
          <w:tcPr>
            <w:tcW w:w="1115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597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705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72000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企业导师实训津贴</w:t>
            </w:r>
          </w:p>
        </w:tc>
        <w:tc>
          <w:tcPr>
            <w:tcW w:w="1532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1800</w:t>
            </w:r>
          </w:p>
        </w:tc>
        <w:tc>
          <w:tcPr>
            <w:tcW w:w="1115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597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705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90000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实训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损耗</w:t>
            </w:r>
          </w:p>
        </w:tc>
        <w:tc>
          <w:tcPr>
            <w:tcW w:w="1532" w:type="dxa"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2000</w:t>
            </w:r>
          </w:p>
        </w:tc>
        <w:tc>
          <w:tcPr>
            <w:tcW w:w="1115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597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705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100000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532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15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97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312000</w:t>
            </w:r>
          </w:p>
        </w:tc>
      </w:tr>
    </w:tbl>
    <w:p>
      <w:pPr>
        <w:pStyle w:val="15"/>
        <w:numPr>
          <w:ilvl w:val="0"/>
          <w:numId w:val="0"/>
        </w:numPr>
        <w:spacing w:line="560" w:lineRule="exact"/>
        <w:ind w:leftChars="0"/>
        <w:jc w:val="left"/>
        <w:rPr>
          <w:rFonts w:hint="eastAsia" w:ascii="仿宋" w:hAnsi="仿宋" w:eastAsia="仿宋" w:cs="仿宋"/>
          <w:color w:val="C00000"/>
          <w:sz w:val="28"/>
          <w:szCs w:val="28"/>
          <w:lang w:val="en-US" w:eastAsia="zh-CN"/>
        </w:rPr>
      </w:pP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企业导师讲课津贴明细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2126"/>
        <w:gridCol w:w="3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周</w:t>
            </w: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合计金额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仿宋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王猛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65600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仿宋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蓝帅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6400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72000</w:t>
            </w:r>
          </w:p>
        </w:tc>
      </w:tr>
    </w:tbl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企业导师实训津贴明细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2126"/>
        <w:gridCol w:w="3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周</w:t>
            </w: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合计金额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仿宋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王飞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40000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仿宋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王猛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仿宋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王绍冬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90000</w:t>
            </w:r>
          </w:p>
        </w:tc>
      </w:tr>
    </w:tbl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实训损耗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2126"/>
        <w:gridCol w:w="3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类型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类目</w:t>
            </w: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合计金额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仿宋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样品采购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女装；生活用品；食品</w:t>
            </w: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仿宋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设备</w:t>
            </w:r>
          </w:p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损坏折旧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直播手机</w:t>
            </w: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部；直播灯</w:t>
            </w: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盏</w:t>
            </w: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仿宋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网络支持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千兆宽带</w:t>
            </w: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条</w:t>
            </w: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4800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仿宋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开通店铺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店铺</w:t>
            </w: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家</w:t>
            </w: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18000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仿宋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直播投流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45000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43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12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056" w:type="dxa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+中文正文" w:cs="Times New Roman"/>
                <w:b w:val="0"/>
                <w:bCs w:val="0"/>
                <w:sz w:val="28"/>
                <w:szCs w:val="28"/>
                <w:lang w:val="en-US" w:eastAsia="zh-CN"/>
              </w:rPr>
              <w:t>102800</w:t>
            </w:r>
          </w:p>
        </w:tc>
      </w:tr>
    </w:tbl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rPr>
          <w:rFonts w:hint="default" w:ascii="Times New Roman" w:hAnsi="Times New Roman" w:eastAsia="方正仿宋_GB2312" w:cs="Times New Roman"/>
          <w:b w:val="0"/>
          <w:bCs w:val="0"/>
          <w:sz w:val="28"/>
          <w:szCs w:val="24"/>
          <w:lang w:val="en-US" w:eastAsia="zh-CN"/>
        </w:rPr>
      </w:pPr>
    </w:p>
    <w:p>
      <w:pPr>
        <w:pStyle w:val="3"/>
        <w:numPr>
          <w:ilvl w:val="0"/>
          <w:numId w:val="1"/>
        </w:numPr>
        <w:bidi w:val="0"/>
      </w:pPr>
      <w:bookmarkStart w:id="6" w:name="_Toc25701"/>
      <w:r>
        <w:rPr>
          <w:rFonts w:hint="eastAsia"/>
        </w:rPr>
        <w:t>主要措施</w:t>
      </w:r>
      <w:bookmarkEnd w:id="6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（一）、分组化管理</w:t>
      </w:r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通过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人小组或者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人小组的方式，增强学生之间的团队协作能力的同时，帮助他们对实训产生认同感，同时具备一定的约束力。</w:t>
      </w:r>
    </w:p>
    <w:p>
      <w:pPr>
        <w:pStyle w:val="4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、流程化实训</w:t>
      </w:r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在集训之前，企业导师开发出适合学生的校本课程，让学生按照课程内的步骤一步步实践，学生只需要细心操作，就可以实现熟能生巧。集训过程中企业导师再针对每个步骤进行细致化讲解，让学生知其然，也知其所以然。</w:t>
      </w:r>
    </w:p>
    <w:p>
      <w:pPr>
        <w:pStyle w:val="4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、真诚沟通</w:t>
      </w:r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学生年龄小、自律水平不够，玩儿心重，对职业没有清醒认识，没有体会到技能傍身的重要性。企业导师化身朋友，与学生真诚沟通，讲述电商发展历史、成功案例和失败的过程，让学生在故事中耳濡目染，增强学习动力，提高实训积极性。</w:t>
      </w:r>
    </w:p>
    <w:p>
      <w:pPr>
        <w:pStyle w:val="4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、细化奖惩机制</w:t>
      </w:r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具体来说，首先在选拔学生阶段，按照企业导师宣讲、学生报名、逐一面试的流程，在报名的学生中建立荣誉感，珍惜此次实训机会。其次，进入实训之前，学校、企业、学生及家长，共同签订四方实训协议，不仅为家长讲清实训的意义，也让学生感受到校内实训的严肃正规，对学生加上一层“紧箍咒”。再次，学生实训期间，学生的课程成绩由实训中心打分，如果表现优异，课程分数会高，如果表现较差，将会被退回到班里，还需要补专业课课时，从而促进学生在实训中心努力学习。整个过程中，企业导师全程参与学生管理，扮演班主任角色，缓和企业严格规范的管理模式，参与学生的心态管理、情绪管理，帮助学生解决各种困扰，让学生心无旁骛的实训。最后，企业拿出部分资金用于发放奖学金，并且制定奖学金发放细则，涵盖日常表现、学习态度、实训时长等各个方面，激发学生竞争感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（五）、规范管理细节；签到签退</w:t>
      </w:r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在学生实训过程中，需为他们建立科学、客观、清晰的管理制度。应包含每日签到签退表，对出勤情况予以细节化，在“优胜劣汰”过程中，这是重要的参考标准；实训专用笔记本，要求学生每天将自己所学知识予以记录，发表个人感悟、查找自身不足与努力方向；建立竞争机制，通过自由组合成立多个小组，每个小组负责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个直播间或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个网店，当天业绩、当周业绩实时更新，激发学生荣辱感，良性竞争；为每个小组固定运营账号，当小组成员运营的账号表现较差时，企业导师全程参与协助，分析问题并予以解决，当账号表现优秀时，企业导师也不会将账号拿走，从而增强学生归属感，实现你追我赶的积极性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</w:pPr>
      <w:bookmarkStart w:id="7" w:name="_Toc127"/>
      <w:r>
        <w:rPr>
          <w:rFonts w:hint="eastAsia"/>
        </w:rPr>
        <w:t>建设成效与特色</w:t>
      </w:r>
      <w:bookmarkEnd w:id="7"/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第一期参与实训的同学经过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个月的集训和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个月的实操之后，不仅自身能力得到显著提高，而且产生的成绩也带动班级整体精神面貌，第二期实训的同学报名数显著提高。具体来说，直播板块的学生在集训结束后进入直播间后，多个小组产生较好成绩，其中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23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日生活用品直播间直播时长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小时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47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分，成交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473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单；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24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日食品直播间直播时长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小时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30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分，成交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520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单。这些数据极大的提高了实训同学的自我价值感和自信心，也刺激了其他同学努力学习、积极实训的动力，同时证明了企业导师具备带领他们绽放自我的能力，从而促进现代学徒制项目的稳定、良性运行。</w:t>
      </w:r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目前电子商务专业现代学徒制项目特色主要包含以下三点：</w:t>
      </w:r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.多平台、多业态、多产品。学生实训涵盖抖音、快手、小红书、视频号、淘宝等平台；采取直播、短视频、图文等方式来获取流量；产品门类多，主要选择的是适合学生实训的生活用品、食品、女装、农产品等产品。这给学生带来极大的自由度和选择空间，有助于不同学生根据自身特点进行有针对性的实操。</w:t>
      </w:r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.理论与实践穿插。让学生不仅能够机械学会操作步骤，还能了解背后原理，形成系统观和科学思维，增强未来职业道路的可选择性。</w:t>
      </w:r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.拟公司化运营。企业导师引入企业管理的框架，但是具体实施时结合学校和学生特点，灵活变通。减少机械、僵硬的管理，增强趣味性和弹性和宽容度，让学生在实训过程中，潜移默化体验到未来工作时的环境与氛围，为未来职业做好心理上建设工作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textAlignment w:val="auto"/>
      </w:pPr>
      <w:bookmarkStart w:id="8" w:name="_Toc8128"/>
      <w:r>
        <w:rPr>
          <w:rFonts w:hint="eastAsia"/>
        </w:rPr>
        <w:t>存在的主要问题</w:t>
      </w:r>
      <w:bookmarkEnd w:id="8"/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中职学生正处于青春期，高三年级的孩子大多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18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—</w:t>
      </w:r>
      <w:r>
        <w:rPr>
          <w:rFonts w:hint="eastAsia" w:ascii="Times New Roman" w:hAnsi="Times New Roman" w:eastAsia="+中文正文" w:cs="仿宋_GB2312"/>
          <w:kern w:val="2"/>
          <w:sz w:val="28"/>
          <w:szCs w:val="28"/>
          <w:lang w:val="en-US" w:eastAsia="zh-CN" w:bidi="ar-SA"/>
        </w:rPr>
        <w:t>19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岁，这个年龄的孩子不仅年龄小，大部分孩子对未来也比较迷茫，人生规划不清晰，对自己所学专业也思考不深。有时候缺乏主见、人云亦云；另外也存在着玩儿心比较重的心态，社会经验不足。特别在意其他同学的看法，渴望获得集体认同感和归属感，情绪易被他人鼓动从而做出某一项决定。所以在现代学徒制运行过程中，对企业和学校都造成被动。比如有的同学心理承受能力弱，在企业实训过程中，企业导师批评几句就接受不了，有的会表现出妄自菲薄，有的则表现出嘻嘻哈哈，有的则就地躺平，摆出无所谓的态度；在这方面企业导师较为被动，在与学生沟通中畏首畏尾，生怕惹出事端。又比如，同学之间存在矛盾，在企业实践过程中，彼此攻击，也令企业莫衷一是。再加上部分同学学习态度不端正，带偏了实训的节奏；同学之间看彼此不顺眼，实训过程中针对他人故意设置障碍，这一系列问题，都会影响项目稳定进行。</w:t>
      </w:r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对企业来说，学生实践网店客服，需要用手机回复用户的问题；对学校来说，学生在校期间不可以使用手机，这一细节问题就可以充分体现出双元育人模式中易出现管理冲突。又比如，学生参加合唱社团、街舞社团、体育节等校内活动时，与企业培训时间冲突，学生要不要参加，企业要不要放人；学生的部分时间参加了企业实训，影响了书本课程的学习，考试成绩如何核算？学生实训时，突然无故中途退出，该怎么办？这些问题造成该模式中出现“后天营养不良”。</w:t>
      </w:r>
    </w:p>
    <w:p>
      <w:pPr>
        <w:pStyle w:val="15"/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</w:p>
    <w:p>
      <w:pPr>
        <w:spacing w:line="560" w:lineRule="exact"/>
        <w:jc w:val="left"/>
        <w:rPr>
          <w:sz w:val="32"/>
          <w:szCs w:val="36"/>
        </w:rPr>
      </w:pPr>
    </w:p>
    <w:p>
      <w:pPr>
        <w:spacing w:line="560" w:lineRule="exact"/>
        <w:jc w:val="left"/>
        <w:rPr>
          <w:sz w:val="32"/>
          <w:szCs w:val="36"/>
        </w:rPr>
      </w:pPr>
    </w:p>
    <w:p>
      <w:pPr>
        <w:spacing w:line="560" w:lineRule="exact"/>
        <w:jc w:val="left"/>
        <w:rPr>
          <w:sz w:val="32"/>
          <w:szCs w:val="36"/>
        </w:rPr>
      </w:pPr>
    </w:p>
    <w:p>
      <w:pPr>
        <w:spacing w:line="560" w:lineRule="exact"/>
        <w:jc w:val="left"/>
        <w:rPr>
          <w:rFonts w:hint="eastAsia"/>
          <w:sz w:val="32"/>
          <w:szCs w:val="36"/>
        </w:rPr>
      </w:pPr>
    </w:p>
    <w:p>
      <w:pPr>
        <w:pStyle w:val="3"/>
        <w:bidi w:val="0"/>
        <w:rPr>
          <w:rFonts w:hint="eastAsia"/>
        </w:rPr>
      </w:pPr>
      <w:bookmarkStart w:id="9" w:name="_Toc9348"/>
      <w:r>
        <w:rPr>
          <w:rFonts w:hint="eastAsia"/>
        </w:rPr>
        <w:t>附件一：项目教学记录表</w:t>
      </w:r>
      <w:bookmarkEnd w:id="9"/>
    </w:p>
    <w:p>
      <w:pPr>
        <w:pStyle w:val="2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956050"/>
            <wp:effectExtent l="0" t="0" r="3810" b="6350"/>
            <wp:docPr id="1" name="图片 1" descr="f8f3076739a0603f53471beeb583b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8f3076739a0603f53471beeb583b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8180"/>
            <wp:effectExtent l="0" t="0" r="3810" b="1270"/>
            <wp:docPr id="2" name="图片 2" descr="09cb10aa223c3557815773621bb4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9cb10aa223c3557815773621bb43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7028180"/>
            <wp:effectExtent l="0" t="0" r="3810" b="1270"/>
            <wp:docPr id="3" name="图片 3" descr="cf488fd9fced3e96b7ba523a7c4eb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f488fd9fced3e96b7ba523a7c4ebf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1610" cy="3945890"/>
            <wp:effectExtent l="0" t="0" r="5715" b="6985"/>
            <wp:docPr id="5" name="图片 5" descr="ecf87e2a9f8d1e0e3f9ba0f69ea4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cf87e2a9f8d1e0e3f9ba0f69ea4f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</w:rPr>
      </w:pPr>
      <w:bookmarkStart w:id="10" w:name="_Toc30480"/>
      <w:r>
        <w:rPr>
          <w:rFonts w:hint="eastAsia"/>
        </w:rPr>
        <w:t>附件二：教学成绩表</w:t>
      </w:r>
      <w:bookmarkEnd w:id="10"/>
    </w:p>
    <w:p>
      <w:pPr>
        <w:pStyle w:val="2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表</w:t>
      </w:r>
      <w:r>
        <w:rPr>
          <w:rFonts w:hint="eastAsia" w:ascii="Times New Roman" w:hAnsi="Times New Roman" w:eastAsia="+中文正文" w:cs="Times New Roman"/>
          <w:color w:val="auto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+中文正文" w:cs="Times New Roman"/>
          <w:color w:val="auto"/>
          <w:sz w:val="28"/>
          <w:szCs w:val="28"/>
          <w:lang w:val="en-US" w:eastAsia="zh-CN"/>
        </w:rPr>
        <w:t>1</w:t>
      </w:r>
    </w:p>
    <w:tbl>
      <w:tblPr>
        <w:tblStyle w:val="10"/>
        <w:tblW w:w="65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720"/>
        <w:gridCol w:w="34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孙文凯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孙宝成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70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于丽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许吉鑫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黄万琦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李振旺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82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韩秀平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周恩琦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高梦涵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毕希航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79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杨树润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张容嘉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金宇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丁娜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金萌芮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宋娇娇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张凌云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崔世成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于文琪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李唯一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管吉康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66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万孜硕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战文岐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刘海涛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周国栋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李笑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张念青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张雅琦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74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毛可欣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63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尹佳兴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王胜贤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杨佳润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吕紫悦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王彦诏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徐一茹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87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张书华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71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姜康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93</w:t>
            </w:r>
          </w:p>
        </w:tc>
      </w:tr>
    </w:tbl>
    <w:p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表</w:t>
      </w:r>
      <w:r>
        <w:rPr>
          <w:rFonts w:hint="eastAsia" w:ascii="Times New Roman" w:hAnsi="Times New Roman" w:eastAsia="+中文正文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+中文正文" w:cs="Times New Roman"/>
          <w:sz w:val="28"/>
          <w:szCs w:val="28"/>
          <w:lang w:val="en-US" w:eastAsia="zh-CN"/>
        </w:rPr>
        <w:t>2</w:t>
      </w:r>
    </w:p>
    <w:tbl>
      <w:tblPr>
        <w:tblStyle w:val="10"/>
        <w:tblW w:w="6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700"/>
        <w:gridCol w:w="3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王昊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孙利明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庞皓文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于栋旭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崔津瑜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隋双矫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78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王添槊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姜一卓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李慧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胡怡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李鹏翔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刘飞羽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贾立瑶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74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毕添硕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秦作熇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王紫航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87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刘晓静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刘宗政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苏文德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姜琦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杨秀丽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84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房文婷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苏德东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刘宝怡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王海岩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张顺龙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75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宋雨泽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张世康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李玥娴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刘丽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王馨仪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刘昕彤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74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陈彤</w:t>
            </w:r>
          </w:p>
        </w:tc>
        <w:tc>
          <w:tcPr>
            <w:tcW w:w="34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+中文正文" w:cs="Times New Roman"/>
                <w:i w:val="0"/>
                <w:iCs w:val="0"/>
                <w:color w:val="000000"/>
                <w:kern w:val="0"/>
                <w:sz w:val="28"/>
                <w:szCs w:val="22"/>
                <w:u w:val="none"/>
                <w:lang w:val="en-US" w:eastAsia="zh-CN" w:bidi="ar"/>
              </w:rPr>
              <w:t>74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pStyle w:val="3"/>
        <w:bidi w:val="0"/>
        <w:rPr>
          <w:rFonts w:hint="eastAsia"/>
        </w:rPr>
      </w:pPr>
      <w:bookmarkStart w:id="11" w:name="_Toc911"/>
      <w:r>
        <w:rPr>
          <w:rFonts w:hint="eastAsia"/>
        </w:rPr>
        <w:t>附件三：学生晋级式考核评价方案</w:t>
      </w:r>
      <w:bookmarkEnd w:id="11"/>
    </w:p>
    <w:p>
      <w:pPr>
        <w:pStyle w:val="2"/>
        <w:rPr>
          <w:rFonts w:hint="eastAsia"/>
          <w:color w:val="C00000"/>
          <w:sz w:val="32"/>
          <w:szCs w:val="36"/>
        </w:rPr>
      </w:pPr>
    </w:p>
    <w:tbl>
      <w:tblPr>
        <w:tblStyle w:val="11"/>
        <w:tblW w:w="8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实训类型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公式</w:t>
            </w:r>
          </w:p>
        </w:tc>
        <w:tc>
          <w:tcPr>
            <w:tcW w:w="465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直播带货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（出勤率+日常表现）*</w:t>
            </w:r>
            <w:r>
              <w:rPr>
                <w:rFonts w:hint="eastAsia" w:ascii="Times New Roman" w:hAnsi="Times New Roman" w:eastAsia="+中文正文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%+（真实成交订单量*</w:t>
            </w:r>
            <w:r>
              <w:rPr>
                <w:rFonts w:hint="eastAsia" w:ascii="Times New Roman" w:hAnsi="Times New Roman" w:eastAsia="+中文正文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%+订单金额*</w:t>
            </w:r>
            <w:r>
              <w:rPr>
                <w:rFonts w:hint="eastAsia" w:ascii="Times New Roman" w:hAnsi="Times New Roman" w:eastAsia="+中文正文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%）*</w:t>
            </w:r>
            <w:r>
              <w:rPr>
                <w:rFonts w:hint="eastAsia" w:ascii="Times New Roman" w:hAnsi="Times New Roman" w:eastAsia="+中文正文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%。</w:t>
            </w:r>
          </w:p>
        </w:tc>
        <w:tc>
          <w:tcPr>
            <w:tcW w:w="465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公式分日常表现和实训数据两部分组成。因不同直播间商品客单价不同，着重以订单数量为主，订单金额为辅。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短视频制作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（出勤率+日常表现）*</w:t>
            </w:r>
            <w:r>
              <w:rPr>
                <w:rFonts w:hint="eastAsia" w:ascii="Times New Roman" w:hAnsi="Times New Roman" w:eastAsia="+中文正文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%+（真实有效评论量*</w:t>
            </w:r>
            <w:r>
              <w:rPr>
                <w:rFonts w:hint="eastAsia" w:ascii="Times New Roman" w:hAnsi="Times New Roman" w:eastAsia="+中文正文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%+转发量*</w:t>
            </w:r>
            <w:r>
              <w:rPr>
                <w:rFonts w:hint="eastAsia" w:ascii="Times New Roman" w:hAnsi="Times New Roman" w:eastAsia="+中文正文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%）*</w:t>
            </w:r>
            <w:r>
              <w:rPr>
                <w:rFonts w:hint="eastAsia" w:ascii="Times New Roman" w:hAnsi="Times New Roman" w:eastAsia="+中文正文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%。</w:t>
            </w:r>
          </w:p>
        </w:tc>
        <w:tc>
          <w:tcPr>
            <w:tcW w:w="465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公式分日常表现和实训数据两部分组成。因不同短视频账号赛道不同，着重以浅层数据为主，深层数据为辅。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网店运营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（出勤率+日常表现）*</w:t>
            </w:r>
            <w:r>
              <w:rPr>
                <w:rFonts w:hint="eastAsia" w:ascii="Times New Roman" w:hAnsi="Times New Roman" w:eastAsia="+中文正文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%+（真实成交订单量*</w:t>
            </w:r>
            <w:r>
              <w:rPr>
                <w:rFonts w:hint="eastAsia" w:ascii="Times New Roman" w:hAnsi="Times New Roman" w:eastAsia="+中文正文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%+订单金额*</w:t>
            </w:r>
            <w:r>
              <w:rPr>
                <w:rFonts w:hint="eastAsia" w:ascii="Times New Roman" w:hAnsi="Times New Roman" w:eastAsia="+中文正文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%）*</w:t>
            </w:r>
            <w:r>
              <w:rPr>
                <w:rFonts w:hint="eastAsia" w:ascii="Times New Roman" w:hAnsi="Times New Roman" w:eastAsia="+中文正文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%。</w:t>
            </w:r>
          </w:p>
        </w:tc>
        <w:tc>
          <w:tcPr>
            <w:tcW w:w="465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公式分日常表现和实训数据两部分组成。因不同直播间商品客单价不同，着重以订单数量为主，订单金额为辅。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0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总说明：三个实训方向采取互通机制，学生在自己所实训版块表现优异（进入前</w:t>
            </w:r>
            <w:r>
              <w:rPr>
                <w:rFonts w:hint="eastAsia" w:ascii="Times New Roman" w:hAnsi="Times New Roman" w:eastAsia="+中文正文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%），即可提出申请去参加其他版块的实训。</w:t>
            </w:r>
          </w:p>
        </w:tc>
      </w:tr>
    </w:tbl>
    <w:p/>
    <w:p/>
    <w:p>
      <w:pPr>
        <w:pStyle w:val="2"/>
      </w:pPr>
    </w:p>
    <w:p>
      <w:pPr>
        <w:pStyle w:val="3"/>
        <w:bidi w:val="0"/>
        <w:rPr>
          <w:rFonts w:hint="eastAsia"/>
        </w:rPr>
      </w:pPr>
      <w:bookmarkStart w:id="12" w:name="_Toc7580"/>
      <w:r>
        <w:rPr>
          <w:rFonts w:hint="eastAsia"/>
        </w:rPr>
        <w:t>附件四：项目化教学方案</w:t>
      </w:r>
      <w:bookmarkEnd w:id="12"/>
    </w:p>
    <w:p>
      <w:pPr>
        <w:pStyle w:val="4"/>
        <w:numPr>
          <w:ilvl w:val="0"/>
          <w:numId w:val="3"/>
        </w:numPr>
        <w:bidi w:val="0"/>
        <w:outlineLvl w:val="0"/>
        <w:rPr>
          <w:rFonts w:hint="eastAsia"/>
          <w:lang w:val="en-US" w:eastAsia="zh-CN"/>
        </w:rPr>
      </w:pPr>
      <w:bookmarkStart w:id="13" w:name="_Toc27914"/>
      <w:r>
        <w:rPr>
          <w:rFonts w:hint="eastAsia"/>
          <w:lang w:val="en-US" w:eastAsia="zh-CN"/>
        </w:rPr>
        <w:t>直播篇：</w:t>
      </w:r>
      <w:bookmarkEnd w:id="13"/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直播核心点：旨在学生直达核心了解直播的关键要素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优秀的主播什么样：观摩其他成熟主播直播过程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主播形象包装：让学生学会根据产品来塑造自身的硬件形象和包装形象。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直播场景分类：学生学会根据不同产品搭建不同直播间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直播灯光设计：学生能独立完成直播间灯光的布局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主播心态变化：学生能做好心态管理和调整，做好没有流量时不气馁，有流量时不失态。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直播大屏数据分析：学生能根据直播间的各项数据做出不同的引导。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话术结构写作：要求学生学完之后，能独立为任何产品写作出话术，其中包括开播预热、引出产品、留人话术、互动话术、塑品话术、成交话术、逼单话术、转款话术及平播话术。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主播违禁词：要求学生牢记最、第一、首家等极端词汇、防止直播违规。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直播实操：能够在真实直播过程中，学会如何和用户良性互动、引导成交。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4"/>
        <w:numPr>
          <w:ilvl w:val="0"/>
          <w:numId w:val="3"/>
        </w:numPr>
        <w:bidi w:val="0"/>
        <w:outlineLvl w:val="0"/>
        <w:rPr>
          <w:rFonts w:hint="default"/>
          <w:lang w:val="en-US" w:eastAsia="zh-CN"/>
        </w:rPr>
      </w:pPr>
      <w:bookmarkStart w:id="14" w:name="_Toc20852"/>
      <w:r>
        <w:rPr>
          <w:rFonts w:hint="eastAsia"/>
          <w:lang w:val="en-US" w:eastAsia="zh-CN"/>
        </w:rPr>
        <w:t>短视频篇：</w:t>
      </w:r>
      <w:bookmarkEnd w:id="14"/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短视频爆款分析。通过带领学生分析不同类型、不同赛道的短视频，学会爆款思维，为实操做好知识储备。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短视频爆款产品主题思考。让学生在三农、母婴、影视解说、搞笑等不同赛道，根据自身特点与擅长点，思考未来实操的主题。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短视频制作思路。对爆款短视频进行拆解，了解短视频制作过程与制作思路。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短视频分镜头拍摄技巧。对短视频拍摄所用到的分镜头予以灵活掌握。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短视频剪辑技巧。灵活运用剪辑软件，进行特效制作并保证视频流畅度。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短视频文案写作。学生能独立写作</w:t>
      </w:r>
      <w:r>
        <w:rPr>
          <w:rFonts w:hint="eastAsia" w:ascii="Times New Roman" w:hAnsi="Times New Roman" w:eastAsia="+中文正文" w:cs="仿宋_GB2312"/>
          <w:sz w:val="28"/>
          <w:szCs w:val="28"/>
          <w:lang w:val="en-US" w:eastAsia="zh-CN"/>
        </w:rPr>
        <w:t>2800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字文案，要求逻辑结构完整、紧凑，能够吸引人。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短视频封面制作。学生能借助photoshop软件制作短视频封面，画风合格、标题醒目。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短视频配音。学生能根据文案的特色，选择合适的ai进行配音。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短视频标题如何起。学生能提炼短视频的核心要点，起一个吸引人的标题。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短视频上传时间管理。能根据制作的短视频的主题赛道，灵活掌握合适的时间予以发布。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+中文正文" w:cs="仿宋_GB2312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.短视频实操过程中其他问题。导师全程陪同，遇到问题第一时间予以解答。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3"/>
        </w:numPr>
        <w:bidi w:val="0"/>
        <w:outlineLvl w:val="0"/>
        <w:rPr>
          <w:rFonts w:hint="eastAsia"/>
          <w:lang w:val="en-US" w:eastAsia="zh-CN"/>
        </w:rPr>
      </w:pPr>
      <w:bookmarkStart w:id="16" w:name="_GoBack"/>
      <w:bookmarkEnd w:id="16"/>
      <w:bookmarkStart w:id="15" w:name="_Toc27083"/>
      <w:r>
        <w:rPr>
          <w:rFonts w:hint="eastAsia"/>
          <w:lang w:val="en-US" w:eastAsia="zh-CN"/>
        </w:rPr>
        <w:t>网店运营篇：</w:t>
      </w:r>
      <w:bookmarkEnd w:id="15"/>
    </w:p>
    <w:p>
      <w:pPr>
        <w:numPr>
          <w:ilvl w:val="0"/>
          <w:numId w:val="6"/>
        </w:numPr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网店运营逻辑：带领学生感知到货架电商的运营核心。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网店装修：培养学生美感和网店装修技巧。</w:t>
      </w:r>
    </w:p>
    <w:p>
      <w:pPr>
        <w:numPr>
          <w:ilvl w:val="0"/>
          <w:numId w:val="6"/>
        </w:numPr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选品思维：能让学生根据时节、赛道选择合适的货盘并上架销售。</w:t>
      </w:r>
    </w:p>
    <w:p>
      <w:pPr>
        <w:pStyle w:val="2"/>
        <w:numPr>
          <w:ilvl w:val="0"/>
          <w:numId w:val="6"/>
        </w:numPr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货品上架：能让学生快速、准确地将商品上架到淘宝店铺和抖音店铺。</w:t>
      </w:r>
    </w:p>
    <w:p>
      <w:pPr>
        <w:numPr>
          <w:ilvl w:val="0"/>
          <w:numId w:val="6"/>
        </w:numPr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商品运营：根据具体情况，对不同的产品进行投流，比如直通车、万相台</w:t>
      </w:r>
    </w:p>
    <w:p>
      <w:pPr>
        <w:pStyle w:val="2"/>
        <w:numPr>
          <w:ilvl w:val="0"/>
          <w:numId w:val="6"/>
        </w:numPr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商品发货模板制作。</w:t>
      </w:r>
    </w:p>
    <w:p>
      <w:pPr>
        <w:numPr>
          <w:ilvl w:val="0"/>
          <w:numId w:val="6"/>
        </w:numPr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商品发货流程</w:t>
      </w:r>
    </w:p>
    <w:p>
      <w:pPr>
        <w:pStyle w:val="2"/>
        <w:numPr>
          <w:ilvl w:val="0"/>
          <w:numId w:val="6"/>
        </w:numPr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店铺客服实操。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+中文正文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.店铺引流方案。让学生能通过实操，对店铺引流促进成交。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54A3F2-1D44-4923-9F3F-125A950ABC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27A090C-9C0C-4F35-AC51-3C48F608DE7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9ABD4F73-EC92-4AF6-8D0E-7B8010BB9A5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6D6FCE9A-E812-445E-A1D6-266ED226768D}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2E362CB1-CE57-424F-843D-456B4A23CAA5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D9FD8E86-6E32-441F-9F32-95D6DAECF8B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B71F44F1-E80C-4E53-B51F-990899B304E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15F5117A-89C6-4DD7-9872-C242CFD25682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A4174A"/>
    <w:multiLevelType w:val="singleLevel"/>
    <w:tmpl w:val="A9A417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F0B3FBC"/>
    <w:multiLevelType w:val="singleLevel"/>
    <w:tmpl w:val="0F0B3FB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656B0BB"/>
    <w:multiLevelType w:val="singleLevel"/>
    <w:tmpl w:val="3656B0B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D47ACD4"/>
    <w:multiLevelType w:val="singleLevel"/>
    <w:tmpl w:val="3D47ACD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4533E70"/>
    <w:multiLevelType w:val="singleLevel"/>
    <w:tmpl w:val="44533E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5D416CE"/>
    <w:multiLevelType w:val="multilevel"/>
    <w:tmpl w:val="45D416C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zOTgxNWZhMDQ5NTIwNWMzY2VlOTEyZjc1MjA3YWUifQ=="/>
  </w:docVars>
  <w:rsids>
    <w:rsidRoot w:val="000B2A28"/>
    <w:rsid w:val="000B2A28"/>
    <w:rsid w:val="0038618D"/>
    <w:rsid w:val="005A755A"/>
    <w:rsid w:val="00644E7A"/>
    <w:rsid w:val="00A247BE"/>
    <w:rsid w:val="00D1592E"/>
    <w:rsid w:val="01AE1D86"/>
    <w:rsid w:val="01E310F6"/>
    <w:rsid w:val="020F4140"/>
    <w:rsid w:val="02D92CCB"/>
    <w:rsid w:val="05EA4B8A"/>
    <w:rsid w:val="0645377B"/>
    <w:rsid w:val="06510EFB"/>
    <w:rsid w:val="06CA5AC8"/>
    <w:rsid w:val="070A5FF1"/>
    <w:rsid w:val="07574C3F"/>
    <w:rsid w:val="095E261D"/>
    <w:rsid w:val="0AC14147"/>
    <w:rsid w:val="0B6246A7"/>
    <w:rsid w:val="0B82360D"/>
    <w:rsid w:val="0BAF29F5"/>
    <w:rsid w:val="0C5B0590"/>
    <w:rsid w:val="0CFE1D4F"/>
    <w:rsid w:val="0D1417F1"/>
    <w:rsid w:val="0E263D7B"/>
    <w:rsid w:val="0E9719B1"/>
    <w:rsid w:val="0FCD3553"/>
    <w:rsid w:val="100E3363"/>
    <w:rsid w:val="10E42291"/>
    <w:rsid w:val="10EA7626"/>
    <w:rsid w:val="121572D4"/>
    <w:rsid w:val="124266AD"/>
    <w:rsid w:val="1358363C"/>
    <w:rsid w:val="14007076"/>
    <w:rsid w:val="146251B8"/>
    <w:rsid w:val="1527796B"/>
    <w:rsid w:val="153F0B5F"/>
    <w:rsid w:val="15532613"/>
    <w:rsid w:val="15AE7944"/>
    <w:rsid w:val="1627014C"/>
    <w:rsid w:val="181B2472"/>
    <w:rsid w:val="191602FC"/>
    <w:rsid w:val="19956994"/>
    <w:rsid w:val="19CD10AC"/>
    <w:rsid w:val="1BFF17CA"/>
    <w:rsid w:val="1D0C7C1D"/>
    <w:rsid w:val="1F173CCA"/>
    <w:rsid w:val="1F8154B7"/>
    <w:rsid w:val="233C481F"/>
    <w:rsid w:val="23CE48C5"/>
    <w:rsid w:val="24A5713F"/>
    <w:rsid w:val="25493204"/>
    <w:rsid w:val="25AB051B"/>
    <w:rsid w:val="25C258ED"/>
    <w:rsid w:val="25F91122"/>
    <w:rsid w:val="26143D45"/>
    <w:rsid w:val="27183191"/>
    <w:rsid w:val="27A446BF"/>
    <w:rsid w:val="28326BBC"/>
    <w:rsid w:val="29515B33"/>
    <w:rsid w:val="29DE5836"/>
    <w:rsid w:val="29DF5EBE"/>
    <w:rsid w:val="2C6852A9"/>
    <w:rsid w:val="2CFF3CFA"/>
    <w:rsid w:val="2D056F7F"/>
    <w:rsid w:val="2D4A5660"/>
    <w:rsid w:val="2DDB0C7A"/>
    <w:rsid w:val="2E5D1E96"/>
    <w:rsid w:val="2FB9638B"/>
    <w:rsid w:val="301B428D"/>
    <w:rsid w:val="30324515"/>
    <w:rsid w:val="3058422F"/>
    <w:rsid w:val="31982F1E"/>
    <w:rsid w:val="31E861CD"/>
    <w:rsid w:val="31EB3C0E"/>
    <w:rsid w:val="320079D3"/>
    <w:rsid w:val="32042C5A"/>
    <w:rsid w:val="32681EA9"/>
    <w:rsid w:val="33A830F7"/>
    <w:rsid w:val="343230D5"/>
    <w:rsid w:val="34AE2C51"/>
    <w:rsid w:val="35925B41"/>
    <w:rsid w:val="35D43824"/>
    <w:rsid w:val="36131837"/>
    <w:rsid w:val="36A55D30"/>
    <w:rsid w:val="36B322A6"/>
    <w:rsid w:val="36B4696E"/>
    <w:rsid w:val="37706068"/>
    <w:rsid w:val="37FB5F35"/>
    <w:rsid w:val="38231F83"/>
    <w:rsid w:val="38B52A55"/>
    <w:rsid w:val="38C60F1E"/>
    <w:rsid w:val="39072D82"/>
    <w:rsid w:val="39090B67"/>
    <w:rsid w:val="392351B0"/>
    <w:rsid w:val="39367CA0"/>
    <w:rsid w:val="3971469F"/>
    <w:rsid w:val="39FC36EA"/>
    <w:rsid w:val="3A596014"/>
    <w:rsid w:val="3A7A22BA"/>
    <w:rsid w:val="3AD16E6A"/>
    <w:rsid w:val="3C737CAE"/>
    <w:rsid w:val="3C927369"/>
    <w:rsid w:val="3CB42DEC"/>
    <w:rsid w:val="3D035E1D"/>
    <w:rsid w:val="3D2235D2"/>
    <w:rsid w:val="3DB80517"/>
    <w:rsid w:val="3DC0514D"/>
    <w:rsid w:val="3E1C107E"/>
    <w:rsid w:val="3E7E7E57"/>
    <w:rsid w:val="3EFA0F96"/>
    <w:rsid w:val="3F803C79"/>
    <w:rsid w:val="3F8A4E31"/>
    <w:rsid w:val="3FEB1BED"/>
    <w:rsid w:val="401E7BAC"/>
    <w:rsid w:val="403449D4"/>
    <w:rsid w:val="408B1DDF"/>
    <w:rsid w:val="40BA189B"/>
    <w:rsid w:val="431B51C5"/>
    <w:rsid w:val="43505326"/>
    <w:rsid w:val="442B07C6"/>
    <w:rsid w:val="44504EFA"/>
    <w:rsid w:val="44D63F0A"/>
    <w:rsid w:val="45250BF0"/>
    <w:rsid w:val="45C3727B"/>
    <w:rsid w:val="45C75D73"/>
    <w:rsid w:val="47AA6204"/>
    <w:rsid w:val="481513DF"/>
    <w:rsid w:val="488C3DC0"/>
    <w:rsid w:val="4AEE5CCD"/>
    <w:rsid w:val="4BDC5859"/>
    <w:rsid w:val="4C27240E"/>
    <w:rsid w:val="4ED106E1"/>
    <w:rsid w:val="4F0E1796"/>
    <w:rsid w:val="4FB50754"/>
    <w:rsid w:val="509B21CD"/>
    <w:rsid w:val="514E0197"/>
    <w:rsid w:val="51821F53"/>
    <w:rsid w:val="52001F63"/>
    <w:rsid w:val="53111D59"/>
    <w:rsid w:val="53342EB7"/>
    <w:rsid w:val="53485E2A"/>
    <w:rsid w:val="53586B17"/>
    <w:rsid w:val="55265A9F"/>
    <w:rsid w:val="55281BC2"/>
    <w:rsid w:val="56953069"/>
    <w:rsid w:val="57213F32"/>
    <w:rsid w:val="57411FD8"/>
    <w:rsid w:val="58D93C33"/>
    <w:rsid w:val="595262A4"/>
    <w:rsid w:val="5955323E"/>
    <w:rsid w:val="595F09EC"/>
    <w:rsid w:val="59687F11"/>
    <w:rsid w:val="59693254"/>
    <w:rsid w:val="5A56726E"/>
    <w:rsid w:val="5A7C25D0"/>
    <w:rsid w:val="5B5B0FE0"/>
    <w:rsid w:val="5C836EE1"/>
    <w:rsid w:val="5CAB616D"/>
    <w:rsid w:val="5D7E2D63"/>
    <w:rsid w:val="5DD35865"/>
    <w:rsid w:val="5E0A546C"/>
    <w:rsid w:val="5E7E6D93"/>
    <w:rsid w:val="5E8D7A75"/>
    <w:rsid w:val="5F5A5040"/>
    <w:rsid w:val="5F625DAF"/>
    <w:rsid w:val="62963DCD"/>
    <w:rsid w:val="629B7768"/>
    <w:rsid w:val="65C14135"/>
    <w:rsid w:val="663A4079"/>
    <w:rsid w:val="668374E2"/>
    <w:rsid w:val="66B66EE1"/>
    <w:rsid w:val="67AF0E52"/>
    <w:rsid w:val="67DD4AD2"/>
    <w:rsid w:val="692E1180"/>
    <w:rsid w:val="69516AB4"/>
    <w:rsid w:val="6A360608"/>
    <w:rsid w:val="6A765414"/>
    <w:rsid w:val="6BDA7F82"/>
    <w:rsid w:val="6BFC1EA4"/>
    <w:rsid w:val="6BFE59D2"/>
    <w:rsid w:val="6C065144"/>
    <w:rsid w:val="6D9200C5"/>
    <w:rsid w:val="6D966B3F"/>
    <w:rsid w:val="6E7217E9"/>
    <w:rsid w:val="6ED138EE"/>
    <w:rsid w:val="6F35349E"/>
    <w:rsid w:val="70413449"/>
    <w:rsid w:val="715642FE"/>
    <w:rsid w:val="71B06F8F"/>
    <w:rsid w:val="72356B79"/>
    <w:rsid w:val="72F736BF"/>
    <w:rsid w:val="74532253"/>
    <w:rsid w:val="747546DA"/>
    <w:rsid w:val="74E77D57"/>
    <w:rsid w:val="75AF5CB9"/>
    <w:rsid w:val="75F66B70"/>
    <w:rsid w:val="761D1777"/>
    <w:rsid w:val="78132BD0"/>
    <w:rsid w:val="784103D8"/>
    <w:rsid w:val="78465219"/>
    <w:rsid w:val="788B50FA"/>
    <w:rsid w:val="794964C4"/>
    <w:rsid w:val="7B1C7D07"/>
    <w:rsid w:val="7B991080"/>
    <w:rsid w:val="7BDA449E"/>
    <w:rsid w:val="7C0E376A"/>
    <w:rsid w:val="7C1F1F1D"/>
    <w:rsid w:val="7CCC3122"/>
    <w:rsid w:val="7CCD75E5"/>
    <w:rsid w:val="7D9A6CF6"/>
    <w:rsid w:val="7EF5607F"/>
    <w:rsid w:val="7FA0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qFormat="1" w:unhideWhenUsed="0" w:uiPriority="0" w:semiHidden="0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 w:cs="黑体" w:asciiTheme="minorAscii" w:hAnsiTheme="minorAscii"/>
      <w:kern w:val="44"/>
      <w:sz w:val="32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楷体"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</w:style>
  <w:style w:type="paragraph" w:styleId="5">
    <w:name w:val="Body Text"/>
    <w:basedOn w:val="1"/>
    <w:semiHidden/>
    <w:unhideWhenUsed/>
    <w:qFormat/>
    <w:uiPriority w:val="99"/>
    <w:pPr>
      <w:spacing w:after="120"/>
    </w:pPr>
    <w:rPr>
      <w:rFonts w:ascii="Calibri" w:hAnsi="Calibri" w:eastAsia="宋体" w:cs="黑体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2"/>
    <w:link w:val="7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5283</Words>
  <Characters>5673</Characters>
  <Lines>1</Lines>
  <Paragraphs>1</Paragraphs>
  <TotalTime>40</TotalTime>
  <ScaleCrop>false</ScaleCrop>
  <LinksUpToDate>false</LinksUpToDate>
  <CharactersWithSpaces>5830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2023-09-01T01:30:00Z</dcterms:created>
  <dc:creator>Administrator</dc:creator>
  <cp:lastModifiedBy>王来福</cp:lastModifiedBy>
  <dcterms:modified xsi:type="dcterms:W3CDTF">2023-09-14T10:47:40Z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54B247F92CE243748C5ED99159EA8F48_13</vt:lpwstr>
  </property>
</Properties>
</file>