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EC" w:rsidRDefault="002D65EC" w:rsidP="00264BF8">
      <w:pPr>
        <w:pStyle w:val="a3"/>
        <w:jc w:val="right"/>
        <w:rPr>
          <w:rFonts w:ascii="Arial" w:hAnsi="Arial" w:cs="Arial"/>
          <w:color w:val="222222"/>
          <w:sz w:val="18"/>
          <w:szCs w:val="18"/>
        </w:rPr>
      </w:pPr>
    </w:p>
    <w:p w:rsidR="002D65EC" w:rsidRPr="002D65EC" w:rsidRDefault="002D65EC" w:rsidP="002D65EC">
      <w:pPr>
        <w:pStyle w:val="a3"/>
        <w:jc w:val="center"/>
        <w:rPr>
          <w:rFonts w:asciiTheme="minorEastAsia" w:eastAsiaTheme="minorEastAsia" w:hAnsiTheme="minorEastAsia" w:cs="Arial"/>
          <w:b/>
          <w:color w:val="222222"/>
          <w:sz w:val="44"/>
          <w:szCs w:val="44"/>
        </w:rPr>
      </w:pPr>
      <w:r w:rsidRPr="002D65EC">
        <w:rPr>
          <w:rFonts w:asciiTheme="minorEastAsia" w:eastAsiaTheme="minorEastAsia" w:hAnsiTheme="minorEastAsia" w:cs="Arial" w:hint="eastAsia"/>
          <w:b/>
          <w:color w:val="222222"/>
          <w:sz w:val="44"/>
          <w:szCs w:val="44"/>
        </w:rPr>
        <w:t>201</w:t>
      </w:r>
      <w:r w:rsidR="00154733">
        <w:rPr>
          <w:rFonts w:asciiTheme="minorEastAsia" w:eastAsiaTheme="minorEastAsia" w:hAnsiTheme="minorEastAsia" w:cs="Arial"/>
          <w:b/>
          <w:color w:val="222222"/>
          <w:sz w:val="44"/>
          <w:szCs w:val="44"/>
        </w:rPr>
        <w:t>7</w:t>
      </w:r>
      <w:bookmarkStart w:id="0" w:name="_GoBack"/>
      <w:bookmarkEnd w:id="0"/>
      <w:r w:rsidRPr="002D65EC">
        <w:rPr>
          <w:rFonts w:asciiTheme="minorEastAsia" w:eastAsiaTheme="minorEastAsia" w:hAnsiTheme="minorEastAsia" w:cs="Arial" w:hint="eastAsia"/>
          <w:b/>
          <w:color w:val="222222"/>
          <w:sz w:val="44"/>
          <w:szCs w:val="44"/>
        </w:rPr>
        <w:t>年青岛仲裁委员会办公室</w:t>
      </w:r>
    </w:p>
    <w:p w:rsidR="002D65EC" w:rsidRPr="002D65EC" w:rsidRDefault="002D65EC" w:rsidP="002D65EC">
      <w:pPr>
        <w:pStyle w:val="a3"/>
        <w:jc w:val="center"/>
        <w:rPr>
          <w:rFonts w:asciiTheme="minorEastAsia" w:eastAsiaTheme="minorEastAsia" w:hAnsiTheme="minorEastAsia" w:cs="Arial"/>
          <w:b/>
          <w:color w:val="222222"/>
          <w:sz w:val="44"/>
          <w:szCs w:val="44"/>
        </w:rPr>
      </w:pPr>
      <w:r w:rsidRPr="002D65EC">
        <w:rPr>
          <w:rFonts w:asciiTheme="minorEastAsia" w:eastAsiaTheme="minorEastAsia" w:hAnsiTheme="minorEastAsia" w:cs="Arial" w:hint="eastAsia"/>
          <w:b/>
          <w:color w:val="222222"/>
          <w:sz w:val="44"/>
          <w:szCs w:val="44"/>
        </w:rPr>
        <w:t>政府信息公开工作年度报告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一、概述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根据《中华人民共和国政府信息公开条例》和《青岛市政府信息公开工作年度报告制度（试行）》等有关规定，特向社会公布201</w:t>
      </w:r>
      <w:r w:rsidR="001E608B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度本机关信息公开工作年度报告。本报告由概述、政府信息公开的组织领导和制度建设情况、发布解读、回应社会关切以及互动交流情况、主动公开政府信息以及公开平台建设情况、政府信息公开申请办理情况、政府信息公开收费及减免情况、因政府信息公开申请提起行政复议、行政诉讼的情况、政府信息公开保密审查及监督检查情况、政府信息公开工作存在的主要问题及改进情况、需要说明的事项与附表共十一个部分组成。本报告中所列数据的统计期限自201</w:t>
      </w:r>
      <w:r w:rsidR="001E608B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年1月1日起至20</w:t>
      </w:r>
      <w:r w:rsidR="001E608B">
        <w:rPr>
          <w:rFonts w:ascii="仿宋_GB2312" w:eastAsia="仿宋_GB2312" w:hAnsi="Arial" w:cs="Arial"/>
          <w:color w:val="222222"/>
          <w:sz w:val="32"/>
          <w:szCs w:val="32"/>
        </w:rPr>
        <w:t>17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12月31日止。本报告的电子版可在“青岛政务网”（www.qingdao.gov.cn）下载。如对本报告有任何疑问，请与青岛仲裁委员会办公室政府信息公开领导小组办公室联系（地址：香港中路18号福泰广场B座9层；邮编：266071电话：85768563；传真：85768556；电子邮箱：qdac1996@163.com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二、 政府信息公开的组织领导和制度建设情况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201</w:t>
      </w:r>
      <w:r w:rsidR="00177328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年，青岛仲裁委员会办公室认真贯彻实施《中华人民共和国政府信息公开条例》，按照《201</w:t>
      </w:r>
      <w:r w:rsidR="00177328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年青岛市政务公开工作要点》的统一要求，扎实开展政府信息公开工作。组织健全，制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lastRenderedPageBreak/>
        <w:t>度完备。多次利用主任办公会组织传达学习《中华人民共和国政府信息公开条例》以及市政府关于政务公开和政务服务工作的部署和要求。积极参加各种会议及培训，设立内部政务公开、受理投诉、监督查处等机制。调整充实了仲裁办政府信息公开工作机构及人员，由姜巧珍主任担任组长，秘书处为具体负责，指派专、专门负责进行信息上传工作和保密监督工作。建立完善了政务公开内部协调、保密审查，受理投诉、监督查处等制度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三、发布解读、回应社会关切以及互动交流情况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通过青岛政务网开展网络问政活动</w:t>
      </w:r>
      <w:r w:rsidR="00187F06">
        <w:rPr>
          <w:rFonts w:ascii="仿宋_GB2312" w:eastAsia="仿宋_GB2312" w:hAnsi="Arial" w:cs="Arial"/>
          <w:color w:val="222222"/>
          <w:sz w:val="32"/>
          <w:szCs w:val="32"/>
        </w:rPr>
        <w:t>2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次，解答有效提问和咨询</w:t>
      </w:r>
      <w:r w:rsidR="00727E27">
        <w:rPr>
          <w:rFonts w:ascii="仿宋_GB2312" w:eastAsia="仿宋_GB2312" w:hAnsi="Arial" w:cs="Arial" w:hint="eastAsia"/>
          <w:color w:val="222222"/>
          <w:sz w:val="32"/>
          <w:szCs w:val="32"/>
        </w:rPr>
        <w:t>42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件，答复率100%。按期完成“行风在线”电台直播节目。实施完成“民生在线”的网络直播活动，回复有效在线提问</w:t>
      </w:r>
      <w:r w:rsidR="00727E27">
        <w:rPr>
          <w:rFonts w:ascii="仿宋_GB2312" w:eastAsia="仿宋_GB2312" w:hAnsi="Arial" w:cs="Arial" w:hint="eastAsia"/>
          <w:color w:val="222222"/>
          <w:sz w:val="32"/>
          <w:szCs w:val="32"/>
        </w:rPr>
        <w:t>34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个，</w:t>
      </w:r>
      <w:r w:rsidR="00727E27">
        <w:rPr>
          <w:rFonts w:ascii="仿宋_GB2312" w:eastAsia="仿宋_GB2312" w:hAnsi="Arial" w:cs="Arial" w:hint="eastAsia"/>
          <w:color w:val="222222"/>
          <w:sz w:val="32"/>
          <w:szCs w:val="32"/>
        </w:rPr>
        <w:t>参与的网民23032人，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答复率100%</w:t>
      </w:r>
      <w:r w:rsidR="00727E27">
        <w:rPr>
          <w:rFonts w:ascii="仿宋_GB2312" w:eastAsia="仿宋_GB2312" w:hAnsi="Arial" w:cs="Arial" w:hint="eastAsia"/>
          <w:color w:val="222222"/>
          <w:sz w:val="32"/>
          <w:szCs w:val="32"/>
        </w:rPr>
        <w:t>。通过微博、微信和电子信箱等方式计200余次与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网民进行互动交流，跟踪网络舆情，及时回复当事人关切收到良好效果。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四、主动公开政府信息以及公开平台建设情况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</w:t>
      </w:r>
      <w:r w:rsidR="00130127"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通过青岛政务网公开发布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机构信息1篇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，公文法规1篇，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规划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、计划信息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3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篇，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财政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、财务信息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1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2条，人事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任免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1篇，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工作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动态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37篇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，年度工作报告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1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篇，不予公开目录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1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篇，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及时反映了我办工作。开设微信公众号、重新修订青岛仲裁网版面，完善仲裁员信息检索，增加仲裁员在线办案系统、会议报名系统、鉴定机构栏目等。针对《网上服务绩效第三方评估点评报告》提出的问题，查漏补缺，加强基础性业务和信息资源梳理，完善优化政府信息公开目录，提升信息公开水平。201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年，青岛仲裁微信公众号发布信息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69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条，青岛仲裁网上传仲裁动态近300条，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lastRenderedPageBreak/>
        <w:t>其本会动态</w:t>
      </w:r>
      <w:r w:rsidR="00130127">
        <w:rPr>
          <w:rFonts w:ascii="仿宋_GB2312" w:eastAsia="仿宋_GB2312" w:hAnsi="Arial" w:cs="Arial" w:hint="eastAsia"/>
          <w:color w:val="222222"/>
          <w:sz w:val="32"/>
          <w:szCs w:val="32"/>
        </w:rPr>
        <w:t>91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条，图片9</w:t>
      </w:r>
      <w:r w:rsidR="00130127">
        <w:rPr>
          <w:rFonts w:ascii="仿宋_GB2312" w:eastAsia="仿宋_GB2312" w:hAnsi="Arial" w:cs="Arial"/>
          <w:color w:val="222222"/>
          <w:sz w:val="32"/>
          <w:szCs w:val="32"/>
        </w:rPr>
        <w:t>2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张。网站的点击量日均300多次，在全国仲裁专业网站中稳居前列。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五、政府信息公开申请办理情况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建立和完善“依申请公开”工作机制，完成了网络、现场两种模式的受理、办理及反馈工作。确定仲裁立案大厅为现场受理“依申请公开”场所，并指定一台外网微机为政务公开信息查阅微机，对工作人员进行了培训，使之熟练掌握上网程序协助当事人查阅信息公开内容。201</w:t>
      </w:r>
      <w:r w:rsidR="00187F06">
        <w:rPr>
          <w:rFonts w:ascii="仿宋_GB2312" w:eastAsia="仿宋_GB2312" w:hAnsi="Arial" w:cs="Arial"/>
          <w:color w:val="222222"/>
          <w:sz w:val="32"/>
          <w:szCs w:val="32"/>
        </w:rPr>
        <w:t>7</w:t>
      </w: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>年无依申请公开政府信息情况。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六、政府信息公开收费及减免情况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01074C">
        <w:rPr>
          <w:rFonts w:ascii="仿宋_GB2312" w:eastAsia="仿宋_GB2312" w:hAnsi="Arial" w:cs="Arial" w:hint="eastAsia"/>
          <w:color w:val="222222"/>
          <w:sz w:val="32"/>
          <w:szCs w:val="32"/>
        </w:rPr>
        <w:t>无</w:t>
      </w:r>
      <w:r w:rsidR="0001074C">
        <w:rPr>
          <w:rFonts w:ascii="仿宋_GB2312" w:eastAsia="仿宋_GB2312" w:hAnsi="Arial" w:cs="Arial" w:hint="eastAsia"/>
          <w:color w:val="222222"/>
          <w:sz w:val="32"/>
          <w:szCs w:val="32"/>
        </w:rPr>
        <w:t>。</w:t>
      </w:r>
      <w:r w:rsidRPr="0001074C">
        <w:rPr>
          <w:rFonts w:ascii="仿宋_GB2312" w:eastAsia="仿宋_GB2312" w:hAnsi="Arial" w:cs="Arial" w:hint="eastAsia"/>
          <w:color w:val="222222"/>
          <w:sz w:val="32"/>
          <w:szCs w:val="32"/>
        </w:rPr>
        <w:tab/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 xml:space="preserve">　　七、因政府信息公开申请提起行政复议、行政诉讼的情况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01074C">
        <w:rPr>
          <w:rFonts w:ascii="仿宋_GB2312" w:eastAsia="仿宋_GB2312" w:hAnsi="Arial" w:cs="Arial" w:hint="eastAsia"/>
          <w:color w:val="222222"/>
          <w:sz w:val="32"/>
          <w:szCs w:val="32"/>
        </w:rPr>
        <w:t>无</w:t>
      </w:r>
      <w:r w:rsidR="0001074C">
        <w:rPr>
          <w:rFonts w:ascii="仿宋_GB2312" w:eastAsia="仿宋_GB2312" w:hAnsi="Arial" w:cs="Arial" w:hint="eastAsia"/>
          <w:color w:val="222222"/>
          <w:sz w:val="32"/>
          <w:szCs w:val="32"/>
        </w:rPr>
        <w:t>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八、</w:t>
      </w:r>
      <w:r w:rsidRPr="0001074C">
        <w:rPr>
          <w:rFonts w:ascii="仿宋_GB2312" w:eastAsia="仿宋_GB2312" w:hAnsi="Arial" w:cs="Arial" w:hint="eastAsia"/>
          <w:color w:val="222222"/>
          <w:sz w:val="32"/>
          <w:szCs w:val="32"/>
        </w:rPr>
        <w:t>政府</w:t>
      </w: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信息公开保密审查及监督检查情况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积极开展互联网网站安全专项整治行动。认真落实互联网网站安全责任，建立完善网站安全保护工作机制，按照工作人员、处长、分管领导三级审核机制，确保政务信息公开及时、正确，没有发生失泄密事件的发生。制定网站安全应急处置预案，不断增强安全技术防范能力，确保国家秘密安全。年内接受市保密局检查，总评优秀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九、工作存在的主要问题和改进情况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t xml:space="preserve">　　一是对政务信息公开的人力和物力投入有待加强。二是运用政务信息公开、微博微信、新闻发布平台宣传仲裁法律知识的深度和广度有待加强。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十、其他需要报告的事项</w:t>
      </w:r>
    </w:p>
    <w:p w:rsidR="002D65EC" w:rsidRPr="002D65EC" w:rsidRDefault="002D65EC" w:rsidP="0001074C">
      <w:pPr>
        <w:pStyle w:val="a3"/>
        <w:spacing w:before="0" w:beforeAutospacing="0" w:after="0" w:afterAutospacing="0" w:line="560" w:lineRule="exact"/>
        <w:jc w:val="both"/>
        <w:rPr>
          <w:rFonts w:ascii="仿宋_GB2312" w:eastAsia="仿宋_GB2312" w:hAnsi="Arial" w:cs="Arial"/>
          <w:color w:val="222222"/>
          <w:sz w:val="32"/>
          <w:szCs w:val="32"/>
        </w:rPr>
      </w:pPr>
      <w:r w:rsidRPr="002D65EC">
        <w:rPr>
          <w:rFonts w:ascii="仿宋_GB2312" w:eastAsia="仿宋_GB2312" w:hAnsi="Arial" w:cs="Arial" w:hint="eastAsia"/>
          <w:color w:val="222222"/>
          <w:sz w:val="32"/>
          <w:szCs w:val="32"/>
        </w:rPr>
        <w:lastRenderedPageBreak/>
        <w:t xml:space="preserve">　　无需要报告的事项。</w:t>
      </w:r>
    </w:p>
    <w:p w:rsidR="002D65EC" w:rsidRPr="0001074C" w:rsidRDefault="002D65EC" w:rsidP="0001074C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cs="Arial"/>
          <w:color w:val="222222"/>
          <w:sz w:val="32"/>
          <w:szCs w:val="32"/>
        </w:rPr>
      </w:pPr>
      <w:r w:rsidRPr="0001074C">
        <w:rPr>
          <w:rFonts w:ascii="黑体" w:eastAsia="黑体" w:hAnsi="黑体" w:cs="Arial" w:hint="eastAsia"/>
          <w:color w:val="222222"/>
          <w:sz w:val="32"/>
          <w:szCs w:val="32"/>
        </w:rPr>
        <w:t>十一、附表</w:t>
      </w:r>
    </w:p>
    <w:p w:rsidR="00131932" w:rsidRPr="002D65EC" w:rsidRDefault="00131932" w:rsidP="0001074C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131932" w:rsidRPr="002D65EC" w:rsidSect="002D65EC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4B2" w:rsidRDefault="007C04B2" w:rsidP="00264BF8">
      <w:r>
        <w:separator/>
      </w:r>
    </w:p>
  </w:endnote>
  <w:endnote w:type="continuationSeparator" w:id="0">
    <w:p w:rsidR="007C04B2" w:rsidRDefault="007C04B2" w:rsidP="0026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4B2" w:rsidRDefault="007C04B2" w:rsidP="00264BF8">
      <w:r>
        <w:separator/>
      </w:r>
    </w:p>
  </w:footnote>
  <w:footnote w:type="continuationSeparator" w:id="0">
    <w:p w:rsidR="007C04B2" w:rsidRDefault="007C04B2" w:rsidP="00264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EC"/>
    <w:rsid w:val="0001074C"/>
    <w:rsid w:val="00130127"/>
    <w:rsid w:val="00131932"/>
    <w:rsid w:val="00154733"/>
    <w:rsid w:val="00177328"/>
    <w:rsid w:val="00187F06"/>
    <w:rsid w:val="001E608B"/>
    <w:rsid w:val="00264BF8"/>
    <w:rsid w:val="002D65EC"/>
    <w:rsid w:val="00316B3A"/>
    <w:rsid w:val="00727E27"/>
    <w:rsid w:val="007C04B2"/>
    <w:rsid w:val="00A3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508255-931F-4431-8BB1-EF9D5617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5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64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4B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4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4BF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547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54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DAE9-1207-46F1-A0B4-7FB09A8A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2018-01-26T07:40:00Z</cp:lastPrinted>
  <dcterms:created xsi:type="dcterms:W3CDTF">2018-01-26T01:23:00Z</dcterms:created>
  <dcterms:modified xsi:type="dcterms:W3CDTF">2018-01-26T07:40:00Z</dcterms:modified>
</cp:coreProperties>
</file>