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740" w:rsidRPr="00253B59" w:rsidRDefault="006F5740" w:rsidP="006F5740">
      <w:pPr>
        <w:adjustRightInd w:val="0"/>
        <w:snapToGrid w:val="0"/>
        <w:jc w:val="center"/>
        <w:rPr>
          <w:rFonts w:ascii="方正小标宋_GBK" w:eastAsia="方正小标宋_GBK" w:hAnsi="方正小标宋_GBK" w:cs="方正小标宋_GBK"/>
          <w:color w:val="000000" w:themeColor="text1"/>
          <w:sz w:val="44"/>
          <w:szCs w:val="44"/>
        </w:rPr>
      </w:pPr>
      <w:r w:rsidRPr="00253B59">
        <w:rPr>
          <w:rFonts w:ascii="方正小标宋_GBK" w:eastAsia="方正小标宋_GBK" w:hAnsi="方正小标宋_GBK" w:cs="方正小标宋_GBK" w:hint="eastAsia"/>
          <w:color w:val="000000" w:themeColor="text1"/>
          <w:sz w:val="44"/>
          <w:szCs w:val="44"/>
        </w:rPr>
        <w:t>2021年度市直单位业务目标</w:t>
      </w:r>
      <w:bookmarkStart w:id="0" w:name="_GoBack"/>
      <w:bookmarkEnd w:id="0"/>
    </w:p>
    <w:p w:rsidR="00FD32FE" w:rsidRPr="00BB24DA" w:rsidRDefault="00F842AD" w:rsidP="00BB24DA">
      <w:pPr>
        <w:snapToGrid w:val="0"/>
        <w:spacing w:line="300" w:lineRule="auto"/>
        <w:rPr>
          <w:rFonts w:ascii="楷体_GB2312" w:eastAsia="楷体_GB2312"/>
          <w:color w:val="000000" w:themeColor="text1"/>
          <w:sz w:val="28"/>
          <w:szCs w:val="28"/>
        </w:rPr>
      </w:pPr>
      <w:r w:rsidRPr="00253B59">
        <w:rPr>
          <w:rFonts w:ascii="楷体_GB2312" w:eastAsia="楷体_GB2312" w:hint="eastAsia"/>
          <w:color w:val="000000" w:themeColor="text1"/>
          <w:sz w:val="28"/>
          <w:szCs w:val="28"/>
        </w:rPr>
        <w:t>单位</w:t>
      </w:r>
      <w:r w:rsidR="00940A66" w:rsidRPr="00253B59">
        <w:rPr>
          <w:rFonts w:ascii="楷体_GB2312" w:eastAsia="楷体_GB2312" w:hint="eastAsia"/>
          <w:color w:val="000000" w:themeColor="text1"/>
          <w:sz w:val="28"/>
          <w:szCs w:val="28"/>
        </w:rPr>
        <w:t>名称：</w:t>
      </w:r>
      <w:r w:rsidRPr="00253B59">
        <w:rPr>
          <w:rFonts w:ascii="楷体_GB2312" w:eastAsia="楷体_GB2312" w:hint="eastAsia"/>
          <w:color w:val="000000" w:themeColor="text1"/>
          <w:sz w:val="28"/>
          <w:szCs w:val="28"/>
        </w:rPr>
        <w:t>市应急局</w:t>
      </w:r>
      <w:r w:rsidR="00940A66" w:rsidRPr="00253B59">
        <w:rPr>
          <w:rFonts w:ascii="楷体_GB2312" w:eastAsia="楷体_GB2312" w:hint="eastAsia"/>
          <w:color w:val="000000" w:themeColor="text1"/>
          <w:sz w:val="28"/>
          <w:szCs w:val="28"/>
        </w:rPr>
        <w:t xml:space="preserve">       </w:t>
      </w:r>
      <w:r w:rsidRPr="00253B59">
        <w:rPr>
          <w:rFonts w:ascii="楷体_GB2312" w:eastAsia="楷体_GB2312" w:hint="eastAsia"/>
          <w:color w:val="000000" w:themeColor="text1"/>
          <w:sz w:val="28"/>
          <w:szCs w:val="28"/>
        </w:rPr>
        <w:t>主要负责人：</w:t>
      </w:r>
      <w:r w:rsidR="001D74BE" w:rsidRPr="00253B59">
        <w:rPr>
          <w:rFonts w:ascii="楷体_GB2312" w:eastAsia="楷体_GB2312" w:hint="eastAsia"/>
          <w:color w:val="000000" w:themeColor="text1"/>
          <w:sz w:val="28"/>
          <w:szCs w:val="28"/>
        </w:rPr>
        <w:t>潘思晓</w:t>
      </w:r>
      <w:r w:rsidR="00BB0976" w:rsidRPr="00253B59">
        <w:rPr>
          <w:rFonts w:ascii="楷体_GB2312" w:eastAsia="楷体_GB2312" w:hint="eastAsia"/>
          <w:color w:val="000000" w:themeColor="text1"/>
          <w:sz w:val="28"/>
          <w:szCs w:val="28"/>
        </w:rPr>
        <w:t xml:space="preserve">  </w:t>
      </w:r>
      <w:r w:rsidR="00940A66" w:rsidRPr="00253B59">
        <w:rPr>
          <w:rFonts w:ascii="楷体_GB2312" w:eastAsia="楷体_GB2312" w:hint="eastAsia"/>
          <w:color w:val="000000" w:themeColor="text1"/>
          <w:sz w:val="28"/>
          <w:szCs w:val="28"/>
        </w:rPr>
        <w:t xml:space="preserve">  联系人：</w:t>
      </w:r>
      <w:r w:rsidR="001D74BE" w:rsidRPr="00253B59">
        <w:rPr>
          <w:rFonts w:ascii="楷体_GB2312" w:eastAsia="楷体_GB2312" w:hint="eastAsia"/>
          <w:color w:val="000000" w:themeColor="text1"/>
          <w:sz w:val="28"/>
          <w:szCs w:val="28"/>
        </w:rPr>
        <w:t>赵作河</w:t>
      </w:r>
      <w:r w:rsidR="001F0AB2" w:rsidRPr="00253B59">
        <w:rPr>
          <w:rFonts w:ascii="楷体_GB2312" w:eastAsia="楷体_GB2312" w:hint="eastAsia"/>
          <w:color w:val="000000" w:themeColor="text1"/>
          <w:sz w:val="28"/>
          <w:szCs w:val="28"/>
        </w:rPr>
        <w:t xml:space="preserve">     联系电话：</w:t>
      </w:r>
      <w:r w:rsidR="001D74BE" w:rsidRPr="00253B59">
        <w:rPr>
          <w:rFonts w:ascii="楷体_GB2312" w:eastAsia="楷体_GB2312" w:hint="eastAsia"/>
          <w:color w:val="000000" w:themeColor="text1"/>
          <w:sz w:val="28"/>
          <w:szCs w:val="28"/>
        </w:rPr>
        <w:t>15898886268</w:t>
      </w:r>
    </w:p>
    <w:tbl>
      <w:tblPr>
        <w:tblW w:w="1443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0"/>
        <w:gridCol w:w="560"/>
        <w:gridCol w:w="2791"/>
        <w:gridCol w:w="10521"/>
      </w:tblGrid>
      <w:tr w:rsidR="00FD32FE" w:rsidTr="00FD32FE">
        <w:trPr>
          <w:trHeight w:val="169"/>
          <w:tblHeader/>
          <w:jc w:val="center"/>
        </w:trPr>
        <w:tc>
          <w:tcPr>
            <w:tcW w:w="560" w:type="dxa"/>
            <w:vAlign w:val="center"/>
          </w:tcPr>
          <w:p w:rsidR="00FD32FE" w:rsidRDefault="00FD32FE" w:rsidP="00775914">
            <w:pPr>
              <w:adjustRightInd w:val="0"/>
              <w:snapToGrid w:val="0"/>
              <w:jc w:val="center"/>
              <w:rPr>
                <w:rFonts w:eastAsia="黑体"/>
                <w:sz w:val="28"/>
                <w:szCs w:val="28"/>
              </w:rPr>
            </w:pPr>
            <w:r>
              <w:rPr>
                <w:rFonts w:eastAsia="黑体" w:hint="eastAsia"/>
                <w:sz w:val="28"/>
                <w:szCs w:val="28"/>
              </w:rPr>
              <w:t>类别</w:t>
            </w:r>
          </w:p>
        </w:tc>
        <w:tc>
          <w:tcPr>
            <w:tcW w:w="560" w:type="dxa"/>
            <w:vAlign w:val="center"/>
          </w:tcPr>
          <w:p w:rsidR="00FD32FE" w:rsidRDefault="00FD32FE" w:rsidP="00775914">
            <w:pPr>
              <w:adjustRightInd w:val="0"/>
              <w:snapToGrid w:val="0"/>
              <w:jc w:val="center"/>
              <w:rPr>
                <w:rFonts w:eastAsia="黑体"/>
                <w:sz w:val="28"/>
                <w:szCs w:val="28"/>
              </w:rPr>
            </w:pPr>
            <w:r>
              <w:rPr>
                <w:rFonts w:eastAsia="黑体" w:hint="eastAsia"/>
                <w:sz w:val="28"/>
                <w:szCs w:val="28"/>
              </w:rPr>
              <w:t>序号</w:t>
            </w:r>
          </w:p>
        </w:tc>
        <w:tc>
          <w:tcPr>
            <w:tcW w:w="2791" w:type="dxa"/>
            <w:vAlign w:val="center"/>
          </w:tcPr>
          <w:p w:rsidR="00FD32FE" w:rsidRDefault="00FD32FE" w:rsidP="00775914">
            <w:pPr>
              <w:adjustRightInd w:val="0"/>
              <w:snapToGrid w:val="0"/>
              <w:jc w:val="center"/>
              <w:rPr>
                <w:rFonts w:eastAsia="黑体"/>
                <w:sz w:val="28"/>
                <w:szCs w:val="28"/>
              </w:rPr>
            </w:pPr>
            <w:r>
              <w:rPr>
                <w:rFonts w:eastAsia="黑体" w:hint="eastAsia"/>
                <w:sz w:val="28"/>
                <w:szCs w:val="28"/>
              </w:rPr>
              <w:t>目标名称</w:t>
            </w:r>
          </w:p>
        </w:tc>
        <w:tc>
          <w:tcPr>
            <w:tcW w:w="10521" w:type="dxa"/>
            <w:vAlign w:val="center"/>
          </w:tcPr>
          <w:p w:rsidR="00FD32FE" w:rsidRDefault="00FD32FE" w:rsidP="00775914">
            <w:pPr>
              <w:adjustRightInd w:val="0"/>
              <w:snapToGrid w:val="0"/>
              <w:jc w:val="center"/>
              <w:rPr>
                <w:rFonts w:eastAsia="黑体"/>
                <w:sz w:val="28"/>
                <w:szCs w:val="28"/>
              </w:rPr>
            </w:pPr>
            <w:r>
              <w:rPr>
                <w:rFonts w:eastAsia="黑体" w:hint="eastAsia"/>
                <w:sz w:val="28"/>
                <w:szCs w:val="28"/>
              </w:rPr>
              <w:t>目标内容</w:t>
            </w:r>
          </w:p>
        </w:tc>
      </w:tr>
      <w:tr w:rsidR="00FD32FE" w:rsidTr="00B124DC">
        <w:trPr>
          <w:cantSplit/>
          <w:trHeight w:val="1491"/>
          <w:jc w:val="center"/>
        </w:trPr>
        <w:tc>
          <w:tcPr>
            <w:tcW w:w="560" w:type="dxa"/>
            <w:vMerge w:val="restart"/>
            <w:vAlign w:val="center"/>
          </w:tcPr>
          <w:p w:rsidR="00FD32FE" w:rsidRDefault="00FD32FE" w:rsidP="00775914">
            <w:pPr>
              <w:spacing w:line="0" w:lineRule="atLeast"/>
              <w:jc w:val="center"/>
              <w:rPr>
                <w:rFonts w:ascii="楷体_GB2312" w:eastAsia="楷体_GB2312" w:hAnsi="宋体"/>
                <w:sz w:val="24"/>
              </w:rPr>
            </w:pPr>
            <w:r>
              <w:rPr>
                <w:rFonts w:ascii="楷体_GB2312" w:eastAsia="楷体_GB2312" w:hAnsi="宋体" w:hint="eastAsia"/>
                <w:kern w:val="0"/>
                <w:sz w:val="24"/>
              </w:rPr>
              <w:t>重点目标</w:t>
            </w:r>
          </w:p>
        </w:tc>
        <w:tc>
          <w:tcPr>
            <w:tcW w:w="560" w:type="dxa"/>
            <w:vAlign w:val="center"/>
          </w:tcPr>
          <w:p w:rsidR="00FD32FE" w:rsidRPr="00253B59" w:rsidRDefault="00FD32FE" w:rsidP="00775914">
            <w:pPr>
              <w:spacing w:line="320" w:lineRule="exact"/>
              <w:jc w:val="center"/>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1</w:t>
            </w:r>
          </w:p>
        </w:tc>
        <w:tc>
          <w:tcPr>
            <w:tcW w:w="2791" w:type="dxa"/>
            <w:vAlign w:val="center"/>
          </w:tcPr>
          <w:p w:rsidR="00FD32FE" w:rsidRPr="00253B59" w:rsidRDefault="00FD32FE" w:rsidP="00775914">
            <w:pPr>
              <w:spacing w:line="320" w:lineRule="exact"/>
              <w:jc w:val="left"/>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组织开展安全生产大排查大整治</w:t>
            </w:r>
          </w:p>
        </w:tc>
        <w:tc>
          <w:tcPr>
            <w:tcW w:w="10521" w:type="dxa"/>
            <w:vAlign w:val="center"/>
          </w:tcPr>
          <w:p w:rsidR="00FD32FE" w:rsidRPr="00253B59" w:rsidRDefault="00FD32FE" w:rsidP="00775914">
            <w:pPr>
              <w:spacing w:line="320" w:lineRule="exact"/>
              <w:ind w:firstLineChars="200" w:firstLine="560"/>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落实主管部门监管责任和企业主体责任，制定印发《青岛市生产经营单位全员安全生产责任清单》。持续开展安全生产专项整治三年行动。抓好风险隐患双重预防体系建设，深化危险化学品、非煤矿山等重点行业领域安全生产专项整治。加强安全生产教育培训和警示教育，实行安全隐患公众有奖举报。加强防灾减灾救灾能力建设。</w:t>
            </w:r>
          </w:p>
        </w:tc>
      </w:tr>
      <w:tr w:rsidR="00FD32FE" w:rsidTr="00B124DC">
        <w:trPr>
          <w:cantSplit/>
          <w:trHeight w:val="1414"/>
          <w:jc w:val="center"/>
        </w:trPr>
        <w:tc>
          <w:tcPr>
            <w:tcW w:w="560" w:type="dxa"/>
            <w:vMerge/>
            <w:vAlign w:val="center"/>
          </w:tcPr>
          <w:p w:rsidR="00FD32FE" w:rsidRDefault="00FD32FE" w:rsidP="00775914">
            <w:pPr>
              <w:spacing w:line="260" w:lineRule="exact"/>
              <w:jc w:val="center"/>
              <w:rPr>
                <w:rFonts w:ascii="楷体_GB2312" w:eastAsia="楷体_GB2312" w:hAnsi="宋体"/>
                <w:sz w:val="28"/>
                <w:szCs w:val="28"/>
              </w:rPr>
            </w:pPr>
          </w:p>
        </w:tc>
        <w:tc>
          <w:tcPr>
            <w:tcW w:w="560" w:type="dxa"/>
            <w:vAlign w:val="center"/>
          </w:tcPr>
          <w:p w:rsidR="00FD32FE" w:rsidRPr="00253B59" w:rsidRDefault="00FD32FE" w:rsidP="00775914">
            <w:pPr>
              <w:spacing w:line="320" w:lineRule="exact"/>
              <w:jc w:val="center"/>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2</w:t>
            </w:r>
          </w:p>
        </w:tc>
        <w:tc>
          <w:tcPr>
            <w:tcW w:w="2791" w:type="dxa"/>
            <w:vAlign w:val="center"/>
          </w:tcPr>
          <w:p w:rsidR="00FD32FE" w:rsidRPr="00253B59" w:rsidRDefault="00FD32FE" w:rsidP="00775914">
            <w:pPr>
              <w:spacing w:line="320" w:lineRule="exact"/>
              <w:jc w:val="left"/>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做好森林防火、防汛抗旱工作</w:t>
            </w:r>
          </w:p>
        </w:tc>
        <w:tc>
          <w:tcPr>
            <w:tcW w:w="10521" w:type="dxa"/>
            <w:vAlign w:val="center"/>
          </w:tcPr>
          <w:p w:rsidR="00FD32FE" w:rsidRPr="00253B59" w:rsidRDefault="00FD32FE" w:rsidP="00775914">
            <w:pPr>
              <w:spacing w:line="320" w:lineRule="exact"/>
              <w:ind w:firstLineChars="200" w:firstLine="560"/>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健全森林火灾应急响应工作机制。编制《青岛市森林火灾应急响应工作手册》；制定市森防指办公室日常工作、市森林火灾分级应急响应工作流程图。修订完善《青岛市防汛抗旱应急预案》，进一步补充完善预案内容，优化市防汛抗旱指挥部指挥体制和运行机制。</w:t>
            </w:r>
          </w:p>
        </w:tc>
      </w:tr>
      <w:tr w:rsidR="00FD32FE" w:rsidTr="00B72201">
        <w:trPr>
          <w:cantSplit/>
          <w:trHeight w:val="985"/>
          <w:jc w:val="center"/>
        </w:trPr>
        <w:tc>
          <w:tcPr>
            <w:tcW w:w="560" w:type="dxa"/>
            <w:vMerge/>
            <w:vAlign w:val="center"/>
          </w:tcPr>
          <w:p w:rsidR="00FD32FE" w:rsidRDefault="00FD32FE" w:rsidP="00775914">
            <w:pPr>
              <w:spacing w:line="260" w:lineRule="exact"/>
              <w:jc w:val="center"/>
              <w:rPr>
                <w:rFonts w:ascii="楷体_GB2312" w:eastAsia="楷体_GB2312" w:hAnsi="宋体"/>
                <w:sz w:val="28"/>
                <w:szCs w:val="28"/>
              </w:rPr>
            </w:pPr>
          </w:p>
        </w:tc>
        <w:tc>
          <w:tcPr>
            <w:tcW w:w="560" w:type="dxa"/>
            <w:vAlign w:val="center"/>
          </w:tcPr>
          <w:p w:rsidR="00FD32FE" w:rsidRPr="00253B59" w:rsidRDefault="00FD32FE" w:rsidP="00775914">
            <w:pPr>
              <w:spacing w:line="320" w:lineRule="exact"/>
              <w:jc w:val="center"/>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3</w:t>
            </w:r>
          </w:p>
        </w:tc>
        <w:tc>
          <w:tcPr>
            <w:tcW w:w="2791" w:type="dxa"/>
            <w:vAlign w:val="center"/>
          </w:tcPr>
          <w:p w:rsidR="00FD32FE" w:rsidRPr="00253B59" w:rsidRDefault="00FD32FE" w:rsidP="00775914">
            <w:pPr>
              <w:spacing w:line="320" w:lineRule="exact"/>
              <w:jc w:val="left"/>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加强应急管理和突发事件预警信息发布</w:t>
            </w:r>
          </w:p>
        </w:tc>
        <w:tc>
          <w:tcPr>
            <w:tcW w:w="10521" w:type="dxa"/>
            <w:vAlign w:val="center"/>
          </w:tcPr>
          <w:p w:rsidR="00FD32FE" w:rsidRPr="00253B59" w:rsidRDefault="00FD32FE" w:rsidP="00775914">
            <w:pPr>
              <w:spacing w:line="320" w:lineRule="exact"/>
              <w:ind w:firstLineChars="200" w:firstLine="560"/>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协调推进市级突发事件预警发布中心试运行工作，初步实现预警信息统一发布功能。完善信息模板，规范工作流程，推进应急值守制度化标准化规范化建设。</w:t>
            </w:r>
          </w:p>
        </w:tc>
      </w:tr>
      <w:tr w:rsidR="00FD32FE" w:rsidTr="00B72201">
        <w:trPr>
          <w:cantSplit/>
          <w:trHeight w:val="2616"/>
          <w:jc w:val="center"/>
        </w:trPr>
        <w:tc>
          <w:tcPr>
            <w:tcW w:w="560" w:type="dxa"/>
            <w:vMerge/>
            <w:vAlign w:val="center"/>
          </w:tcPr>
          <w:p w:rsidR="00FD32FE" w:rsidRDefault="00FD32FE" w:rsidP="00775914">
            <w:pPr>
              <w:spacing w:line="260" w:lineRule="exact"/>
              <w:jc w:val="center"/>
              <w:rPr>
                <w:rFonts w:ascii="楷体_GB2312" w:eastAsia="楷体_GB2312" w:hAnsi="宋体"/>
                <w:sz w:val="28"/>
                <w:szCs w:val="28"/>
              </w:rPr>
            </w:pPr>
          </w:p>
        </w:tc>
        <w:tc>
          <w:tcPr>
            <w:tcW w:w="560" w:type="dxa"/>
            <w:vAlign w:val="center"/>
          </w:tcPr>
          <w:p w:rsidR="00FD32FE" w:rsidRPr="00253B59" w:rsidRDefault="00FD32FE" w:rsidP="00775914">
            <w:pPr>
              <w:spacing w:line="320" w:lineRule="exact"/>
              <w:jc w:val="center"/>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4</w:t>
            </w:r>
          </w:p>
        </w:tc>
        <w:tc>
          <w:tcPr>
            <w:tcW w:w="2791" w:type="dxa"/>
            <w:vAlign w:val="center"/>
          </w:tcPr>
          <w:p w:rsidR="00FD32FE" w:rsidRPr="00253B59" w:rsidRDefault="00FD32FE" w:rsidP="00775914">
            <w:pPr>
              <w:spacing w:line="320" w:lineRule="exact"/>
              <w:jc w:val="left"/>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开展“青岛市第一次全国自然灾害综合风险普查”工作</w:t>
            </w:r>
          </w:p>
        </w:tc>
        <w:tc>
          <w:tcPr>
            <w:tcW w:w="10521" w:type="dxa"/>
            <w:vAlign w:val="center"/>
          </w:tcPr>
          <w:p w:rsidR="00FD32FE" w:rsidRPr="00253B59" w:rsidRDefault="00FD32FE" w:rsidP="00775914">
            <w:pPr>
              <w:spacing w:line="320" w:lineRule="exact"/>
              <w:ind w:firstLineChars="200" w:firstLine="560"/>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督导协调青岛市第一次全国自然灾害综合风险普查领导小组各成员单位和各区市，完成全市6类主要灾害(地震灾害、地质灾害、气象灾害、水旱灾害、森林火灾、海洋灾害)、6类承灾体（房屋建筑、交通运输设施、市政设施、公共服务系统、危险化学品企业、非煤矿山）、历史年度自然灾害灾情和综合减灾能力的调查。完成全市应急系统任务（公共服务系统、危险化学品企业、非煤矿山等承灾体，历史年度自然灾害灾情和综合减灾能力）清查和调查数据成果的质量审核与汇交。组织完成市级政府部门灾害管理能力、市级认定的应急避难场所、物资储备库和社会组织的减灾能力调查。</w:t>
            </w:r>
          </w:p>
        </w:tc>
      </w:tr>
      <w:tr w:rsidR="00FD32FE" w:rsidTr="003F11AC">
        <w:trPr>
          <w:cantSplit/>
          <w:trHeight w:val="1788"/>
          <w:jc w:val="center"/>
        </w:trPr>
        <w:tc>
          <w:tcPr>
            <w:tcW w:w="560" w:type="dxa"/>
            <w:vMerge/>
            <w:vAlign w:val="center"/>
          </w:tcPr>
          <w:p w:rsidR="00FD32FE" w:rsidRDefault="00FD32FE" w:rsidP="00775914">
            <w:pPr>
              <w:spacing w:line="260" w:lineRule="exact"/>
              <w:jc w:val="center"/>
              <w:rPr>
                <w:rFonts w:ascii="楷体_GB2312" w:eastAsia="楷体_GB2312" w:hAnsi="宋体"/>
                <w:sz w:val="28"/>
                <w:szCs w:val="28"/>
              </w:rPr>
            </w:pPr>
          </w:p>
        </w:tc>
        <w:tc>
          <w:tcPr>
            <w:tcW w:w="560" w:type="dxa"/>
            <w:vAlign w:val="center"/>
          </w:tcPr>
          <w:p w:rsidR="00FD32FE" w:rsidRPr="00253B59" w:rsidRDefault="00FD32FE" w:rsidP="00775914">
            <w:pPr>
              <w:spacing w:line="320" w:lineRule="exact"/>
              <w:jc w:val="center"/>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5</w:t>
            </w:r>
          </w:p>
        </w:tc>
        <w:tc>
          <w:tcPr>
            <w:tcW w:w="2791" w:type="dxa"/>
            <w:vAlign w:val="center"/>
          </w:tcPr>
          <w:p w:rsidR="00FD32FE" w:rsidRPr="00253B59" w:rsidRDefault="00FD32FE" w:rsidP="00775914">
            <w:pPr>
              <w:spacing w:line="320" w:lineRule="exact"/>
              <w:jc w:val="left"/>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组织开展安全生产下沉式集中执法检查</w:t>
            </w:r>
          </w:p>
        </w:tc>
        <w:tc>
          <w:tcPr>
            <w:tcW w:w="10521" w:type="dxa"/>
            <w:vAlign w:val="center"/>
          </w:tcPr>
          <w:p w:rsidR="00FD32FE" w:rsidRPr="00253B59" w:rsidRDefault="00FD32FE" w:rsidP="00775914">
            <w:pPr>
              <w:spacing w:line="320" w:lineRule="exact"/>
              <w:ind w:firstLineChars="200" w:firstLine="560"/>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进一步加强安全生产隐患排查治理，强化安全生产执法工作，采取包区（市）执法检查和异地交叉执法检查相结合的方式，在非煤矿山、危险化学品、烟花爆竹、冶金、粉尘涉爆等高危行业领域，组织开展安全生产下沉式集中执法检查活动，依法查处、整改事故隐患，重拳打击安全生产非法违法行为，为全市经济社会发展营造良好安全环境。</w:t>
            </w:r>
          </w:p>
        </w:tc>
      </w:tr>
      <w:tr w:rsidR="00FD32FE" w:rsidTr="003F11AC">
        <w:trPr>
          <w:cantSplit/>
          <w:trHeight w:val="4520"/>
          <w:jc w:val="center"/>
        </w:trPr>
        <w:tc>
          <w:tcPr>
            <w:tcW w:w="560" w:type="dxa"/>
            <w:vMerge w:val="restart"/>
            <w:vAlign w:val="center"/>
          </w:tcPr>
          <w:p w:rsidR="00FD32FE" w:rsidRDefault="00FD32FE" w:rsidP="00775914">
            <w:pPr>
              <w:spacing w:line="0" w:lineRule="atLeast"/>
              <w:jc w:val="center"/>
              <w:rPr>
                <w:rFonts w:ascii="楷体_GB2312" w:eastAsia="楷体_GB2312" w:hAnsi="宋体"/>
                <w:sz w:val="24"/>
              </w:rPr>
            </w:pPr>
            <w:r>
              <w:rPr>
                <w:rFonts w:ascii="楷体_GB2312" w:eastAsia="楷体_GB2312" w:hAnsi="宋体" w:hint="eastAsia"/>
                <w:kern w:val="0"/>
                <w:sz w:val="24"/>
              </w:rPr>
              <w:t>创优目标</w:t>
            </w:r>
          </w:p>
        </w:tc>
        <w:tc>
          <w:tcPr>
            <w:tcW w:w="560" w:type="dxa"/>
            <w:vAlign w:val="center"/>
          </w:tcPr>
          <w:p w:rsidR="00FD32FE" w:rsidRPr="00253B59" w:rsidRDefault="00FD32FE" w:rsidP="00775914">
            <w:pPr>
              <w:spacing w:line="320" w:lineRule="exact"/>
              <w:jc w:val="center"/>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1</w:t>
            </w:r>
          </w:p>
        </w:tc>
        <w:tc>
          <w:tcPr>
            <w:tcW w:w="2791" w:type="dxa"/>
            <w:vAlign w:val="center"/>
          </w:tcPr>
          <w:p w:rsidR="00FD32FE" w:rsidRPr="00253B59" w:rsidRDefault="00FD32FE" w:rsidP="00775914">
            <w:pPr>
              <w:spacing w:line="320" w:lineRule="exact"/>
              <w:jc w:val="left"/>
              <w:rPr>
                <w:rFonts w:ascii="仿宋_GB2312" w:eastAsia="仿宋_GB2312" w:hAnsi="仿宋"/>
                <w:color w:val="000000" w:themeColor="text1"/>
                <w:kern w:val="0"/>
                <w:sz w:val="28"/>
                <w:szCs w:val="28"/>
              </w:rPr>
            </w:pPr>
            <w:r w:rsidRPr="00253B59">
              <w:rPr>
                <w:rFonts w:ascii="仿宋_GB2312" w:eastAsia="仿宋_GB2312" w:hAnsi="仿宋" w:hint="eastAsia"/>
                <w:color w:val="000000" w:themeColor="text1"/>
                <w:sz w:val="28"/>
                <w:szCs w:val="28"/>
              </w:rPr>
              <w:t>推行安全生产行政许可“智慧审批”服务模式</w:t>
            </w:r>
          </w:p>
        </w:tc>
        <w:tc>
          <w:tcPr>
            <w:tcW w:w="10521" w:type="dxa"/>
            <w:vAlign w:val="center"/>
          </w:tcPr>
          <w:p w:rsidR="00FD32FE" w:rsidRPr="00984C23" w:rsidRDefault="00FD32FE" w:rsidP="00984C23">
            <w:pPr>
              <w:spacing w:line="320" w:lineRule="exact"/>
              <w:ind w:firstLineChars="200" w:firstLine="560"/>
              <w:rPr>
                <w:rFonts w:ascii="仿宋_GB2312" w:eastAsia="仿宋_GB2312" w:hAnsi="仿宋"/>
                <w:color w:val="000000" w:themeColor="text1"/>
                <w:kern w:val="0"/>
                <w:sz w:val="28"/>
                <w:szCs w:val="28"/>
              </w:rPr>
            </w:pPr>
            <w:r w:rsidRPr="00984C23">
              <w:rPr>
                <w:rFonts w:ascii="仿宋_GB2312" w:eastAsia="仿宋_GB2312" w:hAnsi="仿宋" w:hint="eastAsia"/>
                <w:color w:val="000000" w:themeColor="text1"/>
                <w:kern w:val="0"/>
                <w:sz w:val="28"/>
                <w:szCs w:val="28"/>
              </w:rPr>
              <w:t>深化“放管服”改革，针对危险化学品生产经营、非煤矿山、烟花爆竹等行业企业基数大、类型多的特点，解决群众和企业办事难的问题，实现“让群众少跑腿、数据多跑路”的目标。建设网上同权收件、一键转办、分级审批、数据共享、智慧统计的一链式审批模式。主要工作措施：在现有“秒批+承诺制”审批服务基础上，利用大数据校对、人工智能等信息化、智能化手段，通过流程再造，扩大服务范围，探索创新“申请材料自动比对、审查文书自动生成、电子证照自动签章、许可材料自动归档”的“秒批+承诺制2.0版”。拟取得的成效：打破市、区之间壁垒，实现同权收件。规范各区市办理渠道，统一使用行政审批系统，实现同权收件，一键转办、分级审批。</w:t>
            </w:r>
          </w:p>
          <w:p w:rsidR="00FD32FE" w:rsidRPr="00253B59" w:rsidRDefault="00FD32FE" w:rsidP="00775914">
            <w:pPr>
              <w:pStyle w:val="a5"/>
              <w:spacing w:line="320" w:lineRule="exact"/>
              <w:ind w:firstLine="562"/>
              <w:rPr>
                <w:rFonts w:ascii="仿宋_GB2312" w:hAnsi="仿宋"/>
                <w:color w:val="000000" w:themeColor="text1"/>
                <w:kern w:val="0"/>
                <w:sz w:val="28"/>
                <w:szCs w:val="28"/>
              </w:rPr>
            </w:pPr>
            <w:r w:rsidRPr="00253B59">
              <w:rPr>
                <w:rFonts w:ascii="仿宋_GB2312" w:hAnsi="仿宋" w:hint="eastAsia"/>
                <w:b/>
                <w:color w:val="000000" w:themeColor="text1"/>
                <w:kern w:val="0"/>
                <w:sz w:val="28"/>
                <w:szCs w:val="28"/>
              </w:rPr>
              <w:t>标杆城市：</w:t>
            </w:r>
            <w:r w:rsidRPr="00253B59">
              <w:rPr>
                <w:rFonts w:ascii="仿宋_GB2312" w:hAnsi="仿宋" w:hint="eastAsia"/>
                <w:color w:val="000000" w:themeColor="text1"/>
                <w:kern w:val="0"/>
                <w:sz w:val="28"/>
                <w:szCs w:val="28"/>
              </w:rPr>
              <w:t xml:space="preserve">北京市海淀区（应急管理领域国内首创）    </w:t>
            </w:r>
            <w:r w:rsidRPr="00253B59">
              <w:rPr>
                <w:rFonts w:ascii="仿宋_GB2312" w:hAnsi="仿宋" w:hint="eastAsia"/>
                <w:b/>
                <w:color w:val="000000" w:themeColor="text1"/>
                <w:kern w:val="0"/>
                <w:sz w:val="28"/>
                <w:szCs w:val="28"/>
              </w:rPr>
              <w:t>标杆值：</w:t>
            </w:r>
            <w:r w:rsidRPr="00253B59">
              <w:rPr>
                <w:rFonts w:ascii="仿宋_GB2312" w:hAnsi="仿宋" w:hint="eastAsia"/>
                <w:color w:val="000000" w:themeColor="text1"/>
                <w:kern w:val="0"/>
                <w:sz w:val="28"/>
                <w:szCs w:val="28"/>
              </w:rPr>
              <w:t>实现无人工干预的全程智能化、自动化审批，确保审批结果公平公正。变更事项办理时间由原来的最少5个工作日变成当场办结，平均压缩时限90%以上。加油站延期换证45-60日审批时限压缩85%以上。</w:t>
            </w:r>
          </w:p>
        </w:tc>
      </w:tr>
      <w:tr w:rsidR="00FD32FE" w:rsidTr="007C0DE5">
        <w:trPr>
          <w:cantSplit/>
          <w:trHeight w:val="3914"/>
          <w:jc w:val="center"/>
        </w:trPr>
        <w:tc>
          <w:tcPr>
            <w:tcW w:w="560" w:type="dxa"/>
            <w:vMerge/>
            <w:vAlign w:val="center"/>
          </w:tcPr>
          <w:p w:rsidR="00FD32FE" w:rsidRDefault="00FD32FE" w:rsidP="00775914">
            <w:pPr>
              <w:jc w:val="center"/>
              <w:rPr>
                <w:rFonts w:ascii="楷体_GB2312" w:eastAsia="楷体_GB2312" w:hAnsi="宋体"/>
                <w:sz w:val="28"/>
                <w:szCs w:val="28"/>
              </w:rPr>
            </w:pPr>
          </w:p>
        </w:tc>
        <w:tc>
          <w:tcPr>
            <w:tcW w:w="560" w:type="dxa"/>
            <w:vAlign w:val="center"/>
          </w:tcPr>
          <w:p w:rsidR="00FD32FE" w:rsidRPr="00253B59" w:rsidRDefault="00FD32FE" w:rsidP="00775914">
            <w:pPr>
              <w:spacing w:line="320" w:lineRule="exact"/>
              <w:jc w:val="center"/>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2</w:t>
            </w:r>
          </w:p>
        </w:tc>
        <w:tc>
          <w:tcPr>
            <w:tcW w:w="2791" w:type="dxa"/>
            <w:vAlign w:val="center"/>
          </w:tcPr>
          <w:p w:rsidR="00FD32FE" w:rsidRPr="00253B59" w:rsidRDefault="00FD32FE" w:rsidP="00775914">
            <w:pPr>
              <w:spacing w:line="320" w:lineRule="exact"/>
              <w:jc w:val="left"/>
              <w:rPr>
                <w:rFonts w:ascii="仿宋_GB2312" w:eastAsia="仿宋_GB2312" w:hAnsi="仿宋"/>
                <w:color w:val="000000" w:themeColor="text1"/>
                <w:sz w:val="28"/>
                <w:szCs w:val="28"/>
              </w:rPr>
            </w:pPr>
            <w:r w:rsidRPr="00253B59">
              <w:rPr>
                <w:rFonts w:ascii="仿宋_GB2312" w:eastAsia="仿宋_GB2312" w:hAnsi="仿宋" w:hint="eastAsia"/>
                <w:color w:val="000000" w:themeColor="text1"/>
                <w:sz w:val="28"/>
                <w:szCs w:val="28"/>
              </w:rPr>
              <w:t>应急指挥信息化</w:t>
            </w:r>
          </w:p>
        </w:tc>
        <w:tc>
          <w:tcPr>
            <w:tcW w:w="10521" w:type="dxa"/>
            <w:vAlign w:val="center"/>
          </w:tcPr>
          <w:p w:rsidR="00FD32FE" w:rsidRPr="00984C23" w:rsidRDefault="00FD32FE" w:rsidP="00984C23">
            <w:pPr>
              <w:spacing w:line="320" w:lineRule="exact"/>
              <w:ind w:firstLineChars="200" w:firstLine="560"/>
              <w:rPr>
                <w:rFonts w:ascii="仿宋_GB2312" w:eastAsia="仿宋_GB2312" w:hAnsi="仿宋"/>
                <w:color w:val="000000" w:themeColor="text1"/>
                <w:sz w:val="28"/>
                <w:szCs w:val="28"/>
              </w:rPr>
            </w:pPr>
            <w:r w:rsidRPr="00984C23">
              <w:rPr>
                <w:rFonts w:ascii="仿宋_GB2312" w:eastAsia="仿宋_GB2312" w:hAnsi="仿宋" w:hint="eastAsia"/>
                <w:color w:val="000000" w:themeColor="text1"/>
                <w:sz w:val="28"/>
                <w:szCs w:val="28"/>
              </w:rPr>
              <w:t>硬件建设上：组织完成市城市云脑指挥大厅、云脑会客厅一体化物理场所建设，满足应急协同联动、城市运行状态监测和数字青岛展示等支撑需求。软件建设上：一是依托城市云脑，汇聚接入部门30个数据资源系统，开发信息汇聚、会商研判、指挥调度、结构化预案、专题研判、资源管理等10个专业子系统，建设防汛抗旱、森林防火、危化品、地震灾害等9个应用场景专题研判模式，提高应急指挥统一调度能力。二是建立高效协同的智慧救援实战体系，完善救援现场可视化移动指挥，实现部门、专业队伍和物资在线协同、联动和调用。三是建设辅助决策系统，搭建8个模型为灾害事故影响范围预测、灾害事故损失评估等提供技术支撑，提升突发事件预警能力，实现智慧化应急指挥。</w:t>
            </w:r>
          </w:p>
          <w:p w:rsidR="00FD32FE" w:rsidRPr="00253B59" w:rsidRDefault="00FD32FE" w:rsidP="00775914">
            <w:pPr>
              <w:spacing w:line="320" w:lineRule="exact"/>
              <w:ind w:firstLineChars="200" w:firstLine="562"/>
              <w:rPr>
                <w:rFonts w:ascii="仿宋_GB2312" w:eastAsia="仿宋_GB2312" w:hAnsi="仿宋"/>
                <w:color w:val="000000" w:themeColor="text1"/>
                <w:sz w:val="28"/>
                <w:szCs w:val="28"/>
              </w:rPr>
            </w:pPr>
            <w:r w:rsidRPr="00253B59">
              <w:rPr>
                <w:rFonts w:ascii="仿宋_GB2312" w:eastAsia="仿宋_GB2312" w:hAnsi="仿宋" w:hint="eastAsia"/>
                <w:b/>
                <w:bCs/>
                <w:color w:val="000000" w:themeColor="text1"/>
                <w:sz w:val="28"/>
                <w:szCs w:val="28"/>
              </w:rPr>
              <w:t>标杆城市：</w:t>
            </w:r>
            <w:r w:rsidRPr="00253B59">
              <w:rPr>
                <w:rFonts w:ascii="仿宋_GB2312" w:eastAsia="仿宋_GB2312" w:hAnsi="仿宋" w:hint="eastAsia"/>
                <w:color w:val="000000" w:themeColor="text1"/>
                <w:sz w:val="28"/>
                <w:szCs w:val="28"/>
              </w:rPr>
              <w:t xml:space="preserve">深圳市 </w:t>
            </w:r>
            <w:r w:rsidRPr="00253B59">
              <w:rPr>
                <w:rFonts w:ascii="仿宋_GB2312" w:eastAsia="仿宋_GB2312" w:hAnsi="仿宋" w:hint="eastAsia"/>
                <w:b/>
                <w:color w:val="000000" w:themeColor="text1"/>
                <w:sz w:val="28"/>
                <w:szCs w:val="28"/>
              </w:rPr>
              <w:t xml:space="preserve">   </w:t>
            </w:r>
            <w:r w:rsidRPr="00253B59">
              <w:rPr>
                <w:rFonts w:ascii="仿宋_GB2312" w:eastAsia="仿宋_GB2312" w:hAnsi="仿宋" w:hint="eastAsia"/>
                <w:b/>
                <w:bCs/>
                <w:color w:val="000000" w:themeColor="text1"/>
                <w:sz w:val="28"/>
                <w:szCs w:val="28"/>
              </w:rPr>
              <w:t>标杆值：</w:t>
            </w:r>
            <w:r w:rsidRPr="00253B59">
              <w:rPr>
                <w:rFonts w:ascii="仿宋_GB2312" w:eastAsia="仿宋_GB2312" w:hAnsi="仿宋" w:hint="eastAsia"/>
                <w:color w:val="000000" w:themeColor="text1"/>
                <w:sz w:val="28"/>
                <w:szCs w:val="28"/>
              </w:rPr>
              <w:t>硬件建设上：建设城市运行指挥大厅；软件建设上：开发应急指挥8个专业子系统，建设3个应用场景专题研判模式。</w:t>
            </w:r>
          </w:p>
        </w:tc>
      </w:tr>
    </w:tbl>
    <w:p w:rsidR="00EF3AFE" w:rsidRPr="00253B59" w:rsidRDefault="0007707D" w:rsidP="00FD32FE">
      <w:pPr>
        <w:adjustRightInd w:val="0"/>
        <w:snapToGrid w:val="0"/>
        <w:spacing w:line="280" w:lineRule="exact"/>
        <w:rPr>
          <w:color w:val="000000" w:themeColor="text1"/>
        </w:rPr>
      </w:pPr>
    </w:p>
    <w:sectPr w:rsidR="00EF3AFE" w:rsidRPr="00253B59" w:rsidSect="00B124DC">
      <w:footerReference w:type="even" r:id="rId7"/>
      <w:footerReference w:type="default" r:id="rId8"/>
      <w:pgSz w:w="16838" w:h="11906" w:orient="landscape"/>
      <w:pgMar w:top="1588" w:right="2098" w:bottom="1474" w:left="1985" w:header="851" w:footer="992" w:gutter="0"/>
      <w:pgNumType w:fmt="numberInDash"/>
      <w:cols w:space="720"/>
      <w:docGrid w:type="lines" w:linePitch="5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07D" w:rsidRDefault="0007707D" w:rsidP="00166689">
      <w:r>
        <w:separator/>
      </w:r>
    </w:p>
  </w:endnote>
  <w:endnote w:type="continuationSeparator" w:id="0">
    <w:p w:rsidR="0007707D" w:rsidRDefault="0007707D" w:rsidP="00166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2000000000000000000"/>
    <w:charset w:val="86"/>
    <w:family w:val="auto"/>
    <w:pitch w:val="variable"/>
    <w:sig w:usb0="A00002BF" w:usb1="38CF7CFA" w:usb2="00082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EastAsia" w:eastAsiaTheme="minorEastAsia" w:hAnsiTheme="minorEastAsia"/>
        <w:sz w:val="28"/>
        <w:szCs w:val="28"/>
      </w:rPr>
      <w:id w:val="-1839148928"/>
      <w:docPartObj>
        <w:docPartGallery w:val="Page Numbers (Bottom of Page)"/>
        <w:docPartUnique/>
      </w:docPartObj>
    </w:sdtPr>
    <w:sdtEndPr/>
    <w:sdtContent>
      <w:p w:rsidR="00B124DC" w:rsidRPr="00B124DC" w:rsidRDefault="00B124DC">
        <w:pPr>
          <w:pStyle w:val="a7"/>
          <w:rPr>
            <w:rFonts w:asciiTheme="minorEastAsia" w:eastAsiaTheme="minorEastAsia" w:hAnsiTheme="minorEastAsia"/>
            <w:sz w:val="28"/>
            <w:szCs w:val="28"/>
          </w:rPr>
        </w:pPr>
        <w:r w:rsidRPr="00B124DC">
          <w:rPr>
            <w:rFonts w:asciiTheme="minorEastAsia" w:eastAsiaTheme="minorEastAsia" w:hAnsiTheme="minorEastAsia"/>
            <w:sz w:val="28"/>
            <w:szCs w:val="28"/>
          </w:rPr>
          <w:fldChar w:fldCharType="begin"/>
        </w:r>
        <w:r w:rsidRPr="00B124DC">
          <w:rPr>
            <w:rFonts w:asciiTheme="minorEastAsia" w:eastAsiaTheme="minorEastAsia" w:hAnsiTheme="minorEastAsia"/>
            <w:sz w:val="28"/>
            <w:szCs w:val="28"/>
          </w:rPr>
          <w:instrText>PAGE   \* MERGEFORMAT</w:instrText>
        </w:r>
        <w:r w:rsidRPr="00B124DC">
          <w:rPr>
            <w:rFonts w:asciiTheme="minorEastAsia" w:eastAsiaTheme="minorEastAsia" w:hAnsiTheme="minorEastAsia"/>
            <w:sz w:val="28"/>
            <w:szCs w:val="28"/>
          </w:rPr>
          <w:fldChar w:fldCharType="separate"/>
        </w:r>
        <w:r w:rsidR="00535D5A" w:rsidRPr="00535D5A">
          <w:rPr>
            <w:rFonts w:asciiTheme="minorEastAsia" w:eastAsiaTheme="minorEastAsia" w:hAnsiTheme="minorEastAsia"/>
            <w:noProof/>
            <w:sz w:val="28"/>
            <w:szCs w:val="28"/>
            <w:lang w:val="zh-CN"/>
          </w:rPr>
          <w:t>-</w:t>
        </w:r>
        <w:r w:rsidR="00535D5A">
          <w:rPr>
            <w:rFonts w:asciiTheme="minorEastAsia" w:eastAsiaTheme="minorEastAsia" w:hAnsiTheme="minorEastAsia"/>
            <w:noProof/>
            <w:sz w:val="28"/>
            <w:szCs w:val="28"/>
          </w:rPr>
          <w:t xml:space="preserve"> 2 -</w:t>
        </w:r>
        <w:r w:rsidRPr="00B124DC">
          <w:rPr>
            <w:rFonts w:asciiTheme="minorEastAsia" w:eastAsiaTheme="minorEastAsia" w:hAnsiTheme="minorEastAsia"/>
            <w:sz w:val="28"/>
            <w:szCs w:val="28"/>
          </w:rPr>
          <w:fldChar w:fldCharType="end"/>
        </w:r>
      </w:p>
    </w:sdtContent>
  </w:sdt>
  <w:p w:rsidR="00B124DC" w:rsidRDefault="00B124D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992305"/>
      <w:docPartObj>
        <w:docPartGallery w:val="Page Numbers (Bottom of Page)"/>
        <w:docPartUnique/>
      </w:docPartObj>
    </w:sdtPr>
    <w:sdtEndPr>
      <w:rPr>
        <w:rFonts w:asciiTheme="minorEastAsia" w:eastAsiaTheme="minorEastAsia" w:hAnsiTheme="minorEastAsia"/>
        <w:sz w:val="28"/>
        <w:szCs w:val="28"/>
      </w:rPr>
    </w:sdtEndPr>
    <w:sdtContent>
      <w:p w:rsidR="00B124DC" w:rsidRPr="00B124DC" w:rsidRDefault="00B124DC">
        <w:pPr>
          <w:pStyle w:val="a7"/>
          <w:jc w:val="right"/>
          <w:rPr>
            <w:rFonts w:asciiTheme="minorEastAsia" w:eastAsiaTheme="minorEastAsia" w:hAnsiTheme="minorEastAsia"/>
            <w:sz w:val="28"/>
            <w:szCs w:val="28"/>
          </w:rPr>
        </w:pPr>
        <w:r w:rsidRPr="00B124DC">
          <w:rPr>
            <w:rFonts w:asciiTheme="minorEastAsia" w:eastAsiaTheme="minorEastAsia" w:hAnsiTheme="minorEastAsia"/>
            <w:sz w:val="28"/>
            <w:szCs w:val="28"/>
          </w:rPr>
          <w:fldChar w:fldCharType="begin"/>
        </w:r>
        <w:r w:rsidRPr="00B124DC">
          <w:rPr>
            <w:rFonts w:asciiTheme="minorEastAsia" w:eastAsiaTheme="minorEastAsia" w:hAnsiTheme="minorEastAsia"/>
            <w:sz w:val="28"/>
            <w:szCs w:val="28"/>
          </w:rPr>
          <w:instrText>PAGE   \* MERGEFORMAT</w:instrText>
        </w:r>
        <w:r w:rsidRPr="00B124DC">
          <w:rPr>
            <w:rFonts w:asciiTheme="minorEastAsia" w:eastAsiaTheme="minorEastAsia" w:hAnsiTheme="minorEastAsia"/>
            <w:sz w:val="28"/>
            <w:szCs w:val="28"/>
          </w:rPr>
          <w:fldChar w:fldCharType="separate"/>
        </w:r>
        <w:r w:rsidR="00535D5A" w:rsidRPr="00535D5A">
          <w:rPr>
            <w:rFonts w:asciiTheme="minorEastAsia" w:eastAsiaTheme="minorEastAsia" w:hAnsiTheme="minorEastAsia"/>
            <w:noProof/>
            <w:sz w:val="28"/>
            <w:szCs w:val="28"/>
            <w:lang w:val="zh-CN"/>
          </w:rPr>
          <w:t>-</w:t>
        </w:r>
        <w:r w:rsidR="00535D5A">
          <w:rPr>
            <w:rFonts w:asciiTheme="minorEastAsia" w:eastAsiaTheme="minorEastAsia" w:hAnsiTheme="minorEastAsia"/>
            <w:noProof/>
            <w:sz w:val="28"/>
            <w:szCs w:val="28"/>
          </w:rPr>
          <w:t xml:space="preserve"> 1 -</w:t>
        </w:r>
        <w:r w:rsidRPr="00B124DC">
          <w:rPr>
            <w:rFonts w:asciiTheme="minorEastAsia" w:eastAsiaTheme="minorEastAsia" w:hAnsiTheme="minorEastAsia"/>
            <w:sz w:val="28"/>
            <w:szCs w:val="28"/>
          </w:rPr>
          <w:fldChar w:fldCharType="end"/>
        </w:r>
      </w:p>
    </w:sdtContent>
  </w:sdt>
  <w:p w:rsidR="00B124DC" w:rsidRDefault="00B124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07D" w:rsidRDefault="0007707D" w:rsidP="00166689">
      <w:r>
        <w:separator/>
      </w:r>
    </w:p>
  </w:footnote>
  <w:footnote w:type="continuationSeparator" w:id="0">
    <w:p w:rsidR="0007707D" w:rsidRDefault="0007707D" w:rsidP="001666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29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66"/>
    <w:rsid w:val="00025968"/>
    <w:rsid w:val="0007707D"/>
    <w:rsid w:val="000E6080"/>
    <w:rsid w:val="000F092B"/>
    <w:rsid w:val="00157845"/>
    <w:rsid w:val="00166689"/>
    <w:rsid w:val="001B40CE"/>
    <w:rsid w:val="001D35DE"/>
    <w:rsid w:val="001D5A94"/>
    <w:rsid w:val="001D74BE"/>
    <w:rsid w:val="001E4FD6"/>
    <w:rsid w:val="001E7B37"/>
    <w:rsid w:val="001F0AB2"/>
    <w:rsid w:val="001F7897"/>
    <w:rsid w:val="0022016E"/>
    <w:rsid w:val="00253B59"/>
    <w:rsid w:val="002741CD"/>
    <w:rsid w:val="00284F86"/>
    <w:rsid w:val="002B4C35"/>
    <w:rsid w:val="00323234"/>
    <w:rsid w:val="00345658"/>
    <w:rsid w:val="00373BF0"/>
    <w:rsid w:val="0038508A"/>
    <w:rsid w:val="003C27B8"/>
    <w:rsid w:val="003C5390"/>
    <w:rsid w:val="003E1FAB"/>
    <w:rsid w:val="003F11AC"/>
    <w:rsid w:val="00403C89"/>
    <w:rsid w:val="00444665"/>
    <w:rsid w:val="004D2C31"/>
    <w:rsid w:val="004E7DDC"/>
    <w:rsid w:val="00501D84"/>
    <w:rsid w:val="00535D5A"/>
    <w:rsid w:val="00562450"/>
    <w:rsid w:val="005A397F"/>
    <w:rsid w:val="005A5306"/>
    <w:rsid w:val="005E57E7"/>
    <w:rsid w:val="005E6605"/>
    <w:rsid w:val="006140DA"/>
    <w:rsid w:val="0066408F"/>
    <w:rsid w:val="00676640"/>
    <w:rsid w:val="00691F1A"/>
    <w:rsid w:val="00693352"/>
    <w:rsid w:val="006F1637"/>
    <w:rsid w:val="006F5740"/>
    <w:rsid w:val="007141A0"/>
    <w:rsid w:val="0073521F"/>
    <w:rsid w:val="0076394B"/>
    <w:rsid w:val="007B6434"/>
    <w:rsid w:val="007C0DE5"/>
    <w:rsid w:val="007D783E"/>
    <w:rsid w:val="0080414F"/>
    <w:rsid w:val="0083351A"/>
    <w:rsid w:val="0083698A"/>
    <w:rsid w:val="0087407A"/>
    <w:rsid w:val="00895A19"/>
    <w:rsid w:val="008A16B5"/>
    <w:rsid w:val="008B0862"/>
    <w:rsid w:val="008B6B33"/>
    <w:rsid w:val="008C5E66"/>
    <w:rsid w:val="00917367"/>
    <w:rsid w:val="00940A66"/>
    <w:rsid w:val="00943D86"/>
    <w:rsid w:val="00984C23"/>
    <w:rsid w:val="009B68A8"/>
    <w:rsid w:val="00A423DF"/>
    <w:rsid w:val="00A64063"/>
    <w:rsid w:val="00AB7FF5"/>
    <w:rsid w:val="00AC7AE7"/>
    <w:rsid w:val="00AF4D91"/>
    <w:rsid w:val="00B124DC"/>
    <w:rsid w:val="00B4062D"/>
    <w:rsid w:val="00B50E7B"/>
    <w:rsid w:val="00B72201"/>
    <w:rsid w:val="00BA649E"/>
    <w:rsid w:val="00BB0976"/>
    <w:rsid w:val="00BB24DA"/>
    <w:rsid w:val="00C166FB"/>
    <w:rsid w:val="00C23B0C"/>
    <w:rsid w:val="00C51265"/>
    <w:rsid w:val="00CA7123"/>
    <w:rsid w:val="00CC6491"/>
    <w:rsid w:val="00CD024E"/>
    <w:rsid w:val="00CF240A"/>
    <w:rsid w:val="00CF7C7D"/>
    <w:rsid w:val="00D26A48"/>
    <w:rsid w:val="00D54735"/>
    <w:rsid w:val="00D6717E"/>
    <w:rsid w:val="00E042B0"/>
    <w:rsid w:val="00E110FA"/>
    <w:rsid w:val="00E27CBE"/>
    <w:rsid w:val="00E47C44"/>
    <w:rsid w:val="00E53D10"/>
    <w:rsid w:val="00E908CA"/>
    <w:rsid w:val="00E97FA9"/>
    <w:rsid w:val="00EC34CC"/>
    <w:rsid w:val="00F110C6"/>
    <w:rsid w:val="00F25501"/>
    <w:rsid w:val="00F500D0"/>
    <w:rsid w:val="00F842AD"/>
    <w:rsid w:val="00F941FA"/>
    <w:rsid w:val="00FC68D6"/>
    <w:rsid w:val="00FD32FE"/>
    <w:rsid w:val="00FF4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CD5863-923A-411B-91B3-EACB8A84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A6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B68A8"/>
    <w:pPr>
      <w:widowControl/>
      <w:spacing w:before="100" w:beforeAutospacing="1" w:after="100" w:afterAutospacing="1"/>
      <w:jc w:val="left"/>
    </w:pPr>
    <w:rPr>
      <w:rFonts w:ascii="宋体" w:hAnsi="宋体" w:cs="宋体"/>
      <w:kern w:val="0"/>
      <w:sz w:val="24"/>
    </w:rPr>
  </w:style>
  <w:style w:type="character" w:styleId="a4">
    <w:name w:val="Strong"/>
    <w:basedOn w:val="a0"/>
    <w:uiPriority w:val="22"/>
    <w:rsid w:val="004D2C31"/>
    <w:rPr>
      <w:b/>
      <w:bCs/>
    </w:rPr>
  </w:style>
  <w:style w:type="paragraph" w:styleId="a5">
    <w:name w:val="Body Text"/>
    <w:aliases w:val="公文正文-仿宋三号"/>
    <w:basedOn w:val="a"/>
    <w:link w:val="Char"/>
    <w:autoRedefine/>
    <w:uiPriority w:val="99"/>
    <w:unhideWhenUsed/>
    <w:qFormat/>
    <w:rsid w:val="004D2C31"/>
    <w:pPr>
      <w:spacing w:line="560" w:lineRule="exact"/>
      <w:ind w:firstLineChars="200" w:firstLine="640"/>
    </w:pPr>
    <w:rPr>
      <w:rFonts w:eastAsia="仿宋_GB2312"/>
      <w:sz w:val="32"/>
    </w:rPr>
  </w:style>
  <w:style w:type="character" w:customStyle="1" w:styleId="Char">
    <w:name w:val="正文文本 Char"/>
    <w:aliases w:val="公文正文-仿宋三号 Char"/>
    <w:basedOn w:val="a0"/>
    <w:link w:val="a5"/>
    <w:uiPriority w:val="99"/>
    <w:rsid w:val="004D2C31"/>
    <w:rPr>
      <w:rFonts w:ascii="Times New Roman" w:eastAsia="仿宋_GB2312" w:hAnsi="Times New Roman" w:cs="Times New Roman"/>
      <w:sz w:val="32"/>
      <w:szCs w:val="24"/>
    </w:rPr>
  </w:style>
  <w:style w:type="paragraph" w:styleId="a6">
    <w:name w:val="header"/>
    <w:basedOn w:val="a"/>
    <w:link w:val="Char0"/>
    <w:uiPriority w:val="99"/>
    <w:unhideWhenUsed/>
    <w:rsid w:val="001666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66689"/>
    <w:rPr>
      <w:rFonts w:ascii="Times New Roman" w:eastAsia="宋体" w:hAnsi="Times New Roman" w:cs="Times New Roman"/>
      <w:sz w:val="18"/>
      <w:szCs w:val="18"/>
    </w:rPr>
  </w:style>
  <w:style w:type="paragraph" w:styleId="a7">
    <w:name w:val="footer"/>
    <w:basedOn w:val="a"/>
    <w:link w:val="Char1"/>
    <w:uiPriority w:val="99"/>
    <w:unhideWhenUsed/>
    <w:rsid w:val="00166689"/>
    <w:pPr>
      <w:tabs>
        <w:tab w:val="center" w:pos="4153"/>
        <w:tab w:val="right" w:pos="8306"/>
      </w:tabs>
      <w:snapToGrid w:val="0"/>
      <w:jc w:val="left"/>
    </w:pPr>
    <w:rPr>
      <w:sz w:val="18"/>
      <w:szCs w:val="18"/>
    </w:rPr>
  </w:style>
  <w:style w:type="character" w:customStyle="1" w:styleId="Char1">
    <w:name w:val="页脚 Char"/>
    <w:basedOn w:val="a0"/>
    <w:link w:val="a7"/>
    <w:uiPriority w:val="99"/>
    <w:rsid w:val="00166689"/>
    <w:rPr>
      <w:rFonts w:ascii="Times New Roman" w:eastAsia="宋体" w:hAnsi="Times New Roman" w:cs="Times New Roman"/>
      <w:sz w:val="18"/>
      <w:szCs w:val="18"/>
    </w:rPr>
  </w:style>
  <w:style w:type="paragraph" w:styleId="a8">
    <w:name w:val="Balloon Text"/>
    <w:basedOn w:val="a"/>
    <w:link w:val="Char2"/>
    <w:uiPriority w:val="99"/>
    <w:semiHidden/>
    <w:unhideWhenUsed/>
    <w:rsid w:val="00373BF0"/>
    <w:rPr>
      <w:sz w:val="18"/>
      <w:szCs w:val="18"/>
    </w:rPr>
  </w:style>
  <w:style w:type="character" w:customStyle="1" w:styleId="Char2">
    <w:name w:val="批注框文本 Char"/>
    <w:basedOn w:val="a0"/>
    <w:link w:val="a8"/>
    <w:uiPriority w:val="99"/>
    <w:semiHidden/>
    <w:rsid w:val="00373BF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57018">
      <w:bodyDiv w:val="1"/>
      <w:marLeft w:val="0"/>
      <w:marRight w:val="0"/>
      <w:marTop w:val="0"/>
      <w:marBottom w:val="0"/>
      <w:divBdr>
        <w:top w:val="none" w:sz="0" w:space="0" w:color="auto"/>
        <w:left w:val="none" w:sz="0" w:space="0" w:color="auto"/>
        <w:bottom w:val="none" w:sz="0" w:space="0" w:color="auto"/>
        <w:right w:val="none" w:sz="0" w:space="0" w:color="auto"/>
      </w:divBdr>
    </w:div>
    <w:div w:id="764809113">
      <w:bodyDiv w:val="1"/>
      <w:marLeft w:val="0"/>
      <w:marRight w:val="0"/>
      <w:marTop w:val="0"/>
      <w:marBottom w:val="0"/>
      <w:divBdr>
        <w:top w:val="none" w:sz="0" w:space="0" w:color="auto"/>
        <w:left w:val="none" w:sz="0" w:space="0" w:color="auto"/>
        <w:bottom w:val="none" w:sz="0" w:space="0" w:color="auto"/>
        <w:right w:val="none" w:sz="0" w:space="0" w:color="auto"/>
      </w:divBdr>
    </w:div>
    <w:div w:id="207916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13BA8-0EDD-432C-8753-08B11DF00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267</Words>
  <Characters>1528</Characters>
  <Application>Microsoft Office Word</Application>
  <DocSecurity>0</DocSecurity>
  <Lines>12</Lines>
  <Paragraphs>3</Paragraphs>
  <ScaleCrop>false</ScaleCrop>
  <Company>Microsoft</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王凯旋</cp:lastModifiedBy>
  <cp:revision>45</cp:revision>
  <cp:lastPrinted>2021-06-03T07:21:00Z</cp:lastPrinted>
  <dcterms:created xsi:type="dcterms:W3CDTF">2021-06-16T08:57:00Z</dcterms:created>
  <dcterms:modified xsi:type="dcterms:W3CDTF">2021-06-25T10:12:00Z</dcterms:modified>
</cp:coreProperties>
</file>