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A52" w:rsidRDefault="00084EA6">
      <w:pPr>
        <w:adjustRightInd w:val="0"/>
        <w:snapToGrid w:val="0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2021年度市直单位业务目标</w:t>
      </w:r>
    </w:p>
    <w:p w:rsidR="00CA3A52" w:rsidRDefault="00084EA6">
      <w:pPr>
        <w:snapToGrid w:val="0"/>
        <w:spacing w:line="300" w:lineRule="auto"/>
        <w:rPr>
          <w:rFonts w:ascii="楷体_GB2312" w:eastAsia="楷体_GB2312" w:hAnsi="Times New Roman" w:cs="Times New Roman"/>
          <w:sz w:val="28"/>
          <w:szCs w:val="28"/>
        </w:rPr>
      </w:pPr>
      <w:r>
        <w:rPr>
          <w:rFonts w:ascii="楷体_GB2312" w:eastAsia="楷体_GB2312" w:hAnsi="Times New Roman" w:cs="Times New Roman" w:hint="eastAsia"/>
          <w:sz w:val="28"/>
          <w:szCs w:val="28"/>
        </w:rPr>
        <w:t>单位名称：市财政局          主要负责人：李红兵          联系人：崔磊      联系电话：85855817</w:t>
      </w:r>
    </w:p>
    <w:tbl>
      <w:tblPr>
        <w:tblW w:w="144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70"/>
        <w:gridCol w:w="1770"/>
        <w:gridCol w:w="11558"/>
      </w:tblGrid>
      <w:tr w:rsidR="00CA3A52">
        <w:trPr>
          <w:trHeight w:val="169"/>
          <w:tblHeader/>
          <w:jc w:val="center"/>
        </w:trPr>
        <w:tc>
          <w:tcPr>
            <w:tcW w:w="534" w:type="dxa"/>
            <w:vAlign w:val="center"/>
          </w:tcPr>
          <w:p w:rsidR="00CA3A52" w:rsidRDefault="00084EA6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 w:val="28"/>
                <w:szCs w:val="28"/>
              </w:rPr>
            </w:pPr>
            <w:r>
              <w:rPr>
                <w:rFonts w:eastAsia="黑体" w:hint="eastAsia"/>
                <w:color w:val="000000" w:themeColor="text1"/>
                <w:sz w:val="28"/>
                <w:szCs w:val="28"/>
              </w:rPr>
              <w:t>类别</w:t>
            </w:r>
          </w:p>
        </w:tc>
        <w:tc>
          <w:tcPr>
            <w:tcW w:w="570" w:type="dxa"/>
            <w:vAlign w:val="center"/>
          </w:tcPr>
          <w:p w:rsidR="00CA3A52" w:rsidRDefault="00084EA6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 w:val="28"/>
                <w:szCs w:val="28"/>
              </w:rPr>
            </w:pPr>
            <w:r>
              <w:rPr>
                <w:rFonts w:eastAsia="黑体" w:hint="eastAsia"/>
                <w:color w:val="000000" w:themeColor="text1"/>
                <w:sz w:val="28"/>
                <w:szCs w:val="28"/>
              </w:rPr>
              <w:t>序号</w:t>
            </w:r>
          </w:p>
        </w:tc>
        <w:tc>
          <w:tcPr>
            <w:tcW w:w="1770" w:type="dxa"/>
            <w:vAlign w:val="center"/>
          </w:tcPr>
          <w:p w:rsidR="00CA3A52" w:rsidRDefault="00084EA6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 w:val="28"/>
                <w:szCs w:val="28"/>
              </w:rPr>
            </w:pPr>
            <w:r>
              <w:rPr>
                <w:rFonts w:eastAsia="黑体" w:hint="eastAsia"/>
                <w:color w:val="000000" w:themeColor="text1"/>
                <w:sz w:val="28"/>
                <w:szCs w:val="28"/>
              </w:rPr>
              <w:t>目标名称</w:t>
            </w:r>
          </w:p>
        </w:tc>
        <w:tc>
          <w:tcPr>
            <w:tcW w:w="11558" w:type="dxa"/>
            <w:vAlign w:val="center"/>
          </w:tcPr>
          <w:p w:rsidR="00CA3A52" w:rsidRDefault="00084EA6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 w:val="28"/>
                <w:szCs w:val="28"/>
              </w:rPr>
            </w:pPr>
            <w:r>
              <w:rPr>
                <w:rFonts w:eastAsia="黑体" w:hint="eastAsia"/>
                <w:color w:val="000000" w:themeColor="text1"/>
                <w:sz w:val="28"/>
                <w:szCs w:val="28"/>
              </w:rPr>
              <w:t>目标内容</w:t>
            </w:r>
          </w:p>
        </w:tc>
      </w:tr>
      <w:tr w:rsidR="00CA3A52">
        <w:trPr>
          <w:cantSplit/>
          <w:trHeight w:val="1770"/>
          <w:jc w:val="center"/>
        </w:trPr>
        <w:tc>
          <w:tcPr>
            <w:tcW w:w="534" w:type="dxa"/>
            <w:vMerge w:val="restart"/>
            <w:vAlign w:val="center"/>
          </w:tcPr>
          <w:p w:rsidR="00CA3A52" w:rsidRDefault="00084EA6">
            <w:pPr>
              <w:spacing w:line="0" w:lineRule="atLeas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  <w:r>
              <w:rPr>
                <w:rFonts w:ascii="楷体_GB2312" w:eastAsia="楷体_GB2312" w:hAnsi="宋体" w:hint="eastAsia"/>
                <w:color w:val="000000" w:themeColor="text1"/>
                <w:kern w:val="0"/>
                <w:sz w:val="24"/>
              </w:rPr>
              <w:t>重点目标</w:t>
            </w:r>
          </w:p>
        </w:tc>
        <w:tc>
          <w:tcPr>
            <w:tcW w:w="570" w:type="dxa"/>
            <w:vAlign w:val="center"/>
          </w:tcPr>
          <w:p w:rsidR="00CA3A52" w:rsidRDefault="00084EA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0" w:type="dxa"/>
            <w:vAlign w:val="center"/>
          </w:tcPr>
          <w:p w:rsidR="00CA3A52" w:rsidRDefault="00084EA6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促进财政收入量质齐升</w:t>
            </w:r>
          </w:p>
        </w:tc>
        <w:tc>
          <w:tcPr>
            <w:tcW w:w="11558" w:type="dxa"/>
            <w:vAlign w:val="center"/>
          </w:tcPr>
          <w:p w:rsidR="00CA3A52" w:rsidRDefault="00084EA6">
            <w:pPr>
              <w:pStyle w:val="a0"/>
              <w:adjustRightInd w:val="0"/>
              <w:snapToGrid w:val="0"/>
              <w:spacing w:before="0" w:after="0" w:line="320" w:lineRule="exact"/>
              <w:ind w:firstLineChars="200" w:firstLine="560"/>
              <w:jc w:val="both"/>
              <w:rPr>
                <w:rFonts w:ascii="仿宋_GB2312" w:eastAsia="仿宋_GB2312" w:hAnsi="仿宋_GB2312" w:cs="仿宋_GB2312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sz w:val="28"/>
                <w:szCs w:val="28"/>
              </w:rPr>
              <w:t>高质量抓好组织收入工作，努力争取一般公共预算收入在年初预算确定增长6%的基础上，再提升不少于2个百分点，实现一般公共预算收入增加100亿元，总规模达到1350亿元以上；财政收入质量（税收占比）比上年稳步提升。</w:t>
            </w:r>
          </w:p>
        </w:tc>
      </w:tr>
      <w:tr w:rsidR="00CA3A52" w:rsidTr="00F368D0">
        <w:trPr>
          <w:cantSplit/>
          <w:trHeight w:val="3260"/>
          <w:jc w:val="center"/>
        </w:trPr>
        <w:tc>
          <w:tcPr>
            <w:tcW w:w="534" w:type="dxa"/>
            <w:vMerge/>
            <w:vAlign w:val="center"/>
          </w:tcPr>
          <w:p w:rsidR="00CA3A52" w:rsidRDefault="00CA3A52">
            <w:pPr>
              <w:spacing w:line="0" w:lineRule="atLeast"/>
              <w:jc w:val="center"/>
              <w:rPr>
                <w:rFonts w:ascii="楷体_GB2312" w:eastAsia="楷体_GB2312" w:hAnsi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570" w:type="dxa"/>
            <w:vAlign w:val="center"/>
          </w:tcPr>
          <w:p w:rsidR="00CA3A52" w:rsidRDefault="00084EA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0" w:type="dxa"/>
            <w:vAlign w:val="center"/>
          </w:tcPr>
          <w:p w:rsidR="00CA3A52" w:rsidRDefault="00084EA6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牢牢兜住“三保”底线</w:t>
            </w:r>
          </w:p>
        </w:tc>
        <w:tc>
          <w:tcPr>
            <w:tcW w:w="11558" w:type="dxa"/>
            <w:vAlign w:val="center"/>
          </w:tcPr>
          <w:p w:rsidR="00CA3A52" w:rsidRDefault="00084EA6">
            <w:pPr>
              <w:pStyle w:val="a0"/>
              <w:adjustRightInd w:val="0"/>
              <w:snapToGrid w:val="0"/>
              <w:spacing w:before="0" w:after="0" w:line="320" w:lineRule="exact"/>
              <w:ind w:firstLineChars="200" w:firstLine="560"/>
              <w:jc w:val="both"/>
              <w:rPr>
                <w:rFonts w:ascii="仿宋_GB2312" w:eastAsia="仿宋_GB2312" w:hAnsi="仿宋_GB2312" w:cs="仿宋_GB2312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sz w:val="28"/>
                <w:szCs w:val="28"/>
              </w:rPr>
              <w:t>按照中央关于做好“三保”（保基本民生、保工资、保运转）工作的部署，争取全市民生支出超过1100亿元，占比70%左右。市级统筹22.6亿元支持办好10件32项民生实事。统筹就业补助资金、职业技能提升行动资金18.8亿元，加大对重点群体就业的帮扶，实现城镇新增就业35万人。公共卫生事业投入增长20%以上，增强疫情防控和公共卫生体系建设保障水平。提高退休人员基本养老金、城乡居民基础养老金水平，上调3项工伤保险待遇标准，城乡居民基本医疗保险人均财政补助标准增加30元，孤儿和重点困境儿童等困难群体救助保障标准提高10%左右，强化兜底保障。支持新增公共租赁住房补贴4000户。支持开工建设中小学和幼儿园50所，对全市212所农村小规模中小学校食堂实施运行补助。市级统筹280亿元以上，从转移支付和库款调度等方面强化对区市的支持，确保基层工资发放和机构运转。</w:t>
            </w:r>
          </w:p>
        </w:tc>
      </w:tr>
      <w:tr w:rsidR="00CA3A52">
        <w:trPr>
          <w:cantSplit/>
          <w:trHeight w:val="2632"/>
          <w:jc w:val="center"/>
        </w:trPr>
        <w:tc>
          <w:tcPr>
            <w:tcW w:w="534" w:type="dxa"/>
            <w:vMerge/>
            <w:vAlign w:val="center"/>
          </w:tcPr>
          <w:p w:rsidR="00CA3A52" w:rsidRDefault="00CA3A52">
            <w:pPr>
              <w:spacing w:line="0" w:lineRule="atLeast"/>
              <w:jc w:val="center"/>
              <w:rPr>
                <w:rFonts w:ascii="楷体_GB2312" w:eastAsia="楷体_GB2312" w:hAnsi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570" w:type="dxa"/>
            <w:vAlign w:val="center"/>
          </w:tcPr>
          <w:p w:rsidR="00CA3A52" w:rsidRDefault="00084EA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70" w:type="dxa"/>
            <w:vAlign w:val="center"/>
          </w:tcPr>
          <w:p w:rsidR="00CA3A52" w:rsidRDefault="00084EA6">
            <w:pPr>
              <w:pStyle w:val="a0"/>
              <w:spacing w:before="0" w:after="0" w:line="320" w:lineRule="exact"/>
              <w:jc w:val="left"/>
              <w:rPr>
                <w:rFonts w:ascii="仿宋_GB2312" w:eastAsia="仿宋_GB2312" w:hAnsi="仿宋_GB2312" w:cs="仿宋_GB2312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sz w:val="28"/>
                <w:szCs w:val="28"/>
              </w:rPr>
              <w:t>全力保障重大基础设施建设和城市更新</w:t>
            </w:r>
          </w:p>
        </w:tc>
        <w:tc>
          <w:tcPr>
            <w:tcW w:w="11558" w:type="dxa"/>
            <w:vAlign w:val="center"/>
          </w:tcPr>
          <w:p w:rsidR="00CA3A52" w:rsidRDefault="00084EA6">
            <w:pPr>
              <w:adjustRightInd w:val="0"/>
              <w:snapToGrid w:val="0"/>
              <w:spacing w:line="320" w:lineRule="exact"/>
              <w:ind w:firstLineChars="200" w:firstLine="560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通过政策集成加强财政资源统筹，完善资金和政策向15个攻势、13条产业链、重点项目集中整合机制,投向15个攻势的专项资金占比不低于70%。运用财政资金+市场化融资模式，统筹70亿元以上重点支持安顺路打通、辽阳路快速路、海尔路银川路立交等项目建设，加快消除市民出行的堵点，提高城市通行效率。筹措资金23.5亿元支持城乡环境提升工程。通过市财力投资和政府专项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债安排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20亿元以上，支持推进总投资60亿元的市公共卫生临床中心、应急备用医院、山东大学齐鲁医院二期、市八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医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东院区等项目建设。多渠道筹集老旧小区改造资金，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安排奖补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资金带动30亿元投资，启动216个老旧小区改造项目。</w:t>
            </w:r>
          </w:p>
        </w:tc>
      </w:tr>
      <w:tr w:rsidR="00CA3A52">
        <w:trPr>
          <w:cantSplit/>
          <w:trHeight w:val="2955"/>
          <w:jc w:val="center"/>
        </w:trPr>
        <w:tc>
          <w:tcPr>
            <w:tcW w:w="534" w:type="dxa"/>
            <w:vMerge/>
            <w:vAlign w:val="center"/>
          </w:tcPr>
          <w:p w:rsidR="00CA3A52" w:rsidRDefault="00CA3A52">
            <w:pPr>
              <w:spacing w:line="0" w:lineRule="atLeast"/>
              <w:jc w:val="center"/>
              <w:rPr>
                <w:rFonts w:ascii="楷体_GB2312" w:eastAsia="楷体_GB2312" w:hAnsi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570" w:type="dxa"/>
            <w:vAlign w:val="center"/>
          </w:tcPr>
          <w:p w:rsidR="00CA3A52" w:rsidRDefault="00084EA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70" w:type="dxa"/>
            <w:vAlign w:val="center"/>
          </w:tcPr>
          <w:p w:rsidR="00CA3A52" w:rsidRDefault="00084EA6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  <w:highlight w:val="green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高水平开展“双招双引”</w:t>
            </w:r>
          </w:p>
        </w:tc>
        <w:tc>
          <w:tcPr>
            <w:tcW w:w="11558" w:type="dxa"/>
            <w:vAlign w:val="center"/>
          </w:tcPr>
          <w:p w:rsidR="00CA3A52" w:rsidRDefault="00084EA6">
            <w:pPr>
              <w:pStyle w:val="a0"/>
              <w:adjustRightInd w:val="0"/>
              <w:snapToGrid w:val="0"/>
              <w:spacing w:before="0" w:after="0" w:line="320" w:lineRule="exact"/>
              <w:ind w:firstLineChars="200" w:firstLine="560"/>
              <w:jc w:val="both"/>
              <w:rPr>
                <w:rFonts w:ascii="仿宋_GB2312" w:eastAsia="仿宋_GB2312" w:hAnsi="仿宋_GB2312" w:cs="仿宋_GB2312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sz w:val="28"/>
                <w:szCs w:val="28"/>
              </w:rPr>
              <w:t>聚焦“项目落地年”，大力推进“以资招商”，引进平台型、资本型、总部型项目，争取直接牵头引进项目20个以上，总投资规模200亿元以上。千方百计引进外资，确保年度吸引到账外资不低于2亿美元，占全市总额的3%左右。积极争取中央赋予青岛前湾港作为启运港退税政策的离境港，吸引北方港口出口货物从青岛港中转出口，为打造东北亚航运中心提供有力支撑。创新招商引资税收评估和税源筹划机制，组织对全市400个以上重点招商引资项目实施税收评估，力争年内新落地、新投产项目新增地方税收15亿元以上。做好市级行业拔尖人才(财会类)的选拔推荐工作，建设高水平财会队伍。加大人才投入，全力做好人才经费保障，试行“人才金”拨改投，确保人才支出占比高于上年，保持全省先进水平，支持新增人才25万人以上。</w:t>
            </w:r>
          </w:p>
        </w:tc>
      </w:tr>
      <w:tr w:rsidR="00CA3A52">
        <w:trPr>
          <w:cantSplit/>
          <w:trHeight w:val="2097"/>
          <w:jc w:val="center"/>
        </w:trPr>
        <w:tc>
          <w:tcPr>
            <w:tcW w:w="534" w:type="dxa"/>
            <w:vMerge/>
            <w:vAlign w:val="center"/>
          </w:tcPr>
          <w:p w:rsidR="00CA3A52" w:rsidRDefault="00CA3A52">
            <w:pPr>
              <w:spacing w:line="0" w:lineRule="atLeast"/>
              <w:jc w:val="center"/>
              <w:rPr>
                <w:rFonts w:ascii="楷体_GB2312" w:eastAsia="楷体_GB2312" w:hAnsi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570" w:type="dxa"/>
            <w:vAlign w:val="center"/>
          </w:tcPr>
          <w:p w:rsidR="00CA3A52" w:rsidRDefault="00084EA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770" w:type="dxa"/>
            <w:vAlign w:val="center"/>
          </w:tcPr>
          <w:p w:rsidR="00CA3A52" w:rsidRDefault="00084EA6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支持以科技创新驱动高质量发展</w:t>
            </w:r>
          </w:p>
        </w:tc>
        <w:tc>
          <w:tcPr>
            <w:tcW w:w="11558" w:type="dxa"/>
            <w:vAlign w:val="center"/>
          </w:tcPr>
          <w:p w:rsidR="00CA3A52" w:rsidRDefault="00084EA6">
            <w:pPr>
              <w:pStyle w:val="a0"/>
              <w:adjustRightInd w:val="0"/>
              <w:snapToGrid w:val="0"/>
              <w:spacing w:before="0" w:after="0" w:line="320" w:lineRule="exact"/>
              <w:ind w:firstLineChars="200" w:firstLine="560"/>
              <w:jc w:val="both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sz w:val="28"/>
                <w:szCs w:val="28"/>
              </w:rPr>
              <w:t>市级科技创新发展资金规模较上年增长15%以上。大力支持高新技术企业上市培育，力争全市新增过会或上市高新技术企业不少于6家，领跑全省。安排企业技改补贴增长40%以上，支持工业企业技术改造和产品创新。筹措8亿元以上重点支持山东能源研究院、中科院海洋大科学中心、山东产研院（青岛）、中国海洋工程研究院、高端轴承青岛研究院等8个重大创新平台建设，打造科技自立自强创新高地。</w:t>
            </w:r>
          </w:p>
        </w:tc>
      </w:tr>
      <w:tr w:rsidR="00CA3A52">
        <w:trPr>
          <w:cantSplit/>
          <w:trHeight w:val="1770"/>
          <w:jc w:val="center"/>
        </w:trPr>
        <w:tc>
          <w:tcPr>
            <w:tcW w:w="534" w:type="dxa"/>
            <w:vMerge/>
            <w:vAlign w:val="center"/>
          </w:tcPr>
          <w:p w:rsidR="00CA3A52" w:rsidRDefault="00CA3A52">
            <w:pPr>
              <w:spacing w:line="0" w:lineRule="atLeast"/>
              <w:jc w:val="center"/>
              <w:rPr>
                <w:rFonts w:ascii="楷体_GB2312" w:eastAsia="楷体_GB2312" w:hAnsi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570" w:type="dxa"/>
            <w:vAlign w:val="center"/>
          </w:tcPr>
          <w:p w:rsidR="00CA3A52" w:rsidRDefault="00084EA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70" w:type="dxa"/>
            <w:vAlign w:val="center"/>
          </w:tcPr>
          <w:p w:rsidR="00CA3A52" w:rsidRDefault="00084EA6">
            <w:pPr>
              <w:spacing w:line="320" w:lineRule="exact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巩固拓展脱贫攻坚成果同乡村振兴有效衔接</w:t>
            </w:r>
          </w:p>
        </w:tc>
        <w:tc>
          <w:tcPr>
            <w:tcW w:w="11558" w:type="dxa"/>
            <w:vAlign w:val="center"/>
          </w:tcPr>
          <w:p w:rsidR="00CA3A52" w:rsidRDefault="00084EA6">
            <w:pPr>
              <w:adjustRightInd w:val="0"/>
              <w:snapToGrid w:val="0"/>
              <w:spacing w:line="320" w:lineRule="exact"/>
              <w:ind w:firstLineChars="200" w:firstLine="560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建立健全“三农”财政投入稳定增长机制,市级财政“三农”资金投入较上年增长8%。提高土地出让收入用于农业农村的比例，确保2021年达到6%以上。统筹整合涉农资金36亿元以上，重点支持粮食及重要农产品稳产保供、现代农业产业园、农田水利工程、农村人居环境整治提升等。发挥30亿元规模新希望农业基金和政策性农业担保作用，为“三农”主体提供15亿元以上贷款支持。</w:t>
            </w:r>
          </w:p>
        </w:tc>
      </w:tr>
      <w:tr w:rsidR="00CA3A52">
        <w:trPr>
          <w:cantSplit/>
          <w:trHeight w:val="2360"/>
          <w:jc w:val="center"/>
        </w:trPr>
        <w:tc>
          <w:tcPr>
            <w:tcW w:w="534" w:type="dxa"/>
            <w:vMerge/>
            <w:vAlign w:val="center"/>
          </w:tcPr>
          <w:p w:rsidR="00CA3A52" w:rsidRDefault="00CA3A52">
            <w:pPr>
              <w:spacing w:line="0" w:lineRule="atLeast"/>
              <w:jc w:val="center"/>
              <w:rPr>
                <w:rFonts w:ascii="楷体_GB2312" w:eastAsia="楷体_GB2312" w:hAnsi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570" w:type="dxa"/>
            <w:vAlign w:val="center"/>
          </w:tcPr>
          <w:p w:rsidR="00CA3A52" w:rsidRDefault="00084EA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770" w:type="dxa"/>
            <w:vAlign w:val="center"/>
          </w:tcPr>
          <w:p w:rsidR="00CA3A52" w:rsidRDefault="00084EA6">
            <w:pPr>
              <w:pStyle w:val="a0"/>
              <w:spacing w:before="0" w:after="0" w:line="320" w:lineRule="exact"/>
              <w:jc w:val="left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sz w:val="28"/>
                <w:szCs w:val="28"/>
              </w:rPr>
              <w:t>培育和激发市场主体活力</w:t>
            </w:r>
          </w:p>
        </w:tc>
        <w:tc>
          <w:tcPr>
            <w:tcW w:w="11558" w:type="dxa"/>
            <w:vAlign w:val="center"/>
          </w:tcPr>
          <w:p w:rsidR="00CA3A52" w:rsidRDefault="00084EA6">
            <w:pPr>
              <w:pStyle w:val="a0"/>
              <w:adjustRightInd w:val="0"/>
              <w:snapToGrid w:val="0"/>
              <w:spacing w:before="0" w:after="0" w:line="320" w:lineRule="exact"/>
              <w:ind w:firstLineChars="200" w:firstLine="560"/>
              <w:jc w:val="both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sz w:val="28"/>
                <w:szCs w:val="28"/>
              </w:rPr>
              <w:t>持续推进减税降费，全年新增减税降费80亿元以上，加大对小</w:t>
            </w:r>
            <w:proofErr w:type="gramStart"/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sz w:val="28"/>
                <w:szCs w:val="28"/>
              </w:rPr>
              <w:t>微企业</w:t>
            </w:r>
            <w:proofErr w:type="gramEnd"/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sz w:val="28"/>
                <w:szCs w:val="28"/>
              </w:rPr>
              <w:t>和个体工商户的税收减免力度，惠及市场主体100万家以上。为企业减轻资金压力，争取全年为企业出口退税、留抵退税不低于300亿元。鼓励金融资本加大对实体经济的支持，出台支持银行机构服务“项目落地年”政策措施，对2021年度本外币贷款余额达到100亿元以上且贷款增幅达到10%以上的给予奖励，将小</w:t>
            </w:r>
            <w:proofErr w:type="gramStart"/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sz w:val="28"/>
                <w:szCs w:val="28"/>
              </w:rPr>
              <w:t>微企业</w:t>
            </w:r>
            <w:proofErr w:type="gramEnd"/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sz w:val="28"/>
                <w:szCs w:val="28"/>
              </w:rPr>
              <w:t>贷款风险补偿计提比例在原先基础上提高50%。完善“青岛政策通”平台，加快实现惠</w:t>
            </w:r>
            <w:proofErr w:type="gramStart"/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sz w:val="28"/>
                <w:szCs w:val="28"/>
              </w:rPr>
              <w:t>企政策</w:t>
            </w:r>
            <w:proofErr w:type="gramEnd"/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sz w:val="28"/>
                <w:szCs w:val="28"/>
              </w:rPr>
              <w:t>查询、申报、审批、兑现“全流程”线上服务。力争会计、审计及税务服务营业收入增长30%左右。</w:t>
            </w:r>
          </w:p>
        </w:tc>
      </w:tr>
      <w:tr w:rsidR="00CA3A52">
        <w:trPr>
          <w:cantSplit/>
          <w:trHeight w:val="3685"/>
          <w:jc w:val="center"/>
        </w:trPr>
        <w:tc>
          <w:tcPr>
            <w:tcW w:w="534" w:type="dxa"/>
            <w:vMerge/>
            <w:vAlign w:val="center"/>
          </w:tcPr>
          <w:p w:rsidR="00CA3A52" w:rsidRDefault="00CA3A52">
            <w:pPr>
              <w:spacing w:line="0" w:lineRule="atLeast"/>
              <w:jc w:val="center"/>
              <w:rPr>
                <w:rFonts w:ascii="楷体_GB2312" w:eastAsia="楷体_GB2312" w:hAnsi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570" w:type="dxa"/>
            <w:vAlign w:val="center"/>
          </w:tcPr>
          <w:p w:rsidR="00CA3A52" w:rsidRDefault="00084EA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770" w:type="dxa"/>
            <w:vAlign w:val="center"/>
          </w:tcPr>
          <w:p w:rsidR="00CA3A52" w:rsidRDefault="00084EA6">
            <w:pPr>
              <w:pStyle w:val="a0"/>
              <w:spacing w:before="0" w:after="0" w:line="320" w:lineRule="exact"/>
              <w:jc w:val="left"/>
              <w:rPr>
                <w:rFonts w:ascii="仿宋_GB2312" w:eastAsia="仿宋_GB2312" w:hAnsi="仿宋_GB2312" w:cs="仿宋_GB2312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sz w:val="28"/>
                <w:szCs w:val="28"/>
              </w:rPr>
              <w:t>实施财政改革攻坚行动</w:t>
            </w:r>
          </w:p>
        </w:tc>
        <w:tc>
          <w:tcPr>
            <w:tcW w:w="11558" w:type="dxa"/>
            <w:vAlign w:val="center"/>
          </w:tcPr>
          <w:p w:rsidR="00CA3A52" w:rsidRDefault="00084EA6">
            <w:pPr>
              <w:adjustRightInd w:val="0"/>
              <w:snapToGrid w:val="0"/>
              <w:spacing w:line="320" w:lineRule="exact"/>
              <w:ind w:firstLineChars="200" w:firstLine="560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出台生态环境、自然资源、公共文化、应急救援、交通运输5个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领域市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与区市财政事权和支出责任划分改革方案，提高基本公共服务供给效率。对50亿元以上中央直达资金实施常态化监管，在省内率先实现预算管理一体化业务全覆盖。推动预算绩效管理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扩面提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质，对2021年度市级预算安排的2305个项目支出全面设置绩效目标、实施绩效监控，对2020年度市级61项专项资金、89项业务费安排的1831个项目支出以及95个市直部门的整体支出，全面实施绩效评价。出台关于完善国有金融资本管理的意见，落实4家市属金融企业财政出资人责任，促进金融资本健康发展。组建完成注册资本10亿元的市级融资再担保公司，争取当年为中小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微企业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提供不低于4亿元的直接担保和再担保额度。全面推行财政票据电子化改革，争取全年开具电子票据数量比上年增长3倍以上，在教育、医疗、交警罚没、不动产登记、司法诉讼等领域提升收费便利化服务效能。开展政府采购支持绿色建材促进建筑品质提升试点工作，在23个政府投资的试点项目全力推广绿色建材。</w:t>
            </w:r>
          </w:p>
        </w:tc>
      </w:tr>
      <w:tr w:rsidR="00CA3A52">
        <w:trPr>
          <w:cantSplit/>
          <w:trHeight w:val="3654"/>
          <w:jc w:val="center"/>
        </w:trPr>
        <w:tc>
          <w:tcPr>
            <w:tcW w:w="534" w:type="dxa"/>
            <w:vMerge w:val="restart"/>
            <w:vAlign w:val="center"/>
          </w:tcPr>
          <w:p w:rsidR="00CA3A52" w:rsidRDefault="00084EA6">
            <w:pPr>
              <w:spacing w:line="0" w:lineRule="atLeas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  <w:r>
              <w:rPr>
                <w:rFonts w:ascii="楷体_GB2312" w:eastAsia="楷体_GB2312" w:hAnsi="宋体" w:hint="eastAsia"/>
                <w:color w:val="000000" w:themeColor="text1"/>
                <w:kern w:val="0"/>
                <w:sz w:val="24"/>
              </w:rPr>
              <w:t>创优目标</w:t>
            </w:r>
          </w:p>
        </w:tc>
        <w:tc>
          <w:tcPr>
            <w:tcW w:w="570" w:type="dxa"/>
            <w:vAlign w:val="center"/>
          </w:tcPr>
          <w:p w:rsidR="00CA3A52" w:rsidRDefault="00084EA6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0" w:type="dxa"/>
            <w:vAlign w:val="center"/>
          </w:tcPr>
          <w:p w:rsidR="00CA3A52" w:rsidRDefault="00084EA6">
            <w:pPr>
              <w:pStyle w:val="a0"/>
              <w:spacing w:before="0" w:after="0" w:line="320" w:lineRule="exact"/>
              <w:jc w:val="left"/>
              <w:rPr>
                <w:rFonts w:ascii="仿宋_GB2312" w:eastAsia="仿宋_GB2312" w:hAnsi="仿宋_GB2312" w:cs="仿宋_GB2312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sz w:val="28"/>
                <w:szCs w:val="28"/>
              </w:rPr>
              <w:t>打造资本公共平台，吸引高质量资本加速集聚</w:t>
            </w:r>
          </w:p>
        </w:tc>
        <w:tc>
          <w:tcPr>
            <w:tcW w:w="11558" w:type="dxa"/>
            <w:vAlign w:val="center"/>
          </w:tcPr>
          <w:p w:rsidR="00CA3A52" w:rsidRDefault="00084EA6">
            <w:pPr>
              <w:adjustRightInd w:val="0"/>
              <w:snapToGrid w:val="0"/>
              <w:spacing w:line="320" w:lineRule="exact"/>
              <w:ind w:firstLineChars="200" w:firstLine="560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发挥全球创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投风投中心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优势，在全国率先打造资本公共平台，为创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投机构产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投对接全程提供专业化、标准化服务，实现社会化、资本化招商突破，平台年内引进上市公司区域总部2家以上，新增税收5亿元以上。办好并放大2021青岛·全球创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投风投大会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效应，发布全国最具竞争力的“青岛创投风投十条”政策2.0版，推出覆盖“募、投、管、退”全链条的30项新政策，争取全年新增创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投风投机构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100家以上。进一步优化政府引导基金让利措施，深化与知名企业、头部基金管理机构合作，争取新增政府引导基金参股基金规模超200亿元，累计参股基金规模达到1200亿元。</w:t>
            </w:r>
          </w:p>
          <w:p w:rsidR="00CA3A52" w:rsidRDefault="00084EA6">
            <w:pPr>
              <w:adjustRightInd w:val="0"/>
              <w:snapToGrid w:val="0"/>
              <w:spacing w:line="320" w:lineRule="exact"/>
              <w:ind w:firstLineChars="200" w:firstLine="562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28"/>
                <w:szCs w:val="28"/>
              </w:rPr>
              <w:t>标杆城市：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成都市</w:t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28"/>
                <w:szCs w:val="28"/>
              </w:rPr>
              <w:t>标杆值：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引导基金累计参股基金规模达到1200亿元。</w:t>
            </w:r>
          </w:p>
        </w:tc>
      </w:tr>
      <w:tr w:rsidR="00CA3A52">
        <w:trPr>
          <w:cantSplit/>
          <w:trHeight w:val="2876"/>
          <w:jc w:val="center"/>
        </w:trPr>
        <w:tc>
          <w:tcPr>
            <w:tcW w:w="534" w:type="dxa"/>
            <w:vMerge/>
            <w:vAlign w:val="center"/>
          </w:tcPr>
          <w:p w:rsidR="00CA3A52" w:rsidRDefault="00CA3A52">
            <w:pPr>
              <w:spacing w:line="0" w:lineRule="atLeast"/>
              <w:jc w:val="center"/>
              <w:rPr>
                <w:rFonts w:ascii="楷体_GB2312" w:eastAsia="楷体_GB2312" w:hAnsi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570" w:type="dxa"/>
            <w:vAlign w:val="center"/>
          </w:tcPr>
          <w:p w:rsidR="00CA3A52" w:rsidRDefault="00084EA6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0" w:type="dxa"/>
            <w:vAlign w:val="center"/>
          </w:tcPr>
          <w:p w:rsidR="00CA3A52" w:rsidRDefault="00084EA6">
            <w:pPr>
              <w:pStyle w:val="a0"/>
              <w:spacing w:before="0" w:after="0" w:line="320" w:lineRule="exact"/>
              <w:jc w:val="left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 w:themeColor="text1"/>
                <w:sz w:val="28"/>
                <w:szCs w:val="28"/>
              </w:rPr>
              <w:t>努力争取扩大政府专项债规模，有效拉动政府投资增长</w:t>
            </w:r>
          </w:p>
        </w:tc>
        <w:tc>
          <w:tcPr>
            <w:tcW w:w="11558" w:type="dxa"/>
            <w:vAlign w:val="center"/>
          </w:tcPr>
          <w:p w:rsidR="00CA3A52" w:rsidRDefault="00084EA6">
            <w:pPr>
              <w:adjustRightInd w:val="0"/>
              <w:snapToGrid w:val="0"/>
              <w:spacing w:line="320" w:lineRule="exact"/>
              <w:ind w:firstLineChars="200" w:firstLine="560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在全国政府债券规模压减的前提下，全力争取新增政府专项债限额较上年增长10%以上，位居计划单列市前列；争取再融资债券额度突破200亿元，较上年增长1倍以上，增强财政保障能力，为政府投资腾出更大空间。优化债券资金投向，重点支持上合示范区、山东自贸区青岛片区等国家重大战略及基础设施、教育、医疗卫生等领域项目建设，带动项目投资4000亿元以上。坚持发行政府债券与化解债务风险并重，强化“借、用、管、还”闭环管理，确保政府债务率控制在合理范围，牢牢守住不发生系统性风险底线。</w:t>
            </w:r>
          </w:p>
          <w:p w:rsidR="00CA3A52" w:rsidRDefault="00084EA6">
            <w:pPr>
              <w:adjustRightInd w:val="0"/>
              <w:snapToGrid w:val="0"/>
              <w:spacing w:line="320" w:lineRule="exact"/>
              <w:ind w:firstLineChars="200" w:firstLine="562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28"/>
                <w:szCs w:val="28"/>
              </w:rPr>
              <w:t>标杆城市：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深圳市</w:t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28"/>
                <w:szCs w:val="28"/>
              </w:rPr>
              <w:t>标杆值：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争取2021年新增专项债额度增幅不低于深圳市。</w:t>
            </w:r>
          </w:p>
        </w:tc>
      </w:tr>
    </w:tbl>
    <w:p w:rsidR="00CA3A52" w:rsidRDefault="00CA3A52">
      <w:pPr>
        <w:adjustRightInd w:val="0"/>
        <w:snapToGrid w:val="0"/>
        <w:spacing w:line="280" w:lineRule="exact"/>
        <w:ind w:firstLineChars="300" w:firstLine="630"/>
      </w:pPr>
    </w:p>
    <w:sectPr w:rsidR="00CA3A52" w:rsidSect="0003149A">
      <w:footerReference w:type="even" r:id="rId8"/>
      <w:footerReference w:type="default" r:id="rId9"/>
      <w:pgSz w:w="16838" w:h="11906" w:orient="landscape"/>
      <w:pgMar w:top="1588" w:right="2098" w:bottom="1474" w:left="1985" w:header="851" w:footer="992" w:gutter="0"/>
      <w:pgNumType w:fmt="numberInDash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966" w:rsidRDefault="00514966" w:rsidP="00097E50">
      <w:r>
        <w:separator/>
      </w:r>
    </w:p>
  </w:endnote>
  <w:endnote w:type="continuationSeparator" w:id="0">
    <w:p w:rsidR="00514966" w:rsidRDefault="00514966" w:rsidP="00097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EastAsia" w:hAnsiTheme="minorEastAsia"/>
        <w:sz w:val="28"/>
        <w:szCs w:val="28"/>
      </w:rPr>
      <w:id w:val="-684212261"/>
      <w:docPartObj>
        <w:docPartGallery w:val="Page Numbers (Bottom of Page)"/>
        <w:docPartUnique/>
      </w:docPartObj>
    </w:sdtPr>
    <w:sdtEndPr/>
    <w:sdtContent>
      <w:p w:rsidR="0003149A" w:rsidRPr="0003149A" w:rsidRDefault="0003149A">
        <w:pPr>
          <w:pStyle w:val="a5"/>
          <w:rPr>
            <w:rFonts w:asciiTheme="minorEastAsia" w:hAnsiTheme="minorEastAsia"/>
            <w:sz w:val="28"/>
            <w:szCs w:val="28"/>
          </w:rPr>
        </w:pPr>
        <w:r w:rsidRPr="0003149A">
          <w:rPr>
            <w:rFonts w:asciiTheme="minorEastAsia" w:hAnsiTheme="minorEastAsia"/>
            <w:sz w:val="28"/>
            <w:szCs w:val="28"/>
          </w:rPr>
          <w:fldChar w:fldCharType="begin"/>
        </w:r>
        <w:r w:rsidRPr="0003149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03149A">
          <w:rPr>
            <w:rFonts w:asciiTheme="minorEastAsia" w:hAnsiTheme="minorEastAsia"/>
            <w:sz w:val="28"/>
            <w:szCs w:val="28"/>
          </w:rPr>
          <w:fldChar w:fldCharType="separate"/>
        </w:r>
        <w:r w:rsidR="00F368D0" w:rsidRPr="00F368D0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F368D0">
          <w:rPr>
            <w:rFonts w:asciiTheme="minorEastAsia" w:hAnsiTheme="minorEastAsia"/>
            <w:noProof/>
            <w:sz w:val="28"/>
            <w:szCs w:val="28"/>
          </w:rPr>
          <w:t xml:space="preserve"> 2 -</w:t>
        </w:r>
        <w:r w:rsidRPr="0003149A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9718913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03149A" w:rsidRPr="0003149A" w:rsidRDefault="0003149A" w:rsidP="0003149A">
        <w:pPr>
          <w:pStyle w:val="a5"/>
          <w:jc w:val="right"/>
          <w:rPr>
            <w:rFonts w:asciiTheme="minorEastAsia" w:hAnsiTheme="minorEastAsia"/>
            <w:sz w:val="28"/>
            <w:szCs w:val="28"/>
          </w:rPr>
        </w:pPr>
        <w:r w:rsidRPr="0003149A">
          <w:rPr>
            <w:rFonts w:asciiTheme="minorEastAsia" w:hAnsiTheme="minorEastAsia"/>
            <w:sz w:val="28"/>
            <w:szCs w:val="28"/>
          </w:rPr>
          <w:fldChar w:fldCharType="begin"/>
        </w:r>
        <w:r w:rsidRPr="0003149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03149A">
          <w:rPr>
            <w:rFonts w:asciiTheme="minorEastAsia" w:hAnsiTheme="minorEastAsia"/>
            <w:sz w:val="28"/>
            <w:szCs w:val="28"/>
          </w:rPr>
          <w:fldChar w:fldCharType="separate"/>
        </w:r>
        <w:r w:rsidR="00F368D0" w:rsidRPr="00F368D0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F368D0">
          <w:rPr>
            <w:rFonts w:asciiTheme="minorEastAsia" w:hAnsiTheme="minorEastAsia"/>
            <w:noProof/>
            <w:sz w:val="28"/>
            <w:szCs w:val="28"/>
          </w:rPr>
          <w:t xml:space="preserve"> 1 -</w:t>
        </w:r>
        <w:r w:rsidRPr="0003149A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966" w:rsidRDefault="00514966" w:rsidP="00097E50">
      <w:r>
        <w:separator/>
      </w:r>
    </w:p>
  </w:footnote>
  <w:footnote w:type="continuationSeparator" w:id="0">
    <w:p w:rsidR="00514966" w:rsidRDefault="00514966" w:rsidP="00097E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319"/>
  <w:displayHorizontalDrawingGridEvery w:val="2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3D2F18CA"/>
    <w:rsid w:val="00020C10"/>
    <w:rsid w:val="0003149A"/>
    <w:rsid w:val="00045610"/>
    <w:rsid w:val="00071062"/>
    <w:rsid w:val="000815DA"/>
    <w:rsid w:val="000835CC"/>
    <w:rsid w:val="00084EA6"/>
    <w:rsid w:val="00086E42"/>
    <w:rsid w:val="00097E50"/>
    <w:rsid w:val="000A18C7"/>
    <w:rsid w:val="000A6C28"/>
    <w:rsid w:val="000B5F94"/>
    <w:rsid w:val="000C23B8"/>
    <w:rsid w:val="000C768A"/>
    <w:rsid w:val="000D32D3"/>
    <w:rsid w:val="000E3231"/>
    <w:rsid w:val="000F1854"/>
    <w:rsid w:val="000F6EB6"/>
    <w:rsid w:val="001001A0"/>
    <w:rsid w:val="00126AAB"/>
    <w:rsid w:val="00132C08"/>
    <w:rsid w:val="00134C53"/>
    <w:rsid w:val="0016069A"/>
    <w:rsid w:val="00162F11"/>
    <w:rsid w:val="001B3F39"/>
    <w:rsid w:val="001D0999"/>
    <w:rsid w:val="001D5C99"/>
    <w:rsid w:val="001F7724"/>
    <w:rsid w:val="00201391"/>
    <w:rsid w:val="002057C7"/>
    <w:rsid w:val="00206F9E"/>
    <w:rsid w:val="00216B44"/>
    <w:rsid w:val="002304CF"/>
    <w:rsid w:val="00262D01"/>
    <w:rsid w:val="002677B3"/>
    <w:rsid w:val="00281531"/>
    <w:rsid w:val="00286D49"/>
    <w:rsid w:val="002906BE"/>
    <w:rsid w:val="002A4257"/>
    <w:rsid w:val="002B2A2D"/>
    <w:rsid w:val="002C1222"/>
    <w:rsid w:val="002F5CD0"/>
    <w:rsid w:val="00300240"/>
    <w:rsid w:val="00313723"/>
    <w:rsid w:val="003141F1"/>
    <w:rsid w:val="0031477D"/>
    <w:rsid w:val="00364FE4"/>
    <w:rsid w:val="00376C30"/>
    <w:rsid w:val="003B1F98"/>
    <w:rsid w:val="003B3749"/>
    <w:rsid w:val="003C09B4"/>
    <w:rsid w:val="003C1D5F"/>
    <w:rsid w:val="00436E8B"/>
    <w:rsid w:val="00442746"/>
    <w:rsid w:val="00442D02"/>
    <w:rsid w:val="00445A5C"/>
    <w:rsid w:val="00446FCE"/>
    <w:rsid w:val="00454F1C"/>
    <w:rsid w:val="00456BC5"/>
    <w:rsid w:val="00462E0E"/>
    <w:rsid w:val="004760B5"/>
    <w:rsid w:val="004A2E11"/>
    <w:rsid w:val="004B0672"/>
    <w:rsid w:val="004D1C38"/>
    <w:rsid w:val="004E336A"/>
    <w:rsid w:val="00514966"/>
    <w:rsid w:val="00514CDC"/>
    <w:rsid w:val="00535EDA"/>
    <w:rsid w:val="00541C93"/>
    <w:rsid w:val="00543086"/>
    <w:rsid w:val="00552320"/>
    <w:rsid w:val="00553FD0"/>
    <w:rsid w:val="0055708F"/>
    <w:rsid w:val="00562541"/>
    <w:rsid w:val="00565F01"/>
    <w:rsid w:val="0056608A"/>
    <w:rsid w:val="00572AA9"/>
    <w:rsid w:val="00574913"/>
    <w:rsid w:val="00580E27"/>
    <w:rsid w:val="00580EAE"/>
    <w:rsid w:val="005B019E"/>
    <w:rsid w:val="005E406D"/>
    <w:rsid w:val="00614413"/>
    <w:rsid w:val="00627D53"/>
    <w:rsid w:val="006355BB"/>
    <w:rsid w:val="00640694"/>
    <w:rsid w:val="00643800"/>
    <w:rsid w:val="00654A95"/>
    <w:rsid w:val="006642E6"/>
    <w:rsid w:val="00664526"/>
    <w:rsid w:val="00666C20"/>
    <w:rsid w:val="00674984"/>
    <w:rsid w:val="006B53BC"/>
    <w:rsid w:val="006D752E"/>
    <w:rsid w:val="00710D4B"/>
    <w:rsid w:val="00722A3B"/>
    <w:rsid w:val="00760ADD"/>
    <w:rsid w:val="007A08B3"/>
    <w:rsid w:val="007A432B"/>
    <w:rsid w:val="007A463A"/>
    <w:rsid w:val="007B519A"/>
    <w:rsid w:val="007B6499"/>
    <w:rsid w:val="008049A1"/>
    <w:rsid w:val="00806054"/>
    <w:rsid w:val="008075BC"/>
    <w:rsid w:val="00834E14"/>
    <w:rsid w:val="00850778"/>
    <w:rsid w:val="00857E5C"/>
    <w:rsid w:val="008739B0"/>
    <w:rsid w:val="00880E84"/>
    <w:rsid w:val="008E3820"/>
    <w:rsid w:val="008E6977"/>
    <w:rsid w:val="008F3CD4"/>
    <w:rsid w:val="00915E0D"/>
    <w:rsid w:val="00951B99"/>
    <w:rsid w:val="00990AD2"/>
    <w:rsid w:val="00994C69"/>
    <w:rsid w:val="00996B96"/>
    <w:rsid w:val="00997BD3"/>
    <w:rsid w:val="009C55C1"/>
    <w:rsid w:val="009E5543"/>
    <w:rsid w:val="00A2231B"/>
    <w:rsid w:val="00A36EC1"/>
    <w:rsid w:val="00A72544"/>
    <w:rsid w:val="00A729FB"/>
    <w:rsid w:val="00A76DED"/>
    <w:rsid w:val="00A8375A"/>
    <w:rsid w:val="00AA05BE"/>
    <w:rsid w:val="00AA74CB"/>
    <w:rsid w:val="00AD13AA"/>
    <w:rsid w:val="00AD61CE"/>
    <w:rsid w:val="00B07F71"/>
    <w:rsid w:val="00B24F30"/>
    <w:rsid w:val="00B371D5"/>
    <w:rsid w:val="00B672E7"/>
    <w:rsid w:val="00BA5542"/>
    <w:rsid w:val="00BE5E53"/>
    <w:rsid w:val="00BF1346"/>
    <w:rsid w:val="00BF1A66"/>
    <w:rsid w:val="00C0046A"/>
    <w:rsid w:val="00C24E88"/>
    <w:rsid w:val="00C40511"/>
    <w:rsid w:val="00C46761"/>
    <w:rsid w:val="00C55ECB"/>
    <w:rsid w:val="00C7196D"/>
    <w:rsid w:val="00C7680C"/>
    <w:rsid w:val="00C803D6"/>
    <w:rsid w:val="00CA3A52"/>
    <w:rsid w:val="00CC208E"/>
    <w:rsid w:val="00CF6552"/>
    <w:rsid w:val="00D07F06"/>
    <w:rsid w:val="00D1285A"/>
    <w:rsid w:val="00D27206"/>
    <w:rsid w:val="00D31568"/>
    <w:rsid w:val="00D339D9"/>
    <w:rsid w:val="00D415F3"/>
    <w:rsid w:val="00D455E3"/>
    <w:rsid w:val="00D55BC2"/>
    <w:rsid w:val="00D60C13"/>
    <w:rsid w:val="00D73D48"/>
    <w:rsid w:val="00D93880"/>
    <w:rsid w:val="00DA3BA9"/>
    <w:rsid w:val="00DB7DE6"/>
    <w:rsid w:val="00DD619D"/>
    <w:rsid w:val="00DE06A7"/>
    <w:rsid w:val="00DE66A5"/>
    <w:rsid w:val="00DE6BC0"/>
    <w:rsid w:val="00E13850"/>
    <w:rsid w:val="00E3060C"/>
    <w:rsid w:val="00E45EBA"/>
    <w:rsid w:val="00E62EA2"/>
    <w:rsid w:val="00E76946"/>
    <w:rsid w:val="00E92823"/>
    <w:rsid w:val="00E95481"/>
    <w:rsid w:val="00EA0A3A"/>
    <w:rsid w:val="00EA0F0D"/>
    <w:rsid w:val="00EA3C41"/>
    <w:rsid w:val="00EB3AEC"/>
    <w:rsid w:val="00F0437F"/>
    <w:rsid w:val="00F053C4"/>
    <w:rsid w:val="00F20018"/>
    <w:rsid w:val="00F231A2"/>
    <w:rsid w:val="00F241BD"/>
    <w:rsid w:val="00F35400"/>
    <w:rsid w:val="00F368D0"/>
    <w:rsid w:val="00F5000E"/>
    <w:rsid w:val="00F65B84"/>
    <w:rsid w:val="00F70C02"/>
    <w:rsid w:val="00F737D1"/>
    <w:rsid w:val="00F7559B"/>
    <w:rsid w:val="00F841BA"/>
    <w:rsid w:val="00F93FBB"/>
    <w:rsid w:val="00F95CCA"/>
    <w:rsid w:val="00FD5E70"/>
    <w:rsid w:val="06F40D54"/>
    <w:rsid w:val="07714106"/>
    <w:rsid w:val="07BE250B"/>
    <w:rsid w:val="0B0E3F9B"/>
    <w:rsid w:val="0B1A7687"/>
    <w:rsid w:val="11545FB2"/>
    <w:rsid w:val="12257C01"/>
    <w:rsid w:val="1419352F"/>
    <w:rsid w:val="157B7D44"/>
    <w:rsid w:val="1B344627"/>
    <w:rsid w:val="1B5654D3"/>
    <w:rsid w:val="1D9D54B5"/>
    <w:rsid w:val="1E196164"/>
    <w:rsid w:val="1F7C633A"/>
    <w:rsid w:val="2047630F"/>
    <w:rsid w:val="21AD6397"/>
    <w:rsid w:val="21CE5C97"/>
    <w:rsid w:val="25632CE6"/>
    <w:rsid w:val="27475CA0"/>
    <w:rsid w:val="28151DBE"/>
    <w:rsid w:val="2B2F2BC4"/>
    <w:rsid w:val="30C015DE"/>
    <w:rsid w:val="30D439B4"/>
    <w:rsid w:val="31ED283C"/>
    <w:rsid w:val="34FA6F29"/>
    <w:rsid w:val="35BA58DB"/>
    <w:rsid w:val="36610BAC"/>
    <w:rsid w:val="376F5A63"/>
    <w:rsid w:val="378923CE"/>
    <w:rsid w:val="3AF36772"/>
    <w:rsid w:val="3C5617DA"/>
    <w:rsid w:val="3C704BF8"/>
    <w:rsid w:val="3CD170FF"/>
    <w:rsid w:val="3D2F18CA"/>
    <w:rsid w:val="3E9C4B3F"/>
    <w:rsid w:val="46DE4628"/>
    <w:rsid w:val="48EE4E30"/>
    <w:rsid w:val="4AE86254"/>
    <w:rsid w:val="4C8C62E4"/>
    <w:rsid w:val="4E735203"/>
    <w:rsid w:val="4FDA069A"/>
    <w:rsid w:val="50AF5CB1"/>
    <w:rsid w:val="52035F68"/>
    <w:rsid w:val="520643D9"/>
    <w:rsid w:val="530D14A4"/>
    <w:rsid w:val="550013E1"/>
    <w:rsid w:val="55BF18F2"/>
    <w:rsid w:val="56E50A49"/>
    <w:rsid w:val="584B4B8B"/>
    <w:rsid w:val="58932D0B"/>
    <w:rsid w:val="5A893DDA"/>
    <w:rsid w:val="5B49464C"/>
    <w:rsid w:val="5BE30497"/>
    <w:rsid w:val="5C986DE2"/>
    <w:rsid w:val="5E0C1314"/>
    <w:rsid w:val="5F3C4B7F"/>
    <w:rsid w:val="608F35FD"/>
    <w:rsid w:val="61815994"/>
    <w:rsid w:val="621A5E15"/>
    <w:rsid w:val="62DD7813"/>
    <w:rsid w:val="632D695C"/>
    <w:rsid w:val="67280D83"/>
    <w:rsid w:val="67697145"/>
    <w:rsid w:val="689E77A6"/>
    <w:rsid w:val="692106AE"/>
    <w:rsid w:val="6A617D40"/>
    <w:rsid w:val="6B030B8B"/>
    <w:rsid w:val="6DCD416F"/>
    <w:rsid w:val="6E685453"/>
    <w:rsid w:val="71BF207A"/>
    <w:rsid w:val="73982F9D"/>
    <w:rsid w:val="73BB1F16"/>
    <w:rsid w:val="73D2205C"/>
    <w:rsid w:val="763739D2"/>
    <w:rsid w:val="77B01185"/>
    <w:rsid w:val="78F41CD4"/>
    <w:rsid w:val="7B670A1E"/>
    <w:rsid w:val="7EEC69BA"/>
    <w:rsid w:val="7FA81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 w:qFormat="1"/>
    <w:lsdException w:name="caption" w:qFormat="1"/>
    <w:lsdException w:name="page number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Followed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 w:line="288" w:lineRule="auto"/>
      <w:jc w:val="left"/>
    </w:pPr>
    <w:rPr>
      <w:rFonts w:ascii="宋体" w:hAnsi="宋体" w:cs="宋体"/>
      <w:color w:val="000000"/>
      <w:kern w:val="0"/>
      <w:sz w:val="24"/>
    </w:rPr>
  </w:style>
  <w:style w:type="character" w:styleId="a8">
    <w:name w:val="page number"/>
    <w:basedOn w:val="a1"/>
    <w:qFormat/>
  </w:style>
  <w:style w:type="character" w:styleId="a9">
    <w:name w:val="FollowedHyperlink"/>
    <w:basedOn w:val="a1"/>
    <w:qFormat/>
    <w:rPr>
      <w:color w:val="000000"/>
      <w:sz w:val="21"/>
      <w:szCs w:val="21"/>
      <w:u w:val="none"/>
    </w:rPr>
  </w:style>
  <w:style w:type="character" w:styleId="aa">
    <w:name w:val="Hyperlink"/>
    <w:basedOn w:val="a1"/>
    <w:qFormat/>
    <w:rPr>
      <w:color w:val="000000"/>
      <w:sz w:val="21"/>
      <w:szCs w:val="21"/>
      <w:u w:val="none"/>
    </w:rPr>
  </w:style>
  <w:style w:type="character" w:customStyle="1" w:styleId="Char1">
    <w:name w:val="页眉 Char"/>
    <w:basedOn w:val="a1"/>
    <w:link w:val="a6"/>
    <w:qFormat/>
    <w:rPr>
      <w:kern w:val="2"/>
      <w:sz w:val="18"/>
      <w:szCs w:val="18"/>
    </w:rPr>
  </w:style>
  <w:style w:type="character" w:customStyle="1" w:styleId="NormalCharacter">
    <w:name w:val="NormalCharacter"/>
    <w:uiPriority w:val="99"/>
    <w:qFormat/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customStyle="1" w:styleId="Char">
    <w:name w:val="批注框文本 Char"/>
    <w:basedOn w:val="a1"/>
    <w:link w:val="a4"/>
    <w:qFormat/>
    <w:rPr>
      <w:kern w:val="2"/>
      <w:sz w:val="18"/>
      <w:szCs w:val="18"/>
    </w:rPr>
  </w:style>
  <w:style w:type="character" w:customStyle="1" w:styleId="navitem">
    <w:name w:val="navitem"/>
    <w:basedOn w:val="a1"/>
    <w:qFormat/>
    <w:rPr>
      <w:sz w:val="21"/>
      <w:szCs w:val="21"/>
    </w:rPr>
  </w:style>
  <w:style w:type="character" w:customStyle="1" w:styleId="Char0">
    <w:name w:val="页脚 Char"/>
    <w:basedOn w:val="a1"/>
    <w:link w:val="a5"/>
    <w:uiPriority w:val="99"/>
    <w:rsid w:val="0003149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2805</Words>
  <Characters>232</Characters>
  <Application>Microsoft Office Word</Application>
  <DocSecurity>0</DocSecurity>
  <Lines>1</Lines>
  <Paragraphs>6</Paragraphs>
  <ScaleCrop>false</ScaleCrop>
  <Company>Lenovo</Company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29</cp:revision>
  <cp:lastPrinted>2021-06-18T03:53:00Z</cp:lastPrinted>
  <dcterms:created xsi:type="dcterms:W3CDTF">2021-06-03T13:09:00Z</dcterms:created>
  <dcterms:modified xsi:type="dcterms:W3CDTF">2021-06-28T09:52:00Z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