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9"/>
        <w:tblW w:w="9042" w:type="dxa"/>
        <w:jc w:val="center"/>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40"/>
        <w:gridCol w:w="170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2" w:hRule="atLeast"/>
          <w:jc w:val="center"/>
        </w:trPr>
        <w:tc>
          <w:tcPr>
            <w:tcW w:w="7340" w:type="dxa"/>
            <w:vAlign w:val="center"/>
          </w:tcPr>
          <w:p>
            <w:pPr>
              <w:keepNext w:val="0"/>
              <w:keepLines w:val="0"/>
              <w:pageBreakBefore w:val="0"/>
              <w:widowControl w:val="0"/>
              <w:kinsoku/>
              <w:wordWrap/>
              <w:overflowPunct/>
              <w:topLinePunct w:val="0"/>
              <w:autoSpaceDE/>
              <w:autoSpaceDN/>
              <w:bidi w:val="0"/>
              <w:adjustRightInd/>
              <w:snapToGrid/>
              <w:spacing w:line="1300" w:lineRule="exact"/>
              <w:jc w:val="distribute"/>
              <w:textAlignment w:val="auto"/>
              <w:outlineLvl w:val="9"/>
              <w:rPr>
                <w:rFonts w:ascii="宋体" w:hAnsi="宋体"/>
                <w:b/>
                <w:color w:val="FF0000"/>
                <w:spacing w:val="-46"/>
                <w:w w:val="66"/>
                <w:kern w:val="0"/>
                <w:position w:val="-6"/>
                <w:sz w:val="110"/>
                <w:szCs w:val="110"/>
              </w:rPr>
            </w:pPr>
            <w:r>
              <w:rPr>
                <w:rFonts w:hint="eastAsia" w:ascii="宋体" w:hAnsi="宋体"/>
                <w:b/>
                <w:color w:val="FF0000"/>
                <w:spacing w:val="-46"/>
                <w:w w:val="66"/>
                <w:kern w:val="0"/>
                <w:position w:val="-6"/>
                <w:sz w:val="110"/>
                <w:szCs w:val="110"/>
              </w:rPr>
              <w:t>莱西市</w:t>
            </w:r>
            <w:r>
              <w:rPr>
                <w:rFonts w:hint="eastAsia" w:ascii="宋体" w:hAnsi="宋体"/>
                <w:b/>
                <w:color w:val="FF0000"/>
                <w:spacing w:val="-46"/>
                <w:w w:val="66"/>
                <w:kern w:val="0"/>
                <w:position w:val="-6"/>
                <w:sz w:val="110"/>
                <w:szCs w:val="110"/>
                <w:lang w:eastAsia="zh-CN"/>
              </w:rPr>
              <w:t>医疗保障局</w:t>
            </w:r>
          </w:p>
        </w:tc>
        <w:tc>
          <w:tcPr>
            <w:tcW w:w="1702" w:type="dxa"/>
            <w:vMerge w:val="restart"/>
            <w:vAlign w:val="center"/>
          </w:tcPr>
          <w:p>
            <w:pPr>
              <w:jc w:val="distribute"/>
              <w:rPr>
                <w:rFonts w:hint="eastAsia" w:ascii="宋体" w:hAnsi="宋体" w:eastAsia="宋体"/>
                <w:b/>
                <w:color w:val="FF0000"/>
                <w:spacing w:val="-46"/>
                <w:w w:val="66"/>
                <w:kern w:val="0"/>
                <w:position w:val="-6"/>
                <w:sz w:val="110"/>
                <w:szCs w:val="110"/>
                <w:lang w:eastAsia="zh-CN"/>
              </w:rPr>
            </w:pPr>
            <w:r>
              <w:rPr>
                <w:rFonts w:hint="eastAsia" w:ascii="宋体" w:hAnsi="宋体"/>
                <w:b/>
                <w:color w:val="FF0000"/>
                <w:spacing w:val="-46"/>
                <w:w w:val="66"/>
                <w:kern w:val="0"/>
                <w:position w:val="-6"/>
                <w:sz w:val="110"/>
                <w:szCs w:val="110"/>
                <w:lang w:eastAsia="zh-CN"/>
              </w:rPr>
              <w:t>文件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066" w:hRule="atLeast"/>
          <w:jc w:val="center"/>
        </w:trPr>
        <w:tc>
          <w:tcPr>
            <w:tcW w:w="7340" w:type="dxa"/>
            <w:vAlign w:val="center"/>
          </w:tcPr>
          <w:p>
            <w:pPr>
              <w:keepNext w:val="0"/>
              <w:keepLines w:val="0"/>
              <w:pageBreakBefore w:val="0"/>
              <w:widowControl w:val="0"/>
              <w:kinsoku/>
              <w:wordWrap/>
              <w:overflowPunct/>
              <w:topLinePunct w:val="0"/>
              <w:autoSpaceDE/>
              <w:autoSpaceDN/>
              <w:bidi w:val="0"/>
              <w:adjustRightInd/>
              <w:snapToGrid/>
              <w:spacing w:line="1300" w:lineRule="exact"/>
              <w:jc w:val="distribute"/>
              <w:textAlignment w:val="auto"/>
              <w:outlineLvl w:val="9"/>
              <w:rPr>
                <w:rFonts w:ascii="宋体" w:hAnsi="宋体"/>
                <w:b/>
                <w:color w:val="FF0000"/>
                <w:spacing w:val="-20"/>
                <w:w w:val="50"/>
                <w:kern w:val="0"/>
                <w:position w:val="-4"/>
                <w:sz w:val="110"/>
                <w:szCs w:val="110"/>
              </w:rPr>
            </w:pPr>
            <w:r>
              <w:rPr>
                <w:rFonts w:hint="eastAsia" w:ascii="宋体" w:hAnsi="宋体"/>
                <w:b/>
                <w:color w:val="FF0000"/>
                <w:spacing w:val="-46"/>
                <w:w w:val="66"/>
                <w:kern w:val="0"/>
                <w:position w:val="-6"/>
                <w:sz w:val="110"/>
                <w:szCs w:val="110"/>
              </w:rPr>
              <w:t>莱西市</w:t>
            </w:r>
            <w:r>
              <w:rPr>
                <w:rFonts w:hint="eastAsia" w:ascii="宋体" w:hAnsi="宋体"/>
                <w:b/>
                <w:color w:val="FF0000"/>
                <w:spacing w:val="-46"/>
                <w:w w:val="66"/>
                <w:kern w:val="0"/>
                <w:position w:val="-6"/>
                <w:sz w:val="110"/>
                <w:szCs w:val="110"/>
                <w:lang w:eastAsia="zh-CN"/>
              </w:rPr>
              <w:t>财政局</w:t>
            </w:r>
          </w:p>
        </w:tc>
        <w:tc>
          <w:tcPr>
            <w:tcW w:w="1702" w:type="dxa"/>
            <w:vMerge w:val="continue"/>
            <w:vAlign w:val="center"/>
          </w:tcPr>
          <w:p>
            <w:pPr>
              <w:jc w:val="distribute"/>
              <w:rPr>
                <w:rFonts w:hint="eastAsia" w:ascii="宋体" w:hAnsi="宋体"/>
                <w:b/>
                <w:color w:val="FF0000"/>
                <w:spacing w:val="-46"/>
                <w:w w:val="66"/>
                <w:kern w:val="0"/>
                <w:position w:val="-6"/>
                <w:sz w:val="110"/>
                <w:szCs w:val="11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2" w:hRule="atLeast"/>
          <w:jc w:val="center"/>
        </w:trPr>
        <w:tc>
          <w:tcPr>
            <w:tcW w:w="7340" w:type="dxa"/>
            <w:vAlign w:val="center"/>
          </w:tcPr>
          <w:p>
            <w:pPr>
              <w:keepNext w:val="0"/>
              <w:keepLines w:val="0"/>
              <w:pageBreakBefore w:val="0"/>
              <w:widowControl w:val="0"/>
              <w:kinsoku/>
              <w:wordWrap/>
              <w:overflowPunct/>
              <w:topLinePunct w:val="0"/>
              <w:autoSpaceDE/>
              <w:autoSpaceDN/>
              <w:bidi w:val="0"/>
              <w:adjustRightInd/>
              <w:snapToGrid/>
              <w:spacing w:line="1300" w:lineRule="exact"/>
              <w:jc w:val="distribute"/>
              <w:textAlignment w:val="auto"/>
              <w:outlineLvl w:val="9"/>
              <w:rPr>
                <w:rFonts w:ascii="宋体" w:hAnsi="宋体"/>
                <w:b/>
                <w:color w:val="FF0000"/>
                <w:spacing w:val="-46"/>
                <w:w w:val="66"/>
                <w:kern w:val="0"/>
                <w:position w:val="-6"/>
                <w:sz w:val="110"/>
                <w:szCs w:val="110"/>
              </w:rPr>
            </w:pPr>
            <w:r>
              <w:rPr>
                <w:rFonts w:hint="eastAsia" w:ascii="宋体" w:hAnsi="宋体"/>
                <w:b/>
                <w:color w:val="FF0000"/>
                <w:spacing w:val="-20"/>
                <w:w w:val="50"/>
                <w:kern w:val="0"/>
                <w:position w:val="-4"/>
                <w:sz w:val="120"/>
                <w:szCs w:val="120"/>
                <w:lang w:eastAsia="zh-CN"/>
              </w:rPr>
              <w:t>国家税务总局莱西市税务局</w:t>
            </w:r>
          </w:p>
        </w:tc>
        <w:tc>
          <w:tcPr>
            <w:tcW w:w="1702" w:type="dxa"/>
            <w:vMerge w:val="continue"/>
            <w:vAlign w:val="center"/>
          </w:tcPr>
          <w:p>
            <w:pPr>
              <w:jc w:val="both"/>
              <w:rPr>
                <w:rFonts w:hint="eastAsia" w:ascii="宋体" w:hAnsi="宋体"/>
                <w:b/>
                <w:color w:val="FF0000"/>
                <w:spacing w:val="-20"/>
                <w:w w:val="50"/>
                <w:kern w:val="0"/>
                <w:position w:val="-4"/>
                <w:sz w:val="120"/>
                <w:szCs w:val="120"/>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2" w:hRule="atLeast"/>
          <w:jc w:val="center"/>
        </w:trPr>
        <w:tc>
          <w:tcPr>
            <w:tcW w:w="7340" w:type="dxa"/>
            <w:vAlign w:val="center"/>
          </w:tcPr>
          <w:p>
            <w:pPr>
              <w:keepNext w:val="0"/>
              <w:keepLines w:val="0"/>
              <w:pageBreakBefore w:val="0"/>
              <w:widowControl w:val="0"/>
              <w:kinsoku/>
              <w:wordWrap/>
              <w:overflowPunct/>
              <w:topLinePunct w:val="0"/>
              <w:autoSpaceDE/>
              <w:autoSpaceDN/>
              <w:bidi w:val="0"/>
              <w:adjustRightInd/>
              <w:snapToGrid/>
              <w:spacing w:line="1300" w:lineRule="exact"/>
              <w:jc w:val="distribute"/>
              <w:textAlignment w:val="auto"/>
              <w:outlineLvl w:val="9"/>
              <w:rPr>
                <w:rFonts w:hint="eastAsia" w:ascii="宋体" w:hAnsi="宋体"/>
                <w:b/>
                <w:color w:val="FF0000"/>
                <w:spacing w:val="-20"/>
                <w:w w:val="50"/>
                <w:kern w:val="0"/>
                <w:position w:val="-4"/>
                <w:sz w:val="120"/>
                <w:szCs w:val="120"/>
                <w:lang w:eastAsia="zh-CN"/>
              </w:rPr>
            </w:pPr>
            <w:r>
              <w:rPr>
                <w:rFonts w:hint="eastAsia" w:ascii="宋体" w:hAnsi="宋体"/>
                <w:b/>
                <w:color w:val="FF0000"/>
                <w:spacing w:val="-46"/>
                <w:w w:val="66"/>
                <w:kern w:val="0"/>
                <w:position w:val="-6"/>
                <w:sz w:val="110"/>
                <w:szCs w:val="110"/>
              </w:rPr>
              <w:t>莱西市</w:t>
            </w:r>
            <w:r>
              <w:rPr>
                <w:rFonts w:hint="eastAsia" w:ascii="宋体" w:hAnsi="宋体"/>
                <w:b/>
                <w:color w:val="FF0000"/>
                <w:spacing w:val="-46"/>
                <w:w w:val="66"/>
                <w:kern w:val="0"/>
                <w:position w:val="-6"/>
                <w:sz w:val="110"/>
                <w:szCs w:val="110"/>
                <w:lang w:eastAsia="zh-CN"/>
              </w:rPr>
              <w:t>教育和体育局</w:t>
            </w:r>
          </w:p>
        </w:tc>
        <w:tc>
          <w:tcPr>
            <w:tcW w:w="1702" w:type="dxa"/>
            <w:vMerge w:val="continue"/>
            <w:vAlign w:val="center"/>
          </w:tcPr>
          <w:p>
            <w:pPr>
              <w:jc w:val="distribute"/>
              <w:rPr>
                <w:rFonts w:hint="eastAsia" w:ascii="宋体" w:hAnsi="宋体"/>
                <w:b/>
                <w:color w:val="FF0000"/>
                <w:spacing w:val="-46"/>
                <w:w w:val="66"/>
                <w:kern w:val="0"/>
                <w:position w:val="-6"/>
                <w:sz w:val="110"/>
                <w:szCs w:val="110"/>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rPr>
          <w:trHeight w:val="1122" w:hRule="atLeast"/>
          <w:jc w:val="center"/>
        </w:trPr>
        <w:tc>
          <w:tcPr>
            <w:tcW w:w="7340" w:type="dxa"/>
            <w:vAlign w:val="center"/>
          </w:tcPr>
          <w:p>
            <w:pPr>
              <w:keepNext w:val="0"/>
              <w:keepLines w:val="0"/>
              <w:pageBreakBefore w:val="0"/>
              <w:widowControl w:val="0"/>
              <w:kinsoku/>
              <w:wordWrap/>
              <w:overflowPunct/>
              <w:topLinePunct w:val="0"/>
              <w:autoSpaceDE/>
              <w:autoSpaceDN/>
              <w:bidi w:val="0"/>
              <w:adjustRightInd/>
              <w:snapToGrid/>
              <w:spacing w:line="1300" w:lineRule="exact"/>
              <w:jc w:val="distribute"/>
              <w:textAlignment w:val="auto"/>
              <w:outlineLvl w:val="9"/>
              <w:rPr>
                <w:rFonts w:hint="eastAsia" w:ascii="宋体" w:hAnsi="宋体"/>
                <w:b/>
                <w:color w:val="FF0000"/>
                <w:spacing w:val="-46"/>
                <w:w w:val="66"/>
                <w:kern w:val="0"/>
                <w:position w:val="-6"/>
                <w:sz w:val="110"/>
                <w:szCs w:val="110"/>
              </w:rPr>
            </w:pPr>
            <w:r>
              <w:rPr>
                <w:rFonts w:hint="eastAsia" w:ascii="宋体" w:hAnsi="宋体"/>
                <w:b/>
                <w:color w:val="FF0000"/>
                <w:spacing w:val="-46"/>
                <w:w w:val="66"/>
                <w:kern w:val="0"/>
                <w:position w:val="-6"/>
                <w:sz w:val="110"/>
                <w:szCs w:val="110"/>
              </w:rPr>
              <w:t>莱西市</w:t>
            </w:r>
            <w:r>
              <w:rPr>
                <w:rFonts w:hint="eastAsia" w:ascii="宋体" w:hAnsi="宋体"/>
                <w:b/>
                <w:color w:val="FF0000"/>
                <w:spacing w:val="-46"/>
                <w:w w:val="66"/>
                <w:kern w:val="0"/>
                <w:position w:val="-6"/>
                <w:sz w:val="110"/>
                <w:szCs w:val="110"/>
                <w:lang w:eastAsia="zh-CN"/>
              </w:rPr>
              <w:t>残疾人联合会</w:t>
            </w:r>
          </w:p>
        </w:tc>
        <w:tc>
          <w:tcPr>
            <w:tcW w:w="1702" w:type="dxa"/>
            <w:vMerge w:val="continue"/>
            <w:vAlign w:val="center"/>
          </w:tcPr>
          <w:p>
            <w:pPr>
              <w:jc w:val="distribute"/>
              <w:rPr>
                <w:rFonts w:hint="eastAsia" w:ascii="宋体" w:hAnsi="宋体"/>
                <w:b/>
                <w:color w:val="FF0000"/>
                <w:spacing w:val="-46"/>
                <w:w w:val="66"/>
                <w:kern w:val="0"/>
                <w:position w:val="-6"/>
                <w:sz w:val="110"/>
                <w:szCs w:val="110"/>
              </w:rPr>
            </w:pPr>
          </w:p>
        </w:tc>
      </w:tr>
    </w:tbl>
    <w:p>
      <w:pPr>
        <w:jc w:val="both"/>
        <w:rPr>
          <w:b/>
          <w:sz w:val="44"/>
          <w:szCs w:val="44"/>
        </w:rPr>
      </w:pPr>
    </w:p>
    <w:p>
      <w:pPr>
        <w:jc w:val="center"/>
        <w:rPr>
          <w:rFonts w:ascii="仿宋_GB2312" w:hAnsi="宋体" w:eastAsia="仿宋_GB2312"/>
          <w:color w:val="000000"/>
          <w:sz w:val="32"/>
          <w:szCs w:val="32"/>
        </w:rPr>
      </w:pPr>
      <w:r>
        <w:rPr>
          <w:rFonts w:hint="eastAsia" w:ascii="仿宋_GB2312" w:hAnsi="宋体" w:eastAsia="仿宋_GB2312"/>
          <w:color w:val="000000"/>
          <w:sz w:val="32"/>
          <w:szCs w:val="32"/>
        </w:rPr>
        <w:t>西</w:t>
      </w:r>
      <w:r>
        <w:rPr>
          <w:rFonts w:hint="eastAsia" w:ascii="仿宋_GB2312" w:hAnsi="宋体" w:eastAsia="仿宋_GB2312"/>
          <w:color w:val="000000"/>
          <w:sz w:val="32"/>
          <w:szCs w:val="32"/>
          <w:lang w:eastAsia="zh-CN"/>
        </w:rPr>
        <w:t>医保</w:t>
      </w:r>
      <w:r>
        <w:rPr>
          <w:rFonts w:hint="eastAsia" w:ascii="仿宋_GB2312" w:hAnsi="宋体" w:eastAsia="仿宋_GB2312"/>
          <w:color w:val="000000"/>
          <w:sz w:val="32"/>
          <w:szCs w:val="32"/>
        </w:rPr>
        <w:t>字</w:t>
      </w:r>
      <w:r>
        <w:rPr>
          <w:rFonts w:hint="eastAsia" w:ascii="仿宋_GB2312" w:hAnsi="宋体" w:eastAsia="仿宋_GB2312" w:cs="宋体"/>
          <w:color w:val="000000"/>
          <w:sz w:val="32"/>
          <w:szCs w:val="32"/>
        </w:rPr>
        <w:t>〔</w:t>
      </w:r>
      <w:r>
        <w:rPr>
          <w:rFonts w:hint="eastAsia" w:ascii="仿宋_GB2312" w:hAnsi="宋体" w:eastAsia="仿宋_GB2312"/>
          <w:color w:val="000000"/>
          <w:sz w:val="32"/>
          <w:szCs w:val="32"/>
          <w:lang w:val="en-US" w:eastAsia="zh-CN"/>
        </w:rPr>
        <w:t>2023</w:t>
      </w:r>
      <w:r>
        <w:rPr>
          <w:rFonts w:hint="eastAsia" w:ascii="仿宋_GB2312" w:hAnsi="宋体" w:eastAsia="仿宋_GB2312"/>
          <w:color w:val="000000"/>
          <w:sz w:val="32"/>
          <w:szCs w:val="32"/>
        </w:rPr>
        <w:t>〕</w:t>
      </w:r>
      <w:r>
        <w:rPr>
          <w:rFonts w:hint="eastAsia" w:ascii="仿宋_GB2312" w:hAnsi="宋体" w:eastAsia="仿宋_GB2312"/>
          <w:color w:val="000000"/>
          <w:sz w:val="32"/>
          <w:szCs w:val="32"/>
          <w:lang w:val="en-US" w:eastAsia="zh-CN"/>
        </w:rPr>
        <w:t>20</w:t>
      </w:r>
      <w:r>
        <w:rPr>
          <w:rFonts w:hint="eastAsia" w:ascii="仿宋_GB2312" w:hAnsi="宋体" w:eastAsia="仿宋_GB2312"/>
          <w:color w:val="000000"/>
          <w:sz w:val="32"/>
          <w:szCs w:val="32"/>
        </w:rPr>
        <w:t>号</w:t>
      </w:r>
    </w:p>
    <w:p>
      <w:pPr>
        <w:jc w:val="center"/>
        <w:rPr>
          <w:rFonts w:hint="eastAsia"/>
        </w:rPr>
      </w:pPr>
      <w:r>
        <w:rPr>
          <w:rFonts w:hint="eastAsia"/>
        </w:rPr>
        <mc:AlternateContent>
          <mc:Choice Requires="wps">
            <w:drawing>
              <wp:anchor distT="0" distB="0" distL="114300" distR="114300" simplePos="0" relativeHeight="251660288" behindDoc="0" locked="0" layoutInCell="1" allowOverlap="1">
                <wp:simplePos x="0" y="0"/>
                <wp:positionH relativeFrom="column">
                  <wp:posOffset>17780</wp:posOffset>
                </wp:positionH>
                <wp:positionV relativeFrom="paragraph">
                  <wp:posOffset>3175</wp:posOffset>
                </wp:positionV>
                <wp:extent cx="5715000" cy="0"/>
                <wp:effectExtent l="0" t="0" r="0" b="0"/>
                <wp:wrapNone/>
                <wp:docPr id="4" name="直接连接符 4"/>
                <wp:cNvGraphicFramePr/>
                <a:graphic xmlns:a="http://schemas.openxmlformats.org/drawingml/2006/main">
                  <a:graphicData uri="http://schemas.microsoft.com/office/word/2010/wordprocessingShape">
                    <wps:wsp>
                      <wps:cNvCnPr/>
                      <wps:spPr>
                        <a:xfrm flipV="1">
                          <a:off x="0" y="0"/>
                          <a:ext cx="571500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1.4pt;margin-top:0.25pt;height:0pt;width:450pt;z-index:251660288;mso-width-relative:page;mso-height-relative:page;" filled="f" stroked="t" coordsize="21600,21600" o:gfxdata="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shVuM0QAAAAMBAAAPAAAA&#10;AAAAAAEAIAAAACIAAABkcnMvZG93bnJldi54bWxQSwECFAAUAAAACACHTuJAk+4YweMBAAChAwAA&#10;DgAAAAAAAAABACAAAAAgAQAAZHJzL2Uyb0RvYy54bWxQSwUGAAAAAAYABgBZAQAAdQUAAAAA&#10;">
                <v:fill on="f" focussize="0,0"/>
                <v:stroke weight="1.5pt" color="#FF0000" joinstyle="round"/>
                <v:imagedata o:title=""/>
                <o:lock v:ext="edit" aspectratio="f"/>
              </v:line>
            </w:pict>
          </mc:Fallback>
        </mc:AlternateContent>
      </w:r>
    </w:p>
    <w:p>
      <w:pPr>
        <w:keepNext w:val="0"/>
        <w:keepLines w:val="0"/>
        <w:pageBreakBefore w:val="0"/>
        <w:widowControl w:val="0"/>
        <w:kinsoku/>
        <w:wordWrap/>
        <w:overflowPunct/>
        <w:topLinePunct w:val="0"/>
        <w:autoSpaceDE/>
        <w:autoSpaceDN/>
        <w:bidi w:val="0"/>
        <w:spacing w:line="560" w:lineRule="exact"/>
        <w:jc w:val="center"/>
        <w:textAlignment w:val="auto"/>
        <w:rPr>
          <w:rFonts w:ascii="方正小标宋_GBK" w:hAnsi="方正小标宋_GBK" w:eastAsia="方正小标宋_GBK" w:cs="方正小标宋_GBK"/>
          <w:sz w:val="44"/>
          <w:szCs w:val="44"/>
        </w:rPr>
      </w:pPr>
      <w:r>
        <w:rPr>
          <w:sz w:val="44"/>
          <w:szCs w:val="44"/>
        </w:rPr>
        <w:pict>
          <v:shape id="艺术字 5" o:spid="_x0000_s2050" o:spt="136" type="#_x0000_t136" style="position:absolute;left:0pt;margin-left:556.3pt;margin-top:12.45pt;height:56.15pt;width:410pt;z-index:251661312;mso-width-relative:page;mso-height-relative:page;" fillcolor="#FF0000" filled="t" stroked="t" coordsize="21600,21600" adj="10800">
            <v:path/>
            <v:fill on="t" color2="#FFFFFF" focussize="0,0"/>
            <v:stroke color="#FF0000"/>
            <v:imagedata o:title=""/>
            <o:lock v:ext="edit" aspectratio="f"/>
            <v:textpath on="t" fitshape="t" fitpath="t" trim="t" xscale="f" string="莱西市医疗保障局" style="font-family:宋体;font-size:32pt;v-text-align:center;"/>
          </v:shape>
        </w:pict>
      </w:r>
      <w:r>
        <w:rPr>
          <w:rFonts w:hint="eastAsia" w:ascii="方正小标宋_GBK" w:hAnsi="方正小标宋_GBK" w:eastAsia="方正小标宋_GBK" w:cs="方正小标宋_GBK"/>
          <w:sz w:val="44"/>
          <w:szCs w:val="44"/>
        </w:rPr>
        <w:t>关于做好202</w:t>
      </w:r>
      <w:r>
        <w:rPr>
          <w:rFonts w:hint="eastAsia" w:ascii="方正小标宋_GBK" w:hAnsi="方正小标宋_GBK" w:eastAsia="方正小标宋_GBK" w:cs="方正小标宋_GBK"/>
          <w:sz w:val="44"/>
          <w:szCs w:val="44"/>
          <w:lang w:val="en-US" w:eastAsia="zh-CN"/>
        </w:rPr>
        <w:t>4</w:t>
      </w:r>
      <w:r>
        <w:rPr>
          <w:rFonts w:hint="eastAsia" w:ascii="方正小标宋_GBK" w:hAnsi="方正小标宋_GBK" w:eastAsia="方正小标宋_GBK" w:cs="方正小标宋_GBK"/>
          <w:sz w:val="44"/>
          <w:szCs w:val="44"/>
        </w:rPr>
        <w:t>年度居民医保征缴工作的通知</w:t>
      </w:r>
    </w:p>
    <w:p>
      <w:pPr>
        <w:keepNext w:val="0"/>
        <w:keepLines w:val="0"/>
        <w:pageBreakBefore w:val="0"/>
        <w:widowControl w:val="0"/>
        <w:kinsoku/>
        <w:wordWrap/>
        <w:overflowPunct/>
        <w:topLinePunct w:val="0"/>
        <w:autoSpaceDE/>
        <w:autoSpaceDN/>
        <w:bidi w:val="0"/>
        <w:spacing w:line="560" w:lineRule="exact"/>
        <w:textAlignment w:val="auto"/>
        <w:outlineLvl w:val="9"/>
        <w:rPr>
          <w:sz w:val="44"/>
          <w:szCs w:val="44"/>
        </w:rPr>
      </w:pPr>
    </w:p>
    <w:p>
      <w:pPr>
        <w:keepNext w:val="0"/>
        <w:keepLines w:val="0"/>
        <w:pageBreakBefore w:val="0"/>
        <w:widowControl w:val="0"/>
        <w:kinsoku/>
        <w:wordWrap/>
        <w:overflowPunct/>
        <w:topLinePunct w:val="0"/>
        <w:autoSpaceDE/>
        <w:autoSpaceDN/>
        <w:bidi w:val="0"/>
        <w:spacing w:line="560" w:lineRule="exact"/>
        <w:jc w:val="both"/>
        <w:textAlignment w:val="auto"/>
        <w:outlineLvl w:val="9"/>
        <w:rPr>
          <w:rFonts w:ascii="仿宋_GB2312" w:eastAsia="仿宋_GB2312"/>
          <w:sz w:val="32"/>
          <w:szCs w:val="32"/>
        </w:rPr>
      </w:pPr>
      <w:r>
        <w:rPr>
          <w:rFonts w:hint="eastAsia" w:ascii="仿宋_GB2312" w:eastAsia="仿宋_GB2312"/>
          <w:sz w:val="32"/>
          <w:szCs w:val="32"/>
        </w:rPr>
        <w:t>各镇政府</w:t>
      </w:r>
      <w:r>
        <w:rPr>
          <w:rFonts w:hint="eastAsia" w:ascii="仿宋_GB2312" w:eastAsia="仿宋_GB2312"/>
          <w:sz w:val="32"/>
          <w:szCs w:val="32"/>
          <w:highlight w:val="none"/>
        </w:rPr>
        <w:t>、街道办事处，市直相关部门，</w:t>
      </w:r>
      <w:r>
        <w:rPr>
          <w:rFonts w:hint="eastAsia" w:ascii="仿宋_GB2312" w:eastAsia="仿宋_GB2312"/>
          <w:sz w:val="32"/>
          <w:szCs w:val="32"/>
          <w:lang w:val="en-US" w:eastAsia="zh-CN"/>
        </w:rPr>
        <w:t>各</w:t>
      </w:r>
      <w:r>
        <w:rPr>
          <w:rFonts w:hint="eastAsia" w:ascii="仿宋_GB2312" w:eastAsia="仿宋_GB2312"/>
          <w:sz w:val="32"/>
          <w:szCs w:val="32"/>
        </w:rPr>
        <w:t>合作银行：</w:t>
      </w:r>
    </w:p>
    <w:p>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jc w:val="both"/>
        <w:textAlignment w:val="auto"/>
        <w:outlineLvl w:val="9"/>
        <w:rPr>
          <w:rFonts w:ascii="仿宋_GB2312" w:hAnsi="仿宋" w:eastAsia="仿宋_GB2312"/>
          <w:sz w:val="32"/>
          <w:szCs w:val="32"/>
        </w:rPr>
      </w:pPr>
      <w:r>
        <w:rPr>
          <w:rFonts w:hint="eastAsia" w:ascii="仿宋_GB2312" w:hAnsi="仿宋" w:eastAsia="仿宋_GB2312" w:cs="仿宋"/>
          <w:sz w:val="32"/>
          <w:szCs w:val="32"/>
        </w:rPr>
        <w:t>根据青岛市</w:t>
      </w:r>
      <w:r>
        <w:rPr>
          <w:rFonts w:hint="eastAsia" w:ascii="仿宋_GB2312" w:hAnsi="仿宋" w:eastAsia="仿宋_GB2312" w:cs="仿宋"/>
          <w:color w:val="000000"/>
          <w:sz w:val="32"/>
          <w:szCs w:val="32"/>
          <w:highlight w:val="none"/>
          <w:lang w:eastAsia="zh-CN"/>
        </w:rPr>
        <w:t>《</w:t>
      </w:r>
      <w:r>
        <w:rPr>
          <w:rFonts w:hint="eastAsia" w:ascii="仿宋_GB2312" w:hAnsi="仿宋_GB2312" w:eastAsia="仿宋_GB2312" w:cs="仿宋_GB2312"/>
          <w:snapToGrid w:val="0"/>
          <w:kern w:val="0"/>
          <w:sz w:val="32"/>
          <w:szCs w:val="32"/>
          <w:highlight w:val="none"/>
        </w:rPr>
        <w:t>关于明确我市居民医疗保险有关政策的通知</w:t>
      </w:r>
      <w:r>
        <w:rPr>
          <w:rFonts w:hint="eastAsia" w:ascii="仿宋_GB2312" w:hAnsi="仿宋" w:eastAsia="仿宋_GB2312" w:cs="仿宋"/>
          <w:color w:val="000000"/>
          <w:sz w:val="32"/>
          <w:szCs w:val="32"/>
          <w:highlight w:val="none"/>
          <w:lang w:eastAsia="zh-CN"/>
        </w:rPr>
        <w:t>》（</w:t>
      </w:r>
      <w:r>
        <w:rPr>
          <w:rFonts w:hint="eastAsia" w:ascii="仿宋_GB2312" w:hAnsi="仿宋" w:eastAsia="仿宋_GB2312" w:cs="仿宋"/>
          <w:color w:val="000000"/>
          <w:sz w:val="32"/>
          <w:szCs w:val="32"/>
          <w:highlight w:val="none"/>
          <w:lang w:val="en-US" w:eastAsia="zh-CN"/>
        </w:rPr>
        <w:t>青医保发〔2023〕22号</w:t>
      </w:r>
      <w:r>
        <w:rPr>
          <w:rFonts w:hint="eastAsia" w:ascii="仿宋_GB2312" w:hAnsi="仿宋" w:eastAsia="仿宋_GB2312" w:cs="仿宋"/>
          <w:color w:val="000000"/>
          <w:sz w:val="32"/>
          <w:szCs w:val="32"/>
          <w:highlight w:val="none"/>
          <w:lang w:eastAsia="zh-CN"/>
        </w:rPr>
        <w:t>）</w:t>
      </w:r>
      <w:r>
        <w:rPr>
          <w:rFonts w:hint="eastAsia" w:ascii="仿宋_GB2312" w:hAnsi="仿宋" w:eastAsia="仿宋_GB2312" w:cs="仿宋"/>
          <w:color w:val="000000"/>
          <w:sz w:val="32"/>
          <w:szCs w:val="32"/>
          <w:highlight w:val="none"/>
          <w:lang w:val="en-US" w:eastAsia="zh-CN"/>
        </w:rPr>
        <w:t>等有关文件规定，</w:t>
      </w:r>
      <w:r>
        <w:rPr>
          <w:rFonts w:hint="eastAsia" w:ascii="仿宋_GB2312" w:hAnsi="仿宋" w:eastAsia="仿宋_GB2312"/>
          <w:sz w:val="32"/>
          <w:szCs w:val="32"/>
        </w:rPr>
        <w:t>现就做好</w:t>
      </w:r>
      <w:r>
        <w:rPr>
          <w:rFonts w:ascii="仿宋_GB2312" w:hAnsi="仿宋" w:eastAsia="仿宋_GB2312"/>
          <w:sz w:val="32"/>
          <w:szCs w:val="32"/>
        </w:rPr>
        <w:t>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年度居民社会医疗保险（以下称居民医保）征缴工作通知如下：</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黑体" w:hAnsi="黑体" w:eastAsia="黑体"/>
          <w:kern w:val="0"/>
          <w:sz w:val="32"/>
          <w:szCs w:val="32"/>
        </w:rPr>
      </w:pPr>
      <w:r>
        <w:rPr>
          <w:rFonts w:hint="eastAsia" w:ascii="黑体" w:hAnsi="黑体" w:eastAsia="黑体"/>
          <w:kern w:val="0"/>
          <w:sz w:val="32"/>
          <w:szCs w:val="32"/>
        </w:rPr>
        <w:t>一、</w:t>
      </w:r>
      <w:r>
        <w:rPr>
          <w:rFonts w:hint="eastAsia" w:ascii="黑体" w:hAnsi="黑体" w:eastAsia="黑体"/>
          <w:kern w:val="0"/>
          <w:sz w:val="32"/>
          <w:szCs w:val="32"/>
          <w:lang w:eastAsia="zh-CN"/>
        </w:rPr>
        <w:t>缴费</w:t>
      </w:r>
      <w:r>
        <w:rPr>
          <w:rFonts w:hint="eastAsia" w:ascii="黑体" w:hAnsi="黑体" w:eastAsia="黑体"/>
          <w:kern w:val="0"/>
          <w:sz w:val="32"/>
          <w:szCs w:val="32"/>
        </w:rPr>
        <w:t>范围</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仿宋_GB2312" w:hAnsi="仿宋" w:eastAsia="仿宋_GB2312"/>
          <w:sz w:val="32"/>
          <w:szCs w:val="32"/>
        </w:rPr>
      </w:pPr>
      <w:r>
        <w:rPr>
          <w:rFonts w:hint="eastAsia" w:ascii="仿宋_GB2312" w:hAnsi="仿宋" w:eastAsia="仿宋_GB2312"/>
          <w:sz w:val="32"/>
          <w:szCs w:val="32"/>
        </w:rPr>
        <w:t>（一）具有本市中等及以下学校学籍的全日制学生、学前教育机构在册儿童，以及其他具有本市户籍未满</w:t>
      </w:r>
      <w:r>
        <w:rPr>
          <w:rFonts w:ascii="仿宋_GB2312" w:hAnsi="仿宋" w:eastAsia="仿宋_GB2312"/>
          <w:sz w:val="32"/>
          <w:szCs w:val="32"/>
        </w:rPr>
        <w:t>18</w:t>
      </w:r>
      <w:r>
        <w:rPr>
          <w:rFonts w:hint="eastAsia" w:ascii="仿宋_GB2312" w:hAnsi="仿宋" w:eastAsia="仿宋_GB2312"/>
          <w:sz w:val="32"/>
          <w:szCs w:val="32"/>
        </w:rPr>
        <w:t>周岁的少年儿童（以下称少年儿童）。</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仿宋_GB2312" w:hAnsi="仿宋" w:eastAsia="仿宋_GB2312"/>
          <w:sz w:val="32"/>
          <w:szCs w:val="32"/>
        </w:rPr>
      </w:pPr>
      <w:r>
        <w:rPr>
          <w:rFonts w:hint="eastAsia" w:ascii="仿宋_GB2312" w:hAnsi="仿宋" w:eastAsia="仿宋_GB2312"/>
          <w:sz w:val="32"/>
          <w:szCs w:val="32"/>
        </w:rPr>
        <w:t>（二）驻莱西高校以及高等职业技术学校的全日制在校学生（以下称大学生）。</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仿宋_GB2312" w:hAnsi="仿宋" w:eastAsia="仿宋_GB2312"/>
          <w:sz w:val="32"/>
          <w:szCs w:val="32"/>
        </w:rPr>
      </w:pPr>
      <w:r>
        <w:rPr>
          <w:rFonts w:hint="eastAsia" w:ascii="仿宋_GB2312" w:hAnsi="仿宋" w:eastAsia="仿宋_GB2312"/>
          <w:sz w:val="32"/>
          <w:szCs w:val="32"/>
        </w:rPr>
        <w:t>（三）具有本市户籍且不属于职工社会医疗保险参保范围的成年居民（以下称成年居民）。</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仿宋_GB2312" w:hAnsi="仿宋" w:eastAsia="仿宋_GB2312"/>
          <w:sz w:val="32"/>
          <w:szCs w:val="32"/>
        </w:rPr>
      </w:pPr>
      <w:r>
        <w:rPr>
          <w:rFonts w:hint="eastAsia" w:ascii="仿宋_GB2312" w:hAnsi="仿宋" w:eastAsia="仿宋_GB2312"/>
          <w:sz w:val="32"/>
          <w:szCs w:val="32"/>
        </w:rPr>
        <w:t>（四）非本市户籍在我市长期居住，持有青岛市公安部门签发的处于有效期内的《山东省居住证》</w:t>
      </w:r>
      <w:r>
        <w:rPr>
          <w:rFonts w:ascii="仿宋_GB2312" w:hAnsi="仿宋" w:eastAsia="仿宋_GB2312"/>
          <w:sz w:val="32"/>
          <w:szCs w:val="32"/>
        </w:rPr>
        <w:t>(</w:t>
      </w:r>
      <w:r>
        <w:rPr>
          <w:rFonts w:hint="eastAsia" w:ascii="仿宋_GB2312" w:hAnsi="仿宋" w:eastAsia="仿宋_GB2312"/>
          <w:sz w:val="32"/>
          <w:szCs w:val="32"/>
        </w:rPr>
        <w:t>以下称《居住证》）并经本人承诺，未在青岛市区域外参加城镇职工或城乡居民基本医疗保险并正常享受相关待遇的人员，可以申请参加我市居民基本医疗保险。</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仿宋_GB2312" w:hAnsi="仿宋" w:eastAsia="仿宋_GB2312"/>
          <w:color w:val="FF0000"/>
          <w:sz w:val="32"/>
          <w:szCs w:val="32"/>
        </w:rPr>
      </w:pPr>
      <w:r>
        <w:rPr>
          <w:rFonts w:hint="eastAsia" w:ascii="仿宋_GB2312" w:hAnsi="仿宋" w:eastAsia="仿宋_GB2312"/>
          <w:sz w:val="32"/>
          <w:szCs w:val="32"/>
        </w:rPr>
        <w:t>（五）</w:t>
      </w:r>
      <w:r>
        <w:rPr>
          <w:rFonts w:hint="eastAsia" w:ascii="仿宋_GB2312" w:hAnsi="仿宋" w:eastAsia="仿宋_GB2312"/>
          <w:sz w:val="32"/>
          <w:szCs w:val="32"/>
          <w:lang w:val="en-US" w:eastAsia="zh-CN"/>
        </w:rPr>
        <w:t>非本市户籍</w:t>
      </w:r>
      <w:r>
        <w:rPr>
          <w:rFonts w:hint="eastAsia" w:ascii="仿宋_GB2312" w:hAnsi="仿宋" w:eastAsia="仿宋_GB2312"/>
          <w:sz w:val="32"/>
          <w:szCs w:val="32"/>
        </w:rPr>
        <w:t>新生儿</w:t>
      </w:r>
      <w:r>
        <w:rPr>
          <w:rFonts w:hint="eastAsia" w:ascii="仿宋_GB2312" w:hAnsi="仿宋" w:eastAsia="仿宋_GB2312"/>
          <w:sz w:val="32"/>
          <w:szCs w:val="32"/>
          <w:lang w:val="en-US" w:eastAsia="zh-CN"/>
        </w:rPr>
        <w:t>，</w:t>
      </w:r>
      <w:r>
        <w:rPr>
          <w:rFonts w:hint="eastAsia" w:ascii="仿宋_GB2312" w:hAnsi="仿宋" w:eastAsia="仿宋_GB2312"/>
          <w:sz w:val="32"/>
          <w:szCs w:val="32"/>
        </w:rPr>
        <w:t>可随持《居住证》的父母一方，参加我市居民基本医疗保险</w:t>
      </w:r>
      <w:r>
        <w:rPr>
          <w:rFonts w:hint="eastAsia" w:ascii="仿宋_GB2312" w:hAnsi="仿宋" w:eastAsia="仿宋_GB2312"/>
          <w:sz w:val="32"/>
          <w:szCs w:val="32"/>
          <w:lang w:eastAsia="zh-CN"/>
        </w:rPr>
        <w:t>。</w:t>
      </w:r>
      <w:r>
        <w:rPr>
          <w:rFonts w:hint="eastAsia" w:ascii="仿宋_GB2312" w:hAnsi="仿宋" w:eastAsia="仿宋_GB2312"/>
          <w:sz w:val="32"/>
          <w:szCs w:val="32"/>
          <w:lang w:val="en-US" w:eastAsia="zh-CN"/>
        </w:rPr>
        <w:t>非本市户籍且</w:t>
      </w:r>
      <w:r>
        <w:rPr>
          <w:rFonts w:hint="eastAsia" w:ascii="仿宋_GB2312" w:hAnsi="仿宋" w:eastAsia="仿宋_GB2312"/>
          <w:sz w:val="32"/>
          <w:szCs w:val="32"/>
        </w:rPr>
        <w:t>未在我市托幼机构参保的婴幼儿，可随持《居住证》的父母一方，参加我市居民基本医疗保险。</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黑体" w:hAnsi="黑体" w:eastAsia="黑体"/>
          <w:kern w:val="0"/>
          <w:sz w:val="32"/>
          <w:szCs w:val="32"/>
        </w:rPr>
      </w:pPr>
      <w:r>
        <w:rPr>
          <w:rFonts w:hint="eastAsia" w:ascii="黑体" w:hAnsi="黑体" w:eastAsia="黑体"/>
          <w:kern w:val="0"/>
          <w:sz w:val="32"/>
          <w:szCs w:val="32"/>
        </w:rPr>
        <w:t>二、集中缴费期</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仿宋_GB2312" w:hAnsi="仿宋" w:eastAsia="仿宋_GB2312"/>
          <w:sz w:val="32"/>
          <w:szCs w:val="32"/>
          <w:highlight w:val="none"/>
        </w:rPr>
      </w:pPr>
      <w:r>
        <w:rPr>
          <w:rFonts w:hint="eastAsia" w:ascii="仿宋_GB2312" w:hAnsi="仿宋" w:eastAsia="仿宋_GB2312"/>
          <w:kern w:val="0"/>
          <w:sz w:val="32"/>
          <w:szCs w:val="32"/>
        </w:rPr>
        <w:t>设置</w:t>
      </w:r>
      <w:r>
        <w:rPr>
          <w:rFonts w:hint="eastAsia" w:ascii="仿宋_GB2312" w:hAnsi="黑体" w:eastAsia="仿宋_GB2312"/>
          <w:kern w:val="0"/>
          <w:sz w:val="32"/>
          <w:szCs w:val="32"/>
        </w:rPr>
        <w:t>居民医保</w:t>
      </w:r>
      <w:r>
        <w:rPr>
          <w:rFonts w:hint="eastAsia" w:ascii="仿宋_GB2312" w:hAnsi="仿宋" w:eastAsia="仿宋_GB2312"/>
          <w:kern w:val="0"/>
          <w:sz w:val="32"/>
          <w:szCs w:val="32"/>
        </w:rPr>
        <w:t>年度集中缴费期，参保范围内人员</w:t>
      </w:r>
      <w:r>
        <w:rPr>
          <w:rFonts w:hint="eastAsia" w:ascii="仿宋_GB2312" w:hAnsi="仿宋" w:eastAsia="仿宋_GB2312"/>
          <w:sz w:val="32"/>
          <w:szCs w:val="32"/>
        </w:rPr>
        <w:t>原则上应在集中缴费期参保缴费。</w:t>
      </w:r>
      <w:r>
        <w:rPr>
          <w:rFonts w:ascii="仿宋_GB2312" w:hAnsi="仿宋" w:eastAsia="仿宋_GB2312"/>
          <w:sz w:val="32"/>
          <w:szCs w:val="32"/>
        </w:rPr>
        <w:t>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年度集中缴费期为</w:t>
      </w:r>
      <w:r>
        <w:rPr>
          <w:rFonts w:ascii="仿宋_GB2312" w:hAnsi="仿宋" w:eastAsia="仿宋_GB2312"/>
          <w:color w:val="auto"/>
          <w:sz w:val="32"/>
          <w:szCs w:val="32"/>
          <w:highlight w:val="none"/>
        </w:rPr>
        <w:t>20</w:t>
      </w:r>
      <w:r>
        <w:rPr>
          <w:rFonts w:hint="eastAsia" w:ascii="仿宋_GB2312" w:hAnsi="仿宋" w:eastAsia="仿宋_GB2312"/>
          <w:color w:val="auto"/>
          <w:sz w:val="32"/>
          <w:szCs w:val="32"/>
          <w:highlight w:val="none"/>
        </w:rPr>
        <w:t>2</w:t>
      </w:r>
      <w:r>
        <w:rPr>
          <w:rFonts w:hint="eastAsia" w:ascii="仿宋_GB2312" w:hAnsi="仿宋" w:eastAsia="仿宋_GB2312"/>
          <w:color w:val="auto"/>
          <w:sz w:val="32"/>
          <w:szCs w:val="32"/>
          <w:highlight w:val="none"/>
          <w:lang w:val="en-US" w:eastAsia="zh-CN"/>
        </w:rPr>
        <w:t>3</w:t>
      </w:r>
      <w:r>
        <w:rPr>
          <w:rFonts w:hint="eastAsia" w:ascii="仿宋_GB2312" w:hAnsi="仿宋" w:eastAsia="仿宋_GB2312"/>
          <w:color w:val="auto"/>
          <w:sz w:val="32"/>
          <w:szCs w:val="32"/>
          <w:highlight w:val="none"/>
        </w:rPr>
        <w:t>年</w:t>
      </w:r>
      <w:r>
        <w:rPr>
          <w:rFonts w:hint="eastAsia" w:ascii="仿宋_GB2312" w:hAnsi="仿宋" w:eastAsia="仿宋_GB2312"/>
          <w:color w:val="auto"/>
          <w:sz w:val="32"/>
          <w:szCs w:val="32"/>
          <w:highlight w:val="none"/>
          <w:lang w:val="en-US" w:eastAsia="zh-CN"/>
        </w:rPr>
        <w:t>10</w:t>
      </w:r>
      <w:r>
        <w:rPr>
          <w:rFonts w:hint="eastAsia" w:ascii="仿宋_GB2312" w:hAnsi="仿宋" w:eastAsia="仿宋_GB2312"/>
          <w:color w:val="auto"/>
          <w:sz w:val="32"/>
          <w:szCs w:val="32"/>
          <w:highlight w:val="none"/>
        </w:rPr>
        <w:t>月</w:t>
      </w:r>
      <w:r>
        <w:rPr>
          <w:rFonts w:hint="eastAsia" w:ascii="仿宋_GB2312" w:hAnsi="仿宋" w:eastAsia="仿宋_GB2312"/>
          <w:color w:val="auto"/>
          <w:sz w:val="32"/>
          <w:szCs w:val="32"/>
          <w:highlight w:val="none"/>
          <w:lang w:val="en-US" w:eastAsia="zh-CN"/>
        </w:rPr>
        <w:t>7</w:t>
      </w:r>
      <w:r>
        <w:rPr>
          <w:rFonts w:hint="eastAsia" w:ascii="仿宋_GB2312" w:hAnsi="仿宋" w:eastAsia="仿宋_GB2312"/>
          <w:color w:val="auto"/>
          <w:sz w:val="32"/>
          <w:szCs w:val="32"/>
          <w:highlight w:val="none"/>
        </w:rPr>
        <w:t>日</w:t>
      </w:r>
      <w:r>
        <w:rPr>
          <w:rFonts w:hint="eastAsia" w:ascii="仿宋_GB2312" w:hAnsi="仿宋" w:eastAsia="仿宋_GB2312"/>
          <w:sz w:val="32"/>
          <w:szCs w:val="32"/>
          <w:highlight w:val="none"/>
        </w:rPr>
        <w:t>至</w:t>
      </w:r>
      <w:r>
        <w:rPr>
          <w:rFonts w:ascii="仿宋_GB2312" w:hAnsi="仿宋" w:eastAsia="仿宋_GB2312"/>
          <w:sz w:val="32"/>
          <w:szCs w:val="32"/>
          <w:highlight w:val="none"/>
        </w:rPr>
        <w:t>20</w:t>
      </w:r>
      <w:r>
        <w:rPr>
          <w:rFonts w:hint="eastAsia" w:ascii="仿宋_GB2312" w:hAnsi="仿宋" w:eastAsia="仿宋_GB2312"/>
          <w:sz w:val="32"/>
          <w:szCs w:val="32"/>
          <w:highlight w:val="none"/>
        </w:rPr>
        <w:t>2</w:t>
      </w:r>
      <w:r>
        <w:rPr>
          <w:rFonts w:hint="eastAsia" w:ascii="仿宋_GB2312" w:hAnsi="仿宋" w:eastAsia="仿宋_GB2312"/>
          <w:sz w:val="32"/>
          <w:szCs w:val="32"/>
          <w:highlight w:val="none"/>
          <w:lang w:val="en-US" w:eastAsia="zh-CN"/>
        </w:rPr>
        <w:t>3</w:t>
      </w:r>
      <w:r>
        <w:rPr>
          <w:rFonts w:hint="eastAsia" w:ascii="仿宋_GB2312" w:hAnsi="仿宋" w:eastAsia="仿宋_GB2312"/>
          <w:sz w:val="32"/>
          <w:szCs w:val="32"/>
          <w:highlight w:val="none"/>
        </w:rPr>
        <w:t>年</w:t>
      </w:r>
      <w:r>
        <w:rPr>
          <w:rFonts w:ascii="仿宋_GB2312" w:hAnsi="仿宋" w:eastAsia="仿宋_GB2312"/>
          <w:sz w:val="32"/>
          <w:szCs w:val="32"/>
          <w:highlight w:val="none"/>
        </w:rPr>
        <w:t>12</w:t>
      </w:r>
      <w:r>
        <w:rPr>
          <w:rFonts w:hint="eastAsia" w:ascii="仿宋_GB2312" w:hAnsi="仿宋" w:eastAsia="仿宋_GB2312"/>
          <w:sz w:val="32"/>
          <w:szCs w:val="32"/>
          <w:highlight w:val="none"/>
        </w:rPr>
        <w:t>月</w:t>
      </w:r>
      <w:r>
        <w:rPr>
          <w:rFonts w:ascii="仿宋_GB2312" w:hAnsi="仿宋" w:eastAsia="仿宋_GB2312"/>
          <w:sz w:val="32"/>
          <w:szCs w:val="32"/>
          <w:highlight w:val="none"/>
        </w:rPr>
        <w:t>20</w:t>
      </w:r>
      <w:r>
        <w:rPr>
          <w:rFonts w:hint="eastAsia" w:ascii="仿宋_GB2312" w:hAnsi="仿宋" w:eastAsia="仿宋_GB2312"/>
          <w:sz w:val="32"/>
          <w:szCs w:val="32"/>
          <w:highlight w:val="none"/>
        </w:rPr>
        <w:t>日。</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黑体" w:hAnsi="黑体" w:eastAsia="黑体"/>
          <w:kern w:val="0"/>
          <w:sz w:val="32"/>
          <w:szCs w:val="32"/>
        </w:rPr>
      </w:pPr>
      <w:r>
        <w:rPr>
          <w:rFonts w:hint="eastAsia" w:ascii="黑体" w:hAnsi="黑体" w:eastAsia="黑体"/>
          <w:kern w:val="0"/>
          <w:sz w:val="32"/>
          <w:szCs w:val="32"/>
        </w:rPr>
        <w:t>三、个人缴费及财政补贴标准</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仿宋_GB2312" w:hAnsi="黑体" w:eastAsia="仿宋_GB2312"/>
          <w:kern w:val="0"/>
          <w:sz w:val="32"/>
          <w:szCs w:val="32"/>
        </w:rPr>
      </w:pPr>
      <w:r>
        <w:rPr>
          <w:rFonts w:hint="eastAsia" w:ascii="仿宋_GB2312" w:hAnsi="黑体" w:eastAsia="仿宋_GB2312"/>
          <w:kern w:val="0"/>
          <w:sz w:val="32"/>
          <w:szCs w:val="32"/>
        </w:rPr>
        <w:t>居民医保基金由个人缴费和财政</w:t>
      </w:r>
      <w:r>
        <w:rPr>
          <w:rFonts w:hint="eastAsia" w:ascii="仿宋_GB2312" w:hAnsi="黑体" w:eastAsia="仿宋_GB2312"/>
          <w:kern w:val="0"/>
          <w:sz w:val="32"/>
          <w:szCs w:val="32"/>
          <w:lang w:val="en-US" w:eastAsia="zh-CN"/>
        </w:rPr>
        <w:t>补助</w:t>
      </w:r>
      <w:r>
        <w:rPr>
          <w:rFonts w:hint="eastAsia" w:ascii="仿宋_GB2312" w:hAnsi="黑体" w:eastAsia="仿宋_GB2312"/>
          <w:kern w:val="0"/>
          <w:sz w:val="32"/>
          <w:szCs w:val="32"/>
        </w:rPr>
        <w:t>构成，202</w:t>
      </w:r>
      <w:r>
        <w:rPr>
          <w:rFonts w:hint="eastAsia" w:ascii="仿宋_GB2312" w:hAnsi="黑体" w:eastAsia="仿宋_GB2312"/>
          <w:kern w:val="0"/>
          <w:sz w:val="32"/>
          <w:szCs w:val="32"/>
          <w:lang w:val="en-US" w:eastAsia="zh-CN"/>
        </w:rPr>
        <w:t>4</w:t>
      </w:r>
      <w:r>
        <w:rPr>
          <w:rFonts w:hint="eastAsia" w:ascii="仿宋_GB2312" w:hAnsi="黑体" w:eastAsia="仿宋_GB2312"/>
          <w:kern w:val="0"/>
          <w:sz w:val="32"/>
          <w:szCs w:val="32"/>
        </w:rPr>
        <w:t>年度具体标准如下：</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楷体_GB2312" w:hAnsi="仿宋" w:eastAsia="楷体_GB2312"/>
          <w:sz w:val="32"/>
          <w:szCs w:val="32"/>
        </w:rPr>
      </w:pPr>
      <w:r>
        <w:rPr>
          <w:rFonts w:hint="eastAsia" w:ascii="楷体_GB2312" w:hAnsi="仿宋" w:eastAsia="楷体_GB2312"/>
          <w:sz w:val="32"/>
          <w:szCs w:val="32"/>
        </w:rPr>
        <w:t>（一）个人缴费标准</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仿宋_GB2312" w:hAnsi="仿宋" w:eastAsia="仿宋_GB2312"/>
          <w:sz w:val="32"/>
          <w:szCs w:val="32"/>
        </w:rPr>
      </w:pPr>
      <w:r>
        <w:rPr>
          <w:rFonts w:ascii="仿宋_GB2312" w:hAnsi="仿宋" w:eastAsia="仿宋_GB2312"/>
          <w:sz w:val="32"/>
          <w:szCs w:val="32"/>
          <w:highlight w:val="none"/>
        </w:rPr>
        <w:t>1</w:t>
      </w:r>
      <w:r>
        <w:rPr>
          <w:rFonts w:hint="eastAsia" w:ascii="仿宋_GB2312" w:hAnsi="仿宋" w:eastAsia="仿宋_GB2312"/>
          <w:sz w:val="32"/>
          <w:szCs w:val="32"/>
          <w:highlight w:val="none"/>
          <w:lang w:eastAsia="zh-CN"/>
        </w:rPr>
        <w:t>.</w:t>
      </w:r>
      <w:r>
        <w:rPr>
          <w:rFonts w:hint="eastAsia" w:ascii="仿宋_GB2312" w:hAnsi="仿宋" w:eastAsia="仿宋_GB2312"/>
          <w:sz w:val="32"/>
          <w:szCs w:val="32"/>
          <w:highlight w:val="none"/>
        </w:rPr>
        <w:t>成</w:t>
      </w:r>
      <w:r>
        <w:rPr>
          <w:rFonts w:hint="eastAsia" w:ascii="仿宋_GB2312" w:hAnsi="仿宋" w:eastAsia="仿宋_GB2312"/>
          <w:sz w:val="32"/>
          <w:szCs w:val="32"/>
        </w:rPr>
        <w:t>年居民一档标准为每人每年</w:t>
      </w:r>
      <w:r>
        <w:rPr>
          <w:rFonts w:ascii="仿宋_GB2312" w:hAnsi="仿宋" w:eastAsia="仿宋_GB2312"/>
          <w:sz w:val="32"/>
          <w:szCs w:val="32"/>
        </w:rPr>
        <w:t>462</w:t>
      </w:r>
      <w:r>
        <w:rPr>
          <w:rFonts w:hint="eastAsia" w:ascii="仿宋_GB2312" w:hAnsi="仿宋" w:eastAsia="仿宋_GB2312"/>
          <w:sz w:val="32"/>
          <w:szCs w:val="32"/>
        </w:rPr>
        <w:t>元。</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仿宋_GB2312" w:hAnsi="仿宋" w:eastAsia="仿宋_GB2312"/>
          <w:sz w:val="32"/>
          <w:szCs w:val="32"/>
        </w:rPr>
      </w:pPr>
      <w:r>
        <w:rPr>
          <w:rFonts w:ascii="仿宋_GB2312" w:hAnsi="仿宋" w:eastAsia="仿宋_GB2312"/>
          <w:sz w:val="32"/>
          <w:szCs w:val="32"/>
        </w:rPr>
        <w:t>2</w:t>
      </w:r>
      <w:r>
        <w:rPr>
          <w:rFonts w:hint="eastAsia" w:ascii="仿宋_GB2312" w:hAnsi="仿宋" w:eastAsia="仿宋_GB2312"/>
          <w:sz w:val="32"/>
          <w:szCs w:val="32"/>
          <w:lang w:eastAsia="zh-CN"/>
        </w:rPr>
        <w:t>.</w:t>
      </w:r>
      <w:r>
        <w:rPr>
          <w:rFonts w:hint="eastAsia" w:ascii="仿宋_GB2312" w:hAnsi="仿宋" w:eastAsia="仿宋_GB2312"/>
          <w:sz w:val="32"/>
          <w:szCs w:val="32"/>
        </w:rPr>
        <w:t>成年居民二档、少年儿童标准为每人每年</w:t>
      </w:r>
      <w:r>
        <w:rPr>
          <w:rFonts w:ascii="仿宋_GB2312" w:hAnsi="仿宋" w:eastAsia="仿宋_GB2312"/>
          <w:sz w:val="32"/>
          <w:szCs w:val="32"/>
        </w:rPr>
        <w:t>395</w:t>
      </w:r>
      <w:r>
        <w:rPr>
          <w:rFonts w:hint="eastAsia" w:ascii="仿宋_GB2312" w:hAnsi="仿宋" w:eastAsia="仿宋_GB2312"/>
          <w:sz w:val="32"/>
          <w:szCs w:val="32"/>
        </w:rPr>
        <w:t>元。其中：城镇居民须按一档标准缴费；农村居民自行</w:t>
      </w:r>
      <w:r>
        <w:rPr>
          <w:rFonts w:hint="eastAsia" w:ascii="仿宋_GB2312" w:hAnsi="仿宋" w:eastAsia="仿宋_GB2312"/>
          <w:sz w:val="32"/>
          <w:szCs w:val="32"/>
          <w:lang w:val="en-US" w:eastAsia="zh-CN"/>
        </w:rPr>
        <w:t>选择</w:t>
      </w:r>
      <w:r>
        <w:rPr>
          <w:rFonts w:hint="eastAsia" w:ascii="仿宋_GB2312" w:hAnsi="仿宋" w:eastAsia="仿宋_GB2312"/>
          <w:sz w:val="32"/>
          <w:szCs w:val="32"/>
        </w:rPr>
        <w:t>缴费档次缴费</w:t>
      </w:r>
      <w:r>
        <w:rPr>
          <w:rFonts w:hint="eastAsia" w:ascii="仿宋_GB2312" w:hAnsi="仿宋" w:eastAsia="仿宋_GB2312"/>
          <w:sz w:val="32"/>
          <w:szCs w:val="32"/>
          <w:lang w:eastAsia="zh-CN"/>
        </w:rPr>
        <w:t>。</w:t>
      </w:r>
      <w:r>
        <w:rPr>
          <w:rFonts w:hint="eastAsia" w:ascii="仿宋_GB2312" w:hAnsi="仿宋" w:eastAsia="仿宋_GB2312"/>
          <w:sz w:val="32"/>
          <w:szCs w:val="32"/>
        </w:rPr>
        <w:t>缴费档次一经确定并缴费，年度内不得变更。</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仿宋_GB2312" w:hAnsi="仿宋" w:eastAsia="仿宋_GB2312"/>
          <w:sz w:val="32"/>
          <w:szCs w:val="32"/>
        </w:rPr>
      </w:pPr>
      <w:r>
        <w:rPr>
          <w:rFonts w:hint="eastAsia" w:ascii="仿宋_GB2312" w:hAnsi="仿宋" w:eastAsia="仿宋_GB2312"/>
          <w:sz w:val="32"/>
          <w:szCs w:val="32"/>
        </w:rPr>
        <w:t>3</w:t>
      </w:r>
      <w:r>
        <w:rPr>
          <w:rFonts w:hint="eastAsia" w:ascii="仿宋_GB2312" w:hAnsi="仿宋" w:eastAsia="仿宋_GB2312"/>
          <w:sz w:val="32"/>
          <w:szCs w:val="32"/>
          <w:lang w:eastAsia="zh-CN"/>
        </w:rPr>
        <w:t>.驻莱西高校</w:t>
      </w:r>
      <w:r>
        <w:rPr>
          <w:rFonts w:hint="eastAsia" w:ascii="仿宋_GB2312" w:hAnsi="仿宋" w:eastAsia="仿宋_GB2312"/>
          <w:sz w:val="32"/>
          <w:szCs w:val="32"/>
        </w:rPr>
        <w:t>大学生标准为每人每年150元。</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楷体_GB2312" w:hAnsi="仿宋" w:eastAsia="楷体_GB2312"/>
          <w:sz w:val="32"/>
          <w:szCs w:val="32"/>
        </w:rPr>
      </w:pPr>
      <w:r>
        <w:rPr>
          <w:rFonts w:hint="eastAsia" w:ascii="楷体_GB2312" w:hAnsi="仿宋" w:eastAsia="楷体_GB2312"/>
          <w:sz w:val="32"/>
          <w:szCs w:val="32"/>
        </w:rPr>
        <w:t>（二）财政</w:t>
      </w:r>
      <w:r>
        <w:rPr>
          <w:rFonts w:hint="eastAsia" w:ascii="楷体_GB2312" w:hAnsi="仿宋" w:eastAsia="楷体_GB2312"/>
          <w:sz w:val="32"/>
          <w:szCs w:val="32"/>
          <w:lang w:val="en-US" w:eastAsia="zh-CN"/>
        </w:rPr>
        <w:t>补助</w:t>
      </w:r>
      <w:r>
        <w:rPr>
          <w:rFonts w:hint="eastAsia" w:ascii="楷体_GB2312" w:hAnsi="仿宋" w:eastAsia="楷体_GB2312"/>
          <w:sz w:val="32"/>
          <w:szCs w:val="32"/>
        </w:rPr>
        <w:t>标准</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仿宋_GB2312" w:hAnsi="仿宋" w:eastAsia="仿宋_GB2312"/>
          <w:sz w:val="32"/>
          <w:szCs w:val="32"/>
        </w:rPr>
      </w:pPr>
      <w:r>
        <w:rPr>
          <w:rFonts w:hint="eastAsia" w:ascii="仿宋_GB2312" w:hAnsi="仿宋" w:eastAsia="仿宋_GB2312"/>
          <w:sz w:val="32"/>
          <w:szCs w:val="32"/>
        </w:rPr>
        <w:t>成年居民一档</w:t>
      </w:r>
      <w:r>
        <w:rPr>
          <w:rFonts w:hint="eastAsia" w:ascii="仿宋_GB2312" w:hAnsi="仿宋" w:eastAsia="仿宋_GB2312"/>
          <w:sz w:val="32"/>
          <w:szCs w:val="32"/>
          <w:lang w:val="en-US" w:eastAsia="zh-CN"/>
        </w:rPr>
        <w:t>补助</w:t>
      </w:r>
      <w:r>
        <w:rPr>
          <w:rFonts w:hint="eastAsia" w:ascii="仿宋_GB2312" w:hAnsi="仿宋" w:eastAsia="仿宋_GB2312"/>
          <w:sz w:val="32"/>
          <w:szCs w:val="32"/>
        </w:rPr>
        <w:t>标准为每人每年</w:t>
      </w:r>
      <w:r>
        <w:rPr>
          <w:rFonts w:hint="eastAsia" w:ascii="仿宋_GB2312" w:hAnsi="仿宋" w:eastAsia="仿宋_GB2312"/>
          <w:sz w:val="32"/>
          <w:szCs w:val="32"/>
          <w:lang w:val="en-US" w:eastAsia="zh-CN"/>
        </w:rPr>
        <w:t>850</w:t>
      </w:r>
      <w:r>
        <w:rPr>
          <w:rFonts w:hint="eastAsia" w:ascii="仿宋_GB2312" w:hAnsi="仿宋" w:eastAsia="仿宋_GB2312"/>
          <w:sz w:val="32"/>
          <w:szCs w:val="32"/>
        </w:rPr>
        <w:t>元；成年居民二档、少年儿童、大学生</w:t>
      </w:r>
      <w:r>
        <w:rPr>
          <w:rFonts w:hint="eastAsia" w:ascii="仿宋_GB2312" w:hAnsi="仿宋" w:eastAsia="仿宋_GB2312"/>
          <w:sz w:val="32"/>
          <w:szCs w:val="32"/>
          <w:lang w:val="en-US" w:eastAsia="zh-CN"/>
        </w:rPr>
        <w:t>补助</w:t>
      </w:r>
      <w:r>
        <w:rPr>
          <w:rFonts w:hint="eastAsia" w:ascii="仿宋_GB2312" w:hAnsi="仿宋" w:eastAsia="仿宋_GB2312"/>
          <w:sz w:val="32"/>
          <w:szCs w:val="32"/>
        </w:rPr>
        <w:t>标准为每人每年</w:t>
      </w:r>
      <w:r>
        <w:rPr>
          <w:rFonts w:hint="eastAsia" w:ascii="仿宋_GB2312" w:hAnsi="仿宋" w:eastAsia="仿宋_GB2312"/>
          <w:sz w:val="32"/>
          <w:szCs w:val="32"/>
          <w:lang w:val="en-US" w:eastAsia="zh-CN"/>
        </w:rPr>
        <w:t>770</w:t>
      </w:r>
      <w:r>
        <w:rPr>
          <w:rFonts w:hint="eastAsia" w:ascii="仿宋_GB2312" w:hAnsi="仿宋" w:eastAsia="仿宋_GB2312"/>
          <w:sz w:val="32"/>
          <w:szCs w:val="32"/>
        </w:rPr>
        <w:t>元。</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黑体" w:hAnsi="黑体" w:eastAsia="黑体"/>
          <w:sz w:val="32"/>
          <w:szCs w:val="32"/>
        </w:rPr>
      </w:pPr>
      <w:r>
        <w:rPr>
          <w:rFonts w:hint="eastAsia" w:ascii="黑体" w:hAnsi="黑体" w:eastAsia="黑体"/>
          <w:sz w:val="32"/>
          <w:szCs w:val="32"/>
          <w:lang w:eastAsia="zh-CN"/>
        </w:rPr>
        <w:t>四</w:t>
      </w:r>
      <w:r>
        <w:rPr>
          <w:rFonts w:hint="eastAsia" w:ascii="黑体" w:hAnsi="黑体" w:eastAsia="黑体"/>
          <w:sz w:val="32"/>
          <w:szCs w:val="32"/>
        </w:rPr>
        <w:t>、</w:t>
      </w:r>
      <w:r>
        <w:rPr>
          <w:rFonts w:hint="eastAsia" w:ascii="黑体" w:hAnsi="黑体" w:eastAsia="黑体"/>
          <w:sz w:val="32"/>
          <w:szCs w:val="32"/>
          <w:lang w:eastAsia="zh-CN"/>
        </w:rPr>
        <w:t>缴费渠道</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仿宋_GB2312" w:eastAsia="仿宋_GB2312"/>
          <w:sz w:val="32"/>
          <w:szCs w:val="32"/>
          <w:lang w:eastAsia="zh-CN"/>
        </w:rPr>
      </w:pPr>
      <w:r>
        <w:rPr>
          <w:rFonts w:hint="eastAsia" w:ascii="仿宋_GB2312" w:eastAsia="仿宋_GB2312"/>
          <w:sz w:val="32"/>
          <w:szCs w:val="32"/>
          <w:lang w:eastAsia="zh-CN"/>
        </w:rPr>
        <w:t>缴费人办理医保参保登记后（</w:t>
      </w:r>
      <w:r>
        <w:rPr>
          <w:rFonts w:hint="eastAsia" w:ascii="仿宋_GB2312" w:eastAsia="仿宋_GB2312"/>
          <w:sz w:val="32"/>
          <w:szCs w:val="32"/>
          <w:lang w:val="en-US" w:eastAsia="zh-CN"/>
        </w:rPr>
        <w:t>连</w:t>
      </w:r>
      <w:r>
        <w:rPr>
          <w:rFonts w:hint="eastAsia" w:ascii="仿宋_GB2312" w:eastAsia="仿宋_GB2312"/>
          <w:sz w:val="32"/>
          <w:szCs w:val="32"/>
          <w:lang w:eastAsia="zh-CN"/>
        </w:rPr>
        <w:t>续参保的无需再办理参保登记），可通过税务机关提供的</w:t>
      </w:r>
      <w:r>
        <w:rPr>
          <w:rFonts w:hint="eastAsia" w:ascii="仿宋_GB2312" w:eastAsia="仿宋_GB2312"/>
          <w:sz w:val="32"/>
          <w:szCs w:val="32"/>
        </w:rPr>
        <w:t>多种缴费渠道</w:t>
      </w:r>
      <w:r>
        <w:rPr>
          <w:rFonts w:hint="eastAsia" w:ascii="仿宋_GB2312" w:eastAsia="仿宋_GB2312"/>
          <w:sz w:val="32"/>
          <w:szCs w:val="32"/>
          <w:lang w:eastAsia="zh-CN"/>
        </w:rPr>
        <w:t>缴费：</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（一）自助缴费。</w:t>
      </w:r>
      <w:r>
        <w:rPr>
          <w:rFonts w:hint="eastAsia" w:ascii="仿宋_GB2312" w:hAnsi="仿宋_GB2312" w:eastAsia="仿宋_GB2312" w:cs="仿宋_GB2312"/>
          <w:sz w:val="32"/>
          <w:szCs w:val="32"/>
          <w:lang w:eastAsia="zh-CN"/>
        </w:rPr>
        <w:t>可以通过以下</w:t>
      </w:r>
      <w:r>
        <w:rPr>
          <w:rFonts w:hint="eastAsia" w:ascii="仿宋_GB2312" w:hAnsi="仿宋_GB2312" w:eastAsia="仿宋_GB2312" w:cs="仿宋_GB2312"/>
          <w:sz w:val="32"/>
          <w:szCs w:val="32"/>
          <w:lang w:val="en-US" w:eastAsia="zh-CN"/>
        </w:rPr>
        <w:t>7个平台自助缴费：</w:t>
      </w:r>
      <w:r>
        <w:rPr>
          <w:rFonts w:hint="eastAsia" w:ascii="仿宋_GB2312" w:hAnsi="仿宋_GB2312" w:eastAsia="仿宋_GB2312" w:cs="仿宋_GB2312"/>
          <w:sz w:val="32"/>
          <w:szCs w:val="32"/>
          <w:lang w:eastAsia="zh-CN"/>
        </w:rPr>
        <w:t>青岛市</w:t>
      </w:r>
      <w:r>
        <w:rPr>
          <w:rFonts w:hint="eastAsia" w:ascii="仿宋_GB2312" w:hAnsi="仿宋_GB2312" w:eastAsia="仿宋_GB2312" w:cs="仿宋_GB2312"/>
          <w:sz w:val="32"/>
          <w:szCs w:val="32"/>
          <w:highlight w:val="none"/>
          <w:lang w:eastAsia="zh-CN"/>
        </w:rPr>
        <w:t>电子税务局社保费系统；青岛税务微信公众号；手机税税通 APP （“个人办税”）；微信 （“城市服务”）；支付宝 （“市民中心”）；云闪付 （“城市服务”）；自</w:t>
      </w:r>
      <w:r>
        <w:rPr>
          <w:rFonts w:hint="eastAsia" w:ascii="仿宋_GB2312" w:hAnsi="仿宋_GB2312" w:eastAsia="仿宋_GB2312" w:cs="仿宋_GB2312"/>
          <w:sz w:val="32"/>
          <w:szCs w:val="32"/>
          <w:lang w:eastAsia="zh-CN"/>
        </w:rPr>
        <w:t>助办税缴费终端社保费模块。</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楷体_GB2312" w:hAnsi="楷体_GB2312" w:eastAsia="楷体_GB2312" w:cs="楷体_GB2312"/>
          <w:sz w:val="32"/>
          <w:szCs w:val="32"/>
          <w:lang w:eastAsia="zh-CN"/>
        </w:rPr>
        <w:t>（二）银行查询缴费 （网上银行、手机银行）。</w:t>
      </w:r>
      <w:r>
        <w:rPr>
          <w:rFonts w:hint="eastAsia" w:ascii="仿宋_GB2312" w:eastAsia="仿宋_GB2312"/>
          <w:color w:val="000000" w:themeColor="text1"/>
          <w:sz w:val="32"/>
          <w:szCs w:val="32"/>
          <w14:textFill>
            <w14:solidFill>
              <w14:schemeClr w14:val="tx1"/>
            </w14:solidFill>
          </w14:textFill>
        </w:rPr>
        <w:t>缴费人若无法通过</w:t>
      </w:r>
      <w:r>
        <w:rPr>
          <w:rFonts w:hint="eastAsia" w:ascii="仿宋_GB2312" w:eastAsia="仿宋_GB2312"/>
          <w:color w:val="000000" w:themeColor="text1"/>
          <w:sz w:val="32"/>
          <w:szCs w:val="32"/>
          <w:lang w:eastAsia="zh-CN"/>
          <w14:textFill>
            <w14:solidFill>
              <w14:schemeClr w14:val="tx1"/>
            </w14:solidFill>
          </w14:textFill>
        </w:rPr>
        <w:t>自助缴费</w:t>
      </w:r>
      <w:r>
        <w:rPr>
          <w:rFonts w:hint="eastAsia" w:ascii="仿宋_GB2312" w:eastAsia="仿宋_GB2312"/>
          <w:color w:val="000000" w:themeColor="text1"/>
          <w:sz w:val="32"/>
          <w:szCs w:val="32"/>
          <w14:textFill>
            <w14:solidFill>
              <w14:schemeClr w14:val="tx1"/>
            </w14:solidFill>
          </w14:textFill>
        </w:rPr>
        <w:t>方式缴纳</w:t>
      </w:r>
      <w:r>
        <w:rPr>
          <w:rFonts w:hint="eastAsia" w:ascii="仿宋_GB2312" w:eastAsia="仿宋_GB2312"/>
          <w:color w:val="000000" w:themeColor="text1"/>
          <w:sz w:val="32"/>
          <w:szCs w:val="32"/>
          <w:lang w:eastAsia="zh-CN"/>
          <w14:textFill>
            <w14:solidFill>
              <w14:schemeClr w14:val="tx1"/>
            </w14:solidFill>
          </w14:textFill>
        </w:rPr>
        <w:t>医保</w:t>
      </w:r>
      <w:r>
        <w:rPr>
          <w:rFonts w:hint="eastAsia" w:ascii="仿宋_GB2312" w:eastAsia="仿宋_GB2312"/>
          <w:color w:val="000000" w:themeColor="text1"/>
          <w:sz w:val="32"/>
          <w:szCs w:val="32"/>
          <w14:textFill>
            <w14:solidFill>
              <w14:schemeClr w14:val="tx1"/>
            </w14:solidFill>
          </w14:textFill>
        </w:rPr>
        <w:t>费，可持身份证</w:t>
      </w:r>
      <w:r>
        <w:rPr>
          <w:rFonts w:hint="eastAsia" w:ascii="仿宋_GB2312" w:eastAsia="仿宋_GB2312"/>
          <w:color w:val="000000" w:themeColor="text1"/>
          <w:sz w:val="32"/>
          <w:szCs w:val="32"/>
          <w:lang w:eastAsia="zh-CN"/>
          <w14:textFill>
            <w14:solidFill>
              <w14:schemeClr w14:val="tx1"/>
            </w14:solidFill>
          </w14:textFill>
        </w:rPr>
        <w:t>（或报身份证号）到</w:t>
      </w:r>
      <w:r>
        <w:rPr>
          <w:rFonts w:hint="eastAsia" w:ascii="仿宋_GB2312" w:eastAsia="仿宋_GB2312"/>
          <w:color w:val="000000" w:themeColor="text1"/>
          <w:sz w:val="32"/>
          <w:szCs w:val="32"/>
          <w14:textFill>
            <w14:solidFill>
              <w14:schemeClr w14:val="tx1"/>
            </w14:solidFill>
          </w14:textFill>
        </w:rPr>
        <w:t>以下经办银行网点柜台办理缴费</w:t>
      </w:r>
      <w:r>
        <w:rPr>
          <w:rFonts w:hint="eastAsia" w:ascii="仿宋_GB2312" w:hAnsi="仿宋_GB2312" w:eastAsia="仿宋_GB2312" w:cs="仿宋_GB2312"/>
          <w:sz w:val="32"/>
          <w:szCs w:val="32"/>
          <w:lang w:eastAsia="zh-CN"/>
        </w:rPr>
        <w:t>：青岛银行、交通银行、青岛农商银行、农业银行、工商银行、建设银行、中国银行、邮储银行。其中：交通银行、工商银行同时开通了网上及手机银行办理业务；招商银行、中国银行、农业银行、青岛银行开通了手机银行办理业务；中国银行、农业银行、工商银行、建设银行、交通银行的手机银行支持用数字人民币缴纳居民医保费。</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黑体" w:hAnsi="仿宋" w:eastAsia="黑体"/>
          <w:color w:val="auto"/>
          <w:kern w:val="0"/>
          <w:sz w:val="32"/>
          <w:szCs w:val="32"/>
          <w:lang w:eastAsia="zh-CN"/>
        </w:rPr>
      </w:pPr>
      <w:r>
        <w:rPr>
          <w:rFonts w:hint="eastAsia" w:ascii="黑体" w:hAnsi="宋体" w:eastAsia="黑体" w:cs="宋体"/>
          <w:color w:val="auto"/>
          <w:sz w:val="32"/>
          <w:szCs w:val="32"/>
          <w:lang w:eastAsia="zh-CN"/>
        </w:rPr>
        <w:t>五</w:t>
      </w:r>
      <w:r>
        <w:rPr>
          <w:rFonts w:hint="eastAsia" w:ascii="黑体" w:hAnsi="宋体" w:eastAsia="黑体" w:cs="宋体"/>
          <w:color w:val="auto"/>
          <w:sz w:val="32"/>
          <w:szCs w:val="32"/>
        </w:rPr>
        <w:t>、</w:t>
      </w:r>
      <w:r>
        <w:rPr>
          <w:rFonts w:hint="eastAsia" w:ascii="黑体" w:hAnsi="仿宋" w:eastAsia="黑体"/>
          <w:color w:val="auto"/>
          <w:kern w:val="0"/>
          <w:sz w:val="32"/>
          <w:szCs w:val="32"/>
        </w:rPr>
        <w:t>缴费</w:t>
      </w:r>
      <w:r>
        <w:rPr>
          <w:rFonts w:hint="eastAsia" w:ascii="黑体" w:hAnsi="仿宋" w:eastAsia="黑体"/>
          <w:color w:val="auto"/>
          <w:kern w:val="0"/>
          <w:sz w:val="32"/>
          <w:szCs w:val="32"/>
          <w:lang w:eastAsia="zh-CN"/>
        </w:rPr>
        <w:t>责任</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仿宋_GB2312" w:hAnsi="仿宋" w:eastAsia="仿宋_GB2312"/>
          <w:color w:val="auto"/>
          <w:sz w:val="32"/>
          <w:szCs w:val="32"/>
        </w:rPr>
      </w:pPr>
      <w:r>
        <w:rPr>
          <w:rFonts w:hint="eastAsia" w:ascii="仿宋_GB2312" w:hAnsi="仿宋" w:eastAsia="仿宋_GB2312"/>
          <w:color w:val="auto"/>
          <w:sz w:val="32"/>
          <w:szCs w:val="32"/>
        </w:rPr>
        <w:t>区分不同人群，确定不同的</w:t>
      </w:r>
      <w:r>
        <w:rPr>
          <w:rFonts w:hint="eastAsia" w:ascii="仿宋_GB2312" w:hAnsi="黑体" w:eastAsia="仿宋_GB2312"/>
          <w:color w:val="auto"/>
          <w:kern w:val="0"/>
          <w:sz w:val="32"/>
          <w:szCs w:val="32"/>
        </w:rPr>
        <w:t>居民医保个人参保费</w:t>
      </w:r>
      <w:r>
        <w:rPr>
          <w:rFonts w:hint="eastAsia" w:ascii="仿宋_GB2312" w:hAnsi="仿宋" w:eastAsia="仿宋_GB2312"/>
          <w:color w:val="auto"/>
          <w:sz w:val="32"/>
          <w:szCs w:val="32"/>
        </w:rPr>
        <w:t>代收机构，由代收机构负责参保登记、</w:t>
      </w:r>
      <w:r>
        <w:rPr>
          <w:rFonts w:hint="eastAsia" w:ascii="仿宋_GB2312" w:hAnsi="仿宋" w:eastAsia="仿宋_GB2312"/>
          <w:color w:val="auto"/>
          <w:sz w:val="32"/>
          <w:szCs w:val="32"/>
          <w:lang w:val="en-US" w:eastAsia="zh-CN"/>
        </w:rPr>
        <w:t>暂停参保登记、参保信息维护</w:t>
      </w:r>
      <w:r>
        <w:rPr>
          <w:rFonts w:hint="eastAsia" w:ascii="仿宋_GB2312" w:hAnsi="仿宋" w:eastAsia="仿宋_GB2312"/>
          <w:color w:val="auto"/>
          <w:sz w:val="32"/>
          <w:szCs w:val="32"/>
        </w:rPr>
        <w:t>等工作。</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仿宋_GB2312" w:hAnsi="仿宋" w:eastAsia="仿宋_GB2312"/>
          <w:color w:val="auto"/>
          <w:sz w:val="32"/>
          <w:szCs w:val="32"/>
        </w:rPr>
      </w:pPr>
      <w:r>
        <w:rPr>
          <w:rFonts w:hint="eastAsia" w:ascii="仿宋_GB2312" w:hAnsi="仿宋" w:eastAsia="仿宋_GB2312"/>
          <w:color w:val="auto"/>
          <w:sz w:val="32"/>
          <w:szCs w:val="32"/>
        </w:rPr>
        <w:t>（一）</w:t>
      </w:r>
      <w:r>
        <w:rPr>
          <w:rFonts w:hint="eastAsia" w:ascii="仿宋_GB2312" w:hAnsi="仿宋" w:eastAsia="仿宋_GB2312"/>
          <w:color w:val="auto"/>
          <w:sz w:val="32"/>
          <w:szCs w:val="32"/>
          <w:lang w:val="zh-CN"/>
        </w:rPr>
        <w:t>成年居民和未入学(含学前教育机构)的少年儿童,由其户籍所在地或者居住地的镇人民政府(街道办事处)、村(居)民委员会负责代收;</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仿宋_GB2312" w:hAnsi="仿宋" w:eastAsia="仿宋_GB2312"/>
          <w:color w:val="auto"/>
          <w:sz w:val="32"/>
          <w:szCs w:val="32"/>
          <w:lang w:val="zh-CN"/>
        </w:rPr>
      </w:pPr>
      <w:r>
        <w:rPr>
          <w:rFonts w:hint="eastAsia" w:ascii="仿宋_GB2312" w:hAnsi="仿宋" w:eastAsia="仿宋_GB2312"/>
          <w:color w:val="auto"/>
          <w:sz w:val="32"/>
          <w:szCs w:val="32"/>
        </w:rPr>
        <w:t>（二）</w:t>
      </w:r>
      <w:r>
        <w:rPr>
          <w:rFonts w:hint="eastAsia" w:ascii="仿宋_GB2312" w:hAnsi="仿宋" w:eastAsia="仿宋_GB2312"/>
          <w:color w:val="auto"/>
          <w:sz w:val="32"/>
          <w:szCs w:val="32"/>
          <w:lang w:val="zh-CN"/>
        </w:rPr>
        <w:t>大学生和已入学(含学前教育机构)的少年儿童,由其所在学校</w:t>
      </w:r>
      <w:r>
        <w:rPr>
          <w:rFonts w:hint="eastAsia" w:ascii="仿宋_GB2312" w:hAnsi="仿宋" w:eastAsia="仿宋_GB2312"/>
          <w:color w:val="auto"/>
          <w:sz w:val="32"/>
          <w:szCs w:val="32"/>
          <w:lang w:val="zh-CN" w:eastAsia="zh-CN"/>
        </w:rPr>
        <w:t>、</w:t>
      </w:r>
      <w:r>
        <w:rPr>
          <w:rFonts w:hint="eastAsia" w:ascii="仿宋_GB2312" w:hAnsi="仿宋" w:eastAsia="仿宋_GB2312"/>
          <w:color w:val="auto"/>
          <w:sz w:val="32"/>
          <w:szCs w:val="32"/>
          <w:lang w:val="zh-CN"/>
        </w:rPr>
        <w:t>学前教育机构负责代</w:t>
      </w:r>
      <w:r>
        <w:rPr>
          <w:rFonts w:hint="eastAsia" w:ascii="仿宋_GB2312" w:hAnsi="仿宋" w:eastAsia="仿宋_GB2312"/>
          <w:color w:val="auto"/>
          <w:sz w:val="32"/>
          <w:szCs w:val="32"/>
          <w:highlight w:val="none"/>
          <w:lang w:val="zh-CN"/>
        </w:rPr>
        <w:t>收；</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仿宋_GB2312" w:hAnsi="仿宋" w:eastAsia="仿宋_GB2312"/>
          <w:color w:val="auto"/>
          <w:sz w:val="32"/>
          <w:szCs w:val="32"/>
          <w:lang w:val="zh-CN" w:eastAsia="zh-CN"/>
        </w:rPr>
      </w:pPr>
      <w:r>
        <w:rPr>
          <w:rFonts w:hint="eastAsia" w:ascii="仿宋_GB2312" w:hAnsi="仿宋" w:eastAsia="仿宋_GB2312"/>
          <w:color w:val="auto"/>
          <w:sz w:val="32"/>
          <w:szCs w:val="32"/>
        </w:rPr>
        <w:t>（三）</w:t>
      </w:r>
      <w:r>
        <w:rPr>
          <w:rFonts w:hint="eastAsia" w:ascii="仿宋_GB2312" w:hAnsi="仿宋" w:eastAsia="仿宋_GB2312"/>
          <w:color w:val="auto"/>
          <w:sz w:val="32"/>
          <w:szCs w:val="32"/>
          <w:lang w:val="zh-CN"/>
        </w:rPr>
        <w:t>非本市户籍在我市长期居住，持有青岛市公安部门签发的处于有效期内的《山东省居住证》人员，到就近的镇街便民服务中心办理</w:t>
      </w:r>
      <w:r>
        <w:rPr>
          <w:rFonts w:hint="eastAsia" w:ascii="仿宋_GB2312" w:hAnsi="仿宋" w:eastAsia="仿宋_GB2312"/>
          <w:color w:val="auto"/>
          <w:sz w:val="32"/>
          <w:szCs w:val="32"/>
          <w:lang w:val="zh-CN" w:eastAsia="zh-CN"/>
        </w:rPr>
        <w:t>。</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黑体" w:hAnsi="黑体" w:eastAsia="黑体"/>
          <w:color w:val="0000FF"/>
          <w:sz w:val="32"/>
          <w:szCs w:val="32"/>
        </w:rPr>
      </w:pPr>
      <w:r>
        <w:rPr>
          <w:rFonts w:hint="eastAsia" w:ascii="黑体" w:hAnsi="黑体" w:eastAsia="黑体"/>
          <w:sz w:val="32"/>
          <w:szCs w:val="32"/>
          <w:lang w:eastAsia="zh-CN"/>
        </w:rPr>
        <w:t>六</w:t>
      </w:r>
      <w:r>
        <w:rPr>
          <w:rFonts w:hint="eastAsia" w:ascii="黑体" w:hAnsi="黑体" w:eastAsia="黑体"/>
          <w:sz w:val="32"/>
          <w:szCs w:val="32"/>
        </w:rPr>
        <w:t>、特殊人群个人缴费及财政</w:t>
      </w:r>
      <w:r>
        <w:rPr>
          <w:rFonts w:hint="eastAsia" w:ascii="黑体" w:hAnsi="黑体" w:eastAsia="黑体"/>
          <w:sz w:val="32"/>
          <w:szCs w:val="32"/>
          <w:lang w:val="en-US" w:eastAsia="zh-CN"/>
        </w:rPr>
        <w:t>代缴</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楷体_GB2312" w:hAnsi="仿宋" w:eastAsia="楷体_GB2312"/>
          <w:sz w:val="32"/>
          <w:szCs w:val="32"/>
        </w:rPr>
      </w:pPr>
      <w:r>
        <w:rPr>
          <w:rFonts w:hint="eastAsia" w:ascii="楷体_GB2312" w:hAnsi="仿宋" w:eastAsia="楷体_GB2312"/>
          <w:sz w:val="32"/>
          <w:szCs w:val="32"/>
        </w:rPr>
        <w:t>（一）特殊人群范围</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仿宋_GB2312" w:hAnsi="仿宋" w:eastAsia="仿宋_GB2312"/>
          <w:sz w:val="32"/>
          <w:szCs w:val="32"/>
        </w:rPr>
      </w:pPr>
      <w:r>
        <w:rPr>
          <w:rFonts w:hint="eastAsia" w:ascii="仿宋_GB2312" w:hAnsi="仿宋" w:eastAsia="仿宋_GB2312"/>
          <w:sz w:val="32"/>
          <w:szCs w:val="32"/>
        </w:rPr>
        <w:t>最低生活保障待遇家庭人员、</w:t>
      </w:r>
      <w:r>
        <w:rPr>
          <w:rFonts w:hint="eastAsia" w:ascii="仿宋_GB2312" w:hAnsi="仿宋" w:eastAsia="仿宋_GB2312"/>
          <w:sz w:val="32"/>
          <w:szCs w:val="32"/>
          <w:lang w:val="en-US" w:eastAsia="zh-CN"/>
        </w:rPr>
        <w:t>特困等人员</w:t>
      </w:r>
      <w:r>
        <w:rPr>
          <w:rFonts w:hint="eastAsia" w:ascii="仿宋_GB2312" w:hAnsi="仿宋" w:eastAsia="仿宋_GB2312"/>
          <w:sz w:val="32"/>
          <w:szCs w:val="32"/>
        </w:rPr>
        <w:t>、</w:t>
      </w:r>
      <w:r>
        <w:rPr>
          <w:rFonts w:hint="eastAsia" w:ascii="仿宋_GB2312" w:hAnsi="仿宋" w:eastAsia="仿宋_GB2312"/>
          <w:sz w:val="32"/>
          <w:szCs w:val="32"/>
          <w:lang w:eastAsia="zh-CN"/>
        </w:rPr>
        <w:t>低保边缘家庭成员</w:t>
      </w:r>
      <w:r>
        <w:rPr>
          <w:rFonts w:hint="eastAsia" w:ascii="仿宋_GB2312" w:hAnsi="仿宋" w:eastAsia="仿宋_GB2312"/>
          <w:sz w:val="32"/>
          <w:szCs w:val="32"/>
        </w:rPr>
        <w:t>、</w:t>
      </w:r>
      <w:r>
        <w:rPr>
          <w:rFonts w:hint="eastAsia" w:ascii="仿宋_GB2312" w:hAnsi="仿宋" w:eastAsia="仿宋_GB2312"/>
          <w:sz w:val="32"/>
          <w:szCs w:val="32"/>
          <w:lang w:eastAsia="zh-CN"/>
        </w:rPr>
        <w:t>防止返贫监测帮扶对象、</w:t>
      </w:r>
      <w:r>
        <w:rPr>
          <w:rFonts w:hint="eastAsia" w:ascii="仿宋_GB2312" w:hAnsi="仿宋" w:eastAsia="仿宋_GB2312"/>
          <w:sz w:val="32"/>
          <w:szCs w:val="32"/>
        </w:rPr>
        <w:t>重度残疾人员。</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楷体_GB2312" w:hAnsi="楷体_GB2312" w:eastAsia="楷体_GB2312" w:cs="楷体_GB2312"/>
          <w:b/>
          <w:sz w:val="32"/>
          <w:szCs w:val="32"/>
          <w:lang w:val="en-US" w:eastAsia="zh-CN"/>
        </w:rPr>
      </w:pPr>
      <w:r>
        <w:rPr>
          <w:rFonts w:hint="eastAsia" w:ascii="楷体_GB2312" w:hAnsi="楷体_GB2312" w:eastAsia="楷体_GB2312" w:cs="楷体_GB2312"/>
          <w:sz w:val="32"/>
          <w:szCs w:val="32"/>
        </w:rPr>
        <w:t>（二）最低生活保障待遇家庭人员、</w:t>
      </w:r>
      <w:r>
        <w:rPr>
          <w:rFonts w:hint="eastAsia" w:ascii="楷体_GB2312" w:hAnsi="楷体_GB2312" w:eastAsia="楷体_GB2312" w:cs="楷体_GB2312"/>
          <w:sz w:val="32"/>
          <w:szCs w:val="32"/>
          <w:lang w:val="en-US" w:eastAsia="zh-CN"/>
        </w:rPr>
        <w:t>特困等人员个人缴费</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default" w:ascii="仿宋_GB2312" w:hAnsi="仿宋_GB2312" w:eastAsia="仿宋_GB2312" w:cs="仿宋_GB2312"/>
          <w:b w:val="0"/>
          <w:bCs w:val="0"/>
          <w:color w:val="auto"/>
          <w:sz w:val="32"/>
          <w:szCs w:val="32"/>
          <w:u w:val="none"/>
          <w:lang w:val="en-US" w:eastAsia="zh-CN"/>
        </w:rPr>
      </w:pPr>
      <w:r>
        <w:rPr>
          <w:rFonts w:hint="eastAsia" w:ascii="仿宋_GB2312" w:hAnsi="仿宋" w:eastAsia="仿宋_GB2312"/>
          <w:color w:val="auto"/>
          <w:sz w:val="32"/>
          <w:szCs w:val="32"/>
        </w:rPr>
        <w:t>最低生活保障待遇家庭人员、</w:t>
      </w:r>
      <w:r>
        <w:rPr>
          <w:rFonts w:hint="eastAsia" w:ascii="仿宋_GB2312" w:hAnsi="仿宋" w:eastAsia="仿宋_GB2312"/>
          <w:sz w:val="32"/>
          <w:szCs w:val="32"/>
          <w:lang w:val="en-US" w:eastAsia="zh-CN"/>
        </w:rPr>
        <w:t>特困等人员</w:t>
      </w:r>
      <w:r>
        <w:rPr>
          <w:rFonts w:ascii="仿宋_GB2312" w:hAnsi="仿宋" w:eastAsia="仿宋_GB2312"/>
          <w:color w:val="auto"/>
          <w:sz w:val="32"/>
          <w:szCs w:val="32"/>
        </w:rPr>
        <w:t>202</w:t>
      </w:r>
      <w:r>
        <w:rPr>
          <w:rFonts w:hint="eastAsia" w:ascii="仿宋_GB2312" w:hAnsi="仿宋" w:eastAsia="仿宋_GB2312"/>
          <w:color w:val="auto"/>
          <w:sz w:val="32"/>
          <w:szCs w:val="32"/>
          <w:lang w:val="en-US" w:eastAsia="zh-CN"/>
        </w:rPr>
        <w:t>4</w:t>
      </w:r>
      <w:r>
        <w:rPr>
          <w:rFonts w:hint="eastAsia" w:ascii="仿宋_GB2312" w:hAnsi="仿宋" w:eastAsia="仿宋_GB2312"/>
          <w:color w:val="auto"/>
          <w:sz w:val="32"/>
          <w:szCs w:val="32"/>
        </w:rPr>
        <w:t>年度个人</w:t>
      </w:r>
      <w:r>
        <w:rPr>
          <w:rFonts w:hint="eastAsia" w:ascii="仿宋_GB2312" w:hAnsi="仿宋" w:eastAsia="仿宋_GB2312"/>
          <w:color w:val="auto"/>
          <w:sz w:val="32"/>
          <w:szCs w:val="32"/>
          <w:lang w:val="en-US" w:eastAsia="zh-CN"/>
        </w:rPr>
        <w:t>医保费</w:t>
      </w:r>
      <w:r>
        <w:rPr>
          <w:rFonts w:hint="eastAsia" w:ascii="仿宋_GB2312" w:hAnsi="仿宋" w:eastAsia="仿宋_GB2312"/>
          <w:color w:val="auto"/>
          <w:sz w:val="32"/>
          <w:szCs w:val="32"/>
        </w:rPr>
        <w:t>，由</w:t>
      </w:r>
      <w:r>
        <w:rPr>
          <w:rFonts w:hint="eastAsia" w:ascii="仿宋_GB2312" w:hAnsi="仿宋" w:eastAsia="仿宋_GB2312"/>
          <w:color w:val="auto"/>
          <w:sz w:val="32"/>
          <w:szCs w:val="32"/>
          <w:lang w:val="en-US" w:eastAsia="zh-CN"/>
        </w:rPr>
        <w:t>市财政按照一档缴费标准全额代缴，个人不需缴费。</w:t>
      </w:r>
      <w:r>
        <w:rPr>
          <w:rFonts w:hint="eastAsia" w:ascii="仿宋_GB2312" w:hAnsi="仿宋_GB2312" w:eastAsia="仿宋_GB2312" w:cs="仿宋_GB2312"/>
          <w:b w:val="0"/>
          <w:bCs w:val="0"/>
          <w:color w:val="auto"/>
          <w:sz w:val="32"/>
          <w:szCs w:val="32"/>
          <w:u w:val="none"/>
          <w:lang w:val="en-US" w:eastAsia="zh-CN"/>
        </w:rPr>
        <w:t>该两个群体财政代缴费用，由医保部门提供需要资金数据，财政部门审核后上解青岛居民医保基金账户。</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default" w:ascii="楷体_GB2312" w:hAnsi="楷体_GB2312" w:eastAsia="楷体_GB2312" w:cs="楷体_GB2312"/>
          <w:b/>
          <w:sz w:val="32"/>
          <w:szCs w:val="32"/>
          <w:lang w:val="en-US" w:eastAsia="zh-CN"/>
        </w:rPr>
      </w:pP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b w:val="0"/>
          <w:bCs/>
          <w:sz w:val="32"/>
          <w:szCs w:val="32"/>
          <w:lang w:val="en-US" w:eastAsia="zh-CN"/>
        </w:rPr>
        <w:t>三</w:t>
      </w:r>
      <w:r>
        <w:rPr>
          <w:rFonts w:hint="eastAsia" w:ascii="楷体_GB2312" w:hAnsi="楷体_GB2312" w:eastAsia="楷体_GB2312" w:cs="楷体_GB2312"/>
          <w:b w:val="0"/>
          <w:bCs/>
          <w:sz w:val="32"/>
          <w:szCs w:val="32"/>
          <w:lang w:eastAsia="zh-CN"/>
        </w:rPr>
        <w:t>）</w:t>
      </w:r>
      <w:r>
        <w:rPr>
          <w:rFonts w:hint="eastAsia" w:ascii="楷体_GB2312" w:hAnsi="楷体_GB2312" w:eastAsia="楷体_GB2312" w:cs="楷体_GB2312"/>
          <w:sz w:val="32"/>
          <w:szCs w:val="32"/>
          <w:lang w:eastAsia="zh-CN"/>
        </w:rPr>
        <w:t>低保边缘家庭成员</w:t>
      </w:r>
      <w:r>
        <w:rPr>
          <w:rFonts w:hint="eastAsia" w:ascii="楷体_GB2312" w:hAnsi="楷体_GB2312" w:eastAsia="楷体_GB2312" w:cs="楷体_GB2312"/>
          <w:sz w:val="32"/>
          <w:szCs w:val="32"/>
        </w:rPr>
        <w:t>、</w:t>
      </w:r>
      <w:r>
        <w:rPr>
          <w:rFonts w:hint="eastAsia" w:ascii="楷体_GB2312" w:hAnsi="楷体_GB2312" w:eastAsia="楷体_GB2312" w:cs="楷体_GB2312"/>
          <w:sz w:val="32"/>
          <w:szCs w:val="32"/>
          <w:lang w:eastAsia="zh-CN"/>
        </w:rPr>
        <w:t>防止返贫监测帮扶对象、</w:t>
      </w:r>
      <w:r>
        <w:rPr>
          <w:rFonts w:hint="eastAsia" w:ascii="楷体_GB2312" w:hAnsi="楷体_GB2312" w:eastAsia="楷体_GB2312" w:cs="楷体_GB2312"/>
          <w:sz w:val="32"/>
          <w:szCs w:val="32"/>
        </w:rPr>
        <w:t>重度残疾人员</w:t>
      </w:r>
      <w:r>
        <w:rPr>
          <w:rFonts w:hint="eastAsia" w:ascii="楷体_GB2312" w:hAnsi="楷体_GB2312" w:eastAsia="楷体_GB2312" w:cs="楷体_GB2312"/>
          <w:sz w:val="32"/>
          <w:szCs w:val="32"/>
          <w:lang w:val="en-US" w:eastAsia="zh-CN"/>
        </w:rPr>
        <w:t>个人缴费</w:t>
      </w:r>
    </w:p>
    <w:p>
      <w:pPr>
        <w:keepNext w:val="0"/>
        <w:keepLines w:val="0"/>
        <w:pageBreakBefore w:val="0"/>
        <w:widowControl w:val="0"/>
        <w:numPr>
          <w:ilvl w:val="0"/>
          <w:numId w:val="0"/>
        </w:numPr>
        <w:kinsoku/>
        <w:wordWrap/>
        <w:overflowPunct/>
        <w:topLinePunct w:val="0"/>
        <w:autoSpaceDE/>
        <w:autoSpaceDN/>
        <w:bidi w:val="0"/>
        <w:spacing w:line="560" w:lineRule="exact"/>
        <w:ind w:firstLine="640" w:firstLineChars="200"/>
        <w:jc w:val="both"/>
        <w:textAlignment w:val="auto"/>
        <w:outlineLvl w:val="9"/>
        <w:rPr>
          <w:rFonts w:hint="eastAsia" w:ascii="仿宋_GB2312" w:hAnsi="仿宋_GB2312" w:eastAsia="仿宋_GB2312" w:cs="仿宋_GB2312"/>
          <w:b w:val="0"/>
          <w:bCs w:val="0"/>
          <w:color w:val="auto"/>
          <w:sz w:val="32"/>
          <w:szCs w:val="32"/>
          <w:u w:val="none"/>
          <w:lang w:val="en-US" w:eastAsia="zh-CN"/>
        </w:rPr>
      </w:pPr>
      <w:r>
        <w:rPr>
          <w:rFonts w:hint="eastAsia" w:ascii="仿宋_GB2312" w:hAnsi="仿宋" w:eastAsia="仿宋_GB2312"/>
          <w:color w:val="auto"/>
          <w:sz w:val="32"/>
          <w:szCs w:val="32"/>
          <w:lang w:eastAsia="zh-CN"/>
        </w:rPr>
        <w:t>低保边缘家庭成员、</w:t>
      </w:r>
      <w:r>
        <w:rPr>
          <w:rFonts w:hint="eastAsia" w:ascii="仿宋_GB2312" w:hAnsi="仿宋_GB2312" w:eastAsia="仿宋_GB2312" w:cs="仿宋_GB2312"/>
          <w:sz w:val="32"/>
          <w:szCs w:val="32"/>
          <w:lang w:eastAsia="zh-CN"/>
        </w:rPr>
        <w:t>防止返贫监测帮扶对象、</w:t>
      </w:r>
      <w:r>
        <w:rPr>
          <w:rFonts w:hint="eastAsia" w:ascii="仿宋_GB2312" w:hAnsi="仿宋" w:eastAsia="仿宋_GB2312"/>
          <w:color w:val="auto"/>
          <w:sz w:val="32"/>
          <w:szCs w:val="32"/>
        </w:rPr>
        <w:t>单一身份重度残疾人（不同时具有低保、</w:t>
      </w:r>
      <w:r>
        <w:rPr>
          <w:rFonts w:hint="eastAsia" w:ascii="仿宋_GB2312" w:hAnsi="仿宋" w:eastAsia="仿宋_GB2312"/>
          <w:color w:val="auto"/>
          <w:sz w:val="32"/>
          <w:szCs w:val="32"/>
          <w:lang w:eastAsia="zh-CN"/>
        </w:rPr>
        <w:t>特困</w:t>
      </w:r>
      <w:r>
        <w:rPr>
          <w:rFonts w:hint="eastAsia" w:ascii="仿宋_GB2312" w:hAnsi="仿宋" w:eastAsia="仿宋_GB2312"/>
          <w:color w:val="auto"/>
          <w:sz w:val="32"/>
          <w:szCs w:val="32"/>
        </w:rPr>
        <w:t>、优抚</w:t>
      </w:r>
      <w:r>
        <w:rPr>
          <w:rFonts w:hint="eastAsia" w:ascii="仿宋_GB2312" w:hAnsi="仿宋" w:eastAsia="仿宋_GB2312"/>
          <w:color w:val="auto"/>
          <w:sz w:val="32"/>
          <w:szCs w:val="32"/>
          <w:lang w:val="en-US" w:eastAsia="zh-CN"/>
        </w:rPr>
        <w:t>身份</w:t>
      </w:r>
      <w:r>
        <w:rPr>
          <w:rFonts w:hint="eastAsia" w:ascii="仿宋_GB2312" w:hAnsi="仿宋" w:eastAsia="仿宋_GB2312"/>
          <w:color w:val="auto"/>
          <w:sz w:val="32"/>
          <w:szCs w:val="32"/>
        </w:rPr>
        <w:t>）</w:t>
      </w:r>
      <w:r>
        <w:rPr>
          <w:rFonts w:hint="eastAsia" w:ascii="仿宋_GB2312" w:hAnsi="仿宋" w:eastAsia="仿宋_GB2312"/>
          <w:color w:val="auto"/>
          <w:sz w:val="32"/>
          <w:szCs w:val="32"/>
          <w:lang w:eastAsia="zh-CN"/>
        </w:rPr>
        <w:t>，</w:t>
      </w:r>
      <w:r>
        <w:rPr>
          <w:rFonts w:hint="eastAsia" w:ascii="仿宋_GB2312" w:hAnsi="仿宋" w:eastAsia="仿宋_GB2312"/>
          <w:color w:val="auto"/>
          <w:sz w:val="32"/>
          <w:szCs w:val="32"/>
          <w:lang w:val="en-US" w:eastAsia="zh-CN"/>
        </w:rPr>
        <w:t>原则上</w:t>
      </w:r>
      <w:r>
        <w:rPr>
          <w:rFonts w:hint="eastAsia" w:ascii="仿宋_GB2312" w:hAnsi="仿宋" w:eastAsia="仿宋_GB2312"/>
          <w:color w:val="auto"/>
          <w:sz w:val="32"/>
          <w:szCs w:val="32"/>
        </w:rPr>
        <w:t>按照一档标准缴费，个人缴纳50%，财政补助50%。</w:t>
      </w:r>
      <w:r>
        <w:rPr>
          <w:rFonts w:hint="eastAsia" w:ascii="仿宋_GB2312" w:hAnsi="仿宋" w:eastAsia="仿宋_GB2312"/>
          <w:color w:val="auto"/>
          <w:sz w:val="32"/>
          <w:szCs w:val="32"/>
          <w:lang w:val="en-US" w:eastAsia="zh-CN"/>
        </w:rPr>
        <w:t>上述三个</w:t>
      </w:r>
      <w:r>
        <w:rPr>
          <w:rFonts w:hint="eastAsia" w:ascii="仿宋_GB2312" w:hAnsi="仿宋_GB2312" w:eastAsia="仿宋_GB2312" w:cs="仿宋_GB2312"/>
          <w:sz w:val="32"/>
          <w:szCs w:val="32"/>
        </w:rPr>
        <w:t>群体个人缴费部分已实现系统自动半额收取的功能，参保人</w:t>
      </w:r>
      <w:r>
        <w:rPr>
          <w:rFonts w:hint="eastAsia" w:ascii="仿宋_GB2312" w:hAnsi="仿宋_GB2312" w:eastAsia="仿宋_GB2312" w:cs="仿宋_GB2312"/>
          <w:sz w:val="32"/>
          <w:szCs w:val="32"/>
          <w:lang w:val="en-US" w:eastAsia="zh-CN"/>
        </w:rPr>
        <w:t>在村居履行缴费签字手续后，</w:t>
      </w:r>
      <w:r>
        <w:rPr>
          <w:rFonts w:hint="eastAsia" w:ascii="仿宋_GB2312" w:hAnsi="仿宋_GB2312" w:eastAsia="仿宋_GB2312" w:cs="仿宋_GB2312"/>
          <w:sz w:val="32"/>
          <w:szCs w:val="32"/>
        </w:rPr>
        <w:t>可以直接</w:t>
      </w:r>
      <w:r>
        <w:rPr>
          <w:rFonts w:hint="eastAsia" w:ascii="仿宋_GB2312" w:hAnsi="仿宋" w:eastAsia="仿宋_GB2312"/>
          <w:color w:val="auto"/>
          <w:sz w:val="32"/>
          <w:szCs w:val="32"/>
          <w:lang w:val="en-US" w:eastAsia="zh-CN"/>
        </w:rPr>
        <w:t>持身份证（或报身份证号）</w:t>
      </w:r>
      <w:r>
        <w:rPr>
          <w:rFonts w:hint="eastAsia" w:ascii="仿宋_GB2312" w:hAnsi="仿宋_GB2312" w:eastAsia="仿宋_GB2312" w:cs="仿宋_GB2312"/>
          <w:b w:val="0"/>
          <w:bCs/>
          <w:color w:val="auto"/>
          <w:sz w:val="32"/>
          <w:szCs w:val="32"/>
        </w:rPr>
        <w:t>到经办银行网点</w:t>
      </w:r>
      <w:r>
        <w:rPr>
          <w:rFonts w:hint="eastAsia" w:ascii="仿宋_GB2312" w:hAnsi="仿宋_GB2312" w:eastAsia="仿宋_GB2312" w:cs="仿宋_GB2312"/>
          <w:b w:val="0"/>
          <w:bCs/>
          <w:color w:val="auto"/>
          <w:sz w:val="32"/>
          <w:szCs w:val="32"/>
          <w:lang w:eastAsia="zh-CN"/>
        </w:rPr>
        <w:t>、</w:t>
      </w:r>
      <w:r>
        <w:rPr>
          <w:rFonts w:hint="eastAsia" w:ascii="仿宋_GB2312" w:hAnsi="仿宋_GB2312" w:eastAsia="仿宋_GB2312" w:cs="仿宋_GB2312"/>
          <w:color w:val="auto"/>
          <w:sz w:val="32"/>
          <w:szCs w:val="32"/>
        </w:rPr>
        <w:t>或通过微信等</w:t>
      </w:r>
      <w:r>
        <w:rPr>
          <w:rFonts w:hint="eastAsia" w:ascii="仿宋_GB2312" w:hAnsi="仿宋_GB2312" w:eastAsia="仿宋_GB2312" w:cs="仿宋_GB2312"/>
          <w:color w:val="auto"/>
          <w:sz w:val="32"/>
          <w:szCs w:val="32"/>
          <w:lang w:val="en-US" w:eastAsia="zh-CN"/>
        </w:rPr>
        <w:t>自助缴费渠道</w:t>
      </w:r>
      <w:r>
        <w:rPr>
          <w:rFonts w:hint="eastAsia" w:ascii="仿宋_GB2312" w:hAnsi="仿宋_GB2312" w:eastAsia="仿宋_GB2312" w:cs="仿宋_GB2312"/>
          <w:sz w:val="32"/>
          <w:szCs w:val="32"/>
        </w:rPr>
        <w:t>缴纳一半</w:t>
      </w:r>
      <w:r>
        <w:rPr>
          <w:rFonts w:hint="eastAsia" w:ascii="仿宋_GB2312" w:hAnsi="仿宋_GB2312" w:eastAsia="仿宋_GB2312" w:cs="仿宋_GB2312"/>
          <w:sz w:val="32"/>
          <w:szCs w:val="32"/>
          <w:lang w:eastAsia="zh-CN"/>
        </w:rPr>
        <w:t>的医保费。</w:t>
      </w:r>
      <w:r>
        <w:rPr>
          <w:rFonts w:hint="eastAsia" w:ascii="仿宋_GB2312" w:hAnsi="仿宋_GB2312" w:eastAsia="仿宋_GB2312" w:cs="仿宋_GB2312"/>
          <w:b w:val="0"/>
          <w:bCs w:val="0"/>
          <w:color w:val="auto"/>
          <w:sz w:val="32"/>
          <w:szCs w:val="32"/>
          <w:u w:val="none"/>
          <w:lang w:val="en-US" w:eastAsia="zh-CN"/>
        </w:rPr>
        <w:t>上述三个群体财政补助的50%个人缴费，由医保部门提供需要资金数据，财政部门审核后上解青岛居民医保基金账户。</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黑体" w:hAnsi="黑体" w:eastAsia="黑体"/>
          <w:sz w:val="32"/>
          <w:szCs w:val="32"/>
        </w:rPr>
      </w:pPr>
      <w:r>
        <w:rPr>
          <w:rFonts w:hint="eastAsia" w:ascii="黑体" w:hAnsi="黑体" w:eastAsia="黑体"/>
          <w:sz w:val="32"/>
          <w:szCs w:val="32"/>
        </w:rPr>
        <w:t>七、退费</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仿宋_GB2312" w:hAnsi="仿宋" w:eastAsia="仿宋_GB2312"/>
          <w:sz w:val="32"/>
          <w:szCs w:val="32"/>
        </w:rPr>
      </w:pPr>
      <w:r>
        <w:rPr>
          <w:rFonts w:ascii="仿宋_GB2312" w:hAnsi="仿宋" w:eastAsia="仿宋_GB2312"/>
          <w:sz w:val="32"/>
          <w:szCs w:val="32"/>
        </w:rPr>
        <w:t>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w:t>
      </w:r>
      <w:r>
        <w:rPr>
          <w:rFonts w:ascii="仿宋_GB2312" w:hAnsi="仿宋" w:eastAsia="仿宋_GB2312"/>
          <w:sz w:val="32"/>
          <w:szCs w:val="32"/>
        </w:rPr>
        <w:t>1</w:t>
      </w:r>
      <w:r>
        <w:rPr>
          <w:rFonts w:hint="eastAsia" w:ascii="仿宋_GB2312" w:hAnsi="仿宋" w:eastAsia="仿宋_GB2312"/>
          <w:sz w:val="32"/>
          <w:szCs w:val="32"/>
        </w:rPr>
        <w:t>月</w:t>
      </w:r>
      <w:r>
        <w:rPr>
          <w:rFonts w:ascii="仿宋_GB2312" w:hAnsi="仿宋" w:eastAsia="仿宋_GB2312"/>
          <w:sz w:val="32"/>
          <w:szCs w:val="32"/>
        </w:rPr>
        <w:t>1</w:t>
      </w:r>
      <w:r>
        <w:rPr>
          <w:rFonts w:hint="eastAsia" w:ascii="仿宋_GB2312" w:hAnsi="仿宋" w:eastAsia="仿宋_GB2312"/>
          <w:sz w:val="32"/>
          <w:szCs w:val="32"/>
        </w:rPr>
        <w:t>日前，参保居民缴纳</w:t>
      </w:r>
      <w:r>
        <w:rPr>
          <w:rFonts w:ascii="仿宋_GB2312" w:hAnsi="仿宋" w:eastAsia="仿宋_GB2312"/>
          <w:sz w:val="32"/>
          <w:szCs w:val="32"/>
        </w:rPr>
        <w:t>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年度个人医保费后死亡、出国定居或户口迁出本市的，可申请</w:t>
      </w:r>
      <w:r>
        <w:rPr>
          <w:rFonts w:ascii="仿宋_GB2312" w:hAnsi="仿宋" w:eastAsia="仿宋_GB2312"/>
          <w:sz w:val="32"/>
          <w:szCs w:val="32"/>
        </w:rPr>
        <w:t>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年度个人参保费退费，退费后不能享受</w:t>
      </w:r>
      <w:r>
        <w:rPr>
          <w:rFonts w:ascii="仿宋_GB2312" w:hAnsi="仿宋" w:eastAsia="仿宋_GB2312"/>
          <w:sz w:val="32"/>
          <w:szCs w:val="32"/>
        </w:rPr>
        <w:t>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年度居民医保待遇</w:t>
      </w:r>
      <w:r>
        <w:rPr>
          <w:rFonts w:hint="eastAsia" w:ascii="仿宋_GB2312" w:hAnsi="仿宋" w:eastAsia="仿宋_GB2312"/>
          <w:sz w:val="32"/>
          <w:szCs w:val="32"/>
          <w:lang w:eastAsia="zh-CN"/>
        </w:rPr>
        <w:t>。</w:t>
      </w:r>
      <w:r>
        <w:rPr>
          <w:rFonts w:ascii="仿宋_GB2312" w:hAnsi="仿宋" w:eastAsia="仿宋_GB2312"/>
          <w:sz w:val="32"/>
          <w:szCs w:val="32"/>
        </w:rPr>
        <w:t>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w:t>
      </w:r>
      <w:r>
        <w:rPr>
          <w:rFonts w:ascii="仿宋_GB2312" w:hAnsi="仿宋" w:eastAsia="仿宋_GB2312"/>
          <w:sz w:val="32"/>
          <w:szCs w:val="32"/>
        </w:rPr>
        <w:t>1</w:t>
      </w:r>
      <w:r>
        <w:rPr>
          <w:rFonts w:hint="eastAsia" w:ascii="仿宋_GB2312" w:hAnsi="仿宋" w:eastAsia="仿宋_GB2312"/>
          <w:sz w:val="32"/>
          <w:szCs w:val="32"/>
        </w:rPr>
        <w:t>月</w:t>
      </w:r>
      <w:r>
        <w:rPr>
          <w:rFonts w:ascii="仿宋_GB2312" w:hAnsi="仿宋" w:eastAsia="仿宋_GB2312"/>
          <w:sz w:val="32"/>
          <w:szCs w:val="32"/>
        </w:rPr>
        <w:t>1</w:t>
      </w:r>
      <w:r>
        <w:rPr>
          <w:rFonts w:hint="eastAsia" w:ascii="仿宋_GB2312" w:hAnsi="仿宋" w:eastAsia="仿宋_GB2312"/>
          <w:sz w:val="32"/>
          <w:szCs w:val="32"/>
        </w:rPr>
        <w:t>日后，不再受理退费申请。</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黑体" w:hAnsi="黑体" w:eastAsia="黑体"/>
          <w:kern w:val="0"/>
          <w:sz w:val="32"/>
          <w:szCs w:val="32"/>
        </w:rPr>
      </w:pPr>
      <w:r>
        <w:rPr>
          <w:rFonts w:hint="eastAsia" w:ascii="黑体" w:hAnsi="黑体" w:eastAsia="黑体"/>
          <w:kern w:val="0"/>
          <w:sz w:val="32"/>
          <w:szCs w:val="32"/>
          <w:lang w:eastAsia="zh-CN"/>
        </w:rPr>
        <w:t>八</w:t>
      </w:r>
      <w:r>
        <w:rPr>
          <w:rFonts w:hint="eastAsia" w:ascii="黑体" w:hAnsi="黑体" w:eastAsia="黑体"/>
          <w:kern w:val="0"/>
          <w:sz w:val="32"/>
          <w:szCs w:val="32"/>
        </w:rPr>
        <w:t>、</w:t>
      </w:r>
      <w:r>
        <w:rPr>
          <w:rFonts w:hint="eastAsia" w:ascii="黑体" w:hAnsi="黑体" w:eastAsia="黑体"/>
          <w:kern w:val="0"/>
          <w:sz w:val="32"/>
          <w:szCs w:val="32"/>
          <w:lang w:eastAsia="zh-CN"/>
        </w:rPr>
        <w:t>参保缴费和</w:t>
      </w:r>
      <w:r>
        <w:rPr>
          <w:rFonts w:hint="eastAsia" w:ascii="黑体" w:hAnsi="黑体" w:eastAsia="黑体"/>
          <w:kern w:val="0"/>
          <w:sz w:val="32"/>
          <w:szCs w:val="32"/>
        </w:rPr>
        <w:t>待遇享受</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default" w:ascii="仿宋_GB2312" w:hAnsi="仿宋" w:eastAsia="仿宋_GB2312"/>
          <w:sz w:val="32"/>
          <w:szCs w:val="32"/>
          <w:lang w:val="en-US" w:eastAsia="zh-CN"/>
        </w:rPr>
      </w:pPr>
      <w:r>
        <w:rPr>
          <w:rFonts w:hint="eastAsia" w:ascii="仿宋_GB2312" w:hAnsi="仿宋" w:eastAsia="仿宋_GB2312"/>
          <w:sz w:val="32"/>
          <w:szCs w:val="32"/>
          <w:lang w:eastAsia="zh-CN"/>
        </w:rPr>
        <w:t>（一）自</w:t>
      </w:r>
      <w:r>
        <w:rPr>
          <w:rFonts w:hint="eastAsia" w:ascii="仿宋_GB2312" w:hAnsi="仿宋" w:eastAsia="仿宋_GB2312"/>
          <w:sz w:val="32"/>
          <w:szCs w:val="32"/>
          <w:lang w:val="en-US" w:eastAsia="zh-CN"/>
        </w:rPr>
        <w:t>2024年1月1日起，参保居民未在上年度集中缴费期缴纳本年度医保费的，在缴纳当年度的的个人缴费部分后，设置3个月待遇等待期。</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hint="eastAsia" w:ascii="仿宋_GB2312" w:hAnsi="宋体" w:eastAsia="仿宋_GB2312" w:cs="宋体"/>
          <w:color w:val="auto"/>
          <w:sz w:val="32"/>
          <w:szCs w:val="32"/>
          <w:lang w:eastAsia="zh-CN"/>
        </w:rPr>
      </w:pPr>
      <w:r>
        <w:rPr>
          <w:rFonts w:hint="eastAsia" w:ascii="仿宋_GB2312" w:hAnsi="仿宋" w:eastAsia="仿宋_GB2312"/>
          <w:sz w:val="32"/>
          <w:szCs w:val="32"/>
        </w:rPr>
        <w:t>（</w:t>
      </w:r>
      <w:r>
        <w:rPr>
          <w:rFonts w:hint="eastAsia" w:ascii="仿宋_GB2312" w:hAnsi="仿宋" w:eastAsia="仿宋_GB2312"/>
          <w:sz w:val="32"/>
          <w:szCs w:val="32"/>
          <w:lang w:eastAsia="zh-CN"/>
        </w:rPr>
        <w:t>二</w:t>
      </w:r>
      <w:r>
        <w:rPr>
          <w:rFonts w:hint="eastAsia" w:ascii="仿宋_GB2312" w:hAnsi="仿宋" w:eastAsia="仿宋_GB2312"/>
          <w:sz w:val="32"/>
          <w:szCs w:val="32"/>
        </w:rPr>
        <w:t>）</w:t>
      </w:r>
      <w:r>
        <w:rPr>
          <w:rFonts w:hint="eastAsia" w:ascii="仿宋_GB2312" w:hAnsi="宋体" w:eastAsia="仿宋_GB2312" w:cs="宋体"/>
          <w:kern w:val="0"/>
          <w:sz w:val="32"/>
          <w:szCs w:val="32"/>
        </w:rPr>
        <w:t>新生儿</w:t>
      </w:r>
      <w:r>
        <w:rPr>
          <w:rFonts w:hint="eastAsia" w:ascii="仿宋_GB2312" w:hAnsi="宋体" w:eastAsia="仿宋_GB2312" w:cs="宋体"/>
          <w:kern w:val="0"/>
          <w:sz w:val="32"/>
          <w:szCs w:val="32"/>
          <w:lang w:eastAsia="zh-CN"/>
        </w:rPr>
        <w:t>自</w:t>
      </w:r>
      <w:r>
        <w:rPr>
          <w:rFonts w:hint="eastAsia" w:ascii="仿宋_GB2312" w:hAnsi="宋体" w:eastAsia="仿宋_GB2312" w:cs="宋体"/>
          <w:kern w:val="0"/>
          <w:sz w:val="32"/>
          <w:szCs w:val="32"/>
        </w:rPr>
        <w:t>出生</w:t>
      </w:r>
      <w:r>
        <w:rPr>
          <w:rFonts w:ascii="仿宋_GB2312" w:hAnsi="宋体" w:eastAsia="仿宋_GB2312" w:cs="宋体"/>
          <w:kern w:val="0"/>
          <w:sz w:val="32"/>
          <w:szCs w:val="32"/>
        </w:rPr>
        <w:t>6</w:t>
      </w:r>
      <w:r>
        <w:rPr>
          <w:rFonts w:hint="eastAsia" w:ascii="仿宋_GB2312" w:hAnsi="宋体" w:eastAsia="仿宋_GB2312" w:cs="宋体"/>
          <w:kern w:val="0"/>
          <w:sz w:val="32"/>
          <w:szCs w:val="32"/>
        </w:rPr>
        <w:t>个月内参保缴费的，自出生之日起享受居民医保待遇；</w:t>
      </w:r>
      <w:r>
        <w:rPr>
          <w:rFonts w:hint="eastAsia" w:ascii="仿宋_GB2312" w:hAnsi="宋体" w:eastAsia="仿宋_GB2312" w:cs="宋体"/>
          <w:color w:val="auto"/>
          <w:sz w:val="32"/>
          <w:szCs w:val="32"/>
        </w:rPr>
        <w:t>新生儿出生</w:t>
      </w:r>
      <w:r>
        <w:rPr>
          <w:rFonts w:hint="eastAsia" w:ascii="仿宋_GB2312" w:hAnsi="宋体" w:eastAsia="仿宋_GB2312" w:cs="宋体"/>
          <w:color w:val="auto"/>
          <w:sz w:val="32"/>
          <w:szCs w:val="32"/>
          <w:lang w:eastAsia="zh-CN"/>
        </w:rPr>
        <w:t>超过</w:t>
      </w:r>
      <w:r>
        <w:rPr>
          <w:rFonts w:ascii="仿宋_GB2312" w:hAnsi="宋体" w:eastAsia="仿宋_GB2312" w:cs="宋体"/>
          <w:color w:val="auto"/>
          <w:sz w:val="32"/>
          <w:szCs w:val="32"/>
        </w:rPr>
        <w:t>6</w:t>
      </w:r>
      <w:r>
        <w:rPr>
          <w:rFonts w:hint="eastAsia" w:ascii="仿宋_GB2312" w:hAnsi="宋体" w:eastAsia="仿宋_GB2312" w:cs="宋体"/>
          <w:color w:val="auto"/>
          <w:sz w:val="32"/>
          <w:szCs w:val="32"/>
        </w:rPr>
        <w:t>个月参保缴费的，</w:t>
      </w:r>
      <w:r>
        <w:rPr>
          <w:rFonts w:hint="eastAsia" w:ascii="仿宋_GB2312" w:hAnsi="宋体" w:eastAsia="仿宋_GB2312" w:cs="宋体"/>
          <w:color w:val="auto"/>
          <w:sz w:val="32"/>
          <w:szCs w:val="32"/>
          <w:lang w:eastAsia="zh-CN"/>
        </w:rPr>
        <w:t>自</w:t>
      </w:r>
      <w:r>
        <w:rPr>
          <w:rFonts w:hint="eastAsia" w:ascii="仿宋_GB2312" w:hAnsi="宋体" w:eastAsia="仿宋_GB2312" w:cs="宋体"/>
          <w:color w:val="auto"/>
          <w:sz w:val="32"/>
          <w:szCs w:val="32"/>
        </w:rPr>
        <w:t>缴费次月起享受居民医保待遇</w:t>
      </w:r>
      <w:r>
        <w:rPr>
          <w:rFonts w:hint="eastAsia" w:ascii="仿宋_GB2312" w:hAnsi="宋体" w:eastAsia="仿宋_GB2312" w:cs="宋体"/>
          <w:color w:val="auto"/>
          <w:sz w:val="32"/>
          <w:szCs w:val="32"/>
          <w:lang w:eastAsia="zh-CN"/>
        </w:rPr>
        <w:t>；</w:t>
      </w:r>
      <w:r>
        <w:rPr>
          <w:rFonts w:hint="eastAsia" w:ascii="仿宋_GB2312" w:hAnsi="宋体" w:eastAsia="仿宋_GB2312" w:cs="宋体"/>
          <w:color w:val="auto"/>
          <w:sz w:val="32"/>
          <w:szCs w:val="32"/>
        </w:rPr>
        <w:t>新生儿出生</w:t>
      </w:r>
      <w:r>
        <w:rPr>
          <w:rFonts w:hint="eastAsia" w:ascii="仿宋_GB2312" w:hAnsi="宋体" w:eastAsia="仿宋_GB2312" w:cs="宋体"/>
          <w:color w:val="auto"/>
          <w:sz w:val="32"/>
          <w:szCs w:val="32"/>
          <w:lang w:eastAsia="zh-CN"/>
        </w:rPr>
        <w:t>超过</w:t>
      </w:r>
      <w:r>
        <w:rPr>
          <w:rFonts w:hint="eastAsia" w:ascii="仿宋_GB2312" w:hAnsi="宋体" w:eastAsia="仿宋_GB2312" w:cs="宋体"/>
          <w:color w:val="auto"/>
          <w:sz w:val="32"/>
          <w:szCs w:val="32"/>
          <w:lang w:val="en-US" w:eastAsia="zh-CN"/>
        </w:rPr>
        <w:t>12</w:t>
      </w:r>
      <w:r>
        <w:rPr>
          <w:rFonts w:hint="eastAsia" w:ascii="仿宋_GB2312" w:hAnsi="宋体" w:eastAsia="仿宋_GB2312" w:cs="宋体"/>
          <w:color w:val="auto"/>
          <w:sz w:val="32"/>
          <w:szCs w:val="32"/>
        </w:rPr>
        <w:t>个月参保缴费的，</w:t>
      </w:r>
      <w:r>
        <w:rPr>
          <w:rFonts w:hint="eastAsia" w:ascii="仿宋_GB2312" w:hAnsi="宋体" w:eastAsia="仿宋_GB2312" w:cs="宋体"/>
          <w:color w:val="auto"/>
          <w:sz w:val="32"/>
          <w:szCs w:val="32"/>
          <w:lang w:eastAsia="zh-CN"/>
        </w:rPr>
        <w:t>按普通居民缴费及享受待遇相关政策</w:t>
      </w:r>
      <w:r>
        <w:rPr>
          <w:rFonts w:hint="eastAsia" w:ascii="仿宋_GB2312" w:hAnsi="宋体" w:eastAsia="仿宋_GB2312" w:cs="宋体"/>
          <w:color w:val="auto"/>
          <w:sz w:val="32"/>
          <w:szCs w:val="32"/>
          <w:lang w:val="en-US" w:eastAsia="zh-CN"/>
        </w:rPr>
        <w:t>执行。</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仿宋_GB2312" w:hAnsi="宋体" w:eastAsia="仿宋_GB2312" w:cs="宋体"/>
          <w:color w:val="auto"/>
          <w:sz w:val="32"/>
          <w:szCs w:val="32"/>
        </w:rPr>
      </w:pPr>
      <w:r>
        <w:rPr>
          <w:rFonts w:hint="eastAsia" w:ascii="仿宋_GB2312" w:hAnsi="宋体" w:eastAsia="仿宋_GB2312" w:cs="宋体"/>
          <w:color w:val="auto"/>
          <w:sz w:val="32"/>
          <w:szCs w:val="32"/>
        </w:rPr>
        <w:t>（</w:t>
      </w:r>
      <w:r>
        <w:rPr>
          <w:rFonts w:hint="eastAsia" w:ascii="仿宋_GB2312" w:hAnsi="宋体" w:eastAsia="仿宋_GB2312" w:cs="宋体"/>
          <w:color w:val="auto"/>
          <w:sz w:val="32"/>
          <w:szCs w:val="32"/>
          <w:lang w:eastAsia="zh-CN"/>
        </w:rPr>
        <w:t>三</w:t>
      </w:r>
      <w:r>
        <w:rPr>
          <w:rFonts w:hint="eastAsia" w:ascii="仿宋_GB2312" w:hAnsi="宋体" w:eastAsia="仿宋_GB2312" w:cs="宋体"/>
          <w:color w:val="auto"/>
          <w:sz w:val="32"/>
          <w:szCs w:val="32"/>
        </w:rPr>
        <w:t>）新入学的大学生按照规定及时参保缴费的，自入学报到之日起享受居民</w:t>
      </w:r>
      <w:r>
        <w:rPr>
          <w:rFonts w:hint="eastAsia" w:ascii="仿宋_GB2312" w:hAnsi="宋体" w:eastAsia="仿宋_GB2312" w:cs="宋体"/>
          <w:color w:val="auto"/>
          <w:sz w:val="32"/>
          <w:szCs w:val="32"/>
          <w:lang w:eastAsia="zh-CN"/>
        </w:rPr>
        <w:t>医保</w:t>
      </w:r>
      <w:r>
        <w:rPr>
          <w:rFonts w:hint="eastAsia" w:ascii="仿宋_GB2312" w:hAnsi="宋体" w:eastAsia="仿宋_GB2312" w:cs="宋体"/>
          <w:color w:val="auto"/>
          <w:sz w:val="32"/>
          <w:szCs w:val="32"/>
        </w:rPr>
        <w:t>待遇。</w:t>
      </w:r>
    </w:p>
    <w:p>
      <w:pPr>
        <w:keepNext w:val="0"/>
        <w:keepLines w:val="0"/>
        <w:pageBreakBefore w:val="0"/>
        <w:widowControl w:val="0"/>
        <w:kinsoku/>
        <w:wordWrap/>
        <w:overflowPunct/>
        <w:topLinePunct w:val="0"/>
        <w:autoSpaceDE/>
        <w:autoSpaceDN/>
        <w:bidi w:val="0"/>
        <w:spacing w:line="560" w:lineRule="exact"/>
        <w:ind w:firstLine="640" w:firstLineChars="200"/>
        <w:jc w:val="both"/>
        <w:textAlignment w:val="auto"/>
        <w:outlineLvl w:val="9"/>
        <w:rPr>
          <w:rFonts w:ascii="黑体" w:eastAsia="黑体"/>
          <w:sz w:val="32"/>
          <w:szCs w:val="32"/>
        </w:rPr>
      </w:pPr>
      <w:r>
        <w:rPr>
          <w:rFonts w:hint="eastAsia" w:ascii="黑体" w:eastAsia="黑体"/>
          <w:sz w:val="32"/>
          <w:szCs w:val="32"/>
        </w:rPr>
        <w:t>九、有关要求</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z w:val="32"/>
          <w:szCs w:val="32"/>
        </w:rPr>
        <w:t>居民医保集中征缴，是保证居民享受医保待遇的前提和基础。为了保证完成202</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年度征缴任务，各镇街、各有关单位要按照</w:t>
      </w:r>
      <w:r>
        <w:rPr>
          <w:rFonts w:hint="eastAsia" w:ascii="仿宋_GB2312" w:hAnsi="仿宋_GB2312" w:eastAsia="仿宋_GB2312" w:cs="仿宋_GB2312"/>
          <w:sz w:val="32"/>
          <w:szCs w:val="32"/>
          <w:lang w:val="en-US" w:eastAsia="zh-CN"/>
        </w:rPr>
        <w:t>上级关于居民医保征缴“</w:t>
      </w:r>
      <w:r>
        <w:rPr>
          <w:rFonts w:hint="eastAsia" w:ascii="仿宋_GB2312" w:hAnsi="仿宋_GB2312" w:eastAsia="仿宋_GB2312" w:cs="仿宋_GB2312"/>
          <w:b w:val="0"/>
          <w:bCs w:val="0"/>
          <w:sz w:val="32"/>
          <w:szCs w:val="32"/>
          <w:lang w:val="en-US" w:eastAsia="zh-CN"/>
        </w:rPr>
        <w:t>区市政府组织、镇街政府代收、属地机构代办、部门分工联办</w:t>
      </w:r>
      <w:r>
        <w:rPr>
          <w:rFonts w:hint="eastAsia" w:ascii="仿宋_GB2312" w:hAnsi="仿宋_GB2312" w:eastAsia="仿宋_GB2312" w:cs="仿宋_GB2312"/>
          <w:sz w:val="32"/>
          <w:szCs w:val="32"/>
          <w:lang w:val="en-US" w:eastAsia="zh-CN"/>
        </w:rPr>
        <w:t>”规定</w:t>
      </w:r>
      <w:r>
        <w:rPr>
          <w:rFonts w:hint="eastAsia" w:ascii="仿宋_GB2312" w:hAnsi="仿宋_GB2312" w:eastAsia="仿宋_GB2312" w:cs="仿宋_GB2312"/>
          <w:sz w:val="32"/>
          <w:szCs w:val="32"/>
        </w:rPr>
        <w:t>，</w:t>
      </w:r>
      <w:r>
        <w:rPr>
          <w:rFonts w:hint="eastAsia" w:ascii="仿宋_GB2312" w:hAnsi="仿宋_GB2312" w:eastAsia="仿宋_GB2312" w:cs="仿宋_GB2312"/>
          <w:snapToGrid w:val="0"/>
          <w:sz w:val="32"/>
          <w:szCs w:val="32"/>
        </w:rPr>
        <w:t>积极履行各级</w:t>
      </w:r>
      <w:r>
        <w:rPr>
          <w:rFonts w:hint="eastAsia" w:ascii="仿宋_GB2312" w:hAnsi="仿宋_GB2312" w:eastAsia="仿宋_GB2312" w:cs="仿宋_GB2312"/>
          <w:snapToGrid w:val="0"/>
          <w:sz w:val="32"/>
          <w:szCs w:val="32"/>
          <w:lang w:val="en-US" w:eastAsia="zh-CN"/>
        </w:rPr>
        <w:t>各</w:t>
      </w:r>
      <w:r>
        <w:rPr>
          <w:rFonts w:hint="eastAsia" w:ascii="仿宋_GB2312" w:hAnsi="仿宋_GB2312" w:eastAsia="仿宋_GB2312" w:cs="仿宋_GB2312"/>
          <w:snapToGrid w:val="0"/>
          <w:sz w:val="32"/>
          <w:szCs w:val="32"/>
        </w:rPr>
        <w:t>征缴机构的工作职责，</w:t>
      </w:r>
      <w:r>
        <w:rPr>
          <w:rFonts w:hint="eastAsia" w:ascii="仿宋_GB2312" w:hAnsi="仿宋_GB2312" w:eastAsia="仿宋_GB2312" w:cs="仿宋_GB2312"/>
          <w:snapToGrid w:val="0"/>
          <w:sz w:val="32"/>
          <w:szCs w:val="32"/>
          <w:lang w:val="en-US" w:eastAsia="zh-CN"/>
        </w:rPr>
        <w:t>统筹安排好征缴人员、设备设施，抓好对村居、学校（幼儿机构）征缴指导和调度，宣传好参保政策和缴费渠道，</w:t>
      </w:r>
      <w:r>
        <w:rPr>
          <w:rFonts w:hint="eastAsia" w:ascii="仿宋_GB2312" w:hAnsi="仿宋_GB2312" w:eastAsia="仿宋_GB2312" w:cs="仿宋_GB2312"/>
          <w:snapToGrid w:val="0"/>
          <w:sz w:val="32"/>
          <w:szCs w:val="32"/>
        </w:rPr>
        <w:t>提供</w:t>
      </w:r>
      <w:r>
        <w:rPr>
          <w:rFonts w:hint="eastAsia" w:ascii="仿宋_GB2312" w:hAnsi="仿宋_GB2312" w:eastAsia="仿宋_GB2312" w:cs="仿宋_GB2312"/>
          <w:snapToGrid w:val="0"/>
          <w:sz w:val="32"/>
          <w:szCs w:val="32"/>
          <w:lang w:val="en-US" w:eastAsia="zh-CN"/>
        </w:rPr>
        <w:t>优质、</w:t>
      </w:r>
      <w:r>
        <w:rPr>
          <w:rFonts w:hint="eastAsia" w:ascii="仿宋_GB2312" w:hAnsi="仿宋_GB2312" w:eastAsia="仿宋_GB2312" w:cs="仿宋_GB2312"/>
          <w:snapToGrid w:val="0"/>
          <w:sz w:val="32"/>
          <w:szCs w:val="32"/>
        </w:rPr>
        <w:t>方便</w:t>
      </w:r>
      <w:r>
        <w:rPr>
          <w:rFonts w:hint="eastAsia" w:ascii="仿宋_GB2312" w:hAnsi="仿宋_GB2312" w:eastAsia="仿宋_GB2312" w:cs="仿宋_GB2312"/>
          <w:snapToGrid w:val="0"/>
          <w:sz w:val="32"/>
          <w:szCs w:val="32"/>
          <w:lang w:val="en-US" w:eastAsia="zh-CN"/>
        </w:rPr>
        <w:t>的</w:t>
      </w:r>
      <w:r>
        <w:rPr>
          <w:rFonts w:hint="eastAsia" w:ascii="仿宋_GB2312" w:hAnsi="仿宋_GB2312" w:eastAsia="仿宋_GB2312" w:cs="仿宋_GB2312"/>
          <w:snapToGrid w:val="0"/>
          <w:sz w:val="32"/>
          <w:szCs w:val="32"/>
        </w:rPr>
        <w:t>缴费服务，</w:t>
      </w:r>
      <w:r>
        <w:rPr>
          <w:rFonts w:hint="eastAsia" w:ascii="仿宋_GB2312" w:hAnsi="仿宋_GB2312" w:eastAsia="仿宋_GB2312" w:cs="仿宋_GB2312"/>
          <w:snapToGrid w:val="0"/>
          <w:sz w:val="32"/>
          <w:szCs w:val="32"/>
          <w:lang w:val="en-US" w:eastAsia="zh-CN"/>
        </w:rPr>
        <w:t>确保按期、顺利完成2024年度居民医保集中征缴任务。</w:t>
      </w:r>
    </w:p>
    <w:p>
      <w:pPr>
        <w:keepNext w:val="0"/>
        <w:keepLines w:val="0"/>
        <w:pageBreakBefore w:val="0"/>
        <w:widowControl w:val="0"/>
        <w:kinsoku/>
        <w:wordWrap/>
        <w:overflowPunct/>
        <w:topLinePunct w:val="0"/>
        <w:autoSpaceDE/>
        <w:autoSpaceDN/>
        <w:bidi w:val="0"/>
        <w:adjustRightInd/>
        <w:snapToGrid/>
        <w:spacing w:line="560" w:lineRule="exact"/>
        <w:textAlignment w:val="auto"/>
        <w:outlineLvl w:val="9"/>
        <w:rPr>
          <w:rFonts w:hint="eastAsia" w:ascii="仿宋_GB2312" w:hAnsi="仿宋_GB2312" w:eastAsia="仿宋_GB2312" w:cs="仿宋_GB2312"/>
          <w:snapToGrid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莱西市医疗保障局    莱西市财政局     国家税务总局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 xml:space="preserve">                                    莱西市税务局</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9"/>
        <w:rPr>
          <w:rFonts w:hint="eastAsia" w:ascii="仿宋_GB2312" w:hAnsi="仿宋_GB2312" w:eastAsia="仿宋_GB2312" w:cs="仿宋_GB2312"/>
          <w:snapToGrid w:val="0"/>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 xml:space="preserve">        </w:t>
      </w:r>
      <w:bookmarkStart w:id="0" w:name="_GoBack"/>
      <w:bookmarkEnd w:id="0"/>
      <w:r>
        <w:rPr>
          <w:rFonts w:hint="eastAsia" w:ascii="仿宋_GB2312" w:hAnsi="仿宋_GB2312" w:eastAsia="仿宋_GB2312" w:cs="仿宋_GB2312"/>
          <w:snapToGrid w:val="0"/>
          <w:sz w:val="32"/>
          <w:szCs w:val="32"/>
          <w:lang w:val="en-US" w:eastAsia="zh-CN"/>
        </w:rPr>
        <w:t xml:space="preserve"> 莱西市教育和体育局    莱西市残疾人联合会</w:t>
      </w:r>
    </w:p>
    <w:p>
      <w:pPr>
        <w:keepNext w:val="0"/>
        <w:keepLines w:val="0"/>
        <w:pageBreakBefore w:val="0"/>
        <w:widowControl w:val="0"/>
        <w:kinsoku/>
        <w:wordWrap/>
        <w:overflowPunct/>
        <w:topLinePunct w:val="0"/>
        <w:autoSpaceDE/>
        <w:autoSpaceDN/>
        <w:bidi w:val="0"/>
        <w:adjustRightInd/>
        <w:snapToGrid/>
        <w:spacing w:line="560" w:lineRule="exact"/>
        <w:ind w:firstLine="1600" w:firstLineChars="500"/>
        <w:textAlignment w:val="auto"/>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outlineLvl w:val="9"/>
        <w:rPr>
          <w:rFonts w:hint="eastAsia" w:ascii="仿宋_GB2312" w:hAnsi="仿宋_GB2312" w:eastAsia="仿宋_GB2312" w:cs="仿宋_GB2312"/>
          <w:snapToGrid w:val="0"/>
          <w:sz w:val="32"/>
          <w:szCs w:val="32"/>
          <w:lang w:val="en-US" w:eastAsia="zh-CN"/>
        </w:rPr>
      </w:pPr>
      <w:r>
        <w:rPr>
          <w:rFonts w:hint="eastAsia" w:ascii="仿宋_GB2312" w:hAnsi="仿宋_GB2312" w:eastAsia="仿宋_GB2312" w:cs="仿宋_GB2312"/>
          <w:snapToGrid w:val="0"/>
          <w:sz w:val="32"/>
          <w:szCs w:val="32"/>
          <w:lang w:val="en-US" w:eastAsia="zh-CN"/>
        </w:rPr>
        <w:t>2023年10月7日</w:t>
      </w:r>
    </w:p>
    <w:p>
      <w:pPr>
        <w:keepNext w:val="0"/>
        <w:keepLines w:val="0"/>
        <w:pageBreakBefore w:val="0"/>
        <w:widowControl w:val="0"/>
        <w:kinsoku/>
        <w:wordWrap/>
        <w:overflowPunct/>
        <w:topLinePunct w:val="0"/>
        <w:autoSpaceDE/>
        <w:autoSpaceDN/>
        <w:bidi w:val="0"/>
        <w:adjustRightInd/>
        <w:snapToGrid/>
        <w:spacing w:line="560" w:lineRule="exact"/>
        <w:ind w:firstLine="4800" w:firstLineChars="1500"/>
        <w:textAlignment w:val="auto"/>
        <w:outlineLvl w:val="9"/>
        <w:rPr>
          <w:rFonts w:hint="eastAsia" w:ascii="仿宋_GB2312" w:hAnsi="仿宋_GB2312" w:eastAsia="仿宋_GB2312" w:cs="仿宋_GB2312"/>
          <w:snapToGrid w:val="0"/>
          <w:sz w:val="32"/>
          <w:szCs w:val="32"/>
          <w:lang w:val="en-US" w:eastAsia="zh-CN"/>
        </w:rPr>
      </w:pPr>
    </w:p>
    <w:p>
      <w:pPr>
        <w:pStyle w:val="2"/>
      </w:pPr>
    </w:p>
    <w:p>
      <w:pPr>
        <w:pStyle w:val="10"/>
        <w:keepNext w:val="0"/>
        <w:keepLines w:val="0"/>
        <w:pageBreakBefore w:val="0"/>
        <w:widowControl w:val="0"/>
        <w:kinsoku/>
        <w:wordWrap/>
        <w:overflowPunct/>
        <w:topLinePunct w:val="0"/>
        <w:autoSpaceDE/>
        <w:autoSpaceDN/>
        <w:bidi w:val="0"/>
        <w:adjustRightInd/>
        <w:snapToGrid w:val="0"/>
        <w:spacing w:line="590" w:lineRule="exact"/>
        <w:ind w:firstLine="198" w:firstLineChars="71"/>
        <w:textAlignment w:val="auto"/>
        <w:outlineLvl w:val="9"/>
        <w:rPr>
          <w:rFonts w:ascii="仿宋_GB2312"/>
          <w:sz w:val="28"/>
          <w:szCs w:val="28"/>
        </w:rPr>
      </w:pPr>
      <w:r>
        <w:rPr>
          <w:rFonts w:ascii="仿宋_GB2312"/>
          <w:bCs/>
          <w:sz w:val="28"/>
          <w:szCs w:val="28"/>
        </w:rPr>
        <mc:AlternateContent>
          <mc:Choice Requires="wps">
            <w:drawing>
              <wp:anchor distT="0" distB="0" distL="114300" distR="114300" simplePos="0" relativeHeight="251664384" behindDoc="0" locked="0" layoutInCell="1" allowOverlap="1">
                <wp:simplePos x="0" y="0"/>
                <wp:positionH relativeFrom="column">
                  <wp:posOffset>-17780</wp:posOffset>
                </wp:positionH>
                <wp:positionV relativeFrom="paragraph">
                  <wp:posOffset>67945</wp:posOffset>
                </wp:positionV>
                <wp:extent cx="5667375" cy="0"/>
                <wp:effectExtent l="0" t="9525" r="1905" b="13335"/>
                <wp:wrapNone/>
                <wp:docPr id="3" name="直接连接符 3"/>
                <wp:cNvGraphicFramePr/>
                <a:graphic xmlns:a="http://schemas.openxmlformats.org/drawingml/2006/main">
                  <a:graphicData uri="http://schemas.microsoft.com/office/word/2010/wordprocessingShape">
                    <wps:wsp>
                      <wps:cNvCnPr/>
                      <wps:spPr>
                        <a:xfrm>
                          <a:off x="0" y="0"/>
                          <a:ext cx="5667375" cy="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1.4pt;margin-top:5.35pt;height:0pt;width:446.25pt;z-index:251664384;mso-width-relative:page;mso-height-relative:page;" filled="f" stroked="t" coordsize="21600,21600" o:gfxdata="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DioRhu1QAAAAgBAAAPAAAA&#10;AAAAAAEAIAAAACIAAABkcnMvZG93bnJldi54bWxQSwECFAAUAAAACACHTuJAh8kp798BAAClAwAA&#10;DgAAAAAAAAABACAAAAAkAQAAZHJzL2Uyb0RvYy54bWxQSwUGAAAAAAYABgBZAQAAdQUAAAAA&#10;">
                <v:fill on="f" focussize="0,0"/>
                <v:stroke weight="1.5pt" color="#000000" joinstyle="round"/>
                <v:imagedata o:title=""/>
                <o:lock v:ext="edit" aspectratio="f"/>
              </v:line>
            </w:pict>
          </mc:Fallback>
        </mc:AlternateContent>
      </w:r>
      <w:r>
        <w:rPr>
          <w:rFonts w:hint="eastAsia" w:ascii="仿宋_GB2312"/>
          <w:sz w:val="28"/>
          <w:szCs w:val="28"/>
        </w:rPr>
        <w:t>抄送：存档。</w:t>
      </w:r>
    </w:p>
    <w:p>
      <w:pPr>
        <w:pStyle w:val="10"/>
        <w:keepNext w:val="0"/>
        <w:keepLines w:val="0"/>
        <w:pageBreakBefore w:val="0"/>
        <w:widowControl w:val="0"/>
        <w:kinsoku/>
        <w:wordWrap/>
        <w:overflowPunct/>
        <w:topLinePunct w:val="0"/>
        <w:autoSpaceDE/>
        <w:autoSpaceDN/>
        <w:bidi w:val="0"/>
        <w:adjustRightInd/>
        <w:snapToGrid w:val="0"/>
        <w:spacing w:line="590" w:lineRule="exact"/>
        <w:ind w:firstLine="198" w:firstLineChars="71"/>
        <w:textAlignment w:val="auto"/>
        <w:outlineLvl w:val="9"/>
        <w:rPr>
          <w:rFonts w:hint="eastAsia" w:ascii="仿宋_GB2312"/>
          <w:sz w:val="28"/>
          <w:szCs w:val="28"/>
          <w:lang w:val="en-US" w:eastAsia="zh-CN"/>
        </w:rPr>
      </w:pPr>
      <w:r>
        <w:rPr>
          <w:rFonts w:hint="eastAsia" w:ascii="仿宋_GB2312"/>
          <w:sz w:val="28"/>
          <w:szCs w:val="28"/>
          <w:lang w:val="en-US" w:eastAsia="zh-CN"/>
        </w:rPr>
        <mc:AlternateContent>
          <mc:Choice Requires="wps">
            <w:drawing>
              <wp:anchor distT="0" distB="0" distL="114300" distR="114300" simplePos="0" relativeHeight="251662336" behindDoc="0" locked="0" layoutInCell="1" allowOverlap="1">
                <wp:simplePos x="0" y="0"/>
                <wp:positionH relativeFrom="column">
                  <wp:posOffset>-22860</wp:posOffset>
                </wp:positionH>
                <wp:positionV relativeFrom="paragraph">
                  <wp:posOffset>346710</wp:posOffset>
                </wp:positionV>
                <wp:extent cx="5696585" cy="12700"/>
                <wp:effectExtent l="0" t="0" r="0" b="0"/>
                <wp:wrapNone/>
                <wp:docPr id="5" name="直接连接符 5"/>
                <wp:cNvGraphicFramePr/>
                <a:graphic xmlns:a="http://schemas.openxmlformats.org/drawingml/2006/main">
                  <a:graphicData uri="http://schemas.microsoft.com/office/word/2010/wordprocessingShape">
                    <wps:wsp>
                      <wps:cNvCnPr/>
                      <wps:spPr>
                        <a:xfrm flipV="1">
                          <a:off x="0" y="0"/>
                          <a:ext cx="5696585" cy="12700"/>
                        </a:xfrm>
                        <a:prstGeom prst="line">
                          <a:avLst/>
                        </a:prstGeom>
                        <a:ln w="19050"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flip:y;margin-left:-1.8pt;margin-top:27.3pt;height:1pt;width:448.55pt;z-index:251662336;mso-width-relative:page;mso-height-relative:page;" filled="f" stroked="t" coordsize="21600,21600" o:gfxdata="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vJ3hF9gAAAAIAQAADwAAAAAAAAABACAAAAAiAAAAZHJzL2Rvd25yZXYueG1sUEsBAhQAFAAAAAgA&#10;h07iQLryRZ3sAQAAswMAAA4AAAAAAAAAAQAgAAAAJwEAAGRycy9lMm9Eb2MueG1sUEsFBgAAAAAG&#10;AAYAWQEAAIUFAAAAAA==&#10;">
                <v:fill on="f" focussize="0,0"/>
                <v:stroke weight="1.5pt" color="#000000" joinstyle="round"/>
                <v:imagedata o:title=""/>
                <o:lock v:ext="edit" aspectratio="f"/>
              </v:line>
            </w:pict>
          </mc:Fallback>
        </mc:AlternateContent>
      </w:r>
      <w:r>
        <w:rPr>
          <w:rFonts w:hint="eastAsia" w:ascii="仿宋_GB2312"/>
          <w:sz w:val="28"/>
          <w:szCs w:val="28"/>
          <w:lang w:val="en-US" w:eastAsia="zh-CN"/>
        </w:rPr>
        <mc:AlternateContent>
          <mc:Choice Requires="wps">
            <w:drawing>
              <wp:anchor distT="0" distB="0" distL="114300" distR="114300" simplePos="0" relativeHeight="251663360" behindDoc="0" locked="0" layoutInCell="1" allowOverlap="1">
                <wp:simplePos x="0" y="0"/>
                <wp:positionH relativeFrom="column">
                  <wp:posOffset>-8255</wp:posOffset>
                </wp:positionH>
                <wp:positionV relativeFrom="paragraph">
                  <wp:posOffset>-635</wp:posOffset>
                </wp:positionV>
                <wp:extent cx="5667375" cy="0"/>
                <wp:effectExtent l="0" t="5080" r="0" b="4445"/>
                <wp:wrapNone/>
                <wp:docPr id="2" name="直接连接符 2"/>
                <wp:cNvGraphicFramePr/>
                <a:graphic xmlns:a="http://schemas.openxmlformats.org/drawingml/2006/main">
                  <a:graphicData uri="http://schemas.microsoft.com/office/word/2010/wordprocessingShape">
                    <wps:wsp>
                      <wps:cNvCnPr/>
                      <wps:spPr>
                        <a:xfrm>
                          <a:off x="0" y="0"/>
                          <a:ext cx="5667375" cy="0"/>
                        </a:xfrm>
                        <a:prstGeom prst="line">
                          <a:avLst/>
                        </a:prstGeom>
                        <a:ln w="9525" cap="flat" cmpd="sng">
                          <a:solidFill>
                            <a:srgbClr val="000000"/>
                          </a:solidFill>
                          <a:prstDash val="solid"/>
                          <a:headEnd type="none" w="med" len="med"/>
                          <a:tailEnd type="none" w="med" len="med"/>
                        </a:ln>
                        <a:effectLst/>
                      </wps:spPr>
                      <wps:bodyPr upright="1"/>
                    </wps:wsp>
                  </a:graphicData>
                </a:graphic>
              </wp:anchor>
            </w:drawing>
          </mc:Choice>
          <mc:Fallback>
            <w:pict>
              <v:line id="_x0000_s1026" o:spid="_x0000_s1026" o:spt="20" style="position:absolute;left:0pt;margin-left:-0.65pt;margin-top:-0.05pt;height:0pt;width:446.25pt;z-index:251663360;mso-width-relative:page;mso-height-relative:page;" filled="f" stroked="t" coordsize="21600,21600" o:gfxdata="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e0qpnNMAAAAGAQAADwAAAAAA&#10;AAABACAAAAAiAAAAZHJzL2Rvd25yZXYueG1sUEsBAhQAFAAAAAgAh07iQET8Gu3fAQAApAMAAA4A&#10;AAAAAAAAAQAgAAAAIgEAAGRycy9lMm9Eb2MueG1sUEsFBgAAAAAGAAYAWQEAAHMFAAAAAA==&#10;">
                <v:fill on="f" focussize="0,0"/>
                <v:stroke color="#000000" joinstyle="round"/>
                <v:imagedata o:title=""/>
                <o:lock v:ext="edit" aspectratio="f"/>
              </v:line>
            </w:pict>
          </mc:Fallback>
        </mc:AlternateContent>
      </w:r>
      <w:r>
        <w:rPr>
          <w:rFonts w:hint="eastAsia" w:ascii="仿宋_GB2312"/>
          <w:sz w:val="28"/>
          <w:szCs w:val="28"/>
          <w:lang w:val="en-US" w:eastAsia="zh-CN"/>
        </w:rPr>
        <w:t>莱西市医疗保障局办公室</w:t>
      </w:r>
      <w:r>
        <w:rPr>
          <w:rFonts w:hint="eastAsia" w:ascii="仿宋_GB2312"/>
          <w:sz w:val="28"/>
          <w:szCs w:val="28"/>
        </w:rPr>
        <w:t xml:space="preserve">                 </w:t>
      </w:r>
      <w:r>
        <w:rPr>
          <w:rFonts w:hint="eastAsia" w:ascii="仿宋_GB2312"/>
          <w:sz w:val="28"/>
          <w:szCs w:val="28"/>
          <w:lang w:val="en-US" w:eastAsia="zh-CN"/>
        </w:rPr>
        <w:t xml:space="preserve">  2023</w:t>
      </w:r>
      <w:r>
        <w:rPr>
          <w:rFonts w:hint="eastAsia" w:ascii="仿宋_GB2312"/>
          <w:sz w:val="28"/>
          <w:szCs w:val="28"/>
        </w:rPr>
        <w:t>年</w:t>
      </w:r>
      <w:r>
        <w:rPr>
          <w:rFonts w:hint="eastAsia" w:ascii="仿宋_GB2312"/>
          <w:sz w:val="28"/>
          <w:szCs w:val="28"/>
          <w:lang w:val="en-US" w:eastAsia="zh-CN"/>
        </w:rPr>
        <w:t>10</w:t>
      </w:r>
      <w:r>
        <w:rPr>
          <w:rFonts w:hint="eastAsia" w:ascii="仿宋_GB2312"/>
          <w:sz w:val="28"/>
          <w:szCs w:val="28"/>
        </w:rPr>
        <w:t>月</w:t>
      </w:r>
      <w:r>
        <w:rPr>
          <w:rFonts w:hint="eastAsia" w:ascii="仿宋_GB2312"/>
          <w:sz w:val="28"/>
          <w:szCs w:val="28"/>
          <w:lang w:val="en-US" w:eastAsia="zh-CN"/>
        </w:rPr>
        <w:t>7</w:t>
      </w:r>
      <w:r>
        <w:rPr>
          <w:rFonts w:hint="eastAsia" w:ascii="仿宋_GB2312"/>
          <w:sz w:val="28"/>
          <w:szCs w:val="28"/>
        </w:rPr>
        <w:t>日印发</w:t>
      </w:r>
    </w:p>
    <w:sectPr>
      <w:footerReference r:id="rId3" w:type="default"/>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asciiTheme="minorEastAsia" w:hAnsiTheme="minorEastAsia" w:eastAsiaTheme="minorEastAsia" w:cstheme="minorEastAsia"/>
                        <w:sz w:val="28"/>
                        <w:szCs w:val="28"/>
                        <w:lang w:eastAsia="zh-CN"/>
                      </w:rPr>
                      <w:fldChar w:fldCharType="begin"/>
                    </w:r>
                    <w:r>
                      <w:rPr>
                        <w:rFonts w:hint="eastAsia" w:asciiTheme="minorEastAsia" w:hAnsiTheme="minorEastAsia" w:eastAsiaTheme="minorEastAsia" w:cstheme="minorEastAsia"/>
                        <w:sz w:val="28"/>
                        <w:szCs w:val="28"/>
                        <w:lang w:eastAsia="zh-CN"/>
                      </w:rPr>
                      <w:instrText xml:space="preserve"> PAGE  \* MERGEFORMAT </w:instrText>
                    </w:r>
                    <w:r>
                      <w:rPr>
                        <w:rFonts w:hint="eastAsia" w:asciiTheme="minorEastAsia" w:hAnsiTheme="minorEastAsia" w:eastAsiaTheme="minorEastAsia" w:cstheme="minorEastAsia"/>
                        <w:sz w:val="28"/>
                        <w:szCs w:val="28"/>
                        <w:lang w:eastAsia="zh-CN"/>
                      </w:rPr>
                      <w:fldChar w:fldCharType="separate"/>
                    </w:r>
                    <w:r>
                      <w:rPr>
                        <w:rFonts w:hint="eastAsia" w:asciiTheme="minorEastAsia" w:hAnsiTheme="minorEastAsia" w:eastAsiaTheme="minorEastAsia" w:cstheme="minorEastAsia"/>
                        <w:sz w:val="28"/>
                        <w:szCs w:val="28"/>
                        <w:lang w:eastAsia="zh-CN"/>
                      </w:rPr>
                      <w:t>1</w:t>
                    </w:r>
                    <w:r>
                      <w:rPr>
                        <w:rFonts w:hint="eastAsia" w:asciiTheme="minorEastAsia" w:hAnsiTheme="minorEastAsia" w:eastAsiaTheme="minorEastAsia" w:cstheme="minorEastAsia"/>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VmMTc2NTAwMjc3MmZmYjJiNGY4ZGM5YmQ5YmI0MjkifQ=="/>
  </w:docVars>
  <w:rsids>
    <w:rsidRoot w:val="63CC26B1"/>
    <w:rsid w:val="00C85F20"/>
    <w:rsid w:val="01B6221C"/>
    <w:rsid w:val="02186A33"/>
    <w:rsid w:val="039E11BA"/>
    <w:rsid w:val="08014CD1"/>
    <w:rsid w:val="0A2B78C2"/>
    <w:rsid w:val="0BD118D5"/>
    <w:rsid w:val="0BEC3BB6"/>
    <w:rsid w:val="0CC66855"/>
    <w:rsid w:val="0D75742F"/>
    <w:rsid w:val="11BD29B1"/>
    <w:rsid w:val="12C26928"/>
    <w:rsid w:val="13174785"/>
    <w:rsid w:val="1342607F"/>
    <w:rsid w:val="17487963"/>
    <w:rsid w:val="1B5763C6"/>
    <w:rsid w:val="20947775"/>
    <w:rsid w:val="21AE4866"/>
    <w:rsid w:val="2201708C"/>
    <w:rsid w:val="22CA3922"/>
    <w:rsid w:val="236F21ED"/>
    <w:rsid w:val="25034EC9"/>
    <w:rsid w:val="25895E0F"/>
    <w:rsid w:val="304765B2"/>
    <w:rsid w:val="30CB0F91"/>
    <w:rsid w:val="31EF066D"/>
    <w:rsid w:val="33185FE3"/>
    <w:rsid w:val="358D4A67"/>
    <w:rsid w:val="35B9708D"/>
    <w:rsid w:val="36237179"/>
    <w:rsid w:val="38DF6A66"/>
    <w:rsid w:val="3B2E2848"/>
    <w:rsid w:val="403326AF"/>
    <w:rsid w:val="413E2DA9"/>
    <w:rsid w:val="417535BF"/>
    <w:rsid w:val="418A3D31"/>
    <w:rsid w:val="4D665A45"/>
    <w:rsid w:val="4DAD3AA0"/>
    <w:rsid w:val="4E65437B"/>
    <w:rsid w:val="4FD73056"/>
    <w:rsid w:val="52BB1556"/>
    <w:rsid w:val="52C72EBE"/>
    <w:rsid w:val="539811B5"/>
    <w:rsid w:val="544B7B6F"/>
    <w:rsid w:val="559B1C11"/>
    <w:rsid w:val="5903310E"/>
    <w:rsid w:val="5C716B5C"/>
    <w:rsid w:val="5CD055E0"/>
    <w:rsid w:val="60605946"/>
    <w:rsid w:val="635D166D"/>
    <w:rsid w:val="63CC26B1"/>
    <w:rsid w:val="66A24069"/>
    <w:rsid w:val="67E73BFB"/>
    <w:rsid w:val="68AA7102"/>
    <w:rsid w:val="6A2400A4"/>
    <w:rsid w:val="6ABA73A5"/>
    <w:rsid w:val="6BDA5F51"/>
    <w:rsid w:val="6C1A00FB"/>
    <w:rsid w:val="6F7C5CF2"/>
    <w:rsid w:val="733C4DFB"/>
    <w:rsid w:val="7C5C650E"/>
    <w:rsid w:val="7CD73DE6"/>
    <w:rsid w:val="7EC421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8">
    <w:name w:val="Normal Table"/>
    <w:semiHidden/>
    <w:qFormat/>
    <w:uiPriority w:val="0"/>
    <w:tblPr>
      <w:tblLayout w:type="fixed"/>
      <w:tblCellMar>
        <w:top w:w="0" w:type="dxa"/>
        <w:left w:w="108" w:type="dxa"/>
        <w:bottom w:w="0" w:type="dxa"/>
        <w:right w:w="108" w:type="dxa"/>
      </w:tblCellMar>
    </w:tblPr>
  </w:style>
  <w:style w:type="paragraph" w:styleId="2">
    <w:name w:val="Normal Indent"/>
    <w:basedOn w:val="1"/>
    <w:qFormat/>
    <w:uiPriority w:val="99"/>
    <w:pPr>
      <w:widowControl w:val="0"/>
      <w:ind w:firstLine="420"/>
      <w:jc w:val="both"/>
    </w:pPr>
    <w:rPr>
      <w:rFonts w:ascii="Times New Roman" w:hAnsi="Times New Roman" w:eastAsia="宋体" w:cs="Times New Roman"/>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toc 1"/>
    <w:basedOn w:val="1"/>
    <w:next w:val="1"/>
    <w:qFormat/>
    <w:uiPriority w:val="99"/>
    <w:pPr>
      <w:snapToGrid w:val="0"/>
      <w:spacing w:line="640" w:lineRule="exact"/>
      <w:ind w:firstLine="705"/>
    </w:pPr>
    <w:rPr>
      <w:rFonts w:ascii="仿宋_GB2312" w:hAnsi="Times New Roman" w:eastAsia="仿宋_GB2312" w:cs="仿宋_GB2312"/>
      <w:color w:val="000000"/>
      <w:sz w:val="36"/>
      <w:szCs w:val="36"/>
    </w:rPr>
  </w:style>
  <w:style w:type="character" w:styleId="7">
    <w:name w:val="page number"/>
    <w:basedOn w:val="6"/>
    <w:qFormat/>
    <w:uiPriority w:val="99"/>
    <w:rPr>
      <w:rFonts w:cs="Times New Roman"/>
    </w:rPr>
  </w:style>
  <w:style w:type="table" w:styleId="9">
    <w:name w:val="Table Grid"/>
    <w:basedOn w:val="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paragraph" w:customStyle="1" w:styleId="10">
    <w:name w:val="样式1"/>
    <w:basedOn w:val="1"/>
    <w:qFormat/>
    <w:uiPriority w:val="0"/>
    <w:pPr>
      <w:ind w:firstLine="200" w:firstLineChars="200"/>
    </w:pPr>
    <w:rPr>
      <w:rFonts w:eastAsia="仿宋_GB2312"/>
      <w:sz w:val="32"/>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Info spid="_x0000_s2050"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3229</Words>
  <Characters>3321</Characters>
  <Lines>0</Lines>
  <Paragraphs>0</Paragraphs>
  <TotalTime>3</TotalTime>
  <ScaleCrop>false</ScaleCrop>
  <LinksUpToDate>false</LinksUpToDate>
  <CharactersWithSpaces>3417</CharactersWithSpaces>
  <Application>WPS Office_10.1.0.7346_F1E327BC-269C-435d-A152-05C5408002CA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2021-10-29T06:21:00Z</dcterms:created>
  <dc:creator>Administrator</dc:creator>
  <cp:lastModifiedBy>Administrator</cp:lastModifiedBy>
  <cp:lastPrinted>2023-10-08T02:59:00Z</cp:lastPrinted>
  <dcterms:modified xsi:type="dcterms:W3CDTF">2023-10-12T05:44:57Z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2052-10.1.0.7346</vt:lpwstr>
  </property>
  <property fmtid="{D5CDD505-2E9C-101B-9397-08002B2CF9AE}" pid="3" name="ICV">
    <vt:lpwstr>02D2B0DEFFAA408BAD266E81F6B79C57</vt:lpwstr>
  </property>
</Properties>
</file>