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bookmarkStart w:id="0" w:name="_Hlk132984356"/>
      <w:r>
        <w:rPr>
          <w:rFonts w:hint="eastAsia" w:ascii="方正小标宋_GBK" w:hAnsi="方正小标宋_GBK" w:eastAsia="方正小标宋_GBK" w:cs="方正小标宋_GBK"/>
          <w:sz w:val="44"/>
          <w:szCs w:val="44"/>
        </w:rPr>
        <w:t>李沧区人民政府办公室</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关于印发2023年李沧区政务公开</w:t>
      </w:r>
    </w:p>
    <w:p>
      <w:pPr>
        <w:pStyle w:val="38"/>
        <w:tabs>
          <w:tab w:val="left" w:pos="1134"/>
        </w:tabs>
        <w:spacing w:line="560" w:lineRule="exact"/>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工作要点的通知</w:t>
      </w:r>
    </w:p>
    <w:tbl>
      <w:tblPr>
        <w:tblStyle w:val="20"/>
        <w:tblpPr w:leftFromText="180" w:rightFromText="180" w:vertAnchor="text" w:horzAnchor="page" w:tblpX="1426" w:tblpY="552"/>
        <w:tblOverlap w:val="never"/>
        <w:tblW w:w="5009" w:type="pct"/>
        <w:tblInd w:w="0" w:type="dxa"/>
        <w:tblBorders>
          <w:top w:val="single" w:color="E5E5E5" w:sz="6" w:space="0"/>
          <w:left w:val="single" w:color="E5E5E5" w:sz="6" w:space="0"/>
          <w:bottom w:val="single" w:color="E5E5E5" w:sz="6" w:space="0"/>
          <w:right w:val="single" w:color="E5E5E5" w:sz="6" w:space="0"/>
          <w:insideH w:val="outset" w:color="auto" w:sz="6" w:space="0"/>
          <w:insideV w:val="outset" w:color="auto" w:sz="6" w:space="0"/>
        </w:tblBorders>
        <w:tblLayout w:type="autofit"/>
        <w:tblCellMar>
          <w:top w:w="0" w:type="dxa"/>
          <w:left w:w="0" w:type="dxa"/>
          <w:bottom w:w="0" w:type="dxa"/>
          <w:right w:w="0" w:type="dxa"/>
        </w:tblCellMar>
      </w:tblPr>
      <w:tblGrid>
        <w:gridCol w:w="2663"/>
        <w:gridCol w:w="6213"/>
      </w:tblGrid>
      <w:tr>
        <w:tblPrEx>
          <w:tblBorders>
            <w:top w:val="single" w:color="E5E5E5" w:sz="6" w:space="0"/>
            <w:left w:val="single" w:color="E5E5E5" w:sz="6" w:space="0"/>
            <w:bottom w:val="single" w:color="E5E5E5" w:sz="6" w:space="0"/>
            <w:right w:val="single" w:color="E5E5E5" w:sz="6" w:space="0"/>
            <w:insideH w:val="outset" w:color="auto" w:sz="6" w:space="0"/>
            <w:insideV w:val="outset" w:color="auto" w:sz="6" w:space="0"/>
          </w:tblBorders>
          <w:tblCellMar>
            <w:top w:w="0" w:type="dxa"/>
            <w:left w:w="0" w:type="dxa"/>
            <w:bottom w:w="0" w:type="dxa"/>
            <w:right w:w="0" w:type="dxa"/>
          </w:tblCellMar>
        </w:tblPrEx>
        <w:tc>
          <w:tcPr>
            <w:tcW w:w="1500" w:type="pct"/>
            <w:tcBorders>
              <w:top w:val="single" w:color="E5E5E5" w:sz="6" w:space="0"/>
              <w:left w:val="single" w:color="E5E5E5" w:sz="6" w:space="0"/>
              <w:bottom w:val="single" w:color="E5E5E5" w:sz="6" w:space="0"/>
              <w:right w:val="single" w:color="E5E5E5" w:sz="6" w:space="0"/>
            </w:tcBorders>
            <w:noWrap w:val="0"/>
            <w:vAlign w:val="center"/>
          </w:tcPr>
          <w:p>
            <w:pPr>
              <w:widowControl/>
              <w:spacing w:line="450" w:lineRule="atLeast"/>
              <w:jc w:val="center"/>
              <w:rPr>
                <w:rFonts w:ascii="仿宋_GB2312" w:hAnsi="仿宋_GB2312" w:cs="仿宋_GB2312"/>
                <w:color w:val="333333"/>
                <w:szCs w:val="32"/>
              </w:rPr>
            </w:pPr>
            <w:r>
              <w:rPr>
                <w:rFonts w:hint="eastAsia" w:ascii="仿宋_GB2312" w:hAnsi="仿宋_GB2312" w:cs="仿宋_GB2312"/>
                <w:color w:val="333333"/>
                <w:szCs w:val="32"/>
              </w:rPr>
              <w:t>编号</w:t>
            </w:r>
          </w:p>
        </w:tc>
        <w:tc>
          <w:tcPr>
            <w:tcW w:w="3500" w:type="pct"/>
            <w:tcBorders>
              <w:top w:val="single" w:color="E5E5E5" w:sz="6" w:space="0"/>
              <w:left w:val="single" w:color="E5E5E5" w:sz="6" w:space="0"/>
              <w:bottom w:val="single" w:color="E5E5E5" w:sz="6" w:space="0"/>
              <w:right w:val="single" w:color="E5E5E5" w:sz="6" w:space="0"/>
            </w:tcBorders>
            <w:noWrap w:val="0"/>
            <w:vAlign w:val="center"/>
          </w:tcPr>
          <w:p>
            <w:pPr>
              <w:spacing w:line="600" w:lineRule="exact"/>
              <w:jc w:val="center"/>
              <w:rPr>
                <w:rFonts w:hint="eastAsia" w:ascii="仿宋_GB2312"/>
              </w:rPr>
            </w:pPr>
            <w:r>
              <w:rPr>
                <w:rFonts w:hint="eastAsia" w:ascii="仿宋_GB2312"/>
              </w:rPr>
              <w:t>青李沧政办发</w:t>
            </w:r>
            <w:r>
              <w:rPr>
                <w:rFonts w:hint="eastAsia" w:ascii="仿宋_GB2312" w:hAnsi="宋体"/>
              </w:rPr>
              <w:t>〔</w:t>
            </w:r>
            <w:r>
              <w:rPr>
                <w:rFonts w:hint="eastAsia" w:ascii="仿宋_GB2312"/>
              </w:rPr>
              <w:t>2</w:t>
            </w:r>
            <w:r>
              <w:rPr>
                <w:rFonts w:ascii="仿宋_GB2312"/>
              </w:rPr>
              <w:t>023</w:t>
            </w:r>
            <w:r>
              <w:rPr>
                <w:rFonts w:hint="eastAsia" w:ascii="仿宋_GB2312" w:hAnsi="宋体"/>
              </w:rPr>
              <w:t>〕</w:t>
            </w:r>
            <w:r>
              <w:rPr>
                <w:rFonts w:ascii="仿宋_GB2312" w:hAnsi="宋体"/>
              </w:rPr>
              <w:t>22</w:t>
            </w:r>
            <w:r>
              <w:rPr>
                <w:rFonts w:hint="eastAsia" w:ascii="仿宋_GB2312"/>
              </w:rPr>
              <w:t>号</w:t>
            </w:r>
          </w:p>
        </w:tc>
      </w:tr>
    </w:tbl>
    <w:p>
      <w:pPr>
        <w:pStyle w:val="38"/>
        <w:tabs>
          <w:tab w:val="left" w:pos="1134"/>
        </w:tabs>
        <w:spacing w:line="560" w:lineRule="exact"/>
        <w:ind w:firstLine="0" w:firstLineChars="0"/>
        <w:jc w:val="center"/>
        <w:rPr>
          <w:rFonts w:ascii="仿宋_GB2312"/>
          <w:color w:val="000000"/>
          <w:kern w:val="2"/>
          <w:szCs w:val="32"/>
        </w:rPr>
      </w:pPr>
    </w:p>
    <w:p>
      <w:pPr>
        <w:spacing w:line="560" w:lineRule="exact"/>
        <w:rPr>
          <w:rFonts w:ascii="仿宋_GB2312" w:hAnsi="仿宋_GB2312" w:cs="仿宋_GB2312"/>
          <w:szCs w:val="32"/>
        </w:rPr>
      </w:pPr>
      <w:r>
        <w:rPr>
          <w:rFonts w:hint="eastAsia" w:ascii="仿宋_GB2312" w:hAnsi="仿宋_GB2312" w:cs="仿宋_GB2312"/>
          <w:szCs w:val="32"/>
        </w:rPr>
        <w:t>各街道办事处，区政府各部门，各相关单位：</w:t>
      </w:r>
    </w:p>
    <w:p>
      <w:pPr>
        <w:spacing w:line="560" w:lineRule="exact"/>
        <w:ind w:firstLine="640" w:firstLineChars="200"/>
        <w:rPr>
          <w:rFonts w:ascii="仿宋_GB2312"/>
        </w:rPr>
      </w:pPr>
      <w:r>
        <w:rPr>
          <w:rFonts w:hint="eastAsia" w:ascii="仿宋_GB2312"/>
        </w:rPr>
        <w:t>《2023年李沧区政务公开工作要点》已经区政府同意，现印发给你们，请认真贯彻执行。</w:t>
      </w:r>
    </w:p>
    <w:bookmarkEnd w:id="0"/>
    <w:p>
      <w:pPr>
        <w:spacing w:line="560" w:lineRule="exact"/>
        <w:ind w:firstLine="640" w:firstLineChars="200"/>
        <w:rPr>
          <w:rFonts w:ascii="仿宋_GB2312"/>
        </w:rPr>
      </w:pPr>
    </w:p>
    <w:p>
      <w:pPr>
        <w:wordWrap w:val="0"/>
        <w:spacing w:line="560" w:lineRule="exact"/>
        <w:ind w:firstLine="640" w:firstLineChars="200"/>
        <w:jc w:val="right"/>
        <w:rPr>
          <w:rFonts w:ascii="仿宋_GB2312"/>
        </w:rPr>
      </w:pPr>
      <w:r>
        <w:rPr>
          <w:rFonts w:hint="eastAsia" w:ascii="仿宋_GB2312"/>
        </w:rPr>
        <w:t xml:space="preserve">李沧区人民政府办公室  </w:t>
      </w:r>
      <w:r>
        <w:rPr>
          <w:rFonts w:ascii="仿宋_GB2312"/>
        </w:rPr>
        <w:t xml:space="preserve">  </w:t>
      </w:r>
    </w:p>
    <w:p>
      <w:pPr>
        <w:wordWrap w:val="0"/>
        <w:spacing w:line="560" w:lineRule="exact"/>
        <w:ind w:firstLine="640" w:firstLineChars="200"/>
        <w:jc w:val="right"/>
        <w:rPr>
          <w:rFonts w:ascii="仿宋_GB2312"/>
        </w:rPr>
      </w:pPr>
      <w:r>
        <w:rPr>
          <w:rFonts w:hint="eastAsia" w:ascii="仿宋_GB2312"/>
        </w:rPr>
        <w:t>202</w:t>
      </w:r>
      <w:r>
        <w:rPr>
          <w:rFonts w:ascii="仿宋_GB2312"/>
        </w:rPr>
        <w:t>3</w:t>
      </w:r>
      <w:r>
        <w:rPr>
          <w:rFonts w:hint="eastAsia" w:ascii="仿宋_GB2312"/>
        </w:rPr>
        <w:t>年</w:t>
      </w:r>
      <w:r>
        <w:rPr>
          <w:rFonts w:ascii="仿宋_GB2312"/>
        </w:rPr>
        <w:t>7</w:t>
      </w:r>
      <w:r>
        <w:rPr>
          <w:rFonts w:hint="eastAsia" w:ascii="仿宋_GB2312"/>
        </w:rPr>
        <w:t xml:space="preserve">月3日   </w:t>
      </w:r>
      <w:r>
        <w:rPr>
          <w:rFonts w:ascii="仿宋_GB2312"/>
        </w:rPr>
        <w:t xml:space="preserve">  </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（此件公开发布）</w:t>
      </w:r>
    </w:p>
    <w:p>
      <w:pPr>
        <w:spacing w:line="560" w:lineRule="exact"/>
        <w:ind w:firstLine="640" w:firstLineChars="200"/>
        <w:rPr>
          <w:rFonts w:ascii="仿宋_GB2312" w:hAnsi="仿宋_GB2312" w:cs="仿宋_GB2312"/>
          <w:szCs w:val="32"/>
        </w:rPr>
      </w:pPr>
    </w:p>
    <w:p>
      <w:pPr>
        <w:spacing w:line="560" w:lineRule="exact"/>
        <w:ind w:firstLine="640" w:firstLineChars="200"/>
        <w:rPr>
          <w:rFonts w:ascii="仿宋_GB2312" w:hAnsi="仿宋_GB2312" w:cs="仿宋_GB2312"/>
          <w:szCs w:val="32"/>
        </w:rPr>
      </w:pPr>
    </w:p>
    <w:p>
      <w:pPr>
        <w:snapToGrid w:val="0"/>
        <w:spacing w:line="560" w:lineRule="exact"/>
        <w:jc w:val="center"/>
        <w:rPr>
          <w:rFonts w:ascii="方正小标宋_GBK" w:eastAsia="方正小标宋_GBK"/>
          <w:color w:val="000000"/>
          <w:sz w:val="44"/>
          <w:szCs w:val="44"/>
        </w:rPr>
      </w:pPr>
      <w:r>
        <w:rPr>
          <w:rFonts w:hint="eastAsia" w:ascii="方正小标宋_GBK" w:hAnsi="方正小标宋_GBK" w:eastAsia="方正小标宋_GBK" w:cs="方正小标宋_GBK"/>
          <w:sz w:val="44"/>
          <w:szCs w:val="44"/>
        </w:rPr>
        <w:t>2023</w:t>
      </w:r>
      <w:r>
        <w:rPr>
          <w:rFonts w:hint="eastAsia" w:ascii="方正小标宋_GBK" w:eastAsia="方正小标宋_GBK"/>
          <w:color w:val="000000"/>
          <w:sz w:val="44"/>
          <w:szCs w:val="44"/>
        </w:rPr>
        <w:t>年李沧区政务公开工作要点</w:t>
      </w:r>
    </w:p>
    <w:p>
      <w:pPr>
        <w:spacing w:line="560" w:lineRule="exact"/>
        <w:ind w:firstLine="640" w:firstLineChars="200"/>
        <w:rPr>
          <w:rFonts w:ascii="黑体" w:hAnsi="黑体" w:eastAsia="黑体"/>
          <w:szCs w:val="32"/>
        </w:rPr>
      </w:pPr>
    </w:p>
    <w:p>
      <w:pPr>
        <w:snapToGrid w:val="0"/>
        <w:spacing w:line="560" w:lineRule="exact"/>
        <w:ind w:firstLine="640" w:firstLineChars="200"/>
        <w:rPr>
          <w:rFonts w:ascii="仿宋_GB2312" w:hAnsi="Calibri" w:cs="Calibri"/>
          <w:szCs w:val="32"/>
        </w:rPr>
      </w:pPr>
      <w:r>
        <w:rPr>
          <w:rFonts w:hint="eastAsia" w:ascii="仿宋_GB2312" w:hAnsi="Calibri" w:cs="Calibri"/>
          <w:szCs w:val="32"/>
        </w:rPr>
        <w:t>2023年政务公开工作的总体要求是：以习近平新时代中国特色社会主义思想为指导，全面贯彻落实党的二十大精神，深入贯彻习近平总书记对山东、对青岛工作的重要指示，认真落实上级关于深化新时代政务公开工作要求，推动重点领域信息公开，优化政策环境，提升标准化规范化水平，夯实工作基础，更好发挥政务公开促落实、促规范、促服务作用，不断提升政府透明度，</w:t>
      </w:r>
      <w:r>
        <w:rPr>
          <w:rFonts w:hint="eastAsia" w:ascii="仿宋_GB2312" w:hAnsi="仿宋_GB2312" w:cs="仿宋_GB2312"/>
          <w:szCs w:val="32"/>
        </w:rPr>
        <w:t>推动李沧</w:t>
      </w:r>
      <w:r>
        <w:rPr>
          <w:rFonts w:hint="eastAsia" w:ascii="仿宋_GB2312" w:hAnsi="Calibri" w:cs="Calibri"/>
          <w:szCs w:val="32"/>
        </w:rPr>
        <w:t>加快打造全市新旧动能转换示范区，为青岛建设新时代社会主义现代化国际大都市贡献力量。</w:t>
      </w:r>
    </w:p>
    <w:p>
      <w:pPr>
        <w:snapToGrid w:val="0"/>
        <w:spacing w:line="560" w:lineRule="exact"/>
        <w:ind w:firstLine="640" w:firstLineChars="200"/>
        <w:rPr>
          <w:rFonts w:ascii="黑体" w:hAnsi="黑体" w:eastAsia="黑体" w:cs="Calibri"/>
          <w:szCs w:val="32"/>
        </w:rPr>
      </w:pPr>
      <w:r>
        <w:rPr>
          <w:rFonts w:hint="eastAsia" w:ascii="黑体" w:hAnsi="黑体" w:eastAsia="黑体" w:cs="Calibri"/>
          <w:szCs w:val="32"/>
        </w:rPr>
        <w:t>一、围绕深化重点领域做好政务公开</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（一）聚焦经济高质量发展深化公开</w:t>
      </w:r>
    </w:p>
    <w:p>
      <w:pPr>
        <w:spacing w:line="560" w:lineRule="exact"/>
        <w:ind w:firstLine="640" w:firstLineChars="200"/>
        <w:rPr>
          <w:rFonts w:ascii="仿宋_GB2312" w:hAnsi="宋体" w:cs="宋体"/>
          <w:szCs w:val="32"/>
        </w:rPr>
      </w:pPr>
      <w:r>
        <w:rPr>
          <w:rFonts w:hint="eastAsia" w:ascii="仿宋_GB2312"/>
        </w:rPr>
        <w:t>1.</w:t>
      </w:r>
      <w:r>
        <w:rPr>
          <w:rFonts w:hint="eastAsia" w:ascii="仿宋_GB2312" w:hAnsi="宋体" w:cs="宋体"/>
          <w:szCs w:val="32"/>
        </w:rPr>
        <w:t>聚焦区委、区政府重点工作任务，强化</w:t>
      </w:r>
      <w:r>
        <w:rPr>
          <w:rFonts w:hint="eastAsia" w:ascii="仿宋_GB2312" w:hAnsi="宋体"/>
          <w:szCs w:val="32"/>
        </w:rPr>
        <w:t>“六大行动”</w:t>
      </w:r>
      <w:r>
        <w:rPr>
          <w:rFonts w:hint="eastAsia" w:ascii="仿宋_GB2312" w:hAnsi="宋体" w:cs="宋体"/>
          <w:szCs w:val="32"/>
        </w:rPr>
        <w:t>的公开和解读。（</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仿宋_GB2312" w:hAnsi="宋体" w:cs="宋体"/>
          <w:szCs w:val="32"/>
        </w:rPr>
      </w:pPr>
      <w:r>
        <w:rPr>
          <w:rFonts w:hint="eastAsia" w:ascii="仿宋_GB2312" w:hAnsi="宋体" w:cs="宋体"/>
          <w:szCs w:val="32"/>
        </w:rPr>
        <w:t>2.聚焦实施重大基础设施投资项目，依法依规做好基础设施建设</w:t>
      </w:r>
      <w:r>
        <w:rPr>
          <w:rFonts w:hint="eastAsia" w:ascii="仿宋_GB2312" w:hAnsi="宋体"/>
          <w:szCs w:val="32"/>
        </w:rPr>
        <w:t>“</w:t>
      </w:r>
      <w:r>
        <w:rPr>
          <w:rFonts w:hint="eastAsia" w:ascii="仿宋_GB2312" w:hAnsi="宋体" w:cs="宋体"/>
          <w:szCs w:val="32"/>
        </w:rPr>
        <w:t>七网</w:t>
      </w:r>
      <w:r>
        <w:rPr>
          <w:rFonts w:hint="eastAsia" w:ascii="仿宋_GB2312" w:hAnsi="宋体"/>
          <w:szCs w:val="32"/>
        </w:rPr>
        <w:t>”行动</w:t>
      </w:r>
      <w:r>
        <w:rPr>
          <w:rFonts w:hint="eastAsia" w:ascii="仿宋_GB2312" w:hAnsi="宋体" w:cs="宋体"/>
          <w:szCs w:val="32"/>
        </w:rPr>
        <w:t>等重大项目建设信息公开。立足产城协同、完善城市功能目标，做好城市更新和城市建设管理等方面的信息公开。（</w:t>
      </w:r>
      <w:r>
        <w:rPr>
          <w:rFonts w:hint="eastAsia" w:ascii="楷体_GB2312" w:hAnsi="宋体" w:eastAsia="楷体_GB2312" w:cs="宋体"/>
          <w:szCs w:val="32"/>
        </w:rPr>
        <w:t>责任单位：区城市更新和城市建设指挥部办公室、区工业和信息化局、区城市建设管理局、区商务局、区综合执法局、区大数据局、区国企监管委办、金水集团、生态环境局李沧分局</w:t>
      </w:r>
      <w:r>
        <w:rPr>
          <w:rFonts w:hint="eastAsia" w:ascii="仿宋_GB2312" w:hAnsi="宋体" w:cs="宋体"/>
          <w:szCs w:val="32"/>
        </w:rPr>
        <w:t>）</w:t>
      </w:r>
    </w:p>
    <w:p>
      <w:pPr>
        <w:spacing w:line="560" w:lineRule="exact"/>
        <w:ind w:firstLine="640" w:firstLineChars="200"/>
        <w:rPr>
          <w:rFonts w:ascii="仿宋_GB2312" w:hAnsi="宋体" w:cs="宋体"/>
          <w:szCs w:val="32"/>
        </w:rPr>
      </w:pPr>
      <w:r>
        <w:rPr>
          <w:rFonts w:hint="eastAsia" w:ascii="仿宋_GB2312" w:hAnsi="宋体" w:cs="宋体"/>
          <w:szCs w:val="32"/>
        </w:rPr>
        <w:t>3.聚焦强化创新驱动，加强创新性企业培育政策信息公开，有序推进国有企业创新驱动高质量发展</w:t>
      </w:r>
      <w:r>
        <w:rPr>
          <w:rFonts w:hint="eastAsia" w:ascii="仿宋_GB2312" w:hAnsi="宋体"/>
          <w:szCs w:val="32"/>
        </w:rPr>
        <w:t>“</w:t>
      </w:r>
      <w:r>
        <w:rPr>
          <w:rFonts w:hint="eastAsia" w:ascii="仿宋_GB2312" w:hAnsi="宋体" w:cs="宋体"/>
          <w:szCs w:val="32"/>
        </w:rPr>
        <w:t>十条</w:t>
      </w:r>
      <w:r>
        <w:rPr>
          <w:rFonts w:hint="eastAsia" w:ascii="仿宋_GB2312" w:hAnsi="宋体"/>
          <w:szCs w:val="32"/>
        </w:rPr>
        <w:t>”</w:t>
      </w:r>
      <w:r>
        <w:rPr>
          <w:rFonts w:hint="eastAsia" w:ascii="仿宋_GB2312" w:hAnsi="宋体" w:cs="宋体"/>
          <w:szCs w:val="32"/>
        </w:rPr>
        <w:t>政策落实情况和成效公开。锚定推动产业跃升、增强内生动力目标，切实做好振兴实体经济、激发经济活力等方面的信息公开。（</w:t>
      </w:r>
      <w:r>
        <w:rPr>
          <w:rFonts w:hint="eastAsia" w:ascii="楷体_GB2312" w:hAnsi="宋体" w:eastAsia="楷体_GB2312" w:cs="宋体"/>
          <w:szCs w:val="32"/>
        </w:rPr>
        <w:t>责任单位：区发展改革局、区工业和信息化局、区财政局、区人力资源社会保障局、区城市建设管理局、区科技局、区商务局、区文化和旅游局、区行政审批局、区市场监管局、区地方金融监管局、团区委、区国企监管委办、融海公司、华澜集团</w:t>
      </w:r>
      <w:r>
        <w:rPr>
          <w:rFonts w:hint="eastAsia" w:ascii="仿宋_GB2312" w:hAnsi="宋体" w:cs="宋体"/>
          <w:szCs w:val="32"/>
        </w:rPr>
        <w:t>）</w:t>
      </w:r>
    </w:p>
    <w:p>
      <w:pPr>
        <w:spacing w:line="560" w:lineRule="exact"/>
        <w:ind w:firstLine="640" w:firstLineChars="200"/>
        <w:rPr>
          <w:rFonts w:ascii="仿宋_GB2312" w:hAnsi="宋体" w:cs="宋体"/>
          <w:szCs w:val="32"/>
        </w:rPr>
      </w:pPr>
      <w:r>
        <w:rPr>
          <w:rFonts w:hint="eastAsia" w:ascii="仿宋_GB2312" w:hAnsi="宋体" w:cs="宋体"/>
          <w:szCs w:val="32"/>
        </w:rPr>
        <w:t>4.聚焦消费扩容升级，围绕提振接触性消费、促进新能源汽车和智能家电消费、支持住房改善和养老服务消费等领域，加大恢复和扩大消费有关政策规划的公开和解读力度。（</w:t>
      </w:r>
      <w:r>
        <w:rPr>
          <w:rFonts w:hint="eastAsia" w:ascii="楷体_GB2312" w:hAnsi="宋体" w:eastAsia="楷体_GB2312" w:cs="宋体"/>
          <w:szCs w:val="32"/>
        </w:rPr>
        <w:t>责任单位：区城市建设管理局、区商务局、区民政局</w:t>
      </w:r>
      <w:r>
        <w:rPr>
          <w:rFonts w:hint="eastAsia" w:ascii="仿宋_GB2312" w:hAnsi="宋体" w:cs="宋体"/>
          <w:szCs w:val="32"/>
        </w:rPr>
        <w:t>）</w:t>
      </w:r>
    </w:p>
    <w:p>
      <w:pPr>
        <w:spacing w:line="560" w:lineRule="exact"/>
        <w:ind w:firstLine="640"/>
        <w:rPr>
          <w:rFonts w:ascii="仿宋_GB2312" w:hAnsi="宋体" w:cs="宋体"/>
          <w:szCs w:val="32"/>
        </w:rPr>
      </w:pPr>
      <w:r>
        <w:rPr>
          <w:rFonts w:hint="eastAsia" w:ascii="仿宋_GB2312" w:hAnsi="宋体" w:cs="宋体"/>
          <w:szCs w:val="32"/>
        </w:rPr>
        <w:t>5.聚焦深化改革开放，围绕“深化作风能力优化营商环境”专项行动重点任务做好相关政策措施公开，市级惠企政策全部纳入“青岛政策通”平台申报办理，加强</w:t>
      </w:r>
      <w:r>
        <w:rPr>
          <w:rFonts w:hint="eastAsia" w:ascii="仿宋_GB2312" w:hAnsi="宋体"/>
          <w:szCs w:val="32"/>
        </w:rPr>
        <w:t>“</w:t>
      </w:r>
      <w:r>
        <w:rPr>
          <w:rFonts w:hint="eastAsia" w:ascii="仿宋_GB2312" w:hAnsi="宋体" w:cs="宋体"/>
          <w:szCs w:val="32"/>
        </w:rPr>
        <w:t>稳中向好、进中提质</w:t>
      </w:r>
      <w:r>
        <w:rPr>
          <w:rFonts w:hint="eastAsia" w:ascii="仿宋_GB2312" w:hAnsi="宋体"/>
          <w:szCs w:val="32"/>
        </w:rPr>
        <w:t>”</w:t>
      </w:r>
      <w:r>
        <w:rPr>
          <w:rFonts w:hint="eastAsia" w:ascii="仿宋_GB2312" w:hAnsi="宋体" w:cs="宋体"/>
          <w:szCs w:val="32"/>
        </w:rPr>
        <w:t>系列政策包的权威发布和全面解读。深入落实逾期未支付中小企业账款强制披露制度，严格按照规定时限公开上年度逾期尚未支付中小企业款项的合同数量、金额等信息。（</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rPr>
          <w:rFonts w:ascii="楷体_GB2312" w:hAnsi="宋体" w:eastAsia="楷体_GB2312" w:cs="宋体"/>
          <w:szCs w:val="32"/>
        </w:rPr>
      </w:pPr>
      <w:r>
        <w:rPr>
          <w:rFonts w:hint="eastAsia" w:ascii="楷体_GB2312" w:hAnsi="宋体" w:eastAsia="楷体_GB2312" w:cs="宋体"/>
          <w:szCs w:val="32"/>
        </w:rPr>
        <w:t>（二）聚焦保障改善民生深化公开</w:t>
      </w:r>
    </w:p>
    <w:p>
      <w:pPr>
        <w:snapToGrid w:val="0"/>
        <w:spacing w:line="560" w:lineRule="exact"/>
        <w:ind w:firstLine="640" w:firstLineChars="200"/>
        <w:rPr>
          <w:rFonts w:ascii="仿宋_GB2312" w:hAnsi="宋体" w:cs="宋体"/>
          <w:szCs w:val="32"/>
        </w:rPr>
      </w:pPr>
      <w:r>
        <w:rPr>
          <w:rFonts w:hint="eastAsia" w:ascii="仿宋_GB2312" w:hAnsi="宋体" w:cs="宋体"/>
          <w:szCs w:val="32"/>
        </w:rPr>
        <w:t>1.做好就业创业信息公开。强化就业优先政策，针对就业困难人员、高校毕业生、贫困劳动力、失业人员、退役军人等重点群体，做好职业技能培训、城乡公益性岗位、就业创业补贴、灵活就业支持政策等信息公开。（</w:t>
      </w:r>
      <w:r>
        <w:rPr>
          <w:rFonts w:hint="eastAsia" w:ascii="楷体_GB2312" w:hAnsi="宋体" w:eastAsia="楷体_GB2312" w:cs="宋体"/>
          <w:szCs w:val="32"/>
        </w:rPr>
        <w:t>责任单位：区人力资源社会保障局、区退役军人局</w:t>
      </w:r>
      <w:r>
        <w:rPr>
          <w:rFonts w:hint="eastAsia" w:ascii="仿宋_GB2312" w:hAnsi="宋体" w:cs="宋体"/>
          <w:szCs w:val="32"/>
        </w:rPr>
        <w:t>）</w:t>
      </w:r>
    </w:p>
    <w:p>
      <w:pPr>
        <w:snapToGrid w:val="0"/>
        <w:spacing w:line="560" w:lineRule="exact"/>
        <w:ind w:firstLine="640" w:firstLineChars="200"/>
        <w:rPr>
          <w:rFonts w:ascii="仿宋_GB2312" w:hAnsi="宋体" w:cs="宋体"/>
          <w:szCs w:val="32"/>
        </w:rPr>
      </w:pPr>
      <w:r>
        <w:rPr>
          <w:rFonts w:hint="eastAsia" w:ascii="仿宋_GB2312" w:hAnsi="宋体" w:cs="宋体"/>
          <w:szCs w:val="32"/>
        </w:rPr>
        <w:t>2.做好教育信息公开。推进义务教育</w:t>
      </w:r>
      <w:r>
        <w:rPr>
          <w:rFonts w:hint="eastAsia" w:ascii="仿宋_GB2312"/>
          <w:szCs w:val="32"/>
        </w:rPr>
        <w:t>“</w:t>
      </w:r>
      <w:r>
        <w:rPr>
          <w:rFonts w:hint="eastAsia" w:ascii="仿宋_GB2312" w:hAnsi="宋体" w:cs="宋体"/>
          <w:szCs w:val="32"/>
        </w:rPr>
        <w:t>双减</w:t>
      </w:r>
      <w:r>
        <w:rPr>
          <w:rFonts w:hint="eastAsia" w:ascii="仿宋_GB2312"/>
          <w:szCs w:val="32"/>
        </w:rPr>
        <w:t>”</w:t>
      </w:r>
      <w:r>
        <w:rPr>
          <w:rFonts w:hint="eastAsia" w:ascii="仿宋_GB2312" w:hAnsi="宋体" w:cs="宋体"/>
          <w:szCs w:val="32"/>
        </w:rPr>
        <w:t>信息公开，加大适龄儿童入学政策的宣传和解读力度。加强民办教育学校和校外培训机构的监管，落实收费公示和公开承诺制度，推进办学资质等信息集中公开。（</w:t>
      </w:r>
      <w:r>
        <w:rPr>
          <w:rFonts w:hint="eastAsia" w:ascii="楷体_GB2312" w:hAnsi="宋体" w:eastAsia="楷体_GB2312" w:cs="宋体"/>
          <w:szCs w:val="32"/>
        </w:rPr>
        <w:t>责任单位：区教体局</w:t>
      </w:r>
      <w:r>
        <w:rPr>
          <w:rFonts w:hint="eastAsia" w:ascii="仿宋_GB2312" w:hAnsi="宋体" w:cs="宋体"/>
          <w:szCs w:val="32"/>
        </w:rPr>
        <w:t>）</w:t>
      </w:r>
    </w:p>
    <w:p>
      <w:pPr>
        <w:snapToGrid w:val="0"/>
        <w:spacing w:line="560" w:lineRule="exact"/>
        <w:ind w:firstLine="640" w:firstLineChars="200"/>
        <w:rPr>
          <w:rFonts w:ascii="仿宋_GB2312" w:hAnsi="宋体" w:cs="宋体"/>
          <w:szCs w:val="32"/>
        </w:rPr>
      </w:pPr>
      <w:r>
        <w:rPr>
          <w:rFonts w:hint="eastAsia" w:ascii="仿宋_GB2312" w:hAnsi="宋体" w:cs="宋体"/>
          <w:szCs w:val="32"/>
        </w:rPr>
        <w:t>3.做好社会救助信息公开。加强低保、特困、临时救助政策推送，动态公开</w:t>
      </w:r>
      <w:r>
        <w:rPr>
          <w:rFonts w:hint="eastAsia" w:ascii="仿宋_GB2312"/>
          <w:szCs w:val="32"/>
        </w:rPr>
        <w:t>9</w:t>
      </w:r>
      <w:r>
        <w:rPr>
          <w:rFonts w:hint="eastAsia" w:ascii="仿宋_GB2312" w:hAnsi="宋体" w:cs="宋体"/>
          <w:szCs w:val="32"/>
        </w:rPr>
        <w:t>类困难群众救助标准，健全动态调整机制。加强养老服务信息公开，加大养老托育有关支持政策的宣传解读力度，重点加强养老托育机构质量安全、从业人员、运营秩序等方面的监管，及时公布监管结果。（</w:t>
      </w:r>
      <w:r>
        <w:rPr>
          <w:rFonts w:hint="eastAsia" w:ascii="楷体_GB2312" w:hAnsi="宋体" w:eastAsia="楷体_GB2312" w:cs="宋体"/>
          <w:szCs w:val="32"/>
        </w:rPr>
        <w:t>责任单位：区民政局、区卫生健康局</w:t>
      </w:r>
      <w:r>
        <w:rPr>
          <w:rFonts w:hint="eastAsia" w:ascii="仿宋_GB2312" w:hAnsi="宋体" w:cs="宋体"/>
          <w:szCs w:val="32"/>
        </w:rPr>
        <w:t>）</w:t>
      </w:r>
    </w:p>
    <w:p>
      <w:pPr>
        <w:snapToGrid w:val="0"/>
        <w:spacing w:line="560" w:lineRule="exact"/>
        <w:ind w:firstLine="640" w:firstLineChars="200"/>
        <w:rPr>
          <w:rFonts w:ascii="仿宋_GB2312" w:hAnsi="宋体" w:cs="宋体"/>
          <w:szCs w:val="32"/>
        </w:rPr>
      </w:pPr>
      <w:r>
        <w:rPr>
          <w:rFonts w:hint="eastAsia" w:ascii="仿宋_GB2312" w:hAnsi="宋体" w:cs="宋体"/>
          <w:szCs w:val="32"/>
        </w:rPr>
        <w:t>4.做好住房保障信息公开。针对着力解决新市民、青年人等住房问题，及时发布保障性租赁住房年度建设计划，做好住房租赁补贴申领条件、程序、管理和审批等信息公开。（</w:t>
      </w:r>
      <w:r>
        <w:rPr>
          <w:rFonts w:hint="eastAsia" w:ascii="楷体_GB2312" w:hAnsi="宋体" w:eastAsia="楷体_GB2312" w:cs="宋体"/>
          <w:szCs w:val="32"/>
        </w:rPr>
        <w:t>责任单位：区城市建设管理局</w:t>
      </w:r>
      <w:r>
        <w:rPr>
          <w:rFonts w:hint="eastAsia" w:ascii="仿宋_GB2312" w:hAnsi="宋体" w:cs="宋体"/>
          <w:szCs w:val="32"/>
        </w:rPr>
        <w:t>）</w:t>
      </w:r>
    </w:p>
    <w:p>
      <w:pPr>
        <w:snapToGrid w:val="0"/>
        <w:spacing w:line="560" w:lineRule="exact"/>
        <w:ind w:firstLine="640" w:firstLineChars="200"/>
        <w:rPr>
          <w:rFonts w:ascii="黑体" w:hAnsi="黑体" w:eastAsia="黑体" w:cs="Calibri"/>
          <w:szCs w:val="32"/>
        </w:rPr>
      </w:pPr>
      <w:r>
        <w:rPr>
          <w:rFonts w:hint="eastAsia" w:ascii="黑体" w:hAnsi="黑体" w:eastAsia="黑体" w:cs="Calibri"/>
          <w:szCs w:val="32"/>
        </w:rPr>
        <w:t>二、围绕优化政策环境做好政务公开</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（一）做好政策高质量发布</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1.根据重点任务及群众需求，实时调整更新主动公开基本目录。加强政府信息公开专栏规范化建设，确保法定主动公开内容及时、规范、准确发布。</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2.利用市统一建设的政府文件库，规范录入、动态更新、各自指定的政府文件，做到全量覆盖、要素齐全、格式规范，提升查阅便利性。</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宋体" w:cs="宋体"/>
          <w:szCs w:val="32"/>
        </w:rPr>
      </w:pPr>
      <w:r>
        <w:rPr>
          <w:rFonts w:hint="eastAsia" w:ascii="仿宋_GB2312" w:hAnsi="黑体" w:cs="Calibri"/>
          <w:szCs w:val="32"/>
        </w:rPr>
        <w:t>3.打造专题政策文件包，</w:t>
      </w:r>
      <w:r>
        <w:rPr>
          <w:rFonts w:hint="eastAsia" w:ascii="仿宋_GB2312" w:hAnsi="宋体" w:cs="宋体"/>
          <w:szCs w:val="32"/>
        </w:rPr>
        <w:t>完善</w:t>
      </w:r>
      <w:r>
        <w:rPr>
          <w:rFonts w:hint="eastAsia" w:ascii="仿宋_GB2312" w:hAnsi="宋体"/>
          <w:szCs w:val="32"/>
        </w:rPr>
        <w:t>“</w:t>
      </w:r>
      <w:r>
        <w:rPr>
          <w:rFonts w:hint="eastAsia" w:ascii="仿宋_GB2312" w:hAnsi="宋体" w:cs="宋体"/>
          <w:szCs w:val="32"/>
        </w:rPr>
        <w:t>一企一档</w:t>
      </w:r>
      <w:r>
        <w:rPr>
          <w:rFonts w:hint="eastAsia" w:ascii="仿宋_GB2312" w:hAnsi="宋体"/>
          <w:szCs w:val="32"/>
        </w:rPr>
        <w:t>”</w:t>
      </w:r>
      <w:r>
        <w:rPr>
          <w:rFonts w:hint="eastAsia" w:ascii="仿宋_GB2312" w:hAnsi="宋体" w:cs="宋体"/>
          <w:szCs w:val="32"/>
        </w:rPr>
        <w:t>功能，</w:t>
      </w:r>
      <w:r>
        <w:rPr>
          <w:rFonts w:hint="eastAsia" w:ascii="仿宋_GB2312" w:hAnsi="黑体" w:cs="Calibri"/>
          <w:szCs w:val="32"/>
        </w:rPr>
        <w:t>依托相关惠企服务平台开展“线上+线下”政策推送、政策辅导、咨询解答和培训交流等政策服务，持续提升政策推送范围准确性和推送内容可用性，推动政策“精准匹配、快速直达、一键兑现”。</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（二）做好政策高质量解读</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1.认真落实政策解读“三同步”工作机制，将政策解读作为文件审签的重要一环，政策文件不解读不运转、解读材料不达标不运转。</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2.行政规范性文件以及行政机关制发的对公众权益产生影响的政策文件均要开展解读，做到“应解读、尽解读”。</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3.解读材料不得简单复制摘抄文件原文，要充分收集企业群众需求，针对政策中与企业群众生产生活密切相关的具体条款和事项，进行要点拆分、深度解读和综合指引。</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4.政策解读要采用多元化形式，通过图片、视频、互动直播、简明问答、现场宣讲等形式开展，重大政策出台后，</w:t>
      </w:r>
      <w:r>
        <w:rPr>
          <w:rFonts w:hint="eastAsia" w:ascii="仿宋_GB2312" w:hAnsi="Calibri" w:cs="方正小标宋_GBK"/>
          <w:szCs w:val="32"/>
        </w:rPr>
        <w:t>主要负责同志要出席新闻发布会进行宣传解读</w:t>
      </w:r>
      <w:r>
        <w:rPr>
          <w:rFonts w:hint="eastAsia" w:ascii="仿宋_GB2312" w:hAnsi="黑体" w:cs="Calibri"/>
          <w:szCs w:val="32"/>
        </w:rPr>
        <w:t>。</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5.加强政策问答平台建设，持续对现行有效政策文件进行梳理提炼，</w:t>
      </w:r>
      <w:r>
        <w:rPr>
          <w:rFonts w:hint="eastAsia" w:ascii="仿宋_GB2312" w:hAnsi="Calibri" w:cs="方正小标宋_GBK"/>
          <w:szCs w:val="32"/>
        </w:rPr>
        <w:t>汇总政策关键点，</w:t>
      </w:r>
      <w:r>
        <w:rPr>
          <w:rFonts w:hint="eastAsia" w:ascii="仿宋_GB2312" w:hAnsi="黑体" w:cs="Calibri"/>
          <w:szCs w:val="32"/>
        </w:rPr>
        <w:t>不断丰富和优化政策问答库，</w:t>
      </w:r>
      <w:r>
        <w:rPr>
          <w:rFonts w:hint="eastAsia" w:ascii="仿宋_GB2312" w:hAnsi="Calibri" w:cs="方正小标宋_GBK"/>
          <w:szCs w:val="32"/>
        </w:rPr>
        <w:t>提高政策咨询服务水平。</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（三）做好重大行政决策事项全流程公开</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1.深入落实重大行政决策事项目录管理制度，按照《李沧区人民政府2023年度重大行政决策事项目录》中列明的决策事项推进流程，以事项目录超链接方式归集展示决策草案全文、草案说明、决策背景、公众意见建议收集和采纳情况、公众代表列席决策会议情况、决策结果等信息，视情公开重大决策风险评估、专家论证、效果评估等信息。</w:t>
      </w:r>
      <w:r>
        <w:rPr>
          <w:rFonts w:hint="eastAsia" w:ascii="仿宋_GB2312" w:hAnsi="宋体" w:cs="宋体"/>
          <w:szCs w:val="32"/>
        </w:rPr>
        <w:t>（</w:t>
      </w:r>
      <w:r>
        <w:rPr>
          <w:rFonts w:hint="eastAsia" w:ascii="楷体_GB2312" w:hAnsi="宋体" w:eastAsia="楷体_GB2312" w:cs="宋体"/>
          <w:szCs w:val="32"/>
        </w:rPr>
        <w:t>责任单位：区发展改革局、区民政局、区城市建设管理局、区卫生健康局、区大数据局</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2.决策事项向社会公开征求意见的，要综合选用政府网站、政务新媒体、新闻发布会、政府信息查阅场所，以及报刊、广播、电视等便于社会公众知晓的途径，对公开征集意见的政策草案要同步开展解读。决策文件出台后的10个工作日内，决策承办单位要向社会详细公开前期意见的收集、采纳情况以及较为集中意见不予采纳的原因，一并公开通过座谈会、听证会、实地走访、民意调查等其他公众参与方式征求意见的情况。</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3.持续深化利益相关方、群众代表、专家、媒体等列席政府有</w:t>
      </w:r>
      <w:r>
        <w:rPr>
          <w:rFonts w:hint="eastAsia" w:ascii="仿宋_GB2312"/>
          <w:szCs w:val="32"/>
        </w:rPr>
        <w:t>关会议工作，向区政府常务会议提报议题的单位要主动邀</w:t>
      </w:r>
      <w:r>
        <w:rPr>
          <w:rFonts w:hint="eastAsia" w:ascii="仿宋_GB2312" w:hAnsi="黑体" w:cs="Calibri"/>
          <w:szCs w:val="32"/>
        </w:rPr>
        <w:t>请公众代表列席区政府常务会议，全区年内邀请公众代表列席区政府常务会议不少于5次，列席代表的意见发表和采纳情况要向社会公开；各单位可以选取适当议题，提出直播建议，对议题审议过程进行在线直播。</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（四）做好政策常态化评价</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1.区政府各部门原则上每年至少开展一次专题性政策评价，要建立健全常态化政策评价机制，选取本单位重点政策，围绕执行标准、适用范围、使用情况、取得成效、存在问题等，通过政府开放日、征集调查、专题座谈、重点访谈、舆情监测、网络问政等方式开展实施效果评价，全面掌握政策落地情况。</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黑体" w:cs="Calibri"/>
          <w:szCs w:val="32"/>
        </w:rPr>
        <w:t>2.对政策评价结果进行深入分析，适时转化为调整政策制定的措施，年底前将政策评价结果和运用情况向社会公开。</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仿宋_GB2312" w:hAnsi="黑体" w:cs="Calibri"/>
          <w:szCs w:val="32"/>
        </w:rPr>
      </w:pPr>
      <w:r>
        <w:rPr>
          <w:rFonts w:hint="eastAsia" w:ascii="仿宋_GB2312" w:hAnsi="Calibri" w:cs="方正小标宋_GBK"/>
          <w:szCs w:val="32"/>
        </w:rPr>
        <w:t>3.重大政策要加强社会效果和舆情风险评估，加强对政策发布及实施情况的政务舆情监测和研判，确保涉及本地、本部门的政务舆情热点第一时间发现、第一时间办理、第一时间回应。</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60" w:lineRule="exact"/>
        <w:ind w:firstLine="640" w:firstLineChars="200"/>
        <w:rPr>
          <w:rFonts w:ascii="黑体" w:hAnsi="黑体" w:eastAsia="黑体" w:cs="Calibri"/>
          <w:szCs w:val="32"/>
        </w:rPr>
      </w:pPr>
      <w:r>
        <w:rPr>
          <w:rFonts w:hint="eastAsia" w:ascii="黑体" w:hAnsi="黑体" w:eastAsia="黑体" w:cs="Calibri"/>
          <w:szCs w:val="32"/>
        </w:rPr>
        <w:t>三、围绕标准化规范化建设做好政务公开</w:t>
      </w:r>
    </w:p>
    <w:p>
      <w:pPr>
        <w:spacing w:line="560" w:lineRule="exact"/>
        <w:ind w:firstLine="640" w:firstLineChars="200"/>
        <w:rPr>
          <w:rFonts w:ascii="楷体_GB2312" w:hAnsi="宋体" w:eastAsia="楷体_GB2312" w:cs="宋体"/>
          <w:szCs w:val="32"/>
        </w:rPr>
      </w:pPr>
      <w:r>
        <w:rPr>
          <w:rFonts w:hint="eastAsia" w:ascii="楷体_GB2312" w:hAnsi="宋体" w:eastAsia="楷体_GB2312" w:cs="宋体"/>
          <w:szCs w:val="32"/>
        </w:rPr>
        <w:t>（一）加强政务公开平台载体规范化建设管理</w:t>
      </w:r>
    </w:p>
    <w:p>
      <w:pPr>
        <w:spacing w:line="520" w:lineRule="exact"/>
        <w:ind w:firstLine="640" w:firstLineChars="200"/>
        <w:rPr>
          <w:rFonts w:ascii="仿宋_GB2312" w:hAnsi="宋体" w:cs="宋体"/>
          <w:szCs w:val="32"/>
        </w:rPr>
      </w:pPr>
      <w:r>
        <w:rPr>
          <w:rFonts w:hint="eastAsia" w:ascii="仿宋_GB2312" w:hAnsi="宋体" w:cs="宋体"/>
          <w:szCs w:val="32"/>
        </w:rPr>
        <w:t>1.提升政府网站集约化平台效能，持续做好省市平台互联互通，努力实现数据资源整合共享。完善政府网站办事服务、互动交流等功能，加强适老化与无障碍改造，提升网站搜索精准度。高效办理</w:t>
      </w:r>
      <w:r>
        <w:rPr>
          <w:rFonts w:hint="eastAsia" w:ascii="仿宋_GB2312"/>
          <w:szCs w:val="32"/>
        </w:rPr>
        <w:t>“</w:t>
      </w:r>
      <w:r>
        <w:rPr>
          <w:rFonts w:hint="eastAsia" w:ascii="仿宋_GB2312" w:hAnsi="宋体" w:cs="宋体"/>
          <w:szCs w:val="32"/>
        </w:rPr>
        <w:t>我为政府网站找错</w:t>
      </w:r>
      <w:r>
        <w:rPr>
          <w:rFonts w:hint="eastAsia" w:ascii="仿宋_GB2312"/>
          <w:szCs w:val="32"/>
        </w:rPr>
        <w:t>”</w:t>
      </w:r>
      <w:r>
        <w:rPr>
          <w:rFonts w:hint="eastAsia" w:ascii="仿宋_GB2312" w:hAnsi="宋体" w:cs="宋体"/>
          <w:szCs w:val="32"/>
        </w:rPr>
        <w:t>平台的网民留言。进一步规范政府网站域名管理。（</w:t>
      </w:r>
      <w:r>
        <w:rPr>
          <w:rFonts w:hint="eastAsia" w:ascii="楷体_GB2312" w:hAnsi="宋体" w:eastAsia="楷体_GB2312" w:cs="宋体"/>
          <w:szCs w:val="32"/>
        </w:rPr>
        <w:t>责任单位：区政府办公室</w:t>
      </w:r>
      <w:r>
        <w:rPr>
          <w:rFonts w:hint="eastAsia" w:ascii="仿宋_GB2312" w:hAnsi="宋体" w:cs="宋体"/>
          <w:szCs w:val="32"/>
        </w:rPr>
        <w:t>）</w:t>
      </w:r>
    </w:p>
    <w:p>
      <w:pPr>
        <w:spacing w:line="520" w:lineRule="exact"/>
        <w:ind w:firstLine="640" w:firstLineChars="200"/>
        <w:rPr>
          <w:rFonts w:ascii="仿宋_GB2312" w:hAnsi="宋体" w:cs="宋体"/>
          <w:szCs w:val="32"/>
        </w:rPr>
      </w:pPr>
      <w:r>
        <w:rPr>
          <w:rFonts w:hint="eastAsia" w:ascii="仿宋_GB2312" w:hAnsi="宋体" w:cs="宋体"/>
          <w:szCs w:val="32"/>
        </w:rPr>
        <w:t>2.不断规范完善信息发布、转载审核制度，严格落实政府信息公开</w:t>
      </w:r>
      <w:r>
        <w:rPr>
          <w:rFonts w:hint="eastAsia" w:ascii="仿宋_GB2312"/>
          <w:szCs w:val="32"/>
        </w:rPr>
        <w:t>“</w:t>
      </w:r>
      <w:r>
        <w:rPr>
          <w:rFonts w:hint="eastAsia" w:ascii="仿宋_GB2312" w:hAnsi="宋体" w:cs="宋体"/>
          <w:szCs w:val="32"/>
        </w:rPr>
        <w:t>三审</w:t>
      </w:r>
      <w:r>
        <w:rPr>
          <w:rFonts w:hint="eastAsia" w:ascii="仿宋_GB2312"/>
          <w:szCs w:val="32"/>
        </w:rPr>
        <w:t>”</w:t>
      </w:r>
      <w:r>
        <w:rPr>
          <w:rFonts w:hint="eastAsia" w:ascii="仿宋_GB2312" w:hAnsi="宋体" w:cs="宋体"/>
          <w:szCs w:val="32"/>
        </w:rPr>
        <w:t>制度</w:t>
      </w:r>
      <w:r>
        <w:rPr>
          <w:rFonts w:hint="eastAsia" w:ascii="仿宋_GB2312"/>
          <w:szCs w:val="32"/>
        </w:rPr>
        <w:t>，严把政治关、法律关、政策关、保密关</w:t>
      </w:r>
      <w:r>
        <w:rPr>
          <w:rFonts w:hint="eastAsia" w:ascii="仿宋_GB2312" w:hAnsi="宋体" w:cs="宋体"/>
          <w:szCs w:val="32"/>
        </w:rPr>
        <w:t>，重要信息做到多人审看、专人把关，确保表述规范、内容准确，</w:t>
      </w:r>
      <w:r>
        <w:rPr>
          <w:rFonts w:hint="eastAsia" w:ascii="仿宋_GB2312"/>
          <w:szCs w:val="32"/>
        </w:rPr>
        <w:t>切实维护政府网站和政务新媒体发布内容的权威性和严肃性。</w:t>
      </w:r>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20" w:lineRule="exact"/>
        <w:ind w:firstLine="640" w:firstLineChars="200"/>
        <w:rPr>
          <w:rFonts w:ascii="仿宋_GB2312" w:hAnsi="宋体" w:cs="宋体"/>
          <w:b/>
          <w:szCs w:val="32"/>
        </w:rPr>
      </w:pPr>
      <w:r>
        <w:rPr>
          <w:rFonts w:hint="eastAsia" w:ascii="仿宋_GB2312" w:hAnsi="宋体" w:cs="宋体"/>
          <w:szCs w:val="32"/>
        </w:rPr>
        <w:t>3.强化政务新媒体监督管理，完善政务新媒体开设、变更、注销等全流程管理制度，强化监测预警和风险排查，推动政务新媒体健康有序发展。加强政务新媒体矩阵建设，打造具有一定影响力、竞争力的政务新媒体。（</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20" w:lineRule="exact"/>
        <w:ind w:firstLine="640" w:firstLineChars="200"/>
        <w:rPr>
          <w:rFonts w:ascii="楷体_GB2312" w:hAnsi="宋体" w:eastAsia="楷体_GB2312" w:cs="宋体"/>
          <w:szCs w:val="32"/>
        </w:rPr>
      </w:pPr>
      <w:r>
        <w:rPr>
          <w:rFonts w:hint="eastAsia" w:ascii="楷体_GB2312" w:hAnsi="宋体" w:eastAsia="楷体_GB2312" w:cs="宋体"/>
          <w:szCs w:val="32"/>
        </w:rPr>
        <w:t>（二）依法依规做好政府信息依申请公开答复工作</w:t>
      </w:r>
    </w:p>
    <w:p>
      <w:pPr>
        <w:spacing w:line="520" w:lineRule="exact"/>
        <w:ind w:firstLine="640" w:firstLineChars="200"/>
        <w:rPr>
          <w:rFonts w:ascii="仿宋_GB2312"/>
          <w:szCs w:val="32"/>
        </w:rPr>
      </w:pPr>
      <w:r>
        <w:rPr>
          <w:rFonts w:hint="eastAsia" w:ascii="仿宋_GB2312" w:hAnsi="宋体" w:cs="宋体"/>
          <w:szCs w:val="32"/>
        </w:rPr>
        <w:t>严格按照《中华人民共和国政府信息公开条例》等有关法规文件要求，进一步完善依申请公开工作登记管理、协助调查、会商、归档等各个环节的程序、标准和责任划分，加强会商协作，依法依规及时准确予以答复反馈。依托依申请公开网上平台，提高政府信息依申请信息化办理水平。要加强数据分析，对申请公开频次高的文件进行评估审查，持续深化完善依申请公开转主动公开常态化审查机制。</w:t>
      </w:r>
      <w:bookmarkStart w:id="1" w:name="bookmark19"/>
      <w:bookmarkEnd w:id="1"/>
      <w:r>
        <w:rPr>
          <w:rFonts w:hint="eastAsia" w:ascii="仿宋_GB2312" w:hAnsi="宋体" w:cs="宋体"/>
          <w:szCs w:val="32"/>
        </w:rPr>
        <w:t>（</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20" w:lineRule="exact"/>
        <w:ind w:firstLine="640" w:firstLineChars="200"/>
        <w:rPr>
          <w:rFonts w:ascii="楷体_GB2312" w:hAnsi="宋体" w:eastAsia="楷体_GB2312" w:cs="宋体"/>
          <w:szCs w:val="32"/>
        </w:rPr>
      </w:pPr>
      <w:r>
        <w:rPr>
          <w:rFonts w:hint="eastAsia" w:ascii="楷体_GB2312" w:hAnsi="宋体" w:eastAsia="楷体_GB2312" w:cs="宋体"/>
          <w:szCs w:val="32"/>
        </w:rPr>
        <w:t>（三）规范公共企事业单位信息公开</w:t>
      </w:r>
    </w:p>
    <w:p>
      <w:pPr>
        <w:spacing w:line="520" w:lineRule="exact"/>
        <w:ind w:firstLine="640" w:firstLineChars="200"/>
        <w:rPr>
          <w:rFonts w:ascii="仿宋_GB2312"/>
          <w:szCs w:val="32"/>
        </w:rPr>
      </w:pPr>
      <w:r>
        <w:rPr>
          <w:rFonts w:hint="eastAsia" w:ascii="仿宋_GB2312" w:hAnsi="宋体" w:cs="宋体"/>
          <w:szCs w:val="32"/>
        </w:rPr>
        <w:t>教育、卫健等主管部门要切实履行主管职责，按照国家、省、市主管部门出台的有关规定，督促公共企事业单位落实好本领域公开目录，依法全面公开各类信息。区教体局、区卫生健康局加大调度督导力度，在各公共企事业单位建立联络员制度，定期开展专项考核评议，加强公共企事业单位信息公开专栏规范化建设，确保栏目清晰、要素齐全、及时更新。公共企事业单位要着力加强线下公开场所、电话咨询等公开渠道建设，及时回应社会关切，满足服务对象以及社会公众的个性化信息需求。(</w:t>
      </w:r>
      <w:r>
        <w:rPr>
          <w:rFonts w:hint="eastAsia" w:ascii="楷体_GB2312" w:hAnsi="宋体" w:eastAsia="楷体_GB2312" w:cs="宋体"/>
          <w:szCs w:val="32"/>
        </w:rPr>
        <w:t>责任单位：区教体局、区卫生健康局</w:t>
      </w:r>
      <w:r>
        <w:rPr>
          <w:rFonts w:hint="eastAsia" w:ascii="仿宋_GB2312" w:hAnsi="宋体" w:cs="宋体"/>
          <w:szCs w:val="32"/>
        </w:rPr>
        <w:t>)</w:t>
      </w:r>
    </w:p>
    <w:p>
      <w:pPr>
        <w:spacing w:line="520" w:lineRule="exact"/>
        <w:ind w:firstLine="640" w:firstLineChars="200"/>
        <w:rPr>
          <w:rFonts w:ascii="楷体_GB2312" w:hAnsi="宋体" w:eastAsia="楷体_GB2312" w:cs="宋体"/>
          <w:szCs w:val="32"/>
        </w:rPr>
      </w:pPr>
      <w:bookmarkStart w:id="2" w:name="bookmark20"/>
      <w:bookmarkEnd w:id="2"/>
      <w:r>
        <w:rPr>
          <w:rFonts w:hint="eastAsia" w:ascii="楷体_GB2312" w:hAnsi="宋体" w:eastAsia="楷体_GB2312" w:cs="宋体"/>
          <w:szCs w:val="32"/>
        </w:rPr>
        <w:t>（四）扎实推进基层政务公开标准化规范化建设</w:t>
      </w:r>
    </w:p>
    <w:p>
      <w:pPr>
        <w:snapToGrid w:val="0"/>
        <w:spacing w:line="520" w:lineRule="exact"/>
        <w:ind w:firstLine="640" w:firstLineChars="200"/>
        <w:rPr>
          <w:rFonts w:ascii="仿宋_GB2312" w:hAnsi="宋体" w:cs="宋体"/>
          <w:szCs w:val="32"/>
        </w:rPr>
      </w:pPr>
      <w:r>
        <w:rPr>
          <w:rFonts w:hint="eastAsia" w:ascii="仿宋_GB2312" w:hAnsi="宋体" w:cs="宋体"/>
          <w:szCs w:val="32"/>
        </w:rPr>
        <w:t>强化标准化成果运用，完善和动态更新政务公开标准目录，做好基层政务公开标准化规范化相关领域信息公开。进一步强化各级行政服务中心政务公开专区功能建设，提高在专区开展重要政策现场解读、综合政策辅导、办事流程演示等活动的频次，推进公开和基层办事服务的深度融合。进一步丰富基层政务公开形式，综合利用政府网站、政务新媒体、村（居）民微信群、农村（社区）公开栏，以及广播、电视、图书馆、电影下乡等媒介，定点、定向公开土地征收、旧区改造、义务教育入学、就诊就医、养老服务、村务居务、区域环境数据等面向特定区域和人群的公开事项，方便群众及时获取。（</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napToGrid w:val="0"/>
        <w:spacing w:line="520" w:lineRule="exact"/>
        <w:ind w:firstLine="640" w:firstLineChars="200"/>
        <w:rPr>
          <w:rFonts w:ascii="黑体" w:hAnsi="黑体" w:eastAsia="黑体" w:cs="Calibri"/>
          <w:szCs w:val="32"/>
        </w:rPr>
      </w:pPr>
      <w:r>
        <w:rPr>
          <w:rFonts w:hint="eastAsia" w:ascii="黑体" w:hAnsi="黑体" w:eastAsia="黑体" w:cs="Calibri"/>
          <w:szCs w:val="32"/>
        </w:rPr>
        <w:t>四、围绕夯实工作基础做好政务公开</w:t>
      </w:r>
    </w:p>
    <w:p>
      <w:pPr>
        <w:spacing w:line="520" w:lineRule="exact"/>
        <w:ind w:firstLine="640" w:firstLineChars="200"/>
        <w:rPr>
          <w:rFonts w:ascii="楷体_GB2312" w:hAnsi="宋体" w:eastAsia="楷体_GB2312" w:cs="宋体"/>
          <w:szCs w:val="32"/>
        </w:rPr>
      </w:pPr>
      <w:r>
        <w:rPr>
          <w:rFonts w:hint="eastAsia" w:ascii="楷体_GB2312" w:hAnsi="宋体" w:eastAsia="楷体_GB2312" w:cs="宋体"/>
          <w:szCs w:val="32"/>
        </w:rPr>
        <w:t>（一）加强组织领导和工作保障</w:t>
      </w:r>
    </w:p>
    <w:p>
      <w:pPr>
        <w:spacing w:line="560" w:lineRule="exact"/>
        <w:ind w:firstLine="640" w:firstLineChars="200"/>
        <w:rPr>
          <w:rFonts w:ascii="仿宋_GB2312"/>
          <w:szCs w:val="32"/>
        </w:rPr>
      </w:pPr>
      <w:r>
        <w:rPr>
          <w:rFonts w:hint="eastAsia" w:ascii="仿宋_GB2312" w:hAnsi="宋体" w:cs="宋体"/>
          <w:szCs w:val="32"/>
        </w:rPr>
        <w:t>充分发挥区政务公开工作领导小组的统筹协调作用，定期研究解决重点难点问题。各单位主要负责同志要亲自过问、定期听取汇报、协调解决问题，各街道办事处、各部门要配备至少</w:t>
      </w:r>
      <w:r>
        <w:rPr>
          <w:rFonts w:hint="eastAsia" w:ascii="仿宋_GB2312"/>
          <w:szCs w:val="32"/>
        </w:rPr>
        <w:t>1</w:t>
      </w:r>
      <w:r>
        <w:rPr>
          <w:rFonts w:hint="eastAsia" w:ascii="仿宋_GB2312" w:hAnsi="宋体" w:cs="宋体"/>
          <w:szCs w:val="32"/>
        </w:rPr>
        <w:t>名专职工作人员，政务公开工作经费要足额纳入年度预算。区政府办公室</w:t>
      </w:r>
      <w:r>
        <w:rPr>
          <w:rFonts w:hint="eastAsia" w:ascii="仿宋_GB2312" w:hAnsi="Calibri" w:cs="Calibri"/>
          <w:szCs w:val="32"/>
        </w:rPr>
        <w:t>要进一步完善考核办法，以评价实际工作效果为导向，优化考评指标体系，</w:t>
      </w:r>
      <w:r>
        <w:rPr>
          <w:rFonts w:hint="eastAsia" w:ascii="仿宋_GB2312" w:hAnsi="宋体" w:cs="宋体"/>
          <w:szCs w:val="32"/>
        </w:rPr>
        <w:t>实时掌握各单位任务落实情况，对工作成绩突出的予以表扬，对长期工作落实不到位、问题较多的单位负责同志进行点对点约谈。（</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楷体_GB2312" w:hAnsi="宋体" w:eastAsia="楷体_GB2312" w:cs="宋体"/>
          <w:szCs w:val="32"/>
        </w:rPr>
      </w:pPr>
      <w:bookmarkStart w:id="3" w:name="bookmark22"/>
      <w:bookmarkEnd w:id="3"/>
      <w:r>
        <w:rPr>
          <w:rFonts w:hint="eastAsia" w:ascii="楷体_GB2312" w:hAnsi="宋体" w:eastAsia="楷体_GB2312" w:cs="宋体"/>
          <w:szCs w:val="32"/>
        </w:rPr>
        <w:t>（二）加强培训交流和业务指导</w:t>
      </w:r>
    </w:p>
    <w:p>
      <w:pPr>
        <w:spacing w:line="560" w:lineRule="exact"/>
        <w:ind w:firstLine="640" w:firstLineChars="200"/>
        <w:rPr>
          <w:rFonts w:ascii="仿宋_GB2312"/>
          <w:szCs w:val="32"/>
        </w:rPr>
      </w:pPr>
      <w:r>
        <w:rPr>
          <w:rFonts w:hint="eastAsia" w:ascii="仿宋_GB2312" w:hAnsi="宋体" w:cs="宋体"/>
          <w:szCs w:val="32"/>
        </w:rPr>
        <w:t>各单位要加大人才交流和业务骨干培养力度，建立跟班学习、轮岗培训等以干代训机制，按时参加区政府办公室组织的业务培训和轮检活动，培养一批既懂公开业务又懂网站技术的复合型人才，进一步提高政务公开队伍的专业化水平。各业务主管部门要加大工作指导力度，推动工作重心下沉，主动帮助所辖单位解决重大疑难问题、苗头性倾向性问题，抓好重点专项工作的推进。（</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spacing w:line="560" w:lineRule="exact"/>
        <w:ind w:firstLine="640" w:firstLineChars="200"/>
        <w:rPr>
          <w:rFonts w:ascii="楷体_GB2312" w:hAnsi="宋体" w:eastAsia="楷体_GB2312" w:cs="宋体"/>
          <w:szCs w:val="32"/>
        </w:rPr>
      </w:pPr>
      <w:bookmarkStart w:id="4" w:name="bookmark24"/>
      <w:bookmarkEnd w:id="4"/>
      <w:r>
        <w:rPr>
          <w:rFonts w:hint="eastAsia" w:ascii="楷体_GB2312" w:hAnsi="宋体" w:eastAsia="楷体_GB2312" w:cs="宋体"/>
          <w:szCs w:val="32"/>
        </w:rPr>
        <w:t>（三）加强工作落实和品牌建设</w:t>
      </w:r>
    </w:p>
    <w:p>
      <w:pPr>
        <w:spacing w:line="560" w:lineRule="exact"/>
        <w:ind w:firstLine="640" w:firstLineChars="200"/>
        <w:rPr>
          <w:rFonts w:ascii="仿宋_GB2312"/>
          <w:szCs w:val="32"/>
        </w:rPr>
      </w:pPr>
      <w:r>
        <w:rPr>
          <w:rFonts w:hint="eastAsia" w:ascii="仿宋_GB2312" w:hAnsi="宋体" w:cs="宋体"/>
          <w:szCs w:val="32"/>
        </w:rPr>
        <w:t>各街道办事处、各部门要结合工作实际，对照本工作要点提出的重点任务，制定本单位年度政务公开工作任务清单，明确责任主体和时限要求，逐项抓好落实。本工作</w:t>
      </w:r>
      <w:r>
        <w:rPr>
          <w:rFonts w:hint="eastAsia" w:ascii="仿宋_GB2312" w:hAnsi="Calibri" w:cs="Calibri"/>
          <w:szCs w:val="32"/>
        </w:rPr>
        <w:t>要点落实情况要纳入政府信息公开工作年度报告予以公开</w:t>
      </w:r>
      <w:r>
        <w:rPr>
          <w:rFonts w:hint="eastAsia" w:ascii="仿宋_GB2312" w:hAnsi="宋体" w:cs="宋体"/>
          <w:szCs w:val="32"/>
        </w:rPr>
        <w:t>，接受社会监督。各单位要选取重点区域、优势领域，科学合理进行品牌规划，树立推广典型标杆、学习榜样，推动全区政务公开工作再上台阶。（</w:t>
      </w:r>
      <w:r>
        <w:rPr>
          <w:rFonts w:hint="eastAsia" w:ascii="楷体_GB2312" w:hAnsi="宋体" w:eastAsia="楷体_GB2312" w:cs="宋体"/>
          <w:szCs w:val="32"/>
        </w:rPr>
        <w:t>责任单位：各街道办事处，区政府各部门</w:t>
      </w:r>
      <w:r>
        <w:rPr>
          <w:rFonts w:hint="eastAsia" w:ascii="仿宋_GB2312" w:hAnsi="宋体" w:cs="宋体"/>
          <w:szCs w:val="32"/>
        </w:rPr>
        <w:t>）</w:t>
      </w:r>
    </w:p>
    <w:p>
      <w:pPr>
        <w:overflowPunct w:val="0"/>
        <w:spacing w:line="560" w:lineRule="exact"/>
        <w:jc w:val="center"/>
        <w:rPr>
          <w:rFonts w:ascii="仿宋_GB2312" w:hAnsi="仿宋_GB2312" w:eastAsia="方正小标宋_GBK" w:cs="方正小标宋_GBK"/>
          <w:sz w:val="44"/>
          <w:szCs w:val="44"/>
        </w:rPr>
      </w:pPr>
    </w:p>
    <w:p>
      <w:pPr>
        <w:overflowPunct w:val="0"/>
        <w:spacing w:line="560" w:lineRule="exact"/>
        <w:jc w:val="center"/>
        <w:rPr>
          <w:rFonts w:ascii="仿宋_GB2312" w:hAnsi="仿宋_GB2312" w:eastAsia="方正小标宋_GBK" w:cs="方正小标宋_GBK"/>
          <w:sz w:val="44"/>
          <w:szCs w:val="44"/>
        </w:rPr>
      </w:pPr>
    </w:p>
    <w:p>
      <w:pPr>
        <w:overflowPunct w:val="0"/>
        <w:spacing w:line="560" w:lineRule="exact"/>
        <w:jc w:val="center"/>
        <w:rPr>
          <w:rFonts w:ascii="仿宋_GB2312" w:hAnsi="仿宋_GB2312" w:eastAsia="方正小标宋_GBK" w:cs="方正小标宋_GBK"/>
          <w:sz w:val="44"/>
          <w:szCs w:val="44"/>
        </w:rPr>
      </w:pPr>
      <w:r>
        <w:rPr>
          <w:rFonts w:hint="eastAsia" w:ascii="仿宋_GB2312" w:hAnsi="仿宋_GB2312" w:eastAsia="方正小标宋_GBK" w:cs="方正小标宋_GBK"/>
          <w:sz w:val="44"/>
          <w:szCs w:val="44"/>
        </w:rPr>
        <w:t>名 词 解 释</w:t>
      </w:r>
    </w:p>
    <w:p>
      <w:pPr>
        <w:spacing w:line="560" w:lineRule="exact"/>
        <w:rPr>
          <w:rFonts w:ascii="仿宋_GB2312" w:hAnsi="仿宋_GB2312" w:cs="仿宋_GB2312"/>
          <w:szCs w:val="32"/>
        </w:rPr>
      </w:pPr>
    </w:p>
    <w:p>
      <w:pPr>
        <w:snapToGrid w:val="0"/>
        <w:spacing w:line="560" w:lineRule="exact"/>
        <w:ind w:firstLine="640" w:firstLineChars="200"/>
        <w:rPr>
          <w:rFonts w:ascii="仿宋_GB2312" w:hAnsi="宋体" w:cs="宋体"/>
          <w:szCs w:val="32"/>
        </w:rPr>
      </w:pPr>
      <w:r>
        <w:rPr>
          <w:rFonts w:hint="eastAsia" w:ascii="仿宋_GB2312" w:hAnsi="仿宋_GB2312" w:eastAsia="黑体" w:cs="黑体"/>
          <w:szCs w:val="32"/>
        </w:rPr>
        <w:t>“六大行动”：</w:t>
      </w:r>
      <w:r>
        <w:rPr>
          <w:rFonts w:hint="eastAsia" w:ascii="仿宋_GB2312" w:hAnsi="宋体" w:cs="宋体"/>
          <w:szCs w:val="32"/>
        </w:rPr>
        <w:t>发展兴区、产业立区、改革活区、生态靓区、惠民富区、综治安区。</w:t>
      </w:r>
    </w:p>
    <w:p>
      <w:pPr>
        <w:snapToGrid w:val="0"/>
        <w:spacing w:line="560" w:lineRule="exact"/>
        <w:ind w:firstLine="640" w:firstLineChars="200"/>
        <w:rPr>
          <w:rFonts w:ascii="仿宋_GB2312" w:hAnsi="宋体" w:cs="宋体"/>
          <w:szCs w:val="32"/>
        </w:rPr>
      </w:pPr>
      <w:r>
        <w:rPr>
          <w:rFonts w:hint="eastAsia" w:ascii="仿宋_GB2312" w:hAnsi="仿宋_GB2312" w:eastAsia="黑体" w:cs="黑体"/>
          <w:szCs w:val="32"/>
        </w:rPr>
        <w:t>“七网”行动：</w:t>
      </w:r>
      <w:r>
        <w:rPr>
          <w:rFonts w:hint="eastAsia" w:ascii="仿宋_GB2312" w:hAnsi="宋体" w:cs="宋体"/>
          <w:szCs w:val="32"/>
        </w:rPr>
        <w:t>综合立体交通网、现代物流网、能源保障网、城市市政公用设施网、现代水网、新型基础设施网和农村基础设施网。</w:t>
      </w:r>
    </w:p>
    <w:p>
      <w:pPr>
        <w:snapToGrid w:val="0"/>
        <w:spacing w:line="560" w:lineRule="exact"/>
        <w:ind w:firstLine="640" w:firstLineChars="200"/>
        <w:rPr>
          <w:rFonts w:ascii="仿宋_GB2312" w:hAnsi="宋体" w:cs="宋体"/>
          <w:szCs w:val="32"/>
        </w:rPr>
      </w:pPr>
      <w:r>
        <w:rPr>
          <w:rFonts w:hint="eastAsia" w:ascii="仿宋_GB2312" w:hAnsi="仿宋_GB2312" w:eastAsia="黑体" w:cs="黑体"/>
          <w:szCs w:val="32"/>
        </w:rPr>
        <w:t>国有企业创新驱动高质量发展“十条”：</w:t>
      </w:r>
      <w:r>
        <w:rPr>
          <w:rFonts w:hint="eastAsia" w:ascii="仿宋_GB2312" w:hAnsi="宋体" w:cs="宋体"/>
          <w:szCs w:val="32"/>
        </w:rPr>
        <w:t>加快建设世界一流企业、强化国有企业使命担当、持续提升国有经济竞争力、加快提升国有经济创新力、切实提升国有经济控制力、全面提升国有经济影响力、系统提升国有经济抗风险能力、巩固提升现代企业治理能力、大力弘扬企业家精神、高质量党建引领高质量发展。</w:t>
      </w:r>
    </w:p>
    <w:p>
      <w:pPr>
        <w:spacing w:line="560" w:lineRule="exact"/>
        <w:ind w:firstLine="640" w:firstLineChars="200"/>
        <w:rPr>
          <w:rFonts w:ascii="仿宋_GB2312"/>
          <w:sz w:val="28"/>
          <w:szCs w:val="28"/>
        </w:rPr>
      </w:pPr>
      <w:r>
        <w:rPr>
          <w:rFonts w:hint="eastAsia" w:ascii="仿宋_GB2312" w:hAnsi="仿宋_GB2312" w:eastAsia="黑体" w:cs="黑体"/>
          <w:szCs w:val="32"/>
        </w:rPr>
        <w:t>9类困难群众：</w:t>
      </w:r>
      <w:r>
        <w:rPr>
          <w:rFonts w:hint="eastAsia" w:ascii="仿宋_GB2312" w:hAnsi="宋体" w:cs="宋体"/>
          <w:szCs w:val="32"/>
        </w:rPr>
        <w:t>城市低保对象、农村低保对象、城市特困人员、农村特困人员、困难残疾人、重度残疾人、机构养育孤儿、社会散居孤儿（含事实无人抚养儿童）、重点困境儿童。</w:t>
      </w:r>
      <w:bookmarkStart w:id="5" w:name="_GoBack"/>
      <w:bookmarkEnd w:id="5"/>
    </w:p>
    <w:sectPr>
      <w:footerReference r:id="rId7" w:type="first"/>
      <w:headerReference r:id="rId3" w:type="default"/>
      <w:footerReference r:id="rId5" w:type="default"/>
      <w:headerReference r:id="rId4" w:type="even"/>
      <w:footerReference r:id="rId6" w:type="even"/>
      <w:pgSz w:w="11906" w:h="16838"/>
      <w:pgMar w:top="2098" w:right="1474" w:bottom="1985" w:left="1588" w:header="851" w:footer="1219" w:gutter="0"/>
      <w:pgNumType w:fmt="numberInDash"/>
      <w:cols w:space="425" w:num="1"/>
      <w:titlePg/>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大标宋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280" w:firstLineChars="100"/>
      <w:rPr>
        <w:rFonts w:ascii="宋体" w:hAnsi="宋体" w:eastAsia="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890064"/>
      <w:docPartObj>
        <w:docPartGallery w:val="AutoText"/>
      </w:docPartObj>
    </w:sdtPr>
    <w:sdtEndPr>
      <w:rPr>
        <w:rFonts w:ascii="宋体" w:hAnsi="宋体" w:eastAsia="宋体"/>
        <w:sz w:val="28"/>
        <w:szCs w:val="28"/>
      </w:rPr>
    </w:sdtEndPr>
    <w:sdtContent>
      <w:p>
        <w:pPr>
          <w:pStyle w:val="14"/>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sdtContent>
  </w:sdt>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3NjQxYmZmN2ZkODIxYWNiNTEzMzQyMTZmNzQ1MmMifQ=="/>
  </w:docVars>
  <w:rsids>
    <w:rsidRoot w:val="00066ABF"/>
    <w:rsid w:val="00006387"/>
    <w:rsid w:val="00006A83"/>
    <w:rsid w:val="0001214B"/>
    <w:rsid w:val="000130DE"/>
    <w:rsid w:val="00020637"/>
    <w:rsid w:val="0002342A"/>
    <w:rsid w:val="00024295"/>
    <w:rsid w:val="00024488"/>
    <w:rsid w:val="00025E4D"/>
    <w:rsid w:val="0003762B"/>
    <w:rsid w:val="00037731"/>
    <w:rsid w:val="00042185"/>
    <w:rsid w:val="000515AE"/>
    <w:rsid w:val="000534FA"/>
    <w:rsid w:val="000557D1"/>
    <w:rsid w:val="00055E01"/>
    <w:rsid w:val="00056B2F"/>
    <w:rsid w:val="00061E04"/>
    <w:rsid w:val="00061E51"/>
    <w:rsid w:val="0006336D"/>
    <w:rsid w:val="00063BB3"/>
    <w:rsid w:val="000667B9"/>
    <w:rsid w:val="00066ABF"/>
    <w:rsid w:val="000706ED"/>
    <w:rsid w:val="00072926"/>
    <w:rsid w:val="00074CC9"/>
    <w:rsid w:val="000761EA"/>
    <w:rsid w:val="00076F85"/>
    <w:rsid w:val="00082CB5"/>
    <w:rsid w:val="00084C83"/>
    <w:rsid w:val="00084CAD"/>
    <w:rsid w:val="00096AC2"/>
    <w:rsid w:val="000A29F2"/>
    <w:rsid w:val="000A5911"/>
    <w:rsid w:val="000B2715"/>
    <w:rsid w:val="000B327B"/>
    <w:rsid w:val="000B46BD"/>
    <w:rsid w:val="000B56A4"/>
    <w:rsid w:val="000C0B54"/>
    <w:rsid w:val="000C4DAC"/>
    <w:rsid w:val="000C528A"/>
    <w:rsid w:val="000C647D"/>
    <w:rsid w:val="000D6F77"/>
    <w:rsid w:val="000E06C7"/>
    <w:rsid w:val="000E0D1D"/>
    <w:rsid w:val="000E1706"/>
    <w:rsid w:val="000F1795"/>
    <w:rsid w:val="000F60E5"/>
    <w:rsid w:val="000F7179"/>
    <w:rsid w:val="00102BB8"/>
    <w:rsid w:val="001059D7"/>
    <w:rsid w:val="00111DAF"/>
    <w:rsid w:val="001213AB"/>
    <w:rsid w:val="001237E0"/>
    <w:rsid w:val="00123ED4"/>
    <w:rsid w:val="00132455"/>
    <w:rsid w:val="00134DBE"/>
    <w:rsid w:val="00135AF1"/>
    <w:rsid w:val="001408B6"/>
    <w:rsid w:val="001415DC"/>
    <w:rsid w:val="00141D33"/>
    <w:rsid w:val="001421FC"/>
    <w:rsid w:val="001434AF"/>
    <w:rsid w:val="001468EE"/>
    <w:rsid w:val="00146CAD"/>
    <w:rsid w:val="00152DA7"/>
    <w:rsid w:val="00155833"/>
    <w:rsid w:val="00155A8F"/>
    <w:rsid w:val="0015760F"/>
    <w:rsid w:val="00164BF8"/>
    <w:rsid w:val="00175F8F"/>
    <w:rsid w:val="00180C50"/>
    <w:rsid w:val="00182DB0"/>
    <w:rsid w:val="00183939"/>
    <w:rsid w:val="001852C3"/>
    <w:rsid w:val="00187FAC"/>
    <w:rsid w:val="00191549"/>
    <w:rsid w:val="00194218"/>
    <w:rsid w:val="00196E49"/>
    <w:rsid w:val="001B5D54"/>
    <w:rsid w:val="001C1171"/>
    <w:rsid w:val="001D1384"/>
    <w:rsid w:val="001D4AF9"/>
    <w:rsid w:val="001D5A82"/>
    <w:rsid w:val="001D70A4"/>
    <w:rsid w:val="001E0EC6"/>
    <w:rsid w:val="001E2B58"/>
    <w:rsid w:val="001E2BE9"/>
    <w:rsid w:val="001E5161"/>
    <w:rsid w:val="001E5D78"/>
    <w:rsid w:val="001F4159"/>
    <w:rsid w:val="001F4BC3"/>
    <w:rsid w:val="001F5402"/>
    <w:rsid w:val="001F6037"/>
    <w:rsid w:val="00200A5A"/>
    <w:rsid w:val="002025FC"/>
    <w:rsid w:val="00211210"/>
    <w:rsid w:val="002123AC"/>
    <w:rsid w:val="002129B9"/>
    <w:rsid w:val="00216211"/>
    <w:rsid w:val="00216C71"/>
    <w:rsid w:val="0021711B"/>
    <w:rsid w:val="002209CC"/>
    <w:rsid w:val="00221763"/>
    <w:rsid w:val="00221B64"/>
    <w:rsid w:val="00221FAA"/>
    <w:rsid w:val="00233112"/>
    <w:rsid w:val="00236625"/>
    <w:rsid w:val="00236CCA"/>
    <w:rsid w:val="00242D44"/>
    <w:rsid w:val="00243F69"/>
    <w:rsid w:val="00244C43"/>
    <w:rsid w:val="00254AA1"/>
    <w:rsid w:val="002550CA"/>
    <w:rsid w:val="00260E7B"/>
    <w:rsid w:val="00261703"/>
    <w:rsid w:val="00264ACF"/>
    <w:rsid w:val="002667C5"/>
    <w:rsid w:val="002703DC"/>
    <w:rsid w:val="0027343E"/>
    <w:rsid w:val="00274218"/>
    <w:rsid w:val="00274326"/>
    <w:rsid w:val="002773A2"/>
    <w:rsid w:val="00282873"/>
    <w:rsid w:val="00283A6A"/>
    <w:rsid w:val="00284045"/>
    <w:rsid w:val="00284D48"/>
    <w:rsid w:val="002857F9"/>
    <w:rsid w:val="002860C0"/>
    <w:rsid w:val="00286A41"/>
    <w:rsid w:val="00286B9C"/>
    <w:rsid w:val="00291935"/>
    <w:rsid w:val="00293943"/>
    <w:rsid w:val="00297D50"/>
    <w:rsid w:val="002A0BB0"/>
    <w:rsid w:val="002A3873"/>
    <w:rsid w:val="002A4546"/>
    <w:rsid w:val="002A7F19"/>
    <w:rsid w:val="002B0373"/>
    <w:rsid w:val="002B31EE"/>
    <w:rsid w:val="002B5D00"/>
    <w:rsid w:val="002B613B"/>
    <w:rsid w:val="002B6C3F"/>
    <w:rsid w:val="002C123B"/>
    <w:rsid w:val="002C4E8B"/>
    <w:rsid w:val="002C5462"/>
    <w:rsid w:val="002C5D10"/>
    <w:rsid w:val="002C6464"/>
    <w:rsid w:val="002C6975"/>
    <w:rsid w:val="002D0877"/>
    <w:rsid w:val="002D5BBF"/>
    <w:rsid w:val="002D65D6"/>
    <w:rsid w:val="002D6A4D"/>
    <w:rsid w:val="002E04A8"/>
    <w:rsid w:val="002E11E5"/>
    <w:rsid w:val="002E3154"/>
    <w:rsid w:val="002E46F5"/>
    <w:rsid w:val="002F468E"/>
    <w:rsid w:val="002F4E14"/>
    <w:rsid w:val="002F5429"/>
    <w:rsid w:val="003008FB"/>
    <w:rsid w:val="00302FC7"/>
    <w:rsid w:val="003034EA"/>
    <w:rsid w:val="00303612"/>
    <w:rsid w:val="00303C24"/>
    <w:rsid w:val="00310C66"/>
    <w:rsid w:val="00322661"/>
    <w:rsid w:val="0033604C"/>
    <w:rsid w:val="00336A03"/>
    <w:rsid w:val="00342D50"/>
    <w:rsid w:val="00345C1D"/>
    <w:rsid w:val="00353B4E"/>
    <w:rsid w:val="00354F24"/>
    <w:rsid w:val="00355B27"/>
    <w:rsid w:val="00357694"/>
    <w:rsid w:val="0036583C"/>
    <w:rsid w:val="00367D98"/>
    <w:rsid w:val="00372A7A"/>
    <w:rsid w:val="003754F8"/>
    <w:rsid w:val="003811D7"/>
    <w:rsid w:val="0038161E"/>
    <w:rsid w:val="00383BBE"/>
    <w:rsid w:val="0038490F"/>
    <w:rsid w:val="003874DE"/>
    <w:rsid w:val="0039222E"/>
    <w:rsid w:val="00396F5A"/>
    <w:rsid w:val="003A0C1B"/>
    <w:rsid w:val="003A1C58"/>
    <w:rsid w:val="003A3DAD"/>
    <w:rsid w:val="003A5C0E"/>
    <w:rsid w:val="003B42BB"/>
    <w:rsid w:val="003B6586"/>
    <w:rsid w:val="003B6BB6"/>
    <w:rsid w:val="003C7238"/>
    <w:rsid w:val="003D3CB8"/>
    <w:rsid w:val="003D4D6C"/>
    <w:rsid w:val="003D787B"/>
    <w:rsid w:val="003E0E2C"/>
    <w:rsid w:val="003E1376"/>
    <w:rsid w:val="003E23E5"/>
    <w:rsid w:val="003E28B8"/>
    <w:rsid w:val="003E44AA"/>
    <w:rsid w:val="003E5065"/>
    <w:rsid w:val="003E6381"/>
    <w:rsid w:val="003F0FEB"/>
    <w:rsid w:val="003F472C"/>
    <w:rsid w:val="003F5C50"/>
    <w:rsid w:val="003F6A4C"/>
    <w:rsid w:val="003F70DA"/>
    <w:rsid w:val="00405930"/>
    <w:rsid w:val="004068B6"/>
    <w:rsid w:val="004070D5"/>
    <w:rsid w:val="00412A6F"/>
    <w:rsid w:val="00420BFD"/>
    <w:rsid w:val="004228FB"/>
    <w:rsid w:val="00430BFB"/>
    <w:rsid w:val="004337DB"/>
    <w:rsid w:val="00434CA9"/>
    <w:rsid w:val="004379AA"/>
    <w:rsid w:val="004428CF"/>
    <w:rsid w:val="0044298A"/>
    <w:rsid w:val="004442DF"/>
    <w:rsid w:val="00445960"/>
    <w:rsid w:val="00446477"/>
    <w:rsid w:val="0044691C"/>
    <w:rsid w:val="00446EF1"/>
    <w:rsid w:val="00452065"/>
    <w:rsid w:val="004528C4"/>
    <w:rsid w:val="00454AC0"/>
    <w:rsid w:val="00456FE2"/>
    <w:rsid w:val="004621AC"/>
    <w:rsid w:val="00463D7C"/>
    <w:rsid w:val="004737FD"/>
    <w:rsid w:val="00473FAC"/>
    <w:rsid w:val="00474F30"/>
    <w:rsid w:val="0047562D"/>
    <w:rsid w:val="00481389"/>
    <w:rsid w:val="004827AB"/>
    <w:rsid w:val="0048669A"/>
    <w:rsid w:val="0049123C"/>
    <w:rsid w:val="00491506"/>
    <w:rsid w:val="00492763"/>
    <w:rsid w:val="00494686"/>
    <w:rsid w:val="004A1766"/>
    <w:rsid w:val="004A480B"/>
    <w:rsid w:val="004A4BDE"/>
    <w:rsid w:val="004B52F4"/>
    <w:rsid w:val="004B67C4"/>
    <w:rsid w:val="004B74F4"/>
    <w:rsid w:val="004D2339"/>
    <w:rsid w:val="004D291C"/>
    <w:rsid w:val="004D4CC0"/>
    <w:rsid w:val="004D4D20"/>
    <w:rsid w:val="004D61A8"/>
    <w:rsid w:val="004D6469"/>
    <w:rsid w:val="004D683B"/>
    <w:rsid w:val="004D7F42"/>
    <w:rsid w:val="004E1571"/>
    <w:rsid w:val="004E3A80"/>
    <w:rsid w:val="004E5ED0"/>
    <w:rsid w:val="004F0B47"/>
    <w:rsid w:val="004F4830"/>
    <w:rsid w:val="004F60F2"/>
    <w:rsid w:val="005016AE"/>
    <w:rsid w:val="005021A2"/>
    <w:rsid w:val="00503EF8"/>
    <w:rsid w:val="00506FD5"/>
    <w:rsid w:val="00512853"/>
    <w:rsid w:val="00517DBC"/>
    <w:rsid w:val="00517EFE"/>
    <w:rsid w:val="0052067E"/>
    <w:rsid w:val="005214F3"/>
    <w:rsid w:val="00523E4C"/>
    <w:rsid w:val="00527927"/>
    <w:rsid w:val="00532A72"/>
    <w:rsid w:val="005338CE"/>
    <w:rsid w:val="00541646"/>
    <w:rsid w:val="00542177"/>
    <w:rsid w:val="00542182"/>
    <w:rsid w:val="0054339F"/>
    <w:rsid w:val="005510F7"/>
    <w:rsid w:val="00551463"/>
    <w:rsid w:val="005519E5"/>
    <w:rsid w:val="0055217B"/>
    <w:rsid w:val="00553D07"/>
    <w:rsid w:val="0056174D"/>
    <w:rsid w:val="005638EC"/>
    <w:rsid w:val="00564A82"/>
    <w:rsid w:val="00564EAF"/>
    <w:rsid w:val="00570907"/>
    <w:rsid w:val="00571262"/>
    <w:rsid w:val="00577356"/>
    <w:rsid w:val="005848FF"/>
    <w:rsid w:val="00584D38"/>
    <w:rsid w:val="005859DB"/>
    <w:rsid w:val="005878D8"/>
    <w:rsid w:val="0059220A"/>
    <w:rsid w:val="00592588"/>
    <w:rsid w:val="00592762"/>
    <w:rsid w:val="00596AAB"/>
    <w:rsid w:val="005A27D9"/>
    <w:rsid w:val="005A392E"/>
    <w:rsid w:val="005A40E6"/>
    <w:rsid w:val="005A582F"/>
    <w:rsid w:val="005A5C4D"/>
    <w:rsid w:val="005B04B0"/>
    <w:rsid w:val="005C279D"/>
    <w:rsid w:val="005C60A9"/>
    <w:rsid w:val="005D0AD1"/>
    <w:rsid w:val="005D37C2"/>
    <w:rsid w:val="005D4B06"/>
    <w:rsid w:val="005D4ECC"/>
    <w:rsid w:val="005D747D"/>
    <w:rsid w:val="005E2F2A"/>
    <w:rsid w:val="005E3768"/>
    <w:rsid w:val="005E5573"/>
    <w:rsid w:val="005F204A"/>
    <w:rsid w:val="005F2DFE"/>
    <w:rsid w:val="005F2E6E"/>
    <w:rsid w:val="005F30E7"/>
    <w:rsid w:val="005F45A0"/>
    <w:rsid w:val="005F67C5"/>
    <w:rsid w:val="005F6D51"/>
    <w:rsid w:val="005F6E17"/>
    <w:rsid w:val="00604935"/>
    <w:rsid w:val="0060501C"/>
    <w:rsid w:val="006060B1"/>
    <w:rsid w:val="00606AA4"/>
    <w:rsid w:val="00610548"/>
    <w:rsid w:val="00617621"/>
    <w:rsid w:val="006246DE"/>
    <w:rsid w:val="006306DF"/>
    <w:rsid w:val="006449F8"/>
    <w:rsid w:val="00650E48"/>
    <w:rsid w:val="00657AED"/>
    <w:rsid w:val="0066206D"/>
    <w:rsid w:val="00664E62"/>
    <w:rsid w:val="00670033"/>
    <w:rsid w:val="00673D85"/>
    <w:rsid w:val="00675E71"/>
    <w:rsid w:val="00676B2B"/>
    <w:rsid w:val="006858B5"/>
    <w:rsid w:val="00686979"/>
    <w:rsid w:val="00690D0E"/>
    <w:rsid w:val="006A6B09"/>
    <w:rsid w:val="006B3631"/>
    <w:rsid w:val="006B406F"/>
    <w:rsid w:val="006B4C62"/>
    <w:rsid w:val="006B6B06"/>
    <w:rsid w:val="006B7446"/>
    <w:rsid w:val="006C27D0"/>
    <w:rsid w:val="006C29E4"/>
    <w:rsid w:val="006C2A3F"/>
    <w:rsid w:val="006C2A78"/>
    <w:rsid w:val="006C3535"/>
    <w:rsid w:val="006C7152"/>
    <w:rsid w:val="006C7639"/>
    <w:rsid w:val="006E5D62"/>
    <w:rsid w:val="006E6266"/>
    <w:rsid w:val="00701184"/>
    <w:rsid w:val="00701949"/>
    <w:rsid w:val="00701FDF"/>
    <w:rsid w:val="00704EB7"/>
    <w:rsid w:val="0071208A"/>
    <w:rsid w:val="007142EA"/>
    <w:rsid w:val="007143FB"/>
    <w:rsid w:val="00714ECA"/>
    <w:rsid w:val="00715374"/>
    <w:rsid w:val="007156C5"/>
    <w:rsid w:val="00716625"/>
    <w:rsid w:val="00717BDF"/>
    <w:rsid w:val="00720424"/>
    <w:rsid w:val="00721F64"/>
    <w:rsid w:val="007254E9"/>
    <w:rsid w:val="00726840"/>
    <w:rsid w:val="007315AD"/>
    <w:rsid w:val="007347FD"/>
    <w:rsid w:val="007350B4"/>
    <w:rsid w:val="007367C4"/>
    <w:rsid w:val="007372C4"/>
    <w:rsid w:val="00745579"/>
    <w:rsid w:val="007455A1"/>
    <w:rsid w:val="00745FC6"/>
    <w:rsid w:val="00746B83"/>
    <w:rsid w:val="00750C65"/>
    <w:rsid w:val="00754BDC"/>
    <w:rsid w:val="00763948"/>
    <w:rsid w:val="007700B9"/>
    <w:rsid w:val="00770D89"/>
    <w:rsid w:val="00775C8B"/>
    <w:rsid w:val="00780A39"/>
    <w:rsid w:val="007811FF"/>
    <w:rsid w:val="00783B93"/>
    <w:rsid w:val="00785606"/>
    <w:rsid w:val="00785DB5"/>
    <w:rsid w:val="007865D1"/>
    <w:rsid w:val="00792207"/>
    <w:rsid w:val="007978F1"/>
    <w:rsid w:val="007A11C6"/>
    <w:rsid w:val="007A4350"/>
    <w:rsid w:val="007A6AEF"/>
    <w:rsid w:val="007B3D89"/>
    <w:rsid w:val="007C05E0"/>
    <w:rsid w:val="007C253C"/>
    <w:rsid w:val="007C50ED"/>
    <w:rsid w:val="007C580D"/>
    <w:rsid w:val="007C75C7"/>
    <w:rsid w:val="007D250A"/>
    <w:rsid w:val="007D69B5"/>
    <w:rsid w:val="007E197F"/>
    <w:rsid w:val="007E1F87"/>
    <w:rsid w:val="007E29F2"/>
    <w:rsid w:val="007E34C5"/>
    <w:rsid w:val="007E3FD2"/>
    <w:rsid w:val="00800F7B"/>
    <w:rsid w:val="008017F9"/>
    <w:rsid w:val="008021E7"/>
    <w:rsid w:val="00803FD9"/>
    <w:rsid w:val="00805CF3"/>
    <w:rsid w:val="008069D1"/>
    <w:rsid w:val="008116C7"/>
    <w:rsid w:val="00814685"/>
    <w:rsid w:val="008156E4"/>
    <w:rsid w:val="00821E91"/>
    <w:rsid w:val="00822AB6"/>
    <w:rsid w:val="00825304"/>
    <w:rsid w:val="0082697D"/>
    <w:rsid w:val="00827D93"/>
    <w:rsid w:val="00833F70"/>
    <w:rsid w:val="00836D1F"/>
    <w:rsid w:val="00837A04"/>
    <w:rsid w:val="00841B3D"/>
    <w:rsid w:val="008448FA"/>
    <w:rsid w:val="00846F11"/>
    <w:rsid w:val="00847D21"/>
    <w:rsid w:val="008520E3"/>
    <w:rsid w:val="00853520"/>
    <w:rsid w:val="008563DA"/>
    <w:rsid w:val="0086358C"/>
    <w:rsid w:val="00867769"/>
    <w:rsid w:val="00870852"/>
    <w:rsid w:val="00872FC1"/>
    <w:rsid w:val="00882586"/>
    <w:rsid w:val="008877B8"/>
    <w:rsid w:val="008912FA"/>
    <w:rsid w:val="00893E1F"/>
    <w:rsid w:val="00894885"/>
    <w:rsid w:val="00895D1B"/>
    <w:rsid w:val="008974F6"/>
    <w:rsid w:val="008A13F3"/>
    <w:rsid w:val="008A4295"/>
    <w:rsid w:val="008A7A76"/>
    <w:rsid w:val="008B1C6B"/>
    <w:rsid w:val="008B2E6C"/>
    <w:rsid w:val="008B5116"/>
    <w:rsid w:val="008C644A"/>
    <w:rsid w:val="008D0925"/>
    <w:rsid w:val="008D139B"/>
    <w:rsid w:val="008D1567"/>
    <w:rsid w:val="008D6D99"/>
    <w:rsid w:val="008D769B"/>
    <w:rsid w:val="008E3375"/>
    <w:rsid w:val="008E37D4"/>
    <w:rsid w:val="008E5465"/>
    <w:rsid w:val="008E7067"/>
    <w:rsid w:val="008F3454"/>
    <w:rsid w:val="008F407E"/>
    <w:rsid w:val="008F54BA"/>
    <w:rsid w:val="008F6659"/>
    <w:rsid w:val="00903F4B"/>
    <w:rsid w:val="00904A03"/>
    <w:rsid w:val="00907263"/>
    <w:rsid w:val="00907E16"/>
    <w:rsid w:val="00912778"/>
    <w:rsid w:val="00913589"/>
    <w:rsid w:val="00915ADC"/>
    <w:rsid w:val="009227FE"/>
    <w:rsid w:val="00927033"/>
    <w:rsid w:val="0093106E"/>
    <w:rsid w:val="0093116C"/>
    <w:rsid w:val="00933D8B"/>
    <w:rsid w:val="00934159"/>
    <w:rsid w:val="009418F7"/>
    <w:rsid w:val="00942822"/>
    <w:rsid w:val="009455AF"/>
    <w:rsid w:val="00946D4C"/>
    <w:rsid w:val="00947D80"/>
    <w:rsid w:val="00950599"/>
    <w:rsid w:val="00951B96"/>
    <w:rsid w:val="00953B0E"/>
    <w:rsid w:val="00956499"/>
    <w:rsid w:val="00957B65"/>
    <w:rsid w:val="009616CA"/>
    <w:rsid w:val="009644A3"/>
    <w:rsid w:val="009662BB"/>
    <w:rsid w:val="009677DB"/>
    <w:rsid w:val="009A101F"/>
    <w:rsid w:val="009A16A1"/>
    <w:rsid w:val="009A4B64"/>
    <w:rsid w:val="009B27CF"/>
    <w:rsid w:val="009B2ED8"/>
    <w:rsid w:val="009B3187"/>
    <w:rsid w:val="009B41C8"/>
    <w:rsid w:val="009B4853"/>
    <w:rsid w:val="009C6AC0"/>
    <w:rsid w:val="009C726B"/>
    <w:rsid w:val="009D11F2"/>
    <w:rsid w:val="009D12BA"/>
    <w:rsid w:val="009E14EE"/>
    <w:rsid w:val="009E5A9B"/>
    <w:rsid w:val="009F105F"/>
    <w:rsid w:val="009F151D"/>
    <w:rsid w:val="009F3C3F"/>
    <w:rsid w:val="009F4110"/>
    <w:rsid w:val="009F4FDA"/>
    <w:rsid w:val="009F5DB4"/>
    <w:rsid w:val="00A00ED4"/>
    <w:rsid w:val="00A01BBB"/>
    <w:rsid w:val="00A0232E"/>
    <w:rsid w:val="00A039AE"/>
    <w:rsid w:val="00A1075F"/>
    <w:rsid w:val="00A10AC7"/>
    <w:rsid w:val="00A12777"/>
    <w:rsid w:val="00A128FD"/>
    <w:rsid w:val="00A171D2"/>
    <w:rsid w:val="00A21522"/>
    <w:rsid w:val="00A21964"/>
    <w:rsid w:val="00A23658"/>
    <w:rsid w:val="00A24D06"/>
    <w:rsid w:val="00A31FF5"/>
    <w:rsid w:val="00A32B0C"/>
    <w:rsid w:val="00A34375"/>
    <w:rsid w:val="00A346C2"/>
    <w:rsid w:val="00A360CC"/>
    <w:rsid w:val="00A402E9"/>
    <w:rsid w:val="00A40CAD"/>
    <w:rsid w:val="00A45001"/>
    <w:rsid w:val="00A47E51"/>
    <w:rsid w:val="00A51231"/>
    <w:rsid w:val="00A72383"/>
    <w:rsid w:val="00A8125B"/>
    <w:rsid w:val="00A825B7"/>
    <w:rsid w:val="00A859FB"/>
    <w:rsid w:val="00A8606E"/>
    <w:rsid w:val="00A946A0"/>
    <w:rsid w:val="00A9615D"/>
    <w:rsid w:val="00A9649B"/>
    <w:rsid w:val="00A976ED"/>
    <w:rsid w:val="00AA09D9"/>
    <w:rsid w:val="00AA49A8"/>
    <w:rsid w:val="00AA69C3"/>
    <w:rsid w:val="00AA7912"/>
    <w:rsid w:val="00AB0D52"/>
    <w:rsid w:val="00AB49C1"/>
    <w:rsid w:val="00AB49EC"/>
    <w:rsid w:val="00AC0EF0"/>
    <w:rsid w:val="00AC2844"/>
    <w:rsid w:val="00AC5286"/>
    <w:rsid w:val="00AC53B9"/>
    <w:rsid w:val="00AC5D80"/>
    <w:rsid w:val="00AD021E"/>
    <w:rsid w:val="00AD0F0E"/>
    <w:rsid w:val="00AE015C"/>
    <w:rsid w:val="00AE10E8"/>
    <w:rsid w:val="00AE46D6"/>
    <w:rsid w:val="00AF1B3B"/>
    <w:rsid w:val="00AF31DF"/>
    <w:rsid w:val="00B04472"/>
    <w:rsid w:val="00B07422"/>
    <w:rsid w:val="00B10FE1"/>
    <w:rsid w:val="00B2132D"/>
    <w:rsid w:val="00B21C06"/>
    <w:rsid w:val="00B33A96"/>
    <w:rsid w:val="00B35732"/>
    <w:rsid w:val="00B35C4C"/>
    <w:rsid w:val="00B3698F"/>
    <w:rsid w:val="00B44160"/>
    <w:rsid w:val="00B455FA"/>
    <w:rsid w:val="00B51C80"/>
    <w:rsid w:val="00B52AA0"/>
    <w:rsid w:val="00B5545F"/>
    <w:rsid w:val="00B575CB"/>
    <w:rsid w:val="00B6185F"/>
    <w:rsid w:val="00B64F6E"/>
    <w:rsid w:val="00B6601B"/>
    <w:rsid w:val="00B70580"/>
    <w:rsid w:val="00B718F5"/>
    <w:rsid w:val="00B73332"/>
    <w:rsid w:val="00B7683C"/>
    <w:rsid w:val="00B81F9A"/>
    <w:rsid w:val="00B8272C"/>
    <w:rsid w:val="00B91FFB"/>
    <w:rsid w:val="00B95B90"/>
    <w:rsid w:val="00B96A66"/>
    <w:rsid w:val="00B9700C"/>
    <w:rsid w:val="00B970B1"/>
    <w:rsid w:val="00BA3AF3"/>
    <w:rsid w:val="00BA45AE"/>
    <w:rsid w:val="00BA51E7"/>
    <w:rsid w:val="00BA5C7B"/>
    <w:rsid w:val="00BA71D4"/>
    <w:rsid w:val="00BB03C4"/>
    <w:rsid w:val="00BB0E51"/>
    <w:rsid w:val="00BB362A"/>
    <w:rsid w:val="00BB3713"/>
    <w:rsid w:val="00BB6BC3"/>
    <w:rsid w:val="00BC1070"/>
    <w:rsid w:val="00BC1A0C"/>
    <w:rsid w:val="00BC1B01"/>
    <w:rsid w:val="00BD47C7"/>
    <w:rsid w:val="00BD5760"/>
    <w:rsid w:val="00BD6098"/>
    <w:rsid w:val="00BD7C4D"/>
    <w:rsid w:val="00BE118B"/>
    <w:rsid w:val="00BF2B55"/>
    <w:rsid w:val="00C07D00"/>
    <w:rsid w:val="00C136B7"/>
    <w:rsid w:val="00C15E6F"/>
    <w:rsid w:val="00C1745D"/>
    <w:rsid w:val="00C207D1"/>
    <w:rsid w:val="00C21FA2"/>
    <w:rsid w:val="00C27843"/>
    <w:rsid w:val="00C3118F"/>
    <w:rsid w:val="00C40428"/>
    <w:rsid w:val="00C42E94"/>
    <w:rsid w:val="00C47B6A"/>
    <w:rsid w:val="00C61809"/>
    <w:rsid w:val="00C6395E"/>
    <w:rsid w:val="00C654A7"/>
    <w:rsid w:val="00C67ABE"/>
    <w:rsid w:val="00C70F5A"/>
    <w:rsid w:val="00C719CC"/>
    <w:rsid w:val="00C74DAE"/>
    <w:rsid w:val="00C77380"/>
    <w:rsid w:val="00C82806"/>
    <w:rsid w:val="00C85107"/>
    <w:rsid w:val="00C856BF"/>
    <w:rsid w:val="00C8629B"/>
    <w:rsid w:val="00C87A04"/>
    <w:rsid w:val="00C87BA6"/>
    <w:rsid w:val="00C94ADA"/>
    <w:rsid w:val="00C97548"/>
    <w:rsid w:val="00CA11A6"/>
    <w:rsid w:val="00CA6127"/>
    <w:rsid w:val="00CA622B"/>
    <w:rsid w:val="00CB1252"/>
    <w:rsid w:val="00CB58FC"/>
    <w:rsid w:val="00CB5EF2"/>
    <w:rsid w:val="00CB65EA"/>
    <w:rsid w:val="00CB6BBD"/>
    <w:rsid w:val="00CB6DF0"/>
    <w:rsid w:val="00CB771E"/>
    <w:rsid w:val="00CC02B7"/>
    <w:rsid w:val="00CC27F3"/>
    <w:rsid w:val="00CC5187"/>
    <w:rsid w:val="00CC63BF"/>
    <w:rsid w:val="00CD2E41"/>
    <w:rsid w:val="00CD7663"/>
    <w:rsid w:val="00CE07B4"/>
    <w:rsid w:val="00CE1643"/>
    <w:rsid w:val="00CE1F20"/>
    <w:rsid w:val="00CE286C"/>
    <w:rsid w:val="00CF0BA1"/>
    <w:rsid w:val="00CF220A"/>
    <w:rsid w:val="00CF28E9"/>
    <w:rsid w:val="00D05469"/>
    <w:rsid w:val="00D062B5"/>
    <w:rsid w:val="00D12E61"/>
    <w:rsid w:val="00D219B7"/>
    <w:rsid w:val="00D22FE8"/>
    <w:rsid w:val="00D27177"/>
    <w:rsid w:val="00D30454"/>
    <w:rsid w:val="00D3084E"/>
    <w:rsid w:val="00D30CF0"/>
    <w:rsid w:val="00D31F63"/>
    <w:rsid w:val="00D33F61"/>
    <w:rsid w:val="00D34AB3"/>
    <w:rsid w:val="00D35037"/>
    <w:rsid w:val="00D3666A"/>
    <w:rsid w:val="00D4026A"/>
    <w:rsid w:val="00D43330"/>
    <w:rsid w:val="00D45669"/>
    <w:rsid w:val="00D576B7"/>
    <w:rsid w:val="00D60D77"/>
    <w:rsid w:val="00D6197E"/>
    <w:rsid w:val="00D657FA"/>
    <w:rsid w:val="00D65D0C"/>
    <w:rsid w:val="00D72FC2"/>
    <w:rsid w:val="00D7303D"/>
    <w:rsid w:val="00D7607B"/>
    <w:rsid w:val="00D8149D"/>
    <w:rsid w:val="00D8240B"/>
    <w:rsid w:val="00D84C8E"/>
    <w:rsid w:val="00D87C53"/>
    <w:rsid w:val="00D92906"/>
    <w:rsid w:val="00DB0D72"/>
    <w:rsid w:val="00DB24BD"/>
    <w:rsid w:val="00DB7D52"/>
    <w:rsid w:val="00DC4379"/>
    <w:rsid w:val="00DC442E"/>
    <w:rsid w:val="00DC7132"/>
    <w:rsid w:val="00DC7DB4"/>
    <w:rsid w:val="00DD033D"/>
    <w:rsid w:val="00DD2519"/>
    <w:rsid w:val="00DD62DD"/>
    <w:rsid w:val="00DD690D"/>
    <w:rsid w:val="00DE3262"/>
    <w:rsid w:val="00DE731A"/>
    <w:rsid w:val="00DE7730"/>
    <w:rsid w:val="00DF0CE5"/>
    <w:rsid w:val="00DF1452"/>
    <w:rsid w:val="00DF213E"/>
    <w:rsid w:val="00DF3C48"/>
    <w:rsid w:val="00DF43A7"/>
    <w:rsid w:val="00DF6A9E"/>
    <w:rsid w:val="00DF7E9C"/>
    <w:rsid w:val="00E0000B"/>
    <w:rsid w:val="00E010E1"/>
    <w:rsid w:val="00E04FFF"/>
    <w:rsid w:val="00E05D68"/>
    <w:rsid w:val="00E06FD4"/>
    <w:rsid w:val="00E215EC"/>
    <w:rsid w:val="00E249F3"/>
    <w:rsid w:val="00E263F6"/>
    <w:rsid w:val="00E27328"/>
    <w:rsid w:val="00E279F7"/>
    <w:rsid w:val="00E356FA"/>
    <w:rsid w:val="00E35711"/>
    <w:rsid w:val="00E35FC7"/>
    <w:rsid w:val="00E36012"/>
    <w:rsid w:val="00E3621E"/>
    <w:rsid w:val="00E374FB"/>
    <w:rsid w:val="00E41B02"/>
    <w:rsid w:val="00E469A1"/>
    <w:rsid w:val="00E52115"/>
    <w:rsid w:val="00E531B6"/>
    <w:rsid w:val="00E533F1"/>
    <w:rsid w:val="00E53838"/>
    <w:rsid w:val="00E53D99"/>
    <w:rsid w:val="00E56450"/>
    <w:rsid w:val="00E56649"/>
    <w:rsid w:val="00E5752F"/>
    <w:rsid w:val="00E60BA8"/>
    <w:rsid w:val="00E616EF"/>
    <w:rsid w:val="00E63052"/>
    <w:rsid w:val="00E63288"/>
    <w:rsid w:val="00E661C1"/>
    <w:rsid w:val="00E679D4"/>
    <w:rsid w:val="00E67A17"/>
    <w:rsid w:val="00E70F52"/>
    <w:rsid w:val="00E72614"/>
    <w:rsid w:val="00E739B1"/>
    <w:rsid w:val="00E80688"/>
    <w:rsid w:val="00E809B5"/>
    <w:rsid w:val="00E82A89"/>
    <w:rsid w:val="00E87FA4"/>
    <w:rsid w:val="00E91318"/>
    <w:rsid w:val="00E915C0"/>
    <w:rsid w:val="00E94B69"/>
    <w:rsid w:val="00E95884"/>
    <w:rsid w:val="00E9771A"/>
    <w:rsid w:val="00EA2F7A"/>
    <w:rsid w:val="00EA703D"/>
    <w:rsid w:val="00EA7C0F"/>
    <w:rsid w:val="00EB49E8"/>
    <w:rsid w:val="00EB4F97"/>
    <w:rsid w:val="00EB7016"/>
    <w:rsid w:val="00EB74CC"/>
    <w:rsid w:val="00EC0F0A"/>
    <w:rsid w:val="00EC5FA2"/>
    <w:rsid w:val="00ED0D2B"/>
    <w:rsid w:val="00ED3124"/>
    <w:rsid w:val="00EE0092"/>
    <w:rsid w:val="00EE15B3"/>
    <w:rsid w:val="00EE1E8C"/>
    <w:rsid w:val="00EE660B"/>
    <w:rsid w:val="00EF062E"/>
    <w:rsid w:val="00EF0D3D"/>
    <w:rsid w:val="00EF10D8"/>
    <w:rsid w:val="00EF631A"/>
    <w:rsid w:val="00F00DF2"/>
    <w:rsid w:val="00F01683"/>
    <w:rsid w:val="00F022CF"/>
    <w:rsid w:val="00F040E1"/>
    <w:rsid w:val="00F05922"/>
    <w:rsid w:val="00F1574C"/>
    <w:rsid w:val="00F1678C"/>
    <w:rsid w:val="00F220EB"/>
    <w:rsid w:val="00F405FB"/>
    <w:rsid w:val="00F46A44"/>
    <w:rsid w:val="00F47D91"/>
    <w:rsid w:val="00F51CA5"/>
    <w:rsid w:val="00F52979"/>
    <w:rsid w:val="00F541C6"/>
    <w:rsid w:val="00F54E16"/>
    <w:rsid w:val="00F569C5"/>
    <w:rsid w:val="00F57EAF"/>
    <w:rsid w:val="00F61491"/>
    <w:rsid w:val="00F62C60"/>
    <w:rsid w:val="00F64E76"/>
    <w:rsid w:val="00F64EF6"/>
    <w:rsid w:val="00F73706"/>
    <w:rsid w:val="00F77BA6"/>
    <w:rsid w:val="00F77C5F"/>
    <w:rsid w:val="00F80E24"/>
    <w:rsid w:val="00F824D8"/>
    <w:rsid w:val="00F83E56"/>
    <w:rsid w:val="00F84582"/>
    <w:rsid w:val="00F8497A"/>
    <w:rsid w:val="00F862C2"/>
    <w:rsid w:val="00F86755"/>
    <w:rsid w:val="00F86AA7"/>
    <w:rsid w:val="00F87BD9"/>
    <w:rsid w:val="00F90ACC"/>
    <w:rsid w:val="00FA0053"/>
    <w:rsid w:val="00FA27C7"/>
    <w:rsid w:val="00FA2CF0"/>
    <w:rsid w:val="00FA43C4"/>
    <w:rsid w:val="00FA5BB4"/>
    <w:rsid w:val="00FA6A05"/>
    <w:rsid w:val="00FB2B44"/>
    <w:rsid w:val="00FC3DA1"/>
    <w:rsid w:val="00FC46A6"/>
    <w:rsid w:val="00FD2367"/>
    <w:rsid w:val="00FD2CC5"/>
    <w:rsid w:val="00FE47E1"/>
    <w:rsid w:val="00FE5BB5"/>
    <w:rsid w:val="00FE6C27"/>
    <w:rsid w:val="00FF1760"/>
    <w:rsid w:val="00FF3D1A"/>
    <w:rsid w:val="1DF34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0"/>
    <w:pPr>
      <w:keepNext/>
      <w:keepLines/>
      <w:spacing w:beforeLines="50" w:afterLines="50"/>
      <w:outlineLvl w:val="1"/>
    </w:pPr>
    <w:rPr>
      <w:rFonts w:ascii="Arial" w:hAnsi="Arial"/>
      <w:b/>
      <w:sz w:val="28"/>
    </w:rPr>
  </w:style>
  <w:style w:type="paragraph" w:styleId="4">
    <w:name w:val="heading 3"/>
    <w:basedOn w:val="1"/>
    <w:next w:val="1"/>
    <w:link w:val="40"/>
    <w:qFormat/>
    <w:uiPriority w:val="0"/>
    <w:pPr>
      <w:keepNext/>
      <w:keepLines/>
      <w:spacing w:line="415" w:lineRule="auto"/>
      <w:ind w:firstLine="200" w:firstLineChars="200"/>
      <w:outlineLvl w:val="2"/>
    </w:pPr>
    <w:rPr>
      <w:bCs/>
      <w:szCs w:val="32"/>
    </w:rPr>
  </w:style>
  <w:style w:type="paragraph" w:styleId="5">
    <w:name w:val="heading 5"/>
    <w:basedOn w:val="1"/>
    <w:next w:val="1"/>
    <w:link w:val="41"/>
    <w:qFormat/>
    <w:uiPriority w:val="0"/>
    <w:pPr>
      <w:keepNext/>
      <w:keepLines/>
      <w:spacing w:before="280" w:after="290" w:line="376" w:lineRule="auto"/>
      <w:ind w:firstLine="200" w:firstLineChars="200"/>
      <w:outlineLvl w:val="4"/>
    </w:pPr>
    <w:rPr>
      <w:b/>
      <w:bCs/>
      <w:sz w:val="28"/>
      <w:szCs w:val="28"/>
    </w:rPr>
  </w:style>
  <w:style w:type="paragraph" w:styleId="6">
    <w:name w:val="heading 6"/>
    <w:basedOn w:val="1"/>
    <w:next w:val="1"/>
    <w:link w:val="39"/>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7">
    <w:name w:val="Normal Indent"/>
    <w:basedOn w:val="1"/>
    <w:next w:val="1"/>
    <w:qFormat/>
    <w:uiPriority w:val="99"/>
    <w:pPr>
      <w:spacing w:line="360" w:lineRule="auto"/>
      <w:ind w:firstLine="420" w:firstLineChars="200"/>
    </w:pPr>
    <w:rPr>
      <w:rFonts w:ascii="Calibri" w:hAnsi="Calibri" w:eastAsia="宋体"/>
      <w:sz w:val="24"/>
      <w:szCs w:val="24"/>
    </w:rPr>
  </w:style>
  <w:style w:type="paragraph" w:styleId="8">
    <w:name w:val="Document Map"/>
    <w:basedOn w:val="1"/>
    <w:link w:val="37"/>
    <w:semiHidden/>
    <w:unhideWhenUsed/>
    <w:qFormat/>
    <w:uiPriority w:val="0"/>
    <w:rPr>
      <w:rFonts w:ascii="Microsoft YaHei UI" w:eastAsia="Microsoft YaHei UI"/>
      <w:sz w:val="18"/>
      <w:szCs w:val="18"/>
    </w:rPr>
  </w:style>
  <w:style w:type="paragraph" w:styleId="9">
    <w:name w:val="Body Text"/>
    <w:basedOn w:val="1"/>
    <w:link w:val="35"/>
    <w:qFormat/>
    <w:uiPriority w:val="0"/>
    <w:pPr>
      <w:autoSpaceDE w:val="0"/>
      <w:autoSpaceDN w:val="0"/>
      <w:jc w:val="left"/>
    </w:pPr>
    <w:rPr>
      <w:rFonts w:ascii="仿宋" w:hAnsi="仿宋" w:eastAsia="仿宋" w:cs="仿宋"/>
      <w:kern w:val="0"/>
      <w:szCs w:val="32"/>
      <w:lang w:val="zh-CN"/>
    </w:rPr>
  </w:style>
  <w:style w:type="paragraph" w:styleId="10">
    <w:name w:val="toc 3"/>
    <w:basedOn w:val="1"/>
    <w:next w:val="1"/>
    <w:qFormat/>
    <w:uiPriority w:val="39"/>
    <w:pPr>
      <w:ind w:left="840" w:leftChars="400" w:firstLine="200" w:firstLineChars="200"/>
    </w:pPr>
    <w:rPr>
      <w:szCs w:val="24"/>
    </w:rPr>
  </w:style>
  <w:style w:type="paragraph" w:styleId="11">
    <w:name w:val="Plain Text"/>
    <w:basedOn w:val="1"/>
    <w:link w:val="42"/>
    <w:qFormat/>
    <w:uiPriority w:val="0"/>
    <w:rPr>
      <w:rFonts w:ascii="宋体" w:hAnsi="Courier New" w:eastAsia="宋体" w:cs="Courier New"/>
      <w:sz w:val="21"/>
      <w:szCs w:val="21"/>
    </w:rPr>
  </w:style>
  <w:style w:type="paragraph" w:styleId="12">
    <w:name w:val="Date"/>
    <w:basedOn w:val="1"/>
    <w:next w:val="1"/>
    <w:link w:val="32"/>
    <w:qFormat/>
    <w:uiPriority w:val="0"/>
    <w:pPr>
      <w:ind w:left="100" w:leftChars="2500"/>
    </w:pPr>
  </w:style>
  <w:style w:type="paragraph" w:styleId="13">
    <w:name w:val="Balloon Text"/>
    <w:basedOn w:val="1"/>
    <w:link w:val="30"/>
    <w:qFormat/>
    <w:uiPriority w:val="0"/>
    <w:rPr>
      <w:sz w:val="18"/>
      <w:szCs w:val="18"/>
    </w:rPr>
  </w:style>
  <w:style w:type="paragraph" w:styleId="14">
    <w:name w:val="footer"/>
    <w:basedOn w:val="1"/>
    <w:link w:val="33"/>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iPriority w:val="39"/>
  </w:style>
  <w:style w:type="paragraph" w:styleId="17">
    <w:name w:val="toc 2"/>
    <w:basedOn w:val="1"/>
    <w:next w:val="1"/>
    <w:uiPriority w:val="39"/>
    <w:pPr>
      <w:ind w:left="420" w:leftChars="200"/>
    </w:pPr>
  </w:style>
  <w:style w:type="paragraph" w:styleId="18">
    <w:name w:val="HTML Preformatted"/>
    <w:basedOn w:val="1"/>
    <w:link w:val="4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hint="eastAsia" w:ascii="宋体" w:hAnsi="宋体" w:eastAsia="宋体"/>
      <w:kern w:val="0"/>
      <w:sz w:val="24"/>
      <w:szCs w:val="24"/>
    </w:rPr>
  </w:style>
  <w:style w:type="paragraph" w:styleId="19">
    <w:name w:val="Normal (Web)"/>
    <w:basedOn w:val="1"/>
    <w:unhideWhenUsed/>
    <w:qFormat/>
    <w:uiPriority w:val="0"/>
    <w:pPr>
      <w:widowControl/>
      <w:spacing w:before="100" w:beforeAutospacing="1" w:after="100" w:afterAutospacing="1"/>
      <w:jc w:val="left"/>
    </w:pPr>
    <w:rPr>
      <w:rFonts w:ascii="宋体" w:hAnsi="宋体" w:eastAsia="宋体" w:cs="宋体"/>
      <w:sz w:val="24"/>
      <w:szCs w:val="24"/>
    </w:rPr>
  </w:style>
  <w:style w:type="table" w:styleId="21">
    <w:name w:val="Table Grid"/>
    <w:basedOn w:val="20"/>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basedOn w:val="22"/>
    <w:uiPriority w:val="0"/>
  </w:style>
  <w:style w:type="character" w:styleId="25">
    <w:name w:val="FollowedHyperlink"/>
    <w:basedOn w:val="22"/>
    <w:uiPriority w:val="0"/>
    <w:rPr>
      <w:color w:val="800080"/>
      <w:u w:val="single"/>
    </w:rPr>
  </w:style>
  <w:style w:type="character" w:styleId="26">
    <w:name w:val="Hyperlink"/>
    <w:qFormat/>
    <w:uiPriority w:val="99"/>
    <w:rPr>
      <w:color w:val="0000FF"/>
      <w:u w:val="single"/>
    </w:rPr>
  </w:style>
  <w:style w:type="character" w:styleId="27">
    <w:name w:val="HTML Cite"/>
    <w:basedOn w:val="22"/>
    <w:qFormat/>
    <w:uiPriority w:val="0"/>
    <w:rPr>
      <w:i/>
      <w:iCs/>
    </w:rPr>
  </w:style>
  <w:style w:type="paragraph" w:customStyle="1" w:styleId="28">
    <w:name w:val="Char Char1 Char Char Char Char Char Char"/>
    <w:basedOn w:val="1"/>
    <w:qFormat/>
    <w:uiPriority w:val="0"/>
    <w:pPr>
      <w:widowControl/>
      <w:spacing w:after="160" w:line="240" w:lineRule="exact"/>
      <w:jc w:val="left"/>
    </w:pPr>
    <w:rPr>
      <w:rFonts w:ascii="Verdana" w:hAnsi="Verdana"/>
      <w:kern w:val="0"/>
      <w:sz w:val="24"/>
      <w:lang w:eastAsia="en-US"/>
    </w:rPr>
  </w:style>
  <w:style w:type="character" w:customStyle="1" w:styleId="29">
    <w:name w:val="标题 2 Char1"/>
    <w:link w:val="3"/>
    <w:qFormat/>
    <w:uiPriority w:val="0"/>
    <w:rPr>
      <w:rFonts w:ascii="Arial" w:hAnsi="Arial" w:eastAsia="仿宋_GB2312"/>
      <w:b/>
      <w:kern w:val="2"/>
      <w:sz w:val="28"/>
      <w:lang w:val="en-US" w:eastAsia="zh-CN" w:bidi="ar-SA"/>
    </w:rPr>
  </w:style>
  <w:style w:type="character" w:customStyle="1" w:styleId="30">
    <w:name w:val="批注框文本 Char"/>
    <w:link w:val="13"/>
    <w:qFormat/>
    <w:uiPriority w:val="0"/>
    <w:rPr>
      <w:rFonts w:eastAsia="仿宋_GB2312"/>
      <w:kern w:val="2"/>
      <w:sz w:val="18"/>
      <w:szCs w:val="18"/>
    </w:rPr>
  </w:style>
  <w:style w:type="paragraph" w:styleId="31">
    <w:name w:val="List Paragraph"/>
    <w:basedOn w:val="1"/>
    <w:qFormat/>
    <w:uiPriority w:val="34"/>
    <w:pPr>
      <w:ind w:firstLine="420" w:firstLineChars="200"/>
    </w:pPr>
  </w:style>
  <w:style w:type="character" w:customStyle="1" w:styleId="32">
    <w:name w:val="日期 Char"/>
    <w:basedOn w:val="22"/>
    <w:link w:val="12"/>
    <w:qFormat/>
    <w:uiPriority w:val="0"/>
    <w:rPr>
      <w:rFonts w:eastAsia="仿宋_GB2312"/>
      <w:kern w:val="2"/>
      <w:sz w:val="32"/>
    </w:rPr>
  </w:style>
  <w:style w:type="character" w:customStyle="1" w:styleId="33">
    <w:name w:val="页脚 Char"/>
    <w:basedOn w:val="22"/>
    <w:link w:val="14"/>
    <w:qFormat/>
    <w:uiPriority w:val="99"/>
    <w:rPr>
      <w:rFonts w:eastAsia="仿宋_GB2312"/>
      <w:kern w:val="2"/>
      <w:sz w:val="18"/>
      <w:szCs w:val="18"/>
    </w:rPr>
  </w:style>
  <w:style w:type="character" w:customStyle="1" w:styleId="34">
    <w:name w:val="标题 1 Char1"/>
    <w:basedOn w:val="22"/>
    <w:link w:val="2"/>
    <w:qFormat/>
    <w:uiPriority w:val="0"/>
    <w:rPr>
      <w:rFonts w:eastAsia="仿宋_GB2312"/>
      <w:b/>
      <w:bCs/>
      <w:kern w:val="44"/>
      <w:sz w:val="44"/>
      <w:szCs w:val="44"/>
    </w:rPr>
  </w:style>
  <w:style w:type="character" w:customStyle="1" w:styleId="35">
    <w:name w:val="正文文本 Char"/>
    <w:basedOn w:val="22"/>
    <w:link w:val="9"/>
    <w:qFormat/>
    <w:uiPriority w:val="99"/>
    <w:rPr>
      <w:rFonts w:ascii="仿宋" w:hAnsi="仿宋" w:eastAsia="仿宋" w:cs="仿宋"/>
      <w:sz w:val="32"/>
      <w:szCs w:val="32"/>
      <w:lang w:val="zh-CN"/>
    </w:rPr>
  </w:style>
  <w:style w:type="paragraph" w:customStyle="1" w:styleId="36">
    <w:name w:val="Char Char Char Char"/>
    <w:basedOn w:val="8"/>
    <w:qFormat/>
    <w:uiPriority w:val="0"/>
    <w:pPr>
      <w:shd w:val="clear" w:color="auto" w:fill="000080"/>
      <w:adjustRightInd w:val="0"/>
      <w:spacing w:line="436" w:lineRule="exact"/>
      <w:ind w:left="357"/>
      <w:jc w:val="left"/>
      <w:outlineLvl w:val="3"/>
    </w:pPr>
    <w:rPr>
      <w:rFonts w:ascii="Tahoma" w:hAnsi="Tahoma" w:eastAsia="宋体"/>
      <w:b/>
      <w:sz w:val="24"/>
      <w:szCs w:val="24"/>
    </w:rPr>
  </w:style>
  <w:style w:type="character" w:customStyle="1" w:styleId="37">
    <w:name w:val="文档结构图 Char"/>
    <w:basedOn w:val="22"/>
    <w:link w:val="8"/>
    <w:semiHidden/>
    <w:qFormat/>
    <w:uiPriority w:val="0"/>
    <w:rPr>
      <w:rFonts w:ascii="Microsoft YaHei UI" w:eastAsia="Microsoft YaHei UI"/>
      <w:kern w:val="2"/>
      <w:sz w:val="18"/>
      <w:szCs w:val="18"/>
    </w:rPr>
  </w:style>
  <w:style w:type="paragraph" w:customStyle="1" w:styleId="38">
    <w:name w:val="公文主体"/>
    <w:basedOn w:val="1"/>
    <w:qFormat/>
    <w:uiPriority w:val="0"/>
    <w:pPr>
      <w:spacing w:line="580" w:lineRule="exact"/>
      <w:ind w:firstLine="200" w:firstLineChars="200"/>
    </w:pPr>
    <w:rPr>
      <w:kern w:val="0"/>
    </w:rPr>
  </w:style>
  <w:style w:type="character" w:customStyle="1" w:styleId="39">
    <w:name w:val="标题 6 Char"/>
    <w:basedOn w:val="22"/>
    <w:link w:val="6"/>
    <w:semiHidden/>
    <w:qFormat/>
    <w:uiPriority w:val="0"/>
    <w:rPr>
      <w:rFonts w:asciiTheme="majorHAnsi" w:hAnsiTheme="majorHAnsi" w:eastAsiaTheme="majorEastAsia" w:cstheme="majorBidi"/>
      <w:b/>
      <w:bCs/>
      <w:kern w:val="2"/>
      <w:sz w:val="24"/>
      <w:szCs w:val="24"/>
    </w:rPr>
  </w:style>
  <w:style w:type="character" w:customStyle="1" w:styleId="40">
    <w:name w:val="标题 3 Char"/>
    <w:basedOn w:val="22"/>
    <w:link w:val="4"/>
    <w:qFormat/>
    <w:uiPriority w:val="0"/>
    <w:rPr>
      <w:rFonts w:eastAsia="仿宋_GB2312"/>
      <w:bCs/>
      <w:kern w:val="2"/>
      <w:sz w:val="32"/>
      <w:szCs w:val="32"/>
    </w:rPr>
  </w:style>
  <w:style w:type="character" w:customStyle="1" w:styleId="41">
    <w:name w:val="标题 5 Char"/>
    <w:basedOn w:val="22"/>
    <w:link w:val="5"/>
    <w:qFormat/>
    <w:uiPriority w:val="0"/>
    <w:rPr>
      <w:rFonts w:eastAsia="仿宋_GB2312"/>
      <w:b/>
      <w:bCs/>
      <w:kern w:val="2"/>
      <w:sz w:val="28"/>
      <w:szCs w:val="28"/>
    </w:rPr>
  </w:style>
  <w:style w:type="character" w:customStyle="1" w:styleId="42">
    <w:name w:val="纯文本 Char"/>
    <w:basedOn w:val="22"/>
    <w:link w:val="11"/>
    <w:qFormat/>
    <w:uiPriority w:val="0"/>
    <w:rPr>
      <w:rFonts w:ascii="宋体" w:hAnsi="Courier New" w:cs="Courier New"/>
      <w:kern w:val="2"/>
      <w:sz w:val="21"/>
      <w:szCs w:val="21"/>
    </w:rPr>
  </w:style>
  <w:style w:type="character" w:customStyle="1" w:styleId="43">
    <w:name w:val="HTML 预设格式 Char"/>
    <w:basedOn w:val="22"/>
    <w:link w:val="18"/>
    <w:qFormat/>
    <w:uiPriority w:val="0"/>
    <w:rPr>
      <w:rFonts w:ascii="宋体" w:hAnsi="宋体"/>
      <w:sz w:val="24"/>
      <w:szCs w:val="24"/>
    </w:rPr>
  </w:style>
  <w:style w:type="table" w:customStyle="1" w:styleId="44">
    <w:name w:val="网格型1"/>
    <w:basedOn w:val="20"/>
    <w:qFormat/>
    <w:uiPriority w:val="0"/>
    <w:pPr>
      <w:widowControl w:val="0"/>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5">
    <w:name w:val="标题 1 Char"/>
    <w:basedOn w:val="22"/>
    <w:qFormat/>
    <w:uiPriority w:val="0"/>
    <w:rPr>
      <w:rFonts w:eastAsia="黑体"/>
      <w:bCs/>
      <w:kern w:val="44"/>
      <w:sz w:val="32"/>
      <w:szCs w:val="44"/>
      <w:lang w:val="en-US" w:eastAsia="zh-CN" w:bidi="ar-SA"/>
    </w:rPr>
  </w:style>
  <w:style w:type="character" w:customStyle="1" w:styleId="46">
    <w:name w:val="apple-converted-space"/>
    <w:basedOn w:val="22"/>
    <w:qFormat/>
    <w:uiPriority w:val="0"/>
  </w:style>
  <w:style w:type="character" w:customStyle="1" w:styleId="47">
    <w:name w:val="样式 标题 1 + 黑体 黑色 Char"/>
    <w:basedOn w:val="34"/>
    <w:link w:val="48"/>
    <w:qFormat/>
    <w:uiPriority w:val="0"/>
    <w:rPr>
      <w:rFonts w:ascii="黑体" w:hAnsi="黑体" w:eastAsia="黑体"/>
      <w:color w:val="000000"/>
      <w:kern w:val="44"/>
      <w:sz w:val="32"/>
      <w:szCs w:val="44"/>
    </w:rPr>
  </w:style>
  <w:style w:type="paragraph" w:customStyle="1" w:styleId="48">
    <w:name w:val="样式 标题 1 + 黑体 黑色"/>
    <w:basedOn w:val="2"/>
    <w:link w:val="47"/>
    <w:qFormat/>
    <w:uiPriority w:val="0"/>
    <w:pPr>
      <w:spacing w:before="0" w:after="0" w:line="560" w:lineRule="exact"/>
      <w:ind w:firstLine="200" w:firstLineChars="200"/>
    </w:pPr>
    <w:rPr>
      <w:rFonts w:ascii="黑体" w:hAnsi="黑体" w:eastAsia="黑体"/>
      <w:color w:val="000000"/>
      <w:sz w:val="32"/>
    </w:rPr>
  </w:style>
  <w:style w:type="character" w:customStyle="1" w:styleId="49">
    <w:name w:val="标题 2 Char"/>
    <w:basedOn w:val="22"/>
    <w:uiPriority w:val="0"/>
    <w:rPr>
      <w:rFonts w:ascii="Arial" w:hAnsi="Arial" w:eastAsia="楷体_GB2312"/>
      <w:bCs/>
      <w:kern w:val="2"/>
      <w:sz w:val="32"/>
      <w:szCs w:val="32"/>
      <w:lang w:val="en-US" w:eastAsia="zh-CN" w:bidi="ar-SA"/>
    </w:rPr>
  </w:style>
  <w:style w:type="character" w:customStyle="1" w:styleId="50">
    <w:name w:val="样式 标题 1 + 黑色 Char"/>
    <w:basedOn w:val="34"/>
    <w:link w:val="51"/>
    <w:qFormat/>
    <w:uiPriority w:val="0"/>
    <w:rPr>
      <w:rFonts w:eastAsia="黑体"/>
      <w:color w:val="000000"/>
      <w:kern w:val="44"/>
      <w:sz w:val="32"/>
      <w:szCs w:val="44"/>
    </w:rPr>
  </w:style>
  <w:style w:type="paragraph" w:customStyle="1" w:styleId="51">
    <w:name w:val="样式 标题 1 + 黑色"/>
    <w:basedOn w:val="2"/>
    <w:link w:val="50"/>
    <w:qFormat/>
    <w:uiPriority w:val="0"/>
    <w:pPr>
      <w:spacing w:before="0" w:after="0" w:line="560" w:lineRule="exact"/>
      <w:ind w:firstLine="200" w:firstLineChars="200"/>
    </w:pPr>
    <w:rPr>
      <w:rFonts w:eastAsia="黑体"/>
      <w:color w:val="000000"/>
      <w:sz w:val="32"/>
    </w:rPr>
  </w:style>
  <w:style w:type="character" w:customStyle="1" w:styleId="52">
    <w:name w:val="unnamed11"/>
    <w:qFormat/>
    <w:uiPriority w:val="99"/>
    <w:rPr>
      <w:b/>
      <w:bCs/>
      <w:color w:val="000000"/>
      <w:sz w:val="18"/>
      <w:szCs w:val="18"/>
      <w:u w:val="none"/>
    </w:rPr>
  </w:style>
  <w:style w:type="character" w:customStyle="1" w:styleId="53">
    <w:name w:val="Footer Char"/>
    <w:qFormat/>
    <w:locked/>
    <w:uiPriority w:val="0"/>
    <w:rPr>
      <w:rFonts w:eastAsia="仿宋_GB2312"/>
      <w:kern w:val="2"/>
      <w:sz w:val="18"/>
      <w:szCs w:val="18"/>
      <w:lang w:val="en-US" w:eastAsia="zh-CN" w:bidi="ar-SA"/>
    </w:rPr>
  </w:style>
  <w:style w:type="character" w:customStyle="1" w:styleId="54">
    <w:name w:val="Heading 2 Char"/>
    <w:basedOn w:val="22"/>
    <w:qFormat/>
    <w:locked/>
    <w:uiPriority w:val="0"/>
    <w:rPr>
      <w:rFonts w:ascii="Arial" w:hAnsi="Arial" w:eastAsia="楷体" w:cs="Arial"/>
      <w:b/>
      <w:bCs/>
      <w:kern w:val="2"/>
      <w:sz w:val="32"/>
      <w:szCs w:val="32"/>
      <w:lang w:val="en-US" w:eastAsia="zh-CN" w:bidi="ar-SA"/>
    </w:rPr>
  </w:style>
  <w:style w:type="paragraph" w:customStyle="1" w:styleId="55">
    <w:name w:val="Char2"/>
    <w:basedOn w:val="5"/>
    <w:qFormat/>
    <w:uiPriority w:val="0"/>
    <w:pPr>
      <w:widowControl/>
      <w:spacing w:after="160" w:line="240" w:lineRule="exact"/>
      <w:ind w:firstLine="0" w:firstLineChars="0"/>
      <w:jc w:val="left"/>
    </w:pPr>
    <w:rPr>
      <w:rFonts w:ascii="Verdana" w:hAnsi="Verdana" w:eastAsia="宋体"/>
      <w:kern w:val="0"/>
      <w:sz w:val="20"/>
      <w:szCs w:val="20"/>
      <w:lang w:eastAsia="en-US"/>
    </w:rPr>
  </w:style>
  <w:style w:type="paragraph" w:customStyle="1" w:styleId="56">
    <w:name w:val="正文1"/>
    <w:next w:val="9"/>
    <w:uiPriority w:val="0"/>
    <w:pPr>
      <w:spacing w:line="560" w:lineRule="exact"/>
      <w:ind w:firstLine="482" w:firstLineChars="150"/>
    </w:pPr>
    <w:rPr>
      <w:rFonts w:ascii="黑体" w:hAnsi="黑体" w:eastAsia="仿宋_GB2312" w:cs="Times New Roman"/>
      <w:bCs/>
      <w:kern w:val="2"/>
      <w:sz w:val="32"/>
      <w:szCs w:val="32"/>
      <w:lang w:val="en-US" w:eastAsia="zh-CN" w:bidi="ar-SA"/>
    </w:rPr>
  </w:style>
  <w:style w:type="paragraph" w:customStyle="1" w:styleId="57">
    <w:name w:val="Body text|1"/>
    <w:basedOn w:val="1"/>
    <w:qFormat/>
    <w:uiPriority w:val="0"/>
    <w:pPr>
      <w:spacing w:line="422" w:lineRule="auto"/>
      <w:ind w:firstLine="400" w:firstLineChars="200"/>
    </w:pPr>
    <w:rPr>
      <w:rFonts w:ascii="宋体" w:hAnsi="宋体" w:eastAsia="宋体" w:cs="宋体"/>
      <w:sz w:val="20"/>
      <w:lang w:val="zh-CN" w:bidi="zh-CN"/>
    </w:rPr>
  </w:style>
  <w:style w:type="paragraph" w:customStyle="1" w:styleId="58">
    <w:name w:val="样式 标题 2 + 楷体_GB2312 黑色 首行缩进:  2 字符"/>
    <w:basedOn w:val="3"/>
    <w:qFormat/>
    <w:uiPriority w:val="0"/>
    <w:pPr>
      <w:spacing w:beforeLines="0" w:afterLines="0" w:line="560" w:lineRule="exact"/>
      <w:ind w:firstLine="640" w:firstLineChars="200"/>
    </w:pPr>
    <w:rPr>
      <w:rFonts w:ascii="楷体_GB2312" w:eastAsia="楷体_GB2312" w:cs="宋体"/>
      <w:color w:val="000000"/>
      <w:sz w:val="32"/>
    </w:rPr>
  </w:style>
  <w:style w:type="paragraph" w:customStyle="1" w:styleId="59">
    <w:name w:val="WPSOffice手动目录 1"/>
    <w:uiPriority w:val="0"/>
    <w:rPr>
      <w:rFonts w:ascii="Times New Roman" w:hAnsi="Times New Roman" w:eastAsia="宋体" w:cs="Times New Roman"/>
      <w:lang w:val="en-US" w:eastAsia="zh-CN" w:bidi="ar-SA"/>
    </w:rPr>
  </w:style>
  <w:style w:type="paragraph" w:customStyle="1" w:styleId="60">
    <w:name w:val="样式 标题 2 + 首行缩进:  2 字符"/>
    <w:basedOn w:val="3"/>
    <w:uiPriority w:val="0"/>
    <w:pPr>
      <w:spacing w:beforeLines="0" w:afterLines="0" w:line="560" w:lineRule="exact"/>
      <w:ind w:firstLine="200" w:firstLineChars="200"/>
    </w:pPr>
    <w:rPr>
      <w:rFonts w:eastAsia="楷体_GB2312" w:cs="宋体"/>
      <w:bCs/>
      <w:sz w:val="32"/>
    </w:rPr>
  </w:style>
  <w:style w:type="paragraph" w:customStyle="1" w:styleId="61">
    <w:name w:val="WPSOffice手动目录 2"/>
    <w:uiPriority w:val="0"/>
    <w:pPr>
      <w:ind w:left="200" w:leftChars="200"/>
    </w:pPr>
    <w:rPr>
      <w:rFonts w:ascii="Times New Roman" w:hAnsi="Times New Roman" w:eastAsia="宋体" w:cs="Times New Roman"/>
      <w:lang w:val="en-US" w:eastAsia="zh-CN" w:bidi="ar-SA"/>
    </w:rPr>
  </w:style>
  <w:style w:type="paragraph" w:customStyle="1" w:styleId="62">
    <w:name w:val="Defaul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63">
    <w:name w:val="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4">
    <w:name w:val="无间隔2"/>
    <w:uiPriority w:val="0"/>
    <w:pPr>
      <w:widowControl w:val="0"/>
      <w:ind w:firstLine="200" w:firstLineChars="200"/>
      <w:jc w:val="both"/>
    </w:pPr>
    <w:rPr>
      <w:rFonts w:ascii="Times New Roman" w:hAnsi="Times New Roman" w:eastAsia="仿宋_GB2312" w:cs="Calibri"/>
      <w:sz w:val="28"/>
      <w:szCs w:val="28"/>
      <w:lang w:val="en-US" w:eastAsia="zh-CN" w:bidi="ar-SA"/>
    </w:rPr>
  </w:style>
  <w:style w:type="paragraph" w:customStyle="1" w:styleId="65">
    <w:name w:val="TOC Heading"/>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66">
    <w:name w:val="样式1"/>
    <w:basedOn w:val="16"/>
    <w:uiPriority w:val="0"/>
    <w:pPr>
      <w:tabs>
        <w:tab w:val="right" w:leader="dot" w:pos="8493"/>
        <w:tab w:val="right" w:leader="dot" w:pos="8834"/>
      </w:tabs>
      <w:spacing w:line="560" w:lineRule="exact"/>
      <w:ind w:firstLine="627" w:firstLineChars="196"/>
      <w:jc w:val="left"/>
    </w:pPr>
    <w:rPr>
      <w:rFonts w:ascii="黑体" w:hAnsi="黑体" w:eastAsia="黑体"/>
      <w:caps/>
      <w:color w:val="000000"/>
      <w:szCs w:val="32"/>
    </w:rPr>
  </w:style>
  <w:style w:type="paragraph" w:customStyle="1" w:styleId="67">
    <w:name w:val="样式 标题 2 + (西文) 楷体_GB2312 (中文) 仿宋_GB2312 黑色 首行缩进:  2 字符"/>
    <w:basedOn w:val="3"/>
    <w:uiPriority w:val="0"/>
    <w:pPr>
      <w:spacing w:beforeLines="0" w:afterLines="0" w:line="560" w:lineRule="exact"/>
      <w:ind w:firstLine="640" w:firstLineChars="200"/>
    </w:pPr>
    <w:rPr>
      <w:rFonts w:ascii="楷体_GB2312" w:hAnsi="楷体_GB2312" w:eastAsia="楷体_GB2312" w:cs="宋体"/>
      <w:color w:val="000000"/>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8F7C5-FD81-42F7-B8E2-8C73AE43361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836</Words>
  <Characters>4767</Characters>
  <Lines>39</Lines>
  <Paragraphs>11</Paragraphs>
  <TotalTime>1</TotalTime>
  <ScaleCrop>false</ScaleCrop>
  <LinksUpToDate>false</LinksUpToDate>
  <CharactersWithSpaces>5592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2023-07-03T06:31:00Z</dcterms:created>
  <dc:creator>User</dc:creator>
  <cp:lastModifiedBy>崔云涛</cp:lastModifiedBy>
  <cp:lastPrinted>2023-07-04T08:54:00Z</cp:lastPrinted>
  <dcterms:modified xsi:type="dcterms:W3CDTF">2023-07-07T02:12:25Z</dcterms:modified>
  <dc:title>青岛市城镇燃气突发事件应急预案</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C70D889E7A0A4CFF8E8B5C4C63B83280_13</vt:lpwstr>
  </property>
</Properties>
</file>