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10E" w:rsidRDefault="005A010E">
      <w:pPr>
        <w:pStyle w:val="NormalWeb"/>
        <w:spacing w:before="0" w:beforeAutospacing="0" w:after="0" w:afterAutospacing="0" w:line="600" w:lineRule="exact"/>
        <w:jc w:val="center"/>
        <w:rPr>
          <w:rFonts w:ascii="方正小标宋简体" w:eastAsia="方正小标宋简体" w:hAnsi="方正小标宋简体" w:cs="方正小标宋简体"/>
          <w:color w:val="222222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color w:val="222222"/>
          <w:sz w:val="44"/>
          <w:szCs w:val="44"/>
        </w:rPr>
        <w:t>2019</w:t>
      </w:r>
      <w:r>
        <w:rPr>
          <w:rFonts w:ascii="方正小标宋简体" w:eastAsia="方正小标宋简体" w:hAnsi="方正小标宋简体" w:cs="方正小标宋简体" w:hint="eastAsia"/>
          <w:color w:val="222222"/>
          <w:sz w:val="44"/>
          <w:szCs w:val="44"/>
        </w:rPr>
        <w:t>年青岛前湾保税港区政府信息</w:t>
      </w:r>
    </w:p>
    <w:p w:rsidR="005A010E" w:rsidRDefault="005A010E">
      <w:pPr>
        <w:pStyle w:val="NormalWeb"/>
        <w:spacing w:before="0" w:beforeAutospacing="0" w:after="0" w:afterAutospacing="0" w:line="600" w:lineRule="exact"/>
        <w:jc w:val="center"/>
        <w:rPr>
          <w:rFonts w:ascii="方正小标宋简体" w:eastAsia="方正小标宋简体" w:hAnsi="方正小标宋简体" w:cs="方正小标宋简体"/>
          <w:color w:val="222222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222222"/>
          <w:sz w:val="44"/>
          <w:szCs w:val="44"/>
        </w:rPr>
        <w:t>公开工作年度报告</w:t>
      </w:r>
    </w:p>
    <w:p w:rsidR="005A010E" w:rsidRDefault="005A010E">
      <w:pPr>
        <w:pStyle w:val="NormalWeb"/>
        <w:spacing w:before="0" w:beforeAutospacing="0" w:after="0" w:afterAutospacing="0" w:line="600" w:lineRule="exact"/>
        <w:jc w:val="center"/>
        <w:rPr>
          <w:rFonts w:ascii="方正小标宋简体" w:eastAsia="方正小标宋简体" w:hAnsi="方正小标宋简体" w:cs="方正小标宋简体"/>
          <w:color w:val="222222"/>
          <w:sz w:val="44"/>
          <w:szCs w:val="44"/>
        </w:rPr>
      </w:pPr>
    </w:p>
    <w:p w:rsidR="005A010E" w:rsidRDefault="005A010E" w:rsidP="00DC7F53">
      <w:pPr>
        <w:pStyle w:val="NormalWeb"/>
        <w:spacing w:before="0" w:beforeAutospacing="0" w:after="0" w:afterAutospacing="0"/>
        <w:ind w:firstLineChars="200" w:firstLine="31680"/>
        <w:rPr>
          <w:rFonts w:ascii="仿宋_GB2312" w:eastAsia="仿宋_GB2312" w:hAnsi="仿宋_GB2312" w:cs="仿宋_GB2312"/>
          <w:color w:val="22222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根据《中华人民共和国政府信息公开条例》和青岛市人民政府《关于加快推进政府信息公开工作的实施意见》，特向社会公布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年度青岛前湾保税港区政府信息公开工作年度报告。</w:t>
      </w:r>
    </w:p>
    <w:p w:rsidR="005A010E" w:rsidRDefault="005A010E" w:rsidP="00DC7F53">
      <w:pPr>
        <w:pStyle w:val="NormalWeb"/>
        <w:spacing w:before="0" w:beforeAutospacing="0" w:after="0" w:afterAutospacing="0"/>
        <w:ind w:firstLineChars="200" w:firstLine="31680"/>
        <w:rPr>
          <w:rFonts w:ascii="仿宋_GB2312" w:eastAsia="仿宋_GB2312" w:hAnsi="仿宋_GB2312" w:cs="仿宋_GB2312"/>
          <w:color w:val="22222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本报告由总体情况、主动公开政府信息情况、收到和处理政府信息公开申请情况、政府信息公开行政复议和行政诉讼情况、存在的主要问题及改进情况共五个部分组成。本报告中所列数据的统计期限自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月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日起至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12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月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31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日止。本报告的电子版可在“青岛政务网”（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www.qingdao.gov.cn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）和青岛前湾保税港区政务网（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qdftz.qingdao.gov.cn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）下载。如对本报告有任何疑问，请与青岛前湾保税港区工委管委办公室联系（地址：青岛市黄岛区江山南路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611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号，邮编：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266555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，电话：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86768505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）。</w:t>
      </w:r>
    </w:p>
    <w:p w:rsidR="005A010E" w:rsidRDefault="005A010E" w:rsidP="00DC7F53">
      <w:pPr>
        <w:snapToGrid w:val="0"/>
        <w:spacing w:line="560" w:lineRule="exact"/>
        <w:ind w:firstLineChars="200" w:firstLine="31680"/>
        <w:jc w:val="lef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一、总体情况</w:t>
      </w:r>
    </w:p>
    <w:p w:rsidR="005A010E" w:rsidRDefault="005A010E">
      <w:pPr>
        <w:pStyle w:val="NormalWeb"/>
        <w:spacing w:before="0" w:beforeAutospacing="0" w:after="0" w:afterAutospacing="0"/>
        <w:ind w:firstLine="645"/>
        <w:rPr>
          <w:rFonts w:ascii="仿宋_GB2312" w:eastAsia="仿宋_GB2312" w:hAnsi="仿宋_GB2312" w:cs="仿宋_GB2312"/>
          <w:color w:val="222222"/>
          <w:sz w:val="32"/>
          <w:szCs w:val="32"/>
        </w:rPr>
      </w:pPr>
      <w:r>
        <w:rPr>
          <w:rFonts w:ascii="仿宋_GB2312" w:eastAsia="仿宋_GB2312" w:hAnsi="仿宋_GB2312" w:cs="仿宋_GB2312"/>
          <w:color w:val="222222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年，青岛前湾保税港区以《中华人民共和国政府信息公开条例》（修订版）颁布施行为契机，按照《青岛市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年政府信息公开工作要点》要求，结合区域发展实际，主动磕对职责，做好任务分解，加强培训指导，确保全区各级各部门政府信息公开工作落到实处。</w:t>
      </w:r>
    </w:p>
    <w:p w:rsidR="005A010E" w:rsidRDefault="005A010E">
      <w:pPr>
        <w:pStyle w:val="NormalWeb"/>
        <w:spacing w:before="0" w:beforeAutospacing="0" w:after="0" w:afterAutospacing="0"/>
        <w:ind w:firstLine="645"/>
        <w:rPr>
          <w:rFonts w:ascii="楷体" w:eastAsia="楷体" w:hAnsi="楷体" w:cs="楷体"/>
          <w:b/>
          <w:bCs/>
          <w:color w:val="222222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color w:val="222222"/>
          <w:sz w:val="32"/>
          <w:szCs w:val="32"/>
        </w:rPr>
        <w:t>（一）主动公开</w:t>
      </w:r>
    </w:p>
    <w:p w:rsidR="005A010E" w:rsidRDefault="005A010E">
      <w:pPr>
        <w:pStyle w:val="NormalWeb"/>
        <w:spacing w:before="0" w:beforeAutospacing="0" w:after="0" w:afterAutospacing="0"/>
        <w:ind w:firstLine="645"/>
        <w:rPr>
          <w:rFonts w:ascii="黑体" w:eastAsia="黑体" w:hAnsi="黑体" w:cs="仿宋_GB2312"/>
          <w:color w:val="22222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本年度共通过门户网站发布机构信息、工作计划、公文、政策解读、制度、财务、工作动态等各类信息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1298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篇，报纸、广播、电视发稿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141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篇，网络发稿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262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篇，共计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403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篇。在政务服务平台发布行政许可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223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条，处决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5228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条，行政处罚净增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条，处决数量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14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条。本年度发生政府集中采购数量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597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件，金额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1098.26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万元。政务公开重点领域具体工作情况如下：</w:t>
      </w:r>
    </w:p>
    <w:p w:rsidR="005A010E" w:rsidRDefault="005A010E" w:rsidP="00DC7F53">
      <w:pPr>
        <w:ind w:firstLineChars="200" w:firstLine="31680"/>
        <w:rPr>
          <w:rFonts w:ascii="仿宋_GB2312" w:eastAsia="仿宋_GB2312" w:hAnsi="仿宋_GB2312" w:cs="仿宋_GB2312"/>
          <w:b/>
          <w:bCs/>
          <w:color w:val="222222"/>
          <w:sz w:val="32"/>
          <w:szCs w:val="32"/>
        </w:rPr>
      </w:pPr>
      <w:r>
        <w:rPr>
          <w:rFonts w:ascii="仿宋_GB2312" w:eastAsia="仿宋_GB2312" w:hAnsi="仿宋_GB2312" w:cs="仿宋_GB2312"/>
          <w:b/>
          <w:bCs/>
          <w:color w:val="22222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b/>
          <w:bCs/>
          <w:color w:val="222222"/>
          <w:sz w:val="32"/>
          <w:szCs w:val="32"/>
        </w:rPr>
        <w:t>提案办理结果公开</w:t>
      </w:r>
    </w:p>
    <w:p w:rsidR="005A010E" w:rsidRDefault="005A010E" w:rsidP="00DC7F53">
      <w:pPr>
        <w:ind w:firstLineChars="200" w:firstLine="31680"/>
        <w:rPr>
          <w:rFonts w:ascii="仿宋_GB2312" w:eastAsia="仿宋_GB2312" w:hAnsi="仿宋_GB2312" w:cs="仿宋_GB2312"/>
          <w:color w:val="222222"/>
          <w:sz w:val="32"/>
          <w:szCs w:val="32"/>
        </w:rPr>
      </w:pPr>
      <w:r>
        <w:rPr>
          <w:rFonts w:ascii="仿宋_GB2312" w:eastAsia="仿宋_GB2312" w:hAnsi="仿宋_GB2312" w:cs="仿宋_GB2312"/>
          <w:color w:val="222222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年度通过市级平台公开政协委员提案办理结果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条。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 xml:space="preserve"> </w:t>
      </w:r>
    </w:p>
    <w:p w:rsidR="005A010E" w:rsidRDefault="005A010E" w:rsidP="00DC7F53">
      <w:pPr>
        <w:ind w:firstLineChars="200" w:firstLine="31680"/>
        <w:rPr>
          <w:rFonts w:ascii="仿宋_GB2312" w:eastAsia="仿宋_GB2312" w:hAnsi="仿宋_GB2312" w:cs="仿宋_GB2312"/>
          <w:b/>
          <w:bCs/>
          <w:color w:val="222222"/>
          <w:sz w:val="32"/>
          <w:szCs w:val="32"/>
        </w:rPr>
      </w:pPr>
      <w:r>
        <w:rPr>
          <w:rFonts w:ascii="仿宋_GB2312" w:eastAsia="仿宋_GB2312" w:hAnsi="仿宋_GB2312" w:cs="仿宋_GB2312"/>
          <w:b/>
          <w:bCs/>
          <w:color w:val="222222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b/>
          <w:bCs/>
          <w:color w:val="222222"/>
          <w:sz w:val="32"/>
          <w:szCs w:val="32"/>
        </w:rPr>
        <w:t>政务服务改革</w:t>
      </w:r>
    </w:p>
    <w:p w:rsidR="005A010E" w:rsidRDefault="005A010E" w:rsidP="00DC7F53">
      <w:pPr>
        <w:ind w:firstLineChars="200" w:firstLine="31680"/>
        <w:rPr>
          <w:rFonts w:ascii="仿宋_GB2312" w:eastAsia="仿宋_GB2312" w:hAnsi="仿宋_GB2312" w:cs="仿宋_GB2312"/>
          <w:color w:val="222222"/>
          <w:sz w:val="32"/>
          <w:szCs w:val="32"/>
        </w:rPr>
      </w:pPr>
      <w:r>
        <w:rPr>
          <w:rFonts w:ascii="仿宋_GB2312" w:eastAsia="仿宋_GB2312" w:hAnsi="仿宋_GB2312" w:cs="仿宋_GB2312"/>
          <w:color w:val="222222"/>
          <w:sz w:val="32"/>
          <w:szCs w:val="32"/>
        </w:rPr>
        <w:t>2.1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深入推进“一窗受理、一次办好”改革。在前期改革基础上，按照省市部署，率先探索实践一窗综合受理，对在山东政务服务网公布的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223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个行政审批和公共服务事项全部进行了配置和测试，设置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个综合受理窗口，实现了“前台综合受理、后台分类审批、统一窗口出件”的青岛前湾保税港区服务模式，开创“一窗受理”新路径。</w:t>
      </w:r>
    </w:p>
    <w:p w:rsidR="005A010E" w:rsidRDefault="005A010E" w:rsidP="00DC7F53">
      <w:pPr>
        <w:ind w:firstLineChars="200" w:firstLine="31680"/>
        <w:rPr>
          <w:rFonts w:ascii="仿宋_GB2312" w:eastAsia="仿宋_GB2312" w:hAnsi="仿宋_GB2312" w:cs="仿宋_GB2312"/>
          <w:color w:val="222222"/>
          <w:sz w:val="32"/>
          <w:szCs w:val="32"/>
        </w:rPr>
      </w:pPr>
      <w:r>
        <w:rPr>
          <w:rFonts w:ascii="仿宋_GB2312" w:eastAsia="仿宋_GB2312" w:hAnsi="仿宋_GB2312" w:cs="仿宋_GB2312"/>
          <w:color w:val="222222"/>
          <w:sz w:val="32"/>
          <w:szCs w:val="32"/>
        </w:rPr>
        <w:t>2.2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推进“互联网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政务服务”。增强便利服务功能，在政务服务大厅设置办事指南二维码</w:t>
      </w:r>
      <w:r>
        <w:rPr>
          <w:rFonts w:ascii="仿宋_GB2312" w:eastAsia="仿宋_GB2312" w:hAnsi="仿宋_GB2312" w:cs="仿宋_GB2312" w:hint="eastAsia"/>
          <w:color w:val="222222"/>
          <w:kern w:val="0"/>
          <w:sz w:val="32"/>
          <w:szCs w:val="32"/>
        </w:rPr>
        <w:t>，扫描即可完成行政审批和服务事项的办事指南查询。提高网办“含钙量”，山东政务服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务网公开的事项全程网办、在线申办、在线预审事项数量达到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168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项，占总事项数的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75%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。</w:t>
      </w:r>
    </w:p>
    <w:p w:rsidR="005A010E" w:rsidRDefault="005A010E" w:rsidP="00DC7F53">
      <w:pPr>
        <w:ind w:firstLineChars="200" w:firstLine="31680"/>
        <w:rPr>
          <w:rFonts w:ascii="仿宋_GB2312" w:eastAsia="仿宋_GB2312" w:hAnsi="仿宋_GB2312" w:cs="仿宋_GB2312"/>
          <w:color w:val="222222"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color w:val="222222"/>
          <w:sz w:val="32"/>
          <w:szCs w:val="32"/>
        </w:rPr>
        <w:t>2.3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进一步创新“秒批”服务。开展区级“秒批”清单梳理和电子卡包共享应用工作，</w:t>
      </w:r>
      <w:r>
        <w:rPr>
          <w:rFonts w:ascii="仿宋_GB2312" w:eastAsia="仿宋_GB2312" w:hAnsi="仿宋_GB2312" w:cs="仿宋_GB2312" w:hint="eastAsia"/>
          <w:color w:val="222222"/>
          <w:kern w:val="0"/>
          <w:sz w:val="32"/>
          <w:szCs w:val="32"/>
        </w:rPr>
        <w:t>编制“秒批”事项“明白纸”，对“秒批”事项进行解读宣传，通过山东政务服务网（青岛保税港区站）发布</w:t>
      </w:r>
      <w:r>
        <w:rPr>
          <w:rFonts w:ascii="仿宋_GB2312" w:eastAsia="仿宋_GB2312" w:hAnsi="仿宋_GB2312" w:cs="仿宋_GB2312"/>
          <w:color w:val="222222"/>
          <w:kern w:val="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222222"/>
          <w:kern w:val="0"/>
          <w:sz w:val="32"/>
          <w:szCs w:val="32"/>
        </w:rPr>
        <w:t>“秒批”事项清单。目前，已实现“秒批”事项清单</w:t>
      </w:r>
      <w:r>
        <w:rPr>
          <w:rFonts w:ascii="仿宋_GB2312" w:eastAsia="仿宋_GB2312" w:hAnsi="仿宋_GB2312" w:cs="仿宋_GB2312"/>
          <w:color w:val="222222"/>
          <w:kern w:val="0"/>
          <w:sz w:val="32"/>
          <w:szCs w:val="32"/>
        </w:rPr>
        <w:t>17</w:t>
      </w:r>
      <w:r>
        <w:rPr>
          <w:rFonts w:ascii="仿宋_GB2312" w:eastAsia="仿宋_GB2312" w:hAnsi="仿宋_GB2312" w:cs="仿宋_GB2312" w:hint="eastAsia"/>
          <w:color w:val="222222"/>
          <w:kern w:val="0"/>
          <w:sz w:val="32"/>
          <w:szCs w:val="32"/>
        </w:rPr>
        <w:t>项，电子卡包应用事项清单</w:t>
      </w:r>
      <w:r>
        <w:rPr>
          <w:rFonts w:ascii="仿宋_GB2312" w:eastAsia="仿宋_GB2312" w:hAnsi="仿宋_GB2312" w:cs="仿宋_GB2312"/>
          <w:color w:val="222222"/>
          <w:kern w:val="0"/>
          <w:sz w:val="32"/>
          <w:szCs w:val="32"/>
        </w:rPr>
        <w:t>13</w:t>
      </w:r>
      <w:r>
        <w:rPr>
          <w:rFonts w:ascii="仿宋_GB2312" w:eastAsia="仿宋_GB2312" w:hAnsi="仿宋_GB2312" w:cs="仿宋_GB2312" w:hint="eastAsia"/>
          <w:color w:val="222222"/>
          <w:kern w:val="0"/>
          <w:sz w:val="32"/>
          <w:szCs w:val="32"/>
        </w:rPr>
        <w:t>项。</w:t>
      </w:r>
    </w:p>
    <w:p w:rsidR="005A010E" w:rsidRDefault="005A010E" w:rsidP="00DC7F53">
      <w:pPr>
        <w:ind w:firstLineChars="200" w:firstLine="31680"/>
        <w:rPr>
          <w:rFonts w:ascii="仿宋_GB2312" w:eastAsia="仿宋_GB2312" w:hAnsi="仿宋_GB2312" w:cs="仿宋_GB2312"/>
          <w:b/>
          <w:bCs/>
          <w:color w:val="222222"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b/>
          <w:bCs/>
          <w:color w:val="222222"/>
          <w:kern w:val="0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b/>
          <w:bCs/>
          <w:color w:val="222222"/>
          <w:kern w:val="0"/>
          <w:sz w:val="32"/>
          <w:szCs w:val="32"/>
        </w:rPr>
        <w:t>公共资源交易</w:t>
      </w:r>
    </w:p>
    <w:p w:rsidR="005A010E" w:rsidRDefault="005A010E" w:rsidP="00DC7F53">
      <w:pPr>
        <w:ind w:firstLineChars="200" w:firstLine="31680"/>
        <w:rPr>
          <w:rFonts w:ascii="仿宋_GB2312" w:eastAsia="仿宋_GB2312" w:hAnsi="仿宋_GB2312" w:cs="仿宋_GB2312"/>
          <w:color w:val="222222"/>
          <w:kern w:val="0"/>
          <w:sz w:val="32"/>
          <w:szCs w:val="32"/>
        </w:rPr>
      </w:pPr>
      <w:r>
        <w:rPr>
          <w:rFonts w:ascii="仿宋_GB2312" w:eastAsia="仿宋_GB2312" w:hAnsi="仿宋_GB2312" w:cs="仿宋_GB2312"/>
          <w:color w:val="222222"/>
          <w:kern w:val="0"/>
          <w:sz w:val="32"/>
          <w:szCs w:val="32"/>
        </w:rPr>
        <w:t>3.1</w:t>
      </w:r>
      <w:r>
        <w:rPr>
          <w:rFonts w:ascii="仿宋_GB2312" w:eastAsia="仿宋_GB2312" w:hAnsi="仿宋_GB2312" w:cs="仿宋_GB2312" w:hint="eastAsia"/>
          <w:color w:val="222222"/>
          <w:kern w:val="0"/>
          <w:sz w:val="32"/>
          <w:szCs w:val="32"/>
        </w:rPr>
        <w:t>推进落实“互联网</w:t>
      </w:r>
      <w:r>
        <w:rPr>
          <w:rFonts w:ascii="仿宋_GB2312" w:eastAsia="仿宋_GB2312" w:hAnsi="仿宋_GB2312" w:cs="仿宋_GB2312"/>
          <w:color w:val="222222"/>
          <w:kern w:val="0"/>
          <w:sz w:val="32"/>
          <w:szCs w:val="32"/>
        </w:rPr>
        <w:t>+</w:t>
      </w:r>
      <w:r>
        <w:rPr>
          <w:rFonts w:ascii="仿宋_GB2312" w:eastAsia="仿宋_GB2312" w:hAnsi="仿宋_GB2312" w:cs="仿宋_GB2312" w:hint="eastAsia"/>
          <w:color w:val="222222"/>
          <w:kern w:val="0"/>
          <w:sz w:val="32"/>
          <w:szCs w:val="32"/>
        </w:rPr>
        <w:t>公共资源交易”，延伸公共资源交易一体化信息平台到我区政务服务大厅。区内实行工程建设和政府采购项目电子招投标。组织完成电子招投标进场交易项目</w:t>
      </w:r>
      <w:r>
        <w:rPr>
          <w:rFonts w:ascii="仿宋_GB2312" w:eastAsia="仿宋_GB2312" w:hAnsi="仿宋_GB2312" w:cs="仿宋_GB2312"/>
          <w:color w:val="222222"/>
          <w:kern w:val="0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222222"/>
          <w:kern w:val="0"/>
          <w:sz w:val="32"/>
          <w:szCs w:val="32"/>
        </w:rPr>
        <w:t>宗。</w:t>
      </w:r>
    </w:p>
    <w:p w:rsidR="005A010E" w:rsidRDefault="005A010E" w:rsidP="00DC7F53">
      <w:pPr>
        <w:ind w:firstLineChars="200" w:firstLine="31680"/>
        <w:rPr>
          <w:rFonts w:ascii="仿宋_GB2312" w:eastAsia="仿宋_GB2312" w:hAnsi="仿宋_GB2312" w:cs="仿宋_GB2312"/>
          <w:color w:val="222222"/>
          <w:sz w:val="32"/>
          <w:szCs w:val="32"/>
        </w:rPr>
      </w:pPr>
      <w:r>
        <w:rPr>
          <w:rFonts w:ascii="仿宋_GB2312" w:eastAsia="仿宋_GB2312" w:hAnsi="仿宋_GB2312" w:cs="仿宋_GB2312"/>
          <w:color w:val="222222"/>
          <w:kern w:val="0"/>
          <w:sz w:val="32"/>
          <w:szCs w:val="32"/>
        </w:rPr>
        <w:t>3.2</w:t>
      </w:r>
      <w:r>
        <w:rPr>
          <w:rFonts w:ascii="仿宋_GB2312" w:eastAsia="仿宋_GB2312" w:hAnsi="仿宋_GB2312" w:cs="仿宋_GB2312" w:hint="eastAsia"/>
          <w:color w:val="222222"/>
          <w:kern w:val="0"/>
          <w:sz w:val="32"/>
          <w:szCs w:val="32"/>
        </w:rPr>
        <w:t>依托公共资源交易平台，对照法律法规，厘清交易主体与交易平台的界限，简化交易流程，取消现场报名限制和手续限制，理清“见证服务”职责。进一步梳理公共资源交易程序，严格按照招标准备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、发布招标公告、招标保证金缴纳、专家抽取、开标、等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个程序组织招标采购工作。</w:t>
      </w:r>
    </w:p>
    <w:p w:rsidR="005A010E" w:rsidRDefault="005A010E" w:rsidP="00DC7F53">
      <w:pPr>
        <w:ind w:firstLineChars="200" w:firstLine="31680"/>
        <w:rPr>
          <w:rFonts w:ascii="仿宋_GB2312" w:eastAsia="仿宋_GB2312" w:hAnsi="仿宋_GB2312" w:cs="仿宋_GB2312"/>
          <w:b/>
          <w:bCs/>
          <w:color w:val="222222"/>
          <w:sz w:val="32"/>
          <w:szCs w:val="32"/>
        </w:rPr>
      </w:pPr>
      <w:r>
        <w:rPr>
          <w:rFonts w:ascii="仿宋_GB2312" w:eastAsia="仿宋_GB2312" w:hAnsi="仿宋_GB2312" w:cs="仿宋_GB2312"/>
          <w:b/>
          <w:bCs/>
          <w:color w:val="222222"/>
          <w:sz w:val="32"/>
          <w:szCs w:val="32"/>
        </w:rPr>
        <w:t>4.</w:t>
      </w:r>
      <w:r>
        <w:rPr>
          <w:rFonts w:ascii="仿宋_GB2312" w:eastAsia="仿宋_GB2312" w:hAnsi="仿宋_GB2312" w:cs="仿宋_GB2312" w:hint="eastAsia"/>
          <w:b/>
          <w:bCs/>
          <w:color w:val="222222"/>
          <w:sz w:val="32"/>
          <w:szCs w:val="32"/>
        </w:rPr>
        <w:t>财政信息公开</w:t>
      </w:r>
    </w:p>
    <w:p w:rsidR="005A010E" w:rsidRDefault="005A010E" w:rsidP="00DC7F53">
      <w:pPr>
        <w:ind w:firstLineChars="200" w:firstLine="31680"/>
        <w:rPr>
          <w:rFonts w:ascii="仿宋_GB2312" w:eastAsia="仿宋_GB2312" w:hAnsi="仿宋_GB2312" w:cs="仿宋_GB2312"/>
          <w:color w:val="22222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按照全市统一要求，推进财政预决算、政府债务领域信息公开，加强财务人员管理与培训，建立财务信息更新监督机制，本年度在门户网站共发布财政信息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400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余条。</w:t>
      </w:r>
    </w:p>
    <w:p w:rsidR="005A010E" w:rsidRDefault="005A010E" w:rsidP="00DC7F53">
      <w:pPr>
        <w:ind w:firstLineChars="200" w:firstLine="31680"/>
        <w:rPr>
          <w:rFonts w:ascii="仿宋_GB2312" w:eastAsia="仿宋_GB2312" w:hAnsi="仿宋_GB2312" w:cs="仿宋_GB2312"/>
          <w:b/>
          <w:bCs/>
          <w:color w:val="222222"/>
          <w:sz w:val="32"/>
          <w:szCs w:val="32"/>
        </w:rPr>
      </w:pPr>
      <w:r>
        <w:rPr>
          <w:rFonts w:ascii="仿宋_GB2312" w:eastAsia="仿宋_GB2312" w:hAnsi="仿宋_GB2312" w:cs="仿宋_GB2312"/>
          <w:b/>
          <w:bCs/>
          <w:color w:val="222222"/>
          <w:sz w:val="32"/>
          <w:szCs w:val="32"/>
        </w:rPr>
        <w:t>5.</w:t>
      </w:r>
      <w:r>
        <w:rPr>
          <w:rFonts w:ascii="仿宋_GB2312" w:eastAsia="仿宋_GB2312" w:hAnsi="仿宋_GB2312" w:cs="仿宋_GB2312" w:hint="eastAsia"/>
          <w:b/>
          <w:bCs/>
          <w:color w:val="222222"/>
          <w:sz w:val="32"/>
          <w:szCs w:val="32"/>
        </w:rPr>
        <w:t>安全生产工作</w:t>
      </w:r>
    </w:p>
    <w:p w:rsidR="005A010E" w:rsidRDefault="005A010E" w:rsidP="00DC7F53">
      <w:pPr>
        <w:ind w:firstLineChars="200" w:firstLine="31680"/>
        <w:rPr>
          <w:rFonts w:ascii="仿宋_GB2312" w:eastAsia="仿宋_GB2312" w:hAnsi="仿宋_GB2312" w:cs="仿宋_GB2312"/>
          <w:color w:val="22222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本年度组织安全生产培训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次、培训人员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1600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余人次，免费为企业发放各类安全宣传挂图、书籍、资料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3000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余份，组织消防应急体验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200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余人次，网格化平台推送宣传材料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127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份，短信平台发送各类短信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102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条，通过各级网站发布安全生产工作动态和安全知识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85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条。</w:t>
      </w:r>
    </w:p>
    <w:p w:rsidR="005A010E" w:rsidRDefault="005A010E" w:rsidP="00DC7F53">
      <w:pPr>
        <w:ind w:firstLineChars="200" w:firstLine="31680"/>
        <w:rPr>
          <w:rFonts w:ascii="仿宋_GB2312" w:eastAsia="仿宋_GB2312" w:hAnsi="仿宋_GB2312" w:cs="仿宋_GB2312"/>
          <w:b/>
          <w:bCs/>
          <w:color w:val="222222"/>
          <w:sz w:val="32"/>
          <w:szCs w:val="32"/>
        </w:rPr>
      </w:pPr>
      <w:r>
        <w:rPr>
          <w:rFonts w:ascii="仿宋_GB2312" w:eastAsia="仿宋_GB2312" w:hAnsi="仿宋_GB2312" w:cs="仿宋_GB2312"/>
          <w:b/>
          <w:bCs/>
          <w:color w:val="222222"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b/>
          <w:bCs/>
          <w:color w:val="222222"/>
          <w:sz w:val="32"/>
          <w:szCs w:val="32"/>
        </w:rPr>
        <w:t>社会保障工作</w:t>
      </w:r>
    </w:p>
    <w:p w:rsidR="005A010E" w:rsidRDefault="005A010E">
      <w:pPr>
        <w:pStyle w:val="NormalWeb"/>
        <w:spacing w:before="0" w:beforeAutospacing="0" w:after="0" w:afterAutospacing="0"/>
        <w:ind w:firstLine="645"/>
        <w:rPr>
          <w:rFonts w:ascii="仿宋_GB2312" w:eastAsia="仿宋_GB2312" w:hAnsi="仿宋_GB2312" w:cs="仿宋_GB2312"/>
          <w:color w:val="22222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按照全市统一要求，积极抓好社保服务工作，建设综合信息化服务平台，提高服务效率和网办效率，配合做好整体联动服务。在青岛市一体化政府采购交易平台公布采购信息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46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条，在区政务网站发布政策宣传、服务电话公布等信息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18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条。</w:t>
      </w:r>
    </w:p>
    <w:p w:rsidR="005A010E" w:rsidRDefault="005A010E">
      <w:pPr>
        <w:pStyle w:val="NormalWeb"/>
        <w:spacing w:before="0" w:beforeAutospacing="0" w:after="0" w:afterAutospacing="0"/>
        <w:ind w:firstLine="645"/>
        <w:rPr>
          <w:rFonts w:ascii="楷体" w:eastAsia="楷体" w:hAnsi="楷体" w:cs="楷体"/>
          <w:b/>
          <w:bCs/>
          <w:color w:val="222222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color w:val="222222"/>
          <w:sz w:val="32"/>
          <w:szCs w:val="32"/>
        </w:rPr>
        <w:t>（二）依申请公开</w:t>
      </w:r>
    </w:p>
    <w:p w:rsidR="005A010E" w:rsidRDefault="005A010E">
      <w:pPr>
        <w:pStyle w:val="NormalWeb"/>
        <w:spacing w:before="0" w:beforeAutospacing="0" w:after="0" w:afterAutospacing="0"/>
        <w:ind w:firstLine="645"/>
        <w:rPr>
          <w:rFonts w:ascii="仿宋_GB2312" w:eastAsia="仿宋_GB2312" w:hAnsi="仿宋_GB2312" w:cs="仿宋_GB2312"/>
          <w:color w:val="22222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本年度收到政府信息公开申请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11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条，均在期限内答复，其中予以公开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3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条、属过程信息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条、属行政查询事项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条、不属于本机关信息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条。</w:t>
      </w:r>
    </w:p>
    <w:p w:rsidR="005A010E" w:rsidRDefault="005A010E">
      <w:pPr>
        <w:pStyle w:val="NormalWeb"/>
        <w:spacing w:before="0" w:beforeAutospacing="0" w:after="0" w:afterAutospacing="0"/>
        <w:ind w:firstLine="645"/>
        <w:rPr>
          <w:rFonts w:ascii="楷体" w:eastAsia="楷体" w:hAnsi="楷体" w:cs="楷体"/>
          <w:b/>
          <w:bCs/>
          <w:color w:val="222222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color w:val="222222"/>
          <w:sz w:val="32"/>
          <w:szCs w:val="32"/>
        </w:rPr>
        <w:t>（三）回应社会关切以及互动交流情况</w:t>
      </w:r>
    </w:p>
    <w:p w:rsidR="005A010E" w:rsidRDefault="005A010E" w:rsidP="00DC7F53">
      <w:pPr>
        <w:ind w:firstLineChars="200" w:firstLine="31680"/>
        <w:rPr>
          <w:rFonts w:ascii="仿宋_GB2312" w:eastAsia="仿宋_GB2312" w:hAnsi="仿宋_GB2312" w:cs="仿宋_GB2312"/>
          <w:color w:val="222222"/>
          <w:sz w:val="32"/>
          <w:szCs w:val="32"/>
        </w:rPr>
      </w:pPr>
      <w:r>
        <w:rPr>
          <w:rFonts w:ascii="仿宋_GB2312" w:eastAsia="仿宋_GB2312" w:hAnsi="仿宋_GB2312" w:cs="仿宋_GB2312"/>
          <w:color w:val="222222"/>
          <w:sz w:val="32"/>
          <w:szCs w:val="32"/>
        </w:rPr>
        <w:t>1.</w:t>
      </w:r>
      <w:r>
        <w:rPr>
          <w:rFonts w:ascii="仿宋_GB2312" w:eastAsia="仿宋_GB2312" w:hAnsi="仿宋_GB2312" w:cs="仿宋_GB2312"/>
          <w:sz w:val="32"/>
          <w:szCs w:val="32"/>
        </w:rPr>
        <w:t>2019</w:t>
      </w:r>
      <w:r>
        <w:rPr>
          <w:rFonts w:ascii="仿宋_GB2312" w:eastAsia="仿宋_GB2312" w:hAnsi="仿宋_GB2312" w:cs="仿宋_GB2312" w:hint="eastAsia"/>
          <w:sz w:val="32"/>
          <w:szCs w:val="32"/>
        </w:rPr>
        <w:t>年，共办理热线、政府信箱等转办单</w:t>
      </w:r>
      <w:r>
        <w:rPr>
          <w:rFonts w:ascii="仿宋_GB2312" w:eastAsia="仿宋_GB2312" w:hAnsi="仿宋_GB2312" w:cs="仿宋_GB2312"/>
          <w:sz w:val="32"/>
          <w:szCs w:val="32"/>
        </w:rPr>
        <w:t>2000</w:t>
      </w:r>
      <w:r>
        <w:rPr>
          <w:rFonts w:ascii="仿宋_GB2312" w:eastAsia="仿宋_GB2312" w:hAnsi="仿宋_GB2312" w:cs="仿宋_GB2312" w:hint="eastAsia"/>
          <w:sz w:val="32"/>
          <w:szCs w:val="32"/>
        </w:rPr>
        <w:t>余条，处理市热线办急件</w:t>
      </w:r>
      <w:r>
        <w:rPr>
          <w:rFonts w:ascii="仿宋_GB2312" w:eastAsia="仿宋_GB2312" w:hAnsi="仿宋_GB2312" w:cs="仿宋_GB2312"/>
          <w:sz w:val="32"/>
          <w:szCs w:val="32"/>
        </w:rPr>
        <w:t>30</w:t>
      </w:r>
      <w:r>
        <w:rPr>
          <w:rFonts w:ascii="仿宋_GB2312" w:eastAsia="仿宋_GB2312" w:hAnsi="仿宋_GB2312" w:cs="仿宋_GB2312" w:hint="eastAsia"/>
          <w:sz w:val="32"/>
          <w:szCs w:val="32"/>
        </w:rPr>
        <w:t>余件</w:t>
      </w:r>
      <w:r>
        <w:rPr>
          <w:rFonts w:ascii="仿宋_GB2312" w:eastAsia="仿宋_GB2312" w:hAnsi="仿宋_GB2312" w:cs="仿宋_GB2312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sz w:val="32"/>
          <w:szCs w:val="32"/>
        </w:rPr>
        <w:t>涉及大宗商品、市场监管、劳动保障、建设环保等方面。形成《政务热线工作情况简报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sz w:val="32"/>
          <w:szCs w:val="32"/>
        </w:rPr>
        <w:t>》</w:t>
      </w:r>
      <w:r>
        <w:rPr>
          <w:rFonts w:ascii="仿宋_GB2312" w:eastAsia="仿宋_GB2312" w:hAnsi="仿宋_GB2312" w:cs="仿宋_GB2312"/>
          <w:sz w:val="32"/>
          <w:szCs w:val="32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</w:rPr>
        <w:t>份，《政务热线办理有关情况分析》</w:t>
      </w:r>
      <w:r>
        <w:rPr>
          <w:rFonts w:ascii="仿宋_GB2312" w:eastAsia="仿宋_GB2312" w:hAnsi="仿宋_GB2312" w:cs="仿宋_GB2312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sz w:val="32"/>
          <w:szCs w:val="32"/>
        </w:rPr>
        <w:t>份，</w:t>
      </w:r>
      <w:r>
        <w:rPr>
          <w:rFonts w:ascii="仿宋" w:eastAsia="仿宋" w:hAnsi="仿宋" w:cs="仿宋" w:hint="eastAsia"/>
          <w:sz w:val="32"/>
          <w:szCs w:val="32"/>
        </w:rPr>
        <w:t>针对保税港区政务热线办理不满意情况进行专题分析，形成《青岛前湾保税港区政务热线办理不满意情况分析报告》，提出工作建议措施，不断提高工作质量。进一步完善《青岛保税港区政务热线办理规范》，提高热线办理工作质量。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 xml:space="preserve"> </w:t>
      </w:r>
    </w:p>
    <w:p w:rsidR="005A010E" w:rsidRDefault="005A010E" w:rsidP="00DC7F53">
      <w:pPr>
        <w:ind w:firstLineChars="200" w:firstLine="31680"/>
        <w:rPr>
          <w:rFonts w:ascii="仿宋_GB2312" w:eastAsia="仿宋_GB2312" w:hAnsi="仿宋_GB2312" w:cs="仿宋_GB2312"/>
          <w:color w:val="222222"/>
          <w:sz w:val="32"/>
          <w:szCs w:val="32"/>
        </w:rPr>
      </w:pPr>
      <w:r>
        <w:rPr>
          <w:rFonts w:ascii="仿宋_GB2312" w:eastAsia="仿宋_GB2312" w:hAnsi="仿宋_GB2312" w:cs="仿宋_GB2312"/>
          <w:color w:val="222222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按照全市部署要求，结合区域发展情况，选取群众关切的网络问政主题两个，回答问题数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40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个，问题通过率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100%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，回答率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100%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。</w:t>
      </w:r>
    </w:p>
    <w:p w:rsidR="005A010E" w:rsidRDefault="005A010E" w:rsidP="00DC7F53">
      <w:pPr>
        <w:pStyle w:val="NormalWeb"/>
        <w:spacing w:before="0" w:beforeAutospacing="0" w:after="0" w:afterAutospacing="0"/>
        <w:ind w:firstLineChars="250" w:firstLine="31680"/>
        <w:rPr>
          <w:rFonts w:ascii="仿宋_GB2312" w:eastAsia="仿宋_GB2312" w:hAnsi="仿宋_GB2312" w:cs="仿宋_GB2312"/>
          <w:color w:val="222222"/>
          <w:sz w:val="32"/>
          <w:szCs w:val="32"/>
        </w:rPr>
      </w:pPr>
      <w:r>
        <w:rPr>
          <w:rFonts w:ascii="仿宋_GB2312" w:eastAsia="仿宋_GB2312" w:hAnsi="仿宋_GB2312" w:cs="仿宋_GB2312"/>
          <w:color w:val="222222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本年度我区未发生重大政务舆情事件。</w:t>
      </w:r>
    </w:p>
    <w:p w:rsidR="005A010E" w:rsidRDefault="005A010E" w:rsidP="00DC7F53">
      <w:pPr>
        <w:pStyle w:val="NormalWeb"/>
        <w:spacing w:before="0" w:beforeAutospacing="0" w:after="0" w:afterAutospacing="0"/>
        <w:ind w:firstLineChars="200" w:firstLine="31680"/>
        <w:rPr>
          <w:rFonts w:ascii="楷体" w:eastAsia="楷体" w:hAnsi="楷体" w:cs="楷体"/>
          <w:b/>
          <w:bCs/>
          <w:color w:val="222222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color w:val="222222"/>
          <w:sz w:val="32"/>
          <w:szCs w:val="32"/>
        </w:rPr>
        <w:t>（四）平台建设</w:t>
      </w:r>
    </w:p>
    <w:p w:rsidR="005A010E" w:rsidRDefault="005A010E" w:rsidP="00DC7F53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color w:val="22222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按照全市政务信息系统整合共享的统一部署，管理我区政务新媒体并进行备案，对政务新媒体账号开设、变更、关停、注销等进行集中管理。</w:t>
      </w:r>
    </w:p>
    <w:p w:rsidR="005A010E" w:rsidRDefault="005A010E" w:rsidP="00DC7F53">
      <w:pPr>
        <w:ind w:firstLineChars="200" w:firstLine="3168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制定并发布《青岛前湾保税港区政务网站及政务新媒体信息发布管理办法》，严格账号密码的安全管理、建立监测预警和应急处置，加强信息发布管理。</w:t>
      </w:r>
    </w:p>
    <w:p w:rsidR="005A010E" w:rsidRDefault="005A010E" w:rsidP="00DC7F53">
      <w:pPr>
        <w:snapToGrid w:val="0"/>
        <w:spacing w:line="560" w:lineRule="exact"/>
        <w:ind w:firstLineChars="200" w:firstLine="31680"/>
        <w:jc w:val="lef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>二、主动公开政府信息情况</w:t>
      </w:r>
    </w:p>
    <w:p w:rsidR="005A010E" w:rsidRDefault="005A010E">
      <w:pPr>
        <w:snapToGrid w:val="0"/>
        <w:spacing w:line="220" w:lineRule="exact"/>
        <w:jc w:val="left"/>
        <w:rPr>
          <w:rFonts w:ascii="黑体" w:eastAsia="黑体" w:hAnsi="黑体"/>
          <w:color w:val="000000"/>
          <w:sz w:val="16"/>
          <w:szCs w:val="16"/>
        </w:rPr>
      </w:pPr>
    </w:p>
    <w:tbl>
      <w:tblPr>
        <w:tblW w:w="903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40"/>
        <w:gridCol w:w="2098"/>
        <w:gridCol w:w="2133"/>
        <w:gridCol w:w="2268"/>
      </w:tblGrid>
      <w:tr w:rsidR="005A010E" w:rsidRPr="00067F85">
        <w:trPr>
          <w:trHeight w:val="495"/>
          <w:jc w:val="center"/>
        </w:trPr>
        <w:tc>
          <w:tcPr>
            <w:tcW w:w="9039" w:type="dxa"/>
            <w:gridSpan w:val="4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第二十条第（一）项</w:t>
            </w:r>
          </w:p>
        </w:tc>
      </w:tr>
      <w:tr w:rsidR="005A010E" w:rsidRPr="00067F85">
        <w:trPr>
          <w:trHeight w:val="544"/>
          <w:jc w:val="center"/>
        </w:trPr>
        <w:tc>
          <w:tcPr>
            <w:tcW w:w="2540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本年新制作数量</w:t>
            </w:r>
          </w:p>
        </w:tc>
        <w:tc>
          <w:tcPr>
            <w:tcW w:w="2133" w:type="dxa"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本年新公开数量</w:t>
            </w:r>
          </w:p>
        </w:tc>
        <w:tc>
          <w:tcPr>
            <w:tcW w:w="2268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对外公开总数量</w:t>
            </w:r>
          </w:p>
        </w:tc>
      </w:tr>
      <w:tr w:rsidR="005A010E" w:rsidRPr="00067F85">
        <w:trPr>
          <w:trHeight w:val="523"/>
          <w:jc w:val="center"/>
        </w:trPr>
        <w:tc>
          <w:tcPr>
            <w:tcW w:w="2540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规章</w:t>
            </w:r>
          </w:p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（市政府令）</w:t>
            </w:r>
          </w:p>
        </w:tc>
        <w:tc>
          <w:tcPr>
            <w:tcW w:w="2098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0</w:t>
            </w:r>
          </w:p>
        </w:tc>
        <w:tc>
          <w:tcPr>
            <w:tcW w:w="2133" w:type="dxa"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0</w:t>
            </w:r>
          </w:p>
        </w:tc>
        <w:tc>
          <w:tcPr>
            <w:tcW w:w="2268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0</w:t>
            </w:r>
          </w:p>
        </w:tc>
      </w:tr>
      <w:tr w:rsidR="005A010E" w:rsidRPr="00067F85">
        <w:trPr>
          <w:trHeight w:val="471"/>
          <w:jc w:val="center"/>
        </w:trPr>
        <w:tc>
          <w:tcPr>
            <w:tcW w:w="2540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规范性文件</w:t>
            </w:r>
          </w:p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（有规范性文件登记号）</w:t>
            </w:r>
          </w:p>
        </w:tc>
        <w:tc>
          <w:tcPr>
            <w:tcW w:w="2098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0</w:t>
            </w:r>
          </w:p>
        </w:tc>
        <w:tc>
          <w:tcPr>
            <w:tcW w:w="2133" w:type="dxa"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0</w:t>
            </w:r>
          </w:p>
        </w:tc>
        <w:tc>
          <w:tcPr>
            <w:tcW w:w="2268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0</w:t>
            </w:r>
          </w:p>
        </w:tc>
      </w:tr>
      <w:tr w:rsidR="005A010E" w:rsidRPr="00067F85">
        <w:trPr>
          <w:trHeight w:val="480"/>
          <w:jc w:val="center"/>
        </w:trPr>
        <w:tc>
          <w:tcPr>
            <w:tcW w:w="9039" w:type="dxa"/>
            <w:gridSpan w:val="4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第二十条第（五）项</w:t>
            </w:r>
          </w:p>
        </w:tc>
      </w:tr>
      <w:tr w:rsidR="005A010E" w:rsidRPr="00067F85">
        <w:trPr>
          <w:trHeight w:val="545"/>
          <w:jc w:val="center"/>
        </w:trPr>
        <w:tc>
          <w:tcPr>
            <w:tcW w:w="2540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上一年项目数量</w:t>
            </w:r>
          </w:p>
        </w:tc>
        <w:tc>
          <w:tcPr>
            <w:tcW w:w="2133" w:type="dxa"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本年增</w:t>
            </w:r>
            <w:r w:rsidRPr="00067F85">
              <w:rPr>
                <w:rFonts w:ascii="黑体" w:eastAsia="黑体" w:hAnsi="黑体"/>
                <w:sz w:val="22"/>
              </w:rPr>
              <w:t>/</w:t>
            </w:r>
            <w:r w:rsidRPr="00067F85">
              <w:rPr>
                <w:rFonts w:ascii="黑体" w:eastAsia="黑体" w:hAnsi="黑体" w:hint="eastAsia"/>
                <w:sz w:val="22"/>
              </w:rPr>
              <w:t>减</w:t>
            </w:r>
          </w:p>
        </w:tc>
        <w:tc>
          <w:tcPr>
            <w:tcW w:w="2268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处理决定数量</w:t>
            </w:r>
          </w:p>
        </w:tc>
      </w:tr>
      <w:tr w:rsidR="005A010E" w:rsidRPr="00067F85">
        <w:trPr>
          <w:trHeight w:val="528"/>
          <w:jc w:val="center"/>
        </w:trPr>
        <w:tc>
          <w:tcPr>
            <w:tcW w:w="2540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行政许可</w:t>
            </w:r>
          </w:p>
        </w:tc>
        <w:tc>
          <w:tcPr>
            <w:tcW w:w="2098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5469</w:t>
            </w:r>
          </w:p>
        </w:tc>
        <w:tc>
          <w:tcPr>
            <w:tcW w:w="2133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/>
                <w:sz w:val="22"/>
              </w:rPr>
              <w:t>223</w:t>
            </w:r>
          </w:p>
        </w:tc>
        <w:tc>
          <w:tcPr>
            <w:tcW w:w="2268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5228</w:t>
            </w:r>
          </w:p>
        </w:tc>
      </w:tr>
      <w:tr w:rsidR="005A010E" w:rsidRPr="00067F85">
        <w:trPr>
          <w:trHeight w:val="550"/>
          <w:jc w:val="center"/>
        </w:trPr>
        <w:tc>
          <w:tcPr>
            <w:tcW w:w="2540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其他对外管理服务事项</w:t>
            </w:r>
          </w:p>
        </w:tc>
        <w:tc>
          <w:tcPr>
            <w:tcW w:w="2098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30</w:t>
            </w:r>
          </w:p>
        </w:tc>
        <w:tc>
          <w:tcPr>
            <w:tcW w:w="2133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0</w:t>
            </w:r>
          </w:p>
        </w:tc>
        <w:tc>
          <w:tcPr>
            <w:tcW w:w="2268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0</w:t>
            </w:r>
          </w:p>
        </w:tc>
      </w:tr>
      <w:tr w:rsidR="005A010E" w:rsidRPr="00067F85">
        <w:trPr>
          <w:trHeight w:val="406"/>
          <w:jc w:val="center"/>
        </w:trPr>
        <w:tc>
          <w:tcPr>
            <w:tcW w:w="9039" w:type="dxa"/>
            <w:gridSpan w:val="4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第二十条第（六）项</w:t>
            </w:r>
          </w:p>
        </w:tc>
      </w:tr>
      <w:tr w:rsidR="005A010E" w:rsidRPr="00067F85">
        <w:trPr>
          <w:trHeight w:val="531"/>
          <w:jc w:val="center"/>
        </w:trPr>
        <w:tc>
          <w:tcPr>
            <w:tcW w:w="2540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上一年项目数量</w:t>
            </w:r>
          </w:p>
        </w:tc>
        <w:tc>
          <w:tcPr>
            <w:tcW w:w="2133" w:type="dxa"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本年增</w:t>
            </w:r>
            <w:r w:rsidRPr="00067F85">
              <w:rPr>
                <w:rFonts w:ascii="黑体" w:eastAsia="黑体" w:hAnsi="黑体"/>
                <w:sz w:val="22"/>
              </w:rPr>
              <w:t>/</w:t>
            </w:r>
            <w:r w:rsidRPr="00067F85">
              <w:rPr>
                <w:rFonts w:ascii="黑体" w:eastAsia="黑体" w:hAnsi="黑体" w:hint="eastAsia"/>
                <w:sz w:val="22"/>
              </w:rPr>
              <w:t>减</w:t>
            </w:r>
          </w:p>
        </w:tc>
        <w:tc>
          <w:tcPr>
            <w:tcW w:w="2268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处理决定数量</w:t>
            </w:r>
          </w:p>
        </w:tc>
      </w:tr>
      <w:tr w:rsidR="005A010E" w:rsidRPr="00067F85">
        <w:trPr>
          <w:trHeight w:val="430"/>
          <w:jc w:val="center"/>
        </w:trPr>
        <w:tc>
          <w:tcPr>
            <w:tcW w:w="2540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行政处罚</w:t>
            </w:r>
          </w:p>
        </w:tc>
        <w:tc>
          <w:tcPr>
            <w:tcW w:w="2098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36</w:t>
            </w:r>
          </w:p>
        </w:tc>
        <w:tc>
          <w:tcPr>
            <w:tcW w:w="2133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>
              <w:rPr>
                <w:rFonts w:ascii="黑体" w:eastAsia="黑体" w:hAnsi="黑体"/>
                <w:sz w:val="22"/>
              </w:rPr>
              <w:t>5</w:t>
            </w:r>
          </w:p>
        </w:tc>
        <w:tc>
          <w:tcPr>
            <w:tcW w:w="2268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17</w:t>
            </w:r>
          </w:p>
        </w:tc>
      </w:tr>
      <w:tr w:rsidR="005A010E" w:rsidRPr="00067F85">
        <w:trPr>
          <w:trHeight w:val="409"/>
          <w:jc w:val="center"/>
        </w:trPr>
        <w:tc>
          <w:tcPr>
            <w:tcW w:w="2540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行政强制</w:t>
            </w:r>
          </w:p>
        </w:tc>
        <w:tc>
          <w:tcPr>
            <w:tcW w:w="2098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1</w:t>
            </w:r>
          </w:p>
        </w:tc>
        <w:tc>
          <w:tcPr>
            <w:tcW w:w="2133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0</w:t>
            </w:r>
          </w:p>
        </w:tc>
        <w:tc>
          <w:tcPr>
            <w:tcW w:w="2268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0</w:t>
            </w:r>
          </w:p>
        </w:tc>
      </w:tr>
      <w:tr w:rsidR="005A010E" w:rsidRPr="00067F85">
        <w:trPr>
          <w:trHeight w:val="474"/>
          <w:jc w:val="center"/>
        </w:trPr>
        <w:tc>
          <w:tcPr>
            <w:tcW w:w="9039" w:type="dxa"/>
            <w:gridSpan w:val="4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第二十条第（八）项</w:t>
            </w:r>
          </w:p>
        </w:tc>
      </w:tr>
      <w:tr w:rsidR="005A010E" w:rsidRPr="00067F85">
        <w:trPr>
          <w:trHeight w:val="270"/>
          <w:jc w:val="center"/>
        </w:trPr>
        <w:tc>
          <w:tcPr>
            <w:tcW w:w="2540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上一年项目数量</w:t>
            </w:r>
          </w:p>
        </w:tc>
        <w:tc>
          <w:tcPr>
            <w:tcW w:w="4401" w:type="dxa"/>
            <w:gridSpan w:val="2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本年增</w:t>
            </w:r>
            <w:r w:rsidRPr="00067F85">
              <w:rPr>
                <w:rFonts w:ascii="黑体" w:eastAsia="黑体" w:hAnsi="黑体"/>
                <w:sz w:val="22"/>
              </w:rPr>
              <w:t>/</w:t>
            </w:r>
            <w:r w:rsidRPr="00067F85">
              <w:rPr>
                <w:rFonts w:ascii="黑体" w:eastAsia="黑体" w:hAnsi="黑体" w:hint="eastAsia"/>
                <w:sz w:val="22"/>
              </w:rPr>
              <w:t>减</w:t>
            </w:r>
          </w:p>
        </w:tc>
      </w:tr>
      <w:tr w:rsidR="005A010E" w:rsidRPr="00067F85">
        <w:trPr>
          <w:trHeight w:val="551"/>
          <w:jc w:val="center"/>
        </w:trPr>
        <w:tc>
          <w:tcPr>
            <w:tcW w:w="2540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行政事业性收费</w:t>
            </w:r>
          </w:p>
        </w:tc>
        <w:tc>
          <w:tcPr>
            <w:tcW w:w="2098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0</w:t>
            </w:r>
          </w:p>
        </w:tc>
        <w:tc>
          <w:tcPr>
            <w:tcW w:w="4401" w:type="dxa"/>
            <w:gridSpan w:val="2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0</w:t>
            </w:r>
          </w:p>
        </w:tc>
      </w:tr>
      <w:tr w:rsidR="005A010E" w:rsidRPr="00067F85">
        <w:trPr>
          <w:trHeight w:val="476"/>
          <w:jc w:val="center"/>
        </w:trPr>
        <w:tc>
          <w:tcPr>
            <w:tcW w:w="9039" w:type="dxa"/>
            <w:gridSpan w:val="4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第二十条第（九）项</w:t>
            </w:r>
          </w:p>
        </w:tc>
      </w:tr>
      <w:tr w:rsidR="005A010E" w:rsidRPr="00067F85">
        <w:trPr>
          <w:trHeight w:val="585"/>
          <w:jc w:val="center"/>
        </w:trPr>
        <w:tc>
          <w:tcPr>
            <w:tcW w:w="2540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信息内容</w:t>
            </w:r>
          </w:p>
        </w:tc>
        <w:tc>
          <w:tcPr>
            <w:tcW w:w="2098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采购项目数量</w:t>
            </w:r>
          </w:p>
        </w:tc>
        <w:tc>
          <w:tcPr>
            <w:tcW w:w="4401" w:type="dxa"/>
            <w:gridSpan w:val="2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采购总金额</w:t>
            </w:r>
            <w:r>
              <w:rPr>
                <w:rFonts w:ascii="黑体" w:eastAsia="黑体" w:hAnsi="黑体" w:hint="eastAsia"/>
                <w:sz w:val="22"/>
              </w:rPr>
              <w:t>（万元）</w:t>
            </w:r>
          </w:p>
        </w:tc>
      </w:tr>
      <w:tr w:rsidR="005A010E" w:rsidRPr="00067F85">
        <w:trPr>
          <w:trHeight w:val="539"/>
          <w:jc w:val="center"/>
        </w:trPr>
        <w:tc>
          <w:tcPr>
            <w:tcW w:w="2540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政府集中采购</w:t>
            </w:r>
          </w:p>
        </w:tc>
        <w:tc>
          <w:tcPr>
            <w:tcW w:w="2098" w:type="dxa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597</w:t>
            </w:r>
          </w:p>
        </w:tc>
        <w:tc>
          <w:tcPr>
            <w:tcW w:w="4401" w:type="dxa"/>
            <w:gridSpan w:val="2"/>
            <w:noWrap/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1098.26</w:t>
            </w:r>
          </w:p>
        </w:tc>
      </w:tr>
    </w:tbl>
    <w:p w:rsidR="005A010E" w:rsidRDefault="005A010E">
      <w:pPr>
        <w:snapToGrid w:val="0"/>
        <w:spacing w:line="560" w:lineRule="exact"/>
        <w:jc w:val="lef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 w:hint="eastAsia"/>
          <w:color w:val="000000"/>
          <w:sz w:val="32"/>
          <w:szCs w:val="32"/>
        </w:rPr>
        <w:t xml:space="preserve">　　三、收到和处理政府信息公开申请情况</w:t>
      </w:r>
    </w:p>
    <w:p w:rsidR="005A010E" w:rsidRDefault="005A010E">
      <w:pPr>
        <w:snapToGrid w:val="0"/>
        <w:spacing w:line="220" w:lineRule="exact"/>
        <w:jc w:val="left"/>
        <w:rPr>
          <w:rFonts w:ascii="黑体" w:eastAsia="黑体" w:hAnsi="黑体"/>
          <w:color w:val="000000"/>
          <w:sz w:val="32"/>
          <w:szCs w:val="32"/>
        </w:rPr>
      </w:pP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656"/>
        <w:gridCol w:w="876"/>
        <w:gridCol w:w="2060"/>
        <w:gridCol w:w="809"/>
        <w:gridCol w:w="750"/>
        <w:gridCol w:w="750"/>
        <w:gridCol w:w="807"/>
        <w:gridCol w:w="964"/>
        <w:gridCol w:w="707"/>
        <w:gridCol w:w="692"/>
      </w:tblGrid>
      <w:tr w:rsidR="005A010E" w:rsidRPr="00067F85">
        <w:trPr>
          <w:jc w:val="center"/>
        </w:trPr>
        <w:tc>
          <w:tcPr>
            <w:tcW w:w="359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（本列数据的勾稽关系为：第一项加第二项之和，等于第三项加第四项之和）</w:t>
            </w:r>
          </w:p>
        </w:tc>
        <w:tc>
          <w:tcPr>
            <w:tcW w:w="547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申请人情况</w:t>
            </w:r>
          </w:p>
        </w:tc>
      </w:tr>
      <w:tr w:rsidR="005A010E" w:rsidRPr="00067F85">
        <w:trPr>
          <w:jc w:val="center"/>
        </w:trPr>
        <w:tc>
          <w:tcPr>
            <w:tcW w:w="359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0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自然人</w:t>
            </w:r>
          </w:p>
        </w:tc>
        <w:tc>
          <w:tcPr>
            <w:tcW w:w="397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法人或其他组织</w:t>
            </w:r>
          </w:p>
        </w:tc>
        <w:tc>
          <w:tcPr>
            <w:tcW w:w="6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总计</w:t>
            </w:r>
          </w:p>
        </w:tc>
      </w:tr>
      <w:tr w:rsidR="005A010E" w:rsidRPr="00067F85">
        <w:trPr>
          <w:jc w:val="center"/>
        </w:trPr>
        <w:tc>
          <w:tcPr>
            <w:tcW w:w="359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09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科研机构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社会公益组织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法律服务机构</w:t>
            </w:r>
          </w:p>
        </w:tc>
        <w:tc>
          <w:tcPr>
            <w:tcW w:w="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其他</w:t>
            </w:r>
          </w:p>
        </w:tc>
        <w:tc>
          <w:tcPr>
            <w:tcW w:w="69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</w:tr>
      <w:tr w:rsidR="005A010E" w:rsidRPr="00067F85">
        <w:trPr>
          <w:jc w:val="center"/>
        </w:trPr>
        <w:tc>
          <w:tcPr>
            <w:tcW w:w="359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一、本年新收政府信息公开申请数量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11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0 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11</w:t>
            </w:r>
          </w:p>
        </w:tc>
      </w:tr>
      <w:tr w:rsidR="005A010E" w:rsidRPr="00067F85">
        <w:trPr>
          <w:jc w:val="center"/>
        </w:trPr>
        <w:tc>
          <w:tcPr>
            <w:tcW w:w="359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二、上年结转政府信息公开申请数量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</w:t>
            </w:r>
          </w:p>
        </w:tc>
      </w:tr>
      <w:tr w:rsidR="005A010E" w:rsidRPr="00067F85">
        <w:trPr>
          <w:jc w:val="center"/>
        </w:trPr>
        <w:tc>
          <w:tcPr>
            <w:tcW w:w="65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三、本年度办理结果</w:t>
            </w: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（一）予以公开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0 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3</w:t>
            </w:r>
          </w:p>
        </w:tc>
      </w:tr>
      <w:tr w:rsidR="005A010E" w:rsidRPr="00067F85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（二）部分公开（区分处理的，只计这一情形，不计其他情形）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</w:tr>
      <w:tr w:rsidR="005A010E" w:rsidRPr="00067F85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（三）不予公开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1.</w:t>
            </w:r>
            <w:r w:rsidRPr="00067F85">
              <w:rPr>
                <w:rFonts w:ascii="黑体" w:eastAsia="黑体" w:hAnsi="黑体" w:hint="eastAsia"/>
                <w:sz w:val="22"/>
              </w:rPr>
              <w:t>属于国家秘密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</w:tr>
      <w:tr w:rsidR="005A010E" w:rsidRPr="00067F85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2.</w:t>
            </w:r>
            <w:r w:rsidRPr="00067F85">
              <w:rPr>
                <w:rFonts w:ascii="黑体" w:eastAsia="黑体" w:hAnsi="黑体" w:hint="eastAsia"/>
                <w:sz w:val="22"/>
              </w:rPr>
              <w:t>其他法律行政法规禁止公开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</w:tr>
      <w:tr w:rsidR="005A010E" w:rsidRPr="00067F85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3.</w:t>
            </w:r>
            <w:r w:rsidRPr="00067F85">
              <w:rPr>
                <w:rFonts w:ascii="黑体" w:eastAsia="黑体" w:hAnsi="黑体" w:hint="eastAsia"/>
                <w:sz w:val="22"/>
              </w:rPr>
              <w:t>危及“三安全一稳定”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</w:tr>
      <w:tr w:rsidR="005A010E" w:rsidRPr="00067F85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4.</w:t>
            </w:r>
            <w:r w:rsidRPr="00067F85">
              <w:rPr>
                <w:rFonts w:ascii="黑体" w:eastAsia="黑体" w:hAnsi="黑体" w:hint="eastAsia"/>
                <w:sz w:val="22"/>
              </w:rPr>
              <w:t>保护第三方合法权益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</w:tr>
      <w:tr w:rsidR="005A010E" w:rsidRPr="00067F85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5.</w:t>
            </w:r>
            <w:r w:rsidRPr="00067F85">
              <w:rPr>
                <w:rFonts w:ascii="黑体" w:eastAsia="黑体" w:hAnsi="黑体" w:hint="eastAsia"/>
                <w:sz w:val="22"/>
              </w:rPr>
              <w:t>属于三类内部事务信息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</w:tr>
      <w:tr w:rsidR="005A010E" w:rsidRPr="00067F85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6.</w:t>
            </w:r>
            <w:r w:rsidRPr="00067F85">
              <w:rPr>
                <w:rFonts w:ascii="黑体" w:eastAsia="黑体" w:hAnsi="黑体" w:hint="eastAsia"/>
                <w:sz w:val="22"/>
              </w:rPr>
              <w:t>属于四类过程性信息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1</w:t>
            </w:r>
          </w:p>
        </w:tc>
      </w:tr>
      <w:tr w:rsidR="005A010E" w:rsidRPr="00067F85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7.</w:t>
            </w:r>
            <w:r w:rsidRPr="00067F85">
              <w:rPr>
                <w:rFonts w:ascii="黑体" w:eastAsia="黑体" w:hAnsi="黑体" w:hint="eastAsia"/>
                <w:sz w:val="22"/>
              </w:rPr>
              <w:t>属于行政执法案卷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</w:tr>
      <w:tr w:rsidR="005A010E" w:rsidRPr="00067F85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8.</w:t>
            </w:r>
            <w:r w:rsidRPr="00067F85">
              <w:rPr>
                <w:rFonts w:ascii="黑体" w:eastAsia="黑体" w:hAnsi="黑体" w:hint="eastAsia"/>
                <w:sz w:val="22"/>
              </w:rPr>
              <w:t>属于行政查询事项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1</w:t>
            </w:r>
          </w:p>
        </w:tc>
      </w:tr>
      <w:tr w:rsidR="005A010E" w:rsidRPr="00067F85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（四）无法提供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1.</w:t>
            </w:r>
            <w:r w:rsidRPr="00067F85">
              <w:rPr>
                <w:rFonts w:ascii="黑体" w:eastAsia="黑体" w:hAnsi="黑体" w:hint="eastAsia"/>
                <w:sz w:val="22"/>
              </w:rPr>
              <w:t>本机关不掌握相关政府信息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6</w:t>
            </w:r>
          </w:p>
        </w:tc>
      </w:tr>
      <w:tr w:rsidR="005A010E" w:rsidRPr="00067F85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2.</w:t>
            </w:r>
            <w:r w:rsidRPr="00067F85">
              <w:rPr>
                <w:rFonts w:ascii="黑体" w:eastAsia="黑体" w:hAnsi="黑体" w:hint="eastAsia"/>
                <w:sz w:val="22"/>
              </w:rPr>
              <w:t>没有现成信息需要另行制作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</w:tr>
      <w:tr w:rsidR="005A010E" w:rsidRPr="00067F85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3.</w:t>
            </w:r>
            <w:r w:rsidRPr="00067F85">
              <w:rPr>
                <w:rFonts w:ascii="黑体" w:eastAsia="黑体" w:hAnsi="黑体" w:hint="eastAsia"/>
                <w:sz w:val="22"/>
              </w:rPr>
              <w:t>补正后申请内容仍不明确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</w:tr>
      <w:tr w:rsidR="005A010E" w:rsidRPr="00067F85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（五）不予处理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1.</w:t>
            </w:r>
            <w:r w:rsidRPr="00067F85">
              <w:rPr>
                <w:rFonts w:ascii="黑体" w:eastAsia="黑体" w:hAnsi="黑体" w:hint="eastAsia"/>
                <w:sz w:val="22"/>
              </w:rPr>
              <w:t>信访举报投诉类申请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</w:tr>
      <w:tr w:rsidR="005A010E" w:rsidRPr="00067F85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2.</w:t>
            </w:r>
            <w:r w:rsidRPr="00067F85">
              <w:rPr>
                <w:rFonts w:ascii="黑体" w:eastAsia="黑体" w:hAnsi="黑体" w:hint="eastAsia"/>
                <w:sz w:val="22"/>
              </w:rPr>
              <w:t>重复申请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</w:tr>
      <w:tr w:rsidR="005A010E" w:rsidRPr="00067F85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3.</w:t>
            </w:r>
            <w:r w:rsidRPr="00067F85">
              <w:rPr>
                <w:rFonts w:ascii="黑体" w:eastAsia="黑体" w:hAnsi="黑体" w:hint="eastAsia"/>
                <w:sz w:val="22"/>
              </w:rPr>
              <w:t>要求提供公开出版物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</w:tr>
      <w:tr w:rsidR="005A010E" w:rsidRPr="00067F85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4.</w:t>
            </w:r>
            <w:r w:rsidRPr="00067F85">
              <w:rPr>
                <w:rFonts w:ascii="黑体" w:eastAsia="黑体" w:hAnsi="黑体" w:hint="eastAsia"/>
                <w:sz w:val="22"/>
              </w:rPr>
              <w:t>无正当理由大量反复申请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</w:tr>
      <w:tr w:rsidR="005A010E" w:rsidRPr="00067F85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87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5.</w:t>
            </w:r>
            <w:r w:rsidRPr="00067F85">
              <w:rPr>
                <w:rFonts w:ascii="黑体" w:eastAsia="黑体" w:hAnsi="黑体" w:hint="eastAsia"/>
                <w:sz w:val="22"/>
              </w:rPr>
              <w:t>要求行政机关确认或重新出具已获取信息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</w:tr>
      <w:tr w:rsidR="005A010E" w:rsidRPr="00067F85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（六）其他处理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</w:tr>
      <w:tr w:rsidR="005A010E" w:rsidRPr="00067F85">
        <w:trPr>
          <w:jc w:val="center"/>
        </w:trPr>
        <w:tc>
          <w:tcPr>
            <w:tcW w:w="65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2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（七）总计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11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11</w:t>
            </w:r>
          </w:p>
        </w:tc>
      </w:tr>
      <w:tr w:rsidR="005A010E" w:rsidRPr="00067F85">
        <w:trPr>
          <w:jc w:val="center"/>
        </w:trPr>
        <w:tc>
          <w:tcPr>
            <w:tcW w:w="359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四、结转下年度继续办理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</w:tr>
    </w:tbl>
    <w:p w:rsidR="005A010E" w:rsidRDefault="005A010E">
      <w:pPr>
        <w:snapToGrid w:val="0"/>
        <w:spacing w:line="420" w:lineRule="exact"/>
        <w:jc w:val="left"/>
        <w:rPr>
          <w:rFonts w:ascii="仿宋_GB2312" w:eastAsia="仿宋_GB2312" w:hAnsi="宋体" w:cs="宋体"/>
          <w:color w:val="333333"/>
          <w:kern w:val="0"/>
          <w:sz w:val="22"/>
          <w:shd w:val="clear" w:color="auto" w:fill="FFFFFF"/>
        </w:rPr>
      </w:pPr>
      <w:r>
        <w:rPr>
          <w:rFonts w:ascii="仿宋_GB2312" w:eastAsia="仿宋_GB2312" w:hAnsi="宋体" w:cs="宋体" w:hint="eastAsia"/>
          <w:color w:val="333333"/>
          <w:kern w:val="0"/>
          <w:sz w:val="22"/>
          <w:shd w:val="clear" w:color="auto" w:fill="FFFFFF"/>
        </w:rPr>
        <w:t xml:space="preserve">　　注：“其他处理”项目，主要是考虑新旧条例执行衔接以及极少数特殊情况。原则上，所有的政府信息公开申请，都应当按照法定的处理方式做出处理。</w:t>
      </w:r>
    </w:p>
    <w:p w:rsidR="005A010E" w:rsidRDefault="005A010E">
      <w:pPr>
        <w:snapToGrid w:val="0"/>
        <w:spacing w:line="560" w:lineRule="exact"/>
        <w:jc w:val="left"/>
        <w:rPr>
          <w:rFonts w:ascii="黑体" w:eastAsia="黑体" w:hAnsi="黑体"/>
          <w:color w:val="000000"/>
          <w:sz w:val="32"/>
          <w:szCs w:val="32"/>
        </w:rPr>
      </w:pPr>
      <w:r>
        <w:rPr>
          <w:rFonts w:ascii="黑体" w:eastAsia="黑体" w:hAnsi="黑体"/>
          <w:color w:val="000000"/>
          <w:sz w:val="32"/>
          <w:szCs w:val="32"/>
        </w:rPr>
        <w:t xml:space="preserve">    </w:t>
      </w:r>
      <w:r>
        <w:rPr>
          <w:rFonts w:ascii="黑体" w:eastAsia="黑体" w:hAnsi="黑体" w:hint="eastAsia"/>
          <w:color w:val="000000"/>
          <w:sz w:val="32"/>
          <w:szCs w:val="32"/>
        </w:rPr>
        <w:t>四、政府信息公开行政复议、行政诉讼情况</w:t>
      </w:r>
    </w:p>
    <w:p w:rsidR="005A010E" w:rsidRDefault="005A010E">
      <w:pPr>
        <w:snapToGrid w:val="0"/>
        <w:spacing w:line="220" w:lineRule="exact"/>
        <w:jc w:val="left"/>
        <w:rPr>
          <w:rFonts w:ascii="黑体" w:eastAsia="黑体" w:hAnsi="黑体"/>
          <w:color w:val="000000"/>
          <w:sz w:val="32"/>
          <w:szCs w:val="32"/>
        </w:rPr>
      </w:pPr>
    </w:p>
    <w:tbl>
      <w:tblPr>
        <w:tblW w:w="9071" w:type="dxa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5A010E" w:rsidRPr="00067F85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行政诉讼</w:t>
            </w:r>
          </w:p>
        </w:tc>
      </w:tr>
      <w:tr w:rsidR="005A010E" w:rsidRPr="00067F85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复议后起诉</w:t>
            </w:r>
          </w:p>
        </w:tc>
      </w:tr>
      <w:tr w:rsidR="005A010E" w:rsidRPr="00067F85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jc w:val="center"/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 w:hint="eastAsia"/>
                <w:sz w:val="22"/>
              </w:rPr>
              <w:t>总计</w:t>
            </w:r>
          </w:p>
        </w:tc>
      </w:tr>
      <w:tr w:rsidR="005A010E" w:rsidRPr="00067F85">
        <w:trPr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eastAsia="黑体"/>
                <w:sz w:val="22"/>
              </w:rPr>
              <w:t> 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  <w:vAlign w:val="center"/>
          </w:tcPr>
          <w:p w:rsidR="005A010E" w:rsidRPr="00067F85" w:rsidRDefault="005A010E">
            <w:pPr>
              <w:rPr>
                <w:rFonts w:ascii="黑体" w:eastAsia="黑体" w:hAnsi="黑体"/>
                <w:sz w:val="22"/>
              </w:rPr>
            </w:pPr>
            <w:r w:rsidRPr="00067F85">
              <w:rPr>
                <w:rFonts w:ascii="黑体" w:eastAsia="黑体" w:hAnsi="黑体"/>
                <w:sz w:val="22"/>
              </w:rPr>
              <w:t>0</w:t>
            </w:r>
          </w:p>
        </w:tc>
      </w:tr>
    </w:tbl>
    <w:p w:rsidR="005A010E" w:rsidRDefault="005A010E">
      <w:pPr>
        <w:pStyle w:val="NormalWeb"/>
        <w:shd w:val="clear" w:color="auto" w:fill="FFFFFF"/>
        <w:spacing w:beforeAutospacing="0" w:afterAutospacing="0"/>
        <w:jc w:val="both"/>
        <w:rPr>
          <w:rFonts w:ascii="仿宋_GB2312" w:eastAsia="仿宋_GB2312"/>
          <w:color w:val="333333"/>
          <w:sz w:val="22"/>
          <w:szCs w:val="22"/>
          <w:shd w:val="clear" w:color="auto" w:fill="FFFFFF"/>
        </w:rPr>
      </w:pPr>
      <w:r>
        <w:rPr>
          <w:rFonts w:ascii="仿宋_GB2312" w:eastAsia="仿宋_GB2312"/>
          <w:color w:val="333333"/>
          <w:kern w:val="2"/>
          <w:sz w:val="20"/>
          <w:szCs w:val="20"/>
        </w:rPr>
        <w:t xml:space="preserve">    </w:t>
      </w:r>
      <w:r>
        <w:rPr>
          <w:rFonts w:ascii="仿宋_GB2312" w:eastAsia="仿宋_GB2312" w:hint="eastAsia"/>
          <w:color w:val="333333"/>
          <w:sz w:val="22"/>
          <w:szCs w:val="22"/>
          <w:shd w:val="clear" w:color="auto" w:fill="FFFFFF"/>
        </w:rPr>
        <w:t>注：行政复议机关作为共同被告的行政诉讼案件，只计算原行为主体的案件数量，不计算行政复议机关的案件数量。</w:t>
      </w:r>
    </w:p>
    <w:p w:rsidR="005A010E" w:rsidRDefault="005A010E">
      <w:pPr>
        <w:pStyle w:val="NormalWeb"/>
        <w:spacing w:before="0" w:beforeAutospacing="0" w:after="0" w:afterAutospacing="0"/>
        <w:ind w:firstLine="645"/>
        <w:rPr>
          <w:rFonts w:ascii="黑体" w:eastAsia="黑体" w:hAnsi="黑体" w:cs="仿宋_GB2312"/>
          <w:color w:val="222222"/>
          <w:sz w:val="32"/>
          <w:szCs w:val="32"/>
        </w:rPr>
      </w:pPr>
      <w:r>
        <w:rPr>
          <w:rFonts w:ascii="黑体" w:eastAsia="黑体" w:hAnsi="黑体" w:cs="仿宋_GB2312" w:hint="eastAsia"/>
          <w:color w:val="222222"/>
          <w:sz w:val="32"/>
          <w:szCs w:val="32"/>
        </w:rPr>
        <w:t>五、工作存在的主要问题和改进措施</w:t>
      </w:r>
    </w:p>
    <w:p w:rsidR="005A010E" w:rsidRDefault="005A010E">
      <w:pPr>
        <w:pStyle w:val="NormalWeb"/>
        <w:spacing w:before="0" w:beforeAutospacing="0" w:after="0" w:afterAutospacing="0"/>
        <w:ind w:firstLine="645"/>
        <w:rPr>
          <w:rFonts w:ascii="楷体" w:eastAsia="楷体" w:hAnsi="楷体" w:cs="楷体"/>
          <w:b/>
          <w:bCs/>
          <w:color w:val="222222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color w:val="222222"/>
          <w:sz w:val="32"/>
          <w:szCs w:val="32"/>
        </w:rPr>
        <w:t>（一）存在问题</w:t>
      </w:r>
    </w:p>
    <w:p w:rsidR="005A010E" w:rsidRDefault="005A010E">
      <w:pPr>
        <w:pStyle w:val="NormalWeb"/>
        <w:spacing w:before="0" w:beforeAutospacing="0" w:after="0" w:afterAutospacing="0"/>
        <w:ind w:firstLine="645"/>
        <w:rPr>
          <w:rFonts w:ascii="仿宋_GB2312" w:eastAsia="仿宋_GB2312" w:hAnsi="黑体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一是政策解读方面做得还不够全面</w:t>
      </w:r>
      <w:r>
        <w:rPr>
          <w:rFonts w:ascii="仿宋_GB2312" w:eastAsia="仿宋_GB2312" w:hAnsi="仿宋_GB2312" w:cs="仿宋_GB2312"/>
          <w:color w:val="222222"/>
          <w:sz w:val="32"/>
          <w:szCs w:val="32"/>
        </w:rPr>
        <w:t>,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个别部门缺乏主动解读政策意识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。二是人员业务水平有待提高，因各部门工作人员都是兼职，工作任务重，人员调动多，</w:t>
      </w:r>
      <w:r>
        <w:rPr>
          <w:rFonts w:ascii="仿宋_GB2312" w:eastAsia="仿宋_GB2312" w:hAnsi="仿宋_GB2312" w:cs="仿宋_GB2312" w:hint="eastAsia"/>
          <w:color w:val="222222"/>
          <w:sz w:val="32"/>
          <w:szCs w:val="32"/>
        </w:rPr>
        <w:t>部分信息公开不够及</w:t>
      </w:r>
      <w:r>
        <w:rPr>
          <w:rFonts w:ascii="仿宋_GB2312" w:eastAsia="仿宋_GB2312" w:hAnsi="黑体" w:hint="eastAsia"/>
          <w:color w:val="000000"/>
          <w:sz w:val="32"/>
          <w:szCs w:val="32"/>
        </w:rPr>
        <w:t>时，工作缺乏连贯性。</w:t>
      </w:r>
    </w:p>
    <w:p w:rsidR="005A010E" w:rsidRDefault="005A010E">
      <w:pPr>
        <w:pStyle w:val="NormalWeb"/>
        <w:spacing w:before="0" w:beforeAutospacing="0" w:after="0" w:afterAutospacing="0"/>
        <w:ind w:firstLine="645"/>
        <w:rPr>
          <w:rFonts w:ascii="楷体" w:eastAsia="楷体" w:hAnsi="楷体" w:cs="楷体"/>
          <w:b/>
          <w:bCs/>
          <w:color w:val="222222"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color w:val="222222"/>
          <w:sz w:val="32"/>
          <w:szCs w:val="32"/>
        </w:rPr>
        <w:t>（二）改进措施</w:t>
      </w:r>
    </w:p>
    <w:p w:rsidR="005A010E" w:rsidRDefault="005A010E" w:rsidP="00DC7F53">
      <w:pPr>
        <w:pStyle w:val="NormalWeb"/>
        <w:spacing w:before="0" w:beforeAutospacing="0" w:after="0" w:afterAutospacing="0"/>
        <w:ind w:firstLineChars="200" w:firstLine="31680"/>
        <w:rPr>
          <w:rFonts w:ascii="仿宋_GB2312" w:eastAsia="仿宋_GB2312" w:hAnsi="黑体"/>
          <w:color w:val="000000"/>
          <w:sz w:val="32"/>
          <w:szCs w:val="32"/>
        </w:rPr>
      </w:pPr>
      <w:r>
        <w:rPr>
          <w:rFonts w:ascii="仿宋_GB2312" w:eastAsia="仿宋_GB2312" w:hAnsi="黑体" w:hint="eastAsia"/>
          <w:color w:val="000000"/>
          <w:sz w:val="32"/>
          <w:szCs w:val="32"/>
        </w:rPr>
        <w:t>一是从发文源头把关，加强政策解读工作。将政府公开条例和政策文件中对政策解读的要求发给职能部门，增强解读意识；二是进行业务培训，本年度组织管委各部门负责人和政务公开工作人员培训两次，强化全员政务公开意识，提高业务水平；三是健全信息公开保障制度，简化流程，提高效率，加强重点领域信息公开。</w:t>
      </w:r>
    </w:p>
    <w:p w:rsidR="005A010E" w:rsidRDefault="005A010E">
      <w:pPr>
        <w:rPr>
          <w:color w:val="FF0000"/>
        </w:rPr>
      </w:pPr>
    </w:p>
    <w:p w:rsidR="005A010E" w:rsidRDefault="005A010E">
      <w:pPr>
        <w:pStyle w:val="NormalWeb"/>
        <w:spacing w:before="0" w:beforeAutospacing="0" w:after="0" w:afterAutospacing="0"/>
        <w:ind w:firstLine="645"/>
        <w:rPr>
          <w:rFonts w:ascii="仿宋_GB2312" w:eastAsia="仿宋_GB2312" w:hAnsi="仿宋_GB2312" w:cs="仿宋_GB2312"/>
          <w:color w:val="222222"/>
          <w:sz w:val="32"/>
          <w:szCs w:val="32"/>
        </w:rPr>
      </w:pPr>
    </w:p>
    <w:p w:rsidR="005A010E" w:rsidRDefault="005A010E">
      <w:pPr>
        <w:pStyle w:val="NormalWeb"/>
        <w:spacing w:before="0" w:beforeAutospacing="0" w:after="0" w:afterAutospacing="0"/>
        <w:ind w:firstLine="645"/>
        <w:rPr>
          <w:color w:val="333333"/>
        </w:rPr>
      </w:pPr>
    </w:p>
    <w:p w:rsidR="005A010E" w:rsidRDefault="005A010E">
      <w:pPr>
        <w:pStyle w:val="NormalWeb"/>
        <w:spacing w:before="0" w:beforeAutospacing="0" w:after="0" w:afterAutospacing="0"/>
        <w:jc w:val="center"/>
        <w:rPr>
          <w:rFonts w:ascii="仿宋_GB2312" w:eastAsia="仿宋_GB2312" w:hAnsi="仿宋_GB2312" w:cs="仿宋_GB2312"/>
          <w:color w:val="333333"/>
          <w:sz w:val="32"/>
          <w:szCs w:val="32"/>
        </w:rPr>
      </w:pPr>
      <w:r>
        <w:rPr>
          <w:rFonts w:ascii="仿宋_GB2312" w:eastAsia="仿宋_GB2312" w:hAnsi="仿宋_GB2312" w:cs="仿宋_GB2312"/>
          <w:color w:val="333333"/>
          <w:sz w:val="32"/>
          <w:szCs w:val="32"/>
        </w:rPr>
        <w:t xml:space="preserve">         </w:t>
      </w:r>
      <w:bookmarkStart w:id="0" w:name="_GoBack"/>
      <w:bookmarkEnd w:id="0"/>
      <w:r>
        <w:rPr>
          <w:rFonts w:ascii="仿宋_GB2312" w:eastAsia="仿宋_GB2312" w:hAnsi="仿宋_GB2312" w:cs="仿宋_GB2312"/>
          <w:color w:val="333333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青岛前湾保税港区工委管委办公室</w:t>
      </w:r>
    </w:p>
    <w:p w:rsidR="005A010E" w:rsidRDefault="005A010E">
      <w:pPr>
        <w:pStyle w:val="NormalWeb"/>
        <w:spacing w:before="0" w:beforeAutospacing="0" w:after="0" w:afterAutospacing="0"/>
        <w:ind w:right="720"/>
        <w:jc w:val="center"/>
        <w:rPr>
          <w:rFonts w:ascii="仿宋_GB2312" w:eastAsia="仿宋_GB2312" w:hAnsi="仿宋_GB2312" w:cs="仿宋_GB2312"/>
          <w:color w:val="333333"/>
          <w:sz w:val="32"/>
          <w:szCs w:val="32"/>
        </w:rPr>
      </w:pPr>
      <w:r>
        <w:rPr>
          <w:rFonts w:ascii="仿宋_GB2312" w:eastAsia="仿宋_GB2312" w:hAnsi="仿宋_GB2312" w:cs="仿宋_GB2312"/>
          <w:color w:val="333333"/>
          <w:sz w:val="32"/>
          <w:szCs w:val="32"/>
        </w:rPr>
        <w:t xml:space="preserve">              2020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年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月</w:t>
      </w:r>
      <w:r>
        <w:rPr>
          <w:rFonts w:ascii="仿宋_GB2312" w:eastAsia="仿宋_GB2312" w:hAnsi="仿宋_GB2312" w:cs="仿宋_GB2312"/>
          <w:color w:val="333333"/>
          <w:sz w:val="32"/>
          <w:szCs w:val="32"/>
        </w:rPr>
        <w:t>15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</w:rPr>
        <w:t>日</w:t>
      </w:r>
    </w:p>
    <w:sectPr w:rsidR="005A010E" w:rsidSect="00081D80">
      <w:footerReference w:type="default" r:id="rId6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10E" w:rsidRDefault="005A010E">
      <w:r>
        <w:separator/>
      </w:r>
    </w:p>
  </w:endnote>
  <w:endnote w:type="continuationSeparator" w:id="0">
    <w:p w:rsidR="005A010E" w:rsidRDefault="005A01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兰亭超细黑简体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">
    <w:altName w:val="宋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10E" w:rsidRDefault="005A010E">
    <w:pPr>
      <w:pStyle w:val="Foo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3" o:spid="_x0000_s2049" type="#_x0000_t202" style="position:absolute;margin-left:-62.9pt;margin-top:0;width:14.15pt;height:11pt;z-index:251660288;visibility:visible;mso-wrap-style:none;mso-position-horizontal:outside;mso-position-horizontal-relative:margin" filled="f" stroked="f" strokeweight=".5pt">
          <v:textbox style="mso-fit-shape-to-text:t" inset="0,0,0,0">
            <w:txbxContent>
              <w:p w:rsidR="005A010E" w:rsidRDefault="005A010E">
                <w:pPr>
                  <w:pStyle w:val="Footer"/>
                </w:pPr>
                <w:fldSimple w:instr=" PAGE  \* MERGEFORMAT ">
                  <w:r>
                    <w:rPr>
                      <w:noProof/>
                    </w:rPr>
                    <w:t>- 8 -</w:t>
                  </w:r>
                </w:fldSimple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10E" w:rsidRDefault="005A010E">
      <w:r>
        <w:separator/>
      </w:r>
    </w:p>
  </w:footnote>
  <w:footnote w:type="continuationSeparator" w:id="0">
    <w:p w:rsidR="005A010E" w:rsidRDefault="005A01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4DB1"/>
    <w:rsid w:val="00001C55"/>
    <w:rsid w:val="0000284A"/>
    <w:rsid w:val="000109EE"/>
    <w:rsid w:val="00020B94"/>
    <w:rsid w:val="0002377A"/>
    <w:rsid w:val="00036220"/>
    <w:rsid w:val="000403EC"/>
    <w:rsid w:val="00067F85"/>
    <w:rsid w:val="00081D80"/>
    <w:rsid w:val="000A2078"/>
    <w:rsid w:val="000A33B6"/>
    <w:rsid w:val="000A5F6F"/>
    <w:rsid w:val="000F12F0"/>
    <w:rsid w:val="000F317E"/>
    <w:rsid w:val="00101B21"/>
    <w:rsid w:val="00103F0D"/>
    <w:rsid w:val="00122ED7"/>
    <w:rsid w:val="001731E5"/>
    <w:rsid w:val="001871F9"/>
    <w:rsid w:val="001A5257"/>
    <w:rsid w:val="001A6BC6"/>
    <w:rsid w:val="001F5A9D"/>
    <w:rsid w:val="00210C92"/>
    <w:rsid w:val="0021176B"/>
    <w:rsid w:val="00216EFB"/>
    <w:rsid w:val="00221400"/>
    <w:rsid w:val="00224DB1"/>
    <w:rsid w:val="00230375"/>
    <w:rsid w:val="00240596"/>
    <w:rsid w:val="002654F5"/>
    <w:rsid w:val="00267AA7"/>
    <w:rsid w:val="00277FE0"/>
    <w:rsid w:val="002840DE"/>
    <w:rsid w:val="002A6BB2"/>
    <w:rsid w:val="002B59F8"/>
    <w:rsid w:val="002C793D"/>
    <w:rsid w:val="002E122C"/>
    <w:rsid w:val="002F612F"/>
    <w:rsid w:val="003039E7"/>
    <w:rsid w:val="003058A5"/>
    <w:rsid w:val="003178AF"/>
    <w:rsid w:val="003205F8"/>
    <w:rsid w:val="00341201"/>
    <w:rsid w:val="00362294"/>
    <w:rsid w:val="003B2D30"/>
    <w:rsid w:val="003F73C3"/>
    <w:rsid w:val="00404C8B"/>
    <w:rsid w:val="0044634A"/>
    <w:rsid w:val="00454151"/>
    <w:rsid w:val="004C156F"/>
    <w:rsid w:val="004E059D"/>
    <w:rsid w:val="004F3764"/>
    <w:rsid w:val="005209EC"/>
    <w:rsid w:val="005477A8"/>
    <w:rsid w:val="0055298C"/>
    <w:rsid w:val="00585A15"/>
    <w:rsid w:val="00592EF9"/>
    <w:rsid w:val="005A010E"/>
    <w:rsid w:val="005C12C7"/>
    <w:rsid w:val="005D1E4C"/>
    <w:rsid w:val="00623A34"/>
    <w:rsid w:val="006357DF"/>
    <w:rsid w:val="00651D1C"/>
    <w:rsid w:val="00692923"/>
    <w:rsid w:val="006A72A6"/>
    <w:rsid w:val="006B32F1"/>
    <w:rsid w:val="006E362B"/>
    <w:rsid w:val="006F11B0"/>
    <w:rsid w:val="00730E22"/>
    <w:rsid w:val="00760D6E"/>
    <w:rsid w:val="007A244B"/>
    <w:rsid w:val="007B51BF"/>
    <w:rsid w:val="007B649C"/>
    <w:rsid w:val="0081688D"/>
    <w:rsid w:val="0082599C"/>
    <w:rsid w:val="00833F08"/>
    <w:rsid w:val="00841B79"/>
    <w:rsid w:val="008654ED"/>
    <w:rsid w:val="008702E6"/>
    <w:rsid w:val="00881C1C"/>
    <w:rsid w:val="008820A4"/>
    <w:rsid w:val="00887EBD"/>
    <w:rsid w:val="008A3E3D"/>
    <w:rsid w:val="008C1A53"/>
    <w:rsid w:val="009024B5"/>
    <w:rsid w:val="009213BF"/>
    <w:rsid w:val="00932460"/>
    <w:rsid w:val="0093358A"/>
    <w:rsid w:val="00937AC1"/>
    <w:rsid w:val="00946515"/>
    <w:rsid w:val="009729EE"/>
    <w:rsid w:val="009751FE"/>
    <w:rsid w:val="009862A8"/>
    <w:rsid w:val="009B4A27"/>
    <w:rsid w:val="009F1C45"/>
    <w:rsid w:val="009F5376"/>
    <w:rsid w:val="00A50D71"/>
    <w:rsid w:val="00A51807"/>
    <w:rsid w:val="00A77467"/>
    <w:rsid w:val="00AB24AA"/>
    <w:rsid w:val="00AB71D1"/>
    <w:rsid w:val="00AD2321"/>
    <w:rsid w:val="00AD2EC8"/>
    <w:rsid w:val="00AD5208"/>
    <w:rsid w:val="00B16FF5"/>
    <w:rsid w:val="00B27890"/>
    <w:rsid w:val="00B3077E"/>
    <w:rsid w:val="00B466D4"/>
    <w:rsid w:val="00B60CFB"/>
    <w:rsid w:val="00B931AA"/>
    <w:rsid w:val="00B9602C"/>
    <w:rsid w:val="00B96398"/>
    <w:rsid w:val="00BA6207"/>
    <w:rsid w:val="00BB0574"/>
    <w:rsid w:val="00BD348D"/>
    <w:rsid w:val="00BF0954"/>
    <w:rsid w:val="00C16012"/>
    <w:rsid w:val="00C208CB"/>
    <w:rsid w:val="00C26D39"/>
    <w:rsid w:val="00C64C6C"/>
    <w:rsid w:val="00C672FB"/>
    <w:rsid w:val="00CA5BEC"/>
    <w:rsid w:val="00CB7272"/>
    <w:rsid w:val="00CC052F"/>
    <w:rsid w:val="00D12F26"/>
    <w:rsid w:val="00D1722E"/>
    <w:rsid w:val="00D4184D"/>
    <w:rsid w:val="00D41B31"/>
    <w:rsid w:val="00D42348"/>
    <w:rsid w:val="00D64AE9"/>
    <w:rsid w:val="00DC454C"/>
    <w:rsid w:val="00DC7F53"/>
    <w:rsid w:val="00DD191C"/>
    <w:rsid w:val="00DD7419"/>
    <w:rsid w:val="00DE13E9"/>
    <w:rsid w:val="00E000BA"/>
    <w:rsid w:val="00E07716"/>
    <w:rsid w:val="00E15184"/>
    <w:rsid w:val="00E17E50"/>
    <w:rsid w:val="00E327BA"/>
    <w:rsid w:val="00E6004E"/>
    <w:rsid w:val="00E6060C"/>
    <w:rsid w:val="00E705F6"/>
    <w:rsid w:val="00E76FBF"/>
    <w:rsid w:val="00E82F0A"/>
    <w:rsid w:val="00E84F81"/>
    <w:rsid w:val="00E92F49"/>
    <w:rsid w:val="00E93A3F"/>
    <w:rsid w:val="00EA6958"/>
    <w:rsid w:val="00EC7E15"/>
    <w:rsid w:val="00ED6820"/>
    <w:rsid w:val="00F21B00"/>
    <w:rsid w:val="00F82BA3"/>
    <w:rsid w:val="00FA33B4"/>
    <w:rsid w:val="00FA7DEB"/>
    <w:rsid w:val="02CE7B17"/>
    <w:rsid w:val="03817BF4"/>
    <w:rsid w:val="0F7314BE"/>
    <w:rsid w:val="134F65F5"/>
    <w:rsid w:val="17CA0D22"/>
    <w:rsid w:val="1E8307AA"/>
    <w:rsid w:val="22617C7D"/>
    <w:rsid w:val="27F32618"/>
    <w:rsid w:val="2CA96777"/>
    <w:rsid w:val="2CC21D49"/>
    <w:rsid w:val="31BC19FC"/>
    <w:rsid w:val="362C0F03"/>
    <w:rsid w:val="3CFD6C66"/>
    <w:rsid w:val="3E5502FA"/>
    <w:rsid w:val="3EE0346F"/>
    <w:rsid w:val="40D256B9"/>
    <w:rsid w:val="418254AA"/>
    <w:rsid w:val="421E34FF"/>
    <w:rsid w:val="42937F3B"/>
    <w:rsid w:val="42E56A55"/>
    <w:rsid w:val="4A41197A"/>
    <w:rsid w:val="53A83078"/>
    <w:rsid w:val="540412F9"/>
    <w:rsid w:val="54BE4C88"/>
    <w:rsid w:val="55961A8A"/>
    <w:rsid w:val="5B246D0C"/>
    <w:rsid w:val="5C0931B1"/>
    <w:rsid w:val="66BE287D"/>
    <w:rsid w:val="6C1668BC"/>
    <w:rsid w:val="6D64300A"/>
    <w:rsid w:val="6E275723"/>
    <w:rsid w:val="740B5726"/>
    <w:rsid w:val="76AC6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Date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1D80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rsid w:val="00081D80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081D80"/>
    <w:rPr>
      <w:rFonts w:cs="Times New Roman"/>
      <w:kern w:val="2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rsid w:val="00081D8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81D80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081D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81D80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081D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81D80"/>
    <w:rPr>
      <w:rFonts w:cs="Times New Roman"/>
      <w:sz w:val="18"/>
      <w:szCs w:val="18"/>
    </w:rPr>
  </w:style>
  <w:style w:type="paragraph" w:styleId="NormalWeb">
    <w:name w:val="Normal (Web)"/>
    <w:basedOn w:val="Normal"/>
    <w:uiPriority w:val="99"/>
    <w:rsid w:val="00081D8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fontstyle01">
    <w:name w:val="fontstyle01"/>
    <w:uiPriority w:val="99"/>
    <w:rsid w:val="00081D80"/>
    <w:rPr>
      <w:rFonts w:ascii="仿宋_GB2312" w:eastAsia="仿宋_GB2312" w:hAnsi="仿宋_GB2312"/>
      <w:color w:val="000000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50</TotalTime>
  <Pages>9</Pages>
  <Words>620</Words>
  <Characters>3536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xtzj</dc:creator>
  <cp:keywords/>
  <dc:description/>
  <cp:lastModifiedBy>User</cp:lastModifiedBy>
  <cp:revision>5</cp:revision>
  <cp:lastPrinted>2020-01-15T03:33:00Z</cp:lastPrinted>
  <dcterms:created xsi:type="dcterms:W3CDTF">2020-01-15T03:02:00Z</dcterms:created>
  <dcterms:modified xsi:type="dcterms:W3CDTF">2020-01-15T06:46:00Z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