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72"/>
        </w:rPr>
        <w:t xml:space="preserve">青岛市城市管理局</w:t>
      </w:r>
    </w:p>
    <w:p>
      <w:pPr>
        <w:spacing w:before="0" w:after="0" w:line="240"/>
        <w:ind w:firstLine="0"/>
        <w:jc w:val="center"/>
        <w:outlineLvl w:val="9"/>
      </w:pPr>
      <w:r>
        <w:rPr>
          <w:rFonts w:ascii="方正小标宋_GBK" w:eastAsia="方正小标宋_GBK" w:hAnsi="方正小标宋_GBK" w:cs="方正小标宋_GBK"/>
          <w:color w:val="000000"/>
          <w:sz w:val="72"/>
        </w:rPr>
        <w:t xml:space="preserve">2023年部门预算绩效目标</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sectPr>
          <w:type w:val="nextPage"/>
          <w:pgSz w:w="11900" w:h="16840" w:orient="portrait"/>
          <w:pgMar w:top="1984" w:right="1304" w:bottom="1134" w:left="1304" w:header="720" w:footer="720" w:gutter="0"/>
          <w:titlePg/>
        </w:sectPr>
      </w:pPr>
      <w:r>
        <w:rPr>
          <w:rFonts w:ascii="宋体" w:eastAsia="宋体" w:hAnsi="宋体" w:cs="宋体"/>
          <w:color w:val="000000"/>
          <w:sz w:val="21"/>
        </w:rPr>
        <w:t xml:space="preserve"> </w:t>
      </w:r>
    </w:p>
    <w:p>
      <w:pPr>
        <w:spacing w:before="0" w:after="0" w:line="240"/>
        <w:ind w:firstLine="0"/>
        <w:jc w:val="center"/>
        <w:outlineLvl w:val="9"/>
        <w:sectPr>
          <w:type w:val="nextPage"/>
          <w:pgSz w:w="11900" w:h="16840" w:orient="portrait"/>
          <w:pgMar w:top="1984" w:right="1304" w:bottom="1134" w:left="1304" w:header="720" w:footer="720" w:gutter="0"/>
          <w:titlePg/>
        </w:sectPr>
      </w:pPr>
    </w:p>
    <w:p>
      <w:pPr>
        <w:spacing w:before="0" w:after="0" w:line="240"/>
        <w:ind w:firstLine="0"/>
        <w:jc w:val="center"/>
        <w:outlineLvl w:val="9"/>
      </w:pPr>
      <w:r>
        <w:rPr>
          <w:rFonts w:ascii="方正小标宋_GBK" w:eastAsia="方正小标宋_GBK" w:hAnsi="方正小标宋_GBK" w:cs="方正小标宋_GBK"/>
          <w:color w:val="000000"/>
          <w:sz w:val="36"/>
        </w:rPr>
        <w:t xml:space="preserve"> </w:t>
      </w:r>
    </w:p>
    <w:p>
      <w:pPr>
        <w:spacing w:before="0" w:after="0" w:line="240"/>
        <w:ind w:firstLine="0"/>
        <w:jc w:val="center"/>
        <w:outlineLvl w:val="0"/>
      </w:pPr>
      <w:r>
        <w:rPr>
          <w:rFonts w:ascii="方正小标宋_GBK" w:eastAsia="方正小标宋_GBK" w:hAnsi="方正小标宋_GBK" w:cs="方正小标宋_GBK"/>
          <w:color w:val="000000"/>
          <w:sz w:val="36"/>
        </w:rPr>
        <w:t xml:space="preserve">目    录</w:t>
      </w:r>
    </w:p>
    <w:p>
      <w:pPr>
        <w:spacing w:before="0" w:after="0" w:line="240"/>
        <w:ind w:firstLine="0"/>
        <w:jc w:val="center"/>
        <w:outlineLvl w:val="9"/>
      </w:pPr>
      <w:r>
        <w:rPr>
          <w:rFonts w:ascii="方正小标宋_GBK" w:eastAsia="方正小标宋_GBK" w:hAnsi="方正小标宋_GBK" w:cs="方正小标宋_GBK"/>
          <w:color w:val="000000"/>
          <w:sz w:val="30"/>
        </w:rPr>
        <w:t xml:space="preserve"> </w:t>
      </w:r>
    </w:p>
    <w:p>
      <w:pPr>
        <w:pStyle w:val="TOC1"/>
        <w:tabs>
          <w:tab w:val="right" w:leader="dot" w:pos="9282"/>
        </w:tabs>
      </w:pPr>
      <w:r>
        <w:fldChar w:fldCharType="begin"/>
      </w:r>
      <w:r>
        <w:instrText xml:space="preserve">TOC \o "4-4" \h \z \u</w:instrText>
      </w:r>
      <w:r>
        <w:fldChar w:fldCharType="separate"/>
      </w:r>
      <w:hyperlink w:anchor="_Toc_4_4_0000000001" w:history="1">
        <w:r>
          <w:rPr/>
          <w:t xml:space="preserve">1.城管办工作经费绩效目标表</w:t>
        </w:r>
        <w:r>
          <w:tab/>
        </w:r>
        <w:r>
          <w:fldChar w:fldCharType="begin"/>
        </w:r>
        <w:r>
          <w:instrText xml:space="preserve">PAGEREF _Toc_4_4_0000000001 \h</w:instrText>
        </w:r>
        <w:r>
          <w:fldChar w:fldCharType="separate"/>
        </w:r>
        <w:r>
          <w:t xml:space="preserve">1</w:t>
        </w:r>
        <w:r>
          <w:fldChar w:fldCharType="end"/>
        </w:r>
      </w:hyperlink>
    </w:p>
    <w:p>
      <w:pPr>
        <w:pStyle w:val="TOC1"/>
        <w:tabs>
          <w:tab w:val="right" w:leader="dot" w:pos="9282"/>
        </w:tabs>
      </w:pPr>
      <w:hyperlink w:anchor="_Toc_4_4_0000000002" w:history="1">
        <w:r>
          <w:rPr/>
          <w:t xml:space="preserve">2.城市管理工作业务经费绩效目标表</w:t>
        </w:r>
        <w:r>
          <w:tab/>
        </w:r>
        <w:r>
          <w:fldChar w:fldCharType="begin"/>
        </w:r>
        <w:r>
          <w:instrText xml:space="preserve">PAGEREF _Toc_4_4_0000000002 \h</w:instrText>
        </w:r>
        <w:r>
          <w:fldChar w:fldCharType="separate"/>
        </w:r>
        <w:r>
          <w:t xml:space="preserve">2</w:t>
        </w:r>
        <w:r>
          <w:fldChar w:fldCharType="end"/>
        </w:r>
      </w:hyperlink>
    </w:p>
    <w:p>
      <w:pPr>
        <w:pStyle w:val="TOC1"/>
        <w:tabs>
          <w:tab w:val="right" w:leader="dot" w:pos="9282"/>
        </w:tabs>
      </w:pPr>
      <w:hyperlink w:anchor="_Toc_4_4_0000000003" w:history="1">
        <w:r>
          <w:rPr/>
          <w:t xml:space="preserve">3.城市管理领域业务咨询工作经费绩效目标表</w:t>
        </w:r>
        <w:r>
          <w:tab/>
        </w:r>
        <w:r>
          <w:fldChar w:fldCharType="begin"/>
        </w:r>
        <w:r>
          <w:instrText xml:space="preserve">PAGEREF _Toc_4_4_0000000003 \h</w:instrText>
        </w:r>
        <w:r>
          <w:fldChar w:fldCharType="separate"/>
        </w:r>
        <w:r>
          <w:t xml:space="preserve">3</w:t>
        </w:r>
        <w:r>
          <w:fldChar w:fldCharType="end"/>
        </w:r>
      </w:hyperlink>
    </w:p>
    <w:p>
      <w:pPr>
        <w:pStyle w:val="TOC1"/>
        <w:tabs>
          <w:tab w:val="right" w:leader="dot" w:pos="9282"/>
        </w:tabs>
      </w:pPr>
      <w:hyperlink w:anchor="_Toc_4_4_0000000004" w:history="1">
        <w:r>
          <w:rPr/>
          <w:t xml:space="preserve">4.城市品质改善提升法律咨询经费绩效目标表</w:t>
        </w:r>
        <w:r>
          <w:tab/>
        </w:r>
        <w:r>
          <w:fldChar w:fldCharType="begin"/>
        </w:r>
        <w:r>
          <w:instrText xml:space="preserve">PAGEREF _Toc_4_4_0000000004 \h</w:instrText>
        </w:r>
        <w:r>
          <w:fldChar w:fldCharType="separate"/>
        </w:r>
        <w:r>
          <w:t xml:space="preserve">4</w:t>
        </w:r>
        <w:r>
          <w:fldChar w:fldCharType="end"/>
        </w:r>
      </w:hyperlink>
    </w:p>
    <w:p>
      <w:pPr>
        <w:pStyle w:val="TOC1"/>
        <w:tabs>
          <w:tab w:val="right" w:leader="dot" w:pos="9282"/>
        </w:tabs>
      </w:pPr>
      <w:hyperlink w:anchor="_Toc_4_4_0000000005" w:history="1">
        <w:r>
          <w:rPr/>
          <w:t xml:space="preserve">5.户外广告招牌精细化管理工作经费绩效目标表</w:t>
        </w:r>
        <w:r>
          <w:tab/>
        </w:r>
        <w:r>
          <w:fldChar w:fldCharType="begin"/>
        </w:r>
        <w:r>
          <w:instrText xml:space="preserve">PAGEREF _Toc_4_4_0000000005 \h</w:instrText>
        </w:r>
        <w:r>
          <w:fldChar w:fldCharType="separate"/>
        </w:r>
        <w:r>
          <w:t xml:space="preserve">5</w:t>
        </w:r>
        <w:r>
          <w:fldChar w:fldCharType="end"/>
        </w:r>
      </w:hyperlink>
    </w:p>
    <w:p>
      <w:pPr>
        <w:pStyle w:val="TOC1"/>
        <w:tabs>
          <w:tab w:val="right" w:leader="dot" w:pos="9282"/>
        </w:tabs>
      </w:pPr>
      <w:hyperlink w:anchor="_Toc_4_4_0000000006" w:history="1">
        <w:r>
          <w:rPr/>
          <w:t xml:space="preserve">6.餐厨垃圾处理费绩效目标表</w:t>
        </w:r>
        <w:r>
          <w:tab/>
        </w:r>
        <w:r>
          <w:fldChar w:fldCharType="begin"/>
        </w:r>
        <w:r>
          <w:instrText xml:space="preserve">PAGEREF _Toc_4_4_0000000006 \h</w:instrText>
        </w:r>
        <w:r>
          <w:fldChar w:fldCharType="separate"/>
        </w:r>
        <w:r>
          <w:t xml:space="preserve">6</w:t>
        </w:r>
        <w:r>
          <w:fldChar w:fldCharType="end"/>
        </w:r>
      </w:hyperlink>
    </w:p>
    <w:p>
      <w:pPr>
        <w:pStyle w:val="TOC1"/>
        <w:tabs>
          <w:tab w:val="right" w:leader="dot" w:pos="9282"/>
        </w:tabs>
      </w:pPr>
      <w:hyperlink w:anchor="_Toc_4_4_0000000007" w:history="1">
        <w:r>
          <w:rPr/>
          <w:t xml:space="preserve">7.城市管理公示、公告及宣传经费绩效目标表</w:t>
        </w:r>
        <w:r>
          <w:tab/>
        </w:r>
        <w:r>
          <w:fldChar w:fldCharType="begin"/>
        </w:r>
        <w:r>
          <w:instrText xml:space="preserve">PAGEREF _Toc_4_4_0000000007 \h</w:instrText>
        </w:r>
        <w:r>
          <w:fldChar w:fldCharType="separate"/>
        </w:r>
        <w:r>
          <w:t xml:space="preserve">7</w:t>
        </w:r>
        <w:r>
          <w:fldChar w:fldCharType="end"/>
        </w:r>
      </w:hyperlink>
    </w:p>
    <w:p>
      <w:pPr>
        <w:pStyle w:val="TOC1"/>
        <w:tabs>
          <w:tab w:val="right" w:leader="dot" w:pos="9282"/>
        </w:tabs>
      </w:pPr>
      <w:hyperlink w:anchor="_Toc_4_4_0000000008" w:history="1">
        <w:r>
          <w:rPr/>
          <w:t xml:space="preserve">8.城市垃圾分类三方考核绩效目标表</w:t>
        </w:r>
        <w:r>
          <w:tab/>
        </w:r>
        <w:r>
          <w:fldChar w:fldCharType="begin"/>
        </w:r>
        <w:r>
          <w:instrText xml:space="preserve">PAGEREF _Toc_4_4_0000000008 \h</w:instrText>
        </w:r>
        <w:r>
          <w:fldChar w:fldCharType="separate"/>
        </w:r>
        <w:r>
          <w:t xml:space="preserve">8</w:t>
        </w:r>
        <w:r>
          <w:fldChar w:fldCharType="end"/>
        </w:r>
      </w:hyperlink>
    </w:p>
    <w:p>
      <w:pPr>
        <w:pStyle w:val="TOC1"/>
        <w:tabs>
          <w:tab w:val="right" w:leader="dot" w:pos="9282"/>
        </w:tabs>
      </w:pPr>
      <w:hyperlink w:anchor="_Toc_4_4_0000000009" w:history="1">
        <w:r>
          <w:rPr/>
          <w:t xml:space="preserve">9.城市清雪、行业安全应急资金绩效目标表</w:t>
        </w:r>
        <w:r>
          <w:tab/>
        </w:r>
        <w:r>
          <w:fldChar w:fldCharType="begin"/>
        </w:r>
        <w:r>
          <w:instrText xml:space="preserve">PAGEREF _Toc_4_4_0000000009 \h</w:instrText>
        </w:r>
        <w:r>
          <w:fldChar w:fldCharType="separate"/>
        </w:r>
        <w:r>
          <w:t xml:space="preserve">9</w:t>
        </w:r>
        <w:r>
          <w:fldChar w:fldCharType="end"/>
        </w:r>
      </w:hyperlink>
    </w:p>
    <w:p>
      <w:pPr>
        <w:pStyle w:val="TOC1"/>
        <w:tabs>
          <w:tab w:val="right" w:leader="dot" w:pos="9282"/>
        </w:tabs>
      </w:pPr>
      <w:hyperlink w:anchor="_Toc_4_4_0000000010" w:history="1">
        <w:r>
          <w:rPr/>
          <w:t xml:space="preserve">10.城市生活垃圾分类第三方考核项目经费绩效目标表</w:t>
        </w:r>
        <w:r>
          <w:tab/>
        </w:r>
        <w:r>
          <w:fldChar w:fldCharType="begin"/>
        </w:r>
        <w:r>
          <w:instrText xml:space="preserve">PAGEREF _Toc_4_4_0000000010 \h</w:instrText>
        </w:r>
        <w:r>
          <w:fldChar w:fldCharType="separate"/>
        </w:r>
        <w:r>
          <w:t xml:space="preserve">10</w:t>
        </w:r>
        <w:r>
          <w:fldChar w:fldCharType="end"/>
        </w:r>
      </w:hyperlink>
    </w:p>
    <w:p>
      <w:pPr>
        <w:pStyle w:val="TOC1"/>
        <w:tabs>
          <w:tab w:val="right" w:leader="dot" w:pos="9282"/>
        </w:tabs>
      </w:pPr>
      <w:hyperlink w:anchor="_Toc_4_4_0000000011" w:history="1">
        <w:r>
          <w:rPr/>
          <w:t xml:space="preserve">11.城市生活垃圾分类专项宣传经费绩效目标表</w:t>
        </w:r>
        <w:r>
          <w:tab/>
        </w:r>
        <w:r>
          <w:fldChar w:fldCharType="begin"/>
        </w:r>
        <w:r>
          <w:instrText xml:space="preserve">PAGEREF _Toc_4_4_0000000011 \h</w:instrText>
        </w:r>
        <w:r>
          <w:fldChar w:fldCharType="separate"/>
        </w:r>
        <w:r>
          <w:t xml:space="preserve">11</w:t>
        </w:r>
        <w:r>
          <w:fldChar w:fldCharType="end"/>
        </w:r>
      </w:hyperlink>
    </w:p>
    <w:p>
      <w:pPr>
        <w:pStyle w:val="TOC1"/>
        <w:tabs>
          <w:tab w:val="right" w:leader="dot" w:pos="9282"/>
        </w:tabs>
      </w:pPr>
      <w:hyperlink w:anchor="_Toc_4_4_0000000012" w:history="1">
        <w:r>
          <w:rPr/>
          <w:t xml:space="preserve">12.居民集中供热补贴资金绩效目标表</w:t>
        </w:r>
        <w:r>
          <w:tab/>
        </w:r>
        <w:r>
          <w:fldChar w:fldCharType="begin"/>
        </w:r>
        <w:r>
          <w:instrText xml:space="preserve">PAGEREF _Toc_4_4_0000000012 \h</w:instrText>
        </w:r>
        <w:r>
          <w:fldChar w:fldCharType="separate"/>
        </w:r>
        <w:r>
          <w:t xml:space="preserve">12</w:t>
        </w:r>
        <w:r>
          <w:fldChar w:fldCharType="end"/>
        </w:r>
      </w:hyperlink>
    </w:p>
    <w:p>
      <w:pPr>
        <w:pStyle w:val="TOC1"/>
        <w:tabs>
          <w:tab w:val="right" w:leader="dot" w:pos="9282"/>
        </w:tabs>
      </w:pPr>
      <w:hyperlink w:anchor="_Toc_4_4_0000000013" w:history="1">
        <w:r>
          <w:rPr/>
          <w:t xml:space="preserve">13.垃圾焚烧二期运行经费绩效目标表</w:t>
        </w:r>
        <w:r>
          <w:tab/>
        </w:r>
        <w:r>
          <w:fldChar w:fldCharType="begin"/>
        </w:r>
        <w:r>
          <w:instrText xml:space="preserve">PAGEREF _Toc_4_4_0000000013 \h</w:instrText>
        </w:r>
        <w:r>
          <w:fldChar w:fldCharType="separate"/>
        </w:r>
        <w:r>
          <w:t xml:space="preserve">13</w:t>
        </w:r>
        <w:r>
          <w:fldChar w:fldCharType="end"/>
        </w:r>
      </w:hyperlink>
    </w:p>
    <w:p>
      <w:pPr>
        <w:pStyle w:val="TOC1"/>
        <w:tabs>
          <w:tab w:val="right" w:leader="dot" w:pos="9282"/>
        </w:tabs>
      </w:pPr>
      <w:hyperlink w:anchor="_Toc_4_4_0000000014" w:history="1">
        <w:r>
          <w:rPr/>
          <w:t xml:space="preserve">14.垃圾焚烧一期运行经费绩效目标表</w:t>
        </w:r>
        <w:r>
          <w:tab/>
        </w:r>
        <w:r>
          <w:fldChar w:fldCharType="begin"/>
        </w:r>
        <w:r>
          <w:instrText xml:space="preserve">PAGEREF _Toc_4_4_0000000014 \h</w:instrText>
        </w:r>
        <w:r>
          <w:fldChar w:fldCharType="separate"/>
        </w:r>
        <w:r>
          <w:t xml:space="preserve">14</w:t>
        </w:r>
        <w:r>
          <w:fldChar w:fldCharType="end"/>
        </w:r>
      </w:hyperlink>
    </w:p>
    <w:p>
      <w:pPr>
        <w:pStyle w:val="TOC1"/>
        <w:tabs>
          <w:tab w:val="right" w:leader="dot" w:pos="9282"/>
        </w:tabs>
      </w:pPr>
      <w:hyperlink w:anchor="_Toc_4_4_0000000015" w:history="1">
        <w:r>
          <w:rPr/>
          <w:t xml:space="preserve">15.农村垃圾分类三方考核绩效目标表</w:t>
        </w:r>
        <w:r>
          <w:tab/>
        </w:r>
        <w:r>
          <w:fldChar w:fldCharType="begin"/>
        </w:r>
        <w:r>
          <w:instrText xml:space="preserve">PAGEREF _Toc_4_4_0000000015 \h</w:instrText>
        </w:r>
        <w:r>
          <w:fldChar w:fldCharType="separate"/>
        </w:r>
        <w:r>
          <w:t xml:space="preserve">15</w:t>
        </w:r>
        <w:r>
          <w:fldChar w:fldCharType="end"/>
        </w:r>
      </w:hyperlink>
    </w:p>
    <w:p>
      <w:pPr>
        <w:pStyle w:val="TOC1"/>
        <w:tabs>
          <w:tab w:val="right" w:leader="dot" w:pos="9282"/>
        </w:tabs>
      </w:pPr>
      <w:hyperlink w:anchor="_Toc_4_4_0000000016" w:history="1">
        <w:r>
          <w:rPr/>
          <w:t xml:space="preserve">16.渗滤液二期运行经费绩效目标表</w:t>
        </w:r>
        <w:r>
          <w:tab/>
        </w:r>
        <w:r>
          <w:fldChar w:fldCharType="begin"/>
        </w:r>
        <w:r>
          <w:instrText xml:space="preserve">PAGEREF _Toc_4_4_0000000016 \h</w:instrText>
        </w:r>
        <w:r>
          <w:fldChar w:fldCharType="separate"/>
        </w:r>
        <w:r>
          <w:t xml:space="preserve">16</w:t>
        </w:r>
        <w:r>
          <w:fldChar w:fldCharType="end"/>
        </w:r>
      </w:hyperlink>
    </w:p>
    <w:p>
      <w:pPr>
        <w:pStyle w:val="TOC1"/>
        <w:tabs>
          <w:tab w:val="right" w:leader="dot" w:pos="9282"/>
        </w:tabs>
      </w:pPr>
      <w:hyperlink w:anchor="_Toc_4_4_0000000017" w:history="1">
        <w:r>
          <w:rPr/>
          <w:t xml:space="preserve">17.渗滤液一期运行经费绩效目标表</w:t>
        </w:r>
        <w:r>
          <w:tab/>
        </w:r>
        <w:r>
          <w:fldChar w:fldCharType="begin"/>
        </w:r>
        <w:r>
          <w:instrText xml:space="preserve">PAGEREF _Toc_4_4_0000000017 \h</w:instrText>
        </w:r>
        <w:r>
          <w:fldChar w:fldCharType="separate"/>
        </w:r>
        <w:r>
          <w:t xml:space="preserve">17</w:t>
        </w:r>
        <w:r>
          <w:fldChar w:fldCharType="end"/>
        </w:r>
      </w:hyperlink>
    </w:p>
    <w:p>
      <w:pPr>
        <w:pStyle w:val="TOC1"/>
        <w:tabs>
          <w:tab w:val="right" w:leader="dot" w:pos="9282"/>
        </w:tabs>
      </w:pPr>
      <w:hyperlink w:anchor="_Toc_4_4_0000000018" w:history="1">
        <w:r>
          <w:rPr/>
          <w:t xml:space="preserve">18.市城市粪便无害化处理厂运行费及移动公厕维护费绩效目标表</w:t>
        </w:r>
        <w:r>
          <w:tab/>
        </w:r>
        <w:r>
          <w:fldChar w:fldCharType="begin"/>
        </w:r>
        <w:r>
          <w:instrText xml:space="preserve">PAGEREF _Toc_4_4_0000000018 \h</w:instrText>
        </w:r>
        <w:r>
          <w:fldChar w:fldCharType="separate"/>
        </w:r>
        <w:r>
          <w:t xml:space="preserve">18</w:t>
        </w:r>
        <w:r>
          <w:fldChar w:fldCharType="end"/>
        </w:r>
      </w:hyperlink>
    </w:p>
    <w:p>
      <w:pPr>
        <w:pStyle w:val="TOC1"/>
        <w:tabs>
          <w:tab w:val="right" w:leader="dot" w:pos="9282"/>
        </w:tabs>
      </w:pPr>
      <w:hyperlink w:anchor="_Toc_4_4_0000000019" w:history="1">
        <w:r>
          <w:rPr/>
          <w:t xml:space="preserve">19.小涧西固体废弃物综合处置场运行经费　绩效目标表</w:t>
        </w:r>
        <w:r>
          <w:tab/>
        </w:r>
        <w:r>
          <w:fldChar w:fldCharType="begin"/>
        </w:r>
        <w:r>
          <w:instrText xml:space="preserve">PAGEREF _Toc_4_4_0000000019 \h</w:instrText>
        </w:r>
        <w:r>
          <w:fldChar w:fldCharType="separate"/>
        </w:r>
        <w:r>
          <w:t xml:space="preserve">19</w:t>
        </w:r>
        <w:r>
          <w:fldChar w:fldCharType="end"/>
        </w:r>
      </w:hyperlink>
    </w:p>
    <w:p>
      <w:pPr>
        <w:pStyle w:val="TOC1"/>
        <w:tabs>
          <w:tab w:val="right" w:leader="dot" w:pos="9282"/>
        </w:tabs>
      </w:pPr>
      <w:hyperlink w:anchor="_Toc_4_4_0000000020" w:history="1">
        <w:r>
          <w:rPr/>
          <w:t xml:space="preserve">20.拆违治乱工作经费绩效目标表</w:t>
        </w:r>
        <w:r>
          <w:tab/>
        </w:r>
        <w:r>
          <w:fldChar w:fldCharType="begin"/>
        </w:r>
        <w:r>
          <w:instrText xml:space="preserve">PAGEREF _Toc_4_4_0000000020 \h</w:instrText>
        </w:r>
        <w:r>
          <w:fldChar w:fldCharType="separate"/>
        </w:r>
        <w:r>
          <w:t xml:space="preserve">20</w:t>
        </w:r>
        <w:r>
          <w:fldChar w:fldCharType="end"/>
        </w:r>
      </w:hyperlink>
    </w:p>
    <w:p>
      <w:pPr>
        <w:pStyle w:val="TOC1"/>
        <w:tabs>
          <w:tab w:val="right" w:leader="dot" w:pos="9282"/>
        </w:tabs>
      </w:pPr>
      <w:hyperlink w:anchor="_Toc_4_4_0000000021" w:history="1">
        <w:r>
          <w:rPr/>
          <w:t xml:space="preserve">21.城管网格化服务外包项目经费绩效目标表</w:t>
        </w:r>
        <w:r>
          <w:tab/>
        </w:r>
        <w:r>
          <w:fldChar w:fldCharType="begin"/>
        </w:r>
        <w:r>
          <w:instrText xml:space="preserve">PAGEREF _Toc_4_4_0000000021 \h</w:instrText>
        </w:r>
        <w:r>
          <w:fldChar w:fldCharType="separate"/>
        </w:r>
        <w:r>
          <w:t xml:space="preserve">21</w:t>
        </w:r>
        <w:r>
          <w:fldChar w:fldCharType="end"/>
        </w:r>
      </w:hyperlink>
    </w:p>
    <w:p>
      <w:pPr>
        <w:pStyle w:val="TOC1"/>
        <w:tabs>
          <w:tab w:val="right" w:leader="dot" w:pos="9282"/>
        </w:tabs>
      </w:pPr>
      <w:hyperlink w:anchor="_Toc_4_4_0000000022" w:history="1">
        <w:r>
          <w:rPr/>
          <w:t xml:space="preserve">22.城管执法业务工作经费绩效目标表</w:t>
        </w:r>
        <w:r>
          <w:tab/>
        </w:r>
        <w:r>
          <w:fldChar w:fldCharType="begin"/>
        </w:r>
        <w:r>
          <w:instrText xml:space="preserve">PAGEREF _Toc_4_4_0000000022 \h</w:instrText>
        </w:r>
        <w:r>
          <w:fldChar w:fldCharType="separate"/>
        </w:r>
        <w:r>
          <w:t xml:space="preserve">22</w:t>
        </w:r>
        <w:r>
          <w:fldChar w:fldCharType="end"/>
        </w:r>
      </w:hyperlink>
    </w:p>
    <w:p>
      <w:pPr>
        <w:pStyle w:val="TOC1"/>
        <w:tabs>
          <w:tab w:val="right" w:leader="dot" w:pos="9282"/>
        </w:tabs>
      </w:pPr>
      <w:hyperlink w:anchor="_Toc_4_4_0000000023" w:history="1">
        <w:r>
          <w:rPr/>
          <w:t xml:space="preserve">23.城市综合管理服务平台运行维护项目绩效目标表</w:t>
        </w:r>
        <w:r>
          <w:tab/>
        </w:r>
        <w:r>
          <w:fldChar w:fldCharType="begin"/>
        </w:r>
        <w:r>
          <w:instrText xml:space="preserve">PAGEREF _Toc_4_4_0000000023 \h</w:instrText>
        </w:r>
        <w:r>
          <w:fldChar w:fldCharType="separate"/>
        </w:r>
        <w:r>
          <w:t xml:space="preserve">23</w:t>
        </w:r>
        <w:r>
          <w:fldChar w:fldCharType="end"/>
        </w:r>
      </w:hyperlink>
    </w:p>
    <w:p>
      <w:pPr>
        <w:pStyle w:val="TOC1"/>
        <w:tabs>
          <w:tab w:val="right" w:leader="dot" w:pos="9282"/>
        </w:tabs>
      </w:pPr>
      <w:hyperlink w:anchor="_Toc_4_4_0000000024" w:history="1">
        <w:r>
          <w:rPr/>
          <w:t xml:space="preserve">24.平台建设费用尾款绩效目标表</w:t>
        </w:r>
        <w:r>
          <w:tab/>
        </w:r>
        <w:r>
          <w:fldChar w:fldCharType="begin"/>
        </w:r>
        <w:r>
          <w:instrText xml:space="preserve">PAGEREF _Toc_4_4_0000000024 \h</w:instrText>
        </w:r>
        <w:r>
          <w:fldChar w:fldCharType="separate"/>
        </w:r>
        <w:r>
          <w:t xml:space="preserve">24</w:t>
        </w:r>
        <w:r>
          <w:fldChar w:fldCharType="end"/>
        </w:r>
      </w:hyperlink>
    </w:p>
    <w:p>
      <w:pPr>
        <w:pStyle w:val="TOC1"/>
        <w:tabs>
          <w:tab w:val="right" w:leader="dot" w:pos="9282"/>
        </w:tabs>
      </w:pPr>
      <w:hyperlink w:anchor="_Toc_4_4_0000000025" w:history="1">
        <w:r>
          <w:rPr/>
          <w:t xml:space="preserve">25.数字化城管巡飞项目经费绩效目标表</w:t>
        </w:r>
        <w:r>
          <w:tab/>
        </w:r>
        <w:r>
          <w:fldChar w:fldCharType="begin"/>
        </w:r>
        <w:r>
          <w:instrText xml:space="preserve">PAGEREF _Toc_4_4_0000000025 \h</w:instrText>
        </w:r>
        <w:r>
          <w:fldChar w:fldCharType="separate"/>
        </w:r>
        <w:r>
          <w:t xml:space="preserve">25</w:t>
        </w:r>
        <w:r>
          <w:fldChar w:fldCharType="end"/>
        </w:r>
      </w:hyperlink>
    </w:p>
    <w:p>
      <w:pPr>
        <w:pStyle w:val="TOC1"/>
        <w:tabs>
          <w:tab w:val="right" w:leader="dot" w:pos="9282"/>
        </w:tabs>
      </w:pPr>
      <w:hyperlink w:anchor="_Toc_4_4_0000000026" w:history="1">
        <w:r>
          <w:rPr/>
          <w:t xml:space="preserve">26.执法装备配备资金绩效目标表</w:t>
        </w:r>
        <w:r>
          <w:tab/>
        </w:r>
        <w:r>
          <w:fldChar w:fldCharType="begin"/>
        </w:r>
        <w:r>
          <w:instrText xml:space="preserve">PAGEREF _Toc_4_4_0000000026 \h</w:instrText>
        </w:r>
        <w:r>
          <w:fldChar w:fldCharType="separate"/>
        </w:r>
        <w:r>
          <w:t xml:space="preserve">26</w:t>
        </w:r>
        <w:r>
          <w:fldChar w:fldCharType="end"/>
        </w:r>
      </w:hyperlink>
    </w:p>
    <w:p>
      <w:pPr>
        <w:pStyle w:val="TOC1"/>
        <w:tabs>
          <w:tab w:val="right" w:leader="dot" w:pos="9282"/>
        </w:tabs>
      </w:pPr>
      <w:hyperlink w:anchor="_Toc_4_4_0000000027" w:history="1">
        <w:r>
          <w:rPr/>
          <w:t xml:space="preserve">27.窨井盖数据扩展普查经费绩效目标表</w:t>
        </w:r>
        <w:r>
          <w:tab/>
        </w:r>
        <w:r>
          <w:fldChar w:fldCharType="begin"/>
        </w:r>
        <w:r>
          <w:instrText xml:space="preserve">PAGEREF _Toc_4_4_0000000027 \h</w:instrText>
        </w:r>
        <w:r>
          <w:fldChar w:fldCharType="separate"/>
        </w:r>
        <w:r>
          <w:t xml:space="preserve">27</w:t>
        </w:r>
        <w:r>
          <w:fldChar w:fldCharType="end"/>
        </w:r>
      </w:hyperlink>
    </w:p>
    <w:p>
      <w:pPr>
        <w:pStyle w:val="TOC1"/>
        <w:tabs>
          <w:tab w:val="right" w:leader="dot" w:pos="9282"/>
        </w:tabs>
      </w:pPr>
      <w:hyperlink w:anchor="_Toc_4_4_0000000028" w:history="1">
        <w:r>
          <w:rPr/>
          <w:t xml:space="preserve">28.数字城市管理平台服务中心信息系统运维费用绩效目标表</w:t>
        </w:r>
        <w:r>
          <w:tab/>
        </w:r>
        <w:r>
          <w:fldChar w:fldCharType="begin"/>
        </w:r>
        <w:r>
          <w:instrText xml:space="preserve">PAGEREF _Toc_4_4_0000000028 \h</w:instrText>
        </w:r>
        <w:r>
          <w:fldChar w:fldCharType="separate"/>
        </w:r>
        <w:r>
          <w:t xml:space="preserve">28</w:t>
        </w:r>
        <w:r>
          <w:fldChar w:fldCharType="end"/>
        </w:r>
      </w:hyperlink>
    </w:p>
    <w:p>
      <w:pPr>
        <w:pStyle w:val="TOC1"/>
        <w:tabs>
          <w:tab w:val="right" w:leader="dot" w:pos="9282"/>
        </w:tabs>
      </w:pPr>
      <w:hyperlink w:anchor="_Toc_4_4_0000000029" w:history="1">
        <w:r>
          <w:rPr/>
          <w:t xml:space="preserve">29.燃气行业远程视频监督管理平台运行维护资金绩效目标表</w:t>
        </w:r>
        <w:r>
          <w:tab/>
        </w:r>
        <w:r>
          <w:fldChar w:fldCharType="begin"/>
        </w:r>
        <w:r>
          <w:instrText xml:space="preserve">PAGEREF _Toc_4_4_0000000029 \h</w:instrText>
        </w:r>
        <w:r>
          <w:fldChar w:fldCharType="separate"/>
        </w:r>
        <w:r>
          <w:t xml:space="preserve">29</w:t>
        </w:r>
        <w:r>
          <w:fldChar w:fldCharType="end"/>
        </w:r>
      </w:hyperlink>
    </w:p>
    <w:p>
      <w:pPr>
        <w:pStyle w:val="TOC1"/>
        <w:tabs>
          <w:tab w:val="right" w:leader="dot" w:pos="9282"/>
        </w:tabs>
      </w:pPr>
      <w:hyperlink w:anchor="_Toc_4_4_0000000030" w:history="1">
        <w:r>
          <w:rPr/>
          <w:t xml:space="preserve">30.户外广告、景观照明及海水浴场专项工作经费绩效目标表</w:t>
        </w:r>
        <w:r>
          <w:tab/>
        </w:r>
        <w:r>
          <w:fldChar w:fldCharType="begin"/>
        </w:r>
        <w:r>
          <w:instrText xml:space="preserve">PAGEREF _Toc_4_4_0000000030 \h</w:instrText>
        </w:r>
        <w:r>
          <w:fldChar w:fldCharType="separate"/>
        </w:r>
        <w:r>
          <w:t xml:space="preserve">30</w:t>
        </w:r>
        <w:r>
          <w:fldChar w:fldCharType="end"/>
        </w:r>
      </w:hyperlink>
    </w:p>
    <w:p>
      <w:pPr>
        <w:pStyle w:val="TOC1"/>
        <w:tabs>
          <w:tab w:val="right" w:leader="dot" w:pos="9282"/>
        </w:tabs>
      </w:pPr>
      <w:hyperlink w:anchor="_Toc_4_4_0000000031" w:history="1">
        <w:r>
          <w:rPr/>
          <w:t xml:space="preserve">31.浮山湾灯光秀片源制作经费绩效目标表</w:t>
        </w:r>
        <w:r>
          <w:tab/>
        </w:r>
        <w:r>
          <w:fldChar w:fldCharType="begin"/>
        </w:r>
        <w:r>
          <w:instrText xml:space="preserve">PAGEREF _Toc_4_4_0000000031 \h</w:instrText>
        </w:r>
        <w:r>
          <w:fldChar w:fldCharType="separate"/>
        </w:r>
        <w:r>
          <w:t xml:space="preserve">31</w:t>
        </w:r>
        <w:r>
          <w:fldChar w:fldCharType="end"/>
        </w:r>
      </w:hyperlink>
    </w:p>
    <w:p>
      <w:pPr>
        <w:pStyle w:val="TOC1"/>
        <w:tabs>
          <w:tab w:val="right" w:leader="dot" w:pos="9282"/>
        </w:tabs>
      </w:pPr>
      <w:hyperlink w:anchor="_Toc_4_4_0000000032" w:history="1">
        <w:r>
          <w:rPr/>
          <w:t xml:space="preserve">32.环卫科研工作专项经费绩效目标表</w:t>
        </w:r>
        <w:r>
          <w:tab/>
        </w:r>
        <w:r>
          <w:fldChar w:fldCharType="begin"/>
        </w:r>
        <w:r>
          <w:instrText xml:space="preserve">PAGEREF _Toc_4_4_0000000032 \h</w:instrText>
        </w:r>
        <w:r>
          <w:fldChar w:fldCharType="separate"/>
        </w:r>
        <w:r>
          <w:t xml:space="preserve">32</w:t>
        </w:r>
        <w:r>
          <w:fldChar w:fldCharType="end"/>
        </w:r>
      </w:hyperlink>
    </w:p>
    <w:p>
      <w:pPr>
        <w:pStyle w:val="TOC1"/>
        <w:tabs>
          <w:tab w:val="right" w:leader="dot" w:pos="9282"/>
        </w:tabs>
      </w:pPr>
      <w:hyperlink w:anchor="_Toc_4_4_0000000033" w:history="1">
        <w:r>
          <w:rPr/>
          <w:t xml:space="preserve">33.审计整改诉讼专项业务费绩效目标表</w:t>
        </w:r>
        <w:r>
          <w:tab/>
        </w:r>
        <w:r>
          <w:fldChar w:fldCharType="begin"/>
        </w:r>
        <w:r>
          <w:instrText xml:space="preserve">PAGEREF _Toc_4_4_0000000033 \h</w:instrText>
        </w:r>
        <w:r>
          <w:fldChar w:fldCharType="separate"/>
        </w:r>
        <w:r>
          <w:t xml:space="preserve">33</w:t>
        </w:r>
        <w:r>
          <w:fldChar w:fldCharType="end"/>
        </w:r>
      </w:hyperlink>
    </w:p>
    <w:p>
      <w:pPr>
        <w:pStyle w:val="TOC1"/>
        <w:tabs>
          <w:tab w:val="right" w:leader="dot" w:pos="9282"/>
        </w:tabs>
      </w:pPr>
      <w:hyperlink w:anchor="_Toc_4_4_0000000034" w:history="1">
        <w:r>
          <w:rPr/>
          <w:t xml:space="preserve">34.环卫设施监测经费绩效目标表</w:t>
        </w:r>
        <w:r>
          <w:tab/>
        </w:r>
        <w:r>
          <w:fldChar w:fldCharType="begin"/>
        </w:r>
        <w:r>
          <w:instrText xml:space="preserve">PAGEREF _Toc_4_4_0000000034 \h</w:instrText>
        </w:r>
        <w:r>
          <w:fldChar w:fldCharType="separate"/>
        </w:r>
        <w:r>
          <w:t xml:space="preserve">34</w:t>
        </w:r>
        <w:r>
          <w:fldChar w:fldCharType="end"/>
        </w:r>
      </w:hyperlink>
    </w:p>
    <w:p>
      <w:pPr>
        <w:pStyle w:val="TOC1"/>
        <w:tabs>
          <w:tab w:val="right" w:leader="dot" w:pos="9282"/>
        </w:tabs>
      </w:pPr>
      <w:hyperlink w:anchor="_Toc_4_4_0000000035" w:history="1">
        <w:r>
          <w:rPr/>
          <w:t xml:space="preserve">35.环卫数字化监管平台运行维护费绩效目标表</w:t>
        </w:r>
        <w:r>
          <w:tab/>
        </w:r>
        <w:r>
          <w:fldChar w:fldCharType="begin"/>
        </w:r>
        <w:r>
          <w:instrText xml:space="preserve">PAGEREF _Toc_4_4_0000000035 \h</w:instrText>
        </w:r>
        <w:r>
          <w:fldChar w:fldCharType="separate"/>
        </w:r>
        <w:r>
          <w:t xml:space="preserve">35</w:t>
        </w:r>
        <w:r>
          <w:fldChar w:fldCharType="end"/>
        </w:r>
      </w:hyperlink>
    </w:p>
    <w:p>
      <w:pPr>
        <w:pStyle w:val="TOC1"/>
        <w:tabs>
          <w:tab w:val="right" w:leader="dot" w:pos="9282"/>
        </w:tabs>
      </w:pPr>
      <w:hyperlink w:anchor="_Toc_4_4_0000000036" w:history="1">
        <w:r>
          <w:rPr/>
          <w:t xml:space="preserve">36.浒苔临时处置场地建设经费项目尾款绩效目标表</w:t>
        </w:r>
        <w:r>
          <w:tab/>
        </w:r>
        <w:r>
          <w:fldChar w:fldCharType="begin"/>
        </w:r>
        <w:r>
          <w:instrText xml:space="preserve">PAGEREF _Toc_4_4_0000000036 \h</w:instrText>
        </w:r>
        <w:r>
          <w:fldChar w:fldCharType="separate"/>
        </w:r>
        <w:r>
          <w:t xml:space="preserve">36</w:t>
        </w:r>
        <w:r>
          <w:fldChar w:fldCharType="end"/>
        </w:r>
      </w:hyperlink>
    </w:p>
    <w:p>
      <w:pPr>
        <w:pStyle w:val="TOC1"/>
        <w:tabs>
          <w:tab w:val="right" w:leader="dot" w:pos="9282"/>
        </w:tabs>
      </w:pPr>
      <w:hyperlink w:anchor="_Toc_4_4_0000000037" w:history="1">
        <w:r>
          <w:rPr/>
          <w:t xml:space="preserve">37.物业和维修资金运行费绩效目标表</w:t>
        </w:r>
        <w:r>
          <w:tab/>
        </w:r>
        <w:r>
          <w:fldChar w:fldCharType="begin"/>
        </w:r>
        <w:r>
          <w:instrText xml:space="preserve">PAGEREF _Toc_4_4_0000000037 \h</w:instrText>
        </w:r>
        <w:r>
          <w:fldChar w:fldCharType="separate"/>
        </w:r>
        <w:r>
          <w:t xml:space="preserve">37</w:t>
        </w:r>
        <w:r>
          <w:fldChar w:fldCharType="end"/>
        </w:r>
      </w:hyperlink>
    </w:p>
    <w:p>
      <w:pPr>
        <w:sectPr>
          <w:footerReference w:type="even" r:id="rId77"/>
          <w:footerReference w:type="default" r:id="rId78"/>
          <w:type w:val="nextPage"/>
          <w:pgSz w:w="11900" w:h="16840" w:orient="portrait"/>
          <w:pgMar w:top="1984" w:right="1304" w:bottom="1134" w:left="1304" w:header="720" w:footer="720" w:gutter="0"/>
          <w:pgNumType w:start="1"/>
        </w:sectPr>
      </w:pPr>
      <w:r>
        <w:fldChar w:fldCharType="end"/>
      </w: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0" w:name="_Toc_4_4_0000000001"/>
      <w:r>
        <w:rPr>
          <w:rFonts w:ascii="方正仿宋_GBK" w:eastAsia="方正仿宋_GBK" w:hAnsi="方正仿宋_GBK" w:cs="方正仿宋_GBK"/>
          <w:color w:val="000000"/>
          <w:sz w:val="28"/>
        </w:rPr>
        <w:t xml:space="preserve">1.城管办工作经费绩效目标表</w:t>
      </w:r>
      <w:bookmarkEnd w:id="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37020023P880028108445</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城管办工作经费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30.00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30.00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城管办工作经费。</w:t>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5.00</w:t>
            </w:r>
          </w:p>
        </w:tc>
        <w:tc>
          <w:tcPr>
            <w:tcW w:w="1304" w:type="dxa"/>
            <w:vAlign w:val="center"/>
          </w:tcPr>
          <w:p>
            <w:pPr>
              <w:pStyle w:val="单元格样式3"/>
            </w:pPr>
            <w:r>
              <w:t xml:space="preserve">15.00</w:t>
            </w:r>
          </w:p>
        </w:tc>
        <w:tc>
          <w:tcPr>
            <w:tcW w:w="3118" w:type="dxa"/>
            <w:hMerge w:val="restart"/>
            <w:vAlign w:val="center"/>
          </w:tcPr>
          <w:p>
            <w:pPr>
              <w:pStyle w:val="单元格样式3"/>
            </w:pPr>
            <w:r>
              <w:t xml:space="preserve">30.00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6.通过市城管办日常工作的开展，进一步加强市级城市管理议事协调作用，提升城市管理精细化水平。</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w:t>
            </w:r>
          </w:p>
        </w:tc>
        <w:tc>
          <w:tcPr>
            <w:tcW w:w="0" w:type="auto"/>
            <w:hMerge/>
            <w:vAlign w:val="center"/>
          </w:tcPr>
          <w:p>
            <w:pPr/>
          </w:p>
        </w:tc>
        <w:tc>
          <w:tcPr>
            <w:tcW w:w="1276" w:type="dxa"/>
            <w:vAlign w:val="center"/>
          </w:tcPr>
          <w:p>
            <w:pPr>
              <w:pStyle w:val="单元格样式2"/>
            </w:pPr>
            <w:r>
              <w:t xml:space="preserve">≤30万元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巡查区域数量</w:t>
            </w:r>
          </w:p>
        </w:tc>
        <w:tc>
          <w:tcPr>
            <w:tcW w:w="2891" w:type="dxa"/>
            <w:hMerge w:val="restart"/>
            <w:vAlign w:val="center"/>
          </w:tcPr>
          <w:p>
            <w:pPr>
              <w:pStyle w:val="单元格样式2"/>
            </w:pPr>
            <w:r>
              <w:t xml:space="preserve">巡查区域数量</w:t>
            </w:r>
          </w:p>
        </w:tc>
        <w:tc>
          <w:tcPr>
            <w:tcW w:w="0" w:type="auto"/>
            <w:hMerge/>
            <w:vAlign w:val="center"/>
          </w:tcPr>
          <w:p>
            <w:pPr/>
          </w:p>
        </w:tc>
        <w:tc>
          <w:tcPr>
            <w:tcW w:w="1276" w:type="dxa"/>
            <w:vAlign w:val="center"/>
          </w:tcPr>
          <w:p>
            <w:pPr>
              <w:pStyle w:val="单元格样式2"/>
            </w:pPr>
            <w:r>
              <w:t xml:space="preserve">7个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城市管理工作标准印刷数量</w:t>
            </w:r>
          </w:p>
        </w:tc>
        <w:tc>
          <w:tcPr>
            <w:tcW w:w="2891" w:type="dxa"/>
            <w:hMerge w:val="restart"/>
            <w:vAlign w:val="center"/>
          </w:tcPr>
          <w:p>
            <w:pPr>
              <w:pStyle w:val="单元格样式2"/>
            </w:pPr>
            <w:r>
              <w:t xml:space="preserve">城市管理工作标准印刷数量</w:t>
            </w:r>
          </w:p>
        </w:tc>
        <w:tc>
          <w:tcPr>
            <w:tcW w:w="0" w:type="auto"/>
            <w:hMerge/>
            <w:vAlign w:val="center"/>
          </w:tcPr>
          <w:p>
            <w:pPr/>
          </w:p>
        </w:tc>
        <w:tc>
          <w:tcPr>
            <w:tcW w:w="1276" w:type="dxa"/>
            <w:vAlign w:val="center"/>
          </w:tcPr>
          <w:p>
            <w:pPr>
              <w:pStyle w:val="单元格样式2"/>
            </w:pPr>
            <w:r>
              <w:t xml:space="preserve">≥200本</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巡查发现问题转办率</w:t>
            </w:r>
          </w:p>
        </w:tc>
        <w:tc>
          <w:tcPr>
            <w:tcW w:w="2891" w:type="dxa"/>
            <w:hMerge w:val="restart"/>
            <w:vAlign w:val="center"/>
          </w:tcPr>
          <w:p>
            <w:pPr>
              <w:pStyle w:val="单元格样式2"/>
            </w:pPr>
            <w:r>
              <w:t xml:space="preserve">巡查发现问题转办情况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问题整改率</w:t>
            </w:r>
          </w:p>
        </w:tc>
        <w:tc>
          <w:tcPr>
            <w:tcW w:w="2891" w:type="dxa"/>
            <w:hMerge w:val="restart"/>
            <w:vAlign w:val="center"/>
          </w:tcPr>
          <w:p>
            <w:pPr>
              <w:pStyle w:val="单元格样式2"/>
            </w:pPr>
            <w:r>
              <w:t xml:space="preserve">问题整改率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改善市容秩序</w:t>
            </w:r>
          </w:p>
        </w:tc>
        <w:tc>
          <w:tcPr>
            <w:tcW w:w="2891" w:type="dxa"/>
            <w:hMerge w:val="restart"/>
            <w:vAlign w:val="center"/>
          </w:tcPr>
          <w:p>
            <w:pPr>
              <w:pStyle w:val="单元格样式2"/>
            </w:pPr>
            <w:r>
              <w:t xml:space="preserve">改善市容秩序</w:t>
            </w:r>
          </w:p>
        </w:tc>
        <w:tc>
          <w:tcPr>
            <w:tcW w:w="0" w:type="auto"/>
            <w:hMerge/>
            <w:vAlign w:val="center"/>
          </w:tcPr>
          <w:p>
            <w:pPr/>
          </w:p>
        </w:tc>
        <w:tc>
          <w:tcPr>
            <w:tcW w:w="1276" w:type="dxa"/>
            <w:vAlign w:val="center"/>
          </w:tcPr>
          <w:p>
            <w:pPr>
              <w:pStyle w:val="单元格样式2"/>
            </w:pPr>
            <w:r>
              <w:t xml:space="preserve">%</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居民对居住环境满意度</w:t>
            </w:r>
          </w:p>
        </w:tc>
        <w:tc>
          <w:tcPr>
            <w:tcW w:w="2891" w:type="dxa"/>
            <w:hMerge w:val="restart"/>
            <w:vAlign w:val="center"/>
          </w:tcPr>
          <w:p>
            <w:pPr>
              <w:pStyle w:val="单元格样式2"/>
            </w:pPr>
            <w:r>
              <w:t xml:space="preserve">居民对居住环境满意度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pgNumType w:start="1"/>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 w:name="_Toc_4_4_0000000002"/>
      <w:r>
        <w:rPr>
          <w:rFonts w:ascii="方正仿宋_GBK" w:eastAsia="方正仿宋_GBK" w:hAnsi="方正仿宋_GBK" w:cs="方正仿宋_GBK"/>
          <w:color w:val="000000"/>
          <w:sz w:val="28"/>
        </w:rPr>
        <w:t xml:space="preserve">2.城市管理工作业务经费绩效目标表</w:t>
      </w:r>
      <w:bookmarkEnd w:id="1"/>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37020023P880028108516</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城市管理工作业务经费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59.00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59.00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城市管理工作业务经费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10.00</w:t>
            </w:r>
          </w:p>
        </w:tc>
        <w:tc>
          <w:tcPr>
            <w:tcW w:w="1304" w:type="dxa"/>
            <w:vAlign w:val="center"/>
          </w:tcPr>
          <w:p>
            <w:pPr>
              <w:pStyle w:val="单元格样式3"/>
            </w:pPr>
            <w:r>
              <w:t xml:space="preserve">40.00</w:t>
            </w:r>
          </w:p>
        </w:tc>
        <w:tc>
          <w:tcPr>
            <w:tcW w:w="3118" w:type="dxa"/>
            <w:hMerge w:val="restart"/>
            <w:vAlign w:val="center"/>
          </w:tcPr>
          <w:p>
            <w:pPr>
              <w:pStyle w:val="单元格样式3"/>
            </w:pPr>
            <w:r>
              <w:t xml:space="preserve">59.00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6.通过对城市精细化管理、市容秩序、环境卫生、户外广告、景观照明、违法建设、海水浴场等方面进行城市管理监督考核，进一步提高城市精细化管理水平。</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不能超过预算支出数</w:t>
            </w:r>
          </w:p>
        </w:tc>
        <w:tc>
          <w:tcPr>
            <w:tcW w:w="2891" w:type="dxa"/>
            <w:hMerge w:val="restart"/>
            <w:vAlign w:val="center"/>
          </w:tcPr>
          <w:p>
            <w:pPr>
              <w:pStyle w:val="单元格样式2"/>
            </w:pPr>
            <w:r>
              <w:t xml:space="preserve">不能超过预算控制数</w:t>
            </w:r>
          </w:p>
        </w:tc>
        <w:tc>
          <w:tcPr>
            <w:tcW w:w="0" w:type="auto"/>
            <w:hMerge/>
            <w:vAlign w:val="center"/>
          </w:tcPr>
          <w:p>
            <w:pPr/>
          </w:p>
        </w:tc>
        <w:tc>
          <w:tcPr>
            <w:tcW w:w="1276" w:type="dxa"/>
            <w:vAlign w:val="center"/>
          </w:tcPr>
          <w:p>
            <w:pPr>
              <w:pStyle w:val="单元格样式2"/>
            </w:pPr>
            <w:r>
              <w:t xml:space="preserve">≤59万元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巡查区域</w:t>
            </w:r>
          </w:p>
        </w:tc>
        <w:tc>
          <w:tcPr>
            <w:tcW w:w="2891" w:type="dxa"/>
            <w:hMerge w:val="restart"/>
            <w:vAlign w:val="center"/>
          </w:tcPr>
          <w:p>
            <w:pPr>
              <w:pStyle w:val="单元格样式2"/>
            </w:pPr>
            <w:r>
              <w:t xml:space="preserve">巡查区域</w:t>
            </w:r>
          </w:p>
        </w:tc>
        <w:tc>
          <w:tcPr>
            <w:tcW w:w="0" w:type="auto"/>
            <w:hMerge/>
            <w:vAlign w:val="center"/>
          </w:tcPr>
          <w:p>
            <w:pPr/>
          </w:p>
        </w:tc>
        <w:tc>
          <w:tcPr>
            <w:tcW w:w="1276" w:type="dxa"/>
            <w:vAlign w:val="center"/>
          </w:tcPr>
          <w:p>
            <w:pPr>
              <w:pStyle w:val="单元格样式2"/>
            </w:pPr>
            <w:r>
              <w:t xml:space="preserve">7个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城市管理精细化培训班班次</w:t>
            </w:r>
          </w:p>
        </w:tc>
        <w:tc>
          <w:tcPr>
            <w:tcW w:w="2891" w:type="dxa"/>
            <w:hMerge w:val="restart"/>
            <w:vAlign w:val="center"/>
          </w:tcPr>
          <w:p>
            <w:pPr>
              <w:pStyle w:val="单元格样式2"/>
            </w:pPr>
            <w:r>
              <w:t xml:space="preserve">城市管理精细化培训班班次</w:t>
            </w:r>
          </w:p>
        </w:tc>
        <w:tc>
          <w:tcPr>
            <w:tcW w:w="0" w:type="auto"/>
            <w:hMerge/>
            <w:vAlign w:val="center"/>
          </w:tcPr>
          <w:p>
            <w:pPr/>
          </w:p>
        </w:tc>
        <w:tc>
          <w:tcPr>
            <w:tcW w:w="1276" w:type="dxa"/>
            <w:vAlign w:val="center"/>
          </w:tcPr>
          <w:p>
            <w:pPr>
              <w:pStyle w:val="单元格样式2"/>
            </w:pPr>
            <w:r>
              <w:t xml:space="preserve">1次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 培训内容与城管业务相符度</w:t>
            </w:r>
          </w:p>
        </w:tc>
        <w:tc>
          <w:tcPr>
            <w:tcW w:w="2891" w:type="dxa"/>
            <w:hMerge w:val="restart"/>
            <w:vAlign w:val="center"/>
          </w:tcPr>
          <w:p>
            <w:pPr>
              <w:pStyle w:val="单元格样式2"/>
            </w:pPr>
            <w:r>
              <w:t xml:space="preserve"> 培训内容与城管业务相符度</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培训班合格率</w:t>
            </w:r>
          </w:p>
        </w:tc>
        <w:tc>
          <w:tcPr>
            <w:tcW w:w="2891" w:type="dxa"/>
            <w:hMerge w:val="restart"/>
            <w:vAlign w:val="center"/>
          </w:tcPr>
          <w:p>
            <w:pPr>
              <w:pStyle w:val="单元格样式2"/>
            </w:pPr>
            <w:r>
              <w:t xml:space="preserve">培训班合格率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提高城管干部队伍素质</w:t>
            </w:r>
          </w:p>
        </w:tc>
        <w:tc>
          <w:tcPr>
            <w:tcW w:w="2891" w:type="dxa"/>
            <w:hMerge w:val="restart"/>
            <w:vAlign w:val="center"/>
          </w:tcPr>
          <w:p>
            <w:pPr>
              <w:pStyle w:val="单元格样式2"/>
            </w:pPr>
            <w:r>
              <w:t xml:space="preserve">提高城管干部队伍素质</w:t>
            </w:r>
          </w:p>
        </w:tc>
        <w:tc>
          <w:tcPr>
            <w:tcW w:w="0" w:type="auto"/>
            <w:hMerge/>
            <w:vAlign w:val="center"/>
          </w:tcPr>
          <w:p>
            <w:pPr/>
          </w:p>
        </w:tc>
        <w:tc>
          <w:tcPr>
            <w:tcW w:w="1276" w:type="dxa"/>
            <w:vAlign w:val="center"/>
          </w:tcPr>
          <w:p>
            <w:pPr>
              <w:pStyle w:val="单元格样式2"/>
            </w:pPr>
            <w:r>
              <w:t xml:space="preserve">提高</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培训学员对培训质量满意度</w:t>
            </w:r>
          </w:p>
        </w:tc>
        <w:tc>
          <w:tcPr>
            <w:tcW w:w="2891" w:type="dxa"/>
            <w:hMerge w:val="restart"/>
            <w:vAlign w:val="center"/>
          </w:tcPr>
          <w:p>
            <w:pPr>
              <w:pStyle w:val="单元格样式2"/>
            </w:pPr>
            <w:r>
              <w:t xml:space="preserve">培训学员对培训质量满意度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 w:name="_Toc_4_4_0000000003"/>
      <w:r>
        <w:rPr>
          <w:rFonts w:ascii="方正仿宋_GBK" w:eastAsia="方正仿宋_GBK" w:hAnsi="方正仿宋_GBK" w:cs="方正仿宋_GBK"/>
          <w:color w:val="000000"/>
          <w:sz w:val="28"/>
        </w:rPr>
        <w:t xml:space="preserve">3.城市管理领域业务咨询工作经费绩效目标表</w:t>
      </w:r>
      <w:bookmarkEnd w:id="2"/>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37020023P88002810853D</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城市管理领域业务咨询工作经费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280.00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280.00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城市管理领域业务咨询工作经费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100.00</w:t>
            </w:r>
          </w:p>
        </w:tc>
        <w:tc>
          <w:tcPr>
            <w:tcW w:w="3118" w:type="dxa"/>
            <w:hMerge w:val="restart"/>
            <w:vAlign w:val="center"/>
          </w:tcPr>
          <w:p>
            <w:pPr>
              <w:pStyle w:val="单元格样式3"/>
            </w:pPr>
            <w:r>
              <w:t xml:space="preserve">280.00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主要用于《青岛市供热条例》修订；浓缩液外运处置费用核定、浓缩液技改升级后处置单价核定；焚烧一期余热利用项目财务模型及热源价格核定、焚烧二期掺烧工业垃圾财务模型及测算；市内三区城市生活垃圾处置费收付方式委托第三方咨询服务等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w:t>
            </w:r>
          </w:p>
        </w:tc>
        <w:tc>
          <w:tcPr>
            <w:tcW w:w="0" w:type="auto"/>
            <w:hMerge/>
            <w:vAlign w:val="center"/>
          </w:tcPr>
          <w:p>
            <w:pPr/>
          </w:p>
        </w:tc>
        <w:tc>
          <w:tcPr>
            <w:tcW w:w="1276" w:type="dxa"/>
            <w:vAlign w:val="center"/>
          </w:tcPr>
          <w:p>
            <w:pPr>
              <w:pStyle w:val="单元格样式2"/>
            </w:pPr>
            <w:r>
              <w:t xml:space="preserve">≤280万元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业务咨询数量</w:t>
            </w:r>
          </w:p>
        </w:tc>
        <w:tc>
          <w:tcPr>
            <w:tcW w:w="2891" w:type="dxa"/>
            <w:hMerge w:val="restart"/>
            <w:vAlign w:val="center"/>
          </w:tcPr>
          <w:p>
            <w:pPr>
              <w:pStyle w:val="单元格样式2"/>
            </w:pPr>
            <w:r>
              <w:t xml:space="preserve">业务咨询数量</w:t>
            </w:r>
          </w:p>
        </w:tc>
        <w:tc>
          <w:tcPr>
            <w:tcW w:w="0" w:type="auto"/>
            <w:hMerge/>
            <w:vAlign w:val="center"/>
          </w:tcPr>
          <w:p>
            <w:pPr/>
          </w:p>
        </w:tc>
        <w:tc>
          <w:tcPr>
            <w:tcW w:w="1276" w:type="dxa"/>
            <w:vAlign w:val="center"/>
          </w:tcPr>
          <w:p>
            <w:pPr>
              <w:pStyle w:val="单元格样式2"/>
            </w:pPr>
            <w:r>
              <w:t xml:space="preserve">≥4个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出具咨询报告数量</w:t>
            </w:r>
          </w:p>
        </w:tc>
        <w:tc>
          <w:tcPr>
            <w:tcW w:w="2891" w:type="dxa"/>
            <w:hMerge w:val="restart"/>
            <w:vAlign w:val="center"/>
          </w:tcPr>
          <w:p>
            <w:pPr>
              <w:pStyle w:val="单元格样式2"/>
            </w:pPr>
            <w:r>
              <w:t xml:space="preserve">出具咨询报告数量</w:t>
            </w:r>
          </w:p>
        </w:tc>
        <w:tc>
          <w:tcPr>
            <w:tcW w:w="0" w:type="auto"/>
            <w:hMerge/>
            <w:vAlign w:val="center"/>
          </w:tcPr>
          <w:p>
            <w:pPr/>
          </w:p>
        </w:tc>
        <w:tc>
          <w:tcPr>
            <w:tcW w:w="1276" w:type="dxa"/>
            <w:vAlign w:val="center"/>
          </w:tcPr>
          <w:p>
            <w:pPr>
              <w:pStyle w:val="单元格样式2"/>
            </w:pPr>
            <w:r>
              <w:t xml:space="preserve">≥4个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咨询服务达标率</w:t>
            </w:r>
          </w:p>
        </w:tc>
        <w:tc>
          <w:tcPr>
            <w:tcW w:w="2891" w:type="dxa"/>
            <w:hMerge w:val="restart"/>
            <w:vAlign w:val="center"/>
          </w:tcPr>
          <w:p>
            <w:pPr>
              <w:pStyle w:val="单元格样式2"/>
            </w:pPr>
            <w:r>
              <w:t xml:space="preserve">咨询服务达标率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行业标准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咨询报告质量合格率</w:t>
            </w:r>
          </w:p>
        </w:tc>
        <w:tc>
          <w:tcPr>
            <w:tcW w:w="2891" w:type="dxa"/>
            <w:hMerge w:val="restart"/>
            <w:vAlign w:val="center"/>
          </w:tcPr>
          <w:p>
            <w:pPr>
              <w:pStyle w:val="单元格样式2"/>
            </w:pPr>
            <w:r>
              <w:t xml:space="preserve">咨询报告质量合格率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行业标准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咨询成果应用率</w:t>
            </w:r>
          </w:p>
        </w:tc>
        <w:tc>
          <w:tcPr>
            <w:tcW w:w="2891" w:type="dxa"/>
            <w:hMerge w:val="restart"/>
            <w:vAlign w:val="center"/>
          </w:tcPr>
          <w:p>
            <w:pPr>
              <w:pStyle w:val="单元格样式2"/>
            </w:pPr>
            <w:r>
              <w:t xml:space="preserve">咨询成果应用率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行业标准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受益人员满意度</w:t>
            </w:r>
          </w:p>
        </w:tc>
        <w:tc>
          <w:tcPr>
            <w:tcW w:w="2891" w:type="dxa"/>
            <w:hMerge w:val="restart"/>
            <w:vAlign w:val="center"/>
          </w:tcPr>
          <w:p>
            <w:pPr>
              <w:pStyle w:val="单元格样式2"/>
            </w:pPr>
            <w:r>
              <w:t xml:space="preserve">受益人员满意度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行业标准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 w:name="_Toc_4_4_0000000004"/>
      <w:r>
        <w:rPr>
          <w:rFonts w:ascii="方正仿宋_GBK" w:eastAsia="方正仿宋_GBK" w:hAnsi="方正仿宋_GBK" w:cs="方正仿宋_GBK"/>
          <w:color w:val="000000"/>
          <w:sz w:val="28"/>
        </w:rPr>
        <w:t xml:space="preserve">4.城市品质改善提升法律咨询经费绩效目标表</w:t>
      </w:r>
      <w:bookmarkEnd w:id="3"/>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37020023P88002810852R</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城市品质改善提升法律咨询经费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城市品质改善提升法律咨询经费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20.00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6.通过聘请法律顾问单位，以提升规章规范编制，健全法律顾问制度，减少复议应诉案件，规范执法工作，进一步改善营商环境。</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成本在预算控制数之内</w:t>
            </w:r>
          </w:p>
        </w:tc>
        <w:tc>
          <w:tcPr>
            <w:tcW w:w="2891" w:type="dxa"/>
            <w:hMerge w:val="restart"/>
            <w:vAlign w:val="center"/>
          </w:tcPr>
          <w:p>
            <w:pPr>
              <w:pStyle w:val="单元格样式2"/>
            </w:pPr>
            <w:r>
              <w:t xml:space="preserve">成本在预算控制数之内</w:t>
            </w:r>
          </w:p>
        </w:tc>
        <w:tc>
          <w:tcPr>
            <w:tcW w:w="0" w:type="auto"/>
            <w:hMerge/>
            <w:vAlign w:val="center"/>
          </w:tcPr>
          <w:p>
            <w:pPr/>
          </w:p>
        </w:tc>
        <w:tc>
          <w:tcPr>
            <w:tcW w:w="1276" w:type="dxa"/>
            <w:vAlign w:val="center"/>
          </w:tcPr>
          <w:p>
            <w:pPr>
              <w:pStyle w:val="单元格样式2"/>
            </w:pPr>
            <w:r>
              <w:t xml:space="preserve">20万元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法律顾问合作数量</w:t>
            </w:r>
          </w:p>
        </w:tc>
        <w:tc>
          <w:tcPr>
            <w:tcW w:w="2891" w:type="dxa"/>
            <w:hMerge w:val="restart"/>
            <w:vAlign w:val="center"/>
          </w:tcPr>
          <w:p>
            <w:pPr>
              <w:pStyle w:val="单元格样式2"/>
            </w:pPr>
            <w:r>
              <w:t xml:space="preserve">法律顾问合作数量</w:t>
            </w:r>
          </w:p>
        </w:tc>
        <w:tc>
          <w:tcPr>
            <w:tcW w:w="0" w:type="auto"/>
            <w:hMerge/>
            <w:vAlign w:val="center"/>
          </w:tcPr>
          <w:p>
            <w:pPr/>
          </w:p>
        </w:tc>
        <w:tc>
          <w:tcPr>
            <w:tcW w:w="1276" w:type="dxa"/>
            <w:vAlign w:val="center"/>
          </w:tcPr>
          <w:p>
            <w:pPr>
              <w:pStyle w:val="单元格样式2"/>
            </w:pPr>
            <w:r>
              <w:t xml:space="preserve">≥2个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法律顾问参与法律事务次数</w:t>
            </w:r>
          </w:p>
        </w:tc>
        <w:tc>
          <w:tcPr>
            <w:tcW w:w="2891" w:type="dxa"/>
            <w:hMerge w:val="restart"/>
            <w:vAlign w:val="center"/>
          </w:tcPr>
          <w:p>
            <w:pPr>
              <w:pStyle w:val="单元格样式2"/>
            </w:pPr>
            <w:r>
              <w:t xml:space="preserve">法律顾问参与法律事务次数</w:t>
            </w:r>
          </w:p>
        </w:tc>
        <w:tc>
          <w:tcPr>
            <w:tcW w:w="0" w:type="auto"/>
            <w:hMerge/>
            <w:vAlign w:val="center"/>
          </w:tcPr>
          <w:p>
            <w:pPr/>
          </w:p>
        </w:tc>
        <w:tc>
          <w:tcPr>
            <w:tcW w:w="1276" w:type="dxa"/>
            <w:vAlign w:val="center"/>
          </w:tcPr>
          <w:p>
            <w:pPr>
              <w:pStyle w:val="单元格样式2"/>
            </w:pPr>
            <w:r>
              <w:t xml:space="preserve">≥80次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城市品质提升涉及行政复议应诉案件办结率</w:t>
            </w:r>
          </w:p>
        </w:tc>
        <w:tc>
          <w:tcPr>
            <w:tcW w:w="2891" w:type="dxa"/>
            <w:hMerge w:val="restart"/>
            <w:vAlign w:val="center"/>
          </w:tcPr>
          <w:p>
            <w:pPr>
              <w:pStyle w:val="单元格样式2"/>
            </w:pPr>
            <w:r>
              <w:t xml:space="preserve">城市品质提升涉及行政复议应诉案件办结率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法律顾问服务达标率</w:t>
            </w:r>
          </w:p>
        </w:tc>
        <w:tc>
          <w:tcPr>
            <w:tcW w:w="2891" w:type="dxa"/>
            <w:hMerge w:val="restart"/>
            <w:vAlign w:val="center"/>
          </w:tcPr>
          <w:p>
            <w:pPr>
              <w:pStyle w:val="单元格样式2"/>
            </w:pPr>
            <w:r>
              <w:t xml:space="preserve">法律顾问服务达标率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法律服务周期</w:t>
            </w:r>
          </w:p>
        </w:tc>
        <w:tc>
          <w:tcPr>
            <w:tcW w:w="2891" w:type="dxa"/>
            <w:hMerge w:val="restart"/>
            <w:vAlign w:val="center"/>
          </w:tcPr>
          <w:p>
            <w:pPr>
              <w:pStyle w:val="单元格样式2"/>
            </w:pPr>
            <w:r>
              <w:t xml:space="preserve">法律服务周期</w:t>
            </w:r>
          </w:p>
        </w:tc>
        <w:tc>
          <w:tcPr>
            <w:tcW w:w="0" w:type="auto"/>
            <w:hMerge/>
            <w:vAlign w:val="center"/>
          </w:tcPr>
          <w:p>
            <w:pPr/>
          </w:p>
        </w:tc>
        <w:tc>
          <w:tcPr>
            <w:tcW w:w="1276" w:type="dxa"/>
            <w:vAlign w:val="center"/>
          </w:tcPr>
          <w:p>
            <w:pPr>
              <w:pStyle w:val="单元格样式2"/>
            </w:pPr>
            <w:r>
              <w:t xml:space="preserve">≤7天</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行政应诉案件胜诉率</w:t>
            </w:r>
          </w:p>
        </w:tc>
        <w:tc>
          <w:tcPr>
            <w:tcW w:w="2891" w:type="dxa"/>
            <w:hMerge w:val="restart"/>
            <w:vAlign w:val="center"/>
          </w:tcPr>
          <w:p>
            <w:pPr>
              <w:pStyle w:val="单元格样式2"/>
            </w:pPr>
            <w:r>
              <w:t xml:space="preserve">行政应诉案件胜诉率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受益人员满意度</w:t>
            </w:r>
          </w:p>
        </w:tc>
        <w:tc>
          <w:tcPr>
            <w:tcW w:w="2891" w:type="dxa"/>
            <w:hMerge w:val="restart"/>
            <w:vAlign w:val="center"/>
          </w:tcPr>
          <w:p>
            <w:pPr>
              <w:pStyle w:val="单元格样式2"/>
            </w:pPr>
            <w:r>
              <w:t xml:space="preserve">受益人员满意度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4" w:name="_Toc_4_4_0000000005"/>
      <w:r>
        <w:rPr>
          <w:rFonts w:ascii="方正仿宋_GBK" w:eastAsia="方正仿宋_GBK" w:hAnsi="方正仿宋_GBK" w:cs="方正仿宋_GBK"/>
          <w:color w:val="000000"/>
          <w:sz w:val="28"/>
        </w:rPr>
        <w:t xml:space="preserve">5.户外广告招牌精细化管理工作经费绩效目标表</w:t>
      </w:r>
      <w:bookmarkEnd w:id="4"/>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37020023P88002810845Q</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户外广告招牌精细化管理工作经费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30.00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30.00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户外广告招牌精细化管理工作经费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10.00</w:t>
            </w:r>
          </w:p>
        </w:tc>
        <w:tc>
          <w:tcPr>
            <w:tcW w:w="3118" w:type="dxa"/>
            <w:hMerge w:val="restart"/>
            <w:vAlign w:val="center"/>
          </w:tcPr>
          <w:p>
            <w:pPr>
              <w:pStyle w:val="单元格样式3"/>
            </w:pPr>
            <w:r>
              <w:t xml:space="preserve">30.00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6.推广优化门头招牌前置小程序，推进广告招牌“落规纳管”，通过举办店招大赛和打造门头招牌精品街区街活动，规范提升广告招牌设置品质，打造美观有序的生活空间，提升市民的生活品质。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w:t>
            </w:r>
          </w:p>
        </w:tc>
        <w:tc>
          <w:tcPr>
            <w:tcW w:w="0" w:type="auto"/>
            <w:hMerge/>
            <w:vAlign w:val="center"/>
          </w:tcPr>
          <w:p>
            <w:pPr/>
          </w:p>
        </w:tc>
        <w:tc>
          <w:tcPr>
            <w:tcW w:w="1276" w:type="dxa"/>
            <w:vAlign w:val="center"/>
          </w:tcPr>
          <w:p>
            <w:pPr>
              <w:pStyle w:val="单元格样式2"/>
            </w:pPr>
            <w:r>
              <w:t xml:space="preserve">≤30万元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打造门头招牌精品街区数量</w:t>
            </w:r>
          </w:p>
        </w:tc>
        <w:tc>
          <w:tcPr>
            <w:tcW w:w="2891" w:type="dxa"/>
            <w:hMerge w:val="restart"/>
            <w:vAlign w:val="center"/>
          </w:tcPr>
          <w:p>
            <w:pPr>
              <w:pStyle w:val="单元格样式2"/>
            </w:pPr>
            <w:r>
              <w:t xml:space="preserve">打造门头招牌精品街区数量</w:t>
            </w:r>
          </w:p>
        </w:tc>
        <w:tc>
          <w:tcPr>
            <w:tcW w:w="0" w:type="auto"/>
            <w:hMerge/>
            <w:vAlign w:val="center"/>
          </w:tcPr>
          <w:p>
            <w:pPr/>
          </w:p>
        </w:tc>
        <w:tc>
          <w:tcPr>
            <w:tcW w:w="1276" w:type="dxa"/>
            <w:vAlign w:val="center"/>
          </w:tcPr>
          <w:p>
            <w:pPr>
              <w:pStyle w:val="单元格样式2"/>
            </w:pPr>
            <w:r>
              <w:t xml:space="preserve">≥10处</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店招大赛参赛作品数量</w:t>
            </w:r>
          </w:p>
        </w:tc>
        <w:tc>
          <w:tcPr>
            <w:tcW w:w="2891" w:type="dxa"/>
            <w:hMerge w:val="restart"/>
            <w:vAlign w:val="center"/>
          </w:tcPr>
          <w:p>
            <w:pPr>
              <w:pStyle w:val="单元格样式2"/>
            </w:pPr>
            <w:r>
              <w:t xml:space="preserve">店招大赛参赛作品数量</w:t>
            </w:r>
          </w:p>
        </w:tc>
        <w:tc>
          <w:tcPr>
            <w:tcW w:w="0" w:type="auto"/>
            <w:hMerge/>
            <w:vAlign w:val="center"/>
          </w:tcPr>
          <w:p>
            <w:pPr/>
          </w:p>
        </w:tc>
        <w:tc>
          <w:tcPr>
            <w:tcW w:w="1276" w:type="dxa"/>
            <w:vAlign w:val="center"/>
          </w:tcPr>
          <w:p>
            <w:pPr>
              <w:pStyle w:val="单元格样式2"/>
            </w:pPr>
            <w:r>
              <w:t xml:space="preserve">≥100处</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工作质量达标率</w:t>
            </w:r>
          </w:p>
        </w:tc>
        <w:tc>
          <w:tcPr>
            <w:tcW w:w="2891" w:type="dxa"/>
            <w:hMerge w:val="restart"/>
            <w:vAlign w:val="center"/>
          </w:tcPr>
          <w:p>
            <w:pPr>
              <w:pStyle w:val="单元格样式2"/>
            </w:pPr>
            <w:r>
              <w:t xml:space="preserve">工作质量达标率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门头招牌前置咨询回复率</w:t>
            </w:r>
          </w:p>
        </w:tc>
        <w:tc>
          <w:tcPr>
            <w:tcW w:w="2891" w:type="dxa"/>
            <w:hMerge w:val="restart"/>
            <w:vAlign w:val="center"/>
          </w:tcPr>
          <w:p>
            <w:pPr>
              <w:pStyle w:val="单元格样式2"/>
            </w:pPr>
            <w:r>
              <w:t xml:space="preserve">门头招牌前置咨询回复率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提升城市户外广告设施管理水平</w:t>
            </w:r>
          </w:p>
        </w:tc>
        <w:tc>
          <w:tcPr>
            <w:tcW w:w="2891" w:type="dxa"/>
            <w:hMerge w:val="restart"/>
            <w:vAlign w:val="center"/>
          </w:tcPr>
          <w:p>
            <w:pPr>
              <w:pStyle w:val="单元格样式2"/>
            </w:pPr>
            <w:r>
              <w:t xml:space="preserve">提升城市户外广告设施管理水平</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社会公众满意度</w:t>
            </w:r>
          </w:p>
        </w:tc>
        <w:tc>
          <w:tcPr>
            <w:tcW w:w="2891" w:type="dxa"/>
            <w:hMerge w:val="restart"/>
            <w:vAlign w:val="center"/>
          </w:tcPr>
          <w:p>
            <w:pPr>
              <w:pStyle w:val="单元格样式2"/>
            </w:pPr>
            <w:r>
              <w:t xml:space="preserve">社会公众满意度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5" w:name="_Toc_4_4_0000000006"/>
      <w:r>
        <w:rPr>
          <w:rFonts w:ascii="方正仿宋_GBK" w:eastAsia="方正仿宋_GBK" w:hAnsi="方正仿宋_GBK" w:cs="方正仿宋_GBK"/>
          <w:color w:val="000000"/>
          <w:sz w:val="28"/>
        </w:rPr>
        <w:t xml:space="preserve">6.餐厨垃圾处理费绩效目标表</w:t>
      </w:r>
      <w:bookmarkEnd w:id="5"/>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37020023P60000910010A</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餐厨垃圾处理费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1041.00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1041.00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餐厨垃圾处理费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1041.00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6.实施餐厨垃圾集中处理，处理达标率100%，打造良好城市环境卫生面貌。</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餐厨垃圾处理费</w:t>
            </w:r>
          </w:p>
        </w:tc>
        <w:tc>
          <w:tcPr>
            <w:tcW w:w="2891" w:type="dxa"/>
            <w:hMerge w:val="restart"/>
            <w:vAlign w:val="center"/>
          </w:tcPr>
          <w:p>
            <w:pPr>
              <w:pStyle w:val="单元格样式2"/>
            </w:pPr>
            <w:r>
              <w:t xml:space="preserve">考察餐厨垃圾费总额</w:t>
            </w:r>
          </w:p>
        </w:tc>
        <w:tc>
          <w:tcPr>
            <w:tcW w:w="0" w:type="auto"/>
            <w:hMerge/>
            <w:vAlign w:val="center"/>
          </w:tcPr>
          <w:p>
            <w:pPr/>
          </w:p>
        </w:tc>
        <w:tc>
          <w:tcPr>
            <w:tcW w:w="1276" w:type="dxa"/>
            <w:vAlign w:val="center"/>
          </w:tcPr>
          <w:p>
            <w:pPr>
              <w:pStyle w:val="单元格样式2"/>
            </w:pPr>
            <w:r>
              <w:t xml:space="preserve">≤1041万元</w:t>
            </w:r>
          </w:p>
        </w:tc>
        <w:tc>
          <w:tcPr>
            <w:tcW w:w="1843" w:type="dxa"/>
            <w:vAlign w:val="center"/>
          </w:tcPr>
          <w:p>
            <w:pPr>
              <w:pStyle w:val="单元格样式2"/>
            </w:pPr>
            <w:r>
              <w:t xml:space="preserve">其他标准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餐厨垃圾日处理量</w:t>
            </w:r>
          </w:p>
        </w:tc>
        <w:tc>
          <w:tcPr>
            <w:tcW w:w="2891" w:type="dxa"/>
            <w:hMerge w:val="restart"/>
            <w:vAlign w:val="center"/>
          </w:tcPr>
          <w:p>
            <w:pPr>
              <w:pStyle w:val="单元格样式2"/>
            </w:pPr>
            <w:r>
              <w:t xml:space="preserve">考察餐厨垃圾日处理量</w:t>
            </w:r>
          </w:p>
        </w:tc>
        <w:tc>
          <w:tcPr>
            <w:tcW w:w="0" w:type="auto"/>
            <w:hMerge/>
            <w:vAlign w:val="center"/>
          </w:tcPr>
          <w:p>
            <w:pPr/>
          </w:p>
        </w:tc>
        <w:tc>
          <w:tcPr>
            <w:tcW w:w="1276" w:type="dxa"/>
            <w:vAlign w:val="center"/>
          </w:tcPr>
          <w:p>
            <w:pPr>
              <w:pStyle w:val="单元格样式2"/>
            </w:pPr>
            <w:r>
              <w:t xml:space="preserve">≥300吨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餐厨垃圾处理量</w:t>
            </w:r>
          </w:p>
          <w:p>
            <w:pPr>
              <w:pStyle w:val="单元格样式2"/>
            </w:pPr>
          </w:p>
        </w:tc>
        <w:tc>
          <w:tcPr>
            <w:tcW w:w="2891" w:type="dxa"/>
            <w:hMerge w:val="restart"/>
            <w:vAlign w:val="center"/>
          </w:tcPr>
          <w:p>
            <w:pPr>
              <w:pStyle w:val="单元格样式2"/>
            </w:pPr>
            <w:r>
              <w:t xml:space="preserve">考察餐厨垃圾处理量</w:t>
            </w:r>
          </w:p>
        </w:tc>
        <w:tc>
          <w:tcPr>
            <w:tcW w:w="0" w:type="auto"/>
            <w:hMerge/>
            <w:vAlign w:val="center"/>
          </w:tcPr>
          <w:p>
            <w:pPr/>
          </w:p>
        </w:tc>
        <w:tc>
          <w:tcPr>
            <w:tcW w:w="1276" w:type="dxa"/>
            <w:vAlign w:val="center"/>
          </w:tcPr>
          <w:p>
            <w:pPr>
              <w:pStyle w:val="单元格样式2"/>
            </w:pPr>
            <w:r>
              <w:t xml:space="preserve">≥10.95万吨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产出废油脂合格率</w:t>
            </w:r>
          </w:p>
        </w:tc>
        <w:tc>
          <w:tcPr>
            <w:tcW w:w="2891" w:type="dxa"/>
            <w:hMerge w:val="restart"/>
            <w:vAlign w:val="center"/>
          </w:tcPr>
          <w:p>
            <w:pPr>
              <w:pStyle w:val="单元格样式2"/>
            </w:pPr>
            <w:r>
              <w:t xml:space="preserve">产出废油脂合格情况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餐厨垃圾处理质量达标率</w:t>
            </w:r>
          </w:p>
        </w:tc>
        <w:tc>
          <w:tcPr>
            <w:tcW w:w="2891" w:type="dxa"/>
            <w:hMerge w:val="restart"/>
            <w:vAlign w:val="center"/>
          </w:tcPr>
          <w:p>
            <w:pPr>
              <w:pStyle w:val="单元格样式2"/>
            </w:pPr>
            <w:r>
              <w:t xml:space="preserve">餐厨垃圾处理质量达标情况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行业标准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改善居民生活环境</w:t>
            </w:r>
          </w:p>
        </w:tc>
        <w:tc>
          <w:tcPr>
            <w:tcW w:w="2891" w:type="dxa"/>
            <w:hMerge w:val="restart"/>
            <w:vAlign w:val="center"/>
          </w:tcPr>
          <w:p>
            <w:pPr>
              <w:pStyle w:val="单元格样式2"/>
            </w:pPr>
            <w:r>
              <w:t xml:space="preserve">改善居民生活环境</w:t>
            </w:r>
          </w:p>
        </w:tc>
        <w:tc>
          <w:tcPr>
            <w:tcW w:w="0" w:type="auto"/>
            <w:hMerge/>
            <w:vAlign w:val="center"/>
          </w:tcPr>
          <w:p>
            <w:pPr/>
          </w:p>
        </w:tc>
        <w:tc>
          <w:tcPr>
            <w:tcW w:w="1276" w:type="dxa"/>
            <w:vAlign w:val="center"/>
          </w:tcPr>
          <w:p>
            <w:pPr>
              <w:pStyle w:val="单元格样式2"/>
            </w:pPr>
            <w:r>
              <w:t xml:space="preserve">效果明显</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污染物排放达标率</w:t>
            </w:r>
          </w:p>
        </w:tc>
        <w:tc>
          <w:tcPr>
            <w:tcW w:w="2891" w:type="dxa"/>
            <w:hMerge w:val="restart"/>
            <w:vAlign w:val="center"/>
          </w:tcPr>
          <w:p>
            <w:pPr>
              <w:pStyle w:val="单元格样式2"/>
            </w:pPr>
            <w:r>
              <w:t xml:space="preserve">考察项目污染物排放达标情况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行业标准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考察服务对象满意度情况</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6" w:name="_Toc_4_4_0000000007"/>
      <w:r>
        <w:rPr>
          <w:rFonts w:ascii="方正仿宋_GBK" w:eastAsia="方正仿宋_GBK" w:hAnsi="方正仿宋_GBK" w:cs="方正仿宋_GBK"/>
          <w:color w:val="000000"/>
          <w:sz w:val="28"/>
        </w:rPr>
        <w:t xml:space="preserve">7.城市管理公示、公告及宣传经费绩效目标表</w:t>
      </w:r>
      <w:bookmarkEnd w:id="6"/>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37020023P55000810018E</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城市管理公示、公告及宣传经费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200.00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200.00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城市管理公示、公告及宣传经费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50.00</w:t>
            </w:r>
          </w:p>
        </w:tc>
        <w:tc>
          <w:tcPr>
            <w:tcW w:w="3118" w:type="dxa"/>
            <w:hMerge w:val="restart"/>
            <w:vAlign w:val="center"/>
          </w:tcPr>
          <w:p>
            <w:pPr>
              <w:pStyle w:val="单元格样式3"/>
            </w:pPr>
            <w:r>
              <w:t xml:space="preserve">200.00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6.充分利用广播、电视、报纸、网络等媒体,履行城市管理行业公示、公告、通报等工作并开展形式多样的宣传活动,及时准确发布信息,积极回应社会关切。</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w:t>
            </w:r>
          </w:p>
        </w:tc>
        <w:tc>
          <w:tcPr>
            <w:tcW w:w="0" w:type="auto"/>
            <w:hMerge/>
            <w:vAlign w:val="center"/>
          </w:tcPr>
          <w:p>
            <w:pPr/>
          </w:p>
        </w:tc>
        <w:tc>
          <w:tcPr>
            <w:tcW w:w="1276" w:type="dxa"/>
            <w:vAlign w:val="center"/>
          </w:tcPr>
          <w:p>
            <w:pPr>
              <w:pStyle w:val="单元格样式2"/>
            </w:pPr>
            <w:r>
              <w:t xml:space="preserve">≤200万元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城市管理信息公示媒体渠道数量</w:t>
            </w:r>
          </w:p>
        </w:tc>
        <w:tc>
          <w:tcPr>
            <w:tcW w:w="2891" w:type="dxa"/>
            <w:hMerge w:val="restart"/>
            <w:vAlign w:val="center"/>
          </w:tcPr>
          <w:p>
            <w:pPr>
              <w:pStyle w:val="单元格样式2"/>
            </w:pPr>
            <w:r>
              <w:t xml:space="preserve">城市管理信息公示媒体渠道数量</w:t>
            </w:r>
          </w:p>
        </w:tc>
        <w:tc>
          <w:tcPr>
            <w:tcW w:w="0" w:type="auto"/>
            <w:hMerge/>
            <w:vAlign w:val="center"/>
          </w:tcPr>
          <w:p>
            <w:pPr/>
          </w:p>
        </w:tc>
        <w:tc>
          <w:tcPr>
            <w:tcW w:w="1276" w:type="dxa"/>
            <w:vAlign w:val="center"/>
          </w:tcPr>
          <w:p>
            <w:pPr>
              <w:pStyle w:val="单元格样式2"/>
            </w:pPr>
            <w:r>
              <w:t xml:space="preserve">≥10个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城市管理信息公开媒体报道篇次</w:t>
            </w:r>
          </w:p>
        </w:tc>
        <w:tc>
          <w:tcPr>
            <w:tcW w:w="2891" w:type="dxa"/>
            <w:hMerge w:val="restart"/>
            <w:vAlign w:val="center"/>
          </w:tcPr>
          <w:p>
            <w:pPr>
              <w:pStyle w:val="单元格样式2"/>
            </w:pPr>
            <w:r>
              <w:t xml:space="preserve">城市管理信息公开媒体报道篇次</w:t>
            </w:r>
          </w:p>
        </w:tc>
        <w:tc>
          <w:tcPr>
            <w:tcW w:w="0" w:type="auto"/>
            <w:hMerge/>
            <w:vAlign w:val="center"/>
          </w:tcPr>
          <w:p>
            <w:pPr/>
          </w:p>
        </w:tc>
        <w:tc>
          <w:tcPr>
            <w:tcW w:w="1276" w:type="dxa"/>
            <w:vAlign w:val="center"/>
          </w:tcPr>
          <w:p>
            <w:pPr>
              <w:pStyle w:val="单元格样式2"/>
            </w:pPr>
            <w:r>
              <w:t xml:space="preserve">≥1500篇</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城市管理信息公开率</w:t>
            </w:r>
          </w:p>
        </w:tc>
        <w:tc>
          <w:tcPr>
            <w:tcW w:w="2891" w:type="dxa"/>
            <w:hMerge w:val="restart"/>
            <w:vAlign w:val="center"/>
          </w:tcPr>
          <w:p>
            <w:pPr>
              <w:pStyle w:val="单元格样式2"/>
            </w:pPr>
            <w:r>
              <w:t xml:space="preserve">城市管理信息公开率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城市管理信息公开覆盖度</w:t>
            </w:r>
          </w:p>
        </w:tc>
        <w:tc>
          <w:tcPr>
            <w:tcW w:w="2891" w:type="dxa"/>
            <w:hMerge w:val="restart"/>
            <w:vAlign w:val="center"/>
          </w:tcPr>
          <w:p>
            <w:pPr>
              <w:pStyle w:val="单元格样式2"/>
            </w:pPr>
            <w:r>
              <w:t xml:space="preserve">城市管理信息公开覆盖度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城市管理信息公开周期</w:t>
            </w:r>
          </w:p>
        </w:tc>
        <w:tc>
          <w:tcPr>
            <w:tcW w:w="2891" w:type="dxa"/>
            <w:hMerge w:val="restart"/>
            <w:vAlign w:val="center"/>
          </w:tcPr>
          <w:p>
            <w:pPr>
              <w:pStyle w:val="单元格样式2"/>
            </w:pPr>
            <w:r>
              <w:t xml:space="preserve">城市管理信息公开周期</w:t>
            </w:r>
          </w:p>
        </w:tc>
        <w:tc>
          <w:tcPr>
            <w:tcW w:w="0" w:type="auto"/>
            <w:hMerge/>
            <w:vAlign w:val="center"/>
          </w:tcPr>
          <w:p>
            <w:pPr/>
          </w:p>
        </w:tc>
        <w:tc>
          <w:tcPr>
            <w:tcW w:w="1276" w:type="dxa"/>
            <w:vAlign w:val="center"/>
          </w:tcPr>
          <w:p>
            <w:pPr>
              <w:pStyle w:val="单元格样式2"/>
            </w:pPr>
            <w:r>
              <w:t xml:space="preserve">≤2天</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城市管理信息公开知晓度</w:t>
            </w:r>
          </w:p>
        </w:tc>
        <w:tc>
          <w:tcPr>
            <w:tcW w:w="2891" w:type="dxa"/>
            <w:hMerge w:val="restart"/>
            <w:vAlign w:val="center"/>
          </w:tcPr>
          <w:p>
            <w:pPr>
              <w:pStyle w:val="单元格样式2"/>
            </w:pPr>
            <w:r>
              <w:t xml:space="preserve">城市管理信息公开知晓度</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受益人员满意度</w:t>
            </w:r>
          </w:p>
        </w:tc>
        <w:tc>
          <w:tcPr>
            <w:tcW w:w="2891" w:type="dxa"/>
            <w:hMerge w:val="restart"/>
            <w:vAlign w:val="center"/>
          </w:tcPr>
          <w:p>
            <w:pPr>
              <w:pStyle w:val="单元格样式2"/>
            </w:pPr>
            <w:r>
              <w:t xml:space="preserve">受益人员满意度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7" w:name="_Toc_4_4_0000000008"/>
      <w:r>
        <w:rPr>
          <w:rFonts w:ascii="方正仿宋_GBK" w:eastAsia="方正仿宋_GBK" w:hAnsi="方正仿宋_GBK" w:cs="方正仿宋_GBK"/>
          <w:color w:val="000000"/>
          <w:sz w:val="28"/>
        </w:rPr>
        <w:t xml:space="preserve">8.城市垃圾分类三方考核绩效目标表</w:t>
      </w:r>
      <w:bookmarkEnd w:id="7"/>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37020023P58001610002B</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城市垃圾分类三方考核</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100.00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100.00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城市生活垃圾分类第三方考核项目经费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100.00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6.引入第三方考核机构，对垃圾分类工作进行客观、公正考核评分，采用政府购买服务的方式吸引社会力量参与生活垃圾分类指导工作。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委托服务费</w:t>
            </w:r>
          </w:p>
        </w:tc>
        <w:tc>
          <w:tcPr>
            <w:tcW w:w="2891" w:type="dxa"/>
            <w:hMerge w:val="restart"/>
            <w:vAlign w:val="center"/>
          </w:tcPr>
          <w:p>
            <w:pPr>
              <w:pStyle w:val="单元格样式2"/>
            </w:pPr>
            <w:r>
              <w:t xml:space="preserve">委托三方机构服务费</w:t>
            </w:r>
          </w:p>
        </w:tc>
        <w:tc>
          <w:tcPr>
            <w:tcW w:w="0" w:type="auto"/>
            <w:hMerge/>
            <w:vAlign w:val="center"/>
          </w:tcPr>
          <w:p>
            <w:pPr/>
          </w:p>
        </w:tc>
        <w:tc>
          <w:tcPr>
            <w:tcW w:w="1276" w:type="dxa"/>
            <w:vAlign w:val="center"/>
          </w:tcPr>
          <w:p>
            <w:pPr>
              <w:pStyle w:val="单元格样式2"/>
            </w:pPr>
            <w:r>
              <w:t xml:space="preserve">≤100万元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考核区市个数</w:t>
            </w:r>
          </w:p>
        </w:tc>
        <w:tc>
          <w:tcPr>
            <w:tcW w:w="2891" w:type="dxa"/>
            <w:hMerge w:val="restart"/>
            <w:vAlign w:val="center"/>
          </w:tcPr>
          <w:p>
            <w:pPr>
              <w:pStyle w:val="单元格样式2"/>
            </w:pPr>
            <w:r>
              <w:t xml:space="preserve">考核区市个数</w:t>
            </w:r>
          </w:p>
        </w:tc>
        <w:tc>
          <w:tcPr>
            <w:tcW w:w="0" w:type="auto"/>
            <w:hMerge/>
            <w:vAlign w:val="center"/>
          </w:tcPr>
          <w:p>
            <w:pPr/>
          </w:p>
        </w:tc>
        <w:tc>
          <w:tcPr>
            <w:tcW w:w="1276" w:type="dxa"/>
            <w:vAlign w:val="center"/>
          </w:tcPr>
          <w:p>
            <w:pPr>
              <w:pStyle w:val="单元格样式2"/>
            </w:pPr>
            <w:r>
              <w:t xml:space="preserve">10个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委托服务单位数量</w:t>
            </w:r>
          </w:p>
        </w:tc>
        <w:tc>
          <w:tcPr>
            <w:tcW w:w="2891" w:type="dxa"/>
            <w:hMerge w:val="restart"/>
            <w:vAlign w:val="center"/>
          </w:tcPr>
          <w:p>
            <w:pPr>
              <w:pStyle w:val="单元格样式2"/>
            </w:pPr>
            <w:r>
              <w:t xml:space="preserve">委托服务单位数量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第三方工作达标率</w:t>
            </w:r>
          </w:p>
        </w:tc>
        <w:tc>
          <w:tcPr>
            <w:tcW w:w="2891" w:type="dxa"/>
            <w:hMerge w:val="restart"/>
            <w:vAlign w:val="center"/>
          </w:tcPr>
          <w:p>
            <w:pPr>
              <w:pStyle w:val="单元格样式2"/>
            </w:pPr>
            <w:r>
              <w:t xml:space="preserve">第三方工作达标率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考核报告质量符合度</w:t>
            </w:r>
          </w:p>
        </w:tc>
        <w:tc>
          <w:tcPr>
            <w:tcW w:w="2891" w:type="dxa"/>
            <w:hMerge w:val="restart"/>
            <w:vAlign w:val="center"/>
          </w:tcPr>
          <w:p>
            <w:pPr>
              <w:pStyle w:val="单元格样式2"/>
            </w:pPr>
            <w:r>
              <w:t xml:space="preserve">考核报告质量符合度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垃圾分类知晓率</w:t>
            </w:r>
          </w:p>
        </w:tc>
        <w:tc>
          <w:tcPr>
            <w:tcW w:w="2891" w:type="dxa"/>
            <w:hMerge w:val="restart"/>
            <w:vAlign w:val="center"/>
          </w:tcPr>
          <w:p>
            <w:pPr>
              <w:pStyle w:val="单元格样式2"/>
            </w:pPr>
            <w:r>
              <w:t xml:space="preserve">垃圾分类知晓率</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8" w:name="_Toc_4_4_0000000009"/>
      <w:r>
        <w:rPr>
          <w:rFonts w:ascii="方正仿宋_GBK" w:eastAsia="方正仿宋_GBK" w:hAnsi="方正仿宋_GBK" w:cs="方正仿宋_GBK"/>
          <w:color w:val="000000"/>
          <w:sz w:val="28"/>
        </w:rPr>
        <w:t xml:space="preserve">9.城市清雪、行业安全应急资金绩效目标表</w:t>
      </w:r>
      <w:bookmarkEnd w:id="8"/>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37020023P55000810017T</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城市清雪、行业安全应急资金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410.00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410.00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用于支付城市清雪、行业安全应急资金。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410.00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正常清雪业务经费支出，保障清雪设备物料存储、购置、维护，保障清雪现场抢修救援处置人工、机械费等应急项目支出，提升城市清雪基础应对能力、指挥协调能力、应急保障能力，保障城市雪期的正常有序运行。通过安全应急资金支出，开展行业安全风险评估，邀请安全专家开展安全检查，帮助行业企业查找整改安全生产问题隐患。按照规定程序，对社会各界和广大群众参与举报城镇燃气行业生产安全事故隐患和非法违法行为进行奖励，帮助及时发现并排除事故隐患，制止和惩处非法违法行为。</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w:t>
            </w:r>
          </w:p>
        </w:tc>
        <w:tc>
          <w:tcPr>
            <w:tcW w:w="0" w:type="auto"/>
            <w:hMerge/>
            <w:vAlign w:val="center"/>
          </w:tcPr>
          <w:p>
            <w:pPr/>
          </w:p>
        </w:tc>
        <w:tc>
          <w:tcPr>
            <w:tcW w:w="1276" w:type="dxa"/>
            <w:vAlign w:val="center"/>
          </w:tcPr>
          <w:p>
            <w:pPr>
              <w:pStyle w:val="单元格样式2"/>
            </w:pPr>
            <w:r>
              <w:t xml:space="preserve">≤410万元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城区专业化清雪道路数量</w:t>
            </w:r>
          </w:p>
        </w:tc>
        <w:tc>
          <w:tcPr>
            <w:tcW w:w="2891" w:type="dxa"/>
            <w:hMerge w:val="restart"/>
            <w:vAlign w:val="center"/>
          </w:tcPr>
          <w:p>
            <w:pPr>
              <w:pStyle w:val="单元格样式2"/>
            </w:pPr>
            <w:r>
              <w:t xml:space="preserve">城区专业化清雪道路数量</w:t>
            </w:r>
          </w:p>
        </w:tc>
        <w:tc>
          <w:tcPr>
            <w:tcW w:w="0" w:type="auto"/>
            <w:hMerge/>
            <w:vAlign w:val="center"/>
          </w:tcPr>
          <w:p>
            <w:pPr/>
          </w:p>
        </w:tc>
        <w:tc>
          <w:tcPr>
            <w:tcW w:w="1276" w:type="dxa"/>
            <w:vAlign w:val="center"/>
          </w:tcPr>
          <w:p>
            <w:pPr>
              <w:pStyle w:val="单元格样式2"/>
            </w:pPr>
            <w:r>
              <w:t xml:space="preserve">≥1200条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城区专业化清雪面积</w:t>
            </w:r>
          </w:p>
        </w:tc>
        <w:tc>
          <w:tcPr>
            <w:tcW w:w="2891" w:type="dxa"/>
            <w:hMerge w:val="restart"/>
            <w:vAlign w:val="center"/>
          </w:tcPr>
          <w:p>
            <w:pPr>
              <w:pStyle w:val="单元格样式2"/>
            </w:pPr>
            <w:r>
              <w:t xml:space="preserve">城区专业化清雪面积</w:t>
            </w:r>
          </w:p>
        </w:tc>
        <w:tc>
          <w:tcPr>
            <w:tcW w:w="0" w:type="auto"/>
            <w:hMerge/>
            <w:vAlign w:val="center"/>
          </w:tcPr>
          <w:p>
            <w:pPr/>
          </w:p>
        </w:tc>
        <w:tc>
          <w:tcPr>
            <w:tcW w:w="1276" w:type="dxa"/>
            <w:vAlign w:val="center"/>
          </w:tcPr>
          <w:p>
            <w:pPr>
              <w:pStyle w:val="单元格样式2"/>
            </w:pPr>
            <w:r>
              <w:t xml:space="preserve">≥50平方公里</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专业除雪达标率</w:t>
            </w:r>
          </w:p>
        </w:tc>
        <w:tc>
          <w:tcPr>
            <w:tcW w:w="2891" w:type="dxa"/>
            <w:hMerge w:val="restart"/>
            <w:vAlign w:val="center"/>
          </w:tcPr>
          <w:p>
            <w:pPr>
              <w:pStyle w:val="单元格样式2"/>
            </w:pPr>
            <w:r>
              <w:t xml:space="preserve">专业除雪达标率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考察清雪指挥调度系统运行率</w:t>
            </w:r>
          </w:p>
        </w:tc>
        <w:tc>
          <w:tcPr>
            <w:tcW w:w="2891" w:type="dxa"/>
            <w:hMerge w:val="restart"/>
            <w:vAlign w:val="center"/>
          </w:tcPr>
          <w:p>
            <w:pPr>
              <w:pStyle w:val="单元格样式2"/>
            </w:pPr>
            <w:r>
              <w:t xml:space="preserve">考察清雪指挥调度系统运行情况</w:t>
            </w:r>
          </w:p>
        </w:tc>
        <w:tc>
          <w:tcPr>
            <w:tcW w:w="0" w:type="auto"/>
            <w:hMerge/>
            <w:vAlign w:val="center"/>
          </w:tcPr>
          <w:p>
            <w:pPr/>
          </w:p>
        </w:tc>
        <w:tc>
          <w:tcPr>
            <w:tcW w:w="1276" w:type="dxa"/>
            <w:vAlign w:val="center"/>
          </w:tcPr>
          <w:p>
            <w:pPr>
              <w:pStyle w:val="单元格样式2"/>
            </w:pPr>
            <w:r>
              <w:t xml:space="preserve">≥99%</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清雪应急响应出动时间</w:t>
            </w:r>
          </w:p>
        </w:tc>
        <w:tc>
          <w:tcPr>
            <w:tcW w:w="2891" w:type="dxa"/>
            <w:hMerge w:val="restart"/>
            <w:vAlign w:val="center"/>
          </w:tcPr>
          <w:p>
            <w:pPr>
              <w:pStyle w:val="单元格样式2"/>
            </w:pPr>
            <w:r>
              <w:t xml:space="preserve">清雪应急响应出动时间</w:t>
            </w:r>
          </w:p>
        </w:tc>
        <w:tc>
          <w:tcPr>
            <w:tcW w:w="0" w:type="auto"/>
            <w:hMerge/>
            <w:vAlign w:val="center"/>
          </w:tcPr>
          <w:p>
            <w:pPr/>
          </w:p>
        </w:tc>
        <w:tc>
          <w:tcPr>
            <w:tcW w:w="1276" w:type="dxa"/>
            <w:vAlign w:val="center"/>
          </w:tcPr>
          <w:p>
            <w:pPr>
              <w:pStyle w:val="单元格样式2"/>
            </w:pPr>
            <w:r>
              <w:t xml:space="preserve">≤2小时</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市区主干道通行率</w:t>
            </w:r>
          </w:p>
        </w:tc>
        <w:tc>
          <w:tcPr>
            <w:tcW w:w="2891" w:type="dxa"/>
            <w:hMerge w:val="restart"/>
            <w:vAlign w:val="center"/>
          </w:tcPr>
          <w:p>
            <w:pPr>
              <w:pStyle w:val="单元格样式2"/>
            </w:pPr>
            <w:r>
              <w:t xml:space="preserve">市区主干道通行率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社会公众满意度</w:t>
            </w:r>
          </w:p>
        </w:tc>
        <w:tc>
          <w:tcPr>
            <w:tcW w:w="2891" w:type="dxa"/>
            <w:hMerge w:val="restart"/>
            <w:vAlign w:val="center"/>
          </w:tcPr>
          <w:p>
            <w:pPr>
              <w:pStyle w:val="单元格样式2"/>
            </w:pPr>
            <w:r>
              <w:t xml:space="preserve">社会公众满意度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9" w:name="_Toc_4_4_0000000010"/>
      <w:r>
        <w:rPr>
          <w:rFonts w:ascii="方正仿宋_GBK" w:eastAsia="方正仿宋_GBK" w:hAnsi="方正仿宋_GBK" w:cs="方正仿宋_GBK"/>
          <w:color w:val="000000"/>
          <w:sz w:val="28"/>
        </w:rPr>
        <w:t xml:space="preserve">10.城市生活垃圾分类第三方考核项目经费绩效目标表</w:t>
      </w:r>
      <w:bookmarkEnd w:id="9"/>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37020023P550002100069</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城市生活垃圾分类第三方考核项目经费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44.00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44.00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城市生活垃圾分类第三方考核项目经费。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44.00</w:t>
            </w:r>
          </w:p>
        </w:tc>
        <w:tc>
          <w:tcPr>
            <w:tcW w:w="3118" w:type="dxa"/>
            <w:hMerge w:val="restart"/>
            <w:vAlign w:val="center"/>
          </w:tcPr>
          <w:p>
            <w:pPr>
              <w:pStyle w:val="单元格样式3"/>
            </w:pPr>
            <w:r>
              <w:t xml:space="preserve">44.00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6.通过引入第三方考核机构，对垃圾分类工作进行客观、公正考核评分，采用政府购买服务的方式吸引社会力量参与生活垃圾分类指导工作，达到我市垃圾分类工作水平不断提高的效果。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委托服务费</w:t>
            </w:r>
          </w:p>
        </w:tc>
        <w:tc>
          <w:tcPr>
            <w:tcW w:w="2891" w:type="dxa"/>
            <w:hMerge w:val="restart"/>
            <w:vAlign w:val="center"/>
          </w:tcPr>
          <w:p>
            <w:pPr>
              <w:pStyle w:val="单元格样式2"/>
            </w:pPr>
            <w:r>
              <w:t xml:space="preserve">2021年度第三方合同尾款</w:t>
            </w:r>
          </w:p>
        </w:tc>
        <w:tc>
          <w:tcPr>
            <w:tcW w:w="0" w:type="auto"/>
            <w:hMerge/>
            <w:vAlign w:val="center"/>
          </w:tcPr>
          <w:p>
            <w:pPr/>
          </w:p>
        </w:tc>
        <w:tc>
          <w:tcPr>
            <w:tcW w:w="1276" w:type="dxa"/>
            <w:vAlign w:val="center"/>
          </w:tcPr>
          <w:p>
            <w:pPr>
              <w:pStyle w:val="单元格样式2"/>
            </w:pPr>
            <w:r>
              <w:t xml:space="preserve">≤44万元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提交年度检查报告数量</w:t>
            </w:r>
          </w:p>
        </w:tc>
        <w:tc>
          <w:tcPr>
            <w:tcW w:w="2891" w:type="dxa"/>
            <w:hMerge w:val="restart"/>
            <w:vAlign w:val="center"/>
          </w:tcPr>
          <w:p>
            <w:pPr>
              <w:pStyle w:val="单元格样式2"/>
            </w:pPr>
            <w:r>
              <w:t xml:space="preserve">提交年度检查报告数量</w:t>
            </w:r>
          </w:p>
        </w:tc>
        <w:tc>
          <w:tcPr>
            <w:tcW w:w="0" w:type="auto"/>
            <w:hMerge/>
            <w:vAlign w:val="center"/>
          </w:tcPr>
          <w:p>
            <w:pPr/>
          </w:p>
        </w:tc>
        <w:tc>
          <w:tcPr>
            <w:tcW w:w="1276" w:type="dxa"/>
            <w:vAlign w:val="center"/>
          </w:tcPr>
          <w:p>
            <w:pPr>
              <w:pStyle w:val="单元格样式2"/>
            </w:pPr>
            <w:r>
              <w:t xml:space="preserve">1份</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提交2022年4季度检查报告数量</w:t>
            </w:r>
          </w:p>
        </w:tc>
        <w:tc>
          <w:tcPr>
            <w:tcW w:w="2891" w:type="dxa"/>
            <w:hMerge w:val="restart"/>
            <w:vAlign w:val="center"/>
          </w:tcPr>
          <w:p>
            <w:pPr>
              <w:pStyle w:val="单元格样式2"/>
            </w:pPr>
            <w:r>
              <w:t xml:space="preserve">提交2022年4季度检查报告数量</w:t>
            </w:r>
          </w:p>
        </w:tc>
        <w:tc>
          <w:tcPr>
            <w:tcW w:w="0" w:type="auto"/>
            <w:hMerge/>
            <w:vAlign w:val="center"/>
          </w:tcPr>
          <w:p>
            <w:pPr/>
          </w:p>
        </w:tc>
        <w:tc>
          <w:tcPr>
            <w:tcW w:w="1276" w:type="dxa"/>
            <w:vAlign w:val="center"/>
          </w:tcPr>
          <w:p>
            <w:pPr>
              <w:pStyle w:val="单元格样式2"/>
            </w:pPr>
            <w:r>
              <w:t xml:space="preserve">1份</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合同执行达标率</w:t>
            </w:r>
          </w:p>
        </w:tc>
        <w:tc>
          <w:tcPr>
            <w:tcW w:w="2891" w:type="dxa"/>
            <w:hMerge w:val="restart"/>
            <w:vAlign w:val="center"/>
          </w:tcPr>
          <w:p>
            <w:pPr>
              <w:pStyle w:val="单元格样式2"/>
            </w:pPr>
            <w:r>
              <w:t xml:space="preserve">合同执行达标率</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投放点升级改造</w:t>
            </w:r>
          </w:p>
        </w:tc>
        <w:tc>
          <w:tcPr>
            <w:tcW w:w="2891" w:type="dxa"/>
            <w:hMerge w:val="restart"/>
            <w:vAlign w:val="center"/>
          </w:tcPr>
          <w:p>
            <w:pPr>
              <w:pStyle w:val="单元格样式2"/>
            </w:pPr>
            <w:r>
              <w:t xml:space="preserve">投放点升级改造</w:t>
            </w:r>
          </w:p>
        </w:tc>
        <w:tc>
          <w:tcPr>
            <w:tcW w:w="0" w:type="auto"/>
            <w:hMerge/>
            <w:vAlign w:val="center"/>
          </w:tcPr>
          <w:p>
            <w:pPr/>
          </w:p>
        </w:tc>
        <w:tc>
          <w:tcPr>
            <w:tcW w:w="1276" w:type="dxa"/>
            <w:vAlign w:val="center"/>
          </w:tcPr>
          <w:p>
            <w:pPr>
              <w:pStyle w:val="单元格样式2"/>
            </w:pPr>
            <w:r>
              <w:t xml:space="preserve">≥60%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生活垃圾分类政策和标准规范完善度</w:t>
            </w:r>
          </w:p>
        </w:tc>
        <w:tc>
          <w:tcPr>
            <w:tcW w:w="2891" w:type="dxa"/>
            <w:hMerge w:val="restart"/>
            <w:vAlign w:val="center"/>
          </w:tcPr>
          <w:p>
            <w:pPr>
              <w:pStyle w:val="单元格样式2"/>
            </w:pPr>
            <w:r>
              <w:t xml:space="preserve">生活垃圾分类政策和标准规范完善度</w:t>
            </w:r>
          </w:p>
        </w:tc>
        <w:tc>
          <w:tcPr>
            <w:tcW w:w="0" w:type="auto"/>
            <w:hMerge/>
            <w:vAlign w:val="center"/>
          </w:tcPr>
          <w:p>
            <w:pPr/>
          </w:p>
        </w:tc>
        <w:tc>
          <w:tcPr>
            <w:tcW w:w="1276" w:type="dxa"/>
            <w:vAlign w:val="center"/>
          </w:tcPr>
          <w:p>
            <w:pPr>
              <w:pStyle w:val="单元格样式2"/>
            </w:pPr>
            <w:r>
              <w:t xml:space="preserve">提高</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0" w:name="_Toc_4_4_0000000011"/>
      <w:r>
        <w:rPr>
          <w:rFonts w:ascii="方正仿宋_GBK" w:eastAsia="方正仿宋_GBK" w:hAnsi="方正仿宋_GBK" w:cs="方正仿宋_GBK"/>
          <w:color w:val="000000"/>
          <w:sz w:val="28"/>
        </w:rPr>
        <w:t xml:space="preserve">11.城市生活垃圾分类专项宣传经费绩效目标表</w:t>
      </w:r>
      <w:bookmarkEnd w:id="1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37020023P55000210005M</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城市生活垃圾分类专项宣传经费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200.00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200.00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城市生活垃圾分类专项宣传经费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50.00</w:t>
            </w:r>
          </w:p>
        </w:tc>
        <w:tc>
          <w:tcPr>
            <w:tcW w:w="3118" w:type="dxa"/>
            <w:hMerge w:val="restart"/>
            <w:vAlign w:val="center"/>
          </w:tcPr>
          <w:p>
            <w:pPr>
              <w:pStyle w:val="单元格样式3"/>
            </w:pPr>
            <w:r>
              <w:t xml:space="preserve">200.00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6.通过媒体等的广泛宣传，引导居民深入、广泛参与垃圾分类工作，从而实现改变居民生活习惯和生活理念的效果。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专项宣传</w:t>
            </w:r>
          </w:p>
          <w:p>
            <w:pPr>
              <w:pStyle w:val="单元格样式2"/>
            </w:pPr>
            <w:r>
              <w:t xml:space="preserve">经费</w:t>
            </w:r>
          </w:p>
          <w:p>
            <w:pPr>
              <w:pStyle w:val="单元格样式2"/>
            </w:pPr>
          </w:p>
        </w:tc>
        <w:tc>
          <w:tcPr>
            <w:tcW w:w="2891" w:type="dxa"/>
            <w:hMerge w:val="restart"/>
            <w:vAlign w:val="center"/>
          </w:tcPr>
          <w:p>
            <w:pPr>
              <w:pStyle w:val="单元格样式2"/>
            </w:pPr>
            <w:r>
              <w:t xml:space="preserve">垃圾分类宣传服务经费</w:t>
            </w:r>
          </w:p>
          <w:p>
            <w:pPr>
              <w:pStyle w:val="单元格样式2"/>
            </w:pPr>
          </w:p>
        </w:tc>
        <w:tc>
          <w:tcPr>
            <w:tcW w:w="0" w:type="auto"/>
            <w:hMerge/>
            <w:vAlign w:val="center"/>
          </w:tcPr>
          <w:p>
            <w:pPr/>
          </w:p>
        </w:tc>
        <w:tc>
          <w:tcPr>
            <w:tcW w:w="1276" w:type="dxa"/>
            <w:vAlign w:val="center"/>
          </w:tcPr>
          <w:p>
            <w:pPr>
              <w:pStyle w:val="单元格样式2"/>
            </w:pPr>
            <w:r>
              <w:t xml:space="preserve">≤200万元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宣传受众</w:t>
            </w:r>
          </w:p>
        </w:tc>
        <w:tc>
          <w:tcPr>
            <w:tcW w:w="2891" w:type="dxa"/>
            <w:hMerge w:val="restart"/>
            <w:vAlign w:val="center"/>
          </w:tcPr>
          <w:p>
            <w:pPr>
              <w:pStyle w:val="单元格样式2"/>
            </w:pPr>
            <w:r>
              <w:t xml:space="preserve">宣传受众</w:t>
            </w:r>
          </w:p>
        </w:tc>
        <w:tc>
          <w:tcPr>
            <w:tcW w:w="0" w:type="auto"/>
            <w:hMerge/>
            <w:vAlign w:val="center"/>
          </w:tcPr>
          <w:p>
            <w:pPr/>
          </w:p>
        </w:tc>
        <w:tc>
          <w:tcPr>
            <w:tcW w:w="1276" w:type="dxa"/>
            <w:vAlign w:val="center"/>
          </w:tcPr>
          <w:p>
            <w:pPr>
              <w:pStyle w:val="单元格样式2"/>
            </w:pPr>
            <w:r>
              <w:t xml:space="preserve">≥2000000人次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市级主要媒体宣传报道次数</w:t>
            </w:r>
          </w:p>
        </w:tc>
        <w:tc>
          <w:tcPr>
            <w:tcW w:w="2891" w:type="dxa"/>
            <w:hMerge w:val="restart"/>
            <w:vAlign w:val="center"/>
          </w:tcPr>
          <w:p>
            <w:pPr>
              <w:pStyle w:val="单元格样式2"/>
            </w:pPr>
            <w:r>
              <w:t xml:space="preserve">市级主要媒体宣传报道次数</w:t>
            </w:r>
          </w:p>
        </w:tc>
        <w:tc>
          <w:tcPr>
            <w:tcW w:w="0" w:type="auto"/>
            <w:hMerge/>
            <w:vAlign w:val="center"/>
          </w:tcPr>
          <w:p>
            <w:pPr/>
          </w:p>
        </w:tc>
        <w:tc>
          <w:tcPr>
            <w:tcW w:w="1276" w:type="dxa"/>
            <w:vAlign w:val="center"/>
          </w:tcPr>
          <w:p>
            <w:pPr>
              <w:pStyle w:val="单元格样式2"/>
            </w:pPr>
            <w:r>
              <w:t xml:space="preserve">≥100次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垃圾分类宣传工作与宣传计划的契合率</w:t>
            </w:r>
          </w:p>
        </w:tc>
        <w:tc>
          <w:tcPr>
            <w:tcW w:w="2891" w:type="dxa"/>
            <w:hMerge w:val="restart"/>
            <w:vAlign w:val="center"/>
          </w:tcPr>
          <w:p>
            <w:pPr>
              <w:pStyle w:val="单元格样式2"/>
            </w:pPr>
            <w:r>
              <w:t xml:space="preserve">垃圾分类宣传工作与宣传计划的契合率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广告宣传覆盖率</w:t>
            </w:r>
          </w:p>
        </w:tc>
        <w:tc>
          <w:tcPr>
            <w:tcW w:w="2891" w:type="dxa"/>
            <w:hMerge w:val="restart"/>
            <w:vAlign w:val="center"/>
          </w:tcPr>
          <w:p>
            <w:pPr>
              <w:pStyle w:val="单元格样式2"/>
            </w:pPr>
            <w:r>
              <w:t xml:space="preserve">广告宣传覆盖情况</w:t>
            </w:r>
          </w:p>
        </w:tc>
        <w:tc>
          <w:tcPr>
            <w:tcW w:w="0" w:type="auto"/>
            <w:hMerge/>
            <w:vAlign w:val="center"/>
          </w:tcPr>
          <w:p>
            <w:pPr/>
          </w:p>
        </w:tc>
        <w:tc>
          <w:tcPr>
            <w:tcW w:w="1276" w:type="dxa"/>
            <w:vAlign w:val="center"/>
          </w:tcPr>
          <w:p>
            <w:pPr>
              <w:pStyle w:val="单元格样式2"/>
            </w:pPr>
            <w:r>
              <w:t xml:space="preserve">≥60%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群众对垃圾分类知晓率</w:t>
            </w:r>
          </w:p>
        </w:tc>
        <w:tc>
          <w:tcPr>
            <w:tcW w:w="2891" w:type="dxa"/>
            <w:hMerge w:val="restart"/>
            <w:vAlign w:val="center"/>
          </w:tcPr>
          <w:p>
            <w:pPr>
              <w:pStyle w:val="单元格样式2"/>
            </w:pPr>
            <w:r>
              <w:t xml:space="preserve">群众对垃圾分类知晓率</w:t>
            </w:r>
          </w:p>
        </w:tc>
        <w:tc>
          <w:tcPr>
            <w:tcW w:w="0" w:type="auto"/>
            <w:hMerge/>
            <w:vAlign w:val="center"/>
          </w:tcPr>
          <w:p>
            <w:pPr/>
          </w:p>
        </w:tc>
        <w:tc>
          <w:tcPr>
            <w:tcW w:w="1276" w:type="dxa"/>
            <w:vAlign w:val="center"/>
          </w:tcPr>
          <w:p>
            <w:pPr>
              <w:pStyle w:val="单元格样式2"/>
            </w:pPr>
            <w:r>
              <w:t xml:space="preserve">≥96%</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群众对垃圾分类宣传工作满意度</w:t>
            </w:r>
          </w:p>
        </w:tc>
        <w:tc>
          <w:tcPr>
            <w:tcW w:w="2891" w:type="dxa"/>
            <w:hMerge w:val="restart"/>
            <w:vAlign w:val="center"/>
          </w:tcPr>
          <w:p>
            <w:pPr>
              <w:pStyle w:val="单元格样式2"/>
            </w:pPr>
            <w:r>
              <w:t xml:space="preserve">群众对垃圾分类宣传工作满意度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1" w:name="_Toc_4_4_0000000012"/>
      <w:r>
        <w:rPr>
          <w:rFonts w:ascii="方正仿宋_GBK" w:eastAsia="方正仿宋_GBK" w:hAnsi="方正仿宋_GBK" w:cs="方正仿宋_GBK"/>
          <w:color w:val="000000"/>
          <w:sz w:val="28"/>
        </w:rPr>
        <w:t xml:space="preserve">12.居民集中供热补贴资金绩效目标表</w:t>
      </w:r>
      <w:bookmarkEnd w:id="11"/>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37020023P65000510003H</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居民集中供热补贴资金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7000.00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7000.00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居民集中供热补贴资金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7000.00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6.目标内容1对2021-2022年度居民供热成本与价格倒挂亏损进行补贴，确保供热企业按照标准要求连续稳定供热，保障居民温暖过冬。</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w:t>
            </w:r>
          </w:p>
        </w:tc>
        <w:tc>
          <w:tcPr>
            <w:tcW w:w="0" w:type="auto"/>
            <w:hMerge/>
            <w:vAlign w:val="center"/>
          </w:tcPr>
          <w:p>
            <w:pPr/>
          </w:p>
        </w:tc>
        <w:tc>
          <w:tcPr>
            <w:tcW w:w="1276" w:type="dxa"/>
            <w:vAlign w:val="center"/>
          </w:tcPr>
          <w:p>
            <w:pPr>
              <w:pStyle w:val="单元格样式2"/>
            </w:pPr>
            <w:r>
              <w:t xml:space="preserve">≤7000万元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供热补贴计划完成数量</w:t>
            </w:r>
          </w:p>
        </w:tc>
        <w:tc>
          <w:tcPr>
            <w:tcW w:w="2891" w:type="dxa"/>
            <w:hMerge w:val="restart"/>
            <w:vAlign w:val="center"/>
          </w:tcPr>
          <w:p>
            <w:pPr>
              <w:pStyle w:val="单元格样式2"/>
            </w:pPr>
            <w:r>
              <w:t xml:space="preserve">供热补贴计划完成数量</w:t>
            </w:r>
          </w:p>
        </w:tc>
        <w:tc>
          <w:tcPr>
            <w:tcW w:w="0" w:type="auto"/>
            <w:hMerge/>
            <w:vAlign w:val="center"/>
          </w:tcPr>
          <w:p>
            <w:pPr/>
          </w:p>
        </w:tc>
        <w:tc>
          <w:tcPr>
            <w:tcW w:w="1276" w:type="dxa"/>
            <w:vAlign w:val="center"/>
          </w:tcPr>
          <w:p>
            <w:pPr>
              <w:pStyle w:val="单元格样式2"/>
            </w:pPr>
            <w:r>
              <w:t xml:space="preserve">3个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采暖期居民供热天数</w:t>
            </w:r>
          </w:p>
        </w:tc>
        <w:tc>
          <w:tcPr>
            <w:tcW w:w="2891" w:type="dxa"/>
            <w:hMerge w:val="restart"/>
            <w:vAlign w:val="center"/>
          </w:tcPr>
          <w:p>
            <w:pPr>
              <w:pStyle w:val="单元格样式2"/>
            </w:pPr>
            <w:r>
              <w:t xml:space="preserve">采暖期居民供热天数</w:t>
            </w:r>
          </w:p>
        </w:tc>
        <w:tc>
          <w:tcPr>
            <w:tcW w:w="0" w:type="auto"/>
            <w:hMerge/>
            <w:vAlign w:val="center"/>
          </w:tcPr>
          <w:p>
            <w:pPr/>
          </w:p>
        </w:tc>
        <w:tc>
          <w:tcPr>
            <w:tcW w:w="1276" w:type="dxa"/>
            <w:vAlign w:val="center"/>
          </w:tcPr>
          <w:p>
            <w:pPr>
              <w:pStyle w:val="单元格样式2"/>
            </w:pPr>
            <w:r>
              <w:t xml:space="preserve">≥141天</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供热连续稳定运行时间比率</w:t>
            </w:r>
          </w:p>
        </w:tc>
        <w:tc>
          <w:tcPr>
            <w:tcW w:w="2891" w:type="dxa"/>
            <w:hMerge w:val="restart"/>
            <w:vAlign w:val="center"/>
          </w:tcPr>
          <w:p>
            <w:pPr>
              <w:pStyle w:val="单元格样式2"/>
            </w:pPr>
            <w:r>
              <w:t xml:space="preserve">供热连续稳定运行时间比率</w:t>
            </w:r>
          </w:p>
        </w:tc>
        <w:tc>
          <w:tcPr>
            <w:tcW w:w="0" w:type="auto"/>
            <w:hMerge/>
            <w:vAlign w:val="center"/>
          </w:tcPr>
          <w:p>
            <w:pPr/>
          </w:p>
        </w:tc>
        <w:tc>
          <w:tcPr>
            <w:tcW w:w="1276" w:type="dxa"/>
            <w:vAlign w:val="center"/>
          </w:tcPr>
          <w:p>
            <w:pPr>
              <w:pStyle w:val="单元格样式2"/>
            </w:pPr>
            <w:r>
              <w:t xml:space="preserve">≥99%</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供热期供热天数完成率</w:t>
            </w:r>
          </w:p>
        </w:tc>
        <w:tc>
          <w:tcPr>
            <w:tcW w:w="2891" w:type="dxa"/>
            <w:hMerge w:val="restart"/>
            <w:vAlign w:val="center"/>
          </w:tcPr>
          <w:p>
            <w:pPr>
              <w:pStyle w:val="单元格样式2"/>
            </w:pPr>
            <w:r>
              <w:t xml:space="preserve">供热期供热天数完成率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供热能力提高</w:t>
            </w:r>
          </w:p>
        </w:tc>
        <w:tc>
          <w:tcPr>
            <w:tcW w:w="2891" w:type="dxa"/>
            <w:hMerge w:val="restart"/>
            <w:vAlign w:val="center"/>
          </w:tcPr>
          <w:p>
            <w:pPr>
              <w:pStyle w:val="单元格样式2"/>
            </w:pPr>
            <w:r>
              <w:t xml:space="preserve">供热能力提高</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市民对供热效果满意度</w:t>
            </w:r>
          </w:p>
        </w:tc>
        <w:tc>
          <w:tcPr>
            <w:tcW w:w="2891" w:type="dxa"/>
            <w:hMerge w:val="restart"/>
            <w:vAlign w:val="center"/>
          </w:tcPr>
          <w:p>
            <w:pPr>
              <w:pStyle w:val="单元格样式2"/>
            </w:pPr>
            <w:r>
              <w:t xml:space="preserve">市民对供热效果满意度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2" w:name="_Toc_4_4_0000000013"/>
      <w:r>
        <w:rPr>
          <w:rFonts w:ascii="方正仿宋_GBK" w:eastAsia="方正仿宋_GBK" w:hAnsi="方正仿宋_GBK" w:cs="方正仿宋_GBK"/>
          <w:color w:val="000000"/>
          <w:sz w:val="28"/>
        </w:rPr>
        <w:t xml:space="preserve">13.垃圾焚烧二期运行经费绩效目标表</w:t>
      </w:r>
      <w:bookmarkEnd w:id="12"/>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37020023P60000910012H</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垃圾焚烧二期运行经费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1810.00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1810.00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垃圾焚烧二期运行经费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1810.00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6.实施生活垃圾焚烧处置，垃圾焚烧达标率100%，全面提高我市垃圾处置能力，打造良好城市环境卫生面貌。</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垃圾焚烧处理费</w:t>
            </w:r>
          </w:p>
          <w:p>
            <w:pPr>
              <w:pStyle w:val="单元格样式2"/>
            </w:pPr>
          </w:p>
        </w:tc>
        <w:tc>
          <w:tcPr>
            <w:tcW w:w="2891" w:type="dxa"/>
            <w:hMerge w:val="restart"/>
            <w:vAlign w:val="center"/>
          </w:tcPr>
          <w:p>
            <w:pPr>
              <w:pStyle w:val="单元格样式2"/>
            </w:pPr>
            <w:r>
              <w:t xml:space="preserve">垃圾焚烧处理服务费</w:t>
            </w:r>
          </w:p>
        </w:tc>
        <w:tc>
          <w:tcPr>
            <w:tcW w:w="0" w:type="auto"/>
            <w:hMerge/>
            <w:vAlign w:val="center"/>
          </w:tcPr>
          <w:p>
            <w:pPr/>
          </w:p>
        </w:tc>
        <w:tc>
          <w:tcPr>
            <w:tcW w:w="1276" w:type="dxa"/>
            <w:vAlign w:val="center"/>
          </w:tcPr>
          <w:p>
            <w:pPr>
              <w:pStyle w:val="单元格样式2"/>
            </w:pPr>
            <w:r>
              <w:t xml:space="preserve">≤1810万元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时效指标</w:t>
            </w:r>
          </w:p>
        </w:tc>
        <w:tc>
          <w:tcPr>
            <w:tcW w:w="1332" w:type="dxa"/>
            <w:vAlign w:val="center"/>
          </w:tcPr>
          <w:p>
            <w:pPr>
              <w:pStyle w:val="单元格样式2"/>
            </w:pPr>
            <w:r>
              <w:t xml:space="preserve">项目年度完成天数</w:t>
            </w:r>
          </w:p>
        </w:tc>
        <w:tc>
          <w:tcPr>
            <w:tcW w:w="2891" w:type="dxa"/>
            <w:hMerge w:val="restart"/>
            <w:vAlign w:val="center"/>
          </w:tcPr>
          <w:p>
            <w:pPr>
              <w:pStyle w:val="单元格样式2"/>
            </w:pPr>
            <w:r>
              <w:t xml:space="preserve">年度焚烧处理垃圾天数</w:t>
            </w:r>
          </w:p>
        </w:tc>
        <w:tc>
          <w:tcPr>
            <w:tcW w:w="0" w:type="auto"/>
            <w:hMerge/>
            <w:vAlign w:val="center"/>
          </w:tcPr>
          <w:p>
            <w:pPr/>
          </w:p>
        </w:tc>
        <w:tc>
          <w:tcPr>
            <w:tcW w:w="1276" w:type="dxa"/>
            <w:vAlign w:val="center"/>
          </w:tcPr>
          <w:p>
            <w:pPr>
              <w:pStyle w:val="单元格样式2"/>
            </w:pPr>
            <w:r>
              <w:t xml:space="preserve">≥330天</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垃圾焚烧日处理量</w:t>
            </w:r>
          </w:p>
        </w:tc>
        <w:tc>
          <w:tcPr>
            <w:tcW w:w="2891" w:type="dxa"/>
            <w:hMerge w:val="restart"/>
            <w:vAlign w:val="center"/>
          </w:tcPr>
          <w:p>
            <w:pPr>
              <w:pStyle w:val="单元格样式2"/>
            </w:pPr>
            <w:r>
              <w:t xml:space="preserve">考察垃圾焚烧厂垃圾焚烧量完成情况</w:t>
            </w:r>
          </w:p>
        </w:tc>
        <w:tc>
          <w:tcPr>
            <w:tcW w:w="0" w:type="auto"/>
            <w:hMerge/>
            <w:vAlign w:val="center"/>
          </w:tcPr>
          <w:p>
            <w:pPr/>
          </w:p>
        </w:tc>
        <w:tc>
          <w:tcPr>
            <w:tcW w:w="1276" w:type="dxa"/>
            <w:vAlign w:val="center"/>
          </w:tcPr>
          <w:p>
            <w:pPr>
              <w:pStyle w:val="单元格样式2"/>
            </w:pPr>
            <w:r>
              <w:t xml:space="preserve">≥550吨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垃圾焚烧处理量</w:t>
            </w:r>
          </w:p>
        </w:tc>
        <w:tc>
          <w:tcPr>
            <w:tcW w:w="2891" w:type="dxa"/>
            <w:hMerge w:val="restart"/>
            <w:vAlign w:val="center"/>
          </w:tcPr>
          <w:p>
            <w:pPr>
              <w:pStyle w:val="单元格样式2"/>
            </w:pPr>
            <w:r>
              <w:t xml:space="preserve">考察垃圾焚烧厂垃圾焚烧量完成情况</w:t>
            </w:r>
          </w:p>
        </w:tc>
        <w:tc>
          <w:tcPr>
            <w:tcW w:w="0" w:type="auto"/>
            <w:hMerge/>
            <w:vAlign w:val="center"/>
          </w:tcPr>
          <w:p>
            <w:pPr/>
          </w:p>
        </w:tc>
        <w:tc>
          <w:tcPr>
            <w:tcW w:w="1276" w:type="dxa"/>
            <w:vAlign w:val="center"/>
          </w:tcPr>
          <w:p>
            <w:pPr>
              <w:pStyle w:val="单元格样式2"/>
            </w:pPr>
            <w:r>
              <w:t xml:space="preserve">≥20万吨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垃圾处理烟气排放达标率</w:t>
            </w:r>
          </w:p>
        </w:tc>
        <w:tc>
          <w:tcPr>
            <w:tcW w:w="2891" w:type="dxa"/>
            <w:hMerge w:val="restart"/>
            <w:vAlign w:val="center"/>
          </w:tcPr>
          <w:p>
            <w:pPr>
              <w:pStyle w:val="单元格样式2"/>
            </w:pPr>
            <w:r>
              <w:t xml:space="preserve">考察垃圾处理烟气排放达标情况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垃圾处理炉渣达标率</w:t>
            </w:r>
          </w:p>
        </w:tc>
        <w:tc>
          <w:tcPr>
            <w:tcW w:w="2891" w:type="dxa"/>
            <w:hMerge w:val="restart"/>
            <w:vAlign w:val="center"/>
          </w:tcPr>
          <w:p>
            <w:pPr>
              <w:pStyle w:val="单元格样式2"/>
            </w:pPr>
            <w:r>
              <w:t xml:space="preserve">考察垃圾处理炉渣达标情况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项目垃圾处置能力提升</w:t>
            </w:r>
          </w:p>
        </w:tc>
        <w:tc>
          <w:tcPr>
            <w:tcW w:w="2891" w:type="dxa"/>
            <w:hMerge w:val="restart"/>
            <w:vAlign w:val="center"/>
          </w:tcPr>
          <w:p>
            <w:pPr>
              <w:pStyle w:val="单元格样式2"/>
            </w:pPr>
            <w:r>
              <w:t xml:space="preserve">项目垃圾处置能力情况</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考察项目服务对象满意情况</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3" w:name="_Toc_4_4_0000000014"/>
      <w:r>
        <w:rPr>
          <w:rFonts w:ascii="方正仿宋_GBK" w:eastAsia="方正仿宋_GBK" w:hAnsi="方正仿宋_GBK" w:cs="方正仿宋_GBK"/>
          <w:color w:val="000000"/>
          <w:sz w:val="28"/>
        </w:rPr>
        <w:t xml:space="preserve">14.垃圾焚烧一期运行经费绩效目标表</w:t>
      </w:r>
      <w:bookmarkEnd w:id="13"/>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37020023P60000910011X</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垃圾焚烧一期运行经费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2238.00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2238.00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用于垃圾焚烧一期运行经费支出</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2238.00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6.实施生活垃圾焚烧处置，垃圾焚烧达标率100%，全面提高我市垃圾处置能力，打造良好城市环境卫生面貌。</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垃圾焚烧处理服务费</w:t>
            </w:r>
          </w:p>
        </w:tc>
        <w:tc>
          <w:tcPr>
            <w:tcW w:w="2891" w:type="dxa"/>
            <w:hMerge w:val="restart"/>
            <w:vAlign w:val="center"/>
          </w:tcPr>
          <w:p>
            <w:pPr>
              <w:pStyle w:val="单元格样式2"/>
            </w:pPr>
            <w:r>
              <w:t xml:space="preserve">垃圾焚烧处理服务费</w:t>
            </w:r>
          </w:p>
        </w:tc>
        <w:tc>
          <w:tcPr>
            <w:tcW w:w="0" w:type="auto"/>
            <w:hMerge/>
            <w:vAlign w:val="center"/>
          </w:tcPr>
          <w:p>
            <w:pPr/>
          </w:p>
        </w:tc>
        <w:tc>
          <w:tcPr>
            <w:tcW w:w="1276" w:type="dxa"/>
            <w:vAlign w:val="center"/>
          </w:tcPr>
          <w:p>
            <w:pPr>
              <w:pStyle w:val="单元格样式2"/>
            </w:pPr>
            <w:r>
              <w:t xml:space="preserve">≤2238万元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时效指标</w:t>
            </w:r>
          </w:p>
        </w:tc>
        <w:tc>
          <w:tcPr>
            <w:tcW w:w="1332" w:type="dxa"/>
            <w:vAlign w:val="center"/>
          </w:tcPr>
          <w:p>
            <w:pPr>
              <w:pStyle w:val="单元格样式2"/>
            </w:pPr>
            <w:r>
              <w:t xml:space="preserve">项目年度完成天数</w:t>
            </w:r>
          </w:p>
        </w:tc>
        <w:tc>
          <w:tcPr>
            <w:tcW w:w="2891" w:type="dxa"/>
            <w:hMerge w:val="restart"/>
            <w:vAlign w:val="center"/>
          </w:tcPr>
          <w:p>
            <w:pPr>
              <w:pStyle w:val="单元格样式2"/>
            </w:pPr>
            <w:r>
              <w:t xml:space="preserve">年度焚烧处理垃圾天数</w:t>
            </w:r>
          </w:p>
        </w:tc>
        <w:tc>
          <w:tcPr>
            <w:tcW w:w="0" w:type="auto"/>
            <w:hMerge/>
            <w:vAlign w:val="center"/>
          </w:tcPr>
          <w:p>
            <w:pPr/>
          </w:p>
        </w:tc>
        <w:tc>
          <w:tcPr>
            <w:tcW w:w="1276" w:type="dxa"/>
            <w:vAlign w:val="center"/>
          </w:tcPr>
          <w:p>
            <w:pPr>
              <w:pStyle w:val="单元格样式2"/>
            </w:pPr>
            <w:r>
              <w:t xml:space="preserve">≥330天</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垃圾焚烧日处理量</w:t>
            </w:r>
          </w:p>
        </w:tc>
        <w:tc>
          <w:tcPr>
            <w:tcW w:w="2891" w:type="dxa"/>
            <w:hMerge w:val="restart"/>
            <w:vAlign w:val="center"/>
          </w:tcPr>
          <w:p>
            <w:pPr>
              <w:pStyle w:val="单元格样式2"/>
            </w:pPr>
            <w:r>
              <w:t xml:space="preserve">考察垃圾焚烧日处理完成情况</w:t>
            </w:r>
          </w:p>
        </w:tc>
        <w:tc>
          <w:tcPr>
            <w:tcW w:w="0" w:type="auto"/>
            <w:hMerge/>
            <w:vAlign w:val="center"/>
          </w:tcPr>
          <w:p>
            <w:pPr/>
          </w:p>
        </w:tc>
        <w:tc>
          <w:tcPr>
            <w:tcW w:w="1276" w:type="dxa"/>
            <w:vAlign w:val="center"/>
          </w:tcPr>
          <w:p>
            <w:pPr>
              <w:pStyle w:val="单元格样式2"/>
            </w:pPr>
            <w:r>
              <w:t xml:space="preserve">≥1500吨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协议内垃圾焚烧处理量</w:t>
            </w:r>
          </w:p>
        </w:tc>
        <w:tc>
          <w:tcPr>
            <w:tcW w:w="2891" w:type="dxa"/>
            <w:hMerge w:val="restart"/>
            <w:vAlign w:val="center"/>
          </w:tcPr>
          <w:p>
            <w:pPr>
              <w:pStyle w:val="单元格样式2"/>
            </w:pPr>
            <w:r>
              <w:t xml:space="preserve">考察协议内垃圾焚烧处理量</w:t>
            </w:r>
          </w:p>
        </w:tc>
        <w:tc>
          <w:tcPr>
            <w:tcW w:w="0" w:type="auto"/>
            <w:hMerge/>
            <w:vAlign w:val="center"/>
          </w:tcPr>
          <w:p>
            <w:pPr/>
          </w:p>
        </w:tc>
        <w:tc>
          <w:tcPr>
            <w:tcW w:w="1276" w:type="dxa"/>
            <w:vAlign w:val="center"/>
          </w:tcPr>
          <w:p>
            <w:pPr>
              <w:pStyle w:val="单元格样式2"/>
            </w:pPr>
            <w:r>
              <w:t xml:space="preserve">≥56.1万吨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垃圾焚烧烟气排放达标率</w:t>
            </w:r>
          </w:p>
        </w:tc>
        <w:tc>
          <w:tcPr>
            <w:tcW w:w="2891" w:type="dxa"/>
            <w:hMerge w:val="restart"/>
            <w:vAlign w:val="center"/>
          </w:tcPr>
          <w:p>
            <w:pPr>
              <w:pStyle w:val="单元格样式2"/>
            </w:pPr>
            <w:r>
              <w:t xml:space="preserve">考察垃圾焚烧烟气排放符合要求情况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垃圾焚烧炉渣达标率</w:t>
            </w:r>
          </w:p>
        </w:tc>
        <w:tc>
          <w:tcPr>
            <w:tcW w:w="2891" w:type="dxa"/>
            <w:hMerge w:val="restart"/>
            <w:vAlign w:val="center"/>
          </w:tcPr>
          <w:p>
            <w:pPr>
              <w:pStyle w:val="单元格样式2"/>
            </w:pPr>
            <w:r>
              <w:t xml:space="preserve">考察垃圾焚烧炉渣符合要求情况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项目垃圾处置能力提升</w:t>
            </w:r>
          </w:p>
        </w:tc>
        <w:tc>
          <w:tcPr>
            <w:tcW w:w="2891" w:type="dxa"/>
            <w:hMerge w:val="restart"/>
            <w:vAlign w:val="center"/>
          </w:tcPr>
          <w:p>
            <w:pPr>
              <w:pStyle w:val="单元格样式2"/>
            </w:pPr>
            <w:r>
              <w:t xml:space="preserve">项目垃圾处置能力情况</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污染物排放达标率</w:t>
            </w:r>
          </w:p>
        </w:tc>
        <w:tc>
          <w:tcPr>
            <w:tcW w:w="2891" w:type="dxa"/>
            <w:hMerge w:val="restart"/>
            <w:vAlign w:val="center"/>
          </w:tcPr>
          <w:p>
            <w:pPr>
              <w:pStyle w:val="单元格样式2"/>
            </w:pPr>
            <w:r>
              <w:t xml:space="preserve">考察项目污染物排放达标情况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考察服务对象满意情况</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4" w:name="_Toc_4_4_0000000015"/>
      <w:r>
        <w:rPr>
          <w:rFonts w:ascii="方正仿宋_GBK" w:eastAsia="方正仿宋_GBK" w:hAnsi="方正仿宋_GBK" w:cs="方正仿宋_GBK"/>
          <w:color w:val="000000"/>
          <w:sz w:val="28"/>
        </w:rPr>
        <w:t xml:space="preserve">15.农村垃圾分类三方考核绩效目标表</w:t>
      </w:r>
      <w:bookmarkEnd w:id="14"/>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37020023P58001610003Y</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农村垃圾分类三方考核</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100.00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100.00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农村垃圾分类三方考核</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100.00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6.引入第三方考核机构，对垃圾分类工作进行客观、公正考核评分，采用政府购买服务的方式吸引社会力量参与生活垃圾分类指导工作。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委托服务费</w:t>
            </w:r>
          </w:p>
        </w:tc>
        <w:tc>
          <w:tcPr>
            <w:tcW w:w="2891" w:type="dxa"/>
            <w:hMerge w:val="restart"/>
            <w:vAlign w:val="center"/>
          </w:tcPr>
          <w:p>
            <w:pPr>
              <w:pStyle w:val="单元格样式2"/>
            </w:pPr>
            <w:r>
              <w:t xml:space="preserve">委托服务费第三方</w:t>
            </w:r>
          </w:p>
        </w:tc>
        <w:tc>
          <w:tcPr>
            <w:tcW w:w="0" w:type="auto"/>
            <w:hMerge/>
            <w:vAlign w:val="center"/>
          </w:tcPr>
          <w:p>
            <w:pPr/>
          </w:p>
        </w:tc>
        <w:tc>
          <w:tcPr>
            <w:tcW w:w="1276" w:type="dxa"/>
            <w:vAlign w:val="center"/>
          </w:tcPr>
          <w:p>
            <w:pPr>
              <w:pStyle w:val="单元格样式2"/>
            </w:pPr>
            <w:r>
              <w:t xml:space="preserve">≤100万元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考核区市个数</w:t>
            </w:r>
          </w:p>
        </w:tc>
        <w:tc>
          <w:tcPr>
            <w:tcW w:w="2891" w:type="dxa"/>
            <w:hMerge w:val="restart"/>
            <w:vAlign w:val="center"/>
          </w:tcPr>
          <w:p>
            <w:pPr>
              <w:pStyle w:val="单元格样式2"/>
            </w:pPr>
            <w:r>
              <w:t xml:space="preserve">考核区市个数</w:t>
            </w:r>
          </w:p>
        </w:tc>
        <w:tc>
          <w:tcPr>
            <w:tcW w:w="0" w:type="auto"/>
            <w:hMerge/>
            <w:vAlign w:val="center"/>
          </w:tcPr>
          <w:p>
            <w:pPr/>
          </w:p>
        </w:tc>
        <w:tc>
          <w:tcPr>
            <w:tcW w:w="1276" w:type="dxa"/>
            <w:vAlign w:val="center"/>
          </w:tcPr>
          <w:p>
            <w:pPr>
              <w:pStyle w:val="单元格样式2"/>
            </w:pPr>
            <w:r>
              <w:t xml:space="preserve">7个</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委托服务单位数量</w:t>
            </w:r>
          </w:p>
        </w:tc>
        <w:tc>
          <w:tcPr>
            <w:tcW w:w="2891" w:type="dxa"/>
            <w:hMerge w:val="restart"/>
            <w:vAlign w:val="center"/>
          </w:tcPr>
          <w:p>
            <w:pPr>
              <w:pStyle w:val="单元格样式2"/>
            </w:pPr>
            <w:r>
              <w:t xml:space="preserve">委托服务单位数量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第三方工作达标率</w:t>
            </w:r>
          </w:p>
        </w:tc>
        <w:tc>
          <w:tcPr>
            <w:tcW w:w="2891" w:type="dxa"/>
            <w:hMerge w:val="restart"/>
            <w:vAlign w:val="center"/>
          </w:tcPr>
          <w:p>
            <w:pPr>
              <w:pStyle w:val="单元格样式2"/>
            </w:pPr>
            <w:r>
              <w:t xml:space="preserve">第三方工作达标率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考核报告质量符合度</w:t>
            </w:r>
          </w:p>
        </w:tc>
        <w:tc>
          <w:tcPr>
            <w:tcW w:w="2891" w:type="dxa"/>
            <w:hMerge w:val="restart"/>
            <w:vAlign w:val="center"/>
          </w:tcPr>
          <w:p>
            <w:pPr>
              <w:pStyle w:val="单元格样式2"/>
            </w:pPr>
            <w:r>
              <w:t xml:space="preserve">考核报告质量符合度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全年考核实施频次</w:t>
            </w:r>
          </w:p>
        </w:tc>
        <w:tc>
          <w:tcPr>
            <w:tcW w:w="2891" w:type="dxa"/>
            <w:hMerge w:val="restart"/>
            <w:vAlign w:val="center"/>
          </w:tcPr>
          <w:p>
            <w:pPr>
              <w:pStyle w:val="单元格样式2"/>
            </w:pPr>
            <w:r>
              <w:t xml:space="preserve">全年考核完成次数</w:t>
            </w:r>
          </w:p>
        </w:tc>
        <w:tc>
          <w:tcPr>
            <w:tcW w:w="0" w:type="auto"/>
            <w:hMerge/>
            <w:vAlign w:val="center"/>
          </w:tcPr>
          <w:p>
            <w:pPr/>
          </w:p>
        </w:tc>
        <w:tc>
          <w:tcPr>
            <w:tcW w:w="1276" w:type="dxa"/>
            <w:vAlign w:val="center"/>
          </w:tcPr>
          <w:p>
            <w:pPr>
              <w:pStyle w:val="单元格样式2"/>
            </w:pPr>
            <w:r>
              <w:t xml:space="preserve">≥12次</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垃圾分类知晓率</w:t>
            </w:r>
          </w:p>
        </w:tc>
        <w:tc>
          <w:tcPr>
            <w:tcW w:w="2891" w:type="dxa"/>
            <w:hMerge w:val="restart"/>
            <w:vAlign w:val="center"/>
          </w:tcPr>
          <w:p>
            <w:pPr>
              <w:pStyle w:val="单元格样式2"/>
            </w:pPr>
            <w:r>
              <w:t xml:space="preserve">垃圾分类知晓率</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5" w:name="_Toc_4_4_0000000016"/>
      <w:r>
        <w:rPr>
          <w:rFonts w:ascii="方正仿宋_GBK" w:eastAsia="方正仿宋_GBK" w:hAnsi="方正仿宋_GBK" w:cs="方正仿宋_GBK"/>
          <w:color w:val="000000"/>
          <w:sz w:val="28"/>
        </w:rPr>
        <w:t xml:space="preserve">16.渗滤液二期运行经费绩效目标表</w:t>
      </w:r>
      <w:bookmarkEnd w:id="15"/>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37020023P60000910014Q</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渗滤液二期运行经费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5747.00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5747.00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用于渗滤液二期运行经费。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5747.00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6.集中处理渗滤液和浓缩液，出水达到《山东省半岛流域水污染综合排放标准》（DB37/676-2007）一级标准，同时满足《生活垃圾填埋污染控制标准》（GB16889-2008）一般地区水污染控制要求。</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渗沥液处理费</w:t>
            </w:r>
          </w:p>
        </w:tc>
        <w:tc>
          <w:tcPr>
            <w:tcW w:w="2891" w:type="dxa"/>
            <w:hMerge w:val="restart"/>
            <w:vAlign w:val="center"/>
          </w:tcPr>
          <w:p>
            <w:pPr>
              <w:pStyle w:val="单元格样式2"/>
            </w:pPr>
            <w:r>
              <w:t xml:space="preserve">渗沥液处理服务费</w:t>
            </w:r>
          </w:p>
        </w:tc>
        <w:tc>
          <w:tcPr>
            <w:tcW w:w="0" w:type="auto"/>
            <w:hMerge/>
            <w:vAlign w:val="center"/>
          </w:tcPr>
          <w:p>
            <w:pPr/>
          </w:p>
        </w:tc>
        <w:tc>
          <w:tcPr>
            <w:tcW w:w="1276" w:type="dxa"/>
            <w:vAlign w:val="center"/>
          </w:tcPr>
          <w:p>
            <w:pPr>
              <w:pStyle w:val="单元格样式2"/>
            </w:pPr>
            <w:r>
              <w:t xml:space="preserve">≤5747万元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渗滤液处理量</w:t>
            </w:r>
          </w:p>
        </w:tc>
        <w:tc>
          <w:tcPr>
            <w:tcW w:w="2891" w:type="dxa"/>
            <w:hMerge w:val="restart"/>
            <w:vAlign w:val="center"/>
          </w:tcPr>
          <w:p>
            <w:pPr>
              <w:pStyle w:val="单元格样式2"/>
            </w:pPr>
            <w:r>
              <w:t xml:space="preserve">渗滤液处理量</w:t>
            </w:r>
          </w:p>
        </w:tc>
        <w:tc>
          <w:tcPr>
            <w:tcW w:w="0" w:type="auto"/>
            <w:hMerge/>
            <w:vAlign w:val="center"/>
          </w:tcPr>
          <w:p>
            <w:pPr/>
          </w:p>
        </w:tc>
        <w:tc>
          <w:tcPr>
            <w:tcW w:w="1276" w:type="dxa"/>
            <w:vAlign w:val="center"/>
          </w:tcPr>
          <w:p>
            <w:pPr>
              <w:pStyle w:val="单元格样式2"/>
            </w:pPr>
            <w:r>
              <w:t xml:space="preserve">≥27万吨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浓缩液处理量</w:t>
            </w:r>
          </w:p>
        </w:tc>
        <w:tc>
          <w:tcPr>
            <w:tcW w:w="2891" w:type="dxa"/>
            <w:hMerge w:val="restart"/>
            <w:vAlign w:val="center"/>
          </w:tcPr>
          <w:p>
            <w:pPr>
              <w:pStyle w:val="单元格样式2"/>
            </w:pPr>
            <w:r>
              <w:t xml:space="preserve">浓缩液处理量</w:t>
            </w:r>
          </w:p>
        </w:tc>
        <w:tc>
          <w:tcPr>
            <w:tcW w:w="0" w:type="auto"/>
            <w:hMerge/>
            <w:vAlign w:val="center"/>
          </w:tcPr>
          <w:p>
            <w:pPr/>
          </w:p>
        </w:tc>
        <w:tc>
          <w:tcPr>
            <w:tcW w:w="1276" w:type="dxa"/>
            <w:vAlign w:val="center"/>
          </w:tcPr>
          <w:p>
            <w:pPr>
              <w:pStyle w:val="单元格样式2"/>
            </w:pPr>
            <w:r>
              <w:t xml:space="preserve">≥16.79万吨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渗滤液处理达标率</w:t>
            </w:r>
          </w:p>
        </w:tc>
        <w:tc>
          <w:tcPr>
            <w:tcW w:w="2891" w:type="dxa"/>
            <w:hMerge w:val="restart"/>
            <w:vAlign w:val="center"/>
          </w:tcPr>
          <w:p>
            <w:pPr>
              <w:pStyle w:val="单元格样式2"/>
            </w:pPr>
            <w:r>
              <w:t xml:space="preserve">渗滤液处理达标情况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浓缩液处理达标率</w:t>
            </w:r>
          </w:p>
        </w:tc>
        <w:tc>
          <w:tcPr>
            <w:tcW w:w="2891" w:type="dxa"/>
            <w:hMerge w:val="restart"/>
            <w:vAlign w:val="center"/>
          </w:tcPr>
          <w:p>
            <w:pPr>
              <w:pStyle w:val="单元格样式2"/>
            </w:pPr>
            <w:r>
              <w:t xml:space="preserve">浓缩液处理达标情况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项目年度完成天数</w:t>
            </w:r>
          </w:p>
        </w:tc>
        <w:tc>
          <w:tcPr>
            <w:tcW w:w="2891" w:type="dxa"/>
            <w:hMerge w:val="restart"/>
            <w:vAlign w:val="center"/>
          </w:tcPr>
          <w:p>
            <w:pPr>
              <w:pStyle w:val="单元格样式2"/>
            </w:pPr>
            <w:r>
              <w:t xml:space="preserve">年度渗沥液处理天数</w:t>
            </w:r>
          </w:p>
        </w:tc>
        <w:tc>
          <w:tcPr>
            <w:tcW w:w="0" w:type="auto"/>
            <w:hMerge/>
            <w:vAlign w:val="center"/>
          </w:tcPr>
          <w:p>
            <w:pPr/>
          </w:p>
        </w:tc>
        <w:tc>
          <w:tcPr>
            <w:tcW w:w="1276" w:type="dxa"/>
            <w:vAlign w:val="center"/>
          </w:tcPr>
          <w:p>
            <w:pPr>
              <w:pStyle w:val="单元格样式2"/>
            </w:pPr>
            <w:r>
              <w:t xml:space="preserve">≥330天</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项目处理能力提升</w:t>
            </w:r>
          </w:p>
        </w:tc>
        <w:tc>
          <w:tcPr>
            <w:tcW w:w="2891" w:type="dxa"/>
            <w:hMerge w:val="restart"/>
            <w:vAlign w:val="center"/>
          </w:tcPr>
          <w:p>
            <w:pPr>
              <w:pStyle w:val="单元格样式2"/>
            </w:pPr>
            <w:r>
              <w:t xml:space="preserve">项目处理能力提升</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污染物排放达标率</w:t>
            </w:r>
          </w:p>
        </w:tc>
        <w:tc>
          <w:tcPr>
            <w:tcW w:w="2891" w:type="dxa"/>
            <w:hMerge w:val="restart"/>
            <w:vAlign w:val="center"/>
          </w:tcPr>
          <w:p>
            <w:pPr>
              <w:pStyle w:val="单元格样式2"/>
            </w:pPr>
            <w:r>
              <w:t xml:space="preserve">考察污染物排放达标情况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考察服务对象满意程度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6" w:name="_Toc_4_4_0000000017"/>
      <w:r>
        <w:rPr>
          <w:rFonts w:ascii="方正仿宋_GBK" w:eastAsia="方正仿宋_GBK" w:hAnsi="方正仿宋_GBK" w:cs="方正仿宋_GBK"/>
          <w:color w:val="000000"/>
          <w:sz w:val="28"/>
        </w:rPr>
        <w:t xml:space="preserve">17.渗滤液一期运行经费绩效目标表</w:t>
      </w:r>
      <w:bookmarkEnd w:id="16"/>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37020023P600009100135</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渗滤液一期运行经费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2853.00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2853.00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用于渗滤液一期运行经费支出</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2853.00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6.集中处理渗滤液和浓缩液，出水达到《山东省半岛流域水污染综合排放标准》（DB37/676-2007）一级标准，同时满足《生活垃圾填埋污染控制标准》（GB16889-2008）一般地区水污染控制要求。</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渗沥液处理费</w:t>
            </w:r>
          </w:p>
        </w:tc>
        <w:tc>
          <w:tcPr>
            <w:tcW w:w="2891" w:type="dxa"/>
            <w:hMerge w:val="restart"/>
            <w:vAlign w:val="center"/>
          </w:tcPr>
          <w:p>
            <w:pPr>
              <w:pStyle w:val="单元格样式2"/>
            </w:pPr>
            <w:r>
              <w:t xml:space="preserve">渗沥液处理服务费</w:t>
            </w:r>
          </w:p>
        </w:tc>
        <w:tc>
          <w:tcPr>
            <w:tcW w:w="0" w:type="auto"/>
            <w:hMerge/>
            <w:vAlign w:val="center"/>
          </w:tcPr>
          <w:p>
            <w:pPr/>
          </w:p>
        </w:tc>
        <w:tc>
          <w:tcPr>
            <w:tcW w:w="1276" w:type="dxa"/>
            <w:vAlign w:val="center"/>
          </w:tcPr>
          <w:p>
            <w:pPr>
              <w:pStyle w:val="单元格样式2"/>
            </w:pPr>
            <w:r>
              <w:t xml:space="preserve">≤2853万元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时效指标</w:t>
            </w:r>
          </w:p>
        </w:tc>
        <w:tc>
          <w:tcPr>
            <w:tcW w:w="1332" w:type="dxa"/>
            <w:vAlign w:val="center"/>
          </w:tcPr>
          <w:p>
            <w:pPr>
              <w:pStyle w:val="单元格样式2"/>
            </w:pPr>
            <w:r>
              <w:t xml:space="preserve">项目年度完成天数</w:t>
            </w:r>
          </w:p>
        </w:tc>
        <w:tc>
          <w:tcPr>
            <w:tcW w:w="2891" w:type="dxa"/>
            <w:hMerge w:val="restart"/>
            <w:vAlign w:val="center"/>
          </w:tcPr>
          <w:p>
            <w:pPr>
              <w:pStyle w:val="单元格样式2"/>
            </w:pPr>
            <w:r>
              <w:t xml:space="preserve">年度渗沥液处理天数</w:t>
            </w:r>
          </w:p>
        </w:tc>
        <w:tc>
          <w:tcPr>
            <w:tcW w:w="0" w:type="auto"/>
            <w:hMerge/>
            <w:vAlign w:val="center"/>
          </w:tcPr>
          <w:p>
            <w:pPr/>
          </w:p>
        </w:tc>
        <w:tc>
          <w:tcPr>
            <w:tcW w:w="1276" w:type="dxa"/>
            <w:vAlign w:val="center"/>
          </w:tcPr>
          <w:p>
            <w:pPr>
              <w:pStyle w:val="单元格样式2"/>
            </w:pPr>
            <w:r>
              <w:t xml:space="preserve">≥330天</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渗滤液处理量</w:t>
            </w:r>
          </w:p>
        </w:tc>
        <w:tc>
          <w:tcPr>
            <w:tcW w:w="2891" w:type="dxa"/>
            <w:hMerge w:val="restart"/>
            <w:vAlign w:val="center"/>
          </w:tcPr>
          <w:p>
            <w:pPr>
              <w:pStyle w:val="单元格样式2"/>
            </w:pPr>
            <w:r>
              <w:t xml:space="preserve">渗滤液处理量</w:t>
            </w:r>
          </w:p>
        </w:tc>
        <w:tc>
          <w:tcPr>
            <w:tcW w:w="0" w:type="auto"/>
            <w:hMerge/>
            <w:vAlign w:val="center"/>
          </w:tcPr>
          <w:p>
            <w:pPr/>
          </w:p>
        </w:tc>
        <w:tc>
          <w:tcPr>
            <w:tcW w:w="1276" w:type="dxa"/>
            <w:vAlign w:val="center"/>
          </w:tcPr>
          <w:p>
            <w:pPr>
              <w:pStyle w:val="单元格样式2"/>
            </w:pPr>
            <w:r>
              <w:t xml:space="preserve">≥24.82万吨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渗滤液日处理量</w:t>
            </w:r>
          </w:p>
        </w:tc>
        <w:tc>
          <w:tcPr>
            <w:tcW w:w="2891" w:type="dxa"/>
            <w:hMerge w:val="restart"/>
            <w:vAlign w:val="center"/>
          </w:tcPr>
          <w:p>
            <w:pPr>
              <w:pStyle w:val="单元格样式2"/>
            </w:pPr>
            <w:r>
              <w:t xml:space="preserve">渗滤液日处理量</w:t>
            </w:r>
          </w:p>
        </w:tc>
        <w:tc>
          <w:tcPr>
            <w:tcW w:w="0" w:type="auto"/>
            <w:hMerge/>
            <w:vAlign w:val="center"/>
          </w:tcPr>
          <w:p>
            <w:pPr/>
          </w:p>
        </w:tc>
        <w:tc>
          <w:tcPr>
            <w:tcW w:w="1276" w:type="dxa"/>
            <w:vAlign w:val="center"/>
          </w:tcPr>
          <w:p>
            <w:pPr>
              <w:pStyle w:val="单元格样式2"/>
            </w:pPr>
            <w:r>
              <w:t xml:space="preserve">≥680吨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渗滤液处理合格率</w:t>
            </w:r>
          </w:p>
        </w:tc>
        <w:tc>
          <w:tcPr>
            <w:tcW w:w="2891" w:type="dxa"/>
            <w:hMerge w:val="restart"/>
            <w:vAlign w:val="center"/>
          </w:tcPr>
          <w:p>
            <w:pPr>
              <w:pStyle w:val="单元格样式2"/>
            </w:pPr>
            <w:r>
              <w:t xml:space="preserve">渗滤液处理合格情况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出水水质达标率</w:t>
            </w:r>
          </w:p>
        </w:tc>
        <w:tc>
          <w:tcPr>
            <w:tcW w:w="2891" w:type="dxa"/>
            <w:hMerge w:val="restart"/>
            <w:vAlign w:val="center"/>
          </w:tcPr>
          <w:p>
            <w:pPr>
              <w:pStyle w:val="单元格样式2"/>
            </w:pPr>
            <w:r>
              <w:t xml:space="preserve">出水水质达标情况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渗滤液处理能力提升</w:t>
            </w:r>
          </w:p>
        </w:tc>
        <w:tc>
          <w:tcPr>
            <w:tcW w:w="2891" w:type="dxa"/>
            <w:hMerge w:val="restart"/>
            <w:vAlign w:val="center"/>
          </w:tcPr>
          <w:p>
            <w:pPr>
              <w:pStyle w:val="单元格样式2"/>
            </w:pPr>
            <w:r>
              <w:t xml:space="preserve">渗滤液处理能力提升</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污染物排放达标率</w:t>
            </w:r>
          </w:p>
        </w:tc>
        <w:tc>
          <w:tcPr>
            <w:tcW w:w="2891" w:type="dxa"/>
            <w:hMerge w:val="restart"/>
            <w:vAlign w:val="center"/>
          </w:tcPr>
          <w:p>
            <w:pPr>
              <w:pStyle w:val="单元格样式2"/>
            </w:pPr>
            <w:r>
              <w:t xml:space="preserve">考察项目污染物排放达标情况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考察服务对象满意情况</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7" w:name="_Toc_4_4_0000000018"/>
      <w:r>
        <w:rPr>
          <w:rFonts w:ascii="方正仿宋_GBK" w:eastAsia="方正仿宋_GBK" w:hAnsi="方正仿宋_GBK" w:cs="方正仿宋_GBK"/>
          <w:color w:val="000000"/>
          <w:sz w:val="28"/>
        </w:rPr>
        <w:t xml:space="preserve">18.市城市粪便无害化处理厂运行费及移动公厕维护费绩效目标表</w:t>
      </w:r>
      <w:bookmarkEnd w:id="17"/>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37020023P60000910009Y</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市城市粪便无害化处理厂运行费及移动公厕维护费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496.00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496.00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用于市城市粪便无害化处理厂运行费及移动公厕维护费支出</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496.00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6.实施城市粪便无害化集中处理；对移（流）动公厕进行维护保养，保障我市重大节庆活动的顺利举办，及时解决群众的如厕问题，保证城市环境的干净整洁。</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运行服务费</w:t>
            </w:r>
          </w:p>
        </w:tc>
        <w:tc>
          <w:tcPr>
            <w:tcW w:w="2891" w:type="dxa"/>
            <w:hMerge w:val="restart"/>
            <w:vAlign w:val="center"/>
          </w:tcPr>
          <w:p>
            <w:pPr>
              <w:pStyle w:val="单元格样式2"/>
            </w:pPr>
            <w:r>
              <w:t xml:space="preserve">粪便无害化处理厂运行费及移动公厕维护费</w:t>
            </w:r>
          </w:p>
        </w:tc>
        <w:tc>
          <w:tcPr>
            <w:tcW w:w="0" w:type="auto"/>
            <w:hMerge/>
            <w:vAlign w:val="center"/>
          </w:tcPr>
          <w:p>
            <w:pPr/>
          </w:p>
        </w:tc>
        <w:tc>
          <w:tcPr>
            <w:tcW w:w="1276" w:type="dxa"/>
            <w:vAlign w:val="center"/>
          </w:tcPr>
          <w:p>
            <w:pPr>
              <w:pStyle w:val="单元格样式2"/>
            </w:pPr>
            <w:r>
              <w:t xml:space="preserve">≤496万元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粪便年处理量</w:t>
            </w:r>
          </w:p>
        </w:tc>
        <w:tc>
          <w:tcPr>
            <w:tcW w:w="2891" w:type="dxa"/>
            <w:hMerge w:val="restart"/>
            <w:vAlign w:val="center"/>
          </w:tcPr>
          <w:p>
            <w:pPr>
              <w:pStyle w:val="单元格样式2"/>
            </w:pPr>
            <w:r>
              <w:t xml:space="preserve">粪便年处理量</w:t>
            </w:r>
          </w:p>
        </w:tc>
        <w:tc>
          <w:tcPr>
            <w:tcW w:w="0" w:type="auto"/>
            <w:hMerge/>
            <w:vAlign w:val="center"/>
          </w:tcPr>
          <w:p>
            <w:pPr/>
          </w:p>
        </w:tc>
        <w:tc>
          <w:tcPr>
            <w:tcW w:w="1276" w:type="dxa"/>
            <w:vAlign w:val="center"/>
          </w:tcPr>
          <w:p>
            <w:pPr>
              <w:pStyle w:val="单元格样式2"/>
            </w:pPr>
            <w:r>
              <w:t xml:space="preserve">≥0.5万吨</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移流动公厕维修维护数量</w:t>
            </w:r>
          </w:p>
        </w:tc>
        <w:tc>
          <w:tcPr>
            <w:tcW w:w="2891" w:type="dxa"/>
            <w:hMerge w:val="restart"/>
            <w:vAlign w:val="center"/>
          </w:tcPr>
          <w:p>
            <w:pPr>
              <w:pStyle w:val="单元格样式2"/>
            </w:pPr>
            <w:r>
              <w:t xml:space="preserve">移流动公厕维修维护数量</w:t>
            </w:r>
          </w:p>
        </w:tc>
        <w:tc>
          <w:tcPr>
            <w:tcW w:w="0" w:type="auto"/>
            <w:hMerge/>
            <w:vAlign w:val="center"/>
          </w:tcPr>
          <w:p>
            <w:pPr/>
          </w:p>
        </w:tc>
        <w:tc>
          <w:tcPr>
            <w:tcW w:w="1276" w:type="dxa"/>
            <w:vAlign w:val="center"/>
          </w:tcPr>
          <w:p>
            <w:pPr>
              <w:pStyle w:val="单元格样式2"/>
            </w:pPr>
            <w:r>
              <w:t xml:space="preserve">≥12台</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粪便处理达标率</w:t>
            </w:r>
          </w:p>
        </w:tc>
        <w:tc>
          <w:tcPr>
            <w:tcW w:w="2891" w:type="dxa"/>
            <w:hMerge w:val="restart"/>
            <w:vAlign w:val="center"/>
          </w:tcPr>
          <w:p>
            <w:pPr>
              <w:pStyle w:val="单元格样式2"/>
            </w:pPr>
            <w:r>
              <w:t xml:space="preserve">粪便处理达标情况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移动公厕维护合格率</w:t>
            </w:r>
          </w:p>
        </w:tc>
        <w:tc>
          <w:tcPr>
            <w:tcW w:w="2891" w:type="dxa"/>
            <w:hMerge w:val="restart"/>
            <w:vAlign w:val="center"/>
          </w:tcPr>
          <w:p>
            <w:pPr>
              <w:pStyle w:val="单元格样式2"/>
            </w:pPr>
            <w:r>
              <w:t xml:space="preserve">移动公厕维护合格情况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全年粪便无害化处理完成天数</w:t>
            </w:r>
          </w:p>
        </w:tc>
        <w:tc>
          <w:tcPr>
            <w:tcW w:w="2891" w:type="dxa"/>
            <w:hMerge w:val="restart"/>
            <w:vAlign w:val="center"/>
          </w:tcPr>
          <w:p>
            <w:pPr>
              <w:pStyle w:val="单元格样式2"/>
            </w:pPr>
            <w:r>
              <w:t xml:space="preserve">年度粪便处理天数</w:t>
            </w:r>
          </w:p>
        </w:tc>
        <w:tc>
          <w:tcPr>
            <w:tcW w:w="0" w:type="auto"/>
            <w:hMerge/>
            <w:vAlign w:val="center"/>
          </w:tcPr>
          <w:p>
            <w:pPr/>
          </w:p>
        </w:tc>
        <w:tc>
          <w:tcPr>
            <w:tcW w:w="1276" w:type="dxa"/>
            <w:vAlign w:val="center"/>
          </w:tcPr>
          <w:p>
            <w:pPr>
              <w:pStyle w:val="单元格样式2"/>
            </w:pPr>
            <w:r>
              <w:t xml:space="preserve">≥330天</w:t>
            </w:r>
          </w:p>
        </w:tc>
        <w:tc>
          <w:tcPr>
            <w:tcW w:w="1843" w:type="dxa"/>
            <w:vAlign w:val="center"/>
          </w:tcPr>
          <w:p>
            <w:pPr>
              <w:pStyle w:val="单元格样式2"/>
            </w:pPr>
            <w:r>
              <w:t xml:space="preserve">其他标准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城市粪便无害化处理率</w:t>
            </w:r>
          </w:p>
        </w:tc>
        <w:tc>
          <w:tcPr>
            <w:tcW w:w="2891" w:type="dxa"/>
            <w:hMerge w:val="restart"/>
            <w:vAlign w:val="center"/>
          </w:tcPr>
          <w:p>
            <w:pPr>
              <w:pStyle w:val="单元格样式2"/>
            </w:pPr>
            <w:r>
              <w:t xml:space="preserve">城市粪便无害化处理情况</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污染物排放达标率</w:t>
            </w:r>
          </w:p>
        </w:tc>
        <w:tc>
          <w:tcPr>
            <w:tcW w:w="2891" w:type="dxa"/>
            <w:hMerge w:val="restart"/>
            <w:vAlign w:val="center"/>
          </w:tcPr>
          <w:p>
            <w:pPr>
              <w:pStyle w:val="单元格样式2"/>
            </w:pPr>
            <w:r>
              <w:t xml:space="preserve">污染物排放达标情况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考察项目服务对象满意情况</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8" w:name="_Toc_4_4_0000000019"/>
      <w:r>
        <w:rPr>
          <w:rFonts w:ascii="方正仿宋_GBK" w:eastAsia="方正仿宋_GBK" w:hAnsi="方正仿宋_GBK" w:cs="方正仿宋_GBK"/>
          <w:color w:val="000000"/>
          <w:sz w:val="28"/>
        </w:rPr>
        <w:t xml:space="preserve">19.小涧西固体废弃物综合处置场运行经费　绩效目标表</w:t>
      </w:r>
      <w:bookmarkEnd w:id="18"/>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603001青岛市城市管理局本级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37020023P60000910015C</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小涧西固体废弃物综合处置场运行经费　</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1490.00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1490.00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用于小涧西固体废弃物综合处置场运行经费支出</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1490.00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6.确保填埋一期、二期工程原生垃圾零填埋后需工作达到安全环保要求，继续做好填埋一期、二期工程的沼气收集、除臭、渗沥液导排、边坡封场以及绿化维护等安全保障工作。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运行服务费</w:t>
            </w:r>
          </w:p>
        </w:tc>
        <w:tc>
          <w:tcPr>
            <w:tcW w:w="2891" w:type="dxa"/>
            <w:hMerge w:val="restart"/>
            <w:vAlign w:val="center"/>
          </w:tcPr>
          <w:p>
            <w:pPr>
              <w:pStyle w:val="单元格样式2"/>
            </w:pPr>
            <w:r>
              <w:t xml:space="preserve">填埋场运行服务费</w:t>
            </w:r>
          </w:p>
        </w:tc>
        <w:tc>
          <w:tcPr>
            <w:tcW w:w="0" w:type="auto"/>
            <w:hMerge/>
            <w:vAlign w:val="center"/>
          </w:tcPr>
          <w:p>
            <w:pPr/>
          </w:p>
        </w:tc>
        <w:tc>
          <w:tcPr>
            <w:tcW w:w="1276" w:type="dxa"/>
            <w:vAlign w:val="center"/>
          </w:tcPr>
          <w:p>
            <w:pPr>
              <w:pStyle w:val="单元格样式2"/>
            </w:pPr>
            <w:r>
              <w:t xml:space="preserve">≤1490万元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垃圾堆体维护数量</w:t>
            </w:r>
          </w:p>
        </w:tc>
        <w:tc>
          <w:tcPr>
            <w:tcW w:w="2891" w:type="dxa"/>
            <w:hMerge w:val="restart"/>
            <w:vAlign w:val="center"/>
          </w:tcPr>
          <w:p>
            <w:pPr>
              <w:pStyle w:val="单元格样式2"/>
            </w:pPr>
            <w:r>
              <w:t xml:space="preserve">垃圾堆体维护数量</w:t>
            </w:r>
          </w:p>
        </w:tc>
        <w:tc>
          <w:tcPr>
            <w:tcW w:w="0" w:type="auto"/>
            <w:hMerge/>
            <w:vAlign w:val="center"/>
          </w:tcPr>
          <w:p>
            <w:pPr/>
          </w:p>
        </w:tc>
        <w:tc>
          <w:tcPr>
            <w:tcW w:w="1276" w:type="dxa"/>
            <w:vAlign w:val="center"/>
          </w:tcPr>
          <w:p>
            <w:pPr>
              <w:pStyle w:val="单元格样式2"/>
            </w:pPr>
            <w:r>
              <w:t xml:space="preserve">≥2个</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飞灰填埋堆体维护数量</w:t>
            </w:r>
          </w:p>
        </w:tc>
        <w:tc>
          <w:tcPr>
            <w:tcW w:w="2891" w:type="dxa"/>
            <w:hMerge w:val="restart"/>
            <w:vAlign w:val="center"/>
          </w:tcPr>
          <w:p>
            <w:pPr>
              <w:pStyle w:val="单元格样式2"/>
            </w:pPr>
            <w:r>
              <w:t xml:space="preserve">飞灰填埋堆体维护数量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堆体安全事故发生率</w:t>
            </w:r>
          </w:p>
        </w:tc>
        <w:tc>
          <w:tcPr>
            <w:tcW w:w="2891" w:type="dxa"/>
            <w:hMerge w:val="restart"/>
            <w:vAlign w:val="center"/>
          </w:tcPr>
          <w:p>
            <w:pPr>
              <w:pStyle w:val="单元格样式2"/>
            </w:pPr>
            <w:r>
              <w:t xml:space="preserve">堆体安全事故发生情况</w:t>
            </w:r>
          </w:p>
        </w:tc>
        <w:tc>
          <w:tcPr>
            <w:tcW w:w="0" w:type="auto"/>
            <w:hMerge/>
            <w:vAlign w:val="center"/>
          </w:tcPr>
          <w:p>
            <w:pPr/>
          </w:p>
        </w:tc>
        <w:tc>
          <w:tcPr>
            <w:tcW w:w="1276" w:type="dxa"/>
            <w:vAlign w:val="center"/>
          </w:tcPr>
          <w:p>
            <w:pPr>
              <w:pStyle w:val="单元格样式2"/>
            </w:pPr>
            <w:r>
              <w:t xml:space="preserve">≤1%</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飞灰填埋质量安全率</w:t>
            </w:r>
          </w:p>
        </w:tc>
        <w:tc>
          <w:tcPr>
            <w:tcW w:w="2891" w:type="dxa"/>
            <w:hMerge w:val="restart"/>
            <w:vAlign w:val="center"/>
          </w:tcPr>
          <w:p>
            <w:pPr>
              <w:pStyle w:val="单元格样式2"/>
            </w:pPr>
            <w:r>
              <w:t xml:space="preserve">飞灰填埋质量安全情况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飞灰填埋年度完成天数</w:t>
            </w:r>
          </w:p>
        </w:tc>
        <w:tc>
          <w:tcPr>
            <w:tcW w:w="2891" w:type="dxa"/>
            <w:hMerge w:val="restart"/>
            <w:vAlign w:val="center"/>
          </w:tcPr>
          <w:p>
            <w:pPr>
              <w:pStyle w:val="单元格样式2"/>
            </w:pPr>
            <w:r>
              <w:t xml:space="preserve">飞灰填埋年度完成天数</w:t>
            </w:r>
          </w:p>
        </w:tc>
        <w:tc>
          <w:tcPr>
            <w:tcW w:w="0" w:type="auto"/>
            <w:hMerge/>
            <w:vAlign w:val="center"/>
          </w:tcPr>
          <w:p>
            <w:pPr/>
          </w:p>
        </w:tc>
        <w:tc>
          <w:tcPr>
            <w:tcW w:w="1276" w:type="dxa"/>
            <w:vAlign w:val="center"/>
          </w:tcPr>
          <w:p>
            <w:pPr>
              <w:pStyle w:val="单元格样式2"/>
            </w:pPr>
            <w:r>
              <w:t xml:space="preserve">≥330天</w:t>
            </w:r>
          </w:p>
        </w:tc>
        <w:tc>
          <w:tcPr>
            <w:tcW w:w="1843" w:type="dxa"/>
            <w:vAlign w:val="center"/>
          </w:tcPr>
          <w:p>
            <w:pPr>
              <w:pStyle w:val="单元格样式2"/>
            </w:pPr>
            <w:r>
              <w:t xml:space="preserve">其他标准</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改善居民生活环境</w:t>
            </w:r>
          </w:p>
        </w:tc>
        <w:tc>
          <w:tcPr>
            <w:tcW w:w="2891" w:type="dxa"/>
            <w:hMerge w:val="restart"/>
            <w:vAlign w:val="center"/>
          </w:tcPr>
          <w:p>
            <w:pPr>
              <w:pStyle w:val="单元格样式2"/>
            </w:pPr>
            <w:r>
              <w:t xml:space="preserve">改善居民生活环境</w:t>
            </w:r>
          </w:p>
        </w:tc>
        <w:tc>
          <w:tcPr>
            <w:tcW w:w="0" w:type="auto"/>
            <w:hMerge/>
            <w:vAlign w:val="center"/>
          </w:tcPr>
          <w:p>
            <w:pPr/>
          </w:p>
        </w:tc>
        <w:tc>
          <w:tcPr>
            <w:tcW w:w="1276" w:type="dxa"/>
            <w:vAlign w:val="center"/>
          </w:tcPr>
          <w:p>
            <w:pPr>
              <w:pStyle w:val="单元格样式2"/>
            </w:pPr>
            <w:r>
              <w:t xml:space="preserve">效果明显</w:t>
            </w:r>
          </w:p>
        </w:tc>
        <w:tc>
          <w:tcPr>
            <w:tcW w:w="1843" w:type="dxa"/>
            <w:vAlign w:val="center"/>
          </w:tcPr>
          <w:p>
            <w:pPr>
              <w:pStyle w:val="单元格样式2"/>
            </w:pPr>
            <w:r>
              <w:t xml:space="preserve">其他标准</w:t>
            </w:r>
          </w:p>
        </w:tc>
      </w:tr>
      <w:tr>
        <w:trPr>
          <w:trHeight w:val="369"/>
          <w:jc w:val="center"/>
        </w:trPr>
        <w:tc>
          <w:tcPr>
            <w:tcW w:w="1276" w:type="dxa"/>
            <w:vMerge/>
            <w:vAlign w:val="center"/>
          </w:tcPr>
          <w:p>
            <w:pPr/>
          </w:p>
        </w:tc>
        <w:tc>
          <w:tcPr>
            <w:tcW w:w="1276" w:type="dxa"/>
            <w:vAlign w:val="center"/>
          </w:tcPr>
          <w:p>
            <w:pPr>
              <w:pStyle w:val="单元格样式2"/>
            </w:pPr>
            <w:r>
              <w:t xml:space="preserve">生态效益指标</w:t>
            </w:r>
          </w:p>
        </w:tc>
        <w:tc>
          <w:tcPr>
            <w:tcW w:w="1332" w:type="dxa"/>
            <w:vAlign w:val="center"/>
          </w:tcPr>
          <w:p>
            <w:pPr>
              <w:pStyle w:val="单元格样式2"/>
            </w:pPr>
            <w:r>
              <w:t xml:space="preserve">改善周边环境</w:t>
            </w:r>
          </w:p>
        </w:tc>
        <w:tc>
          <w:tcPr>
            <w:tcW w:w="2891" w:type="dxa"/>
            <w:hMerge w:val="restart"/>
            <w:vAlign w:val="center"/>
          </w:tcPr>
          <w:p>
            <w:pPr>
              <w:pStyle w:val="单元格样式2"/>
            </w:pPr>
            <w:r>
              <w:t xml:space="preserve">改善周边环境</w:t>
            </w:r>
          </w:p>
        </w:tc>
        <w:tc>
          <w:tcPr>
            <w:tcW w:w="0" w:type="auto"/>
            <w:hMerge/>
            <w:vAlign w:val="center"/>
          </w:tcPr>
          <w:p>
            <w:pPr/>
          </w:p>
        </w:tc>
        <w:tc>
          <w:tcPr>
            <w:tcW w:w="1276" w:type="dxa"/>
            <w:vAlign w:val="center"/>
          </w:tcPr>
          <w:p>
            <w:pPr>
              <w:pStyle w:val="单元格样式2"/>
            </w:pPr>
            <w:r>
              <w:t xml:space="preserve">效果明显</w:t>
            </w:r>
          </w:p>
        </w:tc>
        <w:tc>
          <w:tcPr>
            <w:tcW w:w="1843" w:type="dxa"/>
            <w:vAlign w:val="center"/>
          </w:tcPr>
          <w:p>
            <w:pPr>
              <w:pStyle w:val="单元格样式2"/>
            </w:pPr>
            <w:r>
              <w:t xml:space="preserve">其他标准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社会公众满意度</w:t>
            </w:r>
          </w:p>
        </w:tc>
        <w:tc>
          <w:tcPr>
            <w:tcW w:w="2891" w:type="dxa"/>
            <w:hMerge w:val="restart"/>
            <w:vAlign w:val="center"/>
          </w:tcPr>
          <w:p>
            <w:pPr>
              <w:pStyle w:val="单元格样式2"/>
            </w:pPr>
            <w:r>
              <w:t xml:space="preserve">考察受益对象满意程度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其他标准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9" w:name="_Toc_4_4_0000000020"/>
      <w:r>
        <w:rPr>
          <w:rFonts w:ascii="方正仿宋_GBK" w:eastAsia="方正仿宋_GBK" w:hAnsi="方正仿宋_GBK" w:cs="方正仿宋_GBK"/>
          <w:color w:val="000000"/>
          <w:sz w:val="28"/>
        </w:rPr>
        <w:t xml:space="preserve">20.拆违治乱工作经费绩效目标表</w:t>
      </w:r>
      <w:bookmarkEnd w:id="19"/>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37020023P88002810848K</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拆违治乱工作经费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178.52</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178.52</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通过开展专项工作宣传、媒体报道、培训观摩等活动，完成年内违法建设摸排治理、违建查处相关工作。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54.00</w:t>
            </w:r>
          </w:p>
        </w:tc>
        <w:tc>
          <w:tcPr>
            <w:tcW w:w="1304" w:type="dxa"/>
            <w:vAlign w:val="center"/>
          </w:tcPr>
          <w:p>
            <w:pPr>
              <w:pStyle w:val="单元格样式3"/>
            </w:pPr>
            <w:r>
              <w:t xml:space="preserve">160.00</w:t>
            </w:r>
          </w:p>
        </w:tc>
        <w:tc>
          <w:tcPr>
            <w:tcW w:w="3118" w:type="dxa"/>
            <w:hMerge w:val="restart"/>
            <w:vAlign w:val="center"/>
          </w:tcPr>
          <w:p>
            <w:pPr>
              <w:pStyle w:val="单元格样式3"/>
            </w:pPr>
            <w:r>
              <w:t xml:space="preserve">178.52</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6.开展拆违治乱专项工作宣传、观摩等支出。</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社会成本指标</w:t>
            </w:r>
          </w:p>
        </w:tc>
        <w:tc>
          <w:tcPr>
            <w:tcW w:w="1332" w:type="dxa"/>
            <w:vAlign w:val="center"/>
          </w:tcPr>
          <w:p>
            <w:pPr>
              <w:pStyle w:val="单元格样式2"/>
            </w:pPr>
            <w:r>
              <w:t xml:space="preserve">拆违治乱工作预算控制数</w:t>
            </w:r>
          </w:p>
        </w:tc>
        <w:tc>
          <w:tcPr>
            <w:tcW w:w="2891" w:type="dxa"/>
            <w:hMerge w:val="restart"/>
            <w:vAlign w:val="center"/>
          </w:tcPr>
          <w:p>
            <w:pPr>
              <w:pStyle w:val="单元格样式2"/>
            </w:pPr>
            <w:r>
              <w:t xml:space="preserve">拆违治乱工作预算控制数</w:t>
            </w:r>
          </w:p>
        </w:tc>
        <w:tc>
          <w:tcPr>
            <w:tcW w:w="0" w:type="auto"/>
            <w:hMerge/>
            <w:vAlign w:val="center"/>
          </w:tcPr>
          <w:p>
            <w:pPr/>
          </w:p>
        </w:tc>
        <w:tc>
          <w:tcPr>
            <w:tcW w:w="1276" w:type="dxa"/>
            <w:vAlign w:val="center"/>
          </w:tcPr>
          <w:p>
            <w:pPr>
              <w:pStyle w:val="单元格样式2"/>
            </w:pPr>
            <w:r>
              <w:t xml:space="preserve">≤178.52万元</w:t>
            </w:r>
          </w:p>
        </w:tc>
        <w:tc>
          <w:tcPr>
            <w:tcW w:w="1843" w:type="dxa"/>
            <w:vAlign w:val="center"/>
          </w:tcPr>
          <w:p>
            <w:pPr>
              <w:pStyle w:val="单元格样式2"/>
            </w:pPr>
            <w:r>
              <w:t xml:space="preserve">预算批复</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违法建设治理量</w:t>
            </w:r>
          </w:p>
        </w:tc>
        <w:tc>
          <w:tcPr>
            <w:tcW w:w="2891" w:type="dxa"/>
            <w:hMerge w:val="restart"/>
            <w:vAlign w:val="center"/>
          </w:tcPr>
          <w:p>
            <w:pPr>
              <w:pStyle w:val="单元格样式2"/>
            </w:pPr>
            <w:r>
              <w:t xml:space="preserve">违法建设治理量</w:t>
            </w:r>
          </w:p>
        </w:tc>
        <w:tc>
          <w:tcPr>
            <w:tcW w:w="0" w:type="auto"/>
            <w:hMerge/>
            <w:vAlign w:val="center"/>
          </w:tcPr>
          <w:p>
            <w:pPr/>
          </w:p>
        </w:tc>
        <w:tc>
          <w:tcPr>
            <w:tcW w:w="1276" w:type="dxa"/>
            <w:vAlign w:val="center"/>
          </w:tcPr>
          <w:p>
            <w:pPr>
              <w:pStyle w:val="单元格样式2"/>
            </w:pPr>
            <w:r>
              <w:t xml:space="preserve">≥300万平方米</w:t>
            </w:r>
          </w:p>
        </w:tc>
        <w:tc>
          <w:tcPr>
            <w:tcW w:w="1843" w:type="dxa"/>
            <w:vAlign w:val="center"/>
          </w:tcPr>
          <w:p>
            <w:pPr>
              <w:pStyle w:val="单元格样式2"/>
            </w:pPr>
            <w:r>
              <w:t xml:space="preserve">青岛市城市管理委员会2022年第一次会议纪要</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报刊宣传版面量</w:t>
            </w:r>
          </w:p>
        </w:tc>
        <w:tc>
          <w:tcPr>
            <w:tcW w:w="2891" w:type="dxa"/>
            <w:hMerge w:val="restart"/>
            <w:vAlign w:val="center"/>
          </w:tcPr>
          <w:p>
            <w:pPr>
              <w:pStyle w:val="单元格样式2"/>
            </w:pPr>
            <w:r>
              <w:t xml:space="preserve">报刊宣传版面量</w:t>
            </w:r>
          </w:p>
        </w:tc>
        <w:tc>
          <w:tcPr>
            <w:tcW w:w="0" w:type="auto"/>
            <w:hMerge/>
            <w:vAlign w:val="center"/>
          </w:tcPr>
          <w:p>
            <w:pPr/>
          </w:p>
        </w:tc>
        <w:tc>
          <w:tcPr>
            <w:tcW w:w="1276" w:type="dxa"/>
            <w:vAlign w:val="center"/>
          </w:tcPr>
          <w:p>
            <w:pPr>
              <w:pStyle w:val="单元格样式2"/>
            </w:pPr>
            <w:r>
              <w:t xml:space="preserve">≥8个</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摸排治理完成率</w:t>
            </w:r>
          </w:p>
        </w:tc>
        <w:tc>
          <w:tcPr>
            <w:tcW w:w="2891" w:type="dxa"/>
            <w:hMerge w:val="restart"/>
            <w:vAlign w:val="center"/>
          </w:tcPr>
          <w:p>
            <w:pPr>
              <w:pStyle w:val="单元格样式2"/>
            </w:pPr>
            <w:r>
              <w:t xml:space="preserve">摸排治理完成情况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青岛市城市管理委员会2022年第一次会议纪要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测绘图纸达标率</w:t>
            </w:r>
          </w:p>
        </w:tc>
        <w:tc>
          <w:tcPr>
            <w:tcW w:w="2891" w:type="dxa"/>
            <w:hMerge w:val="restart"/>
            <w:vAlign w:val="center"/>
          </w:tcPr>
          <w:p>
            <w:pPr>
              <w:pStyle w:val="单元格样式2"/>
            </w:pPr>
            <w:r>
              <w:t xml:space="preserve">测绘图纸达标情况</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新生违建查处率</w:t>
            </w:r>
          </w:p>
        </w:tc>
        <w:tc>
          <w:tcPr>
            <w:tcW w:w="2891" w:type="dxa"/>
            <w:hMerge w:val="restart"/>
            <w:vAlign w:val="center"/>
          </w:tcPr>
          <w:p>
            <w:pPr>
              <w:pStyle w:val="单元格样式2"/>
            </w:pPr>
            <w:r>
              <w:t xml:space="preserve">新生违建查处情况</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青岛市城市管理委员会2022年第一次会议纪要</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提升违建查处监管科技水平</w:t>
            </w:r>
          </w:p>
        </w:tc>
        <w:tc>
          <w:tcPr>
            <w:tcW w:w="2891" w:type="dxa"/>
            <w:hMerge w:val="restart"/>
            <w:vAlign w:val="center"/>
          </w:tcPr>
          <w:p>
            <w:pPr>
              <w:pStyle w:val="单元格样式2"/>
            </w:pPr>
            <w:r>
              <w:t xml:space="preserve">接入卫星遥感监测技术</w:t>
            </w:r>
          </w:p>
        </w:tc>
        <w:tc>
          <w:tcPr>
            <w:tcW w:w="0" w:type="auto"/>
            <w:hMerge/>
            <w:vAlign w:val="center"/>
          </w:tcPr>
          <w:p>
            <w:pPr/>
          </w:p>
        </w:tc>
        <w:tc>
          <w:tcPr>
            <w:tcW w:w="1276" w:type="dxa"/>
            <w:vAlign w:val="center"/>
          </w:tcPr>
          <w:p>
            <w:pPr>
              <w:pStyle w:val="单元格样式2"/>
            </w:pPr>
            <w:r>
              <w:t xml:space="preserve">2023年8月</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示范楼院建设</w:t>
            </w:r>
          </w:p>
        </w:tc>
        <w:tc>
          <w:tcPr>
            <w:tcW w:w="2891" w:type="dxa"/>
            <w:hMerge w:val="restart"/>
            <w:vAlign w:val="center"/>
          </w:tcPr>
          <w:p>
            <w:pPr>
              <w:pStyle w:val="单元格样式2"/>
            </w:pPr>
            <w:r>
              <w:t xml:space="preserve">300个示范楼院各类环境秩序问题清理整治</w:t>
            </w:r>
          </w:p>
        </w:tc>
        <w:tc>
          <w:tcPr>
            <w:tcW w:w="0" w:type="auto"/>
            <w:hMerge/>
            <w:vAlign w:val="center"/>
          </w:tcPr>
          <w:p>
            <w:pPr/>
          </w:p>
        </w:tc>
        <w:tc>
          <w:tcPr>
            <w:tcW w:w="1276" w:type="dxa"/>
            <w:vAlign w:val="center"/>
          </w:tcPr>
          <w:p>
            <w:pPr>
              <w:pStyle w:val="单元格样式2"/>
            </w:pPr>
            <w:r>
              <w:t xml:space="preserve">完成</w:t>
            </w:r>
          </w:p>
        </w:tc>
        <w:tc>
          <w:tcPr>
            <w:tcW w:w="1843" w:type="dxa"/>
            <w:vAlign w:val="center"/>
          </w:tcPr>
          <w:p>
            <w:pPr>
              <w:pStyle w:val="单元格样式2"/>
            </w:pPr>
            <w:r>
              <w:t xml:space="preserve">关于印发青岛市“十四五”城市管理发展规划三年行动计划（2021-2023）的通知</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社会公众满意度</w:t>
            </w:r>
          </w:p>
        </w:tc>
        <w:tc>
          <w:tcPr>
            <w:tcW w:w="2891" w:type="dxa"/>
            <w:hMerge w:val="restart"/>
            <w:vAlign w:val="center"/>
          </w:tcPr>
          <w:p>
            <w:pPr>
              <w:pStyle w:val="单元格样式2"/>
            </w:pPr>
            <w:r>
              <w:t xml:space="preserve">社会公众满意度</w:t>
            </w:r>
          </w:p>
        </w:tc>
        <w:tc>
          <w:tcPr>
            <w:tcW w:w="0" w:type="auto"/>
            <w:hMerge/>
            <w:vAlign w:val="center"/>
          </w:tcPr>
          <w:p>
            <w:pPr/>
          </w:p>
        </w:tc>
        <w:tc>
          <w:tcPr>
            <w:tcW w:w="1276" w:type="dxa"/>
            <w:vAlign w:val="center"/>
          </w:tcPr>
          <w:p>
            <w:pPr>
              <w:pStyle w:val="单元格样式2"/>
            </w:pPr>
            <w:r>
              <w:t xml:space="preserve">稳步提升</w:t>
            </w:r>
          </w:p>
        </w:tc>
        <w:tc>
          <w:tcPr>
            <w:tcW w:w="1843" w:type="dxa"/>
            <w:vAlign w:val="center"/>
          </w:tcPr>
          <w:p>
            <w:pPr>
              <w:pStyle w:val="单元格样式2"/>
            </w:pPr>
            <w:r>
              <w:t xml:space="preserve">工作需要</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0" w:name="_Toc_4_4_0000000021"/>
      <w:r>
        <w:rPr>
          <w:rFonts w:ascii="方正仿宋_GBK" w:eastAsia="方正仿宋_GBK" w:hAnsi="方正仿宋_GBK" w:cs="方正仿宋_GBK"/>
          <w:color w:val="000000"/>
          <w:sz w:val="28"/>
        </w:rPr>
        <w:t xml:space="preserve">21.城管网格化服务外包项目经费绩效目标表</w:t>
      </w:r>
      <w:bookmarkEnd w:id="2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37020023P880028108470</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城管网格化服务外包项目经费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68.50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68.50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支付网格化平台服务外包坐席人员经费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22.90</w:t>
            </w:r>
          </w:p>
        </w:tc>
        <w:tc>
          <w:tcPr>
            <w:tcW w:w="0" w:type="auto"/>
            <w:hMerge/>
          </w:tcPr>
          <w:p>
            <w:pPr/>
          </w:p>
        </w:tc>
        <w:tc>
          <w:tcPr>
            <w:tcW w:w="1587" w:type="dxa"/>
            <w:vAlign w:val="center"/>
          </w:tcPr>
          <w:p>
            <w:pPr>
              <w:pStyle w:val="单元格样式3"/>
            </w:pPr>
            <w:r>
              <w:t xml:space="preserve">68.50</w:t>
            </w:r>
          </w:p>
        </w:tc>
        <w:tc>
          <w:tcPr>
            <w:tcW w:w="1304" w:type="dxa"/>
            <w:vAlign w:val="center"/>
          </w:tcPr>
          <w:p>
            <w:pPr>
              <w:pStyle w:val="单元格样式3"/>
            </w:pPr>
            <w:r>
              <w:t xml:space="preserve">68.50</w:t>
            </w:r>
          </w:p>
        </w:tc>
        <w:tc>
          <w:tcPr>
            <w:tcW w:w="3118" w:type="dxa"/>
            <w:hMerge w:val="restart"/>
            <w:vAlign w:val="center"/>
          </w:tcPr>
          <w:p>
            <w:pPr>
              <w:pStyle w:val="单元格样式3"/>
            </w:pPr>
            <w:r>
              <w:t xml:space="preserve">68.50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6.通过网格化平台服务坐席人员外包，完成年内城市管理相关案件的受理及流转处理。</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城管网格化服务外包项目预算控制数</w:t>
            </w:r>
          </w:p>
        </w:tc>
        <w:tc>
          <w:tcPr>
            <w:tcW w:w="2891" w:type="dxa"/>
            <w:hMerge w:val="restart"/>
            <w:vAlign w:val="center"/>
          </w:tcPr>
          <w:p>
            <w:pPr>
              <w:pStyle w:val="单元格样式2"/>
            </w:pPr>
            <w:r>
              <w:t xml:space="preserve">城管网格化服务外包项目预算控制数</w:t>
            </w:r>
          </w:p>
        </w:tc>
        <w:tc>
          <w:tcPr>
            <w:tcW w:w="0" w:type="auto"/>
            <w:hMerge/>
            <w:vAlign w:val="center"/>
          </w:tcPr>
          <w:p>
            <w:pPr/>
          </w:p>
        </w:tc>
        <w:tc>
          <w:tcPr>
            <w:tcW w:w="1276" w:type="dxa"/>
            <w:vAlign w:val="center"/>
          </w:tcPr>
          <w:p>
            <w:pPr>
              <w:pStyle w:val="单元格样式2"/>
            </w:pPr>
            <w:r>
              <w:t xml:space="preserve">≤68.5万元</w:t>
            </w:r>
          </w:p>
        </w:tc>
        <w:tc>
          <w:tcPr>
            <w:tcW w:w="1843" w:type="dxa"/>
            <w:vAlign w:val="center"/>
          </w:tcPr>
          <w:p>
            <w:pPr>
              <w:pStyle w:val="单元格样式2"/>
            </w:pPr>
            <w:r>
              <w:t xml:space="preserve">网格化坐席服务外包合同</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保证坐席服务人员数量</w:t>
            </w:r>
          </w:p>
        </w:tc>
        <w:tc>
          <w:tcPr>
            <w:tcW w:w="2891" w:type="dxa"/>
            <w:hMerge w:val="restart"/>
            <w:vAlign w:val="center"/>
          </w:tcPr>
          <w:p>
            <w:pPr>
              <w:pStyle w:val="单元格样式2"/>
            </w:pPr>
            <w:r>
              <w:t xml:space="preserve">保证坐席服务人员数量</w:t>
            </w:r>
          </w:p>
        </w:tc>
        <w:tc>
          <w:tcPr>
            <w:tcW w:w="0" w:type="auto"/>
            <w:hMerge/>
            <w:vAlign w:val="center"/>
          </w:tcPr>
          <w:p>
            <w:pPr/>
          </w:p>
        </w:tc>
        <w:tc>
          <w:tcPr>
            <w:tcW w:w="1276" w:type="dxa"/>
            <w:vAlign w:val="center"/>
          </w:tcPr>
          <w:p>
            <w:pPr>
              <w:pStyle w:val="单元格样式2"/>
            </w:pPr>
            <w:r>
              <w:t xml:space="preserve">≤10人</w:t>
            </w:r>
          </w:p>
        </w:tc>
        <w:tc>
          <w:tcPr>
            <w:tcW w:w="1843" w:type="dxa"/>
            <w:vAlign w:val="center"/>
          </w:tcPr>
          <w:p>
            <w:pPr>
              <w:pStyle w:val="单元格样式2"/>
            </w:pPr>
            <w:r>
              <w:t xml:space="preserve">实际工作需要及合同约定</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受理处理的案件数量</w:t>
            </w:r>
          </w:p>
        </w:tc>
        <w:tc>
          <w:tcPr>
            <w:tcW w:w="2891" w:type="dxa"/>
            <w:hMerge w:val="restart"/>
            <w:vAlign w:val="center"/>
          </w:tcPr>
          <w:p>
            <w:pPr>
              <w:pStyle w:val="单元格样式2"/>
            </w:pPr>
            <w:r>
              <w:t xml:space="preserve">受理处理的案件数量</w:t>
            </w:r>
          </w:p>
        </w:tc>
        <w:tc>
          <w:tcPr>
            <w:tcW w:w="0" w:type="auto"/>
            <w:hMerge/>
            <w:vAlign w:val="center"/>
          </w:tcPr>
          <w:p>
            <w:pPr/>
          </w:p>
        </w:tc>
        <w:tc>
          <w:tcPr>
            <w:tcW w:w="1276" w:type="dxa"/>
            <w:vAlign w:val="center"/>
          </w:tcPr>
          <w:p>
            <w:pPr>
              <w:pStyle w:val="单元格样式2"/>
            </w:pPr>
            <w:r>
              <w:t xml:space="preserve">≥3万件</w:t>
            </w:r>
          </w:p>
        </w:tc>
        <w:tc>
          <w:tcPr>
            <w:tcW w:w="1843" w:type="dxa"/>
            <w:vAlign w:val="center"/>
          </w:tcPr>
          <w:p>
            <w:pPr>
              <w:pStyle w:val="单元格样式2"/>
            </w:pPr>
            <w:r>
              <w:t xml:space="preserve">实际工作成果</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派遣案件的准确率</w:t>
            </w:r>
          </w:p>
        </w:tc>
        <w:tc>
          <w:tcPr>
            <w:tcW w:w="2891" w:type="dxa"/>
            <w:hMerge w:val="restart"/>
            <w:vAlign w:val="center"/>
          </w:tcPr>
          <w:p>
            <w:pPr>
              <w:pStyle w:val="单元格样式2"/>
            </w:pPr>
            <w:r>
              <w:t xml:space="preserve">派遣案件的准确率</w:t>
            </w:r>
          </w:p>
        </w:tc>
        <w:tc>
          <w:tcPr>
            <w:tcW w:w="0" w:type="auto"/>
            <w:hMerge/>
            <w:vAlign w:val="center"/>
          </w:tcPr>
          <w:p>
            <w:pPr/>
          </w:p>
        </w:tc>
        <w:tc>
          <w:tcPr>
            <w:tcW w:w="1276" w:type="dxa"/>
            <w:vAlign w:val="center"/>
          </w:tcPr>
          <w:p>
            <w:pPr>
              <w:pStyle w:val="单元格样式2"/>
            </w:pPr>
            <w:r>
              <w:t xml:space="preserve">≥96%</w:t>
            </w:r>
          </w:p>
        </w:tc>
        <w:tc>
          <w:tcPr>
            <w:tcW w:w="1843" w:type="dxa"/>
            <w:vAlign w:val="center"/>
          </w:tcPr>
          <w:p>
            <w:pPr>
              <w:pStyle w:val="单元格样式2"/>
            </w:pPr>
            <w:r>
              <w:t xml:space="preserve">实际工作需要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案件受理准确率</w:t>
            </w:r>
          </w:p>
        </w:tc>
        <w:tc>
          <w:tcPr>
            <w:tcW w:w="2891" w:type="dxa"/>
            <w:hMerge w:val="restart"/>
            <w:vAlign w:val="center"/>
          </w:tcPr>
          <w:p>
            <w:pPr>
              <w:pStyle w:val="单元格样式2"/>
            </w:pPr>
            <w:r>
              <w:t xml:space="preserve">案件受理准确率</w:t>
            </w:r>
          </w:p>
        </w:tc>
        <w:tc>
          <w:tcPr>
            <w:tcW w:w="0" w:type="auto"/>
            <w:hMerge/>
            <w:vAlign w:val="center"/>
          </w:tcPr>
          <w:p>
            <w:pPr/>
          </w:p>
        </w:tc>
        <w:tc>
          <w:tcPr>
            <w:tcW w:w="1276" w:type="dxa"/>
            <w:vAlign w:val="center"/>
          </w:tcPr>
          <w:p>
            <w:pPr>
              <w:pStyle w:val="单元格样式2"/>
            </w:pPr>
            <w:r>
              <w:t xml:space="preserve">≥96%</w:t>
            </w:r>
          </w:p>
        </w:tc>
        <w:tc>
          <w:tcPr>
            <w:tcW w:w="1843" w:type="dxa"/>
            <w:vAlign w:val="center"/>
          </w:tcPr>
          <w:p>
            <w:pPr>
              <w:pStyle w:val="单元格样式2"/>
            </w:pPr>
            <w:r>
              <w:t xml:space="preserve">实际工作需要</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服务人员外包合同按时签订</w:t>
            </w:r>
          </w:p>
        </w:tc>
        <w:tc>
          <w:tcPr>
            <w:tcW w:w="2891" w:type="dxa"/>
            <w:hMerge w:val="restart"/>
            <w:vAlign w:val="center"/>
          </w:tcPr>
          <w:p>
            <w:pPr>
              <w:pStyle w:val="单元格样式2"/>
            </w:pPr>
            <w:r>
              <w:t xml:space="preserve">服务人员外包合同签订及时</w:t>
            </w:r>
          </w:p>
        </w:tc>
        <w:tc>
          <w:tcPr>
            <w:tcW w:w="0" w:type="auto"/>
            <w:hMerge/>
            <w:vAlign w:val="center"/>
          </w:tcPr>
          <w:p>
            <w:pPr/>
          </w:p>
        </w:tc>
        <w:tc>
          <w:tcPr>
            <w:tcW w:w="1276" w:type="dxa"/>
            <w:vAlign w:val="center"/>
          </w:tcPr>
          <w:p>
            <w:pPr>
              <w:pStyle w:val="单元格样式2"/>
            </w:pPr>
            <w:r>
              <w:t xml:space="preserve">2023年5月之前</w:t>
            </w:r>
          </w:p>
        </w:tc>
        <w:tc>
          <w:tcPr>
            <w:tcW w:w="1843" w:type="dxa"/>
            <w:vAlign w:val="center"/>
          </w:tcPr>
          <w:p>
            <w:pPr>
              <w:pStyle w:val="单元格样式2"/>
            </w:pPr>
            <w:r>
              <w:t xml:space="preserve">项目开展需要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数字城管信息采集员业务技能提升</w:t>
            </w:r>
          </w:p>
        </w:tc>
        <w:tc>
          <w:tcPr>
            <w:tcW w:w="2891" w:type="dxa"/>
            <w:hMerge w:val="restart"/>
            <w:vAlign w:val="center"/>
          </w:tcPr>
          <w:p>
            <w:pPr>
              <w:pStyle w:val="单元格样式2"/>
            </w:pPr>
            <w:r>
              <w:t xml:space="preserve">数字城管信息采集员业务技能提升</w:t>
            </w:r>
          </w:p>
        </w:tc>
        <w:tc>
          <w:tcPr>
            <w:tcW w:w="0" w:type="auto"/>
            <w:hMerge/>
            <w:vAlign w:val="center"/>
          </w:tcPr>
          <w:p>
            <w:pPr/>
          </w:p>
        </w:tc>
        <w:tc>
          <w:tcPr>
            <w:tcW w:w="1276" w:type="dxa"/>
            <w:vAlign w:val="center"/>
          </w:tcPr>
          <w:p>
            <w:pPr>
              <w:pStyle w:val="单元格样式2"/>
            </w:pPr>
            <w:r>
              <w:t xml:space="preserve">业务技能不断提升</w:t>
            </w:r>
          </w:p>
        </w:tc>
        <w:tc>
          <w:tcPr>
            <w:tcW w:w="1843" w:type="dxa"/>
            <w:vAlign w:val="center"/>
          </w:tcPr>
          <w:p>
            <w:pPr>
              <w:pStyle w:val="单元格样式2"/>
            </w:pPr>
            <w:r>
              <w:t xml:space="preserve">每年进行一次数字城管岗位技能竞赛</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年终开展服务评价</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1" w:name="_Toc_4_4_0000000022"/>
      <w:r>
        <w:rPr>
          <w:rFonts w:ascii="方正仿宋_GBK" w:eastAsia="方正仿宋_GBK" w:hAnsi="方正仿宋_GBK" w:cs="方正仿宋_GBK"/>
          <w:color w:val="000000"/>
          <w:sz w:val="28"/>
        </w:rPr>
        <w:t xml:space="preserve">22.城管执法业务工作经费绩效目标表</w:t>
      </w:r>
      <w:bookmarkEnd w:id="21"/>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37020023P88002810846C</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城管执法业务工作经费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135.00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135.00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保障城市管理执法业务开展相关工作。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27.00</w:t>
            </w:r>
          </w:p>
        </w:tc>
        <w:tc>
          <w:tcPr>
            <w:tcW w:w="0" w:type="auto"/>
            <w:hMerge/>
          </w:tcPr>
          <w:p>
            <w:pPr/>
          </w:p>
        </w:tc>
        <w:tc>
          <w:tcPr>
            <w:tcW w:w="1587" w:type="dxa"/>
            <w:vAlign w:val="center"/>
          </w:tcPr>
          <w:p>
            <w:pPr>
              <w:pStyle w:val="单元格样式3"/>
            </w:pPr>
            <w:r>
              <w:t xml:space="preserve">54.00</w:t>
            </w:r>
          </w:p>
        </w:tc>
        <w:tc>
          <w:tcPr>
            <w:tcW w:w="1304" w:type="dxa"/>
            <w:vAlign w:val="center"/>
          </w:tcPr>
          <w:p>
            <w:pPr>
              <w:pStyle w:val="单元格样式3"/>
            </w:pPr>
            <w:r>
              <w:t xml:space="preserve">95.00</w:t>
            </w:r>
          </w:p>
        </w:tc>
        <w:tc>
          <w:tcPr>
            <w:tcW w:w="3118" w:type="dxa"/>
            <w:hMerge w:val="restart"/>
            <w:vAlign w:val="center"/>
          </w:tcPr>
          <w:p>
            <w:pPr>
              <w:pStyle w:val="单元格样式3"/>
            </w:pPr>
            <w:r>
              <w:t xml:space="preserve">135.00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印制统一的执法文书、设计制作宣传手册、聘请法律顾问、做好受意外伤害的执法人员优抚工作、开展执法项目评标咨询、对违法面积测绘、违章建筑等基建工程开展工程造价审核、赴七区三市完成各项巡查任务</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城管执法业务工作预算控制数</w:t>
            </w:r>
          </w:p>
        </w:tc>
        <w:tc>
          <w:tcPr>
            <w:tcW w:w="2891" w:type="dxa"/>
            <w:hMerge w:val="restart"/>
            <w:vAlign w:val="center"/>
          </w:tcPr>
          <w:p>
            <w:pPr>
              <w:pStyle w:val="单元格样式2"/>
            </w:pPr>
            <w:r>
              <w:t xml:space="preserve">城管执法业务工作预算控制数</w:t>
            </w:r>
          </w:p>
        </w:tc>
        <w:tc>
          <w:tcPr>
            <w:tcW w:w="0" w:type="auto"/>
            <w:hMerge/>
            <w:vAlign w:val="center"/>
          </w:tcPr>
          <w:p>
            <w:pPr/>
          </w:p>
        </w:tc>
        <w:tc>
          <w:tcPr>
            <w:tcW w:w="1276" w:type="dxa"/>
            <w:vAlign w:val="center"/>
          </w:tcPr>
          <w:p>
            <w:pPr>
              <w:pStyle w:val="单元格样式2"/>
            </w:pPr>
            <w:r>
              <w:t xml:space="preserve">≤135万元</w:t>
            </w:r>
          </w:p>
        </w:tc>
        <w:tc>
          <w:tcPr>
            <w:tcW w:w="1843" w:type="dxa"/>
            <w:vAlign w:val="center"/>
          </w:tcPr>
          <w:p>
            <w:pPr>
              <w:pStyle w:val="单元格样式2"/>
            </w:pPr>
            <w:r>
              <w:t xml:space="preserve">预算下达</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执法宣传印制次数</w:t>
            </w:r>
          </w:p>
        </w:tc>
        <w:tc>
          <w:tcPr>
            <w:tcW w:w="2891" w:type="dxa"/>
            <w:hMerge w:val="restart"/>
            <w:vAlign w:val="center"/>
          </w:tcPr>
          <w:p>
            <w:pPr>
              <w:pStyle w:val="单元格样式2"/>
            </w:pPr>
            <w:r>
              <w:t xml:space="preserve">执法宣传印制次数</w:t>
            </w:r>
          </w:p>
        </w:tc>
        <w:tc>
          <w:tcPr>
            <w:tcW w:w="0" w:type="auto"/>
            <w:hMerge/>
            <w:vAlign w:val="center"/>
          </w:tcPr>
          <w:p>
            <w:pPr/>
          </w:p>
        </w:tc>
        <w:tc>
          <w:tcPr>
            <w:tcW w:w="1276" w:type="dxa"/>
            <w:vAlign w:val="center"/>
          </w:tcPr>
          <w:p>
            <w:pPr>
              <w:pStyle w:val="单元格样式2"/>
            </w:pPr>
            <w:r>
              <w:t xml:space="preserve">≥3批</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巡查区域数量</w:t>
            </w:r>
          </w:p>
        </w:tc>
        <w:tc>
          <w:tcPr>
            <w:tcW w:w="2891" w:type="dxa"/>
            <w:hMerge w:val="restart"/>
            <w:vAlign w:val="center"/>
          </w:tcPr>
          <w:p>
            <w:pPr>
              <w:pStyle w:val="单元格样式2"/>
            </w:pPr>
            <w:r>
              <w:t xml:space="preserve">巡查区域数量</w:t>
            </w:r>
          </w:p>
        </w:tc>
        <w:tc>
          <w:tcPr>
            <w:tcW w:w="0" w:type="auto"/>
            <w:hMerge/>
            <w:vAlign w:val="center"/>
          </w:tcPr>
          <w:p>
            <w:pPr/>
          </w:p>
        </w:tc>
        <w:tc>
          <w:tcPr>
            <w:tcW w:w="1276" w:type="dxa"/>
            <w:vAlign w:val="center"/>
          </w:tcPr>
          <w:p>
            <w:pPr>
              <w:pStyle w:val="单元格样式2"/>
            </w:pPr>
            <w:r>
              <w:t xml:space="preserve">10个</w:t>
            </w:r>
          </w:p>
        </w:tc>
        <w:tc>
          <w:tcPr>
            <w:tcW w:w="1843" w:type="dxa"/>
            <w:vAlign w:val="center"/>
          </w:tcPr>
          <w:p>
            <w:pPr>
              <w:pStyle w:val="单元格样式2"/>
            </w:pPr>
            <w:r>
              <w:t xml:space="preserve">工作实际需要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执法用品采购符合度</w:t>
            </w:r>
          </w:p>
        </w:tc>
        <w:tc>
          <w:tcPr>
            <w:tcW w:w="2891" w:type="dxa"/>
            <w:hMerge w:val="restart"/>
            <w:vAlign w:val="center"/>
          </w:tcPr>
          <w:p>
            <w:pPr>
              <w:pStyle w:val="单元格样式2"/>
            </w:pPr>
            <w:r>
              <w:t xml:space="preserve">执法用品采购符合度</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工作实际需要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政府采购品目符合度</w:t>
            </w:r>
          </w:p>
        </w:tc>
        <w:tc>
          <w:tcPr>
            <w:tcW w:w="2891" w:type="dxa"/>
            <w:hMerge w:val="restart"/>
            <w:vAlign w:val="center"/>
          </w:tcPr>
          <w:p>
            <w:pPr>
              <w:pStyle w:val="单元格样式2"/>
            </w:pPr>
            <w:r>
              <w:t xml:space="preserve">政府采购品目符合度</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工作实际需要</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法律顾问合同签订</w:t>
            </w:r>
          </w:p>
        </w:tc>
        <w:tc>
          <w:tcPr>
            <w:tcW w:w="2891" w:type="dxa"/>
            <w:hMerge w:val="restart"/>
            <w:vAlign w:val="center"/>
          </w:tcPr>
          <w:p>
            <w:pPr>
              <w:pStyle w:val="单元格样式2"/>
            </w:pPr>
            <w:r>
              <w:t xml:space="preserve">法律顾问合同签订及时</w:t>
            </w:r>
          </w:p>
        </w:tc>
        <w:tc>
          <w:tcPr>
            <w:tcW w:w="0" w:type="auto"/>
            <w:hMerge/>
            <w:vAlign w:val="center"/>
          </w:tcPr>
          <w:p>
            <w:pPr/>
          </w:p>
        </w:tc>
        <w:tc>
          <w:tcPr>
            <w:tcW w:w="1276" w:type="dxa"/>
            <w:vAlign w:val="center"/>
          </w:tcPr>
          <w:p>
            <w:pPr>
              <w:pStyle w:val="单元格样式2"/>
            </w:pPr>
            <w:r>
              <w:t xml:space="preserve">2023年11月底之前</w:t>
            </w:r>
          </w:p>
        </w:tc>
        <w:tc>
          <w:tcPr>
            <w:tcW w:w="1843" w:type="dxa"/>
            <w:vAlign w:val="center"/>
          </w:tcPr>
          <w:p>
            <w:pPr>
              <w:pStyle w:val="单元格样式2"/>
            </w:pPr>
            <w:r>
              <w:t xml:space="preserve">合同签订需要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年轻干部综合素养全面提升</w:t>
            </w:r>
          </w:p>
        </w:tc>
        <w:tc>
          <w:tcPr>
            <w:tcW w:w="2891" w:type="dxa"/>
            <w:hMerge w:val="restart"/>
            <w:vAlign w:val="center"/>
          </w:tcPr>
          <w:p>
            <w:pPr>
              <w:pStyle w:val="单元格样式2"/>
            </w:pPr>
            <w:r>
              <w:t xml:space="preserve">年轻干部综合素养全面提升</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关于导师带徒活动实施方案</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工作实际需要</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2" w:name="_Toc_4_4_0000000023"/>
      <w:r>
        <w:rPr>
          <w:rFonts w:ascii="方正仿宋_GBK" w:eastAsia="方正仿宋_GBK" w:hAnsi="方正仿宋_GBK" w:cs="方正仿宋_GBK"/>
          <w:color w:val="000000"/>
          <w:sz w:val="28"/>
        </w:rPr>
        <w:t xml:space="preserve">23.城市综合管理服务平台运行维护项目绩效目标表</w:t>
      </w:r>
      <w:bookmarkEnd w:id="22"/>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37020023P130004101868</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城市综合管理服务平台运行维护项目</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550.18</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550.18</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支付综合管理服务平台运行维护相关费用。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300.00</w:t>
            </w:r>
          </w:p>
        </w:tc>
        <w:tc>
          <w:tcPr>
            <w:tcW w:w="1304" w:type="dxa"/>
            <w:vAlign w:val="center"/>
          </w:tcPr>
          <w:p>
            <w:pPr>
              <w:pStyle w:val="单元格样式3"/>
            </w:pPr>
            <w:r>
              <w:t xml:space="preserve">480.00</w:t>
            </w:r>
          </w:p>
        </w:tc>
        <w:tc>
          <w:tcPr>
            <w:tcW w:w="3118" w:type="dxa"/>
            <w:hMerge w:val="restart"/>
            <w:vAlign w:val="center"/>
          </w:tcPr>
          <w:p>
            <w:pPr>
              <w:pStyle w:val="单元格样式3"/>
            </w:pPr>
            <w:r>
              <w:t xml:space="preserve">550.18</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6.保障城市综合管理服务平台系统运行升级、服务及维护费、基础数据更新费、线路运行租赁费、岗位服务外包等费用。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平台运行维护预算控制数</w:t>
            </w:r>
          </w:p>
        </w:tc>
        <w:tc>
          <w:tcPr>
            <w:tcW w:w="2891" w:type="dxa"/>
            <w:hMerge w:val="restart"/>
            <w:vAlign w:val="center"/>
          </w:tcPr>
          <w:p>
            <w:pPr>
              <w:pStyle w:val="单元格样式2"/>
            </w:pPr>
            <w:r>
              <w:t xml:space="preserve">平台运行维护预算控制数</w:t>
            </w:r>
          </w:p>
        </w:tc>
        <w:tc>
          <w:tcPr>
            <w:tcW w:w="0" w:type="auto"/>
            <w:hMerge/>
            <w:vAlign w:val="center"/>
          </w:tcPr>
          <w:p>
            <w:pPr/>
          </w:p>
        </w:tc>
        <w:tc>
          <w:tcPr>
            <w:tcW w:w="1276" w:type="dxa"/>
            <w:vAlign w:val="center"/>
          </w:tcPr>
          <w:p>
            <w:pPr>
              <w:pStyle w:val="单元格样式2"/>
            </w:pPr>
            <w:r>
              <w:t xml:space="preserve">≤550.18万元</w:t>
            </w:r>
          </w:p>
        </w:tc>
        <w:tc>
          <w:tcPr>
            <w:tcW w:w="1843" w:type="dxa"/>
            <w:vAlign w:val="center"/>
          </w:tcPr>
          <w:p>
            <w:pPr>
              <w:pStyle w:val="单元格样式2"/>
            </w:pPr>
            <w:r>
              <w:t xml:space="preserve">预算批复</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系统维护平台数量</w:t>
            </w:r>
          </w:p>
        </w:tc>
        <w:tc>
          <w:tcPr>
            <w:tcW w:w="2891" w:type="dxa"/>
            <w:hMerge w:val="restart"/>
            <w:vAlign w:val="center"/>
          </w:tcPr>
          <w:p>
            <w:pPr>
              <w:pStyle w:val="单元格样式2"/>
            </w:pPr>
            <w:r>
              <w:t xml:space="preserve">系统维护平台数量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视频设备维护数量</w:t>
            </w:r>
          </w:p>
        </w:tc>
        <w:tc>
          <w:tcPr>
            <w:tcW w:w="2891" w:type="dxa"/>
            <w:hMerge w:val="restart"/>
            <w:vAlign w:val="center"/>
          </w:tcPr>
          <w:p>
            <w:pPr>
              <w:pStyle w:val="单元格样式2"/>
            </w:pPr>
            <w:r>
              <w:t xml:space="preserve">视频设备维护数量</w:t>
            </w:r>
          </w:p>
        </w:tc>
        <w:tc>
          <w:tcPr>
            <w:tcW w:w="0" w:type="auto"/>
            <w:hMerge/>
            <w:vAlign w:val="center"/>
          </w:tcPr>
          <w:p>
            <w:pPr/>
          </w:p>
        </w:tc>
        <w:tc>
          <w:tcPr>
            <w:tcW w:w="1276" w:type="dxa"/>
            <w:vAlign w:val="center"/>
          </w:tcPr>
          <w:p>
            <w:pPr>
              <w:pStyle w:val="单元格样式2"/>
            </w:pPr>
            <w:r>
              <w:t xml:space="preserve">70个</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设备维修及时率</w:t>
            </w:r>
          </w:p>
        </w:tc>
        <w:tc>
          <w:tcPr>
            <w:tcW w:w="2891" w:type="dxa"/>
            <w:hMerge w:val="restart"/>
            <w:vAlign w:val="center"/>
          </w:tcPr>
          <w:p>
            <w:pPr>
              <w:pStyle w:val="单元格样式2"/>
            </w:pPr>
            <w:r>
              <w:t xml:space="preserve">设备维修及时率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系统基础数据更新率</w:t>
            </w:r>
          </w:p>
        </w:tc>
        <w:tc>
          <w:tcPr>
            <w:tcW w:w="2891" w:type="dxa"/>
            <w:hMerge w:val="restart"/>
            <w:vAlign w:val="center"/>
          </w:tcPr>
          <w:p>
            <w:pPr>
              <w:pStyle w:val="单元格样式2"/>
            </w:pPr>
            <w:r>
              <w:t xml:space="preserve">系统基础数据更新率</w:t>
            </w:r>
          </w:p>
        </w:tc>
        <w:tc>
          <w:tcPr>
            <w:tcW w:w="0" w:type="auto"/>
            <w:hMerge/>
            <w:vAlign w:val="center"/>
          </w:tcPr>
          <w:p>
            <w:pPr/>
          </w:p>
        </w:tc>
        <w:tc>
          <w:tcPr>
            <w:tcW w:w="1276" w:type="dxa"/>
            <w:vAlign w:val="center"/>
          </w:tcPr>
          <w:p>
            <w:pPr>
              <w:pStyle w:val="单元格样式2"/>
            </w:pPr>
            <w:r>
              <w:t xml:space="preserve">≥96%</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基础数据普查项目招标及时</w:t>
            </w:r>
          </w:p>
        </w:tc>
        <w:tc>
          <w:tcPr>
            <w:tcW w:w="2891" w:type="dxa"/>
            <w:hMerge w:val="restart"/>
            <w:vAlign w:val="center"/>
          </w:tcPr>
          <w:p>
            <w:pPr>
              <w:pStyle w:val="单元格样式2"/>
            </w:pPr>
            <w:r>
              <w:t xml:space="preserve">基础数据普查项目招标完成</w:t>
            </w:r>
          </w:p>
        </w:tc>
        <w:tc>
          <w:tcPr>
            <w:tcW w:w="0" w:type="auto"/>
            <w:hMerge/>
            <w:vAlign w:val="center"/>
          </w:tcPr>
          <w:p>
            <w:pPr/>
          </w:p>
        </w:tc>
        <w:tc>
          <w:tcPr>
            <w:tcW w:w="1276" w:type="dxa"/>
            <w:vAlign w:val="center"/>
          </w:tcPr>
          <w:p>
            <w:pPr>
              <w:pStyle w:val="单元格样式2"/>
            </w:pPr>
            <w:r>
              <w:t xml:space="preserve">2023年5月31日之前</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城市管理信息化应用水平</w:t>
            </w:r>
          </w:p>
        </w:tc>
        <w:tc>
          <w:tcPr>
            <w:tcW w:w="2891" w:type="dxa"/>
            <w:hMerge w:val="restart"/>
            <w:vAlign w:val="center"/>
          </w:tcPr>
          <w:p>
            <w:pPr>
              <w:pStyle w:val="单元格样式2"/>
            </w:pPr>
            <w:r>
              <w:t xml:space="preserve">城市管理信息化应用水平</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3" w:name="_Toc_4_4_0000000024"/>
      <w:r>
        <w:rPr>
          <w:rFonts w:ascii="方正仿宋_GBK" w:eastAsia="方正仿宋_GBK" w:hAnsi="方正仿宋_GBK" w:cs="方正仿宋_GBK"/>
          <w:color w:val="000000"/>
          <w:sz w:val="28"/>
        </w:rPr>
        <w:t xml:space="preserve">24.平台建设费用尾款绩效目标表</w:t>
      </w:r>
      <w:bookmarkEnd w:id="23"/>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37020023P55000510002U</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平台建设费用尾款</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923.00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923.00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支付城市综合管理服务平台项目建设尾款</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 </w:t>
            </w:r>
          </w:p>
        </w:tc>
        <w:tc>
          <w:tcPr>
            <w:tcW w:w="1304" w:type="dxa"/>
            <w:vAlign w:val="center"/>
          </w:tcPr>
          <w:p>
            <w:pPr>
              <w:pStyle w:val="单元格样式3"/>
            </w:pPr>
            <w:r>
              <w:t xml:space="preserve">810.00</w:t>
            </w:r>
          </w:p>
        </w:tc>
        <w:tc>
          <w:tcPr>
            <w:tcW w:w="3118" w:type="dxa"/>
            <w:hMerge w:val="restart"/>
            <w:vAlign w:val="center"/>
          </w:tcPr>
          <w:p>
            <w:pPr>
              <w:pStyle w:val="单元格样式3"/>
            </w:pPr>
            <w:r>
              <w:t xml:space="preserve">923.00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6.完成城市综合管理服务平台项目建设尾款支付</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平台建设费用尾款预算控制数</w:t>
            </w:r>
          </w:p>
        </w:tc>
        <w:tc>
          <w:tcPr>
            <w:tcW w:w="2891" w:type="dxa"/>
            <w:hMerge w:val="restart"/>
            <w:vAlign w:val="center"/>
          </w:tcPr>
          <w:p>
            <w:pPr>
              <w:pStyle w:val="单元格样式2"/>
            </w:pPr>
            <w:r>
              <w:t xml:space="preserve">平台建设费用尾款预算控制数</w:t>
            </w:r>
          </w:p>
        </w:tc>
        <w:tc>
          <w:tcPr>
            <w:tcW w:w="0" w:type="auto"/>
            <w:hMerge/>
            <w:vAlign w:val="center"/>
          </w:tcPr>
          <w:p>
            <w:pPr/>
          </w:p>
        </w:tc>
        <w:tc>
          <w:tcPr>
            <w:tcW w:w="1276" w:type="dxa"/>
            <w:vAlign w:val="center"/>
          </w:tcPr>
          <w:p>
            <w:pPr>
              <w:pStyle w:val="单元格样式2"/>
            </w:pPr>
            <w:r>
              <w:t xml:space="preserve">≤923万元</w:t>
            </w:r>
          </w:p>
        </w:tc>
        <w:tc>
          <w:tcPr>
            <w:tcW w:w="1843" w:type="dxa"/>
            <w:vAlign w:val="center"/>
          </w:tcPr>
          <w:p>
            <w:pPr>
              <w:pStyle w:val="单元格样式2"/>
            </w:pPr>
            <w:r>
              <w:t xml:space="preserve">预算批复</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建成平台数量</w:t>
            </w:r>
          </w:p>
        </w:tc>
        <w:tc>
          <w:tcPr>
            <w:tcW w:w="2891" w:type="dxa"/>
            <w:hMerge w:val="restart"/>
            <w:vAlign w:val="center"/>
          </w:tcPr>
          <w:p>
            <w:pPr>
              <w:pStyle w:val="单元格样式2"/>
            </w:pPr>
            <w:r>
              <w:t xml:space="preserve">建成平台数量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青岛市发改委关于批复青岛市城市综合管理服务平台项目初步设计及概算的函</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应用场景数量</w:t>
            </w:r>
          </w:p>
        </w:tc>
        <w:tc>
          <w:tcPr>
            <w:tcW w:w="2891" w:type="dxa"/>
            <w:hMerge w:val="restart"/>
            <w:vAlign w:val="center"/>
          </w:tcPr>
          <w:p>
            <w:pPr>
              <w:pStyle w:val="单元格样式2"/>
            </w:pPr>
            <w:r>
              <w:t xml:space="preserve">应用场景数量</w:t>
            </w:r>
          </w:p>
        </w:tc>
        <w:tc>
          <w:tcPr>
            <w:tcW w:w="0" w:type="auto"/>
            <w:hMerge/>
            <w:vAlign w:val="center"/>
          </w:tcPr>
          <w:p>
            <w:pPr/>
          </w:p>
        </w:tc>
        <w:tc>
          <w:tcPr>
            <w:tcW w:w="1276" w:type="dxa"/>
            <w:vAlign w:val="center"/>
          </w:tcPr>
          <w:p>
            <w:pPr>
              <w:pStyle w:val="单元格样式2"/>
            </w:pPr>
            <w:r>
              <w:t xml:space="preserve">≥24个</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系统正常运行达标率</w:t>
            </w:r>
          </w:p>
        </w:tc>
        <w:tc>
          <w:tcPr>
            <w:tcW w:w="2891" w:type="dxa"/>
            <w:hMerge w:val="restart"/>
            <w:vAlign w:val="center"/>
          </w:tcPr>
          <w:p>
            <w:pPr>
              <w:pStyle w:val="单元格样式2"/>
            </w:pPr>
            <w:r>
              <w:t xml:space="preserve">系统正常运行达标率</w:t>
            </w:r>
          </w:p>
        </w:tc>
        <w:tc>
          <w:tcPr>
            <w:tcW w:w="0" w:type="auto"/>
            <w:hMerge/>
            <w:vAlign w:val="center"/>
          </w:tcPr>
          <w:p>
            <w:pPr/>
          </w:p>
        </w:tc>
        <w:tc>
          <w:tcPr>
            <w:tcW w:w="1276" w:type="dxa"/>
            <w:vAlign w:val="center"/>
          </w:tcPr>
          <w:p>
            <w:pPr>
              <w:pStyle w:val="单元格样式2"/>
            </w:pPr>
            <w:r>
              <w:t xml:space="preserve">≥98%</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用户需求达标率</w:t>
            </w:r>
          </w:p>
        </w:tc>
        <w:tc>
          <w:tcPr>
            <w:tcW w:w="2891" w:type="dxa"/>
            <w:hMerge w:val="restart"/>
            <w:vAlign w:val="center"/>
          </w:tcPr>
          <w:p>
            <w:pPr>
              <w:pStyle w:val="单元格样式2"/>
            </w:pPr>
            <w:r>
              <w:t xml:space="preserve">用户需求达标率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年内进度款支付</w:t>
            </w:r>
          </w:p>
        </w:tc>
        <w:tc>
          <w:tcPr>
            <w:tcW w:w="2891" w:type="dxa"/>
            <w:hMerge w:val="restart"/>
            <w:vAlign w:val="center"/>
          </w:tcPr>
          <w:p>
            <w:pPr>
              <w:pStyle w:val="单元格样式2"/>
            </w:pPr>
            <w:r>
              <w:t xml:space="preserve">年内进度款支付</w:t>
            </w:r>
          </w:p>
        </w:tc>
        <w:tc>
          <w:tcPr>
            <w:tcW w:w="0" w:type="auto"/>
            <w:hMerge/>
            <w:vAlign w:val="center"/>
          </w:tcPr>
          <w:p>
            <w:pPr/>
          </w:p>
        </w:tc>
        <w:tc>
          <w:tcPr>
            <w:tcW w:w="1276" w:type="dxa"/>
            <w:vAlign w:val="center"/>
          </w:tcPr>
          <w:p>
            <w:pPr>
              <w:pStyle w:val="单元格样式2"/>
            </w:pPr>
            <w:r>
              <w:t xml:space="preserve">2023年10月30日之前</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提升城市管理信息化应用水平</w:t>
            </w:r>
          </w:p>
        </w:tc>
        <w:tc>
          <w:tcPr>
            <w:tcW w:w="2891" w:type="dxa"/>
            <w:hMerge w:val="restart"/>
            <w:vAlign w:val="center"/>
          </w:tcPr>
          <w:p>
            <w:pPr>
              <w:pStyle w:val="单元格样式2"/>
            </w:pPr>
            <w:r>
              <w:t xml:space="preserve">提升城市管理信息化应用水平</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≥93%</w:t>
            </w:r>
          </w:p>
        </w:tc>
        <w:tc>
          <w:tcPr>
            <w:tcW w:w="1843" w:type="dxa"/>
            <w:vAlign w:val="center"/>
          </w:tcPr>
          <w:p>
            <w:pPr>
              <w:pStyle w:val="单元格样式2"/>
            </w:pPr>
            <w:r>
              <w:t xml:space="preserve">工作需要</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4" w:name="_Toc_4_4_0000000025"/>
      <w:r>
        <w:rPr>
          <w:rFonts w:ascii="方正仿宋_GBK" w:eastAsia="方正仿宋_GBK" w:hAnsi="方正仿宋_GBK" w:cs="方正仿宋_GBK"/>
          <w:color w:val="000000"/>
          <w:sz w:val="28"/>
        </w:rPr>
        <w:t xml:space="preserve">25.数字化城管巡飞项目经费绩效目标表</w:t>
      </w:r>
      <w:bookmarkEnd w:id="24"/>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37020023P55000810020D</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数字化城管巡飞项目经费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70.00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70.00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支付无人机巡飞服务、微信举报奖励金。</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47.00</w:t>
            </w:r>
          </w:p>
        </w:tc>
        <w:tc>
          <w:tcPr>
            <w:tcW w:w="1304" w:type="dxa"/>
            <w:vAlign w:val="center"/>
          </w:tcPr>
          <w:p>
            <w:pPr>
              <w:pStyle w:val="单元格样式3"/>
            </w:pPr>
            <w:r>
              <w:t xml:space="preserve">55.00</w:t>
            </w:r>
          </w:p>
        </w:tc>
        <w:tc>
          <w:tcPr>
            <w:tcW w:w="3118" w:type="dxa"/>
            <w:hMerge w:val="restart"/>
            <w:vAlign w:val="center"/>
          </w:tcPr>
          <w:p>
            <w:pPr>
              <w:pStyle w:val="单元格样式3"/>
            </w:pPr>
            <w:r>
              <w:t xml:space="preserve">70.00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6.完成全年无人机巡查任务。</w:t>
            </w:r>
          </w:p>
          <w:p>
            <w:pPr>
              <w:pStyle w:val="单元格样式2"/>
            </w:pPr>
            <w:r>
              <w:t xml:space="preserve">7.完成全年微信举报奖励金发放工作。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数字化城管巡飞项目预算控制数</w:t>
            </w:r>
          </w:p>
        </w:tc>
        <w:tc>
          <w:tcPr>
            <w:tcW w:w="2891" w:type="dxa"/>
            <w:hMerge w:val="restart"/>
            <w:vAlign w:val="center"/>
          </w:tcPr>
          <w:p>
            <w:pPr>
              <w:pStyle w:val="单元格样式2"/>
            </w:pPr>
            <w:r>
              <w:t xml:space="preserve">数字化城管巡飞项目预算控制数</w:t>
            </w:r>
          </w:p>
        </w:tc>
        <w:tc>
          <w:tcPr>
            <w:tcW w:w="0" w:type="auto"/>
            <w:hMerge/>
            <w:vAlign w:val="center"/>
          </w:tcPr>
          <w:p>
            <w:pPr/>
          </w:p>
        </w:tc>
        <w:tc>
          <w:tcPr>
            <w:tcW w:w="1276" w:type="dxa"/>
            <w:vAlign w:val="center"/>
          </w:tcPr>
          <w:p>
            <w:pPr>
              <w:pStyle w:val="单元格样式2"/>
            </w:pPr>
            <w:r>
              <w:t xml:space="preserve">≤70万元</w:t>
            </w:r>
          </w:p>
        </w:tc>
        <w:tc>
          <w:tcPr>
            <w:tcW w:w="1843" w:type="dxa"/>
            <w:vAlign w:val="center"/>
          </w:tcPr>
          <w:p>
            <w:pPr>
              <w:pStyle w:val="单元格样式2"/>
            </w:pPr>
            <w:r>
              <w:t xml:space="preserve">预算批复</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需巡查的项目</w:t>
            </w:r>
          </w:p>
        </w:tc>
        <w:tc>
          <w:tcPr>
            <w:tcW w:w="2891" w:type="dxa"/>
            <w:hMerge w:val="restart"/>
            <w:vAlign w:val="center"/>
          </w:tcPr>
          <w:p>
            <w:pPr>
              <w:pStyle w:val="单元格样式2"/>
            </w:pPr>
            <w:r>
              <w:t xml:space="preserve">需巡查的项目</w:t>
            </w:r>
          </w:p>
        </w:tc>
        <w:tc>
          <w:tcPr>
            <w:tcW w:w="0" w:type="auto"/>
            <w:hMerge/>
            <w:vAlign w:val="center"/>
          </w:tcPr>
          <w:p>
            <w:pPr/>
          </w:p>
        </w:tc>
        <w:tc>
          <w:tcPr>
            <w:tcW w:w="1276" w:type="dxa"/>
            <w:vAlign w:val="center"/>
          </w:tcPr>
          <w:p>
            <w:pPr>
              <w:pStyle w:val="单元格样式2"/>
            </w:pPr>
            <w:r>
              <w:t xml:space="preserve">≥300个</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巡查次数</w:t>
            </w:r>
          </w:p>
        </w:tc>
        <w:tc>
          <w:tcPr>
            <w:tcW w:w="2891" w:type="dxa"/>
            <w:hMerge w:val="restart"/>
            <w:vAlign w:val="center"/>
          </w:tcPr>
          <w:p>
            <w:pPr>
              <w:pStyle w:val="单元格样式2"/>
            </w:pPr>
            <w:r>
              <w:t xml:space="preserve">巡查次数</w:t>
            </w:r>
          </w:p>
        </w:tc>
        <w:tc>
          <w:tcPr>
            <w:tcW w:w="0" w:type="auto"/>
            <w:hMerge/>
            <w:vAlign w:val="center"/>
          </w:tcPr>
          <w:p>
            <w:pPr/>
          </w:p>
        </w:tc>
        <w:tc>
          <w:tcPr>
            <w:tcW w:w="1276" w:type="dxa"/>
            <w:vAlign w:val="center"/>
          </w:tcPr>
          <w:p>
            <w:pPr>
              <w:pStyle w:val="单元格样式2"/>
            </w:pPr>
            <w:r>
              <w:t xml:space="preserve">≥2430次</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视频分辨率</w:t>
            </w:r>
          </w:p>
        </w:tc>
        <w:tc>
          <w:tcPr>
            <w:tcW w:w="2891" w:type="dxa"/>
            <w:hMerge w:val="restart"/>
            <w:vAlign w:val="center"/>
          </w:tcPr>
          <w:p>
            <w:pPr>
              <w:pStyle w:val="单元格样式2"/>
            </w:pPr>
            <w:r>
              <w:t xml:space="preserve">视频分辨率</w:t>
            </w:r>
          </w:p>
        </w:tc>
        <w:tc>
          <w:tcPr>
            <w:tcW w:w="0" w:type="auto"/>
            <w:hMerge/>
            <w:vAlign w:val="center"/>
          </w:tcPr>
          <w:p>
            <w:pPr/>
          </w:p>
        </w:tc>
        <w:tc>
          <w:tcPr>
            <w:tcW w:w="1276" w:type="dxa"/>
            <w:vAlign w:val="center"/>
          </w:tcPr>
          <w:p>
            <w:pPr>
              <w:pStyle w:val="单元格样式2"/>
            </w:pPr>
            <w:r>
              <w:t xml:space="preserve">≥1080P</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图片分辨率</w:t>
            </w:r>
          </w:p>
        </w:tc>
        <w:tc>
          <w:tcPr>
            <w:tcW w:w="2891" w:type="dxa"/>
            <w:hMerge w:val="restart"/>
            <w:vAlign w:val="center"/>
          </w:tcPr>
          <w:p>
            <w:pPr>
              <w:pStyle w:val="单元格样式2"/>
            </w:pPr>
            <w:r>
              <w:t xml:space="preserve">图片分辨率</w:t>
            </w:r>
          </w:p>
        </w:tc>
        <w:tc>
          <w:tcPr>
            <w:tcW w:w="0" w:type="auto"/>
            <w:hMerge/>
            <w:vAlign w:val="center"/>
          </w:tcPr>
          <w:p>
            <w:pPr/>
          </w:p>
        </w:tc>
        <w:tc>
          <w:tcPr>
            <w:tcW w:w="1276" w:type="dxa"/>
            <w:vAlign w:val="center"/>
          </w:tcPr>
          <w:p>
            <w:pPr>
              <w:pStyle w:val="单元格样式2"/>
            </w:pPr>
            <w:r>
              <w:t xml:space="preserve">超过1:1000</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微信举报奖励金发放及时率</w:t>
            </w:r>
          </w:p>
        </w:tc>
        <w:tc>
          <w:tcPr>
            <w:tcW w:w="2891" w:type="dxa"/>
            <w:hMerge w:val="restart"/>
            <w:vAlign w:val="center"/>
          </w:tcPr>
          <w:p>
            <w:pPr>
              <w:pStyle w:val="单元格样式2"/>
            </w:pPr>
            <w:r>
              <w:t xml:space="preserve">微信举报奖励金发放及时率</w:t>
            </w:r>
          </w:p>
        </w:tc>
        <w:tc>
          <w:tcPr>
            <w:tcW w:w="0" w:type="auto"/>
            <w:hMerge/>
            <w:vAlign w:val="center"/>
          </w:tcPr>
          <w:p>
            <w:pPr/>
          </w:p>
        </w:tc>
        <w:tc>
          <w:tcPr>
            <w:tcW w:w="1276" w:type="dxa"/>
            <w:vAlign w:val="center"/>
          </w:tcPr>
          <w:p>
            <w:pPr>
              <w:pStyle w:val="单元格样式2"/>
            </w:pPr>
            <w:r>
              <w:t xml:space="preserve">限额内受理案件奖励金3个工作日内发放到位</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执法监管工作科技赋能水平</w:t>
            </w:r>
          </w:p>
        </w:tc>
        <w:tc>
          <w:tcPr>
            <w:tcW w:w="2891" w:type="dxa"/>
            <w:hMerge w:val="restart"/>
            <w:vAlign w:val="center"/>
          </w:tcPr>
          <w:p>
            <w:pPr>
              <w:pStyle w:val="单元格样式2"/>
            </w:pPr>
            <w:r>
              <w:t xml:space="preserve">执法监管工作科技赋能水平</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5" w:name="_Toc_4_4_0000000026"/>
      <w:r>
        <w:rPr>
          <w:rFonts w:ascii="方正仿宋_GBK" w:eastAsia="方正仿宋_GBK" w:hAnsi="方正仿宋_GBK" w:cs="方正仿宋_GBK"/>
          <w:color w:val="000000"/>
          <w:sz w:val="28"/>
        </w:rPr>
        <w:t xml:space="preserve">26.执法装备配备资金绩效目标表</w:t>
      </w:r>
      <w:bookmarkEnd w:id="25"/>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37020023P550008100192</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执法装备配备资金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75.00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75.00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支付制式服装、专用装备采购费用。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47.00</w:t>
            </w:r>
          </w:p>
        </w:tc>
        <w:tc>
          <w:tcPr>
            <w:tcW w:w="1304" w:type="dxa"/>
            <w:vAlign w:val="center"/>
          </w:tcPr>
          <w:p>
            <w:pPr>
              <w:pStyle w:val="单元格样式3"/>
            </w:pPr>
            <w:r>
              <w:t xml:space="preserve">55.00</w:t>
            </w:r>
          </w:p>
        </w:tc>
        <w:tc>
          <w:tcPr>
            <w:tcW w:w="3118" w:type="dxa"/>
            <w:hMerge w:val="restart"/>
            <w:vAlign w:val="center"/>
          </w:tcPr>
          <w:p>
            <w:pPr>
              <w:pStyle w:val="单元格样式3"/>
            </w:pPr>
            <w:r>
              <w:t xml:space="preserve">75.00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6.更新配备执法制式服装、标志标识等。</w:t>
            </w:r>
          </w:p>
          <w:p>
            <w:pPr>
              <w:pStyle w:val="单元格样式2"/>
            </w:pPr>
            <w:r>
              <w:t xml:space="preserve">7.更新配备执法装备。</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执法装备预算控制数</w:t>
            </w:r>
          </w:p>
        </w:tc>
        <w:tc>
          <w:tcPr>
            <w:tcW w:w="2891" w:type="dxa"/>
            <w:hMerge w:val="restart"/>
            <w:vAlign w:val="center"/>
          </w:tcPr>
          <w:p>
            <w:pPr>
              <w:pStyle w:val="单元格样式2"/>
            </w:pPr>
            <w:r>
              <w:t xml:space="preserve">执法装备预算控制数</w:t>
            </w:r>
          </w:p>
        </w:tc>
        <w:tc>
          <w:tcPr>
            <w:tcW w:w="0" w:type="auto"/>
            <w:hMerge/>
            <w:vAlign w:val="center"/>
          </w:tcPr>
          <w:p>
            <w:pPr/>
          </w:p>
        </w:tc>
        <w:tc>
          <w:tcPr>
            <w:tcW w:w="1276" w:type="dxa"/>
            <w:vAlign w:val="center"/>
          </w:tcPr>
          <w:p>
            <w:pPr>
              <w:pStyle w:val="单元格样式2"/>
            </w:pPr>
            <w:r>
              <w:t xml:space="preserve">≤75万元</w:t>
            </w:r>
          </w:p>
        </w:tc>
        <w:tc>
          <w:tcPr>
            <w:tcW w:w="1843" w:type="dxa"/>
            <w:vAlign w:val="center"/>
          </w:tcPr>
          <w:p>
            <w:pPr>
              <w:pStyle w:val="单元格样式2"/>
            </w:pPr>
            <w:r>
              <w:t xml:space="preserve">预算批复</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执法服装更新人员数量</w:t>
            </w:r>
          </w:p>
        </w:tc>
        <w:tc>
          <w:tcPr>
            <w:tcW w:w="2891" w:type="dxa"/>
            <w:hMerge w:val="restart"/>
            <w:vAlign w:val="center"/>
          </w:tcPr>
          <w:p>
            <w:pPr>
              <w:pStyle w:val="单元格样式2"/>
            </w:pPr>
            <w:r>
              <w:t xml:space="preserve">执法服装更新人员数量</w:t>
            </w:r>
          </w:p>
        </w:tc>
        <w:tc>
          <w:tcPr>
            <w:tcW w:w="0" w:type="auto"/>
            <w:hMerge/>
            <w:vAlign w:val="center"/>
          </w:tcPr>
          <w:p>
            <w:pPr/>
          </w:p>
        </w:tc>
        <w:tc>
          <w:tcPr>
            <w:tcW w:w="1276" w:type="dxa"/>
            <w:vAlign w:val="center"/>
          </w:tcPr>
          <w:p>
            <w:pPr>
              <w:pStyle w:val="单元格样式2"/>
            </w:pPr>
            <w:r>
              <w:t xml:space="preserve">≤164人</w:t>
            </w:r>
          </w:p>
        </w:tc>
        <w:tc>
          <w:tcPr>
            <w:tcW w:w="1843" w:type="dxa"/>
            <w:vAlign w:val="center"/>
          </w:tcPr>
          <w:p>
            <w:pPr>
              <w:pStyle w:val="单元格样式2"/>
            </w:pPr>
            <w:r>
              <w:t xml:space="preserve">现实有人数</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执法服装新配发人员数量</w:t>
            </w:r>
          </w:p>
        </w:tc>
        <w:tc>
          <w:tcPr>
            <w:tcW w:w="2891" w:type="dxa"/>
            <w:hMerge w:val="restart"/>
            <w:vAlign w:val="center"/>
          </w:tcPr>
          <w:p>
            <w:pPr>
              <w:pStyle w:val="单元格样式2"/>
            </w:pPr>
            <w:r>
              <w:t xml:space="preserve">执法服装新配发人员数量</w:t>
            </w:r>
          </w:p>
        </w:tc>
        <w:tc>
          <w:tcPr>
            <w:tcW w:w="0" w:type="auto"/>
            <w:hMerge/>
            <w:vAlign w:val="center"/>
          </w:tcPr>
          <w:p>
            <w:pPr/>
          </w:p>
        </w:tc>
        <w:tc>
          <w:tcPr>
            <w:tcW w:w="1276" w:type="dxa"/>
            <w:vAlign w:val="center"/>
          </w:tcPr>
          <w:p>
            <w:pPr>
              <w:pStyle w:val="单元格样式2"/>
            </w:pPr>
            <w:r>
              <w:t xml:space="preserve">≤10人</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执法服装材质达标率</w:t>
            </w:r>
          </w:p>
        </w:tc>
        <w:tc>
          <w:tcPr>
            <w:tcW w:w="2891" w:type="dxa"/>
            <w:hMerge w:val="restart"/>
            <w:vAlign w:val="center"/>
          </w:tcPr>
          <w:p>
            <w:pPr>
              <w:pStyle w:val="单元格样式2"/>
            </w:pPr>
            <w:r>
              <w:t xml:space="preserve">执法服装材质达标率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城市管理执法制式服装和标志标识公用供应管理办法</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装备质量合格率</w:t>
            </w:r>
          </w:p>
        </w:tc>
        <w:tc>
          <w:tcPr>
            <w:tcW w:w="2891" w:type="dxa"/>
            <w:hMerge w:val="restart"/>
            <w:vAlign w:val="center"/>
          </w:tcPr>
          <w:p>
            <w:pPr>
              <w:pStyle w:val="单元格样式2"/>
            </w:pPr>
            <w:r>
              <w:t xml:space="preserve">装备质量合格率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住房和城乡建设部办公厅关于印发城市管理执法装备配备指导标准（试行）的通知</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执法服装配发量体及时率</w:t>
            </w:r>
          </w:p>
        </w:tc>
        <w:tc>
          <w:tcPr>
            <w:tcW w:w="2891" w:type="dxa"/>
            <w:hMerge w:val="restart"/>
            <w:vAlign w:val="center"/>
          </w:tcPr>
          <w:p>
            <w:pPr>
              <w:pStyle w:val="单元格样式2"/>
            </w:pPr>
            <w:r>
              <w:t xml:space="preserve">执法服装配发量体及时率</w:t>
            </w:r>
          </w:p>
        </w:tc>
        <w:tc>
          <w:tcPr>
            <w:tcW w:w="0" w:type="auto"/>
            <w:hMerge/>
            <w:vAlign w:val="center"/>
          </w:tcPr>
          <w:p>
            <w:pPr/>
          </w:p>
        </w:tc>
        <w:tc>
          <w:tcPr>
            <w:tcW w:w="1276" w:type="dxa"/>
            <w:vAlign w:val="center"/>
          </w:tcPr>
          <w:p>
            <w:pPr>
              <w:pStyle w:val="单元格样式2"/>
            </w:pPr>
            <w:r>
              <w:t xml:space="preserve">10月30日之前</w:t>
            </w:r>
          </w:p>
        </w:tc>
        <w:tc>
          <w:tcPr>
            <w:tcW w:w="1843" w:type="dxa"/>
            <w:vAlign w:val="center"/>
          </w:tcPr>
          <w:p>
            <w:pPr>
              <w:pStyle w:val="单元格样式2"/>
            </w:pPr>
            <w:r>
              <w:t xml:space="preserve">人员变动实际需要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城市管理规范化、精细化</w:t>
            </w:r>
          </w:p>
        </w:tc>
        <w:tc>
          <w:tcPr>
            <w:tcW w:w="2891" w:type="dxa"/>
            <w:hMerge w:val="restart"/>
            <w:vAlign w:val="center"/>
          </w:tcPr>
          <w:p>
            <w:pPr>
              <w:pStyle w:val="单元格样式2"/>
            </w:pPr>
            <w:r>
              <w:t xml:space="preserve">城市管理规范化、精细化</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工作实际</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制式服装满意度</w:t>
            </w:r>
          </w:p>
        </w:tc>
        <w:tc>
          <w:tcPr>
            <w:tcW w:w="2891" w:type="dxa"/>
            <w:hMerge w:val="restart"/>
            <w:vAlign w:val="center"/>
          </w:tcPr>
          <w:p>
            <w:pPr>
              <w:pStyle w:val="单元格样式2"/>
            </w:pPr>
            <w:r>
              <w:t xml:space="preserve">制式服装满意度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6" w:name="_Toc_4_4_0000000027"/>
      <w:r>
        <w:rPr>
          <w:rFonts w:ascii="方正仿宋_GBK" w:eastAsia="方正仿宋_GBK" w:hAnsi="方正仿宋_GBK" w:cs="方正仿宋_GBK"/>
          <w:color w:val="000000"/>
          <w:sz w:val="28"/>
        </w:rPr>
        <w:t xml:space="preserve">27.窨井盖数据扩展普查经费绩效目标表</w:t>
      </w:r>
      <w:bookmarkEnd w:id="26"/>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603002青岛市综合行政执法支队</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37020023P55000810025F</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窨井盖数据扩展普查经费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232.00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232.00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支付窨井盖普查费用。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232.00</w:t>
            </w:r>
          </w:p>
        </w:tc>
        <w:tc>
          <w:tcPr>
            <w:tcW w:w="1304" w:type="dxa"/>
            <w:vAlign w:val="center"/>
          </w:tcPr>
          <w:p>
            <w:pPr>
              <w:pStyle w:val="单元格样式3"/>
            </w:pPr>
            <w:r>
              <w:t xml:space="preserve">232.00</w:t>
            </w:r>
          </w:p>
        </w:tc>
        <w:tc>
          <w:tcPr>
            <w:tcW w:w="3118" w:type="dxa"/>
            <w:hMerge w:val="restart"/>
            <w:vAlign w:val="center"/>
          </w:tcPr>
          <w:p>
            <w:pPr>
              <w:pStyle w:val="单元格样式3"/>
            </w:pPr>
            <w:r>
              <w:t xml:space="preserve">232.00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6.完成对市南、市北、李沧非公共区域窨井盖的普查工作。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普查预算控制数</w:t>
            </w:r>
          </w:p>
        </w:tc>
        <w:tc>
          <w:tcPr>
            <w:tcW w:w="2891" w:type="dxa"/>
            <w:hMerge w:val="restart"/>
            <w:vAlign w:val="center"/>
          </w:tcPr>
          <w:p>
            <w:pPr>
              <w:pStyle w:val="单元格样式2"/>
            </w:pPr>
            <w:r>
              <w:t xml:space="preserve">普查预算控制数</w:t>
            </w:r>
          </w:p>
        </w:tc>
        <w:tc>
          <w:tcPr>
            <w:tcW w:w="0" w:type="auto"/>
            <w:hMerge/>
            <w:vAlign w:val="center"/>
          </w:tcPr>
          <w:p>
            <w:pPr/>
          </w:p>
        </w:tc>
        <w:tc>
          <w:tcPr>
            <w:tcW w:w="1276" w:type="dxa"/>
            <w:vAlign w:val="center"/>
          </w:tcPr>
          <w:p>
            <w:pPr>
              <w:pStyle w:val="单元格样式2"/>
            </w:pPr>
            <w:r>
              <w:t xml:space="preserve">≤232万元</w:t>
            </w:r>
          </w:p>
        </w:tc>
        <w:tc>
          <w:tcPr>
            <w:tcW w:w="1843" w:type="dxa"/>
            <w:vAlign w:val="center"/>
          </w:tcPr>
          <w:p>
            <w:pPr>
              <w:pStyle w:val="单元格样式2"/>
            </w:pPr>
            <w:r>
              <w:t xml:space="preserve">预算批复</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普查窨井盖数量</w:t>
            </w:r>
          </w:p>
        </w:tc>
        <w:tc>
          <w:tcPr>
            <w:tcW w:w="2891" w:type="dxa"/>
            <w:hMerge w:val="restart"/>
            <w:vAlign w:val="center"/>
          </w:tcPr>
          <w:p>
            <w:pPr>
              <w:pStyle w:val="单元格样式2"/>
            </w:pPr>
            <w:r>
              <w:t xml:space="preserve">普查窨井盖数量</w:t>
            </w:r>
          </w:p>
        </w:tc>
        <w:tc>
          <w:tcPr>
            <w:tcW w:w="0" w:type="auto"/>
            <w:hMerge/>
            <w:vAlign w:val="center"/>
          </w:tcPr>
          <w:p>
            <w:pPr/>
          </w:p>
        </w:tc>
        <w:tc>
          <w:tcPr>
            <w:tcW w:w="1276" w:type="dxa"/>
            <w:vAlign w:val="center"/>
          </w:tcPr>
          <w:p>
            <w:pPr>
              <w:pStyle w:val="单元格样式2"/>
            </w:pPr>
            <w:r>
              <w:t xml:space="preserve">≥600000个</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普查覆盖行政区</w:t>
            </w:r>
          </w:p>
        </w:tc>
        <w:tc>
          <w:tcPr>
            <w:tcW w:w="2891" w:type="dxa"/>
            <w:hMerge w:val="restart"/>
            <w:vAlign w:val="center"/>
          </w:tcPr>
          <w:p>
            <w:pPr>
              <w:pStyle w:val="单元格样式2"/>
            </w:pPr>
            <w:r>
              <w:t xml:space="preserve">普查覆盖行政区</w:t>
            </w:r>
          </w:p>
        </w:tc>
        <w:tc>
          <w:tcPr>
            <w:tcW w:w="0" w:type="auto"/>
            <w:hMerge/>
            <w:vAlign w:val="center"/>
          </w:tcPr>
          <w:p>
            <w:pPr/>
          </w:p>
        </w:tc>
        <w:tc>
          <w:tcPr>
            <w:tcW w:w="1276" w:type="dxa"/>
            <w:vAlign w:val="center"/>
          </w:tcPr>
          <w:p>
            <w:pPr>
              <w:pStyle w:val="单元格样式2"/>
            </w:pPr>
            <w:r>
              <w:t xml:space="preserve">3个</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窨井盖权属完整率</w:t>
            </w:r>
          </w:p>
        </w:tc>
        <w:tc>
          <w:tcPr>
            <w:tcW w:w="2891" w:type="dxa"/>
            <w:hMerge w:val="restart"/>
            <w:vAlign w:val="center"/>
          </w:tcPr>
          <w:p>
            <w:pPr>
              <w:pStyle w:val="单元格样式2"/>
            </w:pPr>
            <w:r>
              <w:t xml:space="preserve">窨井盖权属完整率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窨井盖定位准确率</w:t>
            </w:r>
          </w:p>
        </w:tc>
        <w:tc>
          <w:tcPr>
            <w:tcW w:w="2891" w:type="dxa"/>
            <w:hMerge w:val="restart"/>
            <w:vAlign w:val="center"/>
          </w:tcPr>
          <w:p>
            <w:pPr>
              <w:pStyle w:val="单元格样式2"/>
            </w:pPr>
            <w:r>
              <w:t xml:space="preserve">窨井盖定位准确率</w:t>
            </w:r>
          </w:p>
        </w:tc>
        <w:tc>
          <w:tcPr>
            <w:tcW w:w="0" w:type="auto"/>
            <w:hMerge/>
            <w:vAlign w:val="center"/>
          </w:tcPr>
          <w:p>
            <w:pPr/>
          </w:p>
        </w:tc>
        <w:tc>
          <w:tcPr>
            <w:tcW w:w="1276" w:type="dxa"/>
            <w:vAlign w:val="center"/>
          </w:tcPr>
          <w:p>
            <w:pPr>
              <w:pStyle w:val="单元格样式2"/>
            </w:pPr>
            <w:r>
              <w:t xml:space="preserve">≥96%</w:t>
            </w:r>
          </w:p>
        </w:tc>
        <w:tc>
          <w:tcPr>
            <w:tcW w:w="1843" w:type="dxa"/>
            <w:vAlign w:val="center"/>
          </w:tcPr>
          <w:p>
            <w:pPr>
              <w:pStyle w:val="单元格样式2"/>
            </w:pPr>
            <w:r>
              <w:t xml:space="preserve">工作需要</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窨井盖项目招标完成</w:t>
            </w:r>
          </w:p>
        </w:tc>
        <w:tc>
          <w:tcPr>
            <w:tcW w:w="2891" w:type="dxa"/>
            <w:hMerge w:val="restart"/>
            <w:vAlign w:val="center"/>
          </w:tcPr>
          <w:p>
            <w:pPr>
              <w:pStyle w:val="单元格样式2"/>
            </w:pPr>
            <w:r>
              <w:t xml:space="preserve">窨井盖项目招标完成</w:t>
            </w:r>
          </w:p>
        </w:tc>
        <w:tc>
          <w:tcPr>
            <w:tcW w:w="0" w:type="auto"/>
            <w:hMerge/>
            <w:vAlign w:val="center"/>
          </w:tcPr>
          <w:p>
            <w:pPr/>
          </w:p>
        </w:tc>
        <w:tc>
          <w:tcPr>
            <w:tcW w:w="1276" w:type="dxa"/>
            <w:vAlign w:val="center"/>
          </w:tcPr>
          <w:p>
            <w:pPr>
              <w:pStyle w:val="单元格样式2"/>
            </w:pPr>
            <w:r>
              <w:t xml:space="preserve">2023年5月30日前</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确保窨井盖完好</w:t>
            </w:r>
          </w:p>
        </w:tc>
        <w:tc>
          <w:tcPr>
            <w:tcW w:w="2891" w:type="dxa"/>
            <w:hMerge w:val="restart"/>
            <w:vAlign w:val="center"/>
          </w:tcPr>
          <w:p>
            <w:pPr>
              <w:pStyle w:val="单元格样式2"/>
            </w:pPr>
            <w:r>
              <w:t xml:space="preserve">窨井盖完好率</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工作需要</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7" w:name="_Toc_4_4_0000000028"/>
      <w:r>
        <w:rPr>
          <w:rFonts w:ascii="方正仿宋_GBK" w:eastAsia="方正仿宋_GBK" w:hAnsi="方正仿宋_GBK" w:cs="方正仿宋_GBK"/>
          <w:color w:val="000000"/>
          <w:sz w:val="28"/>
        </w:rPr>
        <w:t xml:space="preserve">28.数字城市管理平台服务中心信息系统运维费用绩效目标表</w:t>
      </w:r>
      <w:bookmarkEnd w:id="27"/>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603004青岛市数字城市管理平台服务中心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37020023P13000410187U</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数字城市管理平台服务中心信息系统运维费用</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数字城市管理平台服务中心信息费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2.00</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4.00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6.确保12319热线系统正常平稳运行，及时转办各渠道市民诉求。</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系统运维预算控制数</w:t>
            </w:r>
          </w:p>
        </w:tc>
        <w:tc>
          <w:tcPr>
            <w:tcW w:w="2891" w:type="dxa"/>
            <w:hMerge w:val="restart"/>
            <w:vAlign w:val="center"/>
          </w:tcPr>
          <w:p>
            <w:pPr>
              <w:pStyle w:val="单元格样式2"/>
            </w:pPr>
            <w:r>
              <w:t xml:space="preserve">系统运维预算控制数</w:t>
            </w:r>
          </w:p>
        </w:tc>
        <w:tc>
          <w:tcPr>
            <w:tcW w:w="0" w:type="auto"/>
            <w:hMerge/>
            <w:vAlign w:val="center"/>
          </w:tcPr>
          <w:p>
            <w:pPr/>
          </w:p>
        </w:tc>
        <w:tc>
          <w:tcPr>
            <w:tcW w:w="1276" w:type="dxa"/>
            <w:vAlign w:val="center"/>
          </w:tcPr>
          <w:p>
            <w:pPr>
              <w:pStyle w:val="单元格样式2"/>
            </w:pPr>
            <w:r>
              <w:t xml:space="preserve">≤4万元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系统正常运行率</w:t>
            </w:r>
          </w:p>
        </w:tc>
        <w:tc>
          <w:tcPr>
            <w:tcW w:w="2891" w:type="dxa"/>
            <w:hMerge w:val="restart"/>
            <w:vAlign w:val="center"/>
          </w:tcPr>
          <w:p>
            <w:pPr>
              <w:pStyle w:val="单元格样式2"/>
            </w:pPr>
            <w:r>
              <w:t xml:space="preserve">系统正常运行情况</w:t>
            </w:r>
          </w:p>
        </w:tc>
        <w:tc>
          <w:tcPr>
            <w:tcW w:w="0" w:type="auto"/>
            <w:hMerge/>
            <w:vAlign w:val="center"/>
          </w:tcPr>
          <w:p>
            <w:pPr/>
          </w:p>
        </w:tc>
        <w:tc>
          <w:tcPr>
            <w:tcW w:w="1276" w:type="dxa"/>
            <w:vAlign w:val="center"/>
          </w:tcPr>
          <w:p>
            <w:pPr>
              <w:pStyle w:val="单元格样式2"/>
            </w:pPr>
            <w:r>
              <w:t xml:space="preserve">≥95百分比</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系统受理案件办结率</w:t>
            </w:r>
          </w:p>
        </w:tc>
        <w:tc>
          <w:tcPr>
            <w:tcW w:w="2891" w:type="dxa"/>
            <w:hMerge w:val="restart"/>
            <w:vAlign w:val="center"/>
          </w:tcPr>
          <w:p>
            <w:pPr>
              <w:pStyle w:val="单元格样式2"/>
            </w:pPr>
            <w:r>
              <w:t xml:space="preserve">系统受理案件办结率</w:t>
            </w:r>
          </w:p>
        </w:tc>
        <w:tc>
          <w:tcPr>
            <w:tcW w:w="0" w:type="auto"/>
            <w:hMerge/>
            <w:vAlign w:val="center"/>
          </w:tcPr>
          <w:p>
            <w:pPr/>
          </w:p>
        </w:tc>
        <w:tc>
          <w:tcPr>
            <w:tcW w:w="1276" w:type="dxa"/>
            <w:vAlign w:val="center"/>
          </w:tcPr>
          <w:p>
            <w:pPr>
              <w:pStyle w:val="单元格样式2"/>
            </w:pPr>
            <w:r>
              <w:t xml:space="preserve">≥80百分比</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系统运行维护响应时间</w:t>
            </w:r>
          </w:p>
        </w:tc>
        <w:tc>
          <w:tcPr>
            <w:tcW w:w="2891" w:type="dxa"/>
            <w:hMerge w:val="restart"/>
            <w:vAlign w:val="center"/>
          </w:tcPr>
          <w:p>
            <w:pPr>
              <w:pStyle w:val="单元格样式2"/>
            </w:pPr>
            <w:r>
              <w:t xml:space="preserve">系统运行维护响应时间</w:t>
            </w:r>
          </w:p>
        </w:tc>
        <w:tc>
          <w:tcPr>
            <w:tcW w:w="0" w:type="auto"/>
            <w:hMerge/>
            <w:vAlign w:val="center"/>
          </w:tcPr>
          <w:p>
            <w:pPr/>
          </w:p>
        </w:tc>
        <w:tc>
          <w:tcPr>
            <w:tcW w:w="1276" w:type="dxa"/>
            <w:vAlign w:val="center"/>
          </w:tcPr>
          <w:p>
            <w:pPr>
              <w:pStyle w:val="单元格样式2"/>
            </w:pPr>
            <w:r>
              <w:t xml:space="preserve">≤8小时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系统受理案件数量</w:t>
            </w:r>
          </w:p>
        </w:tc>
        <w:tc>
          <w:tcPr>
            <w:tcW w:w="2891" w:type="dxa"/>
            <w:hMerge w:val="restart"/>
            <w:vAlign w:val="center"/>
          </w:tcPr>
          <w:p>
            <w:pPr>
              <w:pStyle w:val="单元格样式2"/>
            </w:pPr>
            <w:r>
              <w:t xml:space="preserve">案件转办受理数量</w:t>
            </w:r>
          </w:p>
        </w:tc>
        <w:tc>
          <w:tcPr>
            <w:tcW w:w="0" w:type="auto"/>
            <w:hMerge/>
            <w:vAlign w:val="center"/>
          </w:tcPr>
          <w:p>
            <w:pPr/>
          </w:p>
        </w:tc>
        <w:tc>
          <w:tcPr>
            <w:tcW w:w="1276" w:type="dxa"/>
            <w:vAlign w:val="center"/>
          </w:tcPr>
          <w:p>
            <w:pPr>
              <w:pStyle w:val="单元格样式2"/>
            </w:pPr>
            <w:r>
              <w:t xml:space="preserve">≥10000件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系统维护平台数量</w:t>
            </w:r>
          </w:p>
        </w:tc>
        <w:tc>
          <w:tcPr>
            <w:tcW w:w="2891" w:type="dxa"/>
            <w:hMerge w:val="restart"/>
            <w:vAlign w:val="center"/>
          </w:tcPr>
          <w:p>
            <w:pPr>
              <w:pStyle w:val="单元格样式2"/>
            </w:pPr>
            <w:r>
              <w:t xml:space="preserve">系统维护平台数量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提升城市管理信息化应用水平</w:t>
            </w:r>
          </w:p>
        </w:tc>
        <w:tc>
          <w:tcPr>
            <w:tcW w:w="2891" w:type="dxa"/>
            <w:hMerge w:val="restart"/>
            <w:vAlign w:val="center"/>
          </w:tcPr>
          <w:p>
            <w:pPr>
              <w:pStyle w:val="单元格样式2"/>
            </w:pPr>
            <w:r>
              <w:t xml:space="preserve">提升城市管理信息化应用水平</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≥80百分比</w:t>
            </w:r>
          </w:p>
        </w:tc>
        <w:tc>
          <w:tcPr>
            <w:tcW w:w="1843" w:type="dxa"/>
            <w:vAlign w:val="center"/>
          </w:tcPr>
          <w:p>
            <w:pPr>
              <w:pStyle w:val="单元格样式2"/>
            </w:pP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8" w:name="_Toc_4_4_0000000029"/>
      <w:r>
        <w:rPr>
          <w:rFonts w:ascii="方正仿宋_GBK" w:eastAsia="方正仿宋_GBK" w:hAnsi="方正仿宋_GBK" w:cs="方正仿宋_GBK"/>
          <w:color w:val="000000"/>
          <w:sz w:val="28"/>
        </w:rPr>
        <w:t xml:space="preserve">29.燃气行业远程视频监督管理平台运行维护资金绩效目标表</w:t>
      </w:r>
      <w:bookmarkEnd w:id="28"/>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603005青岛市燃气发展中心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37020023P13000410188F</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燃气行业远程视频监督管理平台运行维护资金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26.00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26.00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燃气行业远程视频监督管理平台运行维护费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13.00</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26.00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6.通过燃气行业视频管理平台系统的正常运行，实现进一步规范燃气场站经营行为，提高燃气行业管理水平的效果。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预算控制数</w:t>
            </w:r>
          </w:p>
        </w:tc>
        <w:tc>
          <w:tcPr>
            <w:tcW w:w="2891" w:type="dxa"/>
            <w:hMerge w:val="restart"/>
            <w:vAlign w:val="center"/>
          </w:tcPr>
          <w:p>
            <w:pPr>
              <w:pStyle w:val="单元格样式2"/>
            </w:pPr>
            <w:r>
              <w:t xml:space="preserve">预算控制数不超过预算</w:t>
            </w:r>
          </w:p>
        </w:tc>
        <w:tc>
          <w:tcPr>
            <w:tcW w:w="0" w:type="auto"/>
            <w:hMerge/>
            <w:vAlign w:val="center"/>
          </w:tcPr>
          <w:p>
            <w:pPr/>
          </w:p>
        </w:tc>
        <w:tc>
          <w:tcPr>
            <w:tcW w:w="1276" w:type="dxa"/>
            <w:vAlign w:val="center"/>
          </w:tcPr>
          <w:p>
            <w:pPr>
              <w:pStyle w:val="单元格样式2"/>
            </w:pPr>
            <w:r>
              <w:t xml:space="preserve">26万元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质量指标</w:t>
            </w:r>
          </w:p>
        </w:tc>
        <w:tc>
          <w:tcPr>
            <w:tcW w:w="1332" w:type="dxa"/>
            <w:vAlign w:val="center"/>
          </w:tcPr>
          <w:p>
            <w:pPr>
              <w:pStyle w:val="单元格样式2"/>
            </w:pPr>
            <w:r>
              <w:t xml:space="preserve">正常运行</w:t>
            </w:r>
          </w:p>
        </w:tc>
        <w:tc>
          <w:tcPr>
            <w:tcW w:w="2891" w:type="dxa"/>
            <w:hMerge w:val="restart"/>
            <w:vAlign w:val="center"/>
          </w:tcPr>
          <w:p>
            <w:pPr>
              <w:pStyle w:val="单元格样式2"/>
            </w:pPr>
            <w:r>
              <w:t xml:space="preserve">正常运行天数占全年总天数的比例</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维护及时性</w:t>
            </w:r>
          </w:p>
        </w:tc>
        <w:tc>
          <w:tcPr>
            <w:tcW w:w="2891" w:type="dxa"/>
            <w:hMerge w:val="restart"/>
            <w:vAlign w:val="center"/>
          </w:tcPr>
          <w:p>
            <w:pPr>
              <w:pStyle w:val="单元格样式2"/>
            </w:pPr>
            <w:r>
              <w:t xml:space="preserve">发生故障后24小时内赴现场维修</w:t>
            </w:r>
          </w:p>
        </w:tc>
        <w:tc>
          <w:tcPr>
            <w:tcW w:w="0" w:type="auto"/>
            <w:hMerge/>
            <w:vAlign w:val="center"/>
          </w:tcPr>
          <w:p>
            <w:pPr/>
          </w:p>
        </w:tc>
        <w:tc>
          <w:tcPr>
            <w:tcW w:w="1276" w:type="dxa"/>
            <w:vAlign w:val="center"/>
          </w:tcPr>
          <w:p>
            <w:pPr>
              <w:pStyle w:val="单元格样式2"/>
            </w:pPr>
            <w:r>
              <w:t xml:space="preserve">≤24小时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维护次数</w:t>
            </w:r>
          </w:p>
        </w:tc>
        <w:tc>
          <w:tcPr>
            <w:tcW w:w="2891" w:type="dxa"/>
            <w:hMerge w:val="restart"/>
            <w:vAlign w:val="center"/>
          </w:tcPr>
          <w:p>
            <w:pPr>
              <w:pStyle w:val="单元格样式2"/>
            </w:pPr>
            <w:r>
              <w:t xml:space="preserve">每季度至少进行一次维护</w:t>
            </w:r>
          </w:p>
        </w:tc>
        <w:tc>
          <w:tcPr>
            <w:tcW w:w="0" w:type="auto"/>
            <w:hMerge/>
            <w:vAlign w:val="center"/>
          </w:tcPr>
          <w:p>
            <w:pPr/>
          </w:p>
        </w:tc>
        <w:tc>
          <w:tcPr>
            <w:tcW w:w="1276" w:type="dxa"/>
            <w:vAlign w:val="center"/>
          </w:tcPr>
          <w:p>
            <w:pPr>
              <w:pStyle w:val="单元格样式2"/>
            </w:pPr>
            <w:r>
              <w:t xml:space="preserve">≥4次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硬件设备完好率</w:t>
            </w:r>
          </w:p>
        </w:tc>
        <w:tc>
          <w:tcPr>
            <w:tcW w:w="2891" w:type="dxa"/>
            <w:hMerge w:val="restart"/>
            <w:vAlign w:val="center"/>
          </w:tcPr>
          <w:p>
            <w:pPr>
              <w:pStyle w:val="单元格样式2"/>
            </w:pPr>
            <w:r>
              <w:t xml:space="preserve">保持平台硬件设备的完好</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培训次数</w:t>
            </w:r>
          </w:p>
        </w:tc>
        <w:tc>
          <w:tcPr>
            <w:tcW w:w="2891" w:type="dxa"/>
            <w:hMerge w:val="restart"/>
            <w:vAlign w:val="center"/>
          </w:tcPr>
          <w:p>
            <w:pPr>
              <w:pStyle w:val="单元格样式2"/>
            </w:pPr>
            <w:r>
              <w:t xml:space="preserve">每年对人员进行平台使用培训</w:t>
            </w:r>
          </w:p>
        </w:tc>
        <w:tc>
          <w:tcPr>
            <w:tcW w:w="0" w:type="auto"/>
            <w:hMerge/>
            <w:vAlign w:val="center"/>
          </w:tcPr>
          <w:p>
            <w:pPr/>
          </w:p>
        </w:tc>
        <w:tc>
          <w:tcPr>
            <w:tcW w:w="1276" w:type="dxa"/>
            <w:vAlign w:val="center"/>
          </w:tcPr>
          <w:p>
            <w:pPr>
              <w:pStyle w:val="单元格样式2"/>
            </w:pPr>
            <w:r>
              <w:t xml:space="preserve">≥1次</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提高场站安全性</w:t>
            </w:r>
          </w:p>
        </w:tc>
        <w:tc>
          <w:tcPr>
            <w:tcW w:w="2891" w:type="dxa"/>
            <w:hMerge w:val="restart"/>
            <w:vAlign w:val="center"/>
          </w:tcPr>
          <w:p>
            <w:pPr>
              <w:pStyle w:val="单元格样式2"/>
            </w:pPr>
            <w:r>
              <w:t xml:space="preserve">督促燃气场站遵守规章制度加强安全管理</w:t>
            </w:r>
          </w:p>
        </w:tc>
        <w:tc>
          <w:tcPr>
            <w:tcW w:w="0" w:type="auto"/>
            <w:hMerge/>
            <w:vAlign w:val="center"/>
          </w:tcPr>
          <w:p>
            <w:pPr/>
          </w:p>
        </w:tc>
        <w:tc>
          <w:tcPr>
            <w:tcW w:w="1276" w:type="dxa"/>
            <w:vAlign w:val="center"/>
          </w:tcPr>
          <w:p>
            <w:pPr>
              <w:pStyle w:val="单元格样式2"/>
            </w:pPr>
            <w:r>
              <w:t xml:space="preserve">≥10次</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受益群体满意度</w:t>
            </w:r>
          </w:p>
        </w:tc>
        <w:tc>
          <w:tcPr>
            <w:tcW w:w="2891" w:type="dxa"/>
            <w:hMerge w:val="restart"/>
            <w:vAlign w:val="center"/>
          </w:tcPr>
          <w:p>
            <w:pPr>
              <w:pStyle w:val="单元格样式2"/>
            </w:pPr>
            <w:r>
              <w:t xml:space="preserve">燃气场站对本平台使用的满意度</w:t>
            </w:r>
          </w:p>
        </w:tc>
        <w:tc>
          <w:tcPr>
            <w:tcW w:w="0" w:type="auto"/>
            <w:hMerge/>
            <w:vAlign w:val="center"/>
          </w:tcPr>
          <w:p>
            <w:pPr/>
          </w:p>
        </w:tc>
        <w:tc>
          <w:tcPr>
            <w:tcW w:w="1276" w:type="dxa"/>
            <w:vAlign w:val="center"/>
          </w:tcPr>
          <w:p>
            <w:pPr>
              <w:pStyle w:val="单元格样式2"/>
            </w:pPr>
            <w:r>
              <w:t xml:space="preserve">≥95%</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9" w:name="_Toc_4_4_0000000030"/>
      <w:r>
        <w:rPr>
          <w:rFonts w:ascii="方正仿宋_GBK" w:eastAsia="方正仿宋_GBK" w:hAnsi="方正仿宋_GBK" w:cs="方正仿宋_GBK"/>
          <w:color w:val="000000"/>
          <w:sz w:val="28"/>
        </w:rPr>
        <w:t xml:space="preserve">30.户外广告、景观照明及海水浴场专项工作经费绩效目标表</w:t>
      </w:r>
      <w:bookmarkEnd w:id="29"/>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603006青岛市户外广告与亮化发展中心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37020023P880028108497</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户外广告、景观照明及海水浴场专项工作经费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8.00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8.00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户外广告、景观照明及海水浴场专项工作经费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3.00</w:t>
            </w:r>
          </w:p>
        </w:tc>
        <w:tc>
          <w:tcPr>
            <w:tcW w:w="1304" w:type="dxa"/>
            <w:vAlign w:val="center"/>
          </w:tcPr>
          <w:p>
            <w:pPr>
              <w:pStyle w:val="单元格样式3"/>
            </w:pPr>
            <w:r>
              <w:t xml:space="preserve">5.00</w:t>
            </w:r>
          </w:p>
        </w:tc>
        <w:tc>
          <w:tcPr>
            <w:tcW w:w="3118" w:type="dxa"/>
            <w:hMerge w:val="restart"/>
            <w:vAlign w:val="center"/>
          </w:tcPr>
          <w:p>
            <w:pPr>
              <w:pStyle w:val="单元格样式3"/>
            </w:pPr>
            <w:r>
              <w:t xml:space="preserve">8.00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6.加强市容景观行业管理</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户外广告、景观照明及海水浴场预算控制数</w:t>
            </w:r>
          </w:p>
        </w:tc>
        <w:tc>
          <w:tcPr>
            <w:tcW w:w="2891" w:type="dxa"/>
            <w:hMerge w:val="restart"/>
            <w:vAlign w:val="center"/>
          </w:tcPr>
          <w:p>
            <w:pPr>
              <w:pStyle w:val="单元格样式2"/>
            </w:pPr>
            <w:r>
              <w:t xml:space="preserve">户外广告、景观照片及海水浴场预算控制数</w:t>
            </w:r>
          </w:p>
        </w:tc>
        <w:tc>
          <w:tcPr>
            <w:tcW w:w="0" w:type="auto"/>
            <w:hMerge/>
            <w:vAlign w:val="center"/>
          </w:tcPr>
          <w:p>
            <w:pPr/>
          </w:p>
        </w:tc>
        <w:tc>
          <w:tcPr>
            <w:tcW w:w="1276" w:type="dxa"/>
            <w:vAlign w:val="center"/>
          </w:tcPr>
          <w:p>
            <w:pPr>
              <w:pStyle w:val="单元格样式2"/>
            </w:pPr>
            <w:r>
              <w:t xml:space="preserve">≤8万元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月度检查频次</w:t>
            </w:r>
          </w:p>
        </w:tc>
        <w:tc>
          <w:tcPr>
            <w:tcW w:w="2891" w:type="dxa"/>
            <w:hMerge w:val="restart"/>
            <w:vAlign w:val="center"/>
          </w:tcPr>
          <w:p>
            <w:pPr>
              <w:pStyle w:val="单元格样式2"/>
            </w:pPr>
            <w:r>
              <w:t xml:space="preserve">月度检查频次</w:t>
            </w:r>
          </w:p>
        </w:tc>
        <w:tc>
          <w:tcPr>
            <w:tcW w:w="0" w:type="auto"/>
            <w:hMerge/>
            <w:vAlign w:val="center"/>
          </w:tcPr>
          <w:p>
            <w:pPr/>
          </w:p>
        </w:tc>
        <w:tc>
          <w:tcPr>
            <w:tcW w:w="1276" w:type="dxa"/>
            <w:vAlign w:val="center"/>
          </w:tcPr>
          <w:p>
            <w:pPr>
              <w:pStyle w:val="单元格样式2"/>
            </w:pPr>
            <w:r>
              <w:t xml:space="preserve">≥3次</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巡查区域数量</w:t>
            </w:r>
          </w:p>
        </w:tc>
        <w:tc>
          <w:tcPr>
            <w:tcW w:w="2891" w:type="dxa"/>
            <w:hMerge w:val="restart"/>
            <w:vAlign w:val="center"/>
          </w:tcPr>
          <w:p>
            <w:pPr>
              <w:pStyle w:val="单元格样式2"/>
            </w:pPr>
            <w:r>
              <w:t xml:space="preserve">巡查区域数量</w:t>
            </w:r>
          </w:p>
        </w:tc>
        <w:tc>
          <w:tcPr>
            <w:tcW w:w="0" w:type="auto"/>
            <w:hMerge/>
            <w:vAlign w:val="center"/>
          </w:tcPr>
          <w:p>
            <w:pPr/>
          </w:p>
        </w:tc>
        <w:tc>
          <w:tcPr>
            <w:tcW w:w="1276" w:type="dxa"/>
            <w:vAlign w:val="center"/>
          </w:tcPr>
          <w:p>
            <w:pPr>
              <w:pStyle w:val="单元格样式2"/>
            </w:pPr>
            <w:r>
              <w:t xml:space="preserve">≥3个</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巡查发现问题转办率</w:t>
            </w:r>
          </w:p>
        </w:tc>
        <w:tc>
          <w:tcPr>
            <w:tcW w:w="2891" w:type="dxa"/>
            <w:hMerge w:val="restart"/>
            <w:vAlign w:val="center"/>
          </w:tcPr>
          <w:p>
            <w:pPr>
              <w:pStyle w:val="单元格样式2"/>
            </w:pPr>
            <w:r>
              <w:t xml:space="preserve">巡查发现问题转办率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巡查发现问题整改率</w:t>
            </w:r>
          </w:p>
        </w:tc>
        <w:tc>
          <w:tcPr>
            <w:tcW w:w="2891" w:type="dxa"/>
            <w:hMerge w:val="restart"/>
            <w:vAlign w:val="center"/>
          </w:tcPr>
          <w:p>
            <w:pPr>
              <w:pStyle w:val="单元格样式2"/>
            </w:pPr>
            <w:r>
              <w:t xml:space="preserve">巡查发现问题整改率</w:t>
            </w:r>
          </w:p>
        </w:tc>
        <w:tc>
          <w:tcPr>
            <w:tcW w:w="0" w:type="auto"/>
            <w:hMerge/>
            <w:vAlign w:val="center"/>
          </w:tcPr>
          <w:p>
            <w:pPr/>
          </w:p>
        </w:tc>
        <w:tc>
          <w:tcPr>
            <w:tcW w:w="1276" w:type="dxa"/>
            <w:vAlign w:val="center"/>
          </w:tcPr>
          <w:p>
            <w:pPr>
              <w:pStyle w:val="单元格样式2"/>
            </w:pPr>
            <w:r>
              <w:t xml:space="preserve">≥85%</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巡查检查工作完成时间</w:t>
            </w:r>
          </w:p>
        </w:tc>
        <w:tc>
          <w:tcPr>
            <w:tcW w:w="2891" w:type="dxa"/>
            <w:hMerge w:val="restart"/>
            <w:vAlign w:val="center"/>
          </w:tcPr>
          <w:p>
            <w:pPr>
              <w:pStyle w:val="单元格样式2"/>
            </w:pPr>
            <w:r>
              <w:t xml:space="preserve">巡查检查工作完成时间</w:t>
            </w:r>
          </w:p>
        </w:tc>
        <w:tc>
          <w:tcPr>
            <w:tcW w:w="0" w:type="auto"/>
            <w:hMerge/>
            <w:vAlign w:val="center"/>
          </w:tcPr>
          <w:p>
            <w:pPr/>
          </w:p>
        </w:tc>
        <w:tc>
          <w:tcPr>
            <w:tcW w:w="1276" w:type="dxa"/>
            <w:vAlign w:val="center"/>
          </w:tcPr>
          <w:p>
            <w:pPr>
              <w:pStyle w:val="单元格样式2"/>
            </w:pPr>
            <w:r>
              <w:t xml:space="preserve">2023年12月</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促进单位职能规范运行</w:t>
            </w:r>
          </w:p>
        </w:tc>
        <w:tc>
          <w:tcPr>
            <w:tcW w:w="2891" w:type="dxa"/>
            <w:hMerge w:val="restart"/>
            <w:vAlign w:val="center"/>
          </w:tcPr>
          <w:p>
            <w:pPr>
              <w:pStyle w:val="单元格样式2"/>
            </w:pPr>
            <w:r>
              <w:t xml:space="preserve">促进单位职能规范运行</w:t>
            </w:r>
          </w:p>
        </w:tc>
        <w:tc>
          <w:tcPr>
            <w:tcW w:w="0" w:type="auto"/>
            <w:hMerge/>
            <w:vAlign w:val="center"/>
          </w:tcPr>
          <w:p>
            <w:pPr/>
          </w:p>
        </w:tc>
        <w:tc>
          <w:tcPr>
            <w:tcW w:w="1276" w:type="dxa"/>
            <w:vAlign w:val="center"/>
          </w:tcPr>
          <w:p>
            <w:pPr>
              <w:pStyle w:val="单元格样式2"/>
            </w:pPr>
            <w:r>
              <w:t xml:space="preserve">效果明显</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服务对象对巡查检查人员的满意度</w:t>
            </w:r>
          </w:p>
        </w:tc>
        <w:tc>
          <w:tcPr>
            <w:tcW w:w="2891" w:type="dxa"/>
            <w:hMerge w:val="restart"/>
            <w:vAlign w:val="center"/>
          </w:tcPr>
          <w:p>
            <w:pPr>
              <w:pStyle w:val="单元格样式2"/>
            </w:pPr>
            <w:r>
              <w:t xml:space="preserve">服务对象对巡查检查人员的满意度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考核标准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0" w:name="_Toc_4_4_0000000031"/>
      <w:r>
        <w:rPr>
          <w:rFonts w:ascii="方正仿宋_GBK" w:eastAsia="方正仿宋_GBK" w:hAnsi="方正仿宋_GBK" w:cs="方正仿宋_GBK"/>
          <w:color w:val="000000"/>
          <w:sz w:val="28"/>
        </w:rPr>
        <w:t xml:space="preserve">31.浮山湾灯光秀片源制作经费绩效目标表</w:t>
      </w:r>
      <w:bookmarkEnd w:id="3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603006青岛市户外广告与亮化发展中心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37020023P55000810022L</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浮山湾灯光秀片源制作经费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48.00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48.00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浮山湾灯光秀刊播服务经费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28.80</w:t>
            </w:r>
          </w:p>
        </w:tc>
        <w:tc>
          <w:tcPr>
            <w:tcW w:w="1304" w:type="dxa"/>
            <w:vAlign w:val="center"/>
          </w:tcPr>
          <w:p>
            <w:pPr>
              <w:pStyle w:val="单元格样式3"/>
            </w:pPr>
            <w:r>
              <w:t xml:space="preserve">48.00</w:t>
            </w:r>
          </w:p>
        </w:tc>
        <w:tc>
          <w:tcPr>
            <w:tcW w:w="3118" w:type="dxa"/>
            <w:hMerge w:val="restart"/>
            <w:vAlign w:val="center"/>
          </w:tcPr>
          <w:p>
            <w:pPr>
              <w:pStyle w:val="单元格样式3"/>
            </w:pPr>
            <w:r>
              <w:t xml:space="preserve"> </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6.重要节庆或重大活动氛围营造及其他公益宣传。</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浮山湾灯光秀片源制作预算控制数</w:t>
            </w:r>
          </w:p>
        </w:tc>
        <w:tc>
          <w:tcPr>
            <w:tcW w:w="2891" w:type="dxa"/>
            <w:hMerge w:val="restart"/>
            <w:vAlign w:val="center"/>
          </w:tcPr>
          <w:p>
            <w:pPr>
              <w:pStyle w:val="单元格样式2"/>
            </w:pPr>
            <w:r>
              <w:t xml:space="preserve">浮山湾灯光秀片源制作预算控制数</w:t>
            </w:r>
          </w:p>
        </w:tc>
        <w:tc>
          <w:tcPr>
            <w:tcW w:w="0" w:type="auto"/>
            <w:hMerge/>
            <w:vAlign w:val="center"/>
          </w:tcPr>
          <w:p>
            <w:pPr/>
          </w:p>
        </w:tc>
        <w:tc>
          <w:tcPr>
            <w:tcW w:w="1276" w:type="dxa"/>
            <w:vAlign w:val="center"/>
          </w:tcPr>
          <w:p>
            <w:pPr>
              <w:pStyle w:val="单元格样式2"/>
            </w:pPr>
            <w:r>
              <w:t xml:space="preserve">≤48万元</w:t>
            </w:r>
          </w:p>
        </w:tc>
        <w:tc>
          <w:tcPr>
            <w:tcW w:w="1843" w:type="dxa"/>
            <w:vAlign w:val="center"/>
          </w:tcPr>
          <w:p>
            <w:pPr>
              <w:pStyle w:val="单元格样式2"/>
            </w:pPr>
            <w:r>
              <w:t xml:space="preserve">合同</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制作宣传视频时长</w:t>
            </w:r>
          </w:p>
        </w:tc>
        <w:tc>
          <w:tcPr>
            <w:tcW w:w="2891" w:type="dxa"/>
            <w:hMerge w:val="restart"/>
            <w:vAlign w:val="center"/>
          </w:tcPr>
          <w:p>
            <w:pPr>
              <w:pStyle w:val="单元格样式2"/>
            </w:pPr>
            <w:r>
              <w:t xml:space="preserve">制作宣传视频时长</w:t>
            </w:r>
          </w:p>
        </w:tc>
        <w:tc>
          <w:tcPr>
            <w:tcW w:w="0" w:type="auto"/>
            <w:hMerge/>
            <w:vAlign w:val="center"/>
          </w:tcPr>
          <w:p>
            <w:pPr/>
          </w:p>
        </w:tc>
        <w:tc>
          <w:tcPr>
            <w:tcW w:w="1276" w:type="dxa"/>
            <w:vAlign w:val="center"/>
          </w:tcPr>
          <w:p>
            <w:pPr>
              <w:pStyle w:val="单元格样式2"/>
            </w:pPr>
            <w:r>
              <w:t xml:space="preserve">≥140秒</w:t>
            </w:r>
          </w:p>
        </w:tc>
        <w:tc>
          <w:tcPr>
            <w:tcW w:w="1843" w:type="dxa"/>
            <w:vAlign w:val="center"/>
          </w:tcPr>
          <w:p>
            <w:pPr>
              <w:pStyle w:val="单元格样式2"/>
            </w:pPr>
            <w:r>
              <w:t xml:space="preserve">合同</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制作短片数量</w:t>
            </w:r>
          </w:p>
        </w:tc>
        <w:tc>
          <w:tcPr>
            <w:tcW w:w="2891" w:type="dxa"/>
            <w:hMerge w:val="restart"/>
            <w:vAlign w:val="center"/>
          </w:tcPr>
          <w:p>
            <w:pPr>
              <w:pStyle w:val="单元格样式2"/>
            </w:pPr>
            <w:r>
              <w:t xml:space="preserve">制作短片数量</w:t>
            </w:r>
          </w:p>
        </w:tc>
        <w:tc>
          <w:tcPr>
            <w:tcW w:w="0" w:type="auto"/>
            <w:hMerge/>
            <w:vAlign w:val="center"/>
          </w:tcPr>
          <w:p>
            <w:pPr/>
          </w:p>
        </w:tc>
        <w:tc>
          <w:tcPr>
            <w:tcW w:w="1276" w:type="dxa"/>
            <w:vAlign w:val="center"/>
          </w:tcPr>
          <w:p>
            <w:pPr>
              <w:pStyle w:val="单元格样式2"/>
            </w:pPr>
            <w:r>
              <w:t xml:space="preserve">≥2个</w:t>
            </w:r>
          </w:p>
        </w:tc>
        <w:tc>
          <w:tcPr>
            <w:tcW w:w="1843" w:type="dxa"/>
            <w:vAlign w:val="center"/>
          </w:tcPr>
          <w:p>
            <w:pPr>
              <w:pStyle w:val="单元格样式2"/>
            </w:pPr>
            <w:r>
              <w:t xml:space="preserve">合同</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制作质量</w:t>
            </w:r>
          </w:p>
        </w:tc>
        <w:tc>
          <w:tcPr>
            <w:tcW w:w="2891" w:type="dxa"/>
            <w:hMerge w:val="restart"/>
            <w:vAlign w:val="center"/>
          </w:tcPr>
          <w:p>
            <w:pPr>
              <w:pStyle w:val="单元格样式2"/>
            </w:pPr>
            <w:r>
              <w:t xml:space="preserve">灯光秀片子制作质量</w:t>
            </w:r>
          </w:p>
        </w:tc>
        <w:tc>
          <w:tcPr>
            <w:tcW w:w="0" w:type="auto"/>
            <w:hMerge/>
            <w:vAlign w:val="center"/>
          </w:tcPr>
          <w:p>
            <w:pPr/>
          </w:p>
        </w:tc>
        <w:tc>
          <w:tcPr>
            <w:tcW w:w="1276" w:type="dxa"/>
            <w:vAlign w:val="center"/>
          </w:tcPr>
          <w:p>
            <w:pPr>
              <w:pStyle w:val="单元格样式2"/>
            </w:pPr>
            <w:r>
              <w:t xml:space="preserve">片源制作达标，可用于播放</w:t>
            </w:r>
          </w:p>
        </w:tc>
        <w:tc>
          <w:tcPr>
            <w:tcW w:w="1843" w:type="dxa"/>
            <w:vAlign w:val="center"/>
          </w:tcPr>
          <w:p>
            <w:pPr>
              <w:pStyle w:val="单元格样式2"/>
            </w:pPr>
            <w:r>
              <w:t xml:space="preserve">片源制作通过验收</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播放质量</w:t>
            </w:r>
          </w:p>
        </w:tc>
        <w:tc>
          <w:tcPr>
            <w:tcW w:w="2891" w:type="dxa"/>
            <w:hMerge w:val="restart"/>
            <w:vAlign w:val="center"/>
          </w:tcPr>
          <w:p>
            <w:pPr>
              <w:pStyle w:val="单元格样式2"/>
            </w:pPr>
            <w:r>
              <w:t xml:space="preserve">灯光秀片子播放质量</w:t>
            </w:r>
          </w:p>
        </w:tc>
        <w:tc>
          <w:tcPr>
            <w:tcW w:w="0" w:type="auto"/>
            <w:hMerge/>
            <w:vAlign w:val="center"/>
          </w:tcPr>
          <w:p>
            <w:pPr/>
          </w:p>
        </w:tc>
        <w:tc>
          <w:tcPr>
            <w:tcW w:w="1276" w:type="dxa"/>
            <w:vAlign w:val="center"/>
          </w:tcPr>
          <w:p>
            <w:pPr>
              <w:pStyle w:val="单元格样式2"/>
            </w:pPr>
            <w:r>
              <w:t xml:space="preserve">按合同要求播放</w:t>
            </w:r>
          </w:p>
        </w:tc>
        <w:tc>
          <w:tcPr>
            <w:tcW w:w="1843" w:type="dxa"/>
            <w:vAlign w:val="center"/>
          </w:tcPr>
          <w:p>
            <w:pPr>
              <w:pStyle w:val="单元格样式2"/>
            </w:pPr>
            <w:r>
              <w:t xml:space="preserve">播放通过验收</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完成时间</w:t>
            </w:r>
          </w:p>
        </w:tc>
        <w:tc>
          <w:tcPr>
            <w:tcW w:w="2891" w:type="dxa"/>
            <w:hMerge w:val="restart"/>
            <w:vAlign w:val="center"/>
          </w:tcPr>
          <w:p>
            <w:pPr>
              <w:pStyle w:val="单元格样式2"/>
            </w:pPr>
            <w:r>
              <w:t xml:space="preserve">完成时间</w:t>
            </w:r>
          </w:p>
        </w:tc>
        <w:tc>
          <w:tcPr>
            <w:tcW w:w="0" w:type="auto"/>
            <w:hMerge/>
            <w:vAlign w:val="center"/>
          </w:tcPr>
          <w:p>
            <w:pPr/>
          </w:p>
        </w:tc>
        <w:tc>
          <w:tcPr>
            <w:tcW w:w="1276" w:type="dxa"/>
            <w:vAlign w:val="center"/>
          </w:tcPr>
          <w:p>
            <w:pPr>
              <w:pStyle w:val="单元格样式2"/>
            </w:pPr>
            <w:r>
              <w:t xml:space="preserve">&lt;365天</w:t>
            </w:r>
          </w:p>
        </w:tc>
        <w:tc>
          <w:tcPr>
            <w:tcW w:w="1843" w:type="dxa"/>
            <w:vAlign w:val="center"/>
          </w:tcPr>
          <w:p>
            <w:pPr>
              <w:pStyle w:val="单元格样式2"/>
            </w:pPr>
            <w:r>
              <w:t xml:space="preserve">合同</w:t>
            </w:r>
          </w:p>
        </w:tc>
      </w:tr>
      <w:tr>
        <w:trPr>
          <w:trHeight w:val="369"/>
          <w:jc w:val="center"/>
        </w:trPr>
        <w:tc>
          <w:tcPr>
            <w:tcW w:w="1276" w:type="dxa"/>
            <w:vMerge w:val="restart"/>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媒体宣传报道</w:t>
            </w:r>
          </w:p>
        </w:tc>
        <w:tc>
          <w:tcPr>
            <w:tcW w:w="2891" w:type="dxa"/>
            <w:hMerge w:val="restart"/>
            <w:vAlign w:val="center"/>
          </w:tcPr>
          <w:p>
            <w:pPr>
              <w:pStyle w:val="单元格样式2"/>
            </w:pPr>
            <w:r>
              <w:t xml:space="preserve">起到氛围营造、公益宣传效果，得到媒体宣传报道</w:t>
            </w:r>
          </w:p>
        </w:tc>
        <w:tc>
          <w:tcPr>
            <w:tcW w:w="0" w:type="auto"/>
            <w:hMerge/>
            <w:vAlign w:val="center"/>
          </w:tcPr>
          <w:p>
            <w:pPr/>
          </w:p>
        </w:tc>
        <w:tc>
          <w:tcPr>
            <w:tcW w:w="1276" w:type="dxa"/>
            <w:vAlign w:val="center"/>
          </w:tcPr>
          <w:p>
            <w:pPr>
              <w:pStyle w:val="单元格样式2"/>
            </w:pPr>
            <w:r>
              <w:t xml:space="preserve">≥2次</w:t>
            </w:r>
          </w:p>
        </w:tc>
        <w:tc>
          <w:tcPr>
            <w:tcW w:w="1843" w:type="dxa"/>
            <w:vAlign w:val="center"/>
          </w:tcPr>
          <w:p>
            <w:pPr>
              <w:pStyle w:val="单元格样式2"/>
            </w:pPr>
            <w:r>
              <w:t xml:space="preserve">新闻媒体宣传报道</w:t>
            </w:r>
          </w:p>
        </w:tc>
      </w:tr>
      <w:tr>
        <w:trPr>
          <w:trHeight w:val="369"/>
          <w:jc w:val="center"/>
        </w:trPr>
        <w:tc>
          <w:tcPr>
            <w:tcW w:w="1276" w:type="dxa"/>
            <w:vMerge/>
            <w:vAlign w:val="center"/>
          </w:tcPr>
          <w:p>
            <w:pP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助力旅游业发展</w:t>
            </w:r>
          </w:p>
        </w:tc>
        <w:tc>
          <w:tcPr>
            <w:tcW w:w="2891" w:type="dxa"/>
            <w:hMerge w:val="restart"/>
            <w:vAlign w:val="center"/>
          </w:tcPr>
          <w:p>
            <w:pPr>
              <w:pStyle w:val="单元格样式2"/>
            </w:pPr>
            <w:r>
              <w:t xml:space="preserve">青岛旅客接待数量平稳增涨</w:t>
            </w:r>
          </w:p>
        </w:tc>
        <w:tc>
          <w:tcPr>
            <w:tcW w:w="0" w:type="auto"/>
            <w:hMerge/>
            <w:vAlign w:val="center"/>
          </w:tcPr>
          <w:p>
            <w:pPr/>
          </w:p>
        </w:tc>
        <w:tc>
          <w:tcPr>
            <w:tcW w:w="1276" w:type="dxa"/>
            <w:vAlign w:val="center"/>
          </w:tcPr>
          <w:p>
            <w:pPr>
              <w:pStyle w:val="单元格样式2"/>
            </w:pPr>
            <w:r>
              <w:t xml:space="preserve">≥6000万人次</w:t>
            </w:r>
          </w:p>
        </w:tc>
        <w:tc>
          <w:tcPr>
            <w:tcW w:w="1843" w:type="dxa"/>
            <w:vAlign w:val="center"/>
          </w:tcPr>
          <w:p>
            <w:pPr>
              <w:pStyle w:val="单元格样式2"/>
            </w:pPr>
            <w:r>
              <w:t xml:space="preserve">青岛2023年接待游客量</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合作单位满意度</w:t>
            </w:r>
          </w:p>
        </w:tc>
        <w:tc>
          <w:tcPr>
            <w:tcW w:w="2891" w:type="dxa"/>
            <w:hMerge w:val="restart"/>
            <w:vAlign w:val="center"/>
          </w:tcPr>
          <w:p>
            <w:pPr>
              <w:pStyle w:val="单元格样式2"/>
            </w:pPr>
            <w:r>
              <w:t xml:space="preserve">合作单位满意度</w:t>
            </w:r>
          </w:p>
        </w:tc>
        <w:tc>
          <w:tcPr>
            <w:tcW w:w="0" w:type="auto"/>
            <w:hMerge/>
            <w:vAlign w:val="center"/>
          </w:tcPr>
          <w:p>
            <w:pPr/>
          </w:p>
        </w:tc>
        <w:tc>
          <w:tcPr>
            <w:tcW w:w="1276" w:type="dxa"/>
            <w:vAlign w:val="center"/>
          </w:tcPr>
          <w:p>
            <w:pPr>
              <w:pStyle w:val="单元格样式2"/>
            </w:pPr>
            <w:r>
              <w:t xml:space="preserve">≥90%</w:t>
            </w:r>
          </w:p>
        </w:tc>
        <w:tc>
          <w:tcPr>
            <w:tcW w:w="1843" w:type="dxa"/>
            <w:vAlign w:val="center"/>
          </w:tcPr>
          <w:p>
            <w:pPr>
              <w:pStyle w:val="单元格样式2"/>
            </w:pPr>
            <w:r>
              <w:t xml:space="preserve">履行合同</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1" w:name="_Toc_4_4_0000000032"/>
      <w:r>
        <w:rPr>
          <w:rFonts w:ascii="方正仿宋_GBK" w:eastAsia="方正仿宋_GBK" w:hAnsi="方正仿宋_GBK" w:cs="方正仿宋_GBK"/>
          <w:color w:val="000000"/>
          <w:sz w:val="28"/>
        </w:rPr>
        <w:t xml:space="preserve">32.环卫科研工作专项经费绩效目标表</w:t>
      </w:r>
      <w:bookmarkEnd w:id="31"/>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603007青岛市环境卫生发展中心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37020023P88002810850J</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环卫科研工作专项经费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13.00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13.00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1.对标上海、深圳等先进城市，对国内外发达先进城市的环卫行业进行调研，提出青岛市在环卫方面的发展方向和思路，促进青岛市环卫行业的快速发展。</w:t>
            </w:r>
          </w:p>
          <w:p>
            <w:pPr>
              <w:pStyle w:val="单元格样式2"/>
            </w:pPr>
            <w:r>
              <w:t xml:space="preserve">2.编制环卫行业国家标准和地方规范标准，促进环卫行业规范化和青岛市城市管理精细化管理;</w:t>
            </w:r>
          </w:p>
          <w:p>
            <w:pPr>
              <w:pStyle w:val="单元格样式2"/>
            </w:pPr>
            <w:r>
              <w:t xml:space="preserve">3.开展全市十区市环境卫生及61个街道办事处楼院保洁、楼院秩序综合评价工作.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2.00</w:t>
            </w:r>
          </w:p>
        </w:tc>
        <w:tc>
          <w:tcPr>
            <w:tcW w:w="0" w:type="auto"/>
            <w:hMerge/>
          </w:tcPr>
          <w:p>
            <w:pPr/>
          </w:p>
        </w:tc>
        <w:tc>
          <w:tcPr>
            <w:tcW w:w="1587" w:type="dxa"/>
            <w:vAlign w:val="center"/>
          </w:tcPr>
          <w:p>
            <w:pPr>
              <w:pStyle w:val="单元格样式3"/>
            </w:pPr>
            <w:r>
              <w:t xml:space="preserve">7.00</w:t>
            </w:r>
          </w:p>
        </w:tc>
        <w:tc>
          <w:tcPr>
            <w:tcW w:w="1304" w:type="dxa"/>
            <w:vAlign w:val="center"/>
          </w:tcPr>
          <w:p>
            <w:pPr>
              <w:pStyle w:val="单元格样式3"/>
            </w:pPr>
            <w:r>
              <w:t xml:space="preserve">10.00</w:t>
            </w:r>
          </w:p>
        </w:tc>
        <w:tc>
          <w:tcPr>
            <w:tcW w:w="3118" w:type="dxa"/>
            <w:hMerge w:val="restart"/>
            <w:vAlign w:val="center"/>
          </w:tcPr>
          <w:p>
            <w:pPr>
              <w:pStyle w:val="单元格样式3"/>
            </w:pPr>
            <w:r>
              <w:t xml:space="preserve">13.00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6.目标内容1开展全市十区市环境卫生及61个街道办事处楼院保洁、楼院秩序综合评价工作.提升城市形象</w:t>
            </w:r>
          </w:p>
          <w:p>
            <w:pPr>
              <w:pStyle w:val="单元格样式2"/>
            </w:pPr>
            <w:r>
              <w:t xml:space="preserve">7.目标内容2编制环卫行业国家标准和地方规范标准，促进环卫行业规范化和青岛市城市管理精细化管理;</w:t>
            </w:r>
          </w:p>
          <w:p>
            <w:pPr>
              <w:pStyle w:val="单元格样式2"/>
            </w:pPr>
            <w:r>
              <w:t xml:space="preserve">8.目标内容1.对标上海、深圳等先进城市，对国内外发达先进城市的环卫行业进行调研，提出青岛市在环卫方面的发展方向和思路，促进青岛市环卫行业的快速发展。</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成本控制在预算之内</w:t>
            </w:r>
          </w:p>
        </w:tc>
        <w:tc>
          <w:tcPr>
            <w:tcW w:w="2891" w:type="dxa"/>
            <w:hMerge w:val="restart"/>
            <w:vAlign w:val="center"/>
          </w:tcPr>
          <w:p>
            <w:pPr>
              <w:pStyle w:val="单元格样式2"/>
            </w:pPr>
            <w:r>
              <w:t xml:space="preserve">成本控制在预算之内</w:t>
            </w:r>
          </w:p>
        </w:tc>
        <w:tc>
          <w:tcPr>
            <w:tcW w:w="0" w:type="auto"/>
            <w:hMerge/>
            <w:vAlign w:val="center"/>
          </w:tcPr>
          <w:p>
            <w:pPr/>
          </w:p>
        </w:tc>
        <w:tc>
          <w:tcPr>
            <w:tcW w:w="1276" w:type="dxa"/>
            <w:vAlign w:val="center"/>
          </w:tcPr>
          <w:p>
            <w:pPr>
              <w:pStyle w:val="单元格样式2"/>
            </w:pPr>
            <w:r>
              <w:t xml:space="preserve">≤13万元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规划编制</w:t>
            </w:r>
          </w:p>
          <w:p>
            <w:pPr>
              <w:pStyle w:val="单元格样式2"/>
            </w:pPr>
          </w:p>
          <w:p>
            <w:pPr>
              <w:pStyle w:val="单元格样式2"/>
            </w:pPr>
          </w:p>
        </w:tc>
        <w:tc>
          <w:tcPr>
            <w:tcW w:w="2891" w:type="dxa"/>
            <w:hMerge w:val="restart"/>
            <w:vAlign w:val="center"/>
          </w:tcPr>
          <w:p>
            <w:pPr>
              <w:pStyle w:val="单元格样式2"/>
            </w:pPr>
            <w:r>
              <w:t xml:space="preserve">规划编制</w:t>
            </w:r>
          </w:p>
          <w:p>
            <w:pPr>
              <w:pStyle w:val="单元格样式2"/>
            </w:pPr>
          </w:p>
          <w:p>
            <w:pPr>
              <w:pStyle w:val="单元格样式2"/>
            </w:pPr>
          </w:p>
        </w:tc>
        <w:tc>
          <w:tcPr>
            <w:tcW w:w="0" w:type="auto"/>
            <w:hMerge/>
            <w:vAlign w:val="center"/>
          </w:tcPr>
          <w:p>
            <w:pPr/>
          </w:p>
        </w:tc>
        <w:tc>
          <w:tcPr>
            <w:tcW w:w="1276" w:type="dxa"/>
            <w:vAlign w:val="center"/>
          </w:tcPr>
          <w:p>
            <w:pPr>
              <w:pStyle w:val="单元格样式2"/>
            </w:pPr>
            <w:r>
              <w:t xml:space="preserve">1项</w:t>
            </w:r>
          </w:p>
        </w:tc>
        <w:tc>
          <w:tcPr>
            <w:tcW w:w="1843" w:type="dxa"/>
            <w:vAlign w:val="center"/>
          </w:tcPr>
          <w:p>
            <w:pPr>
              <w:pStyle w:val="单元格样式2"/>
            </w:pPr>
            <w:r>
              <w:t xml:space="preserve">编制建筑垃圾污染环境防治工作规划</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完成调研报告</w:t>
            </w:r>
          </w:p>
        </w:tc>
        <w:tc>
          <w:tcPr>
            <w:tcW w:w="2891" w:type="dxa"/>
            <w:hMerge w:val="restart"/>
            <w:vAlign w:val="center"/>
          </w:tcPr>
          <w:p>
            <w:pPr>
              <w:pStyle w:val="单元格样式2"/>
            </w:pPr>
            <w:r>
              <w:t xml:space="preserve">完成调研报告</w:t>
            </w:r>
          </w:p>
        </w:tc>
        <w:tc>
          <w:tcPr>
            <w:tcW w:w="0" w:type="auto"/>
            <w:hMerge/>
            <w:vAlign w:val="center"/>
          </w:tcPr>
          <w:p>
            <w:pPr/>
          </w:p>
        </w:tc>
        <w:tc>
          <w:tcPr>
            <w:tcW w:w="1276" w:type="dxa"/>
            <w:vAlign w:val="center"/>
          </w:tcPr>
          <w:p>
            <w:pPr>
              <w:pStyle w:val="单元格样式2"/>
            </w:pPr>
            <w:r>
              <w:t xml:space="preserve">≥1项</w:t>
            </w:r>
          </w:p>
        </w:tc>
        <w:tc>
          <w:tcPr>
            <w:tcW w:w="1843" w:type="dxa"/>
            <w:vAlign w:val="center"/>
          </w:tcPr>
          <w:p>
            <w:pPr>
              <w:pStyle w:val="单元格样式2"/>
            </w:pPr>
            <w:r>
              <w:t xml:space="preserve">按照资金使用用途</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专款专用率</w:t>
            </w:r>
          </w:p>
        </w:tc>
        <w:tc>
          <w:tcPr>
            <w:tcW w:w="2891" w:type="dxa"/>
            <w:hMerge w:val="restart"/>
            <w:vAlign w:val="center"/>
          </w:tcPr>
          <w:p>
            <w:pPr>
              <w:pStyle w:val="单元格样式2"/>
            </w:pPr>
            <w:r>
              <w:t xml:space="preserve">专款专用率</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专款专用</w:t>
            </w:r>
          </w:p>
          <w:p>
            <w:pPr>
              <w:pStyle w:val="单元格样式2"/>
            </w:pP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按照资金使用计划</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任务完成率</w:t>
            </w:r>
          </w:p>
        </w:tc>
        <w:tc>
          <w:tcPr>
            <w:tcW w:w="2891" w:type="dxa"/>
            <w:hMerge w:val="restart"/>
            <w:vAlign w:val="center"/>
          </w:tcPr>
          <w:p>
            <w:pPr>
              <w:pStyle w:val="单元格样式2"/>
            </w:pPr>
            <w:r>
              <w:t xml:space="preserve">任务完成率</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按照资金使用计划</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资金利用率</w:t>
            </w:r>
          </w:p>
        </w:tc>
        <w:tc>
          <w:tcPr>
            <w:tcW w:w="2891" w:type="dxa"/>
            <w:hMerge w:val="restart"/>
            <w:vAlign w:val="center"/>
          </w:tcPr>
          <w:p>
            <w:pPr>
              <w:pStyle w:val="单元格样式2"/>
            </w:pPr>
            <w:r>
              <w:t xml:space="preserve">资金利用率</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专款专用</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≥98百分之百</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2" w:name="_Toc_4_4_0000000033"/>
      <w:r>
        <w:rPr>
          <w:rFonts w:ascii="方正仿宋_GBK" w:eastAsia="方正仿宋_GBK" w:hAnsi="方正仿宋_GBK" w:cs="方正仿宋_GBK"/>
          <w:color w:val="000000"/>
          <w:sz w:val="28"/>
        </w:rPr>
        <w:t xml:space="preserve">33.审计整改诉讼专项业务费绩效目标表</w:t>
      </w:r>
      <w:bookmarkEnd w:id="32"/>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603007青岛市环境卫生发展中心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37020023P88002810843H</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审计整改诉讼专项业务费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17.00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17.00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审计整改诉讼业务费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9.50</w:t>
            </w:r>
          </w:p>
        </w:tc>
        <w:tc>
          <w:tcPr>
            <w:tcW w:w="1304" w:type="dxa"/>
            <w:vAlign w:val="center"/>
          </w:tcPr>
          <w:p>
            <w:pPr>
              <w:pStyle w:val="单元格样式3"/>
            </w:pPr>
            <w:r>
              <w:t xml:space="preserve">15.00</w:t>
            </w:r>
          </w:p>
        </w:tc>
        <w:tc>
          <w:tcPr>
            <w:tcW w:w="3118" w:type="dxa"/>
            <w:hMerge w:val="restart"/>
            <w:vAlign w:val="center"/>
          </w:tcPr>
          <w:p>
            <w:pPr>
              <w:pStyle w:val="单元格样式3"/>
            </w:pPr>
            <w:r>
              <w:t xml:space="preserve">17.00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6.审计整改诉讼业务，完成审计整改工作。</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成本控制在预算之内</w:t>
            </w:r>
          </w:p>
        </w:tc>
        <w:tc>
          <w:tcPr>
            <w:tcW w:w="2891" w:type="dxa"/>
            <w:hMerge w:val="restart"/>
            <w:vAlign w:val="center"/>
          </w:tcPr>
          <w:p>
            <w:pPr>
              <w:pStyle w:val="单元格样式2"/>
            </w:pPr>
            <w:r>
              <w:t xml:space="preserve">成本控制在预算之内</w:t>
            </w:r>
          </w:p>
        </w:tc>
        <w:tc>
          <w:tcPr>
            <w:tcW w:w="0" w:type="auto"/>
            <w:hMerge/>
            <w:vAlign w:val="center"/>
          </w:tcPr>
          <w:p>
            <w:pPr/>
          </w:p>
        </w:tc>
        <w:tc>
          <w:tcPr>
            <w:tcW w:w="1276" w:type="dxa"/>
            <w:vAlign w:val="center"/>
          </w:tcPr>
          <w:p>
            <w:pPr>
              <w:pStyle w:val="单元格样式2"/>
            </w:pPr>
            <w:r>
              <w:t xml:space="preserve">≤17万元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参与民事诉讼</w:t>
            </w:r>
          </w:p>
        </w:tc>
        <w:tc>
          <w:tcPr>
            <w:tcW w:w="2891" w:type="dxa"/>
            <w:hMerge w:val="restart"/>
            <w:vAlign w:val="center"/>
          </w:tcPr>
          <w:p>
            <w:pPr>
              <w:pStyle w:val="单元格样式2"/>
            </w:pPr>
            <w:r>
              <w:t xml:space="preserve">参与民事诉讼</w:t>
            </w:r>
          </w:p>
        </w:tc>
        <w:tc>
          <w:tcPr>
            <w:tcW w:w="0" w:type="auto"/>
            <w:hMerge/>
            <w:vAlign w:val="center"/>
          </w:tcPr>
          <w:p>
            <w:pPr/>
          </w:p>
        </w:tc>
        <w:tc>
          <w:tcPr>
            <w:tcW w:w="1276" w:type="dxa"/>
            <w:vAlign w:val="center"/>
          </w:tcPr>
          <w:p>
            <w:pPr>
              <w:pStyle w:val="单元格样式2"/>
            </w:pPr>
            <w:r>
              <w:t xml:space="preserve">≥1项</w:t>
            </w:r>
          </w:p>
        </w:tc>
        <w:tc>
          <w:tcPr>
            <w:tcW w:w="1843" w:type="dxa"/>
            <w:vAlign w:val="center"/>
          </w:tcPr>
          <w:p>
            <w:pPr>
              <w:pStyle w:val="单元格样式2"/>
            </w:pPr>
            <w:r>
              <w:t xml:space="preserve">根据《青岛市审计局关于整改延伸审计发现问题的函》（青审财函〔2022〕19号和《审计专报（第13期）》</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重点问题及整改建议</w:t>
            </w:r>
          </w:p>
        </w:tc>
        <w:tc>
          <w:tcPr>
            <w:tcW w:w="2891" w:type="dxa"/>
            <w:hMerge w:val="restart"/>
            <w:vAlign w:val="center"/>
          </w:tcPr>
          <w:p>
            <w:pPr>
              <w:pStyle w:val="单元格样式2"/>
            </w:pPr>
            <w:r>
              <w:t xml:space="preserve">重点问题及整改建议</w:t>
            </w:r>
          </w:p>
        </w:tc>
        <w:tc>
          <w:tcPr>
            <w:tcW w:w="0" w:type="auto"/>
            <w:hMerge/>
            <w:vAlign w:val="center"/>
          </w:tcPr>
          <w:p>
            <w:pPr/>
          </w:p>
        </w:tc>
        <w:tc>
          <w:tcPr>
            <w:tcW w:w="1276" w:type="dxa"/>
            <w:vAlign w:val="center"/>
          </w:tcPr>
          <w:p>
            <w:pPr>
              <w:pStyle w:val="单元格样式2"/>
            </w:pPr>
            <w:r>
              <w:t xml:space="preserve">≥1项</w:t>
            </w:r>
          </w:p>
        </w:tc>
        <w:tc>
          <w:tcPr>
            <w:tcW w:w="1843" w:type="dxa"/>
            <w:vAlign w:val="center"/>
          </w:tcPr>
          <w:p>
            <w:pPr>
              <w:pStyle w:val="单元格样式2"/>
            </w:pPr>
            <w:r>
              <w:t xml:space="preserve">专款专用</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专款专用率</w:t>
            </w:r>
          </w:p>
        </w:tc>
        <w:tc>
          <w:tcPr>
            <w:tcW w:w="2891" w:type="dxa"/>
            <w:hMerge w:val="restart"/>
            <w:vAlign w:val="center"/>
          </w:tcPr>
          <w:p>
            <w:pPr>
              <w:pStyle w:val="单元格样式2"/>
            </w:pPr>
            <w:r>
              <w:t xml:space="preserve">专款专用率</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专款专用</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按时间进度完成任务</w:t>
            </w:r>
          </w:p>
        </w:tc>
        <w:tc>
          <w:tcPr>
            <w:tcW w:w="2891" w:type="dxa"/>
            <w:hMerge w:val="restart"/>
            <w:vAlign w:val="center"/>
          </w:tcPr>
          <w:p>
            <w:pPr>
              <w:pStyle w:val="单元格样式2"/>
            </w:pPr>
            <w:r>
              <w:t xml:space="preserve">按时间进度完成任务</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专款专用</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资金使用合规性</w:t>
            </w:r>
          </w:p>
        </w:tc>
        <w:tc>
          <w:tcPr>
            <w:tcW w:w="2891" w:type="dxa"/>
            <w:hMerge w:val="restart"/>
            <w:vAlign w:val="center"/>
          </w:tcPr>
          <w:p>
            <w:pPr>
              <w:pStyle w:val="单元格样式2"/>
            </w:pPr>
            <w:r>
              <w:t xml:space="preserve">资金使用合规性</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专款专用</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审计整改完成率</w:t>
            </w:r>
          </w:p>
        </w:tc>
        <w:tc>
          <w:tcPr>
            <w:tcW w:w="2891" w:type="dxa"/>
            <w:hMerge w:val="restart"/>
            <w:vAlign w:val="center"/>
          </w:tcPr>
          <w:p>
            <w:pPr>
              <w:pStyle w:val="单元格样式2"/>
            </w:pPr>
            <w:r>
              <w:t xml:space="preserve">审计整改完成率</w:t>
            </w:r>
          </w:p>
        </w:tc>
        <w:tc>
          <w:tcPr>
            <w:tcW w:w="0" w:type="auto"/>
            <w:hMerge/>
            <w:vAlign w:val="center"/>
          </w:tcPr>
          <w:p>
            <w:pPr/>
          </w:p>
        </w:tc>
        <w:tc>
          <w:tcPr>
            <w:tcW w:w="1276" w:type="dxa"/>
            <w:vAlign w:val="center"/>
          </w:tcPr>
          <w:p>
            <w:pPr>
              <w:pStyle w:val="单元格样式2"/>
            </w:pPr>
            <w:r>
              <w:t xml:space="preserve">100百分之百</w:t>
            </w:r>
          </w:p>
        </w:tc>
        <w:tc>
          <w:tcPr>
            <w:tcW w:w="1843" w:type="dxa"/>
            <w:vAlign w:val="center"/>
          </w:tcPr>
          <w:p>
            <w:pPr>
              <w:pStyle w:val="单元格样式2"/>
            </w:pPr>
            <w:r>
              <w:t xml:space="preserve">完成审计整改相关催收程序</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≤98百分之百</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3" w:name="_Toc_4_4_0000000034"/>
      <w:r>
        <w:rPr>
          <w:rFonts w:ascii="方正仿宋_GBK" w:eastAsia="方正仿宋_GBK" w:hAnsi="方正仿宋_GBK" w:cs="方正仿宋_GBK"/>
          <w:color w:val="000000"/>
          <w:sz w:val="28"/>
        </w:rPr>
        <w:t xml:space="preserve">34.环卫设施监测经费绩效目标表</w:t>
      </w:r>
      <w:bookmarkEnd w:id="33"/>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603007青岛市环境卫生发展中心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37020023P550008100211</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环卫设施监测经费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80.00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80.00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委托专业机构进行青岛市垃圾处理设施进行运行监管辅助工作及监管监测，并以此作为政府部门监管、考核和决策依据。</w:t>
            </w:r>
          </w:p>
          <w:p>
            <w:pPr>
              <w:pStyle w:val="单元格样式2"/>
            </w:pP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20.00</w:t>
            </w:r>
          </w:p>
        </w:tc>
        <w:tc>
          <w:tcPr>
            <w:tcW w:w="0" w:type="auto"/>
            <w:hMerge/>
          </w:tcPr>
          <w:p>
            <w:pPr/>
          </w:p>
        </w:tc>
        <w:tc>
          <w:tcPr>
            <w:tcW w:w="1587" w:type="dxa"/>
            <w:vAlign w:val="center"/>
          </w:tcPr>
          <w:p>
            <w:pPr>
              <w:pStyle w:val="单元格样式3"/>
            </w:pPr>
            <w:r>
              <w:t xml:space="preserve">40.00</w:t>
            </w:r>
          </w:p>
        </w:tc>
        <w:tc>
          <w:tcPr>
            <w:tcW w:w="1304" w:type="dxa"/>
            <w:vAlign w:val="center"/>
          </w:tcPr>
          <w:p>
            <w:pPr>
              <w:pStyle w:val="单元格样式3"/>
            </w:pPr>
            <w:r>
              <w:t xml:space="preserve">60.00</w:t>
            </w:r>
          </w:p>
        </w:tc>
        <w:tc>
          <w:tcPr>
            <w:tcW w:w="3118" w:type="dxa"/>
            <w:hMerge w:val="restart"/>
            <w:vAlign w:val="center"/>
          </w:tcPr>
          <w:p>
            <w:pPr>
              <w:pStyle w:val="单元格样式3"/>
            </w:pPr>
            <w:r>
              <w:t xml:space="preserve">80.00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6.目标内容1委托专业机构进行青岛市垃圾处理设施进行运行监管辅助工作及监管监测，并以此作为政府部门监管、考核和决策依据。</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成本控制在预算之内</w:t>
            </w:r>
          </w:p>
        </w:tc>
        <w:tc>
          <w:tcPr>
            <w:tcW w:w="2891" w:type="dxa"/>
            <w:hMerge w:val="restart"/>
            <w:vAlign w:val="center"/>
          </w:tcPr>
          <w:p>
            <w:pPr>
              <w:pStyle w:val="单元格样式2"/>
            </w:pPr>
            <w:r>
              <w:t xml:space="preserve">成本控制在预算之内</w:t>
            </w:r>
          </w:p>
        </w:tc>
        <w:tc>
          <w:tcPr>
            <w:tcW w:w="0" w:type="auto"/>
            <w:hMerge/>
            <w:vAlign w:val="center"/>
          </w:tcPr>
          <w:p>
            <w:pPr/>
          </w:p>
        </w:tc>
        <w:tc>
          <w:tcPr>
            <w:tcW w:w="1276" w:type="dxa"/>
            <w:vAlign w:val="center"/>
          </w:tcPr>
          <w:p>
            <w:pPr>
              <w:pStyle w:val="单元格样式2"/>
            </w:pPr>
            <w:r>
              <w:t xml:space="preserve">≤80万元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出具检测报告</w:t>
            </w:r>
          </w:p>
        </w:tc>
        <w:tc>
          <w:tcPr>
            <w:tcW w:w="2891" w:type="dxa"/>
            <w:hMerge w:val="restart"/>
            <w:vAlign w:val="center"/>
          </w:tcPr>
          <w:p>
            <w:pPr>
              <w:pStyle w:val="单元格样式2"/>
            </w:pPr>
            <w:r>
              <w:t xml:space="preserve">出具检测报告</w:t>
            </w:r>
          </w:p>
        </w:tc>
        <w:tc>
          <w:tcPr>
            <w:tcW w:w="0" w:type="auto"/>
            <w:hMerge/>
            <w:vAlign w:val="center"/>
          </w:tcPr>
          <w:p>
            <w:pPr/>
          </w:p>
        </w:tc>
        <w:tc>
          <w:tcPr>
            <w:tcW w:w="1276" w:type="dxa"/>
            <w:vAlign w:val="center"/>
          </w:tcPr>
          <w:p>
            <w:pPr>
              <w:pStyle w:val="单元格样式2"/>
            </w:pPr>
            <w:r>
              <w:t xml:space="preserve">≥56份</w:t>
            </w:r>
          </w:p>
        </w:tc>
        <w:tc>
          <w:tcPr>
            <w:tcW w:w="1843" w:type="dxa"/>
            <w:vAlign w:val="center"/>
          </w:tcPr>
          <w:p>
            <w:pPr>
              <w:pStyle w:val="单元格样式2"/>
            </w:pPr>
            <w:r>
              <w:t xml:space="preserve">检测的适用性和及时性</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资金支付完成率</w:t>
            </w:r>
          </w:p>
        </w:tc>
        <w:tc>
          <w:tcPr>
            <w:tcW w:w="2891" w:type="dxa"/>
            <w:hMerge w:val="restart"/>
            <w:vAlign w:val="center"/>
          </w:tcPr>
          <w:p>
            <w:pPr>
              <w:pStyle w:val="单元格样式2"/>
            </w:pPr>
            <w:r>
              <w:t xml:space="preserve">资金支付完成率</w:t>
            </w:r>
          </w:p>
        </w:tc>
        <w:tc>
          <w:tcPr>
            <w:tcW w:w="0" w:type="auto"/>
            <w:hMerge/>
            <w:vAlign w:val="center"/>
          </w:tcPr>
          <w:p>
            <w:pPr/>
          </w:p>
        </w:tc>
        <w:tc>
          <w:tcPr>
            <w:tcW w:w="1276" w:type="dxa"/>
            <w:vAlign w:val="center"/>
          </w:tcPr>
          <w:p>
            <w:pPr>
              <w:pStyle w:val="单元格样式2"/>
            </w:pPr>
            <w:r>
              <w:t xml:space="preserve">≥98百分之</w:t>
            </w:r>
          </w:p>
        </w:tc>
        <w:tc>
          <w:tcPr>
            <w:tcW w:w="1843" w:type="dxa"/>
            <w:vAlign w:val="center"/>
          </w:tcPr>
          <w:p>
            <w:pPr>
              <w:pStyle w:val="单元格样式2"/>
            </w:pPr>
            <w:r>
              <w:t xml:space="preserve">检测的适用性和及时性</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财政资金使用合规</w:t>
            </w:r>
          </w:p>
        </w:tc>
        <w:tc>
          <w:tcPr>
            <w:tcW w:w="2891" w:type="dxa"/>
            <w:hMerge w:val="restart"/>
            <w:vAlign w:val="center"/>
          </w:tcPr>
          <w:p>
            <w:pPr>
              <w:pStyle w:val="单元格样式2"/>
            </w:pPr>
            <w:r>
              <w:t xml:space="preserve">财政资金使用合规</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检测的适用性和及时性</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出具报告</w:t>
            </w:r>
          </w:p>
        </w:tc>
        <w:tc>
          <w:tcPr>
            <w:tcW w:w="2891" w:type="dxa"/>
            <w:hMerge w:val="restart"/>
            <w:vAlign w:val="center"/>
          </w:tcPr>
          <w:p>
            <w:pPr>
              <w:pStyle w:val="单元格样式2"/>
            </w:pPr>
            <w:r>
              <w:t xml:space="preserve">出具报告</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检测的适用性和及时性</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报告完成及时率</w:t>
            </w:r>
          </w:p>
        </w:tc>
        <w:tc>
          <w:tcPr>
            <w:tcW w:w="2891" w:type="dxa"/>
            <w:hMerge w:val="restart"/>
            <w:vAlign w:val="center"/>
          </w:tcPr>
          <w:p>
            <w:pPr>
              <w:pStyle w:val="单元格样式2"/>
            </w:pPr>
            <w:r>
              <w:t xml:space="preserve">报告完成及时率</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检测的适用性和及时性</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检测结果利用率</w:t>
            </w:r>
          </w:p>
        </w:tc>
        <w:tc>
          <w:tcPr>
            <w:tcW w:w="2891" w:type="dxa"/>
            <w:hMerge w:val="restart"/>
            <w:vAlign w:val="center"/>
          </w:tcPr>
          <w:p>
            <w:pPr>
              <w:pStyle w:val="单元格样式2"/>
            </w:pPr>
            <w:r>
              <w:t xml:space="preserve">检测结果利用率</w:t>
            </w:r>
          </w:p>
        </w:tc>
        <w:tc>
          <w:tcPr>
            <w:tcW w:w="0" w:type="auto"/>
            <w:hMerge/>
            <w:vAlign w:val="center"/>
          </w:tcPr>
          <w:p>
            <w:pPr/>
          </w:p>
        </w:tc>
        <w:tc>
          <w:tcPr>
            <w:tcW w:w="1276" w:type="dxa"/>
            <w:vAlign w:val="center"/>
          </w:tcPr>
          <w:p>
            <w:pPr>
              <w:pStyle w:val="单元格样式2"/>
            </w:pPr>
            <w:r>
              <w:t xml:space="preserve">≥98百分之</w:t>
            </w:r>
          </w:p>
        </w:tc>
        <w:tc>
          <w:tcPr>
            <w:tcW w:w="1843" w:type="dxa"/>
            <w:vAlign w:val="center"/>
          </w:tcPr>
          <w:p>
            <w:pPr>
              <w:pStyle w:val="单元格样式2"/>
            </w:pPr>
            <w:r>
              <w:t xml:space="preserve">检测的适用性和及时性</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≥98百分之</w:t>
            </w:r>
          </w:p>
        </w:tc>
        <w:tc>
          <w:tcPr>
            <w:tcW w:w="1843" w:type="dxa"/>
            <w:vAlign w:val="center"/>
          </w:tcPr>
          <w:p>
            <w:pPr>
              <w:pStyle w:val="单元格样式2"/>
            </w:pPr>
            <w:r>
              <w:t xml:space="preserve">检测的适用性和及时性</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4" w:name="_Toc_4_4_0000000035"/>
      <w:r>
        <w:rPr>
          <w:rFonts w:ascii="方正仿宋_GBK" w:eastAsia="方正仿宋_GBK" w:hAnsi="方正仿宋_GBK" w:cs="方正仿宋_GBK"/>
          <w:color w:val="000000"/>
          <w:sz w:val="28"/>
        </w:rPr>
        <w:t xml:space="preserve">35.环卫数字化监管平台运行维护费绩效目标表</w:t>
      </w:r>
      <w:bookmarkEnd w:id="34"/>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603007青岛市环境卫生发展中心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37020023P13000410190E</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环卫数字化监管平台运行维护费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68.00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68.00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环卫数字化监管平台维护费、宽带接入、手机客户端接入等费用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34.00</w:t>
            </w:r>
          </w:p>
        </w:tc>
        <w:tc>
          <w:tcPr>
            <w:tcW w:w="1304" w:type="dxa"/>
            <w:vAlign w:val="center"/>
          </w:tcPr>
          <w:p>
            <w:pPr>
              <w:pStyle w:val="单元格样式3"/>
            </w:pPr>
            <w:r>
              <w:t xml:space="preserve">40.00</w:t>
            </w:r>
          </w:p>
        </w:tc>
        <w:tc>
          <w:tcPr>
            <w:tcW w:w="3118" w:type="dxa"/>
            <w:hMerge w:val="restart"/>
            <w:vAlign w:val="center"/>
          </w:tcPr>
          <w:p>
            <w:pPr>
              <w:pStyle w:val="单元格样式3"/>
            </w:pPr>
            <w:r>
              <w:t xml:space="preserve">68.00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6.目标内容1环卫数字化监管平台维护费、宽带接入、手机客户端接入等业务完成，实现平台运行流畅，能够实现运行目标。</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成本控制在预算之内</w:t>
            </w:r>
          </w:p>
        </w:tc>
        <w:tc>
          <w:tcPr>
            <w:tcW w:w="2891" w:type="dxa"/>
            <w:hMerge w:val="restart"/>
            <w:vAlign w:val="center"/>
          </w:tcPr>
          <w:p>
            <w:pPr>
              <w:pStyle w:val="单元格样式2"/>
            </w:pPr>
            <w:r>
              <w:t xml:space="preserve">成本控制在预算之内</w:t>
            </w:r>
          </w:p>
        </w:tc>
        <w:tc>
          <w:tcPr>
            <w:tcW w:w="0" w:type="auto"/>
            <w:hMerge/>
            <w:vAlign w:val="center"/>
          </w:tcPr>
          <w:p>
            <w:pPr/>
          </w:p>
        </w:tc>
        <w:tc>
          <w:tcPr>
            <w:tcW w:w="1276" w:type="dxa"/>
            <w:vAlign w:val="center"/>
          </w:tcPr>
          <w:p>
            <w:pPr>
              <w:pStyle w:val="单元格样式2"/>
            </w:pPr>
            <w:r>
              <w:t xml:space="preserve">≤68万元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每年更新数据量</w:t>
            </w:r>
          </w:p>
        </w:tc>
        <w:tc>
          <w:tcPr>
            <w:tcW w:w="2891" w:type="dxa"/>
            <w:hMerge w:val="restart"/>
            <w:vAlign w:val="center"/>
          </w:tcPr>
          <w:p>
            <w:pPr>
              <w:pStyle w:val="单元格样式2"/>
            </w:pPr>
            <w:r>
              <w:t xml:space="preserve">每年更新数据量</w:t>
            </w:r>
          </w:p>
        </w:tc>
        <w:tc>
          <w:tcPr>
            <w:tcW w:w="0" w:type="auto"/>
            <w:hMerge/>
            <w:vAlign w:val="center"/>
          </w:tcPr>
          <w:p>
            <w:pPr/>
          </w:p>
        </w:tc>
        <w:tc>
          <w:tcPr>
            <w:tcW w:w="1276" w:type="dxa"/>
            <w:vAlign w:val="center"/>
          </w:tcPr>
          <w:p>
            <w:pPr>
              <w:pStyle w:val="单元格样式2"/>
            </w:pPr>
            <w:r>
              <w:t xml:space="preserve">≥1600件次</w:t>
            </w:r>
          </w:p>
        </w:tc>
        <w:tc>
          <w:tcPr>
            <w:tcW w:w="1843" w:type="dxa"/>
            <w:vAlign w:val="center"/>
          </w:tcPr>
          <w:p>
            <w:pPr>
              <w:pStyle w:val="单元格样式2"/>
            </w:pPr>
            <w:r>
              <w:t xml:space="preserve">更新环卫车辆数据量</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每年更新数据量</w:t>
            </w:r>
          </w:p>
        </w:tc>
        <w:tc>
          <w:tcPr>
            <w:tcW w:w="2891" w:type="dxa"/>
            <w:hMerge w:val="restart"/>
            <w:vAlign w:val="center"/>
          </w:tcPr>
          <w:p>
            <w:pPr>
              <w:pStyle w:val="单元格样式2"/>
            </w:pPr>
            <w:r>
              <w:t xml:space="preserve">每年更新数据量</w:t>
            </w:r>
          </w:p>
        </w:tc>
        <w:tc>
          <w:tcPr>
            <w:tcW w:w="0" w:type="auto"/>
            <w:hMerge/>
            <w:vAlign w:val="center"/>
          </w:tcPr>
          <w:p>
            <w:pPr/>
          </w:p>
        </w:tc>
        <w:tc>
          <w:tcPr>
            <w:tcW w:w="1276" w:type="dxa"/>
            <w:vAlign w:val="center"/>
          </w:tcPr>
          <w:p>
            <w:pPr>
              <w:pStyle w:val="单元格样式2"/>
            </w:pPr>
            <w:r>
              <w:t xml:space="preserve">≥1000件次</w:t>
            </w:r>
          </w:p>
        </w:tc>
        <w:tc>
          <w:tcPr>
            <w:tcW w:w="1843" w:type="dxa"/>
            <w:vAlign w:val="center"/>
          </w:tcPr>
          <w:p>
            <w:pPr>
              <w:pStyle w:val="单元格样式2"/>
            </w:pPr>
            <w:r>
              <w:t xml:space="preserve">更新公厕数量</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系统运行维护完成情况</w:t>
            </w:r>
          </w:p>
        </w:tc>
        <w:tc>
          <w:tcPr>
            <w:tcW w:w="2891" w:type="dxa"/>
            <w:hMerge w:val="restart"/>
            <w:vAlign w:val="center"/>
          </w:tcPr>
          <w:p>
            <w:pPr>
              <w:pStyle w:val="单元格样式2"/>
            </w:pPr>
            <w:r>
              <w:t xml:space="preserve">系统运行维护完成情况</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系统运行维护完成情况</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系统稳定运行率</w:t>
            </w:r>
          </w:p>
        </w:tc>
        <w:tc>
          <w:tcPr>
            <w:tcW w:w="2891" w:type="dxa"/>
            <w:hMerge w:val="restart"/>
            <w:vAlign w:val="center"/>
          </w:tcPr>
          <w:p>
            <w:pPr>
              <w:pStyle w:val="单元格样式2"/>
            </w:pPr>
            <w:r>
              <w:t xml:space="preserve">系统稳定运行率</w:t>
            </w:r>
          </w:p>
        </w:tc>
        <w:tc>
          <w:tcPr>
            <w:tcW w:w="0" w:type="auto"/>
            <w:hMerge/>
            <w:vAlign w:val="center"/>
          </w:tcPr>
          <w:p>
            <w:pPr/>
          </w:p>
        </w:tc>
        <w:tc>
          <w:tcPr>
            <w:tcW w:w="1276" w:type="dxa"/>
            <w:vAlign w:val="center"/>
          </w:tcPr>
          <w:p>
            <w:pPr>
              <w:pStyle w:val="单元格样式2"/>
            </w:pPr>
            <w:r>
              <w:t xml:space="preserve">≥98百分之</w:t>
            </w:r>
          </w:p>
        </w:tc>
        <w:tc>
          <w:tcPr>
            <w:tcW w:w="1843" w:type="dxa"/>
            <w:vAlign w:val="center"/>
          </w:tcPr>
          <w:p>
            <w:pPr>
              <w:pStyle w:val="单元格样式2"/>
            </w:pPr>
            <w:r>
              <w:t xml:space="preserve">系统稳定运行率</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系统运行维护响应时间</w:t>
            </w:r>
          </w:p>
        </w:tc>
        <w:tc>
          <w:tcPr>
            <w:tcW w:w="2891" w:type="dxa"/>
            <w:hMerge w:val="restart"/>
            <w:vAlign w:val="center"/>
          </w:tcPr>
          <w:p>
            <w:pPr>
              <w:pStyle w:val="单元格样式2"/>
            </w:pPr>
            <w:r>
              <w:t xml:space="preserve">系统运行维护响应时间</w:t>
            </w:r>
          </w:p>
        </w:tc>
        <w:tc>
          <w:tcPr>
            <w:tcW w:w="0" w:type="auto"/>
            <w:hMerge/>
            <w:vAlign w:val="center"/>
          </w:tcPr>
          <w:p>
            <w:pPr/>
          </w:p>
        </w:tc>
        <w:tc>
          <w:tcPr>
            <w:tcW w:w="1276" w:type="dxa"/>
            <w:vAlign w:val="center"/>
          </w:tcPr>
          <w:p>
            <w:pPr>
              <w:pStyle w:val="单元格样式2"/>
            </w:pPr>
            <w:r>
              <w:t xml:space="preserve">≤24小时</w:t>
            </w:r>
          </w:p>
        </w:tc>
        <w:tc>
          <w:tcPr>
            <w:tcW w:w="1843" w:type="dxa"/>
            <w:vAlign w:val="center"/>
          </w:tcPr>
          <w:p>
            <w:pPr>
              <w:pStyle w:val="单元格样式2"/>
            </w:pPr>
            <w:r>
              <w:t xml:space="preserve">系统运行维护响应时间</w:t>
            </w:r>
          </w:p>
          <w:p>
            <w:pPr>
              <w:pStyle w:val="单元格样式2"/>
            </w:pP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覆盖市地范围</w:t>
            </w:r>
          </w:p>
        </w:tc>
        <w:tc>
          <w:tcPr>
            <w:tcW w:w="2891" w:type="dxa"/>
            <w:hMerge w:val="restart"/>
            <w:vAlign w:val="center"/>
          </w:tcPr>
          <w:p>
            <w:pPr>
              <w:pStyle w:val="单元格样式2"/>
            </w:pPr>
            <w:r>
              <w:t xml:space="preserve">覆盖市地范围</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服务对象满意率</w:t>
            </w:r>
          </w:p>
        </w:tc>
        <w:tc>
          <w:tcPr>
            <w:tcW w:w="2891" w:type="dxa"/>
            <w:hMerge w:val="restart"/>
            <w:vAlign w:val="center"/>
          </w:tcPr>
          <w:p>
            <w:pPr>
              <w:pStyle w:val="单元格样式2"/>
            </w:pPr>
            <w:r>
              <w:t xml:space="preserve">服务对象满意率</w:t>
            </w:r>
          </w:p>
        </w:tc>
        <w:tc>
          <w:tcPr>
            <w:tcW w:w="0" w:type="auto"/>
            <w:hMerge/>
            <w:vAlign w:val="center"/>
          </w:tcPr>
          <w:p>
            <w:pPr/>
          </w:p>
        </w:tc>
        <w:tc>
          <w:tcPr>
            <w:tcW w:w="1276" w:type="dxa"/>
            <w:vAlign w:val="center"/>
          </w:tcPr>
          <w:p>
            <w:pPr>
              <w:pStyle w:val="单元格样式2"/>
            </w:pPr>
            <w:r>
              <w:t xml:space="preserve">≥98百分之</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5" w:name="_Toc_4_4_0000000036"/>
      <w:r>
        <w:rPr>
          <w:rFonts w:ascii="方正仿宋_GBK" w:eastAsia="方正仿宋_GBK" w:hAnsi="方正仿宋_GBK" w:cs="方正仿宋_GBK"/>
          <w:color w:val="000000"/>
          <w:sz w:val="28"/>
        </w:rPr>
        <w:t xml:space="preserve">36.浒苔临时处置场地建设经费项目尾款绩效目标表</w:t>
      </w:r>
      <w:bookmarkEnd w:id="35"/>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603007青岛市环境卫生发展中心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37020023P55000810024U</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浒苔临时处置场地建设经费项目尾款</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4.00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4.00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支付浒苔临时处置场地建设项目尾款</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4.00</w:t>
            </w:r>
          </w:p>
        </w:tc>
        <w:tc>
          <w:tcPr>
            <w:tcW w:w="1304" w:type="dxa"/>
            <w:vAlign w:val="center"/>
          </w:tcPr>
          <w:p>
            <w:pPr>
              <w:pStyle w:val="单元格样式3"/>
            </w:pPr>
            <w:r>
              <w:t xml:space="preserve">4.00</w:t>
            </w:r>
          </w:p>
        </w:tc>
        <w:tc>
          <w:tcPr>
            <w:tcW w:w="3118" w:type="dxa"/>
            <w:hMerge w:val="restart"/>
            <w:vAlign w:val="center"/>
          </w:tcPr>
          <w:p>
            <w:pPr>
              <w:pStyle w:val="单元格样式3"/>
            </w:pPr>
            <w:r>
              <w:t xml:space="preserve">4.00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6.目标内容1支付浒苔临时处置场地建设项目尾款</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成本控制在预算之内</w:t>
            </w:r>
          </w:p>
        </w:tc>
        <w:tc>
          <w:tcPr>
            <w:tcW w:w="2891" w:type="dxa"/>
            <w:hMerge w:val="restart"/>
            <w:vAlign w:val="center"/>
          </w:tcPr>
          <w:p>
            <w:pPr>
              <w:pStyle w:val="单元格样式2"/>
            </w:pPr>
            <w:r>
              <w:t xml:space="preserve">成本控制在预算之内</w:t>
            </w:r>
          </w:p>
        </w:tc>
        <w:tc>
          <w:tcPr>
            <w:tcW w:w="0" w:type="auto"/>
            <w:hMerge/>
            <w:vAlign w:val="center"/>
          </w:tcPr>
          <w:p>
            <w:pPr/>
          </w:p>
        </w:tc>
        <w:tc>
          <w:tcPr>
            <w:tcW w:w="1276" w:type="dxa"/>
            <w:vAlign w:val="center"/>
          </w:tcPr>
          <w:p>
            <w:pPr>
              <w:pStyle w:val="单元格样式2"/>
            </w:pPr>
            <w:r>
              <w:t xml:space="preserve">≤4万元</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支付尾款合同数量</w:t>
            </w:r>
          </w:p>
        </w:tc>
        <w:tc>
          <w:tcPr>
            <w:tcW w:w="2891" w:type="dxa"/>
            <w:hMerge w:val="restart"/>
            <w:vAlign w:val="center"/>
          </w:tcPr>
          <w:p>
            <w:pPr>
              <w:pStyle w:val="单元格样式2"/>
            </w:pPr>
            <w:r>
              <w:t xml:space="preserve">支付尾款合同数量</w:t>
            </w:r>
          </w:p>
        </w:tc>
        <w:tc>
          <w:tcPr>
            <w:tcW w:w="0" w:type="auto"/>
            <w:hMerge/>
            <w:vAlign w:val="center"/>
          </w:tcPr>
          <w:p>
            <w:pPr/>
          </w:p>
        </w:tc>
        <w:tc>
          <w:tcPr>
            <w:tcW w:w="1276" w:type="dxa"/>
            <w:vAlign w:val="center"/>
          </w:tcPr>
          <w:p>
            <w:pPr>
              <w:pStyle w:val="单元格样式2"/>
            </w:pPr>
            <w:r>
              <w:t xml:space="preserve">1项</w:t>
            </w:r>
          </w:p>
        </w:tc>
        <w:tc>
          <w:tcPr>
            <w:tcW w:w="1843" w:type="dxa"/>
            <w:vAlign w:val="center"/>
          </w:tcPr>
          <w:p>
            <w:pPr>
              <w:pStyle w:val="单元格样式2"/>
            </w:pPr>
            <w:r>
              <w:t xml:space="preserve">资金到账后支付及时情况</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资金合规率</w:t>
            </w:r>
          </w:p>
        </w:tc>
        <w:tc>
          <w:tcPr>
            <w:tcW w:w="2891" w:type="dxa"/>
            <w:hMerge w:val="restart"/>
            <w:vAlign w:val="center"/>
          </w:tcPr>
          <w:p>
            <w:pPr>
              <w:pStyle w:val="单元格样式2"/>
            </w:pPr>
            <w:r>
              <w:t xml:space="preserve">资金合规率</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资金到账后支付及时情况</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资金使用合规性</w:t>
            </w:r>
          </w:p>
        </w:tc>
        <w:tc>
          <w:tcPr>
            <w:tcW w:w="2891" w:type="dxa"/>
            <w:hMerge w:val="restart"/>
            <w:vAlign w:val="center"/>
          </w:tcPr>
          <w:p>
            <w:pPr>
              <w:pStyle w:val="单元格样式2"/>
            </w:pPr>
            <w:r>
              <w:t xml:space="preserve">资金使用合规性</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资金到账后支付及时情况</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专款专用率</w:t>
            </w:r>
          </w:p>
        </w:tc>
        <w:tc>
          <w:tcPr>
            <w:tcW w:w="2891" w:type="dxa"/>
            <w:hMerge w:val="restart"/>
            <w:vAlign w:val="center"/>
          </w:tcPr>
          <w:p>
            <w:pPr>
              <w:pStyle w:val="单元格样式2"/>
            </w:pPr>
            <w:r>
              <w:t xml:space="preserve">专款专用率</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资金到账后支付及时情况</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完成支付计划</w:t>
            </w:r>
          </w:p>
        </w:tc>
        <w:tc>
          <w:tcPr>
            <w:tcW w:w="2891" w:type="dxa"/>
            <w:hMerge w:val="restart"/>
            <w:vAlign w:val="center"/>
          </w:tcPr>
          <w:p>
            <w:pPr>
              <w:pStyle w:val="单元格样式2"/>
            </w:pPr>
            <w:r>
              <w:t xml:space="preserve">完成支付计划</w:t>
            </w:r>
          </w:p>
        </w:tc>
        <w:tc>
          <w:tcPr>
            <w:tcW w:w="0" w:type="auto"/>
            <w:hMerge/>
            <w:vAlign w:val="center"/>
          </w:tcPr>
          <w:p>
            <w:pPr/>
          </w:p>
        </w:tc>
        <w:tc>
          <w:tcPr>
            <w:tcW w:w="1276" w:type="dxa"/>
            <w:vAlign w:val="center"/>
          </w:tcPr>
          <w:p>
            <w:pPr>
              <w:pStyle w:val="单元格样式2"/>
            </w:pPr>
            <w:r>
              <w:t xml:space="preserve">100百分之</w:t>
            </w:r>
          </w:p>
        </w:tc>
        <w:tc>
          <w:tcPr>
            <w:tcW w:w="1843" w:type="dxa"/>
            <w:vAlign w:val="center"/>
          </w:tcPr>
          <w:p>
            <w:pPr>
              <w:pStyle w:val="单元格样式2"/>
            </w:pPr>
            <w:r>
              <w:t xml:space="preserve">资金到账后支付及时情况</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经济效益指标</w:t>
            </w:r>
          </w:p>
        </w:tc>
        <w:tc>
          <w:tcPr>
            <w:tcW w:w="1332" w:type="dxa"/>
            <w:vAlign w:val="center"/>
          </w:tcPr>
          <w:p>
            <w:pPr>
              <w:pStyle w:val="单元格样式2"/>
            </w:pPr>
            <w:r>
              <w:t xml:space="preserve">资金利用率</w:t>
            </w:r>
          </w:p>
        </w:tc>
        <w:tc>
          <w:tcPr>
            <w:tcW w:w="2891" w:type="dxa"/>
            <w:hMerge w:val="restart"/>
            <w:vAlign w:val="center"/>
          </w:tcPr>
          <w:p>
            <w:pPr>
              <w:pStyle w:val="单元格样式2"/>
            </w:pPr>
            <w:r>
              <w:t xml:space="preserve">资金利用率</w:t>
            </w:r>
          </w:p>
        </w:tc>
        <w:tc>
          <w:tcPr>
            <w:tcW w:w="0" w:type="auto"/>
            <w:hMerge/>
            <w:vAlign w:val="center"/>
          </w:tcPr>
          <w:p>
            <w:pPr/>
          </w:p>
        </w:tc>
        <w:tc>
          <w:tcPr>
            <w:tcW w:w="1276" w:type="dxa"/>
            <w:vAlign w:val="center"/>
          </w:tcPr>
          <w:p>
            <w:pPr>
              <w:pStyle w:val="单元格样式2"/>
            </w:pPr>
            <w:r>
              <w:t xml:space="preserve">≥80百分之</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服务对象满意度</w:t>
            </w:r>
          </w:p>
        </w:tc>
        <w:tc>
          <w:tcPr>
            <w:tcW w:w="2891" w:type="dxa"/>
            <w:hMerge w:val="restart"/>
            <w:vAlign w:val="center"/>
          </w:tcPr>
          <w:p>
            <w:pPr>
              <w:pStyle w:val="单元格样式2"/>
            </w:pPr>
            <w:r>
              <w:t xml:space="preserve">服务对象满意度</w:t>
            </w:r>
          </w:p>
        </w:tc>
        <w:tc>
          <w:tcPr>
            <w:tcW w:w="0" w:type="auto"/>
            <w:hMerge/>
            <w:vAlign w:val="center"/>
          </w:tcPr>
          <w:p>
            <w:pPr/>
          </w:p>
        </w:tc>
        <w:tc>
          <w:tcPr>
            <w:tcW w:w="1276" w:type="dxa"/>
            <w:vAlign w:val="center"/>
          </w:tcPr>
          <w:p>
            <w:pPr>
              <w:pStyle w:val="单元格样式2"/>
            </w:pPr>
            <w:r>
              <w:t xml:space="preserve">≥98百分之</w:t>
            </w:r>
          </w:p>
        </w:tc>
        <w:tc>
          <w:tcPr>
            <w:tcW w:w="1843" w:type="dxa"/>
            <w:vAlign w:val="center"/>
          </w:tcPr>
          <w:p>
            <w:pPr>
              <w:pStyle w:val="单元格样式2"/>
            </w:pPr>
            <w:r>
              <w:t xml:space="preserve">计划标准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36" w:name="_Toc_4_4_0000000037"/>
      <w:r>
        <w:rPr>
          <w:rFonts w:ascii="方正仿宋_GBK" w:eastAsia="方正仿宋_GBK" w:hAnsi="方正仿宋_GBK" w:cs="方正仿宋_GBK"/>
          <w:color w:val="000000"/>
          <w:sz w:val="28"/>
        </w:rPr>
        <w:t xml:space="preserve">37.物业和维修资金运行费绩效目标表</w:t>
      </w:r>
      <w:bookmarkEnd w:id="36"/>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603008青岛市物业服务保障中心</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37020023P88002810842X</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物业和维修资金运行费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77.00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77.00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物业和维修资金运行费</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10.00</w:t>
            </w:r>
          </w:p>
        </w:tc>
        <w:tc>
          <w:tcPr>
            <w:tcW w:w="0" w:type="auto"/>
            <w:hMerge/>
          </w:tcPr>
          <w:p>
            <w:pPr/>
          </w:p>
        </w:tc>
        <w:tc>
          <w:tcPr>
            <w:tcW w:w="1587" w:type="dxa"/>
            <w:vAlign w:val="center"/>
          </w:tcPr>
          <w:p>
            <w:pPr>
              <w:pStyle w:val="单元格样式3"/>
            </w:pPr>
            <w:r>
              <w:t xml:space="preserve">20.00</w:t>
            </w:r>
          </w:p>
        </w:tc>
        <w:tc>
          <w:tcPr>
            <w:tcW w:w="1304" w:type="dxa"/>
            <w:vAlign w:val="center"/>
          </w:tcPr>
          <w:p>
            <w:pPr>
              <w:pStyle w:val="单元格样式3"/>
            </w:pPr>
            <w:r>
              <w:t xml:space="preserve">30.00</w:t>
            </w:r>
          </w:p>
        </w:tc>
        <w:tc>
          <w:tcPr>
            <w:tcW w:w="3118" w:type="dxa"/>
            <w:hMerge w:val="restart"/>
            <w:vAlign w:val="center"/>
          </w:tcPr>
          <w:p>
            <w:pPr>
              <w:pStyle w:val="单元格样式3"/>
            </w:pPr>
            <w:r>
              <w:t xml:space="preserve">17.00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6.目标内容1</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通过开展物业管理知识培训，提高广大业主对物业管理的认识</w:t>
            </w:r>
          </w:p>
        </w:tc>
        <w:tc>
          <w:tcPr>
            <w:tcW w:w="2891" w:type="dxa"/>
            <w:hMerge w:val="restart"/>
            <w:vAlign w:val="center"/>
          </w:tcPr>
          <w:p>
            <w:pPr>
              <w:pStyle w:val="单元格样式2"/>
            </w:pPr>
            <w:r>
              <w:t xml:space="preserve">通过物业服务大讲堂，提高业主对物业管理的认识</w:t>
            </w:r>
          </w:p>
        </w:tc>
        <w:tc>
          <w:tcPr>
            <w:tcW w:w="0" w:type="auto"/>
            <w:hMerge/>
            <w:vAlign w:val="center"/>
          </w:tcPr>
          <w:p>
            <w:pPr/>
          </w:p>
        </w:tc>
        <w:tc>
          <w:tcPr>
            <w:tcW w:w="1276" w:type="dxa"/>
            <w:vAlign w:val="center"/>
          </w:tcPr>
          <w:p>
            <w:pPr>
              <w:pStyle w:val="单元格样式2"/>
            </w:pPr>
            <w:r>
              <w:t xml:space="preserve">全年</w:t>
            </w:r>
          </w:p>
        </w:tc>
        <w:tc>
          <w:tcPr>
            <w:tcW w:w="1843" w:type="dxa"/>
            <w:vAlign w:val="center"/>
          </w:tcPr>
          <w:p>
            <w:pPr>
              <w:pStyle w:val="单元格样式2"/>
            </w:pPr>
            <w:r>
              <w:t xml:space="preserve">计划标准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印刷《青岛市物业管理条例》</w:t>
            </w:r>
          </w:p>
        </w:tc>
        <w:tc>
          <w:tcPr>
            <w:tcW w:w="2891" w:type="dxa"/>
            <w:hMerge w:val="restart"/>
            <w:vAlign w:val="center"/>
          </w:tcPr>
          <w:p>
            <w:pPr>
              <w:pStyle w:val="单元格样式2"/>
            </w:pPr>
            <w:r>
              <w:t xml:space="preserve">印刷《青岛市物业管理条例》</w:t>
            </w:r>
          </w:p>
        </w:tc>
        <w:tc>
          <w:tcPr>
            <w:tcW w:w="0" w:type="auto"/>
            <w:hMerge/>
            <w:vAlign w:val="center"/>
          </w:tcPr>
          <w:p>
            <w:pPr/>
          </w:p>
        </w:tc>
        <w:tc>
          <w:tcPr>
            <w:tcW w:w="1276" w:type="dxa"/>
            <w:vAlign w:val="center"/>
          </w:tcPr>
          <w:p>
            <w:pPr>
              <w:pStyle w:val="单元格样式2"/>
            </w:pPr>
            <w:r>
              <w:t xml:space="preserve">10000本</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物业企业宣传推广青岛市物业管理</w:t>
            </w:r>
          </w:p>
        </w:tc>
        <w:tc>
          <w:tcPr>
            <w:tcW w:w="2891" w:type="dxa"/>
            <w:hMerge w:val="restart"/>
            <w:vAlign w:val="center"/>
          </w:tcPr>
          <w:p>
            <w:pPr>
              <w:pStyle w:val="单元格样式2"/>
            </w:pPr>
            <w:r>
              <w:t xml:space="preserve">物业企业数量</w:t>
            </w:r>
          </w:p>
        </w:tc>
        <w:tc>
          <w:tcPr>
            <w:tcW w:w="0" w:type="auto"/>
            <w:hMerge/>
            <w:vAlign w:val="center"/>
          </w:tcPr>
          <w:p>
            <w:pPr/>
          </w:p>
        </w:tc>
        <w:tc>
          <w:tcPr>
            <w:tcW w:w="1276" w:type="dxa"/>
            <w:vAlign w:val="center"/>
          </w:tcPr>
          <w:p>
            <w:pPr>
              <w:pStyle w:val="单元格样式2"/>
            </w:pPr>
            <w:r>
              <w:t xml:space="preserve">≥800家</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宣传物业管理条例覆盖率</w:t>
            </w:r>
          </w:p>
        </w:tc>
        <w:tc>
          <w:tcPr>
            <w:tcW w:w="2891" w:type="dxa"/>
            <w:hMerge w:val="restart"/>
            <w:vAlign w:val="center"/>
          </w:tcPr>
          <w:p>
            <w:pPr>
              <w:pStyle w:val="单元格样式2"/>
            </w:pPr>
            <w:r>
              <w:t xml:space="preserve">宣传物业管理覆盖率</w:t>
            </w:r>
          </w:p>
        </w:tc>
        <w:tc>
          <w:tcPr>
            <w:tcW w:w="0" w:type="auto"/>
            <w:hMerge/>
            <w:vAlign w:val="center"/>
          </w:tcPr>
          <w:p>
            <w:pPr/>
          </w:p>
        </w:tc>
        <w:tc>
          <w:tcPr>
            <w:tcW w:w="1276" w:type="dxa"/>
            <w:vAlign w:val="center"/>
          </w:tcPr>
          <w:p>
            <w:pPr>
              <w:pStyle w:val="单元格样式2"/>
            </w:pPr>
            <w:r>
              <w:t xml:space="preserve">≥65%</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智慧物业平台短信发送</w:t>
            </w:r>
          </w:p>
        </w:tc>
        <w:tc>
          <w:tcPr>
            <w:tcW w:w="2891" w:type="dxa"/>
            <w:hMerge w:val="restart"/>
            <w:vAlign w:val="center"/>
          </w:tcPr>
          <w:p>
            <w:pPr>
              <w:pStyle w:val="单元格样式2"/>
            </w:pPr>
            <w:r>
              <w:t xml:space="preserve">智慧物业平台短信发送率</w:t>
            </w:r>
          </w:p>
        </w:tc>
        <w:tc>
          <w:tcPr>
            <w:tcW w:w="0" w:type="auto"/>
            <w:hMerge/>
            <w:vAlign w:val="center"/>
          </w:tcPr>
          <w:p>
            <w:pPr/>
          </w:p>
        </w:tc>
        <w:tc>
          <w:tcPr>
            <w:tcW w:w="1276" w:type="dxa"/>
            <w:vAlign w:val="center"/>
          </w:tcPr>
          <w:p>
            <w:pPr>
              <w:pStyle w:val="单元格样式2"/>
            </w:pPr>
            <w:r>
              <w:t xml:space="preserve">&gt;60%</w:t>
            </w:r>
          </w:p>
        </w:tc>
        <w:tc>
          <w:tcPr>
            <w:tcW w:w="1843" w:type="dxa"/>
            <w:vAlign w:val="center"/>
          </w:tcPr>
          <w:p>
            <w:pPr>
              <w:pStyle w:val="单元格样式2"/>
            </w:pPr>
            <w:r>
              <w:t xml:space="preserve">计划标准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推广物业管理3次</w:t>
            </w:r>
          </w:p>
        </w:tc>
        <w:tc>
          <w:tcPr>
            <w:tcW w:w="2891" w:type="dxa"/>
            <w:hMerge w:val="restart"/>
            <w:vAlign w:val="center"/>
          </w:tcPr>
          <w:p>
            <w:pPr>
              <w:pStyle w:val="单元格样式2"/>
            </w:pPr>
            <w:r>
              <w:t xml:space="preserve">推广物业管理3次</w:t>
            </w:r>
          </w:p>
        </w:tc>
        <w:tc>
          <w:tcPr>
            <w:tcW w:w="0" w:type="auto"/>
            <w:hMerge/>
            <w:vAlign w:val="center"/>
          </w:tcPr>
          <w:p>
            <w:pPr/>
          </w:p>
        </w:tc>
        <w:tc>
          <w:tcPr>
            <w:tcW w:w="1276" w:type="dxa"/>
            <w:vAlign w:val="center"/>
          </w:tcPr>
          <w:p>
            <w:pPr>
              <w:pStyle w:val="单元格样式2"/>
            </w:pPr>
            <w:r>
              <w:t xml:space="preserve">全年</w:t>
            </w:r>
          </w:p>
        </w:tc>
        <w:tc>
          <w:tcPr>
            <w:tcW w:w="1843" w:type="dxa"/>
            <w:vAlign w:val="center"/>
          </w:tcPr>
          <w:p>
            <w:pPr>
              <w:pStyle w:val="单元格样式2"/>
            </w:pPr>
            <w:r>
              <w:t xml:space="preserve">计划标准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提升全社会总体物业管理</w:t>
            </w:r>
          </w:p>
        </w:tc>
        <w:tc>
          <w:tcPr>
            <w:tcW w:w="2891" w:type="dxa"/>
            <w:hMerge w:val="restart"/>
            <w:vAlign w:val="center"/>
          </w:tcPr>
          <w:p>
            <w:pPr>
              <w:pStyle w:val="单元格样式2"/>
            </w:pPr>
            <w:r>
              <w:t xml:space="preserve">为全社会提供全面物业管理</w:t>
            </w:r>
          </w:p>
        </w:tc>
        <w:tc>
          <w:tcPr>
            <w:tcW w:w="0" w:type="auto"/>
            <w:hMerge/>
            <w:vAlign w:val="center"/>
          </w:tcPr>
          <w:p>
            <w:pPr/>
          </w:p>
        </w:tc>
        <w:tc>
          <w:tcPr>
            <w:tcW w:w="1276" w:type="dxa"/>
            <w:vAlign w:val="center"/>
          </w:tcPr>
          <w:p>
            <w:pPr>
              <w:pStyle w:val="单元格样式2"/>
            </w:pPr>
            <w:r>
              <w:t xml:space="preserve">提升</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受益广大物业企业满意度</w:t>
            </w:r>
          </w:p>
        </w:tc>
        <w:tc>
          <w:tcPr>
            <w:tcW w:w="2891" w:type="dxa"/>
            <w:hMerge w:val="restart"/>
            <w:vAlign w:val="center"/>
          </w:tcPr>
          <w:p>
            <w:pPr>
              <w:pStyle w:val="单元格样式2"/>
            </w:pPr>
            <w:r>
              <w:t xml:space="preserve">受益物业企业满意度大大提高</w:t>
            </w:r>
          </w:p>
        </w:tc>
        <w:tc>
          <w:tcPr>
            <w:tcW w:w="0" w:type="auto"/>
            <w:hMerge/>
            <w:vAlign w:val="center"/>
          </w:tcPr>
          <w:p>
            <w:pPr/>
          </w:p>
        </w:tc>
        <w:tc>
          <w:tcPr>
            <w:tcW w:w="1276" w:type="dxa"/>
            <w:vAlign w:val="center"/>
          </w:tcPr>
          <w:p>
            <w:pPr>
              <w:pStyle w:val="单元格样式2"/>
            </w:pPr>
            <w:r>
              <w:t xml:space="preserve">≥70%</w:t>
            </w:r>
          </w:p>
        </w:tc>
        <w:tc>
          <w:tcPr>
            <w:tcW w:w="1843" w:type="dxa"/>
            <w:vAlign w:val="center"/>
          </w:tcPr>
          <w:p>
            <w:pPr>
              <w:pStyle w:val="单元格样式2"/>
            </w:pPr>
            <w:r>
              <w:t xml:space="preserve">历史标准</w:t>
            </w:r>
          </w:p>
        </w:tc>
      </w:tr>
    </w:tbl>
    <w:p>
      <w:pPr/>
    </w:p>
    <w:sectPr>
      <w:type w:val="nextPage"/>
      <w:pgSz w:w="11900" w:h="16840" w:orient="portrait"/>
      <w:pgMar w:top="1984" w:right="1304" w:bottom="1134" w:left="1304"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left"/>
    </w:pPr>
    <w:r>
      <w:fldChar w:fldCharType="begin"/>
    </w:r>
    <w:r>
      <w:instrText xml:space="preserve">PAGE "page number"</w:instrText>
    </w:r>
    <w:r>
      <w:fldChar w:fldCharType="separate"/>
    </w:r>
    <w:r>
      <w:t xml:space="preserve">page number</w:t>
    </w:r>
    <w:r>
      <w:fldChar w:fldCharType="end"/>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right"/>
    </w:pPr>
    <w:r>
      <w:fldChar w:fldCharType="begin"/>
    </w:r>
    <w:r>
      <w:instrText xml:space="preserve">PAGE "page number"</w:instrText>
    </w:r>
    <w:r>
      <w:fldChar w:fldCharType="separate"/>
    </w:r>
    <w:r>
      <w:t xml:space="preserve">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3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5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5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5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5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5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6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6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6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6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6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evenAndOddHeaders/>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单元格样式4">
    <w:name w:val="单元格样式4"/>
    <w:basedOn w:val="Normal"/>
    <w:qFormat/>
    <w:pPr>
      <w:spacing w:before="0" w:after="0"/>
      <w:ind w:firstLine="0"/>
      <w:jc w:val="right"/>
      <w:outlineLvl w:val="9"/>
    </w:pPr>
    <w:rPr>
      <w:rFonts w:ascii="方正书宋_GBK" w:eastAsia="方正书宋_GBK" w:hAnsi="方正书宋_GBK" w:cs="方正书宋_GBK"/>
      <w:sz w:val="21"/>
    </w:rPr>
  </w:style>
  <w:style w:type="paragraph" w:styleId="单元格样式5">
    <w:name w:val="单元格样式5"/>
    <w:basedOn w:val="Normal"/>
    <w:qFormat/>
    <w:pPr>
      <w:spacing w:before="0" w:after="0"/>
      <w:ind w:firstLine="0"/>
      <w:jc w:val="left"/>
      <w:outlineLvl w:val="9"/>
    </w:pPr>
    <w:rPr>
      <w:rFonts w:ascii="方正书宋_GBK" w:eastAsia="方正书宋_GBK" w:hAnsi="方正书宋_GBK" w:cs="方正书宋_GBK"/>
      <w:b/>
      <w:sz w:val="21"/>
    </w:rPr>
  </w:style>
  <w:style w:type="paragraph" w:styleId="单元格样式2">
    <w:name w:val="单元格样式2"/>
    <w:basedOn w:val="Normal"/>
    <w:qFormat/>
    <w:pPr>
      <w:spacing w:before="0" w:after="0"/>
      <w:ind w:firstLine="0"/>
      <w:jc w:val="left"/>
      <w:outlineLvl w:val="9"/>
    </w:pPr>
    <w:rPr>
      <w:rFonts w:ascii="方正书宋_GBK" w:eastAsia="方正书宋_GBK" w:hAnsi="方正书宋_GBK" w:cs="方正书宋_GBK"/>
      <w:sz w:val="21"/>
    </w:rPr>
  </w:style>
  <w:style w:type="paragraph" w:styleId="单元格样式1">
    <w:name w:val="单元格样式1"/>
    <w:basedOn w:val="Normal"/>
    <w:qFormat/>
    <w:pPr>
      <w:spacing w:before="0" w:after="0"/>
      <w:ind w:firstLine="0"/>
      <w:jc w:val="center"/>
      <w:outlineLvl w:val="9"/>
    </w:pPr>
    <w:rPr>
      <w:rFonts w:ascii="方正书宋_GBK" w:eastAsia="方正书宋_GBK" w:hAnsi="方正书宋_GBK" w:cs="方正书宋_GBK"/>
      <w:b/>
      <w:sz w:val="21"/>
    </w:rPr>
  </w:style>
  <w:style w:type="paragraph" w:styleId="单元格样式3">
    <w:name w:val="单元格样式3"/>
    <w:basedOn w:val="Normal"/>
    <w:qFormat/>
    <w:pPr>
      <w:spacing w:before="0" w:after="0"/>
      <w:ind w:firstLine="0"/>
      <w:jc w:val="center"/>
      <w:outlineLvl w:val="9"/>
    </w:pPr>
    <w:rPr>
      <w:rFonts w:ascii="方正书宋_GBK" w:eastAsia="方正书宋_GBK" w:hAnsi="方正书宋_GBK" w:cs="方正书宋_GBK"/>
      <w:sz w:val="21"/>
    </w:rPr>
  </w:style>
  <w:style w:type="paragraph" w:styleId="TOC4">
    <w:name w:val="TOC 4"/>
    <w:basedOn w:val="Normal"/>
    <w:qFormat/>
    <w:pPr>
      <w:ind w:left="720"/>
    </w:pPr>
    <w:rPr/>
  </w:style>
  <w:style w:type="paragraph" w:styleId="TOC1">
    <w:name w:val="TOC 1"/>
    <w:basedOn w:val="Normal"/>
    <w:qFormat/>
    <w:pPr>
      <w:spacing w:before="120" w:line="240"/>
      <w:ind w:firstLine="0"/>
    </w:pPr>
    <w:rPr>
      <w:rFonts w:ascii="Times New Roman" w:eastAsia="方正仿宋_GBK" w:hAnsi="Times New Roman" w:cs="Times New Roman"/>
      <w:color w:val="000000"/>
      <w:sz w:val="28"/>
      <w:lang w:val="en-U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customXml" Target="../customXml/item11.xml" /><Relationship Id="rId12" Type="http://schemas.openxmlformats.org/officeDocument/2006/relationships/customXml" Target="../customXml/item12.xml" /><Relationship Id="rId13" Type="http://schemas.openxmlformats.org/officeDocument/2006/relationships/customXml" Target="../customXml/item13.xml" /><Relationship Id="rId14" Type="http://schemas.openxmlformats.org/officeDocument/2006/relationships/customXml" Target="../customXml/item14.xml" /><Relationship Id="rId15" Type="http://schemas.openxmlformats.org/officeDocument/2006/relationships/customXml" Target="../customXml/item15.xml" /><Relationship Id="rId16" Type="http://schemas.openxmlformats.org/officeDocument/2006/relationships/customXml" Target="../customXml/item16.xml" /><Relationship Id="rId17" Type="http://schemas.openxmlformats.org/officeDocument/2006/relationships/customXml" Target="../customXml/item17.xml" /><Relationship Id="rId18" Type="http://schemas.openxmlformats.org/officeDocument/2006/relationships/customXml" Target="../customXml/item18.xml" /><Relationship Id="rId19" Type="http://schemas.openxmlformats.org/officeDocument/2006/relationships/customXml" Target="../customXml/item19.xml" /><Relationship Id="rId2" Type="http://schemas.openxmlformats.org/officeDocument/2006/relationships/customXml" Target="../customXml/item2.xml" /><Relationship Id="rId20" Type="http://schemas.openxmlformats.org/officeDocument/2006/relationships/customXml" Target="../customXml/item20.xml" /><Relationship Id="rId21" Type="http://schemas.openxmlformats.org/officeDocument/2006/relationships/customXml" Target="../customXml/item21.xml" /><Relationship Id="rId22" Type="http://schemas.openxmlformats.org/officeDocument/2006/relationships/customXml" Target="../customXml/item22.xml" /><Relationship Id="rId23" Type="http://schemas.openxmlformats.org/officeDocument/2006/relationships/customXml" Target="../customXml/item23.xml" /><Relationship Id="rId24" Type="http://schemas.openxmlformats.org/officeDocument/2006/relationships/customXml" Target="../customXml/item24.xml" /><Relationship Id="rId25" Type="http://schemas.openxmlformats.org/officeDocument/2006/relationships/customXml" Target="../customXml/item25.xml" /><Relationship Id="rId26" Type="http://schemas.openxmlformats.org/officeDocument/2006/relationships/customXml" Target="../customXml/item26.xml" /><Relationship Id="rId27" Type="http://schemas.openxmlformats.org/officeDocument/2006/relationships/customXml" Target="../customXml/item27.xml" /><Relationship Id="rId28" Type="http://schemas.openxmlformats.org/officeDocument/2006/relationships/customXml" Target="../customXml/item28.xml" /><Relationship Id="rId29" Type="http://schemas.openxmlformats.org/officeDocument/2006/relationships/customXml" Target="../customXml/item29.xml" /><Relationship Id="rId3" Type="http://schemas.openxmlformats.org/officeDocument/2006/relationships/customXml" Target="../customXml/item3.xml" /><Relationship Id="rId30" Type="http://schemas.openxmlformats.org/officeDocument/2006/relationships/customXml" Target="../customXml/item30.xml" /><Relationship Id="rId31" Type="http://schemas.openxmlformats.org/officeDocument/2006/relationships/customXml" Target="../customXml/item31.xml" /><Relationship Id="rId32" Type="http://schemas.openxmlformats.org/officeDocument/2006/relationships/customXml" Target="../customXml/item32.xml" /><Relationship Id="rId33" Type="http://schemas.openxmlformats.org/officeDocument/2006/relationships/customXml" Target="../customXml/item33.xml" /><Relationship Id="rId34" Type="http://schemas.openxmlformats.org/officeDocument/2006/relationships/customXml" Target="../customXml/item34.xml" /><Relationship Id="rId35" Type="http://schemas.openxmlformats.org/officeDocument/2006/relationships/customXml" Target="../customXml/item35.xml" /><Relationship Id="rId36" Type="http://schemas.openxmlformats.org/officeDocument/2006/relationships/customXml" Target="../customXml/item36.xml" /><Relationship Id="rId37" Type="http://schemas.openxmlformats.org/officeDocument/2006/relationships/customXml" Target="../customXml/item37.xml" /><Relationship Id="rId38" Type="http://schemas.openxmlformats.org/officeDocument/2006/relationships/customXml" Target="../customXml/item38.xml" /><Relationship Id="rId39" Type="http://schemas.openxmlformats.org/officeDocument/2006/relationships/customXml" Target="../customXml/item39.xml" /><Relationship Id="rId4" Type="http://schemas.openxmlformats.org/officeDocument/2006/relationships/customXml" Target="../customXml/item4.xml" /><Relationship Id="rId40" Type="http://schemas.openxmlformats.org/officeDocument/2006/relationships/customXml" Target="../customXml/item40.xml" /><Relationship Id="rId41" Type="http://schemas.openxmlformats.org/officeDocument/2006/relationships/customXml" Target="../customXml/item41.xml" /><Relationship Id="rId42" Type="http://schemas.openxmlformats.org/officeDocument/2006/relationships/customXml" Target="../customXml/item42.xml" /><Relationship Id="rId43" Type="http://schemas.openxmlformats.org/officeDocument/2006/relationships/customXml" Target="../customXml/item43.xml" /><Relationship Id="rId44" Type="http://schemas.openxmlformats.org/officeDocument/2006/relationships/customXml" Target="../customXml/item44.xml" /><Relationship Id="rId45" Type="http://schemas.openxmlformats.org/officeDocument/2006/relationships/customXml" Target="../customXml/item45.xml" /><Relationship Id="rId46" Type="http://schemas.openxmlformats.org/officeDocument/2006/relationships/customXml" Target="../customXml/item46.xml" /><Relationship Id="rId47" Type="http://schemas.openxmlformats.org/officeDocument/2006/relationships/customXml" Target="../customXml/item47.xml" /><Relationship Id="rId48" Type="http://schemas.openxmlformats.org/officeDocument/2006/relationships/customXml" Target="../customXml/item48.xml" /><Relationship Id="rId49" Type="http://schemas.openxmlformats.org/officeDocument/2006/relationships/customXml" Target="../customXml/item49.xml" /><Relationship Id="rId5" Type="http://schemas.openxmlformats.org/officeDocument/2006/relationships/customXml" Target="../customXml/item5.xml" /><Relationship Id="rId50" Type="http://schemas.openxmlformats.org/officeDocument/2006/relationships/customXml" Target="../customXml/item50.xml" /><Relationship Id="rId51" Type="http://schemas.openxmlformats.org/officeDocument/2006/relationships/customXml" Target="../customXml/item51.xml" /><Relationship Id="rId52" Type="http://schemas.openxmlformats.org/officeDocument/2006/relationships/customXml" Target="../customXml/item52.xml" /><Relationship Id="rId53" Type="http://schemas.openxmlformats.org/officeDocument/2006/relationships/customXml" Target="../customXml/item53.xml" /><Relationship Id="rId54" Type="http://schemas.openxmlformats.org/officeDocument/2006/relationships/customXml" Target="../customXml/item54.xml" /><Relationship Id="rId55" Type="http://schemas.openxmlformats.org/officeDocument/2006/relationships/customXml" Target="../customXml/item55.xml" /><Relationship Id="rId56" Type="http://schemas.openxmlformats.org/officeDocument/2006/relationships/customXml" Target="../customXml/item56.xml" /><Relationship Id="rId57" Type="http://schemas.openxmlformats.org/officeDocument/2006/relationships/customXml" Target="../customXml/item57.xml" /><Relationship Id="rId58" Type="http://schemas.openxmlformats.org/officeDocument/2006/relationships/customXml" Target="../customXml/item58.xml" /><Relationship Id="rId59" Type="http://schemas.openxmlformats.org/officeDocument/2006/relationships/customXml" Target="../customXml/item59.xml" /><Relationship Id="rId6" Type="http://schemas.openxmlformats.org/officeDocument/2006/relationships/customXml" Target="../customXml/item6.xml" /><Relationship Id="rId60" Type="http://schemas.openxmlformats.org/officeDocument/2006/relationships/customXml" Target="../customXml/item60.xml" /><Relationship Id="rId61" Type="http://schemas.openxmlformats.org/officeDocument/2006/relationships/customXml" Target="../customXml/item61.xml" /><Relationship Id="rId62" Type="http://schemas.openxmlformats.org/officeDocument/2006/relationships/customXml" Target="../customXml/item62.xml" /><Relationship Id="rId63" Type="http://schemas.openxmlformats.org/officeDocument/2006/relationships/customXml" Target="../customXml/item63.xml" /><Relationship Id="rId64" Type="http://schemas.openxmlformats.org/officeDocument/2006/relationships/customXml" Target="../customXml/item64.xml" /><Relationship Id="rId65" Type="http://schemas.openxmlformats.org/officeDocument/2006/relationships/customXml" Target="../customXml/item65.xml" /><Relationship Id="rId66" Type="http://schemas.openxmlformats.org/officeDocument/2006/relationships/customXml" Target="../customXml/item66.xml" /><Relationship Id="rId67" Type="http://schemas.openxmlformats.org/officeDocument/2006/relationships/customXml" Target="../customXml/item67.xml" /><Relationship Id="rId68" Type="http://schemas.openxmlformats.org/officeDocument/2006/relationships/customXml" Target="../customXml/item68.xml" /><Relationship Id="rId69" Type="http://schemas.openxmlformats.org/officeDocument/2006/relationships/customXml" Target="../customXml/item69.xml" /><Relationship Id="rId7" Type="http://schemas.openxmlformats.org/officeDocument/2006/relationships/customXml" Target="../customXml/item7.xml" /><Relationship Id="rId70" Type="http://schemas.openxmlformats.org/officeDocument/2006/relationships/customXml" Target="../customXml/item70.xml" /><Relationship Id="rId71" Type="http://schemas.openxmlformats.org/officeDocument/2006/relationships/customXml" Target="../customXml/item71.xml" /><Relationship Id="rId72" Type="http://schemas.openxmlformats.org/officeDocument/2006/relationships/customXml" Target="../customXml/item72.xml" /><Relationship Id="rId73" Type="http://schemas.openxmlformats.org/officeDocument/2006/relationships/customXml" Target="../customXml/item73.xml" /><Relationship Id="rId74" Type="http://schemas.openxmlformats.org/officeDocument/2006/relationships/customXml" Target="../customXml/item74.xml" /><Relationship Id="rId75" Type="http://schemas.openxmlformats.org/officeDocument/2006/relationships/customXml" Target="../customXml/item75.xml" /><Relationship Id="rId76" Type="http://schemas.openxmlformats.org/officeDocument/2006/relationships/customXml" Target="../customXml/item76.xml" /><Relationship Id="rId77" Type="http://schemas.openxmlformats.org/officeDocument/2006/relationships/footer" Target="footer1.xml" /><Relationship Id="rId78" Type="http://schemas.openxmlformats.org/officeDocument/2006/relationships/footer" Target="footer2.xml" /><Relationship Id="rId79" Type="http://schemas.openxmlformats.org/officeDocument/2006/relationships/theme" Target="theme/theme1.xml" /><Relationship Id="rId8" Type="http://schemas.openxmlformats.org/officeDocument/2006/relationships/customXml" Target="../customXml/item8.xml" /><Relationship Id="rId80" Type="http://schemas.openxmlformats.org/officeDocument/2006/relationships/styles" Target="styles.xml" /><Relationship Id="rId81" Type="http://schemas.openxmlformats.org/officeDocument/2006/relationships/webSettings" Target="webSettings.xml" /><Relationship Id="rId82" Type="http://schemas.openxmlformats.org/officeDocument/2006/relationships/numbering" Target="numbering.xml" /><Relationship Id="rId83" Type="http://schemas.openxmlformats.org/officeDocument/2006/relationships/settings" Target="settings.xml" /><Relationship Id="rId9" Type="http://schemas.openxmlformats.org/officeDocument/2006/relationships/customXml" Target="../customXml/item9.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10.xml.rels>&#65279;<?xml version="1.0" encoding="utf-8"?><Relationships xmlns="http://schemas.openxmlformats.org/package/2006/relationships"><Relationship Id="rId1" Type="http://schemas.openxmlformats.org/officeDocument/2006/relationships/customXmlProps" Target="itemProps10.xml" /></Relationships>
</file>

<file path=customXml/_rels/item11.xml.rels>&#65279;<?xml version="1.0" encoding="utf-8"?><Relationships xmlns="http://schemas.openxmlformats.org/package/2006/relationships"><Relationship Id="rId1" Type="http://schemas.openxmlformats.org/officeDocument/2006/relationships/customXmlProps" Target="itemProps11.xml" /></Relationships>
</file>

<file path=customXml/_rels/item12.xml.rels>&#65279;<?xml version="1.0" encoding="utf-8"?><Relationships xmlns="http://schemas.openxmlformats.org/package/2006/relationships"><Relationship Id="rId1" Type="http://schemas.openxmlformats.org/officeDocument/2006/relationships/customXmlProps" Target="itemProps12.xml" /></Relationships>
</file>

<file path=customXml/_rels/item13.xml.rels>&#65279;<?xml version="1.0" encoding="utf-8"?><Relationships xmlns="http://schemas.openxmlformats.org/package/2006/relationships"><Relationship Id="rId1" Type="http://schemas.openxmlformats.org/officeDocument/2006/relationships/customXmlProps" Target="itemProps13.xml" /></Relationships>
</file>

<file path=customXml/_rels/item14.xml.rels>&#65279;<?xml version="1.0" encoding="utf-8"?><Relationships xmlns="http://schemas.openxmlformats.org/package/2006/relationships"><Relationship Id="rId1" Type="http://schemas.openxmlformats.org/officeDocument/2006/relationships/customXmlProps" Target="itemProps14.xml" /></Relationships>
</file>

<file path=customXml/_rels/item15.xml.rels>&#65279;<?xml version="1.0" encoding="utf-8"?><Relationships xmlns="http://schemas.openxmlformats.org/package/2006/relationships"><Relationship Id="rId1" Type="http://schemas.openxmlformats.org/officeDocument/2006/relationships/customXmlProps" Target="itemProps15.xml" /></Relationships>
</file>

<file path=customXml/_rels/item16.xml.rels>&#65279;<?xml version="1.0" encoding="utf-8"?><Relationships xmlns="http://schemas.openxmlformats.org/package/2006/relationships"><Relationship Id="rId1" Type="http://schemas.openxmlformats.org/officeDocument/2006/relationships/customXmlProps" Target="itemProps16.xml" /></Relationships>
</file>

<file path=customXml/_rels/item17.xml.rels>&#65279;<?xml version="1.0" encoding="utf-8"?><Relationships xmlns="http://schemas.openxmlformats.org/package/2006/relationships"><Relationship Id="rId1" Type="http://schemas.openxmlformats.org/officeDocument/2006/relationships/customXmlProps" Target="itemProps17.xml" /></Relationships>
</file>

<file path=customXml/_rels/item18.xml.rels>&#65279;<?xml version="1.0" encoding="utf-8"?><Relationships xmlns="http://schemas.openxmlformats.org/package/2006/relationships"><Relationship Id="rId1" Type="http://schemas.openxmlformats.org/officeDocument/2006/relationships/customXmlProps" Target="itemProps18.xml" /></Relationships>
</file>

<file path=customXml/_rels/item19.xml.rels>&#65279;<?xml version="1.0" encoding="utf-8"?><Relationships xmlns="http://schemas.openxmlformats.org/package/2006/relationships"><Relationship Id="rId1" Type="http://schemas.openxmlformats.org/officeDocument/2006/relationships/customXmlProps" Target="itemProps19.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20.xml.rels>&#65279;<?xml version="1.0" encoding="utf-8"?><Relationships xmlns="http://schemas.openxmlformats.org/package/2006/relationships"><Relationship Id="rId1" Type="http://schemas.openxmlformats.org/officeDocument/2006/relationships/customXmlProps" Target="itemProps20.xml" /></Relationships>
</file>

<file path=customXml/_rels/item21.xml.rels>&#65279;<?xml version="1.0" encoding="utf-8"?><Relationships xmlns="http://schemas.openxmlformats.org/package/2006/relationships"><Relationship Id="rId1" Type="http://schemas.openxmlformats.org/officeDocument/2006/relationships/customXmlProps" Target="itemProps21.xml" /></Relationships>
</file>

<file path=customXml/_rels/item22.xml.rels>&#65279;<?xml version="1.0" encoding="utf-8"?><Relationships xmlns="http://schemas.openxmlformats.org/package/2006/relationships"><Relationship Id="rId1" Type="http://schemas.openxmlformats.org/officeDocument/2006/relationships/customXmlProps" Target="itemProps22.xml" /></Relationships>
</file>

<file path=customXml/_rels/item23.xml.rels>&#65279;<?xml version="1.0" encoding="utf-8"?><Relationships xmlns="http://schemas.openxmlformats.org/package/2006/relationships"><Relationship Id="rId1" Type="http://schemas.openxmlformats.org/officeDocument/2006/relationships/customXmlProps" Target="itemProps23.xml" /></Relationships>
</file>

<file path=customXml/_rels/item24.xml.rels>&#65279;<?xml version="1.0" encoding="utf-8"?><Relationships xmlns="http://schemas.openxmlformats.org/package/2006/relationships"><Relationship Id="rId1" Type="http://schemas.openxmlformats.org/officeDocument/2006/relationships/customXmlProps" Target="itemProps24.xml" /></Relationships>
</file>

<file path=customXml/_rels/item25.xml.rels>&#65279;<?xml version="1.0" encoding="utf-8"?><Relationships xmlns="http://schemas.openxmlformats.org/package/2006/relationships"><Relationship Id="rId1" Type="http://schemas.openxmlformats.org/officeDocument/2006/relationships/customXmlProps" Target="itemProps25.xml" /></Relationships>
</file>

<file path=customXml/_rels/item26.xml.rels>&#65279;<?xml version="1.0" encoding="utf-8"?><Relationships xmlns="http://schemas.openxmlformats.org/package/2006/relationships"><Relationship Id="rId1" Type="http://schemas.openxmlformats.org/officeDocument/2006/relationships/customXmlProps" Target="itemProps26.xml" /></Relationships>
</file>

<file path=customXml/_rels/item27.xml.rels>&#65279;<?xml version="1.0" encoding="utf-8"?><Relationships xmlns="http://schemas.openxmlformats.org/package/2006/relationships"><Relationship Id="rId1" Type="http://schemas.openxmlformats.org/officeDocument/2006/relationships/customXmlProps" Target="itemProps27.xml" /></Relationships>
</file>

<file path=customXml/_rels/item28.xml.rels>&#65279;<?xml version="1.0" encoding="utf-8"?><Relationships xmlns="http://schemas.openxmlformats.org/package/2006/relationships"><Relationship Id="rId1" Type="http://schemas.openxmlformats.org/officeDocument/2006/relationships/customXmlProps" Target="itemProps28.xml" /></Relationships>
</file>

<file path=customXml/_rels/item29.xml.rels>&#65279;<?xml version="1.0" encoding="utf-8"?><Relationships xmlns="http://schemas.openxmlformats.org/package/2006/relationships"><Relationship Id="rId1" Type="http://schemas.openxmlformats.org/officeDocument/2006/relationships/customXmlProps" Target="itemProps29.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30.xml.rels>&#65279;<?xml version="1.0" encoding="utf-8"?><Relationships xmlns="http://schemas.openxmlformats.org/package/2006/relationships"><Relationship Id="rId1" Type="http://schemas.openxmlformats.org/officeDocument/2006/relationships/customXmlProps" Target="itemProps30.xml" /></Relationships>
</file>

<file path=customXml/_rels/item31.xml.rels>&#65279;<?xml version="1.0" encoding="utf-8"?><Relationships xmlns="http://schemas.openxmlformats.org/package/2006/relationships"><Relationship Id="rId1" Type="http://schemas.openxmlformats.org/officeDocument/2006/relationships/customXmlProps" Target="itemProps31.xml" /></Relationships>
</file>

<file path=customXml/_rels/item32.xml.rels>&#65279;<?xml version="1.0" encoding="utf-8"?><Relationships xmlns="http://schemas.openxmlformats.org/package/2006/relationships"><Relationship Id="rId1" Type="http://schemas.openxmlformats.org/officeDocument/2006/relationships/customXmlProps" Target="itemProps32.xml" /></Relationships>
</file>

<file path=customXml/_rels/item33.xml.rels>&#65279;<?xml version="1.0" encoding="utf-8"?><Relationships xmlns="http://schemas.openxmlformats.org/package/2006/relationships"><Relationship Id="rId1" Type="http://schemas.openxmlformats.org/officeDocument/2006/relationships/customXmlProps" Target="itemProps33.xml" /></Relationships>
</file>

<file path=customXml/_rels/item34.xml.rels>&#65279;<?xml version="1.0" encoding="utf-8"?><Relationships xmlns="http://schemas.openxmlformats.org/package/2006/relationships"><Relationship Id="rId1" Type="http://schemas.openxmlformats.org/officeDocument/2006/relationships/customXmlProps" Target="itemProps34.xml" /></Relationships>
</file>

<file path=customXml/_rels/item35.xml.rels>&#65279;<?xml version="1.0" encoding="utf-8"?><Relationships xmlns="http://schemas.openxmlformats.org/package/2006/relationships"><Relationship Id="rId1" Type="http://schemas.openxmlformats.org/officeDocument/2006/relationships/customXmlProps" Target="itemProps35.xml" /></Relationships>
</file>

<file path=customXml/_rels/item36.xml.rels>&#65279;<?xml version="1.0" encoding="utf-8"?><Relationships xmlns="http://schemas.openxmlformats.org/package/2006/relationships"><Relationship Id="rId1" Type="http://schemas.openxmlformats.org/officeDocument/2006/relationships/customXmlProps" Target="itemProps36.xml" /></Relationships>
</file>

<file path=customXml/_rels/item37.xml.rels>&#65279;<?xml version="1.0" encoding="utf-8"?><Relationships xmlns="http://schemas.openxmlformats.org/package/2006/relationships"><Relationship Id="rId1" Type="http://schemas.openxmlformats.org/officeDocument/2006/relationships/customXmlProps" Target="itemProps37.xml" /></Relationships>
</file>

<file path=customXml/_rels/item38.xml.rels>&#65279;<?xml version="1.0" encoding="utf-8"?><Relationships xmlns="http://schemas.openxmlformats.org/package/2006/relationships"><Relationship Id="rId1" Type="http://schemas.openxmlformats.org/officeDocument/2006/relationships/customXmlProps" Target="itemProps38.xml" /></Relationships>
</file>

<file path=customXml/_rels/item39.xml.rels>&#65279;<?xml version="1.0" encoding="utf-8"?><Relationships xmlns="http://schemas.openxmlformats.org/package/2006/relationships"><Relationship Id="rId1" Type="http://schemas.openxmlformats.org/officeDocument/2006/relationships/customXmlProps" Target="itemProps39.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40.xml.rels>&#65279;<?xml version="1.0" encoding="utf-8"?><Relationships xmlns="http://schemas.openxmlformats.org/package/2006/relationships"><Relationship Id="rId1" Type="http://schemas.openxmlformats.org/officeDocument/2006/relationships/customXmlProps" Target="itemProps40.xml" /></Relationships>
</file>

<file path=customXml/_rels/item41.xml.rels>&#65279;<?xml version="1.0" encoding="utf-8"?><Relationships xmlns="http://schemas.openxmlformats.org/package/2006/relationships"><Relationship Id="rId1" Type="http://schemas.openxmlformats.org/officeDocument/2006/relationships/customXmlProps" Target="itemProps41.xml" /></Relationships>
</file>

<file path=customXml/_rels/item42.xml.rels>&#65279;<?xml version="1.0" encoding="utf-8"?><Relationships xmlns="http://schemas.openxmlformats.org/package/2006/relationships"><Relationship Id="rId1" Type="http://schemas.openxmlformats.org/officeDocument/2006/relationships/customXmlProps" Target="itemProps42.xml" /></Relationships>
</file>

<file path=customXml/_rels/item43.xml.rels>&#65279;<?xml version="1.0" encoding="utf-8"?><Relationships xmlns="http://schemas.openxmlformats.org/package/2006/relationships"><Relationship Id="rId1" Type="http://schemas.openxmlformats.org/officeDocument/2006/relationships/customXmlProps" Target="itemProps43.xml" /></Relationships>
</file>

<file path=customXml/_rels/item44.xml.rels>&#65279;<?xml version="1.0" encoding="utf-8"?><Relationships xmlns="http://schemas.openxmlformats.org/package/2006/relationships"><Relationship Id="rId1" Type="http://schemas.openxmlformats.org/officeDocument/2006/relationships/customXmlProps" Target="itemProps44.xml" /></Relationships>
</file>

<file path=customXml/_rels/item45.xml.rels>&#65279;<?xml version="1.0" encoding="utf-8"?><Relationships xmlns="http://schemas.openxmlformats.org/package/2006/relationships"><Relationship Id="rId1" Type="http://schemas.openxmlformats.org/officeDocument/2006/relationships/customXmlProps" Target="itemProps45.xml" /></Relationships>
</file>

<file path=customXml/_rels/item46.xml.rels>&#65279;<?xml version="1.0" encoding="utf-8"?><Relationships xmlns="http://schemas.openxmlformats.org/package/2006/relationships"><Relationship Id="rId1" Type="http://schemas.openxmlformats.org/officeDocument/2006/relationships/customXmlProps" Target="itemProps46.xml" /></Relationships>
</file>

<file path=customXml/_rels/item47.xml.rels>&#65279;<?xml version="1.0" encoding="utf-8"?><Relationships xmlns="http://schemas.openxmlformats.org/package/2006/relationships"><Relationship Id="rId1" Type="http://schemas.openxmlformats.org/officeDocument/2006/relationships/customXmlProps" Target="itemProps47.xml" /></Relationships>
</file>

<file path=customXml/_rels/item48.xml.rels>&#65279;<?xml version="1.0" encoding="utf-8"?><Relationships xmlns="http://schemas.openxmlformats.org/package/2006/relationships"><Relationship Id="rId1" Type="http://schemas.openxmlformats.org/officeDocument/2006/relationships/customXmlProps" Target="itemProps48.xml" /></Relationships>
</file>

<file path=customXml/_rels/item49.xml.rels>&#65279;<?xml version="1.0" encoding="utf-8"?><Relationships xmlns="http://schemas.openxmlformats.org/package/2006/relationships"><Relationship Id="rId1" Type="http://schemas.openxmlformats.org/officeDocument/2006/relationships/customXmlProps" Target="itemProps49.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50.xml.rels>&#65279;<?xml version="1.0" encoding="utf-8"?><Relationships xmlns="http://schemas.openxmlformats.org/package/2006/relationships"><Relationship Id="rId1" Type="http://schemas.openxmlformats.org/officeDocument/2006/relationships/customXmlProps" Target="itemProps50.xml" /></Relationships>
</file>

<file path=customXml/_rels/item51.xml.rels>&#65279;<?xml version="1.0" encoding="utf-8"?><Relationships xmlns="http://schemas.openxmlformats.org/package/2006/relationships"><Relationship Id="rId1" Type="http://schemas.openxmlformats.org/officeDocument/2006/relationships/customXmlProps" Target="itemProps51.xml" /></Relationships>
</file>

<file path=customXml/_rels/item52.xml.rels>&#65279;<?xml version="1.0" encoding="utf-8"?><Relationships xmlns="http://schemas.openxmlformats.org/package/2006/relationships"><Relationship Id="rId1" Type="http://schemas.openxmlformats.org/officeDocument/2006/relationships/customXmlProps" Target="itemProps52.xml" /></Relationships>
</file>

<file path=customXml/_rels/item53.xml.rels>&#65279;<?xml version="1.0" encoding="utf-8"?><Relationships xmlns="http://schemas.openxmlformats.org/package/2006/relationships"><Relationship Id="rId1" Type="http://schemas.openxmlformats.org/officeDocument/2006/relationships/customXmlProps" Target="itemProps53.xml" /></Relationships>
</file>

<file path=customXml/_rels/item54.xml.rels>&#65279;<?xml version="1.0" encoding="utf-8"?><Relationships xmlns="http://schemas.openxmlformats.org/package/2006/relationships"><Relationship Id="rId1" Type="http://schemas.openxmlformats.org/officeDocument/2006/relationships/customXmlProps" Target="itemProps54.xml" /></Relationships>
</file>

<file path=customXml/_rels/item55.xml.rels>&#65279;<?xml version="1.0" encoding="utf-8"?><Relationships xmlns="http://schemas.openxmlformats.org/package/2006/relationships"><Relationship Id="rId1" Type="http://schemas.openxmlformats.org/officeDocument/2006/relationships/customXmlProps" Target="itemProps55.xml" /></Relationships>
</file>

<file path=customXml/_rels/item56.xml.rels>&#65279;<?xml version="1.0" encoding="utf-8"?><Relationships xmlns="http://schemas.openxmlformats.org/package/2006/relationships"><Relationship Id="rId1" Type="http://schemas.openxmlformats.org/officeDocument/2006/relationships/customXmlProps" Target="itemProps56.xml" /></Relationships>
</file>

<file path=customXml/_rels/item57.xml.rels>&#65279;<?xml version="1.0" encoding="utf-8"?><Relationships xmlns="http://schemas.openxmlformats.org/package/2006/relationships"><Relationship Id="rId1" Type="http://schemas.openxmlformats.org/officeDocument/2006/relationships/customXmlProps" Target="itemProps57.xml" /></Relationships>
</file>

<file path=customXml/_rels/item58.xml.rels>&#65279;<?xml version="1.0" encoding="utf-8"?><Relationships xmlns="http://schemas.openxmlformats.org/package/2006/relationships"><Relationship Id="rId1" Type="http://schemas.openxmlformats.org/officeDocument/2006/relationships/customXmlProps" Target="itemProps58.xml" /></Relationships>
</file>

<file path=customXml/_rels/item59.xml.rels>&#65279;<?xml version="1.0" encoding="utf-8"?><Relationships xmlns="http://schemas.openxmlformats.org/package/2006/relationships"><Relationship Id="rId1" Type="http://schemas.openxmlformats.org/officeDocument/2006/relationships/customXmlProps" Target="itemProps59.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60.xml.rels>&#65279;<?xml version="1.0" encoding="utf-8"?><Relationships xmlns="http://schemas.openxmlformats.org/package/2006/relationships"><Relationship Id="rId1" Type="http://schemas.openxmlformats.org/officeDocument/2006/relationships/customXmlProps" Target="itemProps60.xml" /></Relationships>
</file>

<file path=customXml/_rels/item61.xml.rels>&#65279;<?xml version="1.0" encoding="utf-8"?><Relationships xmlns="http://schemas.openxmlformats.org/package/2006/relationships"><Relationship Id="rId1" Type="http://schemas.openxmlformats.org/officeDocument/2006/relationships/customXmlProps" Target="itemProps61.xml" /></Relationships>
</file>

<file path=customXml/_rels/item62.xml.rels>&#65279;<?xml version="1.0" encoding="utf-8"?><Relationships xmlns="http://schemas.openxmlformats.org/package/2006/relationships"><Relationship Id="rId1" Type="http://schemas.openxmlformats.org/officeDocument/2006/relationships/customXmlProps" Target="itemProps62.xml" /></Relationships>
</file>

<file path=customXml/_rels/item63.xml.rels>&#65279;<?xml version="1.0" encoding="utf-8"?><Relationships xmlns="http://schemas.openxmlformats.org/package/2006/relationships"><Relationship Id="rId1" Type="http://schemas.openxmlformats.org/officeDocument/2006/relationships/customXmlProps" Target="itemProps63.xml" /></Relationships>
</file>

<file path=customXml/_rels/item64.xml.rels>&#65279;<?xml version="1.0" encoding="utf-8"?><Relationships xmlns="http://schemas.openxmlformats.org/package/2006/relationships"><Relationship Id="rId1" Type="http://schemas.openxmlformats.org/officeDocument/2006/relationships/customXmlProps" Target="itemProps64.xml" /></Relationships>
</file>

<file path=customXml/_rels/item65.xml.rels>&#65279;<?xml version="1.0" encoding="utf-8"?><Relationships xmlns="http://schemas.openxmlformats.org/package/2006/relationships"><Relationship Id="rId1" Type="http://schemas.openxmlformats.org/officeDocument/2006/relationships/customXmlProps" Target="itemProps65.xml" /></Relationships>
</file>

<file path=customXml/_rels/item66.xml.rels>&#65279;<?xml version="1.0" encoding="utf-8"?><Relationships xmlns="http://schemas.openxmlformats.org/package/2006/relationships"><Relationship Id="rId1" Type="http://schemas.openxmlformats.org/officeDocument/2006/relationships/customXmlProps" Target="itemProps66.xml" /></Relationships>
</file>

<file path=customXml/_rels/item67.xml.rels>&#65279;<?xml version="1.0" encoding="utf-8"?><Relationships xmlns="http://schemas.openxmlformats.org/package/2006/relationships"><Relationship Id="rId1" Type="http://schemas.openxmlformats.org/officeDocument/2006/relationships/customXmlProps" Target="itemProps67.xml" /></Relationships>
</file>

<file path=customXml/_rels/item68.xml.rels>&#65279;<?xml version="1.0" encoding="utf-8"?><Relationships xmlns="http://schemas.openxmlformats.org/package/2006/relationships"><Relationship Id="rId1" Type="http://schemas.openxmlformats.org/officeDocument/2006/relationships/customXmlProps" Target="itemProps68.xml" /></Relationships>
</file>

<file path=customXml/_rels/item69.xml.rels>&#65279;<?xml version="1.0" encoding="utf-8"?><Relationships xmlns="http://schemas.openxmlformats.org/package/2006/relationships"><Relationship Id="rId1" Type="http://schemas.openxmlformats.org/officeDocument/2006/relationships/customXmlProps" Target="itemProps69.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70.xml.rels>&#65279;<?xml version="1.0" encoding="utf-8"?><Relationships xmlns="http://schemas.openxmlformats.org/package/2006/relationships"><Relationship Id="rId1" Type="http://schemas.openxmlformats.org/officeDocument/2006/relationships/customXmlProps" Target="itemProps70.xml" /></Relationships>
</file>

<file path=customXml/_rels/item71.xml.rels>&#65279;<?xml version="1.0" encoding="utf-8"?><Relationships xmlns="http://schemas.openxmlformats.org/package/2006/relationships"><Relationship Id="rId1" Type="http://schemas.openxmlformats.org/officeDocument/2006/relationships/customXmlProps" Target="itemProps71.xml" /></Relationships>
</file>

<file path=customXml/_rels/item72.xml.rels>&#65279;<?xml version="1.0" encoding="utf-8"?><Relationships xmlns="http://schemas.openxmlformats.org/package/2006/relationships"><Relationship Id="rId1" Type="http://schemas.openxmlformats.org/officeDocument/2006/relationships/customXmlProps" Target="itemProps72.xml" /></Relationships>
</file>

<file path=customXml/_rels/item73.xml.rels>&#65279;<?xml version="1.0" encoding="utf-8"?><Relationships xmlns="http://schemas.openxmlformats.org/package/2006/relationships"><Relationship Id="rId1" Type="http://schemas.openxmlformats.org/officeDocument/2006/relationships/customXmlProps" Target="itemProps73.xml" /></Relationships>
</file>

<file path=customXml/_rels/item74.xml.rels>&#65279;<?xml version="1.0" encoding="utf-8"?><Relationships xmlns="http://schemas.openxmlformats.org/package/2006/relationships"><Relationship Id="rId1" Type="http://schemas.openxmlformats.org/officeDocument/2006/relationships/customXmlProps" Target="itemProps74.xml" /></Relationships>
</file>

<file path=customXml/_rels/item75.xml.rels>&#65279;<?xml version="1.0" encoding="utf-8"?><Relationships xmlns="http://schemas.openxmlformats.org/package/2006/relationships"><Relationship Id="rId1" Type="http://schemas.openxmlformats.org/officeDocument/2006/relationships/customXmlProps" Target="itemProps75.xml" /></Relationships>
</file>

<file path=customXml/_rels/item76.xml.rels>&#65279;<?xml version="1.0" encoding="utf-8"?><Relationships xmlns="http://schemas.openxmlformats.org/package/2006/relationships"><Relationship Id="rId1" Type="http://schemas.openxmlformats.org/officeDocument/2006/relationships/customXmlProps" Target="itemProps76.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_rels/item9.xml.rels>&#65279;<?xml version="1.0" encoding="utf-8"?><Relationships xmlns="http://schemas.openxmlformats.org/package/2006/relationships"><Relationship Id="rId1" Type="http://schemas.openxmlformats.org/officeDocument/2006/relationships/customXmlProps" Target="itemProps9.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2023-01-17T09:54:04Z</dcterms:created>
  <dcterms:modified xsi:type="dcterms:W3CDTF">2023-01-17T01:54:04Z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2023-01-17T09:54:05Z</dcterms:created>
  <dcterms:modified xsi:type="dcterms:W3CDTF">2023-01-17T01:54:05Z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2023-01-17T09:54:05Z</dcterms:created>
  <dcterms:modified xsi:type="dcterms:W3CDTF">2023-01-17T01:54:05Z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2023-01-17T09:54:06Z</dcterms:created>
  <dcterms:modified xsi:type="dcterms:W3CDTF">2023-01-17T01:54:05Z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2023-01-17T09:54:06Z</dcterms:created>
  <dcterms:modified xsi:type="dcterms:W3CDTF">2023-01-17T01:54:06Z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2023-01-17T09:54:06Z</dcterms:created>
  <dcterms:modified xsi:type="dcterms:W3CDTF">2023-01-17T01:54:06Z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2023-01-17T09:54:06Z</dcterms:created>
  <dcterms:modified xsi:type="dcterms:W3CDTF">2023-01-17T01:54:06Z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2023-01-17T09:54:07Z</dcterms:created>
  <dcterms:modified xsi:type="dcterms:W3CDTF">2023-01-17T01:54:07Z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2023-01-17T09:54:07Z</dcterms:created>
  <dcterms:modified xsi:type="dcterms:W3CDTF">2023-01-17T01:54:07Z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2023-01-17T09:54:07Z</dcterms:created>
  <dcterms:modified xsi:type="dcterms:W3CDTF">2023-01-17T01:54:07Z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2023-01-17T09:54:07Z</dcterms:created>
  <dcterms:modified xsi:type="dcterms:W3CDTF">2023-01-17T01:54:07Z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2023-01-17T09:54:04Z</dcterms:created>
  <dcterms:modified xsi:type="dcterms:W3CDTF">2023-01-17T01:54:04Z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2023-01-17T09:54:08Z</dcterms:created>
  <dcterms:modified xsi:type="dcterms:W3CDTF">2023-01-17T01:54:08Z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2023-01-17T09:54:08Z</dcterms:created>
  <dcterms:modified xsi:type="dcterms:W3CDTF">2023-01-17T01:54:08Z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2023-01-17T09:54:08Z</dcterms:created>
  <dcterms:modified xsi:type="dcterms:W3CDTF">2023-01-17T01:54:08Z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2023-01-17T09:54:08Z</dcterms:created>
  <dcterms:modified xsi:type="dcterms:W3CDTF">2023-01-17T01:54:08Z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2023-01-17T09:54:09Z</dcterms:created>
  <dcterms:modified xsi:type="dcterms:W3CDTF">2023-01-17T01:54:09Z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2023-01-17T09:54:09Z</dcterms:created>
  <dcterms:modified xsi:type="dcterms:W3CDTF">2023-01-17T01:54:09Z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2023-01-17T09:54:09Z</dcterms:created>
  <dcterms:modified xsi:type="dcterms:W3CDTF">2023-01-17T01:54:09Z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2023-01-17T09:54:09Z</dcterms:created>
  <dcterms:modified xsi:type="dcterms:W3CDTF">2023-01-17T01:54:09Z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2023-01-17T09:54:10Z</dcterms:created>
  <dcterms:modified xsi:type="dcterms:W3CDTF">2023-01-17T01:54:10Z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2023-01-17T09:54:10Z</dcterms:created>
  <dcterms:modified xsi:type="dcterms:W3CDTF">2023-01-17T01:54:10Z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2023-01-17T09:54:04Z</dcterms:created>
  <dcterms:modified xsi:type="dcterms:W3CDTF">2023-01-17T01:54:04Z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2023-01-17T09:54:10Z</dcterms:created>
  <dcterms:modified xsi:type="dcterms:W3CDTF">2023-01-17T01:54:10Z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2023-01-17T09:54:10Z</dcterms:created>
  <dcterms:modified xsi:type="dcterms:W3CDTF">2023-01-17T01:54:10Z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2023-01-17T09:54:11Z</dcterms:created>
  <dcterms:modified xsi:type="dcterms:W3CDTF">2023-01-17T01:54:11Z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2023-01-17T09:54:11Z</dcterms:created>
  <dcterms:modified xsi:type="dcterms:W3CDTF">2023-01-17T01:54:11Z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2023-01-17T09:54:11Z</dcterms:created>
  <dcterms:modified xsi:type="dcterms:W3CDTF">2023-01-17T01:54:11Z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2023-01-17T09:54:11Z</dcterms:created>
  <dcterms:modified xsi:type="dcterms:W3CDTF">2023-01-17T01:54:11Z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2023-01-17T09:54:12Z</dcterms:created>
  <dcterms:modified xsi:type="dcterms:W3CDTF">2023-01-17T01:54:12Z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2023-01-17T09:54:12Z</dcterms:created>
  <dcterms:modified xsi:type="dcterms:W3CDTF">2023-01-17T01:54:12Z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2023-01-17T09:54:12Z</dcterms:created>
  <dcterms:modified xsi:type="dcterms:W3CDTF">2023-01-17T01:54:12Z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2023-01-17T09:54:13Z</dcterms:created>
  <dcterms:modified xsi:type="dcterms:W3CDTF">2023-01-17T01:54:12Z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2023-01-17T09:54:04Z</dcterms:created>
  <dcterms:modified xsi:type="dcterms:W3CDTF">2023-01-17T01:54:04Z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2023-01-17T09:54:13Z</dcterms:created>
  <dcterms:modified xsi:type="dcterms:W3CDTF">2023-01-17T01:54:13Z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2023-01-17T09:54:13Z</dcterms:created>
  <dcterms:modified xsi:type="dcterms:W3CDTF">2023-01-17T01:54:13Z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2023-01-17T09:54:13Z</dcterms:created>
  <dcterms:modified xsi:type="dcterms:W3CDTF">2023-01-17T01:54:13Z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2023-01-17T09:54:05Z</dcterms:created>
  <dcterms:modified xsi:type="dcterms:W3CDTF">2023-01-17T01:54:05Z</dcterms:modified>
</cp:core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
  <ds:schemaRefs/>
</ds:datastoreItem>
</file>

<file path=customXml/itemProps11.xml><?xml version="1.0" encoding="utf-8"?>
<ds:datastoreItem xmlns:ds="http://schemas.openxmlformats.org/officeDocument/2006/customXml" ds:itemID="">
  <ds:schemaRefs/>
</ds:datastoreItem>
</file>

<file path=customXml/itemProps12.xml><?xml version="1.0" encoding="utf-8"?>
<ds:datastoreItem xmlns:ds="http://schemas.openxmlformats.org/officeDocument/2006/customXml" ds:itemID="">
  <ds:schemaRefs/>
</ds:datastoreItem>
</file>

<file path=customXml/itemProps13.xml><?xml version="1.0" encoding="utf-8"?>
<ds:datastoreItem xmlns:ds="http://schemas.openxmlformats.org/officeDocument/2006/customXml" ds:itemID="">
  <ds:schemaRefs/>
</ds:datastoreItem>
</file>

<file path=customXml/itemProps14.xml><?xml version="1.0" encoding="utf-8"?>
<ds:datastoreItem xmlns:ds="http://schemas.openxmlformats.org/officeDocument/2006/customXml" ds:itemID="">
  <ds:schemaRefs/>
</ds:datastoreItem>
</file>

<file path=customXml/itemProps15.xml><?xml version="1.0" encoding="utf-8"?>
<ds:datastoreItem xmlns:ds="http://schemas.openxmlformats.org/officeDocument/2006/customXml" ds:itemID="">
  <ds:schemaRefs/>
</ds:datastoreItem>
</file>

<file path=customXml/itemProps16.xml><?xml version="1.0" encoding="utf-8"?>
<ds:datastoreItem xmlns:ds="http://schemas.openxmlformats.org/officeDocument/2006/customXml" ds:itemID="">
  <ds:schemaRefs/>
</ds:datastoreItem>
</file>

<file path=customXml/itemProps17.xml><?xml version="1.0" encoding="utf-8"?>
<ds:datastoreItem xmlns:ds="http://schemas.openxmlformats.org/officeDocument/2006/customXml" ds:itemID="">
  <ds:schemaRefs/>
</ds:datastoreItem>
</file>

<file path=customXml/itemProps18.xml><?xml version="1.0" encoding="utf-8"?>
<ds:datastoreItem xmlns:ds="http://schemas.openxmlformats.org/officeDocument/2006/customXml" ds:itemID="">
  <ds:schemaRefs/>
</ds:datastoreItem>
</file>

<file path=customXml/itemProps19.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20.xml><?xml version="1.0" encoding="utf-8"?>
<ds:datastoreItem xmlns:ds="http://schemas.openxmlformats.org/officeDocument/2006/customXml" ds:itemID="">
  <ds:schemaRefs/>
</ds:datastoreItem>
</file>

<file path=customXml/itemProps21.xml><?xml version="1.0" encoding="utf-8"?>
<ds:datastoreItem xmlns:ds="http://schemas.openxmlformats.org/officeDocument/2006/customXml" ds:itemID="">
  <ds:schemaRefs/>
</ds:datastoreItem>
</file>

<file path=customXml/itemProps22.xml><?xml version="1.0" encoding="utf-8"?>
<ds:datastoreItem xmlns:ds="http://schemas.openxmlformats.org/officeDocument/2006/customXml" ds:itemID="">
  <ds:schemaRefs/>
</ds:datastoreItem>
</file>

<file path=customXml/itemProps23.xml><?xml version="1.0" encoding="utf-8"?>
<ds:datastoreItem xmlns:ds="http://schemas.openxmlformats.org/officeDocument/2006/customXml" ds:itemID="">
  <ds:schemaRefs/>
</ds:datastoreItem>
</file>

<file path=customXml/itemProps24.xml><?xml version="1.0" encoding="utf-8"?>
<ds:datastoreItem xmlns:ds="http://schemas.openxmlformats.org/officeDocument/2006/customXml" ds:itemID="">
  <ds:schemaRefs/>
</ds:datastoreItem>
</file>

<file path=customXml/itemProps25.xml><?xml version="1.0" encoding="utf-8"?>
<ds:datastoreItem xmlns:ds="http://schemas.openxmlformats.org/officeDocument/2006/customXml" ds:itemID="">
  <ds:schemaRefs/>
</ds:datastoreItem>
</file>

<file path=customXml/itemProps26.xml><?xml version="1.0" encoding="utf-8"?>
<ds:datastoreItem xmlns:ds="http://schemas.openxmlformats.org/officeDocument/2006/customXml" ds:itemID="">
  <ds:schemaRefs/>
</ds:datastoreItem>
</file>

<file path=customXml/itemProps27.xml><?xml version="1.0" encoding="utf-8"?>
<ds:datastoreItem xmlns:ds="http://schemas.openxmlformats.org/officeDocument/2006/customXml" ds:itemID="">
  <ds:schemaRefs/>
</ds:datastoreItem>
</file>

<file path=customXml/itemProps28.xml><?xml version="1.0" encoding="utf-8"?>
<ds:datastoreItem xmlns:ds="http://schemas.openxmlformats.org/officeDocument/2006/customXml" ds:itemID="">
  <ds:schemaRefs/>
</ds:datastoreItem>
</file>

<file path=customXml/itemProps29.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30.xml><?xml version="1.0" encoding="utf-8"?>
<ds:datastoreItem xmlns:ds="http://schemas.openxmlformats.org/officeDocument/2006/customXml" ds:itemID="">
  <ds:schemaRefs/>
</ds:datastoreItem>
</file>

<file path=customXml/itemProps31.xml><?xml version="1.0" encoding="utf-8"?>
<ds:datastoreItem xmlns:ds="http://schemas.openxmlformats.org/officeDocument/2006/customXml" ds:itemID="">
  <ds:schemaRefs/>
</ds:datastoreItem>
</file>

<file path=customXml/itemProps32.xml><?xml version="1.0" encoding="utf-8"?>
<ds:datastoreItem xmlns:ds="http://schemas.openxmlformats.org/officeDocument/2006/customXml" ds:itemID="">
  <ds:schemaRefs/>
</ds:datastoreItem>
</file>

<file path=customXml/itemProps33.xml><?xml version="1.0" encoding="utf-8"?>
<ds:datastoreItem xmlns:ds="http://schemas.openxmlformats.org/officeDocument/2006/customXml" ds:itemID="">
  <ds:schemaRefs/>
</ds:datastoreItem>
</file>

<file path=customXml/itemProps34.xml><?xml version="1.0" encoding="utf-8"?>
<ds:datastoreItem xmlns:ds="http://schemas.openxmlformats.org/officeDocument/2006/customXml" ds:itemID="">
  <ds:schemaRefs/>
</ds:datastoreItem>
</file>

<file path=customXml/itemProps35.xml><?xml version="1.0" encoding="utf-8"?>
<ds:datastoreItem xmlns:ds="http://schemas.openxmlformats.org/officeDocument/2006/customXml" ds:itemID="">
  <ds:schemaRefs/>
</ds:datastoreItem>
</file>

<file path=customXml/itemProps36.xml><?xml version="1.0" encoding="utf-8"?>
<ds:datastoreItem xmlns:ds="http://schemas.openxmlformats.org/officeDocument/2006/customXml" ds:itemID="">
  <ds:schemaRefs/>
</ds:datastoreItem>
</file>

<file path=customXml/itemProps37.xml><?xml version="1.0" encoding="utf-8"?>
<ds:datastoreItem xmlns:ds="http://schemas.openxmlformats.org/officeDocument/2006/customXml" ds:itemID="">
  <ds:schemaRefs/>
</ds:datastoreItem>
</file>

<file path=customXml/itemProps38.xml><?xml version="1.0" encoding="utf-8"?>
<ds:datastoreItem xmlns:ds="http://schemas.openxmlformats.org/officeDocument/2006/customXml" ds:itemID="">
  <ds:schemaRefs/>
</ds:datastoreItem>
</file>

<file path=customXml/itemProps39.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40.xml><?xml version="1.0" encoding="utf-8"?>
<ds:datastoreItem xmlns:ds="http://schemas.openxmlformats.org/officeDocument/2006/customXml" ds:itemID="">
  <ds:schemaRefs/>
</ds:datastoreItem>
</file>

<file path=customXml/itemProps41.xml><?xml version="1.0" encoding="utf-8"?>
<ds:datastoreItem xmlns:ds="http://schemas.openxmlformats.org/officeDocument/2006/customXml" ds:itemID="">
  <ds:schemaRefs/>
</ds:datastoreItem>
</file>

<file path=customXml/itemProps42.xml><?xml version="1.0" encoding="utf-8"?>
<ds:datastoreItem xmlns:ds="http://schemas.openxmlformats.org/officeDocument/2006/customXml" ds:itemID="">
  <ds:schemaRefs/>
</ds:datastoreItem>
</file>

<file path=customXml/itemProps43.xml><?xml version="1.0" encoding="utf-8"?>
<ds:datastoreItem xmlns:ds="http://schemas.openxmlformats.org/officeDocument/2006/customXml" ds:itemID="">
  <ds:schemaRefs/>
</ds:datastoreItem>
</file>

<file path=customXml/itemProps44.xml><?xml version="1.0" encoding="utf-8"?>
<ds:datastoreItem xmlns:ds="http://schemas.openxmlformats.org/officeDocument/2006/customXml" ds:itemID="">
  <ds:schemaRefs/>
</ds:datastoreItem>
</file>

<file path=customXml/itemProps45.xml><?xml version="1.0" encoding="utf-8"?>
<ds:datastoreItem xmlns:ds="http://schemas.openxmlformats.org/officeDocument/2006/customXml" ds:itemID="">
  <ds:schemaRefs/>
</ds:datastoreItem>
</file>

<file path=customXml/itemProps46.xml><?xml version="1.0" encoding="utf-8"?>
<ds:datastoreItem xmlns:ds="http://schemas.openxmlformats.org/officeDocument/2006/customXml" ds:itemID="">
  <ds:schemaRefs/>
</ds:datastoreItem>
</file>

<file path=customXml/itemProps47.xml><?xml version="1.0" encoding="utf-8"?>
<ds:datastoreItem xmlns:ds="http://schemas.openxmlformats.org/officeDocument/2006/customXml" ds:itemID="">
  <ds:schemaRefs/>
</ds:datastoreItem>
</file>

<file path=customXml/itemProps48.xml><?xml version="1.0" encoding="utf-8"?>
<ds:datastoreItem xmlns:ds="http://schemas.openxmlformats.org/officeDocument/2006/customXml" ds:itemID="">
  <ds:schemaRefs/>
</ds:datastoreItem>
</file>

<file path=customXml/itemProps49.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50.xml><?xml version="1.0" encoding="utf-8"?>
<ds:datastoreItem xmlns:ds="http://schemas.openxmlformats.org/officeDocument/2006/customXml" ds:itemID="">
  <ds:schemaRefs/>
</ds:datastoreItem>
</file>

<file path=customXml/itemProps51.xml><?xml version="1.0" encoding="utf-8"?>
<ds:datastoreItem xmlns:ds="http://schemas.openxmlformats.org/officeDocument/2006/customXml" ds:itemID="">
  <ds:schemaRefs/>
</ds:datastoreItem>
</file>

<file path=customXml/itemProps52.xml><?xml version="1.0" encoding="utf-8"?>
<ds:datastoreItem xmlns:ds="http://schemas.openxmlformats.org/officeDocument/2006/customXml" ds:itemID="">
  <ds:schemaRefs/>
</ds:datastoreItem>
</file>

<file path=customXml/itemProps53.xml><?xml version="1.0" encoding="utf-8"?>
<ds:datastoreItem xmlns:ds="http://schemas.openxmlformats.org/officeDocument/2006/customXml" ds:itemID="">
  <ds:schemaRefs/>
</ds:datastoreItem>
</file>

<file path=customXml/itemProps54.xml><?xml version="1.0" encoding="utf-8"?>
<ds:datastoreItem xmlns:ds="http://schemas.openxmlformats.org/officeDocument/2006/customXml" ds:itemID="">
  <ds:schemaRefs/>
</ds:datastoreItem>
</file>

<file path=customXml/itemProps55.xml><?xml version="1.0" encoding="utf-8"?>
<ds:datastoreItem xmlns:ds="http://schemas.openxmlformats.org/officeDocument/2006/customXml" ds:itemID="">
  <ds:schemaRefs/>
</ds:datastoreItem>
</file>

<file path=customXml/itemProps56.xml><?xml version="1.0" encoding="utf-8"?>
<ds:datastoreItem xmlns:ds="http://schemas.openxmlformats.org/officeDocument/2006/customXml" ds:itemID="">
  <ds:schemaRefs/>
</ds:datastoreItem>
</file>

<file path=customXml/itemProps57.xml><?xml version="1.0" encoding="utf-8"?>
<ds:datastoreItem xmlns:ds="http://schemas.openxmlformats.org/officeDocument/2006/customXml" ds:itemID="">
  <ds:schemaRefs/>
</ds:datastoreItem>
</file>

<file path=customXml/itemProps58.xml><?xml version="1.0" encoding="utf-8"?>
<ds:datastoreItem xmlns:ds="http://schemas.openxmlformats.org/officeDocument/2006/customXml" ds:itemID="">
  <ds:schemaRefs/>
</ds:datastoreItem>
</file>

<file path=customXml/itemProps59.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60.xml><?xml version="1.0" encoding="utf-8"?>
<ds:datastoreItem xmlns:ds="http://schemas.openxmlformats.org/officeDocument/2006/customXml" ds:itemID="">
  <ds:schemaRefs/>
</ds:datastoreItem>
</file>

<file path=customXml/itemProps61.xml><?xml version="1.0" encoding="utf-8"?>
<ds:datastoreItem xmlns:ds="http://schemas.openxmlformats.org/officeDocument/2006/customXml" ds:itemID="">
  <ds:schemaRefs/>
</ds:datastoreItem>
</file>

<file path=customXml/itemProps62.xml><?xml version="1.0" encoding="utf-8"?>
<ds:datastoreItem xmlns:ds="http://schemas.openxmlformats.org/officeDocument/2006/customXml" ds:itemID="">
  <ds:schemaRefs/>
</ds:datastoreItem>
</file>

<file path=customXml/itemProps63.xml><?xml version="1.0" encoding="utf-8"?>
<ds:datastoreItem xmlns:ds="http://schemas.openxmlformats.org/officeDocument/2006/customXml" ds:itemID="">
  <ds:schemaRefs/>
</ds:datastoreItem>
</file>

<file path=customXml/itemProps64.xml><?xml version="1.0" encoding="utf-8"?>
<ds:datastoreItem xmlns:ds="http://schemas.openxmlformats.org/officeDocument/2006/customXml" ds:itemID="">
  <ds:schemaRefs/>
</ds:datastoreItem>
</file>

<file path=customXml/itemProps65.xml><?xml version="1.0" encoding="utf-8"?>
<ds:datastoreItem xmlns:ds="http://schemas.openxmlformats.org/officeDocument/2006/customXml" ds:itemID="">
  <ds:schemaRefs/>
</ds:datastoreItem>
</file>

<file path=customXml/itemProps66.xml><?xml version="1.0" encoding="utf-8"?>
<ds:datastoreItem xmlns:ds="http://schemas.openxmlformats.org/officeDocument/2006/customXml" ds:itemID="">
  <ds:schemaRefs/>
</ds:datastoreItem>
</file>

<file path=customXml/itemProps67.xml><?xml version="1.0" encoding="utf-8"?>
<ds:datastoreItem xmlns:ds="http://schemas.openxmlformats.org/officeDocument/2006/customXml" ds:itemID="">
  <ds:schemaRefs/>
</ds:datastoreItem>
</file>

<file path=customXml/itemProps68.xml><?xml version="1.0" encoding="utf-8"?>
<ds:datastoreItem xmlns:ds="http://schemas.openxmlformats.org/officeDocument/2006/customXml" ds:itemID="">
  <ds:schemaRefs/>
</ds:datastoreItem>
</file>

<file path=customXml/itemProps69.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70.xml><?xml version="1.0" encoding="utf-8"?>
<ds:datastoreItem xmlns:ds="http://schemas.openxmlformats.org/officeDocument/2006/customXml" ds:itemID="">
  <ds:schemaRefs/>
</ds:datastoreItem>
</file>

<file path=customXml/itemProps71.xml><?xml version="1.0" encoding="utf-8"?>
<ds:datastoreItem xmlns:ds="http://schemas.openxmlformats.org/officeDocument/2006/customXml" ds:itemID="">
  <ds:schemaRefs/>
</ds:datastoreItem>
</file>

<file path=customXml/itemProps72.xml><?xml version="1.0" encoding="utf-8"?>
<ds:datastoreItem xmlns:ds="http://schemas.openxmlformats.org/officeDocument/2006/customXml" ds:itemID="">
  <ds:schemaRefs/>
</ds:datastoreItem>
</file>

<file path=customXml/itemProps73.xml><?xml version="1.0" encoding="utf-8"?>
<ds:datastoreItem xmlns:ds="http://schemas.openxmlformats.org/officeDocument/2006/customXml" ds:itemID="">
  <ds:schemaRefs/>
</ds:datastoreItem>
</file>

<file path=customXml/itemProps74.xml><?xml version="1.0" encoding="utf-8"?>
<ds:datastoreItem xmlns:ds="http://schemas.openxmlformats.org/officeDocument/2006/customXml" ds:itemID="">
  <ds:schemaRefs/>
</ds:datastoreItem>
</file>

<file path=customXml/itemProps75.xml><?xml version="1.0" encoding="utf-8"?>
<ds:datastoreItem xmlns:ds="http://schemas.openxmlformats.org/officeDocument/2006/customXml" ds:itemID="">
  <ds:schemaRefs/>
</ds:datastoreItem>
</file>

<file path=customXml/itemProps76.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customXml/itemProps9.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2023-01-17T09:54:13Z</dcterms:created>
  <dcterms:modified xsi:type="dcterms:W3CDTF">2023-01-17T01:54:19Z</dcterms:modified>
</cp:coreProperties>
</file>