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jc w:val="left"/>
        <w:rPr>
          <w:rFonts w:hint="default" w:ascii="黑体" w:hAnsi="黑体" w:eastAsia="黑体" w:cs="黑体"/>
          <w:kern w:val="1"/>
          <w:sz w:val="32"/>
          <w:szCs w:val="32"/>
          <w:lang w:val="en-US" w:eastAsia="zh-CN"/>
        </w:rPr>
      </w:pPr>
      <w:bookmarkStart w:id="108" w:name="_GoBack"/>
      <w:bookmarkEnd w:id="108"/>
    </w:p>
    <w:p>
      <w:pPr>
        <w:widowControl/>
        <w:autoSpaceDE w:val="0"/>
        <w:autoSpaceDN w:val="0"/>
        <w:adjustRightInd w:val="0"/>
        <w:jc w:val="center"/>
        <w:rPr>
          <w:b/>
          <w:bCs/>
          <w:kern w:val="1"/>
          <w:sz w:val="72"/>
          <w:szCs w:val="72"/>
        </w:rPr>
      </w:pPr>
    </w:p>
    <w:p>
      <w:pPr>
        <w:widowControl/>
        <w:autoSpaceDE w:val="0"/>
        <w:autoSpaceDN w:val="0"/>
        <w:adjustRightInd w:val="0"/>
        <w:jc w:val="center"/>
        <w:rPr>
          <w:b/>
          <w:bCs/>
          <w:kern w:val="1"/>
          <w:sz w:val="72"/>
          <w:szCs w:val="72"/>
        </w:rPr>
      </w:pPr>
    </w:p>
    <w:p>
      <w:pPr>
        <w:widowControl/>
        <w:autoSpaceDE w:val="0"/>
        <w:autoSpaceDN w:val="0"/>
        <w:adjustRightInd w:val="0"/>
        <w:rPr>
          <w:b/>
          <w:bCs/>
          <w:kern w:val="1"/>
          <w:sz w:val="72"/>
          <w:szCs w:val="72"/>
        </w:rPr>
      </w:pPr>
    </w:p>
    <w:p>
      <w:pPr>
        <w:widowControl/>
        <w:autoSpaceDE w:val="0"/>
        <w:autoSpaceDN w:val="0"/>
        <w:adjustRightInd w:val="0"/>
        <w:snapToGrid w:val="0"/>
        <w:jc w:val="center"/>
        <w:rPr>
          <w:b/>
          <w:bCs/>
          <w:kern w:val="1"/>
          <w:sz w:val="48"/>
          <w:szCs w:val="48"/>
        </w:rPr>
      </w:pPr>
      <w:r>
        <w:rPr>
          <w:b/>
          <w:bCs/>
          <w:kern w:val="1"/>
          <w:sz w:val="48"/>
          <w:szCs w:val="48"/>
        </w:rPr>
        <w:t>青岛市清洁取暖气代煤工程技术导则</w:t>
      </w: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widowControl/>
        <w:autoSpaceDE w:val="0"/>
        <w:autoSpaceDN w:val="0"/>
        <w:adjustRightInd w:val="0"/>
        <w:spacing w:line="240" w:lineRule="auto"/>
        <w:jc w:val="center"/>
        <w:rPr>
          <w:kern w:val="1"/>
          <w:sz w:val="32"/>
          <w:szCs w:val="32"/>
        </w:rPr>
      </w:pPr>
    </w:p>
    <w:p>
      <w:pPr>
        <w:numPr>
          <w:ilvl w:val="7"/>
          <w:numId w:val="0"/>
        </w:numPr>
        <w:jc w:val="center"/>
        <w:rPr>
          <w:rFonts w:eastAsia="华文楷体"/>
          <w:sz w:val="32"/>
          <w:szCs w:val="32"/>
        </w:rPr>
      </w:pPr>
      <w:r>
        <w:rPr>
          <w:rFonts w:eastAsia="华文楷体"/>
          <w:sz w:val="32"/>
          <w:szCs w:val="32"/>
        </w:rPr>
        <w:t>青岛市住房和城乡建设局</w:t>
      </w:r>
    </w:p>
    <w:p>
      <w:pPr>
        <w:numPr>
          <w:ilvl w:val="7"/>
          <w:numId w:val="0"/>
        </w:numPr>
        <w:jc w:val="center"/>
        <w:rPr>
          <w:rFonts w:eastAsia="华文楷体"/>
          <w:sz w:val="32"/>
          <w:szCs w:val="32"/>
        </w:rPr>
      </w:pPr>
      <w:r>
        <w:rPr>
          <w:rFonts w:eastAsia="华文楷体"/>
          <w:sz w:val="32"/>
          <w:szCs w:val="32"/>
        </w:rPr>
        <w:t>青岛市清洁取暖建设推进办公室</w:t>
      </w:r>
    </w:p>
    <w:p>
      <w:pPr>
        <w:numPr>
          <w:ilvl w:val="7"/>
          <w:numId w:val="0"/>
        </w:numPr>
        <w:jc w:val="center"/>
        <w:rPr>
          <w:rFonts w:eastAsia="华文楷体"/>
          <w:spacing w:val="22"/>
          <w:sz w:val="32"/>
          <w:szCs w:val="32"/>
        </w:rPr>
      </w:pPr>
      <w:r>
        <w:rPr>
          <w:rFonts w:eastAsia="华文楷体"/>
          <w:spacing w:val="22"/>
          <w:sz w:val="32"/>
          <w:szCs w:val="32"/>
        </w:rPr>
        <w:t>202</w:t>
      </w:r>
      <w:r>
        <w:rPr>
          <w:rFonts w:hint="eastAsia" w:eastAsia="华文楷体"/>
          <w:spacing w:val="22"/>
          <w:sz w:val="32"/>
          <w:szCs w:val="32"/>
        </w:rPr>
        <w:t>2年9月</w:t>
      </w:r>
    </w:p>
    <w:p>
      <w:pPr>
        <w:widowControl/>
        <w:spacing w:line="240" w:lineRule="auto"/>
        <w:jc w:val="left"/>
        <w:rPr>
          <w:rFonts w:eastAsia="华文楷体"/>
          <w:sz w:val="32"/>
          <w:szCs w:val="32"/>
        </w:rPr>
      </w:pPr>
      <w:r>
        <w:rPr>
          <w:rFonts w:eastAsia="华文楷体"/>
          <w:sz w:val="32"/>
          <w:szCs w:val="32"/>
        </w:rPr>
        <w:br w:type="page"/>
      </w:r>
    </w:p>
    <w:p>
      <w:pPr>
        <w:pStyle w:val="4"/>
      </w:pPr>
      <w:bookmarkStart w:id="0" w:name="_Toc26199447"/>
      <w:bookmarkStart w:id="1" w:name="_Toc7737"/>
      <w:bookmarkStart w:id="2" w:name="_Toc24030843"/>
      <w:bookmarkStart w:id="3" w:name="_Toc62427677"/>
      <w:bookmarkStart w:id="4" w:name="_Toc36714019"/>
      <w:bookmarkStart w:id="5" w:name="_Toc24647092"/>
      <w:bookmarkStart w:id="6" w:name="_Toc14574"/>
      <w:bookmarkStart w:id="7" w:name="_Toc22843"/>
      <w:r>
        <w:t>前  言</w:t>
      </w:r>
      <w:bookmarkEnd w:id="0"/>
      <w:bookmarkEnd w:id="1"/>
      <w:bookmarkEnd w:id="2"/>
      <w:bookmarkEnd w:id="3"/>
      <w:bookmarkEnd w:id="4"/>
      <w:bookmarkEnd w:id="5"/>
      <w:bookmarkEnd w:id="6"/>
      <w:bookmarkEnd w:id="7"/>
    </w:p>
    <w:p>
      <w:pPr>
        <w:ind w:firstLine="560" w:firstLineChars="200"/>
        <w:rPr>
          <w:rFonts w:eastAsia="仿宋_GB2312"/>
          <w:sz w:val="28"/>
          <w:szCs w:val="28"/>
        </w:rPr>
      </w:pPr>
      <w:r>
        <w:rPr>
          <w:rFonts w:eastAsia="仿宋_GB2312"/>
          <w:sz w:val="28"/>
          <w:szCs w:val="28"/>
        </w:rPr>
        <w:t>为深入贯彻落实党中央和省政府加快推进冬季清洁取暖的决策部署，科学指导我市清洁取暖项目建设，促进居民生活水平和环境空气质量持续改善，受</w:t>
      </w:r>
      <w:r>
        <w:rPr>
          <w:rFonts w:hint="eastAsia" w:ascii="仿宋_GB2312" w:eastAsia="仿宋_GB2312"/>
          <w:sz w:val="28"/>
          <w:szCs w:val="28"/>
        </w:rPr>
        <w:t>青岛市住房和城乡建设局</w:t>
      </w:r>
      <w:r>
        <w:rPr>
          <w:rFonts w:eastAsia="仿宋_GB2312"/>
          <w:sz w:val="28"/>
          <w:szCs w:val="28"/>
        </w:rPr>
        <w:t>委托，住房和城乡建设部科技与产业化发展中心组织相关单位</w:t>
      </w:r>
      <w:r>
        <w:rPr>
          <w:rFonts w:hint="eastAsia" w:eastAsia="仿宋_GB2312"/>
          <w:sz w:val="28"/>
          <w:szCs w:val="28"/>
        </w:rPr>
        <w:t>在</w:t>
      </w:r>
      <w:r>
        <w:rPr>
          <w:rFonts w:eastAsia="仿宋_GB2312"/>
          <w:sz w:val="28"/>
          <w:szCs w:val="28"/>
        </w:rPr>
        <w:t>广泛调查研究</w:t>
      </w:r>
      <w:r>
        <w:rPr>
          <w:rFonts w:hint="eastAsia" w:eastAsia="仿宋_GB2312"/>
          <w:sz w:val="28"/>
          <w:szCs w:val="28"/>
        </w:rPr>
        <w:t>、</w:t>
      </w:r>
      <w:r>
        <w:rPr>
          <w:rFonts w:eastAsia="仿宋_GB2312"/>
          <w:sz w:val="28"/>
          <w:szCs w:val="28"/>
        </w:rPr>
        <w:t>借鉴其他省市推进清洁取暖工作先进经验的基础上，结合我市现状，编制了青岛市清洁取暖气代煤工程技术导则</w:t>
      </w:r>
      <w:r>
        <w:rPr>
          <w:rFonts w:hint="eastAsia" w:eastAsia="仿宋_GB2312"/>
          <w:sz w:val="28"/>
          <w:szCs w:val="28"/>
        </w:rPr>
        <w:t>（农村地区）。</w:t>
      </w:r>
    </w:p>
    <w:p>
      <w:pPr>
        <w:ind w:firstLine="560" w:firstLineChars="200"/>
        <w:rPr>
          <w:rFonts w:ascii="仿宋_GB2312" w:eastAsia="仿宋_GB2312"/>
          <w:sz w:val="28"/>
          <w:szCs w:val="28"/>
        </w:rPr>
      </w:pPr>
      <w:r>
        <w:rPr>
          <w:rFonts w:eastAsia="仿宋_GB2312"/>
          <w:sz w:val="28"/>
          <w:szCs w:val="28"/>
        </w:rPr>
        <w:t>本导则共7章，主要内容是：总则，术语，基本规定，</w:t>
      </w:r>
      <w:r>
        <w:rPr>
          <w:rFonts w:hint="eastAsia" w:eastAsia="仿宋_GB2312"/>
          <w:sz w:val="28"/>
          <w:szCs w:val="28"/>
        </w:rPr>
        <w:t>室内燃气管道系统，采暖热水炉供暖系统，检验、调试与验收，</w:t>
      </w:r>
      <w:r>
        <w:rPr>
          <w:rFonts w:eastAsia="仿宋_GB2312"/>
          <w:sz w:val="28"/>
          <w:szCs w:val="28"/>
        </w:rPr>
        <w:t>燃气设施安全运行与维护技术要点</w:t>
      </w:r>
      <w:r>
        <w:rPr>
          <w:rFonts w:hint="eastAsia" w:ascii="仿宋_GB2312" w:eastAsia="仿宋_GB2312"/>
          <w:sz w:val="28"/>
          <w:szCs w:val="28"/>
        </w:rPr>
        <w:t>，规范和指导燃气供暖系统的设计、施工和验收。</w:t>
      </w:r>
    </w:p>
    <w:p>
      <w:pPr>
        <w:ind w:firstLine="560" w:firstLineChars="200"/>
        <w:rPr>
          <w:rFonts w:ascii="仿宋_GB2312" w:eastAsia="仿宋_GB2312"/>
          <w:sz w:val="28"/>
          <w:szCs w:val="28"/>
        </w:rPr>
      </w:pPr>
      <w:r>
        <w:rPr>
          <w:rFonts w:hint="eastAsia" w:ascii="仿宋_GB2312" w:eastAsia="仿宋_GB2312"/>
          <w:sz w:val="28"/>
          <w:szCs w:val="28"/>
        </w:rPr>
        <w:t>本导则由青岛市住房和城乡建设局负责管理，由住房和城乡建设部科技与产业化发展中心负责具体技术内容的解释。执行过程中如有意见或建议，请及时反馈（地址：北京市海淀区三里河路9号，邮编：100835）。</w:t>
      </w:r>
    </w:p>
    <w:p>
      <w:pPr>
        <w:tabs>
          <w:tab w:val="left" w:pos="4095"/>
          <w:tab w:val="center" w:pos="4153"/>
        </w:tabs>
        <w:sectPr>
          <w:footerReference r:id="rId6" w:type="first"/>
          <w:footerReference r:id="rId5" w:type="default"/>
          <w:pgSz w:w="11906" w:h="16838"/>
          <w:pgMar w:top="1440" w:right="1800" w:bottom="1440" w:left="1800" w:header="851" w:footer="992" w:gutter="0"/>
          <w:pgNumType w:start="1"/>
          <w:cols w:space="425" w:num="1"/>
          <w:titlePg/>
          <w:docGrid w:type="lines" w:linePitch="326" w:charSpace="0"/>
        </w:sectPr>
      </w:pPr>
      <w:r>
        <w:tab/>
      </w:r>
    </w:p>
    <w:p>
      <w:pPr>
        <w:widowControl/>
        <w:spacing w:line="240" w:lineRule="auto"/>
        <w:jc w:val="center"/>
        <w:rPr>
          <w:rStyle w:val="30"/>
          <w:bCs w:val="0"/>
        </w:rPr>
      </w:pPr>
      <w:bookmarkStart w:id="8" w:name="_Toc24647093"/>
      <w:bookmarkStart w:id="9" w:name="_Toc27520"/>
      <w:bookmarkStart w:id="10" w:name="_Toc26199448"/>
      <w:bookmarkStart w:id="11" w:name="_Toc62427678"/>
      <w:bookmarkStart w:id="12" w:name="_Toc36714020"/>
      <w:bookmarkStart w:id="13" w:name="_Toc28564"/>
      <w:bookmarkStart w:id="14" w:name="_Toc6153"/>
      <w:r>
        <w:rPr>
          <w:rStyle w:val="30"/>
          <w:bCs w:val="0"/>
        </w:rPr>
        <w:t xml:space="preserve">目  </w:t>
      </w:r>
      <w:bookmarkEnd w:id="8"/>
      <w:bookmarkEnd w:id="9"/>
      <w:bookmarkEnd w:id="10"/>
      <w:r>
        <w:rPr>
          <w:rStyle w:val="30"/>
          <w:rFonts w:hint="eastAsia"/>
          <w:bCs w:val="0"/>
        </w:rPr>
        <w:t>次</w:t>
      </w:r>
      <w:bookmarkEnd w:id="11"/>
      <w:bookmarkEnd w:id="12"/>
    </w:p>
    <w:bookmarkEnd w:id="13"/>
    <w:bookmarkEnd w:id="14"/>
    <w:p>
      <w:pPr>
        <w:pStyle w:val="13"/>
        <w:tabs>
          <w:tab w:val="right" w:leader="dot" w:pos="8296"/>
        </w:tabs>
        <w:rPr>
          <w:rFonts w:asciiTheme="minorHAnsi" w:hAnsiTheme="minorHAnsi" w:eastAsiaTheme="minorEastAsia" w:cstheme="minorBidi"/>
          <w:sz w:val="21"/>
          <w:szCs w:val="22"/>
        </w:rPr>
      </w:pPr>
      <w:r>
        <w:rPr>
          <w:lang w:val="zh-CN"/>
        </w:rPr>
        <w:fldChar w:fldCharType="begin"/>
      </w:r>
      <w:r>
        <w:rPr>
          <w:lang w:val="zh-CN"/>
        </w:rPr>
        <w:instrText xml:space="preserve"> TOC \o "1-3" \h \z \u </w:instrText>
      </w:r>
      <w:r>
        <w:rPr>
          <w:lang w:val="zh-CN"/>
        </w:rPr>
        <w:fldChar w:fldCharType="separate"/>
      </w:r>
      <w:r>
        <w:fldChar w:fldCharType="begin"/>
      </w:r>
      <w:r>
        <w:instrText xml:space="preserve"> HYPERLINK \l "_Toc62427677" </w:instrText>
      </w:r>
      <w:r>
        <w:fldChar w:fldCharType="separate"/>
      </w:r>
      <w:r>
        <w:rPr>
          <w:rStyle w:val="22"/>
          <w:color w:val="auto"/>
        </w:rPr>
        <w:t>前  言</w:t>
      </w:r>
      <w:r>
        <w:tab/>
      </w:r>
      <w:r>
        <w:fldChar w:fldCharType="begin"/>
      </w:r>
      <w:r>
        <w:instrText xml:space="preserve"> PAGEREF _Toc62427677 \h </w:instrText>
      </w:r>
      <w:r>
        <w:fldChar w:fldCharType="separate"/>
      </w:r>
      <w:r>
        <w:t>2</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"_Toc62427678" </w:instrText>
      </w:r>
      <w:r>
        <w:fldChar w:fldCharType="separate"/>
      </w:r>
      <w:r>
        <w:rPr>
          <w:rStyle w:val="22"/>
          <w:color w:val="auto"/>
        </w:rPr>
        <w:t>目  次</w:t>
      </w:r>
      <w:r>
        <w:tab/>
      </w:r>
      <w:r>
        <w:fldChar w:fldCharType="begin"/>
      </w:r>
      <w:r>
        <w:instrText xml:space="preserve"> PAGEREF _Toc62427678 \h </w:instrText>
      </w:r>
      <w:r>
        <w:fldChar w:fldCharType="separate"/>
      </w:r>
      <w:r>
        <w:t>3</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"_Toc62427679" </w:instrText>
      </w:r>
      <w:r>
        <w:fldChar w:fldCharType="separate"/>
      </w:r>
      <w:r>
        <w:rPr>
          <w:rStyle w:val="22"/>
          <w:rFonts w:eastAsiaTheme="majorEastAsia"/>
          <w:color w:val="auto"/>
        </w:rPr>
        <w:t>1 总 则</w:t>
      </w:r>
      <w:r>
        <w:tab/>
      </w:r>
      <w:r>
        <w:fldChar w:fldCharType="begin"/>
      </w:r>
      <w:r>
        <w:instrText xml:space="preserve"> PAGEREF _Toc62427679 \h </w:instrText>
      </w:r>
      <w:r>
        <w:fldChar w:fldCharType="separate"/>
      </w:r>
      <w:r>
        <w:t>5</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"_Toc62427680" </w:instrText>
      </w:r>
      <w:r>
        <w:fldChar w:fldCharType="separate"/>
      </w:r>
      <w:r>
        <w:rPr>
          <w:rStyle w:val="22"/>
          <w:rFonts w:eastAsiaTheme="majorEastAsia"/>
          <w:color w:val="auto"/>
        </w:rPr>
        <w:t>2 术 语</w:t>
      </w:r>
      <w:r>
        <w:tab/>
      </w:r>
      <w:r>
        <w:fldChar w:fldCharType="begin"/>
      </w:r>
      <w:r>
        <w:instrText xml:space="preserve"> PAGEREF _Toc62427680 \h </w:instrText>
      </w:r>
      <w:r>
        <w:fldChar w:fldCharType="separate"/>
      </w:r>
      <w:r>
        <w:t>6</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"_Toc62427681" </w:instrText>
      </w:r>
      <w:r>
        <w:fldChar w:fldCharType="separate"/>
      </w:r>
      <w:r>
        <w:rPr>
          <w:rStyle w:val="22"/>
          <w:rFonts w:eastAsiaTheme="majorEastAsia"/>
          <w:color w:val="auto"/>
        </w:rPr>
        <w:t>3 基本规定</w:t>
      </w:r>
      <w:r>
        <w:tab/>
      </w:r>
      <w:r>
        <w:fldChar w:fldCharType="begin"/>
      </w:r>
      <w:r>
        <w:instrText xml:space="preserve"> PAGEREF _Toc62427681 \h </w:instrText>
      </w:r>
      <w:r>
        <w:fldChar w:fldCharType="separate"/>
      </w:r>
      <w:r>
        <w:t>8</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"_Toc62427682" </w:instrText>
      </w:r>
      <w:r>
        <w:fldChar w:fldCharType="separate"/>
      </w:r>
      <w:r>
        <w:rPr>
          <w:rStyle w:val="22"/>
          <w:rFonts w:eastAsiaTheme="majorEastAsia"/>
          <w:color w:val="auto"/>
        </w:rPr>
        <w:t>4 室内燃气管道</w:t>
      </w:r>
      <w:r>
        <w:tab/>
      </w:r>
      <w:r>
        <w:fldChar w:fldCharType="begin"/>
      </w:r>
      <w:r>
        <w:instrText xml:space="preserve"> PAGEREF _Toc62427682 \h </w:instrText>
      </w:r>
      <w:r>
        <w:fldChar w:fldCharType="separate"/>
      </w:r>
      <w:r>
        <w:t>9</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"_Toc62427683" </w:instrText>
      </w:r>
      <w:r>
        <w:fldChar w:fldCharType="separate"/>
      </w:r>
      <w:r>
        <w:rPr>
          <w:rStyle w:val="22"/>
          <w:color w:val="auto"/>
        </w:rPr>
        <w:t>4.1一般规定</w:t>
      </w:r>
      <w:r>
        <w:tab/>
      </w:r>
      <w:r>
        <w:fldChar w:fldCharType="begin"/>
      </w:r>
      <w:r>
        <w:instrText xml:space="preserve"> PAGEREF _Toc62427683 \h </w:instrText>
      </w:r>
      <w:r>
        <w:fldChar w:fldCharType="separate"/>
      </w:r>
      <w:r>
        <w:t>9</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"_Toc62427684" </w:instrText>
      </w:r>
      <w:r>
        <w:fldChar w:fldCharType="separate"/>
      </w:r>
      <w:r>
        <w:rPr>
          <w:rStyle w:val="22"/>
          <w:color w:val="auto"/>
        </w:rPr>
        <w:t>4.2 系统设计</w:t>
      </w:r>
      <w:r>
        <w:tab/>
      </w:r>
      <w:r>
        <w:fldChar w:fldCharType="begin"/>
      </w:r>
      <w:r>
        <w:instrText xml:space="preserve"> PAGEREF _Toc62427684 \h </w:instrText>
      </w:r>
      <w:r>
        <w:fldChar w:fldCharType="separate"/>
      </w:r>
      <w:r>
        <w:t>9</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"_Toc62427685" </w:instrText>
      </w:r>
      <w:r>
        <w:fldChar w:fldCharType="separate"/>
      </w:r>
      <w:r>
        <w:rPr>
          <w:rStyle w:val="22"/>
          <w:color w:val="auto"/>
        </w:rPr>
        <w:t>4.3 施工与安装</w:t>
      </w:r>
      <w:r>
        <w:tab/>
      </w:r>
      <w:r>
        <w:fldChar w:fldCharType="begin"/>
      </w:r>
      <w:r>
        <w:instrText xml:space="preserve"> PAGEREF _Toc62427685 \h </w:instrText>
      </w:r>
      <w:r>
        <w:fldChar w:fldCharType="separate"/>
      </w:r>
      <w:r>
        <w:t>13</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"_Toc62427686" </w:instrText>
      </w:r>
      <w:r>
        <w:fldChar w:fldCharType="separate"/>
      </w:r>
      <w:r>
        <w:rPr>
          <w:rStyle w:val="22"/>
          <w:rFonts w:eastAsiaTheme="majorEastAsia"/>
          <w:color w:val="auto"/>
        </w:rPr>
        <w:t>5 采暖热水炉供暖系统</w:t>
      </w:r>
      <w:r>
        <w:tab/>
      </w:r>
      <w:r>
        <w:fldChar w:fldCharType="begin"/>
      </w:r>
      <w:r>
        <w:instrText xml:space="preserve"> PAGEREF _Toc62427686 \h </w:instrText>
      </w:r>
      <w:r>
        <w:fldChar w:fldCharType="separate"/>
      </w:r>
      <w:r>
        <w:t>14</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"_Toc62427687" </w:instrText>
      </w:r>
      <w:r>
        <w:fldChar w:fldCharType="separate"/>
      </w:r>
      <w:r>
        <w:rPr>
          <w:rStyle w:val="22"/>
          <w:color w:val="auto"/>
        </w:rPr>
        <w:t>5.1 负荷计算</w:t>
      </w:r>
      <w:r>
        <w:tab/>
      </w:r>
      <w:r>
        <w:fldChar w:fldCharType="begin"/>
      </w:r>
      <w:r>
        <w:instrText xml:space="preserve"> PAGEREF _Toc62427687 \h </w:instrText>
      </w:r>
      <w:r>
        <w:fldChar w:fldCharType="separate"/>
      </w:r>
      <w:r>
        <w:t>14</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"_Toc62427688" </w:instrText>
      </w:r>
      <w:r>
        <w:fldChar w:fldCharType="separate"/>
      </w:r>
      <w:r>
        <w:rPr>
          <w:rStyle w:val="22"/>
          <w:color w:val="auto"/>
        </w:rPr>
        <w:t>5.2 设备要求</w:t>
      </w:r>
      <w:r>
        <w:tab/>
      </w:r>
      <w:r>
        <w:fldChar w:fldCharType="begin"/>
      </w:r>
      <w:r>
        <w:instrText xml:space="preserve"> PAGEREF _Toc62427688 \h </w:instrText>
      </w:r>
      <w:r>
        <w:fldChar w:fldCharType="separate"/>
      </w:r>
      <w:r>
        <w:t>14</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"_Toc62427689" </w:instrText>
      </w:r>
      <w:r>
        <w:fldChar w:fldCharType="separate"/>
      </w:r>
      <w:r>
        <w:rPr>
          <w:rStyle w:val="22"/>
          <w:color w:val="auto"/>
        </w:rPr>
        <w:t>5.3 系统设计</w:t>
      </w:r>
      <w:r>
        <w:tab/>
      </w:r>
      <w:r>
        <w:fldChar w:fldCharType="begin"/>
      </w:r>
      <w:r>
        <w:instrText xml:space="preserve"> PAGEREF _Toc62427689 \h </w:instrText>
      </w:r>
      <w:r>
        <w:fldChar w:fldCharType="separate"/>
      </w:r>
      <w:r>
        <w:t>16</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"_Toc62427690" </w:instrText>
      </w:r>
      <w:r>
        <w:fldChar w:fldCharType="separate"/>
      </w:r>
      <w:r>
        <w:rPr>
          <w:rStyle w:val="22"/>
          <w:color w:val="auto"/>
        </w:rPr>
        <w:t>I 供暖系统</w:t>
      </w:r>
      <w:r>
        <w:tab/>
      </w:r>
      <w:r>
        <w:fldChar w:fldCharType="begin"/>
      </w:r>
      <w:r>
        <w:instrText xml:space="preserve"> PAGEREF _Toc62427690 \h </w:instrText>
      </w:r>
      <w:r>
        <w:fldChar w:fldCharType="separate"/>
      </w:r>
      <w:r>
        <w:t>16</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"_Toc62427691" </w:instrText>
      </w:r>
      <w:r>
        <w:fldChar w:fldCharType="separate"/>
      </w:r>
      <w:r>
        <w:rPr>
          <w:rStyle w:val="22"/>
          <w:color w:val="auto"/>
        </w:rPr>
        <w:t>II 给水设计</w:t>
      </w:r>
      <w:r>
        <w:tab/>
      </w:r>
      <w:r>
        <w:fldChar w:fldCharType="begin"/>
      </w:r>
      <w:r>
        <w:instrText xml:space="preserve"> PAGEREF _Toc62427691 \h </w:instrText>
      </w:r>
      <w:r>
        <w:fldChar w:fldCharType="separate"/>
      </w:r>
      <w:r>
        <w:t>17</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"_Toc62427692" </w:instrText>
      </w:r>
      <w:r>
        <w:fldChar w:fldCharType="separate"/>
      </w:r>
      <w:r>
        <w:rPr>
          <w:rStyle w:val="22"/>
          <w:color w:val="auto"/>
        </w:rPr>
        <w:t>III 电气设计</w:t>
      </w:r>
      <w:r>
        <w:tab/>
      </w:r>
      <w:r>
        <w:fldChar w:fldCharType="begin"/>
      </w:r>
      <w:r>
        <w:instrText xml:space="preserve"> PAGEREF _Toc62427692 \h </w:instrText>
      </w:r>
      <w:r>
        <w:fldChar w:fldCharType="separate"/>
      </w:r>
      <w:r>
        <w:t>17</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"_Toc62427693" </w:instrText>
      </w:r>
      <w:r>
        <w:fldChar w:fldCharType="separate"/>
      </w:r>
      <w:r>
        <w:rPr>
          <w:rStyle w:val="22"/>
          <w:color w:val="auto"/>
        </w:rPr>
        <w:t>IV 烟道设计</w:t>
      </w:r>
      <w:r>
        <w:tab/>
      </w:r>
      <w:r>
        <w:fldChar w:fldCharType="begin"/>
      </w:r>
      <w:r>
        <w:instrText xml:space="preserve"> PAGEREF _Toc62427693 \h </w:instrText>
      </w:r>
      <w:r>
        <w:fldChar w:fldCharType="separate"/>
      </w:r>
      <w:r>
        <w:t>17</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"_Toc62427694" </w:instrText>
      </w:r>
      <w:r>
        <w:fldChar w:fldCharType="separate"/>
      </w:r>
      <w:r>
        <w:rPr>
          <w:rStyle w:val="22"/>
          <w:color w:val="auto"/>
        </w:rPr>
        <w:t>5.4 设备安装</w:t>
      </w:r>
      <w:r>
        <w:tab/>
      </w:r>
      <w:r>
        <w:fldChar w:fldCharType="begin"/>
      </w:r>
      <w:r>
        <w:instrText xml:space="preserve"> PAGEREF _Toc62427694 \h </w:instrText>
      </w:r>
      <w:r>
        <w:fldChar w:fldCharType="separate"/>
      </w:r>
      <w:r>
        <w:t>18</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"_Toc62427695" </w:instrText>
      </w:r>
      <w:r>
        <w:fldChar w:fldCharType="separate"/>
      </w:r>
      <w:r>
        <w:rPr>
          <w:rStyle w:val="22"/>
          <w:color w:val="auto"/>
        </w:rPr>
        <w:t>I 位置选择</w:t>
      </w:r>
      <w:r>
        <w:tab/>
      </w:r>
      <w:r>
        <w:fldChar w:fldCharType="begin"/>
      </w:r>
      <w:r>
        <w:instrText xml:space="preserve"> PAGEREF _Toc62427695 \h </w:instrText>
      </w:r>
      <w:r>
        <w:fldChar w:fldCharType="separate"/>
      </w:r>
      <w:r>
        <w:t>18</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"_Toc62427696" </w:instrText>
      </w:r>
      <w:r>
        <w:fldChar w:fldCharType="separate"/>
      </w:r>
      <w:r>
        <w:rPr>
          <w:rStyle w:val="22"/>
          <w:color w:val="auto"/>
        </w:rPr>
        <w:t>II 炉体安装</w:t>
      </w:r>
      <w:r>
        <w:tab/>
      </w:r>
      <w:r>
        <w:fldChar w:fldCharType="begin"/>
      </w:r>
      <w:r>
        <w:instrText xml:space="preserve"> PAGEREF _Toc62427696 \h </w:instrText>
      </w:r>
      <w:r>
        <w:fldChar w:fldCharType="separate"/>
      </w:r>
      <w:r>
        <w:t>19</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"_Toc62427697" </w:instrText>
      </w:r>
      <w:r>
        <w:fldChar w:fldCharType="separate"/>
      </w:r>
      <w:r>
        <w:rPr>
          <w:rStyle w:val="22"/>
          <w:color w:val="auto"/>
        </w:rPr>
        <w:t>III 燃气管道连接</w:t>
      </w:r>
      <w:r>
        <w:tab/>
      </w:r>
      <w:r>
        <w:fldChar w:fldCharType="begin"/>
      </w:r>
      <w:r>
        <w:instrText xml:space="preserve"> PAGEREF _Toc62427697 \h </w:instrText>
      </w:r>
      <w:r>
        <w:fldChar w:fldCharType="separate"/>
      </w:r>
      <w:r>
        <w:t>19</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"_Toc62427698" </w:instrText>
      </w:r>
      <w:r>
        <w:fldChar w:fldCharType="separate"/>
      </w:r>
      <w:r>
        <w:rPr>
          <w:rStyle w:val="22"/>
          <w:color w:val="auto"/>
        </w:rPr>
        <w:t>IV 水管道连接</w:t>
      </w:r>
      <w:r>
        <w:tab/>
      </w:r>
      <w:r>
        <w:fldChar w:fldCharType="begin"/>
      </w:r>
      <w:r>
        <w:instrText xml:space="preserve"> PAGEREF _Toc62427698 \h </w:instrText>
      </w:r>
      <w:r>
        <w:fldChar w:fldCharType="separate"/>
      </w:r>
      <w:r>
        <w:t>20</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"_Toc62427699" </w:instrText>
      </w:r>
      <w:r>
        <w:fldChar w:fldCharType="separate"/>
      </w:r>
      <w:r>
        <w:rPr>
          <w:rStyle w:val="22"/>
          <w:color w:val="auto"/>
        </w:rPr>
        <w:t>V 给排气管连接</w:t>
      </w:r>
      <w:r>
        <w:tab/>
      </w:r>
      <w:r>
        <w:fldChar w:fldCharType="begin"/>
      </w:r>
      <w:r>
        <w:instrText xml:space="preserve"> PAGEREF _Toc62427699 \h </w:instrText>
      </w:r>
      <w:r>
        <w:fldChar w:fldCharType="separate"/>
      </w:r>
      <w:r>
        <w:t>20</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"_Toc62427700" </w:instrText>
      </w:r>
      <w:r>
        <w:fldChar w:fldCharType="separate"/>
      </w:r>
      <w:r>
        <w:rPr>
          <w:rStyle w:val="22"/>
          <w:color w:val="auto"/>
        </w:rPr>
        <w:t>VI 报警器和自动切断阀安装</w:t>
      </w:r>
      <w:r>
        <w:tab/>
      </w:r>
      <w:r>
        <w:fldChar w:fldCharType="begin"/>
      </w:r>
      <w:r>
        <w:instrText xml:space="preserve"> PAGEREF _Toc62427700 \h </w:instrText>
      </w:r>
      <w:r>
        <w:fldChar w:fldCharType="separate"/>
      </w:r>
      <w:r>
        <w:t>21</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"_Toc62427701" </w:instrText>
      </w:r>
      <w:r>
        <w:fldChar w:fldCharType="separate"/>
      </w:r>
      <w:r>
        <w:rPr>
          <w:rStyle w:val="22"/>
          <w:color w:val="auto"/>
        </w:rPr>
        <w:t>6 检验、调试与验收</w:t>
      </w:r>
      <w:r>
        <w:tab/>
      </w:r>
      <w:r>
        <w:fldChar w:fldCharType="begin"/>
      </w:r>
      <w:r>
        <w:instrText xml:space="preserve"> PAGEREF _Toc62427701 \h </w:instrText>
      </w:r>
      <w:r>
        <w:fldChar w:fldCharType="separate"/>
      </w:r>
      <w:r>
        <w:t>21</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"_Toc62427702" </w:instrText>
      </w:r>
      <w:r>
        <w:fldChar w:fldCharType="separate"/>
      </w:r>
      <w:r>
        <w:rPr>
          <w:rStyle w:val="22"/>
          <w:color w:val="auto"/>
        </w:rPr>
        <w:t>6.1 基本要求</w:t>
      </w:r>
      <w:r>
        <w:tab/>
      </w:r>
      <w:r>
        <w:fldChar w:fldCharType="begin"/>
      </w:r>
      <w:r>
        <w:instrText xml:space="preserve"> PAGEREF _Toc62427702 \h </w:instrText>
      </w:r>
      <w:r>
        <w:fldChar w:fldCharType="separate"/>
      </w:r>
      <w:r>
        <w:t>21</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"_Toc62427703" </w:instrText>
      </w:r>
      <w:r>
        <w:fldChar w:fldCharType="separate"/>
      </w:r>
      <w:r>
        <w:rPr>
          <w:rStyle w:val="22"/>
          <w:color w:val="auto"/>
        </w:rPr>
        <w:t>6.2 室内燃气管道</w:t>
      </w:r>
      <w:r>
        <w:tab/>
      </w:r>
      <w:r>
        <w:fldChar w:fldCharType="begin"/>
      </w:r>
      <w:r>
        <w:instrText xml:space="preserve"> PAGEREF _Toc62427703 \h </w:instrText>
      </w:r>
      <w:r>
        <w:fldChar w:fldCharType="separate"/>
      </w:r>
      <w:r>
        <w:t>22</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"_Toc62427704" </w:instrText>
      </w:r>
      <w:r>
        <w:fldChar w:fldCharType="separate"/>
      </w:r>
      <w:r>
        <w:rPr>
          <w:rStyle w:val="22"/>
          <w:color w:val="auto"/>
        </w:rPr>
        <w:t>I 检验与试验</w:t>
      </w:r>
      <w:r>
        <w:tab/>
      </w:r>
      <w:r>
        <w:fldChar w:fldCharType="begin"/>
      </w:r>
      <w:r>
        <w:instrText xml:space="preserve"> PAGEREF _Toc62427704 \h </w:instrText>
      </w:r>
      <w:r>
        <w:fldChar w:fldCharType="separate"/>
      </w:r>
      <w:r>
        <w:t>22</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"_Toc62427705" </w:instrText>
      </w:r>
      <w:r>
        <w:fldChar w:fldCharType="separate"/>
      </w:r>
      <w:r>
        <w:rPr>
          <w:rStyle w:val="22"/>
          <w:color w:val="auto"/>
        </w:rPr>
        <w:t>II 验收</w:t>
      </w:r>
      <w:r>
        <w:tab/>
      </w:r>
      <w:r>
        <w:fldChar w:fldCharType="begin"/>
      </w:r>
      <w:r>
        <w:instrText xml:space="preserve"> PAGEREF _Toc62427705 \h </w:instrText>
      </w:r>
      <w:r>
        <w:fldChar w:fldCharType="separate"/>
      </w:r>
      <w:r>
        <w:t>24</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"_Toc62427706" </w:instrText>
      </w:r>
      <w:r>
        <w:fldChar w:fldCharType="separate"/>
      </w:r>
      <w:r>
        <w:rPr>
          <w:rStyle w:val="22"/>
          <w:color w:val="auto"/>
        </w:rPr>
        <w:t>6.3 采暖热水炉供暖系统</w:t>
      </w:r>
      <w:r>
        <w:tab/>
      </w:r>
      <w:r>
        <w:fldChar w:fldCharType="begin"/>
      </w:r>
      <w:r>
        <w:instrText xml:space="preserve"> PAGEREF _Toc62427706 \h </w:instrText>
      </w:r>
      <w:r>
        <w:fldChar w:fldCharType="separate"/>
      </w:r>
      <w:r>
        <w:t>25</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"_Toc62427707" </w:instrText>
      </w:r>
      <w:r>
        <w:fldChar w:fldCharType="separate"/>
      </w:r>
      <w:r>
        <w:rPr>
          <w:rStyle w:val="22"/>
          <w:color w:val="auto"/>
        </w:rPr>
        <w:t>I 检验与验收</w:t>
      </w:r>
      <w:r>
        <w:tab/>
      </w:r>
      <w:r>
        <w:fldChar w:fldCharType="begin"/>
      </w:r>
      <w:r>
        <w:instrText xml:space="preserve"> PAGEREF _Toc62427707 \h </w:instrText>
      </w:r>
      <w:r>
        <w:fldChar w:fldCharType="separate"/>
      </w:r>
      <w:r>
        <w:t>25</w:t>
      </w:r>
      <w:r>
        <w:fldChar w:fldCharType="end"/>
      </w:r>
      <w:r>
        <w:fldChar w:fldCharType="end"/>
      </w:r>
    </w:p>
    <w:p>
      <w:pPr>
        <w:pStyle w:val="8"/>
        <w:tabs>
          <w:tab w:val="right" w:leader="dot" w:pos="8296"/>
        </w:tabs>
        <w:ind w:left="960"/>
        <w:rPr>
          <w:rFonts w:asciiTheme="minorHAnsi" w:hAnsiTheme="minorHAnsi" w:eastAsiaTheme="minorEastAsia" w:cstheme="minorBidi"/>
          <w:sz w:val="21"/>
          <w:szCs w:val="22"/>
        </w:rPr>
      </w:pPr>
      <w:r>
        <w:fldChar w:fldCharType="begin"/>
      </w:r>
      <w:r>
        <w:instrText xml:space="preserve"> HYPERLINK \l "_Toc62427708" </w:instrText>
      </w:r>
      <w:r>
        <w:fldChar w:fldCharType="separate"/>
      </w:r>
      <w:r>
        <w:rPr>
          <w:rStyle w:val="22"/>
          <w:color w:val="auto"/>
        </w:rPr>
        <w:t>II 调试</w:t>
      </w:r>
      <w:r>
        <w:tab/>
      </w:r>
      <w:r>
        <w:fldChar w:fldCharType="begin"/>
      </w:r>
      <w:r>
        <w:instrText xml:space="preserve"> PAGEREF _Toc62427708 \h </w:instrText>
      </w:r>
      <w:r>
        <w:fldChar w:fldCharType="separate"/>
      </w:r>
      <w:r>
        <w:t>25</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"_Toc62427709" </w:instrText>
      </w:r>
      <w:r>
        <w:fldChar w:fldCharType="separate"/>
      </w:r>
      <w:r>
        <w:rPr>
          <w:rStyle w:val="22"/>
          <w:rFonts w:eastAsiaTheme="majorEastAsia"/>
          <w:color w:val="auto"/>
        </w:rPr>
        <w:t>7 燃气设施安全运行与维护技术要点</w:t>
      </w:r>
      <w:r>
        <w:tab/>
      </w:r>
      <w:r>
        <w:fldChar w:fldCharType="begin"/>
      </w:r>
      <w:r>
        <w:instrText xml:space="preserve"> PAGEREF _Toc62427709 \h </w:instrText>
      </w:r>
      <w:r>
        <w:fldChar w:fldCharType="separate"/>
      </w:r>
      <w:r>
        <w:t>27</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"_Toc62427710" </w:instrText>
      </w:r>
      <w:r>
        <w:fldChar w:fldCharType="separate"/>
      </w:r>
      <w:r>
        <w:rPr>
          <w:rStyle w:val="22"/>
          <w:color w:val="auto"/>
        </w:rPr>
        <w:t>7.1一般规定</w:t>
      </w:r>
      <w:r>
        <w:tab/>
      </w:r>
      <w:r>
        <w:fldChar w:fldCharType="begin"/>
      </w:r>
      <w:r>
        <w:instrText xml:space="preserve"> PAGEREF _Toc62427710 \h </w:instrText>
      </w:r>
      <w:r>
        <w:fldChar w:fldCharType="separate"/>
      </w:r>
      <w:r>
        <w:t>27</w:t>
      </w:r>
      <w:r>
        <w:fldChar w:fldCharType="end"/>
      </w:r>
      <w:r>
        <w:fldChar w:fldCharType="end"/>
      </w:r>
    </w:p>
    <w:p>
      <w:pPr>
        <w:pStyle w:val="14"/>
        <w:tabs>
          <w:tab w:val="right" w:leader="dot" w:pos="8296"/>
        </w:tabs>
        <w:ind w:left="480"/>
        <w:rPr>
          <w:rFonts w:asciiTheme="minorHAnsi" w:hAnsiTheme="minorHAnsi" w:eastAsiaTheme="minorEastAsia" w:cstheme="minorBidi"/>
          <w:sz w:val="21"/>
          <w:szCs w:val="22"/>
        </w:rPr>
      </w:pPr>
      <w:r>
        <w:fldChar w:fldCharType="begin"/>
      </w:r>
      <w:r>
        <w:instrText xml:space="preserve"> HYPERLINK \l "_Toc62427711" </w:instrText>
      </w:r>
      <w:r>
        <w:fldChar w:fldCharType="separate"/>
      </w:r>
      <w:r>
        <w:rPr>
          <w:rStyle w:val="22"/>
          <w:color w:val="auto"/>
        </w:rPr>
        <w:t>7.2技术要点</w:t>
      </w:r>
      <w:r>
        <w:tab/>
      </w:r>
      <w:r>
        <w:fldChar w:fldCharType="begin"/>
      </w:r>
      <w:r>
        <w:instrText xml:space="preserve"> PAGEREF _Toc62427711 \h </w:instrText>
      </w:r>
      <w:r>
        <w:fldChar w:fldCharType="separate"/>
      </w:r>
      <w:r>
        <w:t>27</w:t>
      </w:r>
      <w:r>
        <w:fldChar w:fldCharType="end"/>
      </w:r>
      <w:r>
        <w:fldChar w:fldCharType="end"/>
      </w:r>
    </w:p>
    <w:p>
      <w:pPr>
        <w:pStyle w:val="13"/>
        <w:tabs>
          <w:tab w:val="right" w:leader="dot" w:pos="8296"/>
        </w:tabs>
        <w:rPr>
          <w:rFonts w:asciiTheme="minorHAnsi" w:hAnsiTheme="minorHAnsi" w:eastAsiaTheme="minorEastAsia" w:cstheme="minorBidi"/>
          <w:sz w:val="21"/>
          <w:szCs w:val="22"/>
        </w:rPr>
      </w:pPr>
      <w:r>
        <w:fldChar w:fldCharType="begin"/>
      </w:r>
      <w:r>
        <w:instrText xml:space="preserve"> HYPERLINK \l "_Toc62427712" </w:instrText>
      </w:r>
      <w:r>
        <w:fldChar w:fldCharType="separate"/>
      </w:r>
      <w:r>
        <w:rPr>
          <w:rStyle w:val="22"/>
          <w:rFonts w:eastAsiaTheme="majorEastAsia"/>
          <w:color w:val="auto"/>
        </w:rPr>
        <w:t>引用标准名录</w:t>
      </w:r>
      <w:r>
        <w:tab/>
      </w:r>
      <w:r>
        <w:fldChar w:fldCharType="begin"/>
      </w:r>
      <w:r>
        <w:instrText xml:space="preserve"> PAGEREF _Toc62427712 \h </w:instrText>
      </w:r>
      <w:r>
        <w:fldChar w:fldCharType="separate"/>
      </w:r>
      <w:r>
        <w:t>29</w:t>
      </w:r>
      <w:r>
        <w:fldChar w:fldCharType="end"/>
      </w:r>
      <w:r>
        <w:fldChar w:fldCharType="end"/>
      </w:r>
    </w:p>
    <w:p>
      <w:pPr>
        <w:spacing w:line="240" w:lineRule="auto"/>
        <w:rPr>
          <w:lang w:val="zh-CN"/>
        </w:rPr>
      </w:pPr>
      <w:r>
        <w:rPr>
          <w:lang w:val="zh-CN"/>
        </w:rPr>
        <w:fldChar w:fldCharType="end"/>
      </w:r>
    </w:p>
    <w:p>
      <w:pPr>
        <w:tabs>
          <w:tab w:val="center" w:pos="4153"/>
        </w:tabs>
        <w:rPr>
          <w:lang w:val="zh-CN"/>
        </w:rPr>
        <w:sectPr>
          <w:pgSz w:w="11906" w:h="16838"/>
          <w:pgMar w:top="1440" w:right="1800" w:bottom="1440" w:left="1800" w:header="851" w:footer="992" w:gutter="0"/>
          <w:cols w:space="425" w:num="1"/>
          <w:titlePg/>
          <w:docGrid w:type="lines" w:linePitch="326" w:charSpace="0"/>
        </w:sectPr>
      </w:pPr>
      <w:r>
        <w:rPr>
          <w:lang w:val="zh-CN"/>
        </w:rPr>
        <w:tab/>
      </w:r>
    </w:p>
    <w:p>
      <w:pPr>
        <w:pStyle w:val="4"/>
        <w:rPr>
          <w:rStyle w:val="30"/>
          <w:rFonts w:eastAsiaTheme="majorEastAsia"/>
          <w:b/>
          <w:bCs w:val="0"/>
        </w:rPr>
      </w:pPr>
      <w:bookmarkStart w:id="15" w:name="_Toc24030844"/>
      <w:bookmarkStart w:id="16" w:name="_Toc12012"/>
      <w:bookmarkStart w:id="17" w:name="_Toc14157"/>
      <w:bookmarkStart w:id="18" w:name="_Toc62427679"/>
      <w:bookmarkStart w:id="19" w:name="_Toc19383"/>
      <w:bookmarkStart w:id="20" w:name="_Toc36714021"/>
      <w:r>
        <w:rPr>
          <w:rStyle w:val="30"/>
          <w:rFonts w:eastAsiaTheme="majorEastAsia"/>
          <w:b/>
          <w:bCs w:val="0"/>
        </w:rPr>
        <w:t>1</w:t>
      </w:r>
      <w:r>
        <w:rPr>
          <w:rStyle w:val="30"/>
          <w:rFonts w:eastAsiaTheme="majorEastAsia"/>
          <w:b/>
          <w:bCs/>
        </w:rPr>
        <w:t xml:space="preserve"> </w:t>
      </w:r>
      <w:r>
        <w:rPr>
          <w:rStyle w:val="30"/>
          <w:rFonts w:eastAsiaTheme="majorEastAsia"/>
          <w:b/>
          <w:bCs w:val="0"/>
        </w:rPr>
        <w:t>总 则</w:t>
      </w:r>
      <w:bookmarkEnd w:id="15"/>
      <w:bookmarkEnd w:id="16"/>
      <w:bookmarkEnd w:id="17"/>
      <w:bookmarkEnd w:id="18"/>
      <w:bookmarkEnd w:id="19"/>
      <w:bookmarkEnd w:id="20"/>
    </w:p>
    <w:p>
      <w:r>
        <w:t>1.0.1 按照国家</w:t>
      </w:r>
      <w:r>
        <w:rPr>
          <w:rFonts w:hint="eastAsia"/>
        </w:rPr>
        <w:t>、山东省、青岛市清洁取暖气代煤</w:t>
      </w:r>
      <w:r>
        <w:t>工作原则和要求，结合当前技术发展和现行相关标准，为满足实际工作需要，实现清洁能源的高效和安全利用，指导</w:t>
      </w:r>
      <w:r>
        <w:rPr>
          <w:rFonts w:hint="eastAsia"/>
        </w:rPr>
        <w:t>青岛</w:t>
      </w:r>
      <w:r>
        <w:t>市清洁</w:t>
      </w:r>
      <w:r>
        <w:rPr>
          <w:rFonts w:hint="eastAsia"/>
        </w:rPr>
        <w:t>取暖气代</w:t>
      </w:r>
      <w:r>
        <w:t>煤工程设计、施工、调试、验收等，制订本导则。</w:t>
      </w:r>
    </w:p>
    <w:p>
      <w:r>
        <w:rPr>
          <w:rFonts w:hint="eastAsia"/>
        </w:rPr>
        <w:t>1.0.2 本导则适用于青岛市既有农村采暖用户气代煤工程的设计、施工、验收及运行维护，并兼顾生活热水；不适用于统一规划、统一建设的新型农村社区用户、农村商业用户的燃气工程和采暖系统。</w:t>
      </w:r>
    </w:p>
    <w:p>
      <w:r>
        <w:rPr>
          <w:rFonts w:hint="eastAsia"/>
        </w:rPr>
        <w:t>1</w:t>
      </w:r>
      <w:r>
        <w:t xml:space="preserve">.0.3 </w:t>
      </w:r>
      <w:r>
        <w:rPr>
          <w:rFonts w:hint="eastAsia"/>
        </w:rPr>
        <w:t>清洁取暖气代煤</w:t>
      </w:r>
      <w:r>
        <w:t>工程除应符合本导则外，尚应符合国家</w:t>
      </w:r>
      <w:r>
        <w:rPr>
          <w:rFonts w:hint="eastAsia"/>
        </w:rPr>
        <w:t>及山东省</w:t>
      </w:r>
      <w:r>
        <w:t>现行相关标准、规范的要求。</w:t>
      </w:r>
    </w:p>
    <w:p>
      <w:pPr>
        <w:jc w:val="center"/>
      </w:pPr>
    </w:p>
    <w:p>
      <w:pPr>
        <w:pStyle w:val="4"/>
        <w:rPr>
          <w:rFonts w:eastAsiaTheme="majorEastAsia"/>
          <w:b w:val="0"/>
          <w:sz w:val="28"/>
          <w:szCs w:val="28"/>
        </w:rPr>
      </w:pPr>
      <w:r>
        <w:br w:type="page"/>
      </w:r>
      <w:bookmarkStart w:id="21" w:name="_Toc62427680"/>
      <w:bookmarkStart w:id="22" w:name="_Toc26733"/>
      <w:bookmarkStart w:id="23" w:name="_Toc1733"/>
      <w:bookmarkStart w:id="24" w:name="_Toc36714022"/>
      <w:bookmarkStart w:id="25" w:name="_Toc24030845"/>
      <w:bookmarkStart w:id="26" w:name="_Toc1027"/>
      <w:bookmarkStart w:id="27" w:name="_Toc14801"/>
      <w:r>
        <w:rPr>
          <w:rStyle w:val="30"/>
          <w:rFonts w:eastAsiaTheme="majorEastAsia"/>
          <w:b/>
          <w:bCs w:val="0"/>
        </w:rPr>
        <w:t>2 术 语</w:t>
      </w:r>
      <w:bookmarkEnd w:id="21"/>
      <w:bookmarkEnd w:id="22"/>
      <w:bookmarkEnd w:id="23"/>
      <w:bookmarkEnd w:id="24"/>
      <w:bookmarkEnd w:id="25"/>
      <w:bookmarkEnd w:id="26"/>
      <w:bookmarkEnd w:id="27"/>
    </w:p>
    <w:p>
      <w:r>
        <w:t xml:space="preserve">2.0.1 </w:t>
      </w:r>
      <w:r>
        <w:rPr>
          <w:rFonts w:hint="eastAsia"/>
        </w:rPr>
        <w:t>农村气代煤工程 rural</w:t>
      </w:r>
      <w:r>
        <w:t xml:space="preserve"> </w:t>
      </w:r>
      <w:r>
        <w:rPr>
          <w:rFonts w:hint="eastAsia"/>
        </w:rPr>
        <w:t>coal</w:t>
      </w:r>
      <w:r>
        <w:t xml:space="preserve"> </w:t>
      </w:r>
      <w:r>
        <w:rPr>
          <w:rFonts w:hint="eastAsia"/>
        </w:rPr>
        <w:t>t</w:t>
      </w:r>
      <w:r>
        <w:t>o natural gas project</w:t>
      </w:r>
    </w:p>
    <w:p>
      <w:pPr>
        <w:widowControl/>
        <w:ind w:firstLine="480" w:firstLineChars="200"/>
      </w:pPr>
      <w:r>
        <w:rPr>
          <w:rFonts w:hint="eastAsia"/>
        </w:rPr>
        <w:t>指以天然气为气源，最高工作压力（表压）不大于</w:t>
      </w:r>
      <w:r>
        <w:t>0.01MPa</w:t>
      </w:r>
      <w:r>
        <w:rPr>
          <w:rFonts w:hint="eastAsia"/>
        </w:rPr>
        <w:t>的用于满足农村居民用户采暖需求燃气室内工程。</w:t>
      </w:r>
    </w:p>
    <w:p>
      <w:r>
        <w:rPr>
          <w:rFonts w:hint="eastAsia"/>
        </w:rPr>
        <w:t>2</w:t>
      </w:r>
      <w:r>
        <w:t>.0.2 燃气室内工程 rural indor gas engineering project</w:t>
      </w:r>
    </w:p>
    <w:p>
      <w:pPr>
        <w:widowControl/>
        <w:ind w:firstLine="480" w:firstLineChars="200"/>
      </w:pPr>
      <w:r>
        <w:rPr>
          <w:rFonts w:hint="eastAsia"/>
        </w:rPr>
        <w:t>指</w:t>
      </w:r>
      <w:r>
        <w:t>用户内部的燃气工程系统，含引入管到各用户燃具和用气设备之间的燃气管道（包括室内燃气</w:t>
      </w:r>
      <w:r>
        <w:rPr>
          <w:rFonts w:hint="eastAsia"/>
        </w:rPr>
        <w:t>管</w:t>
      </w:r>
      <w:r>
        <w:t>道及室外燃气管道）、燃具、用气设备及设施</w:t>
      </w:r>
      <w:r>
        <w:rPr>
          <w:rFonts w:hint="eastAsia"/>
        </w:rPr>
        <w:t>。</w:t>
      </w:r>
    </w:p>
    <w:p>
      <w:pPr>
        <w:widowControl/>
      </w:pPr>
      <w:r>
        <w:t>2.0.3室内燃气管道 internal gas pipe</w:t>
      </w:r>
    </w:p>
    <w:p>
      <w:pPr>
        <w:widowControl/>
        <w:ind w:firstLine="480" w:firstLineChars="200"/>
      </w:pPr>
      <w:r>
        <w:t>从用户引入管总阀门到各用户燃具和用气设备之间的燃气管道。</w:t>
      </w:r>
    </w:p>
    <w:p>
      <w:pPr>
        <w:widowControl/>
      </w:pPr>
      <w:r>
        <w:t>2.0.4 引入管 sericepipe</w:t>
      </w:r>
    </w:p>
    <w:p>
      <w:pPr>
        <w:widowControl/>
        <w:ind w:firstLine="480" w:firstLineChars="200"/>
      </w:pPr>
      <w:r>
        <w:t>室外配气支管与用户室内燃气进口管总阀门（当无总阀门时，指距室内地面1.0m高处）之间的管道。含沿外墙敷设的燃气管道。配气支管指最靠近燃气用户的室外燃气配气管道。</w:t>
      </w:r>
    </w:p>
    <w:p>
      <w:r>
        <w:t>2.0.5 燃气采暖热水炉 gas-fired heating and hot water combine-boiler</w:t>
      </w:r>
    </w:p>
    <w:p>
      <w:pPr>
        <w:ind w:firstLine="480" w:firstLineChars="200"/>
      </w:pPr>
      <w:r>
        <w:rPr>
          <w:rFonts w:hint="eastAsia"/>
        </w:rPr>
        <w:t>以天然气作为能源，热负荷不大于7</w:t>
      </w:r>
      <w:r>
        <w:t>0</w:t>
      </w:r>
      <w:r>
        <w:rPr>
          <w:rFonts w:hint="eastAsia"/>
        </w:rPr>
        <w:t>kW，最大采暖工作水压小于等于</w:t>
      </w:r>
      <w:r>
        <w:t>0</w:t>
      </w:r>
      <w:r>
        <w:rPr>
          <w:rFonts w:hint="eastAsia"/>
        </w:rPr>
        <w:t>.</w:t>
      </w:r>
      <w:r>
        <w:t>3MPa</w:t>
      </w:r>
      <w:r>
        <w:rPr>
          <w:rFonts w:hint="eastAsia"/>
        </w:rPr>
        <w:t>，工作时水温不大于</w:t>
      </w:r>
      <w:r>
        <w:t>95</w:t>
      </w:r>
      <w:r>
        <w:rPr>
          <w:rFonts w:hint="eastAsia"/>
        </w:rPr>
        <w:t>℃的家用采暖热水两用型或单供暖型器具，</w:t>
      </w:r>
      <w:r>
        <w:t>简称“采暖热水炉”。</w:t>
      </w:r>
    </w:p>
    <w:p>
      <w:r>
        <w:rPr>
          <w:rFonts w:hint="eastAsia"/>
        </w:rPr>
        <w:t>2</w:t>
      </w:r>
      <w:r>
        <w:t xml:space="preserve">.0.6 </w:t>
      </w:r>
      <w:r>
        <w:rPr>
          <w:rFonts w:hint="eastAsia"/>
        </w:rPr>
        <w:t xml:space="preserve">采暖热水炉供暖系统 </w:t>
      </w:r>
      <w:r>
        <w:t>heating and hot water combi-boiler heating system</w:t>
      </w:r>
    </w:p>
    <w:p>
      <w:pPr>
        <w:adjustRightInd w:val="0"/>
        <w:ind w:firstLine="480" w:firstLineChars="200"/>
        <w:rPr>
          <w:rFonts w:cs="宋体"/>
        </w:rPr>
      </w:pPr>
      <w:r>
        <w:rPr>
          <w:rFonts w:hint="eastAsia" w:cs="宋体"/>
        </w:rPr>
        <w:t>以天然气作为低温热源，由</w:t>
      </w:r>
      <w:r>
        <w:t>燃气采暖热水炉</w:t>
      </w:r>
      <w:r>
        <w:rPr>
          <w:rFonts w:hint="eastAsia" w:cs="宋体"/>
        </w:rPr>
        <w:t>、输配系统、供暖末端组成的供暖系统。</w:t>
      </w:r>
    </w:p>
    <w:p>
      <w:pPr>
        <w:jc w:val="left"/>
      </w:pPr>
      <w:r>
        <w:rPr>
          <w:rFonts w:hint="eastAsia"/>
        </w:rPr>
        <w:t>2.0.</w:t>
      </w:r>
      <w:r>
        <w:t>7</w:t>
      </w:r>
      <w:r>
        <w:rPr>
          <w:rFonts w:hint="eastAsia"/>
        </w:rPr>
        <w:t xml:space="preserve"> 家用燃气燃烧器具 </w:t>
      </w:r>
      <w:r>
        <w:t>domestic gas burning appliances</w:t>
      </w:r>
    </w:p>
    <w:p>
      <w:pPr>
        <w:ind w:firstLine="480" w:firstLineChars="200"/>
        <w:jc w:val="left"/>
      </w:pPr>
      <w:r>
        <w:rPr>
          <w:rFonts w:hint="eastAsia"/>
        </w:rPr>
        <w:t>以城镇燃气为燃料的家庭烹调、热水和热水采暖等燃烧装置的总称，简称燃具。</w:t>
      </w:r>
    </w:p>
    <w:p>
      <w:pPr>
        <w:widowControl/>
      </w:pPr>
      <w:r>
        <w:rPr>
          <w:rFonts w:hint="eastAsia"/>
        </w:rPr>
        <w:t>2.0.</w:t>
      </w:r>
      <w:r>
        <w:t xml:space="preserve">8 </w:t>
      </w:r>
      <w:r>
        <w:rPr>
          <w:rFonts w:hint="eastAsia"/>
        </w:rPr>
        <w:t>家用燃气报警器 household combustible gas alarms</w:t>
      </w:r>
    </w:p>
    <w:p>
      <w:pPr>
        <w:widowControl/>
        <w:ind w:firstLine="480" w:firstLineChars="200"/>
      </w:pPr>
      <w:r>
        <w:rPr>
          <w:rFonts w:hint="eastAsia"/>
        </w:rPr>
        <w:t>具有燃气泄漏报警功能和（或）具有燃气不完全燃烧报警功能的设备。</w:t>
      </w:r>
    </w:p>
    <w:p>
      <w:pPr>
        <w:widowControl/>
      </w:pPr>
      <w:r>
        <w:rPr>
          <w:rFonts w:hint="eastAsia"/>
        </w:rPr>
        <w:t>2.0.</w:t>
      </w:r>
      <w:r>
        <w:t>9</w:t>
      </w:r>
      <w:r>
        <w:rPr>
          <w:rFonts w:hint="eastAsia"/>
        </w:rPr>
        <w:t>烟道 flue</w:t>
      </w:r>
    </w:p>
    <w:p>
      <w:pPr>
        <w:ind w:firstLine="480" w:firstLineChars="200"/>
      </w:pPr>
      <w:r>
        <w:rPr>
          <w:rFonts w:hint="eastAsia"/>
        </w:rPr>
        <w:t>用以排除半密闭式燃具燃烧烟气的排烟通道系统。按排烟形式分独立烟道（适用</w:t>
      </w:r>
      <w:r>
        <w:t>1</w:t>
      </w:r>
      <w:r>
        <w:rPr>
          <w:rFonts w:hint="eastAsia"/>
        </w:rPr>
        <w:t>台燃具）和共用烟道（适用</w:t>
      </w:r>
      <w:r>
        <w:t>2</w:t>
      </w:r>
      <w:r>
        <w:rPr>
          <w:rFonts w:hint="eastAsia"/>
        </w:rPr>
        <w:t>台及以上燃具）两种。按烟道的结构形式又分为水平烟道和垂直烟道。与燃具同步安装的一般称为排气筒或排气管，与建筑物同步安装的一般称为烟囱或烟道。</w:t>
      </w:r>
    </w:p>
    <w:p>
      <w:pPr>
        <w:ind w:firstLine="480" w:firstLineChars="200"/>
      </w:pPr>
      <w:r>
        <w:br w:type="page"/>
      </w:r>
    </w:p>
    <w:p>
      <w:pPr>
        <w:pStyle w:val="4"/>
        <w:rPr>
          <w:rStyle w:val="30"/>
          <w:rFonts w:eastAsiaTheme="majorEastAsia"/>
          <w:b/>
          <w:bCs w:val="0"/>
        </w:rPr>
      </w:pPr>
      <w:bookmarkStart w:id="28" w:name="_Toc36714023"/>
      <w:bookmarkStart w:id="29" w:name="_Toc32012"/>
      <w:bookmarkStart w:id="30" w:name="_Toc62427681"/>
      <w:bookmarkStart w:id="31" w:name="_Toc24030846"/>
      <w:bookmarkStart w:id="32" w:name="_Toc12554"/>
      <w:bookmarkStart w:id="33" w:name="_Toc4009"/>
      <w:r>
        <w:rPr>
          <w:rStyle w:val="30"/>
          <w:rFonts w:eastAsiaTheme="majorEastAsia"/>
          <w:b/>
          <w:bCs w:val="0"/>
        </w:rPr>
        <w:t>3 基本规定</w:t>
      </w:r>
      <w:bookmarkEnd w:id="28"/>
      <w:bookmarkEnd w:id="29"/>
      <w:bookmarkEnd w:id="30"/>
      <w:bookmarkEnd w:id="31"/>
      <w:bookmarkEnd w:id="32"/>
      <w:bookmarkEnd w:id="33"/>
    </w:p>
    <w:p>
      <w:r>
        <w:rPr>
          <w:rFonts w:hint="eastAsia"/>
        </w:rPr>
        <w:t>3.0.1</w:t>
      </w:r>
      <w:r>
        <w:t xml:space="preserve"> </w:t>
      </w:r>
      <w:r>
        <w:rPr>
          <w:rFonts w:hint="eastAsia"/>
        </w:rPr>
        <w:t>农村燃气室内工程</w:t>
      </w:r>
      <w:r>
        <w:t>应按照因地制宜的原则，根据所在地</w:t>
      </w:r>
      <w:r>
        <w:rPr>
          <w:rFonts w:hint="eastAsia"/>
        </w:rPr>
        <w:t>条件、</w:t>
      </w:r>
      <w:r>
        <w:t>能源现状、采暖方式和经济水平等实际情况，并结合农村散煤治理、农村危房改造、农村人居环境整治等工作统筹确定。</w:t>
      </w:r>
    </w:p>
    <w:p>
      <w:r>
        <w:rPr>
          <w:rFonts w:hint="eastAsia"/>
        </w:rPr>
        <w:t>3.0.2农村燃气室内工程设计应符合《城镇燃气设计规范》</w:t>
      </w:r>
      <w:r>
        <w:t>GB 50028</w:t>
      </w:r>
      <w:r>
        <w:rPr>
          <w:rFonts w:hint="eastAsia"/>
        </w:rPr>
        <w:t>、</w:t>
      </w:r>
      <w:r>
        <w:rPr>
          <w:bCs/>
        </w:rPr>
        <w:t>《燃气采暖热水炉应用技术规程》</w:t>
      </w:r>
      <w:r>
        <w:rPr>
          <w:rFonts w:hint="eastAsia"/>
          <w:bCs/>
        </w:rPr>
        <w:t>T</w:t>
      </w:r>
      <w:r>
        <w:rPr>
          <w:bCs/>
        </w:rPr>
        <w:t>/CECS 215</w:t>
      </w:r>
      <w:r>
        <w:rPr>
          <w:rFonts w:hint="eastAsia"/>
        </w:rPr>
        <w:t>等相关标准的规定，农村燃气室内工程的施工与质量验收应符合《城镇燃气室内工程施工与质量验收规范》CJJ</w:t>
      </w:r>
      <w:r>
        <w:t xml:space="preserve"> </w:t>
      </w:r>
      <w:r>
        <w:rPr>
          <w:rFonts w:hint="eastAsia"/>
        </w:rPr>
        <w:t>94、《家用燃气燃烧器具安装及验收规程》CJJ</w:t>
      </w:r>
      <w:r>
        <w:t xml:space="preserve"> </w:t>
      </w:r>
      <w:r>
        <w:rPr>
          <w:rFonts w:hint="eastAsia"/>
        </w:rPr>
        <w:t>12、《农村管道天然气工程技术导则》（建办城函</w:t>
      </w:r>
      <w:r>
        <w:rPr>
          <w:rFonts w:hint="eastAsia" w:ascii="宋体" w:hAnsi="宋体"/>
        </w:rPr>
        <w:t>﹝</w:t>
      </w:r>
      <w:r>
        <w:t>2018</w:t>
      </w:r>
      <w:r>
        <w:rPr>
          <w:rFonts w:hint="eastAsia" w:ascii="宋体" w:hAnsi="宋体"/>
        </w:rPr>
        <w:t>﹞</w:t>
      </w:r>
      <w:r>
        <w:t>647</w:t>
      </w:r>
      <w:r>
        <w:rPr>
          <w:rFonts w:hint="eastAsia"/>
        </w:rPr>
        <w:t>号）等相关标准规定。</w:t>
      </w:r>
    </w:p>
    <w:p>
      <w:r>
        <w:rPr>
          <w:rFonts w:hint="eastAsia"/>
        </w:rPr>
        <w:t>3.0.3</w:t>
      </w:r>
      <w:r>
        <w:t xml:space="preserve"> 采用管道天然气采暖的农村建筑应符合</w:t>
      </w:r>
      <w:r>
        <w:rPr>
          <w:rFonts w:hint="eastAsia"/>
        </w:rPr>
        <w:t>现行国家标准</w:t>
      </w:r>
      <w:r>
        <w:t>《农村防火规范》GB50039的相关规定，不得是土坯房、木板房，或用易燃材料搭建墙壁、屋顶，以及被列入近期拆迁计划和被确定为危房的农村建筑。</w:t>
      </w:r>
    </w:p>
    <w:p>
      <w:r>
        <w:rPr>
          <w:rFonts w:hint="eastAsia"/>
        </w:rPr>
        <w:t>3.0.4</w:t>
      </w:r>
      <w:r>
        <w:t xml:space="preserve"> </w:t>
      </w:r>
      <w:r>
        <w:rPr>
          <w:rFonts w:hint="eastAsia"/>
        </w:rPr>
        <w:t>农村燃气室内工程</w:t>
      </w:r>
      <w:r>
        <w:t>管道系统设计压力应根据气源的压力条件、燃具、用气设备等有关要求确定，</w:t>
      </w:r>
      <w:r>
        <w:rPr>
          <w:rFonts w:hint="eastAsia"/>
        </w:rPr>
        <w:t>燃气</w:t>
      </w:r>
      <w:r>
        <w:t>管道最高工作压力（表压）不应大于0.01MPa。</w:t>
      </w:r>
    </w:p>
    <w:p>
      <w:r>
        <w:rPr>
          <w:rFonts w:hint="eastAsia"/>
        </w:rPr>
        <w:t>3</w:t>
      </w:r>
      <w:r>
        <w:t xml:space="preserve">.0.5 </w:t>
      </w:r>
      <w:r>
        <w:rPr>
          <w:rFonts w:hint="eastAsia"/>
        </w:rPr>
        <w:t>承担燃气室内工程和燃气采暖炉供暖系统的施工单位，应具有国家相关行政管理部门批准的与承包范围相应的资质。</w:t>
      </w:r>
    </w:p>
    <w:p>
      <w:r>
        <w:t xml:space="preserve">3.0.6 </w:t>
      </w:r>
      <w:r>
        <w:rPr>
          <w:rFonts w:hint="eastAsia"/>
        </w:rPr>
        <w:t>燃气室内工程和燃气采暖炉供暖系统施工必须按已审定的设计文件实施。当需要修改设计文件或材料代用时，应经原设计单位同意。</w:t>
      </w:r>
    </w:p>
    <w:p>
      <w:r>
        <w:rPr>
          <w:rFonts w:hint="eastAsia"/>
        </w:rPr>
        <w:t>3.0.</w:t>
      </w:r>
      <w:r>
        <w:t xml:space="preserve">7 </w:t>
      </w:r>
      <w:r>
        <w:rPr>
          <w:rFonts w:hint="eastAsia"/>
        </w:rPr>
        <w:t>农村煤改气工程的检验、试验与调试由施工单位负责实施，并做好有关检验、试验记录，监理（建设）等单位应参加。</w:t>
      </w:r>
    </w:p>
    <w:p>
      <w:r>
        <w:rPr>
          <w:rFonts w:hint="eastAsia"/>
        </w:rPr>
        <w:t>3.0.</w:t>
      </w:r>
      <w:r>
        <w:t>8 农村</w:t>
      </w:r>
      <w:r>
        <w:rPr>
          <w:rFonts w:hint="eastAsia"/>
        </w:rPr>
        <w:t>燃气室内</w:t>
      </w:r>
      <w:r>
        <w:t>工程完工后，建设单位应按规定组织</w:t>
      </w:r>
      <w:r>
        <w:rPr>
          <w:rFonts w:hint="eastAsia"/>
        </w:rPr>
        <w:t>设计、施工、监理等</w:t>
      </w:r>
      <w:r>
        <w:t>参建单位进行竣工验收，未通过验收的工程，不得交付使用。竣工验收的情况应报</w:t>
      </w:r>
      <w:r>
        <w:rPr>
          <w:rFonts w:hint="eastAsia"/>
        </w:rPr>
        <w:t>区（市）级</w:t>
      </w:r>
      <w:r>
        <w:t>燃气管理部门备案。</w:t>
      </w:r>
    </w:p>
    <w:p>
      <w:pPr>
        <w:pStyle w:val="15"/>
        <w:spacing w:before="0" w:beforeAutospacing="0" w:after="0" w:afterAutospacing="0"/>
        <w:rPr>
          <w:rFonts w:ascii="Times New Roman" w:hAnsi="Times New Roman" w:cs="Times New Roman"/>
          <w:kern w:val="2"/>
          <w:sz w:val="24"/>
          <w:szCs w:val="24"/>
        </w:rPr>
      </w:pPr>
      <w:r>
        <w:rPr>
          <w:rFonts w:ascii="Times New Roman" w:hAnsi="Times New Roman" w:cs="Times New Roman"/>
          <w:kern w:val="2"/>
          <w:sz w:val="24"/>
          <w:szCs w:val="24"/>
        </w:rPr>
        <w:t>3.0.9</w:t>
      </w:r>
      <w:r>
        <w:rPr>
          <w:rFonts w:hint="eastAsia" w:ascii="Times New Roman" w:hAnsi="Times New Roman" w:cs="Times New Roman"/>
          <w:kern w:val="2"/>
          <w:sz w:val="24"/>
          <w:szCs w:val="24"/>
        </w:rPr>
        <w:t>农村</w:t>
      </w:r>
      <w:r>
        <w:rPr>
          <w:rFonts w:ascii="Times New Roman" w:hAnsi="Times New Roman" w:cs="Times New Roman"/>
          <w:kern w:val="2"/>
          <w:sz w:val="24"/>
          <w:szCs w:val="24"/>
        </w:rPr>
        <w:t>燃气室内工程竣工验收合格后，接通燃气的工作应由燃气供应单位负责。</w:t>
      </w:r>
    </w:p>
    <w:p>
      <w:r>
        <w:t>3.0.10 燃气管道和设施应设置清晰醒目的标志；设置在易遭破坏处的管道和设施还应采取防外部破坏的措施。</w:t>
      </w:r>
    </w:p>
    <w:p>
      <w:r>
        <w:br w:type="page"/>
      </w:r>
    </w:p>
    <w:p>
      <w:pPr>
        <w:pStyle w:val="4"/>
        <w:rPr>
          <w:rStyle w:val="30"/>
          <w:rFonts w:eastAsiaTheme="majorEastAsia"/>
          <w:b/>
          <w:bCs w:val="0"/>
        </w:rPr>
      </w:pPr>
      <w:bookmarkStart w:id="34" w:name="_Toc32390"/>
      <w:bookmarkStart w:id="35" w:name="_Toc8775"/>
      <w:bookmarkStart w:id="36" w:name="_Toc27898"/>
      <w:bookmarkStart w:id="37" w:name="_Toc36714029"/>
      <w:bookmarkStart w:id="38" w:name="_Toc62427682"/>
      <w:bookmarkStart w:id="39" w:name="_Toc24030855"/>
      <w:r>
        <w:rPr>
          <w:rStyle w:val="30"/>
          <w:rFonts w:hint="eastAsia" w:eastAsiaTheme="majorEastAsia"/>
          <w:b/>
          <w:bCs w:val="0"/>
        </w:rPr>
        <w:t>4</w:t>
      </w:r>
      <w:bookmarkEnd w:id="34"/>
      <w:bookmarkEnd w:id="35"/>
      <w:bookmarkEnd w:id="36"/>
      <w:bookmarkEnd w:id="37"/>
      <w:r>
        <w:rPr>
          <w:rStyle w:val="30"/>
          <w:rFonts w:hint="eastAsia" w:eastAsiaTheme="majorEastAsia"/>
          <w:b/>
          <w:bCs w:val="0"/>
        </w:rPr>
        <w:t xml:space="preserve"> 室内燃气管道</w:t>
      </w:r>
      <w:bookmarkEnd w:id="38"/>
    </w:p>
    <w:p>
      <w:pPr>
        <w:pStyle w:val="5"/>
      </w:pPr>
      <w:bookmarkStart w:id="40" w:name="_Toc62427683"/>
      <w:r>
        <w:rPr>
          <w:rFonts w:ascii="Times New Roman" w:hAnsi="Times New Roman"/>
          <w:b w:val="0"/>
          <w:bCs w:val="0"/>
          <w:sz w:val="24"/>
          <w:szCs w:val="24"/>
        </w:rPr>
        <w:t>4.1</w:t>
      </w:r>
      <w:r>
        <w:rPr>
          <w:rFonts w:hint="eastAsia" w:ascii="Times New Roman" w:hAnsi="Times New Roman"/>
          <w:b w:val="0"/>
          <w:bCs w:val="0"/>
          <w:sz w:val="24"/>
          <w:szCs w:val="24"/>
        </w:rPr>
        <w:t>一般规定</w:t>
      </w:r>
      <w:bookmarkEnd w:id="40"/>
    </w:p>
    <w:p>
      <w:r>
        <w:rPr>
          <w:rFonts w:hint="eastAsia"/>
        </w:rPr>
        <w:t>4</w:t>
      </w:r>
      <w:r>
        <w:t xml:space="preserve">.1.1 </w:t>
      </w:r>
      <w:r>
        <w:rPr>
          <w:rFonts w:hint="eastAsia"/>
        </w:rPr>
        <w:t>燃气室内工程设计应符合现行国家标准《城镇燃气设计规范》GB</w:t>
      </w:r>
      <w:r>
        <w:t>50028</w:t>
      </w:r>
      <w:r>
        <w:rPr>
          <w:rFonts w:hint="eastAsia"/>
        </w:rPr>
        <w:t>等</w:t>
      </w:r>
      <w:r>
        <w:t>国家</w:t>
      </w:r>
      <w:r>
        <w:rPr>
          <w:rFonts w:hint="eastAsia"/>
        </w:rPr>
        <w:t>及山东省</w:t>
      </w:r>
      <w:r>
        <w:t>现行相关标准、规范的要求</w:t>
      </w:r>
      <w:r>
        <w:rPr>
          <w:rFonts w:hint="eastAsia"/>
        </w:rPr>
        <w:t>。</w:t>
      </w:r>
      <w:r>
        <w:t>燃气室内工程</w:t>
      </w:r>
      <w:r>
        <w:rPr>
          <w:rFonts w:hint="eastAsia"/>
        </w:rPr>
        <w:t>的施工与验收应符合现行行业标准</w:t>
      </w:r>
      <w:r>
        <w:t>《城镇燃气室内工程施工与质量验收规范》</w:t>
      </w:r>
      <w:r>
        <w:rPr>
          <w:rFonts w:hint="eastAsia"/>
        </w:rPr>
        <w:t>C</w:t>
      </w:r>
      <w:r>
        <w:t>JJ 94</w:t>
      </w:r>
      <w:r>
        <w:rPr>
          <w:rFonts w:hint="eastAsia"/>
        </w:rPr>
        <w:t>等国家及山东省</w:t>
      </w:r>
      <w:r>
        <w:t>现行相关标准、规范的要求</w:t>
      </w:r>
      <w:r>
        <w:rPr>
          <w:rFonts w:hint="eastAsia"/>
        </w:rPr>
        <w:t>。</w:t>
      </w:r>
    </w:p>
    <w:p>
      <w:r>
        <w:t xml:space="preserve">4.1.2 </w:t>
      </w:r>
      <w:r>
        <w:rPr>
          <w:rFonts w:hint="eastAsia"/>
        </w:rPr>
        <w:t>燃气室内工程所用的管道组成件、设备及有关材料的规格、性能等应符合国家现行有关标准及设计文件的规定，并应有出厂合格文件；燃具、用气设备和计量装置等必须选用经国家主管部门认可的检测机构检测合格的产品，不合格者不得选用。</w:t>
      </w:r>
    </w:p>
    <w:p>
      <w:r>
        <w:t xml:space="preserve">4.1.3 </w:t>
      </w:r>
      <w:r>
        <w:rPr>
          <w:rFonts w:hint="eastAsia"/>
        </w:rPr>
        <w:t>从事燃气钢质管道焊接的人员必须具有锅炉压力容器压力管道特种设备操作人员资格证书，且应在证书的有效期及合格范围内从事焊接工作。间断焊接时间超过六个月，再次上岗前应重新考试合格。</w:t>
      </w:r>
    </w:p>
    <w:p>
      <w:r>
        <w:t>4.1.4</w:t>
      </w:r>
      <w:r>
        <w:rPr>
          <w:rFonts w:hint="eastAsia"/>
        </w:rPr>
        <w:t xml:space="preserve"> 从事燃气铜管钎焊焊接的人员应经专业技术培训合格，并持相关部门签发的特种作业人员上岗证书，方可上岗操作。</w:t>
      </w:r>
    </w:p>
    <w:p>
      <w:r>
        <w:t>4.1.5</w:t>
      </w:r>
      <w:r>
        <w:rPr>
          <w:rFonts w:hint="eastAsia"/>
        </w:rPr>
        <w:t xml:space="preserve"> 从事燃气管道机械连接的安装人员应经专业技术培训合格，并持相关部门签发的上岗证书，方可上岗操作。</w:t>
      </w:r>
    </w:p>
    <w:p>
      <w:r>
        <w:t>4.1.6</w:t>
      </w:r>
      <w:r>
        <w:rPr>
          <w:rFonts w:hint="eastAsia"/>
        </w:rPr>
        <w:t>农村燃气用户燃具应与气源相匹配，同一房间不得使用两种及以上的燃气。</w:t>
      </w:r>
    </w:p>
    <w:p>
      <w:r>
        <w:rPr>
          <w:rFonts w:hint="eastAsia"/>
        </w:rPr>
        <w:t>4.1.</w:t>
      </w:r>
      <w:r>
        <w:t>7 燃气的种类和压力，以及自来水的供水压力应符合燃具要求。</w:t>
      </w:r>
    </w:p>
    <w:p>
      <w:r>
        <w:t>4.</w:t>
      </w:r>
      <w:r>
        <w:rPr>
          <w:rFonts w:hint="eastAsia"/>
        </w:rPr>
        <w:t>1</w:t>
      </w:r>
      <w:r>
        <w:t xml:space="preserve">.8 </w:t>
      </w:r>
      <w:r>
        <w:rPr>
          <w:rFonts w:hint="eastAsia"/>
        </w:rPr>
        <w:t>燃气燃烧产生的烟气应直接排至室外。燃具或用气设备不应与使用固体燃料的设备共用一个烟道或一套排烟设施。</w:t>
      </w:r>
    </w:p>
    <w:p>
      <w:pPr>
        <w:pStyle w:val="5"/>
        <w:rPr>
          <w:rFonts w:ascii="Times New Roman" w:hAnsi="Times New Roman"/>
          <w:b w:val="0"/>
          <w:bCs w:val="0"/>
          <w:sz w:val="24"/>
          <w:szCs w:val="24"/>
        </w:rPr>
      </w:pPr>
      <w:bookmarkStart w:id="41" w:name="_Toc62427684"/>
      <w:r>
        <w:rPr>
          <w:rFonts w:hint="eastAsia" w:ascii="Times New Roman" w:hAnsi="Times New Roman"/>
          <w:b w:val="0"/>
          <w:bCs w:val="0"/>
          <w:sz w:val="24"/>
          <w:szCs w:val="24"/>
        </w:rPr>
        <w:t>4</w:t>
      </w:r>
      <w:r>
        <w:rPr>
          <w:rFonts w:ascii="Times New Roman" w:hAnsi="Times New Roman"/>
          <w:b w:val="0"/>
          <w:bCs w:val="0"/>
          <w:sz w:val="24"/>
          <w:szCs w:val="24"/>
        </w:rPr>
        <w:t xml:space="preserve">.2 </w:t>
      </w:r>
      <w:r>
        <w:rPr>
          <w:rFonts w:hint="eastAsia" w:ascii="Times New Roman" w:hAnsi="Times New Roman"/>
          <w:b w:val="0"/>
          <w:bCs w:val="0"/>
          <w:sz w:val="24"/>
          <w:szCs w:val="24"/>
        </w:rPr>
        <w:t>系统设计</w:t>
      </w:r>
      <w:bookmarkEnd w:id="41"/>
    </w:p>
    <w:p>
      <w:r>
        <w:rPr>
          <w:rFonts w:hint="eastAsia"/>
        </w:rPr>
        <w:t>4</w:t>
      </w:r>
      <w:r>
        <w:t>.2.1</w:t>
      </w:r>
      <w:r>
        <w:rPr>
          <w:rFonts w:hint="eastAsia"/>
        </w:rPr>
        <w:t>农村燃气输配管道系统设计压力，应根据气源的压力条件、燃具、用气设备等有关要求确定。农村居民室内燃气管道最高工作压力（表压）不应大于</w:t>
      </w:r>
      <w:r>
        <w:t>0.01MPa</w:t>
      </w:r>
      <w:r>
        <w:rPr>
          <w:rFonts w:hint="eastAsia"/>
        </w:rPr>
        <w:t>。</w:t>
      </w:r>
    </w:p>
    <w:p>
      <w:r>
        <w:rPr>
          <w:rFonts w:hint="eastAsia"/>
        </w:rPr>
        <w:t>4</w:t>
      </w:r>
      <w:r>
        <w:t xml:space="preserve">.2.2 </w:t>
      </w:r>
      <w:r>
        <w:rPr>
          <w:rFonts w:hint="eastAsia"/>
        </w:rPr>
        <w:t>室内燃气管道宜选用钢管，不宜选用橡胶软管。当选用铜管、不锈钢管、铝塑复合管和连接用软管时，应符合《城镇燃气设计规范》GB</w:t>
      </w:r>
      <w:r>
        <w:t xml:space="preserve"> 50028</w:t>
      </w:r>
      <w:r>
        <w:rPr>
          <w:rFonts w:hint="eastAsia"/>
        </w:rPr>
        <w:t>第10．2．4～10．2．8条的规定。</w:t>
      </w:r>
    </w:p>
    <w:p>
      <w:r>
        <w:rPr>
          <w:rFonts w:hint="eastAsia"/>
        </w:rPr>
        <w:t>4</w:t>
      </w:r>
      <w:r>
        <w:t xml:space="preserve">.2.3 </w:t>
      </w:r>
      <w:r>
        <w:rPr>
          <w:rFonts w:hint="eastAsia"/>
        </w:rPr>
        <w:t>居民生活用室内燃气管道的计算流量应按下式计算：</w:t>
      </w:r>
    </w:p>
    <w:p>
      <w:pPr>
        <w:widowControl/>
        <w:jc w:val="left"/>
        <w:rPr>
          <w:rFonts w:ascii="宋体" w:hAnsi="宋体" w:cs="宋体"/>
          <w:kern w:val="0"/>
        </w:rPr>
      </w:pPr>
      <m:oMathPara>
        <m:oMath>
          <m:sSub>
            <m:sSubPr>
              <m:ctrlPr>
                <w:rPr>
                  <w:rFonts w:ascii="Cambria Math" w:hAnsi="Cambria Math" w:cs="宋体"/>
                  <w:i/>
                  <w:kern w:val="0"/>
                </w:rPr>
              </m:ctrlPr>
            </m:sSubPr>
            <m:e>
              <m:r>
                <m:rPr/>
                <w:rPr>
                  <w:rFonts w:ascii="Cambria Math" w:hAnsi="Cambria Math" w:cs="宋体"/>
                  <w:kern w:val="0"/>
                </w:rPr>
                <m:t>Q</m:t>
              </m:r>
              <m:ctrlPr>
                <w:rPr>
                  <w:rFonts w:ascii="Cambria Math" w:hAnsi="Cambria Math" w:cs="宋体"/>
                  <w:i/>
                  <w:kern w:val="0"/>
                </w:rPr>
              </m:ctrlPr>
            </m:e>
            <m:sub>
              <m:r>
                <m:rPr/>
                <w:rPr>
                  <w:rFonts w:ascii="Cambria Math" w:hAnsi="Cambria Math" w:cs="宋体"/>
                  <w:kern w:val="0"/>
                </w:rPr>
                <m:t>ℎ</m:t>
              </m:r>
              <m:ctrlPr>
                <w:rPr>
                  <w:rFonts w:ascii="Cambria Math" w:hAnsi="Cambria Math" w:cs="宋体"/>
                  <w:i/>
                  <w:kern w:val="0"/>
                </w:rPr>
              </m:ctrlPr>
            </m:sub>
          </m:sSub>
          <m:r>
            <m:rPr/>
            <w:rPr>
              <w:rFonts w:ascii="Cambria Math" w:hAnsi="Cambria Math" w:cs="宋体"/>
              <w:kern w:val="0"/>
            </w:rPr>
            <m:t>=</m:t>
          </m:r>
          <m:nary>
            <m:naryPr>
              <m:chr m:val="∑"/>
              <m:limLoc m:val="undOvr"/>
              <m:subHide m:val="1"/>
              <m:supHide m:val="1"/>
              <m:ctrlPr>
                <w:rPr>
                  <w:rFonts w:ascii="Cambria Math" w:hAnsi="Cambria Math" w:cs="宋体"/>
                  <w:i/>
                  <w:kern w:val="0"/>
                </w:rPr>
              </m:ctrlPr>
            </m:naryPr>
            <m:sub>
              <m:ctrlPr>
                <w:rPr>
                  <w:rFonts w:ascii="Cambria Math" w:hAnsi="Cambria Math" w:cs="宋体"/>
                  <w:i/>
                  <w:kern w:val="0"/>
                </w:rPr>
              </m:ctrlPr>
            </m:sub>
            <m:sup>
              <m:ctrlPr>
                <w:rPr>
                  <w:rFonts w:ascii="Cambria Math" w:hAnsi="Cambria Math" w:cs="宋体"/>
                  <w:i/>
                  <w:kern w:val="0"/>
                </w:rPr>
              </m:ctrlPr>
            </m:sup>
            <m:e>
              <m:r>
                <m:rPr/>
                <w:rPr>
                  <w:rFonts w:ascii="Cambria Math" w:hAnsi="Cambria Math" w:cs="宋体"/>
                  <w:kern w:val="0"/>
                </w:rPr>
                <m:t>kN</m:t>
              </m:r>
              <m:sSub>
                <m:sSubPr>
                  <m:ctrlPr>
                    <w:rPr>
                      <w:rFonts w:ascii="Cambria Math" w:hAnsi="Cambria Math" w:cs="宋体"/>
                      <w:i/>
                      <w:kern w:val="0"/>
                    </w:rPr>
                  </m:ctrlPr>
                </m:sSubPr>
                <m:e>
                  <m:r>
                    <m:rPr/>
                    <w:rPr>
                      <w:rFonts w:ascii="Cambria Math" w:hAnsi="Cambria Math" w:cs="宋体"/>
                      <w:kern w:val="0"/>
                    </w:rPr>
                    <m:t>Q</m:t>
                  </m:r>
                  <m:ctrlPr>
                    <w:rPr>
                      <w:rFonts w:ascii="Cambria Math" w:hAnsi="Cambria Math" w:cs="宋体"/>
                      <w:i/>
                      <w:kern w:val="0"/>
                    </w:rPr>
                  </m:ctrlPr>
                </m:e>
                <m:sub>
                  <m:r>
                    <m:rPr/>
                    <w:rPr>
                      <w:rFonts w:ascii="Cambria Math" w:hAnsi="Cambria Math" w:cs="宋体"/>
                      <w:kern w:val="0"/>
                    </w:rPr>
                    <m:t>n</m:t>
                  </m:r>
                  <m:ctrlPr>
                    <w:rPr>
                      <w:rFonts w:ascii="Cambria Math" w:hAnsi="Cambria Math" w:cs="宋体"/>
                      <w:i/>
                      <w:kern w:val="0"/>
                    </w:rPr>
                  </m:ctrlPr>
                </m:sub>
              </m:sSub>
              <m:ctrlPr>
                <w:rPr>
                  <w:rFonts w:ascii="Cambria Math" w:hAnsi="Cambria Math" w:cs="宋体"/>
                  <w:i/>
                  <w:kern w:val="0"/>
                </w:rPr>
              </m:ctrlPr>
            </m:e>
          </m:nary>
        </m:oMath>
      </m:oMathPara>
    </w:p>
    <w:p>
      <w:pPr>
        <w:widowControl/>
        <w:jc w:val="left"/>
        <w:rPr>
          <w:kern w:val="0"/>
        </w:rPr>
      </w:pPr>
      <w:r>
        <w:rPr>
          <w:kern w:val="0"/>
        </w:rPr>
        <w:t>式中：Q</w:t>
      </w:r>
      <w:r>
        <w:rPr>
          <w:kern w:val="0"/>
          <w:vertAlign w:val="subscript"/>
        </w:rPr>
        <w:t>h</w:t>
      </w:r>
      <w:r>
        <w:rPr>
          <w:kern w:val="0"/>
        </w:rPr>
        <w:t>——燃气管道的计算流量（</w:t>
      </w:r>
      <w:r>
        <w:rPr>
          <w:rFonts w:hint="eastAsia"/>
          <w:kern w:val="0"/>
        </w:rPr>
        <w:t>m³</w:t>
      </w:r>
      <w:r>
        <w:rPr>
          <w:kern w:val="0"/>
        </w:rPr>
        <w:t>/h）；</w:t>
      </w:r>
    </w:p>
    <w:p>
      <w:pPr>
        <w:widowControl/>
        <w:ind w:firstLine="720" w:firstLineChars="300"/>
        <w:jc w:val="left"/>
        <w:rPr>
          <w:kern w:val="0"/>
        </w:rPr>
      </w:pPr>
      <w:r>
        <w:rPr>
          <w:kern w:val="0"/>
        </w:rPr>
        <w:t>k——燃具同时工作系数，居民生活用燃具可按</w:t>
      </w:r>
      <w:r>
        <w:t>《城镇燃气设计规范》GB 50028</w:t>
      </w:r>
      <w:r>
        <w:rPr>
          <w:kern w:val="0"/>
        </w:rPr>
        <w:t>附录F确定；</w:t>
      </w:r>
    </w:p>
    <w:p>
      <w:pPr>
        <w:widowControl/>
        <w:ind w:firstLine="720" w:firstLineChars="300"/>
        <w:jc w:val="left"/>
        <w:rPr>
          <w:kern w:val="0"/>
        </w:rPr>
      </w:pPr>
      <w:r>
        <w:rPr>
          <w:kern w:val="0"/>
        </w:rPr>
        <w:t>N———同种燃具或成组燃具的数目；</w:t>
      </w:r>
    </w:p>
    <w:p>
      <w:pPr>
        <w:widowControl/>
        <w:ind w:firstLine="720" w:firstLineChars="300"/>
        <w:jc w:val="left"/>
        <w:rPr>
          <w:kern w:val="0"/>
        </w:rPr>
      </w:pPr>
      <w:r>
        <w:rPr>
          <w:kern w:val="0"/>
        </w:rPr>
        <w:t>Qn——燃具的额定流量（</w:t>
      </w:r>
      <w:r>
        <w:rPr>
          <w:rFonts w:hint="eastAsia"/>
          <w:kern w:val="0"/>
        </w:rPr>
        <w:t>m³</w:t>
      </w:r>
      <w:r>
        <w:rPr>
          <w:kern w:val="0"/>
        </w:rPr>
        <w:t>/h）。</w:t>
      </w:r>
    </w:p>
    <w:p>
      <w:r>
        <w:rPr>
          <w:rFonts w:hint="eastAsia"/>
        </w:rPr>
        <w:t>4</w:t>
      </w:r>
      <w:r>
        <w:t xml:space="preserve">.2.4 </w:t>
      </w:r>
      <w:r>
        <w:rPr>
          <w:rFonts w:hint="eastAsia"/>
        </w:rPr>
        <w:t>室内燃气管道的阻力损失应按《城镇燃气设计规范》GB</w:t>
      </w:r>
      <w:r>
        <w:t xml:space="preserve"> 50028</w:t>
      </w:r>
      <w:r>
        <w:rPr>
          <w:rFonts w:hint="eastAsia"/>
        </w:rPr>
        <w:t>的规定计算。</w:t>
      </w:r>
    </w:p>
    <w:p>
      <w:r>
        <w:rPr>
          <w:rFonts w:hint="eastAsia"/>
        </w:rPr>
        <w:t>4</w:t>
      </w:r>
      <w:r>
        <w:t>.</w:t>
      </w:r>
      <w:r>
        <w:rPr>
          <w:rFonts w:hint="eastAsia"/>
        </w:rPr>
        <w:t>2</w:t>
      </w:r>
      <w:r>
        <w:t xml:space="preserve">.5 </w:t>
      </w:r>
      <w:r>
        <w:rPr>
          <w:rFonts w:hint="eastAsia"/>
        </w:rPr>
        <w:t>燃气引入管不应设置或穿过以下场所：</w:t>
      </w:r>
    </w:p>
    <w:p>
      <w:pPr>
        <w:ind w:firstLine="480" w:firstLineChars="200"/>
      </w:pPr>
      <w:r>
        <w:t xml:space="preserve">1 </w:t>
      </w:r>
      <w:r>
        <w:rPr>
          <w:rFonts w:hint="eastAsia"/>
        </w:rPr>
        <w:t>卧室、</w:t>
      </w:r>
      <w:r>
        <w:t>客房等人员居住和休息的房间及</w:t>
      </w:r>
      <w:r>
        <w:rPr>
          <w:rFonts w:hint="eastAsia"/>
        </w:rPr>
        <w:t>卫生间；</w:t>
      </w:r>
    </w:p>
    <w:p>
      <w:pPr>
        <w:ind w:firstLine="480" w:firstLineChars="200"/>
      </w:pPr>
      <w:r>
        <w:rPr>
          <w:rFonts w:hint="eastAsia"/>
        </w:rPr>
        <w:t>2</w:t>
      </w:r>
      <w:r>
        <w:t xml:space="preserve"> </w:t>
      </w:r>
      <w:r>
        <w:rPr>
          <w:rFonts w:hint="eastAsia"/>
        </w:rPr>
        <w:t>易燃或易爆品的仓库、有腐蚀性介质</w:t>
      </w:r>
      <w:r>
        <w:t>或堆放农具的房间</w:t>
      </w:r>
      <w:r>
        <w:rPr>
          <w:rFonts w:hint="eastAsia"/>
        </w:rPr>
        <w:t>、发电间、配电间、变电室等设备用房及牲畜棚等；</w:t>
      </w:r>
    </w:p>
    <w:p>
      <w:pPr>
        <w:ind w:firstLine="480" w:firstLineChars="200"/>
      </w:pPr>
      <w:r>
        <w:t xml:space="preserve">3 </w:t>
      </w:r>
      <w:r>
        <w:rPr>
          <w:rFonts w:hint="eastAsia"/>
        </w:rPr>
        <w:t>电力、电缆、暖气和污水等沟槽处；</w:t>
      </w:r>
    </w:p>
    <w:p>
      <w:pPr>
        <w:ind w:firstLine="480" w:firstLineChars="200"/>
      </w:pPr>
      <w:r>
        <w:rPr>
          <w:rFonts w:hint="eastAsia"/>
        </w:rPr>
        <w:t>4</w:t>
      </w:r>
      <w:r>
        <w:t xml:space="preserve"> </w:t>
      </w:r>
      <w:r>
        <w:rPr>
          <w:rFonts w:hint="eastAsia"/>
        </w:rPr>
        <w:t>烟道和进风道等处；</w:t>
      </w:r>
    </w:p>
    <w:p>
      <w:pPr>
        <w:ind w:firstLine="480" w:firstLineChars="200"/>
      </w:pPr>
      <w:r>
        <w:rPr>
          <w:rFonts w:hint="eastAsia"/>
        </w:rPr>
        <w:t>5</w:t>
      </w:r>
      <w:r>
        <w:t xml:space="preserve"> </w:t>
      </w:r>
      <w:r>
        <w:rPr>
          <w:rFonts w:hint="eastAsia"/>
        </w:rPr>
        <w:t>可能承受重物占压或其他导致管道受损的地方。</w:t>
      </w:r>
    </w:p>
    <w:p>
      <w:r>
        <w:rPr>
          <w:rFonts w:hint="eastAsia"/>
        </w:rPr>
        <w:t>4</w:t>
      </w:r>
      <w:r>
        <w:t xml:space="preserve">.2.6 </w:t>
      </w:r>
      <w:r>
        <w:rPr>
          <w:rFonts w:hint="eastAsia"/>
        </w:rPr>
        <w:t>天然气引入管的最小公称直径不应小于2</w:t>
      </w:r>
      <w:r>
        <w:t>0</w:t>
      </w:r>
      <w:r>
        <w:rPr>
          <w:rFonts w:hint="eastAsia"/>
        </w:rPr>
        <w:t>mm。燃气引入管阀门宜设置在建筑物内，对重要用户还应在室外另设阀门。</w:t>
      </w:r>
    </w:p>
    <w:p>
      <w:r>
        <w:rPr>
          <w:rFonts w:hint="eastAsia"/>
        </w:rPr>
        <w:t>4</w:t>
      </w:r>
      <w:r>
        <w:t>.</w:t>
      </w:r>
      <w:r>
        <w:rPr>
          <w:rFonts w:hint="eastAsia"/>
        </w:rPr>
        <w:t>2</w:t>
      </w:r>
      <w:r>
        <w:t xml:space="preserve">.7 </w:t>
      </w:r>
      <w:r>
        <w:rPr>
          <w:rFonts w:hint="eastAsia"/>
        </w:rPr>
        <w:t>室内燃气管道应采用明设，不得穿越卧室、起居室等场所。燃气立管不得敷设在卧室或卫生间内。立管穿过通风不良的吊顶时应设在套管内。</w:t>
      </w:r>
    </w:p>
    <w:p>
      <w:r>
        <w:rPr>
          <w:rFonts w:hint="eastAsia"/>
        </w:rPr>
        <w:t>4</w:t>
      </w:r>
      <w:r>
        <w:t>.</w:t>
      </w:r>
      <w:r>
        <w:rPr>
          <w:rFonts w:hint="eastAsia"/>
        </w:rPr>
        <w:t>2</w:t>
      </w:r>
      <w:r>
        <w:t xml:space="preserve">.8 </w:t>
      </w:r>
      <w:r>
        <w:rPr>
          <w:rFonts w:hint="eastAsia"/>
        </w:rPr>
        <w:t>室内</w:t>
      </w:r>
      <w:r>
        <w:t>燃气管道与电气设备、相邻管道、设备之间的</w:t>
      </w:r>
      <w:r>
        <w:rPr>
          <w:rFonts w:hint="eastAsia"/>
        </w:rPr>
        <w:t>净距</w:t>
      </w:r>
      <w:r>
        <w:t>不应小于表</w:t>
      </w:r>
      <w:r>
        <w:rPr>
          <w:rFonts w:hint="eastAsia"/>
        </w:rPr>
        <w:t>4.1</w:t>
      </w:r>
      <w:r>
        <w:t>中的规定：</w:t>
      </w:r>
    </w:p>
    <w:p>
      <w:pPr>
        <w:jc w:val="center"/>
        <w:rPr>
          <w:b/>
          <w:sz w:val="21"/>
          <w:szCs w:val="21"/>
        </w:rPr>
      </w:pPr>
      <w:r>
        <w:rPr>
          <w:b/>
          <w:sz w:val="21"/>
          <w:szCs w:val="21"/>
        </w:rPr>
        <w:t>表</w:t>
      </w:r>
      <w:r>
        <w:rPr>
          <w:rFonts w:hint="eastAsia"/>
          <w:b/>
          <w:sz w:val="21"/>
          <w:szCs w:val="21"/>
        </w:rPr>
        <w:t>4.1</w:t>
      </w:r>
      <w:r>
        <w:rPr>
          <w:b/>
          <w:sz w:val="21"/>
          <w:szCs w:val="21"/>
        </w:rPr>
        <w:t xml:space="preserve"> 室内燃气管道与电器设备、相邻管道、设备之间的净距</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735"/>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gridSpan w:val="2"/>
            <w:vMerge w:val="restart"/>
            <w:vAlign w:val="center"/>
          </w:tcPr>
          <w:p>
            <w:pPr>
              <w:adjustRightInd w:val="0"/>
              <w:snapToGrid w:val="0"/>
              <w:spacing w:line="240" w:lineRule="auto"/>
              <w:jc w:val="center"/>
              <w:rPr>
                <w:sz w:val="21"/>
                <w:szCs w:val="21"/>
              </w:rPr>
            </w:pPr>
            <w:r>
              <w:rPr>
                <w:sz w:val="21"/>
                <w:szCs w:val="21"/>
              </w:rPr>
              <w:t>管道设备</w:t>
            </w:r>
          </w:p>
        </w:tc>
        <w:tc>
          <w:tcPr>
            <w:tcW w:w="4148" w:type="dxa"/>
            <w:gridSpan w:val="2"/>
            <w:vAlign w:val="center"/>
          </w:tcPr>
          <w:p>
            <w:pPr>
              <w:adjustRightInd w:val="0"/>
              <w:snapToGrid w:val="0"/>
              <w:spacing w:line="240" w:lineRule="auto"/>
              <w:jc w:val="center"/>
              <w:rPr>
                <w:sz w:val="21"/>
                <w:szCs w:val="21"/>
              </w:rPr>
            </w:pPr>
            <w:r>
              <w:rPr>
                <w:sz w:val="21"/>
                <w:szCs w:val="21"/>
              </w:rPr>
              <w:t>与</w:t>
            </w:r>
            <w:r>
              <w:rPr>
                <w:rFonts w:hint="eastAsia"/>
                <w:sz w:val="21"/>
                <w:szCs w:val="21"/>
              </w:rPr>
              <w:t>燃气</w:t>
            </w:r>
            <w:r>
              <w:rPr>
                <w:sz w:val="21"/>
                <w:szCs w:val="21"/>
              </w:rPr>
              <w:t>管道的净距</w:t>
            </w:r>
            <w:r>
              <w:rPr>
                <w:rFonts w:hint="eastAsia"/>
                <w:sz w:val="21"/>
                <w:szCs w:val="21"/>
              </w:rPr>
              <w:t>（cm）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gridSpan w:val="2"/>
            <w:vMerge w:val="continue"/>
            <w:vAlign w:val="center"/>
          </w:tcPr>
          <w:p>
            <w:pPr>
              <w:adjustRightInd w:val="0"/>
              <w:snapToGrid w:val="0"/>
              <w:spacing w:line="240" w:lineRule="auto"/>
              <w:jc w:val="center"/>
              <w:rPr>
                <w:sz w:val="21"/>
                <w:szCs w:val="21"/>
              </w:rPr>
            </w:pPr>
          </w:p>
        </w:tc>
        <w:tc>
          <w:tcPr>
            <w:tcW w:w="2074" w:type="dxa"/>
            <w:vAlign w:val="center"/>
          </w:tcPr>
          <w:p>
            <w:pPr>
              <w:adjustRightInd w:val="0"/>
              <w:snapToGrid w:val="0"/>
              <w:spacing w:line="240" w:lineRule="auto"/>
              <w:jc w:val="center"/>
              <w:rPr>
                <w:sz w:val="21"/>
                <w:szCs w:val="21"/>
              </w:rPr>
            </w:pPr>
            <w:r>
              <w:rPr>
                <w:sz w:val="21"/>
                <w:szCs w:val="21"/>
              </w:rPr>
              <w:t>平行敷设</w:t>
            </w:r>
          </w:p>
        </w:tc>
        <w:tc>
          <w:tcPr>
            <w:tcW w:w="2074" w:type="dxa"/>
            <w:vAlign w:val="center"/>
          </w:tcPr>
          <w:p>
            <w:pPr>
              <w:adjustRightInd w:val="0"/>
              <w:snapToGrid w:val="0"/>
              <w:spacing w:line="240" w:lineRule="auto"/>
              <w:jc w:val="center"/>
              <w:rPr>
                <w:sz w:val="21"/>
                <w:szCs w:val="21"/>
              </w:rPr>
            </w:pPr>
            <w:r>
              <w:rPr>
                <w:sz w:val="21"/>
                <w:szCs w:val="21"/>
              </w:rPr>
              <w:t>交叉敷设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restart"/>
            <w:vAlign w:val="center"/>
          </w:tcPr>
          <w:p>
            <w:pPr>
              <w:adjustRightInd w:val="0"/>
              <w:snapToGrid w:val="0"/>
              <w:spacing w:line="240" w:lineRule="auto"/>
              <w:jc w:val="center"/>
              <w:rPr>
                <w:sz w:val="21"/>
                <w:szCs w:val="21"/>
              </w:rPr>
            </w:pPr>
            <w:r>
              <w:rPr>
                <w:sz w:val="21"/>
                <w:szCs w:val="21"/>
              </w:rPr>
              <w:t>电气设备</w:t>
            </w:r>
          </w:p>
        </w:tc>
        <w:tc>
          <w:tcPr>
            <w:tcW w:w="2735" w:type="dxa"/>
            <w:vAlign w:val="center"/>
          </w:tcPr>
          <w:p>
            <w:pPr>
              <w:adjustRightInd w:val="0"/>
              <w:snapToGrid w:val="0"/>
              <w:spacing w:line="240" w:lineRule="auto"/>
              <w:jc w:val="center"/>
              <w:rPr>
                <w:sz w:val="21"/>
                <w:szCs w:val="21"/>
              </w:rPr>
            </w:pPr>
            <w:r>
              <w:rPr>
                <w:sz w:val="21"/>
                <w:szCs w:val="21"/>
              </w:rPr>
              <w:t>明装的绝缘电线或电缆</w:t>
            </w:r>
          </w:p>
        </w:tc>
        <w:tc>
          <w:tcPr>
            <w:tcW w:w="2074" w:type="dxa"/>
            <w:vAlign w:val="center"/>
          </w:tcPr>
          <w:p>
            <w:pPr>
              <w:adjustRightInd w:val="0"/>
              <w:snapToGrid w:val="0"/>
              <w:spacing w:line="240" w:lineRule="auto"/>
              <w:jc w:val="center"/>
              <w:rPr>
                <w:sz w:val="21"/>
                <w:szCs w:val="21"/>
              </w:rPr>
            </w:pPr>
            <w:r>
              <w:rPr>
                <w:sz w:val="21"/>
                <w:szCs w:val="21"/>
              </w:rPr>
              <w:t>25</w:t>
            </w:r>
          </w:p>
        </w:tc>
        <w:tc>
          <w:tcPr>
            <w:tcW w:w="2074" w:type="dxa"/>
            <w:vAlign w:val="center"/>
          </w:tcPr>
          <w:p>
            <w:pPr>
              <w:adjustRightInd w:val="0"/>
              <w:snapToGrid w:val="0"/>
              <w:spacing w:line="240" w:lineRule="auto"/>
              <w:jc w:val="center"/>
              <w:rPr>
                <w:sz w:val="21"/>
                <w:szCs w:val="21"/>
              </w:rPr>
            </w:pPr>
            <w:r>
              <w:rPr>
                <w:sz w:val="21"/>
                <w:szCs w:val="21"/>
              </w:rPr>
              <w:t>10（注）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adjustRightInd w:val="0"/>
              <w:snapToGrid w:val="0"/>
              <w:spacing w:line="240" w:lineRule="auto"/>
              <w:jc w:val="center"/>
              <w:rPr>
                <w:sz w:val="21"/>
                <w:szCs w:val="21"/>
              </w:rPr>
            </w:pPr>
          </w:p>
        </w:tc>
        <w:tc>
          <w:tcPr>
            <w:tcW w:w="2735" w:type="dxa"/>
            <w:vAlign w:val="center"/>
          </w:tcPr>
          <w:p>
            <w:pPr>
              <w:adjustRightInd w:val="0"/>
              <w:snapToGrid w:val="0"/>
              <w:spacing w:line="240" w:lineRule="auto"/>
              <w:jc w:val="center"/>
              <w:rPr>
                <w:sz w:val="21"/>
                <w:szCs w:val="21"/>
              </w:rPr>
            </w:pPr>
            <w:r>
              <w:rPr>
                <w:sz w:val="21"/>
                <w:szCs w:val="21"/>
              </w:rPr>
              <w:t>暗装或管内绝缘电线</w:t>
            </w:r>
          </w:p>
        </w:tc>
        <w:tc>
          <w:tcPr>
            <w:tcW w:w="2074" w:type="dxa"/>
            <w:vAlign w:val="center"/>
          </w:tcPr>
          <w:p>
            <w:pPr>
              <w:adjustRightInd w:val="0"/>
              <w:snapToGrid w:val="0"/>
              <w:spacing w:line="240" w:lineRule="auto"/>
              <w:jc w:val="center"/>
              <w:rPr>
                <w:sz w:val="21"/>
                <w:szCs w:val="21"/>
              </w:rPr>
            </w:pPr>
            <w:r>
              <w:rPr>
                <w:sz w:val="21"/>
                <w:szCs w:val="21"/>
              </w:rPr>
              <w:t>5（从线槽或管子的边缘算起）</w:t>
            </w:r>
          </w:p>
        </w:tc>
        <w:tc>
          <w:tcPr>
            <w:tcW w:w="2074" w:type="dxa"/>
            <w:vAlign w:val="center"/>
          </w:tcPr>
          <w:p>
            <w:pPr>
              <w:adjustRightInd w:val="0"/>
              <w:snapToGrid w:val="0"/>
              <w:spacing w:line="240" w:lineRule="auto"/>
              <w:jc w:val="center"/>
              <w:rPr>
                <w:sz w:val="21"/>
                <w:szCs w:val="21"/>
              </w:rPr>
            </w:pPr>
            <w:r>
              <w:rPr>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adjustRightInd w:val="0"/>
              <w:snapToGrid w:val="0"/>
              <w:spacing w:line="240" w:lineRule="auto"/>
              <w:jc w:val="center"/>
              <w:rPr>
                <w:sz w:val="21"/>
                <w:szCs w:val="21"/>
              </w:rPr>
            </w:pPr>
          </w:p>
        </w:tc>
        <w:tc>
          <w:tcPr>
            <w:tcW w:w="2735" w:type="dxa"/>
            <w:vAlign w:val="center"/>
          </w:tcPr>
          <w:p>
            <w:pPr>
              <w:adjustRightInd w:val="0"/>
              <w:snapToGrid w:val="0"/>
              <w:spacing w:line="240" w:lineRule="auto"/>
              <w:jc w:val="center"/>
              <w:rPr>
                <w:sz w:val="21"/>
                <w:szCs w:val="21"/>
              </w:rPr>
            </w:pPr>
            <w:r>
              <w:rPr>
                <w:sz w:val="21"/>
                <w:szCs w:val="21"/>
              </w:rPr>
              <w:t>电压小于1000V的裸露电线</w:t>
            </w:r>
          </w:p>
        </w:tc>
        <w:tc>
          <w:tcPr>
            <w:tcW w:w="2074" w:type="dxa"/>
            <w:vAlign w:val="center"/>
          </w:tcPr>
          <w:p>
            <w:pPr>
              <w:adjustRightInd w:val="0"/>
              <w:snapToGrid w:val="0"/>
              <w:spacing w:line="240" w:lineRule="auto"/>
              <w:jc w:val="center"/>
              <w:rPr>
                <w:sz w:val="21"/>
                <w:szCs w:val="21"/>
              </w:rPr>
            </w:pPr>
            <w:r>
              <w:rPr>
                <w:sz w:val="21"/>
                <w:szCs w:val="21"/>
              </w:rPr>
              <w:t>100</w:t>
            </w:r>
          </w:p>
        </w:tc>
        <w:tc>
          <w:tcPr>
            <w:tcW w:w="2074" w:type="dxa"/>
            <w:vAlign w:val="center"/>
          </w:tcPr>
          <w:p>
            <w:pPr>
              <w:adjustRightInd w:val="0"/>
              <w:snapToGrid w:val="0"/>
              <w:spacing w:line="240" w:lineRule="auto"/>
              <w:jc w:val="center"/>
              <w:rPr>
                <w:sz w:val="21"/>
                <w:szCs w:val="21"/>
              </w:rPr>
            </w:pPr>
            <w:r>
              <w:rPr>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adjustRightInd w:val="0"/>
              <w:snapToGrid w:val="0"/>
              <w:spacing w:line="240" w:lineRule="auto"/>
              <w:jc w:val="center"/>
              <w:rPr>
                <w:sz w:val="21"/>
                <w:szCs w:val="21"/>
              </w:rPr>
            </w:pPr>
          </w:p>
        </w:tc>
        <w:tc>
          <w:tcPr>
            <w:tcW w:w="2735" w:type="dxa"/>
            <w:vAlign w:val="center"/>
          </w:tcPr>
          <w:p>
            <w:pPr>
              <w:adjustRightInd w:val="0"/>
              <w:snapToGrid w:val="0"/>
              <w:spacing w:line="240" w:lineRule="auto"/>
              <w:jc w:val="center"/>
              <w:rPr>
                <w:sz w:val="21"/>
                <w:szCs w:val="21"/>
              </w:rPr>
            </w:pPr>
            <w:r>
              <w:rPr>
                <w:sz w:val="21"/>
                <w:szCs w:val="21"/>
              </w:rPr>
              <w:t>配电箱或电表</w:t>
            </w:r>
          </w:p>
        </w:tc>
        <w:tc>
          <w:tcPr>
            <w:tcW w:w="2074" w:type="dxa"/>
            <w:vAlign w:val="center"/>
          </w:tcPr>
          <w:p>
            <w:pPr>
              <w:adjustRightInd w:val="0"/>
              <w:snapToGrid w:val="0"/>
              <w:spacing w:line="240" w:lineRule="auto"/>
              <w:jc w:val="center"/>
              <w:rPr>
                <w:sz w:val="21"/>
                <w:szCs w:val="21"/>
              </w:rPr>
            </w:pPr>
            <w:r>
              <w:rPr>
                <w:sz w:val="21"/>
                <w:szCs w:val="21"/>
              </w:rPr>
              <w:t>30</w:t>
            </w:r>
          </w:p>
        </w:tc>
        <w:tc>
          <w:tcPr>
            <w:tcW w:w="2074" w:type="dxa"/>
            <w:vAlign w:val="center"/>
          </w:tcPr>
          <w:p>
            <w:pPr>
              <w:adjustRightInd w:val="0"/>
              <w:snapToGrid w:val="0"/>
              <w:spacing w:line="240" w:lineRule="auto"/>
              <w:jc w:val="center"/>
              <w:rPr>
                <w:sz w:val="21"/>
                <w:szCs w:val="21"/>
              </w:rPr>
            </w:pPr>
            <w:r>
              <w:rPr>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pPr>
              <w:adjustRightInd w:val="0"/>
              <w:snapToGrid w:val="0"/>
              <w:spacing w:line="240" w:lineRule="auto"/>
              <w:jc w:val="center"/>
              <w:rPr>
                <w:sz w:val="21"/>
                <w:szCs w:val="21"/>
              </w:rPr>
            </w:pPr>
          </w:p>
        </w:tc>
        <w:tc>
          <w:tcPr>
            <w:tcW w:w="2735" w:type="dxa"/>
            <w:vAlign w:val="center"/>
          </w:tcPr>
          <w:p>
            <w:pPr>
              <w:adjustRightInd w:val="0"/>
              <w:snapToGrid w:val="0"/>
              <w:spacing w:line="240" w:lineRule="auto"/>
              <w:jc w:val="center"/>
              <w:rPr>
                <w:sz w:val="21"/>
                <w:szCs w:val="21"/>
              </w:rPr>
            </w:pPr>
            <w:r>
              <w:rPr>
                <w:sz w:val="21"/>
                <w:szCs w:val="21"/>
              </w:rPr>
              <w:t>电插座、电源开关</w:t>
            </w:r>
          </w:p>
        </w:tc>
        <w:tc>
          <w:tcPr>
            <w:tcW w:w="2074" w:type="dxa"/>
            <w:vAlign w:val="center"/>
          </w:tcPr>
          <w:p>
            <w:pPr>
              <w:adjustRightInd w:val="0"/>
              <w:snapToGrid w:val="0"/>
              <w:spacing w:line="240" w:lineRule="auto"/>
              <w:jc w:val="center"/>
              <w:rPr>
                <w:sz w:val="21"/>
                <w:szCs w:val="21"/>
              </w:rPr>
            </w:pPr>
            <w:r>
              <w:rPr>
                <w:sz w:val="21"/>
                <w:szCs w:val="21"/>
              </w:rPr>
              <w:t>15</w:t>
            </w:r>
          </w:p>
        </w:tc>
        <w:tc>
          <w:tcPr>
            <w:tcW w:w="2074" w:type="dxa"/>
            <w:vAlign w:val="center"/>
          </w:tcPr>
          <w:p>
            <w:pPr>
              <w:adjustRightInd w:val="0"/>
              <w:snapToGrid w:val="0"/>
              <w:spacing w:line="240" w:lineRule="auto"/>
              <w:jc w:val="center"/>
              <w:rPr>
                <w:sz w:val="21"/>
                <w:szCs w:val="21"/>
              </w:rPr>
            </w:pPr>
            <w:r>
              <w:rPr>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8" w:type="dxa"/>
            <w:gridSpan w:val="2"/>
            <w:vAlign w:val="center"/>
          </w:tcPr>
          <w:p>
            <w:pPr>
              <w:adjustRightInd w:val="0"/>
              <w:snapToGrid w:val="0"/>
              <w:spacing w:line="240" w:lineRule="auto"/>
              <w:jc w:val="center"/>
              <w:rPr>
                <w:sz w:val="21"/>
                <w:szCs w:val="21"/>
              </w:rPr>
            </w:pPr>
            <w:r>
              <w:rPr>
                <w:sz w:val="21"/>
                <w:szCs w:val="21"/>
              </w:rPr>
              <w:t>相邻管道</w:t>
            </w:r>
          </w:p>
        </w:tc>
        <w:tc>
          <w:tcPr>
            <w:tcW w:w="2074" w:type="dxa"/>
            <w:vAlign w:val="center"/>
          </w:tcPr>
          <w:p>
            <w:pPr>
              <w:adjustRightInd w:val="0"/>
              <w:snapToGrid w:val="0"/>
              <w:spacing w:line="240" w:lineRule="auto"/>
              <w:jc w:val="center"/>
              <w:rPr>
                <w:sz w:val="21"/>
                <w:szCs w:val="21"/>
              </w:rPr>
            </w:pPr>
            <w:r>
              <w:rPr>
                <w:sz w:val="21"/>
                <w:szCs w:val="21"/>
              </w:rPr>
              <w:t>应保证燃气管道、相邻管道的安装、检查和维修</w:t>
            </w:r>
          </w:p>
        </w:tc>
        <w:tc>
          <w:tcPr>
            <w:tcW w:w="2074" w:type="dxa"/>
            <w:vAlign w:val="center"/>
          </w:tcPr>
          <w:p>
            <w:pPr>
              <w:adjustRightInd w:val="0"/>
              <w:snapToGrid w:val="0"/>
              <w:spacing w:line="240" w:lineRule="auto"/>
              <w:jc w:val="center"/>
              <w:rPr>
                <w:sz w:val="21"/>
                <w:szCs w:val="21"/>
              </w:rPr>
            </w:pPr>
            <w:r>
              <w:rPr>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4"/>
          </w:tcPr>
          <w:p>
            <w:pPr>
              <w:adjustRightInd w:val="0"/>
              <w:snapToGrid w:val="0"/>
              <w:spacing w:line="240" w:lineRule="auto"/>
              <w:jc w:val="center"/>
              <w:rPr>
                <w:sz w:val="18"/>
                <w:szCs w:val="18"/>
              </w:rPr>
            </w:pPr>
            <w:r>
              <w:rPr>
                <w:sz w:val="18"/>
                <w:szCs w:val="18"/>
              </w:rPr>
              <w:t>注：当明装电线加绝缘套管且绝缘套管两端应各伸出燃气管道10cm时，套管与燃气管道交叉净距可降到1cm。</w:t>
            </w:r>
          </w:p>
        </w:tc>
      </w:tr>
    </w:tbl>
    <w:p>
      <w:r>
        <w:rPr>
          <w:rFonts w:hint="eastAsia"/>
        </w:rPr>
        <w:t>4</w:t>
      </w:r>
      <w:r>
        <w:t xml:space="preserve">.2.9 </w:t>
      </w:r>
      <w:r>
        <w:rPr>
          <w:rFonts w:hint="eastAsia"/>
        </w:rPr>
        <w:t>沿墙、柱、楼板和加热设备构件上明设的燃气管道应采用管支架、管卡或吊卡固定。管支架、管卡、吊卡等固定件的安装不应妨碍管道的自由膨胀和收缩。</w:t>
      </w:r>
    </w:p>
    <w:p>
      <w:r>
        <w:rPr>
          <w:rFonts w:hint="eastAsia"/>
        </w:rPr>
        <w:t>4</w:t>
      </w:r>
      <w:r>
        <w:t>.</w:t>
      </w:r>
      <w:r>
        <w:rPr>
          <w:rFonts w:hint="eastAsia"/>
        </w:rPr>
        <w:t>2</w:t>
      </w:r>
      <w:r>
        <w:t xml:space="preserve">.10 </w:t>
      </w:r>
      <w:r>
        <w:rPr>
          <w:rFonts w:hint="eastAsia"/>
        </w:rPr>
        <w:t>室内燃气管道穿过承重墙、地板或楼板时必须加钢套管，套管内管道不得有接头，套管与承重墙、地板或楼板之间的间隙应填实，套管与燃气管道之间的间隙应采用柔性防腐、防水材料密封。</w:t>
      </w:r>
    </w:p>
    <w:p>
      <w:r>
        <w:rPr>
          <w:rFonts w:hint="eastAsia"/>
        </w:rPr>
        <w:t>4.2</w:t>
      </w:r>
      <w:r>
        <w:t xml:space="preserve">.11 </w:t>
      </w:r>
      <w:r>
        <w:rPr>
          <w:rFonts w:hint="eastAsia"/>
        </w:rPr>
        <w:t>室内燃气管道的下列部位应设置阀门：</w:t>
      </w:r>
    </w:p>
    <w:p>
      <w:pPr>
        <w:ind w:firstLine="480" w:firstLineChars="200"/>
        <w:rPr>
          <w:bCs/>
        </w:rPr>
      </w:pPr>
      <w:r>
        <w:rPr>
          <w:bCs/>
        </w:rPr>
        <w:t xml:space="preserve">1 </w:t>
      </w:r>
      <w:r>
        <w:rPr>
          <w:rFonts w:hint="eastAsia"/>
          <w:bCs/>
        </w:rPr>
        <w:t>燃气引入管；</w:t>
      </w:r>
    </w:p>
    <w:p>
      <w:pPr>
        <w:ind w:firstLine="480" w:firstLineChars="200"/>
        <w:rPr>
          <w:bCs/>
        </w:rPr>
      </w:pPr>
      <w:r>
        <w:rPr>
          <w:rFonts w:hint="eastAsia"/>
          <w:bCs/>
        </w:rPr>
        <w:t>2</w:t>
      </w:r>
      <w:r>
        <w:rPr>
          <w:bCs/>
        </w:rPr>
        <w:t xml:space="preserve"> </w:t>
      </w:r>
      <w:r>
        <w:rPr>
          <w:rFonts w:hint="eastAsia"/>
          <w:bCs/>
        </w:rPr>
        <w:t>调压器前和燃气表前；</w:t>
      </w:r>
    </w:p>
    <w:p>
      <w:pPr>
        <w:ind w:firstLine="480" w:firstLineChars="200"/>
        <w:rPr>
          <w:bCs/>
        </w:rPr>
      </w:pPr>
      <w:r>
        <w:rPr>
          <w:rFonts w:hint="eastAsia"/>
          <w:bCs/>
        </w:rPr>
        <w:t>3</w:t>
      </w:r>
      <w:r>
        <w:rPr>
          <w:bCs/>
        </w:rPr>
        <w:t xml:space="preserve"> </w:t>
      </w:r>
      <w:r>
        <w:rPr>
          <w:rFonts w:hint="eastAsia"/>
          <w:bCs/>
        </w:rPr>
        <w:t>燃气用具前；</w:t>
      </w:r>
    </w:p>
    <w:p>
      <w:pPr>
        <w:ind w:firstLine="480" w:firstLineChars="200"/>
        <w:rPr>
          <w:bCs/>
        </w:rPr>
      </w:pPr>
      <w:r>
        <w:rPr>
          <w:rFonts w:hint="eastAsia"/>
          <w:bCs/>
        </w:rPr>
        <w:t>4</w:t>
      </w:r>
      <w:r>
        <w:rPr>
          <w:bCs/>
        </w:rPr>
        <w:t xml:space="preserve"> </w:t>
      </w:r>
      <w:r>
        <w:rPr>
          <w:rFonts w:hint="eastAsia"/>
          <w:bCs/>
        </w:rPr>
        <w:t>测压计前；</w:t>
      </w:r>
    </w:p>
    <w:p>
      <w:pPr>
        <w:ind w:firstLine="480" w:firstLineChars="200"/>
        <w:rPr>
          <w:bCs/>
        </w:rPr>
      </w:pPr>
      <w:r>
        <w:rPr>
          <w:rFonts w:hint="eastAsia"/>
          <w:bCs/>
        </w:rPr>
        <w:t>5</w:t>
      </w:r>
      <w:r>
        <w:rPr>
          <w:bCs/>
        </w:rPr>
        <w:t xml:space="preserve"> </w:t>
      </w:r>
      <w:r>
        <w:rPr>
          <w:rFonts w:hint="eastAsia"/>
          <w:bCs/>
        </w:rPr>
        <w:t>放散管起点。</w:t>
      </w:r>
    </w:p>
    <w:p>
      <w:r>
        <w:t>4.2.12</w:t>
      </w:r>
      <w:r>
        <w:rPr>
          <w:rFonts w:hint="eastAsia"/>
        </w:rPr>
        <w:t xml:space="preserve"> 室内燃气管道阀门宜采用球阀。</w:t>
      </w:r>
    </w:p>
    <w:p>
      <w:r>
        <w:t>4.2.13</w:t>
      </w:r>
      <w:r>
        <w:rPr>
          <w:rFonts w:hint="eastAsia"/>
        </w:rPr>
        <w:t xml:space="preserve"> 燃气用户应单独设置燃气表。燃气表应根据燃气的工作压力、温度、流量和允许的压力降(阻力损失)等条件选择。</w:t>
      </w:r>
    </w:p>
    <w:p>
      <w:r>
        <w:t>4.2.14</w:t>
      </w:r>
      <w:r>
        <w:rPr>
          <w:rFonts w:hint="eastAsia"/>
        </w:rPr>
        <w:t xml:space="preserve"> 用户燃气表的安装位置，应符合下列要求：</w:t>
      </w:r>
    </w:p>
    <w:p>
      <w:pPr>
        <w:ind w:firstLine="480" w:firstLineChars="200"/>
      </w:pPr>
      <w:r>
        <w:rPr>
          <w:rFonts w:hint="eastAsia"/>
        </w:rPr>
        <w:t>1 宜安装在不燃或难燃结构的室内通风良好和便于查表、检修的地方。</w:t>
      </w:r>
    </w:p>
    <w:p>
      <w:pPr>
        <w:ind w:firstLine="480" w:firstLineChars="200"/>
      </w:pPr>
      <w:r>
        <w:rPr>
          <w:rFonts w:hint="eastAsia"/>
        </w:rPr>
        <w:t xml:space="preserve">2 严禁安装在下列场所： </w:t>
      </w:r>
    </w:p>
    <w:p>
      <w:pPr>
        <w:ind w:firstLine="480" w:firstLineChars="200"/>
      </w:pPr>
      <w:r>
        <w:rPr>
          <w:rFonts w:hint="eastAsia"/>
        </w:rPr>
        <w:t xml:space="preserve">1）卧室、卫生间及更衣室内； </w:t>
      </w:r>
    </w:p>
    <w:p>
      <w:pPr>
        <w:ind w:firstLine="480" w:firstLineChars="200"/>
      </w:pPr>
      <w:r>
        <w:rPr>
          <w:rFonts w:hint="eastAsia"/>
        </w:rPr>
        <w:t xml:space="preserve">2）有电源、电器开关及其他电器设备的管道井内，或有可能滞留泄漏燃气的隐蔽场所； </w:t>
      </w:r>
    </w:p>
    <w:p>
      <w:pPr>
        <w:ind w:firstLine="480" w:firstLineChars="200"/>
      </w:pPr>
      <w:r>
        <w:rPr>
          <w:rFonts w:hint="eastAsia"/>
        </w:rPr>
        <w:t xml:space="preserve">3）环境温度高于45℃的地方； </w:t>
      </w:r>
    </w:p>
    <w:p>
      <w:pPr>
        <w:ind w:firstLine="480" w:firstLineChars="200"/>
      </w:pPr>
      <w:r>
        <w:rPr>
          <w:rFonts w:hint="eastAsia"/>
        </w:rPr>
        <w:t xml:space="preserve">4）经常潮湿的地方； </w:t>
      </w:r>
    </w:p>
    <w:p>
      <w:pPr>
        <w:ind w:firstLine="480" w:firstLineChars="200"/>
      </w:pPr>
      <w:r>
        <w:rPr>
          <w:rFonts w:hint="eastAsia"/>
        </w:rPr>
        <w:t xml:space="preserve">5）堆放易燃易爆、易腐蚀或有放射性物质等危险的地方； </w:t>
      </w:r>
    </w:p>
    <w:p>
      <w:pPr>
        <w:ind w:firstLine="480" w:firstLineChars="200"/>
      </w:pPr>
      <w:r>
        <w:rPr>
          <w:rFonts w:hint="eastAsia"/>
        </w:rPr>
        <w:t xml:space="preserve">6）有变、配电等电器设备的地方； </w:t>
      </w:r>
    </w:p>
    <w:p>
      <w:pPr>
        <w:ind w:firstLine="480" w:firstLineChars="200"/>
      </w:pPr>
      <w:r>
        <w:rPr>
          <w:rFonts w:hint="eastAsia"/>
        </w:rPr>
        <w:t xml:space="preserve">7）有明显振动影响的地方； </w:t>
      </w:r>
    </w:p>
    <w:p>
      <w:pPr>
        <w:ind w:firstLine="480" w:firstLineChars="200"/>
      </w:pPr>
      <w:r>
        <w:rPr>
          <w:rFonts w:hint="eastAsia"/>
        </w:rPr>
        <w:t xml:space="preserve">3 以天然气为气源的燃气表的环境温度应高于0℃； </w:t>
      </w:r>
    </w:p>
    <w:p>
      <w:pPr>
        <w:ind w:firstLine="480" w:firstLineChars="200"/>
      </w:pPr>
      <w:r>
        <w:rPr>
          <w:rFonts w:hint="eastAsia"/>
        </w:rPr>
        <w:t>4 住宅内燃气表可安装在厨房内，当有条件时也可设置在户门外。住宅内高位安装燃气表时，表底距地面不宜小于1.4m；当燃气表装在燃气灶具上方时，燃气表与燃气灶的水平净距不得小于30cm；低位安装时，表底距地面不得小于10cm。</w:t>
      </w:r>
    </w:p>
    <w:p>
      <w:r>
        <w:t>4.2.15</w:t>
      </w:r>
      <w:r>
        <w:rPr>
          <w:rFonts w:hint="eastAsia"/>
        </w:rPr>
        <w:t xml:space="preserve"> 居民生活的各类用气设备应采用低压燃气，用气设备前(灶前)的燃气压力应在0．75～1．5P</w:t>
      </w:r>
      <w:r>
        <w:rPr>
          <w:rFonts w:hint="eastAsia"/>
          <w:bCs/>
        </w:rPr>
        <w:t xml:space="preserve">n的范围内（Pn为燃具的额定压力）。 </w:t>
      </w:r>
    </w:p>
    <w:p>
      <w:r>
        <w:rPr>
          <w:rFonts w:hint="eastAsia"/>
        </w:rPr>
        <w:t>4</w:t>
      </w:r>
      <w:r>
        <w:t>.</w:t>
      </w:r>
      <w:r>
        <w:rPr>
          <w:rFonts w:hint="eastAsia"/>
        </w:rPr>
        <w:t>2</w:t>
      </w:r>
      <w:r>
        <w:t xml:space="preserve">.16 </w:t>
      </w:r>
      <w:r>
        <w:rPr>
          <w:rFonts w:hint="eastAsia"/>
        </w:rPr>
        <w:t>燃气表、采暖热水炉等，应根据使用燃气类别及其特性、安装条件、工作压力和用户要求等因素选择。</w:t>
      </w:r>
    </w:p>
    <w:p>
      <w:r>
        <w:t xml:space="preserve">4.2.17 </w:t>
      </w:r>
      <w:r>
        <w:rPr>
          <w:rFonts w:hint="eastAsia"/>
        </w:rPr>
        <w:t>燃气计量表的设置除应符合《城镇燃气设计规范》</w:t>
      </w:r>
      <w:r>
        <w:t>GB50028</w:t>
      </w:r>
      <w:r>
        <w:rPr>
          <w:rFonts w:hint="eastAsia"/>
        </w:rPr>
        <w:t>的相关规定外，还应符合下列规定：</w:t>
      </w:r>
    </w:p>
    <w:p>
      <w:pPr>
        <w:ind w:firstLine="480" w:firstLineChars="200"/>
      </w:pPr>
      <w:r>
        <w:t>1 居民用户应按每户单独设置。燃气表宜采用带温压补偿功能的膜式智能表，外壳防护等级不应小于IP54；</w:t>
      </w:r>
    </w:p>
    <w:p>
      <w:pPr>
        <w:snapToGrid w:val="0"/>
        <w:ind w:firstLine="480" w:firstLineChars="200"/>
      </w:pPr>
      <w:r>
        <w:t>2 燃气表宜安装在居民住宅院外或者不燃、难燃结构通风良好的室内，位置应便于</w:t>
      </w:r>
      <w:r>
        <w:rPr>
          <w:rFonts w:hint="eastAsia"/>
        </w:rPr>
        <w:t>安装、</w:t>
      </w:r>
      <w:r>
        <w:t>查表及检修，</w:t>
      </w:r>
      <w:r>
        <w:rPr>
          <w:rFonts w:hint="eastAsia"/>
        </w:rPr>
        <w:t>不得设置在储物间等密闭空间内，</w:t>
      </w:r>
      <w:r>
        <w:t>不应安装在《城镇燃气设计规范》GB 50028中严禁安装的位置；</w:t>
      </w:r>
    </w:p>
    <w:p>
      <w:pPr>
        <w:widowControl/>
        <w:spacing w:line="240" w:lineRule="auto"/>
        <w:ind w:firstLine="480" w:firstLineChars="200"/>
        <w:jc w:val="left"/>
      </w:pPr>
      <w:r>
        <w:t xml:space="preserve">3 </w:t>
      </w:r>
      <w:r>
        <w:rPr>
          <w:rFonts w:hint="eastAsia"/>
          <w:lang w:bidi="ar"/>
        </w:rPr>
        <w:t>当设置在橱柜内时，柜门应向外开，柜体上应有通气孔；</w:t>
      </w:r>
    </w:p>
    <w:p>
      <w:pPr>
        <w:ind w:firstLine="480" w:firstLineChars="200"/>
      </w:pPr>
      <w:r>
        <w:t>4 燃气表设置高度应符合有关标准规范要求，</w:t>
      </w:r>
      <w:r>
        <w:rPr>
          <w:rFonts w:hint="eastAsia"/>
        </w:rPr>
        <w:t>与电气设备的净距不应小于</w:t>
      </w:r>
      <w:r>
        <w:t>20cm</w:t>
      </w:r>
      <w:r>
        <w:rPr>
          <w:rFonts w:hint="eastAsia"/>
        </w:rPr>
        <w:t>。</w:t>
      </w:r>
    </w:p>
    <w:p>
      <w:r>
        <w:rPr>
          <w:rFonts w:hint="eastAsia"/>
        </w:rPr>
        <w:t>4.2.</w:t>
      </w:r>
      <w:r>
        <w:t>18 燃气表</w:t>
      </w:r>
      <w:r>
        <w:rPr>
          <w:rFonts w:hint="eastAsia"/>
        </w:rPr>
        <w:t>设置在室</w:t>
      </w:r>
      <w:r>
        <w:t>外时，应设置在专用表箱内</w:t>
      </w:r>
      <w:r>
        <w:rPr>
          <w:rFonts w:hint="eastAsia"/>
        </w:rPr>
        <w:t>，并符合下列规定：</w:t>
      </w:r>
    </w:p>
    <w:p>
      <w:pPr>
        <w:ind w:firstLine="480" w:firstLineChars="200"/>
      </w:pPr>
      <w:r>
        <w:t>1</w:t>
      </w:r>
      <w:r>
        <w:rPr>
          <w:rFonts w:hint="eastAsia"/>
        </w:rPr>
        <w:t xml:space="preserve"> </w:t>
      </w:r>
      <w:r>
        <w:t>箱体应安装在便于操作、查表和检修的场所，宜设在不燃或难燃材料的建、构筑物外墙上；</w:t>
      </w:r>
    </w:p>
    <w:p>
      <w:pPr>
        <w:ind w:firstLine="480" w:firstLineChars="200"/>
      </w:pPr>
      <w:r>
        <w:t>2</w:t>
      </w:r>
      <w:r>
        <w:rPr>
          <w:rFonts w:hint="eastAsia"/>
        </w:rPr>
        <w:t xml:space="preserve"> </w:t>
      </w:r>
      <w:r>
        <w:t>箱体应坚固、防雨水，并设透明观察窗，并根据实际情况增设下端排水孔；</w:t>
      </w:r>
    </w:p>
    <w:p>
      <w:pPr>
        <w:ind w:firstLine="480" w:firstLineChars="200"/>
      </w:pPr>
      <w:r>
        <w:t>3</w:t>
      </w:r>
      <w:r>
        <w:rPr>
          <w:rFonts w:hint="eastAsia"/>
        </w:rPr>
        <w:t xml:space="preserve"> </w:t>
      </w:r>
      <w:r>
        <w:t>金属表箱应采取腐蚀控制措施，非金属表箱应具有阻燃、抗老化特性，使用年限不应低于燃气表的使用年限；</w:t>
      </w:r>
    </w:p>
    <w:p>
      <w:pPr>
        <w:ind w:firstLine="480" w:firstLineChars="200"/>
      </w:pPr>
      <w:r>
        <w:t>4</w:t>
      </w:r>
      <w:r>
        <w:rPr>
          <w:rFonts w:hint="eastAsia"/>
        </w:rPr>
        <w:t xml:space="preserve"> </w:t>
      </w:r>
      <w:r>
        <w:t>表箱应通风良好；</w:t>
      </w:r>
    </w:p>
    <w:p>
      <w:pPr>
        <w:ind w:firstLine="480" w:firstLineChars="200"/>
      </w:pPr>
      <w:r>
        <w:t>5</w:t>
      </w:r>
      <w:r>
        <w:rPr>
          <w:rFonts w:hint="eastAsia"/>
        </w:rPr>
        <w:t xml:space="preserve"> </w:t>
      </w:r>
      <w:r>
        <w:t>箱体上应有燃气的企业标识</w:t>
      </w:r>
      <w:r>
        <w:rPr>
          <w:rFonts w:hint="eastAsia"/>
        </w:rPr>
        <w:t>、</w:t>
      </w:r>
      <w:r>
        <w:t>服务热线</w:t>
      </w:r>
      <w:r>
        <w:rPr>
          <w:rFonts w:hint="eastAsia"/>
        </w:rPr>
        <w:t>及“</w:t>
      </w:r>
      <w:r>
        <w:t>燃气设施，注意保护</w:t>
      </w:r>
      <w:r>
        <w:rPr>
          <w:rFonts w:hint="eastAsia"/>
        </w:rPr>
        <w:t>”</w:t>
      </w:r>
      <w:r>
        <w:t>等警示语</w:t>
      </w:r>
      <w:r>
        <w:rPr>
          <w:rFonts w:hint="eastAsia"/>
        </w:rPr>
        <w:t>，</w:t>
      </w:r>
      <w:r>
        <w:t>警示语应具有逆反光或自发光功能；</w:t>
      </w:r>
    </w:p>
    <w:p>
      <w:pPr>
        <w:ind w:firstLine="480" w:firstLineChars="200"/>
      </w:pPr>
      <w:r>
        <w:rPr>
          <w:rFonts w:hint="eastAsia"/>
        </w:rPr>
        <w:t xml:space="preserve">6 </w:t>
      </w:r>
      <w:r>
        <w:t>表箱内管道宜采用热镀锌钢管或燃气用具连接用不锈钢波纹软管，热镀锌钢管和燃具连接用不锈钢波纹软管应分别符合《低压流体输送用焊接钢管》GB/T3091和《燃气用具连接用不锈钢波纹软管》CJ/T197的规定；</w:t>
      </w:r>
    </w:p>
    <w:p>
      <w:pPr>
        <w:ind w:firstLine="480" w:firstLineChars="200"/>
      </w:pPr>
      <w:r>
        <w:rPr>
          <w:rFonts w:hint="eastAsia"/>
        </w:rPr>
        <w:t xml:space="preserve">7 </w:t>
      </w:r>
      <w:r>
        <w:t>表箱出口燃气管道应架空敷设进入厨房或燃气供暖热水炉专用房间。</w:t>
      </w:r>
    </w:p>
    <w:p>
      <w:r>
        <w:t xml:space="preserve">4.2.19 </w:t>
      </w:r>
      <w:r>
        <w:rPr>
          <w:rFonts w:hint="eastAsia"/>
        </w:rPr>
        <w:t>住宅中应预留燃具的安装位置，并应设置专用烟道或在外墙上留有通往室外的孔洞。</w:t>
      </w:r>
    </w:p>
    <w:p>
      <w:r>
        <w:t xml:space="preserve">4.2.20 </w:t>
      </w:r>
      <w:r>
        <w:rPr>
          <w:rFonts w:hint="eastAsia"/>
        </w:rPr>
        <w:t>燃具铭牌上标定的燃气类别必须与安装处所供应的燃气类别相一致。</w:t>
      </w:r>
    </w:p>
    <w:p>
      <w:r>
        <w:rPr>
          <w:rFonts w:hint="eastAsia"/>
        </w:rPr>
        <w:t>4</w:t>
      </w:r>
      <w:r>
        <w:t>.</w:t>
      </w:r>
      <w:r>
        <w:rPr>
          <w:rFonts w:hint="eastAsia"/>
        </w:rPr>
        <w:t>2.</w:t>
      </w:r>
      <w:r>
        <w:t>21</w:t>
      </w:r>
      <w:r>
        <w:rPr>
          <w:rFonts w:hint="eastAsia"/>
        </w:rPr>
        <w:t xml:space="preserve"> </w:t>
      </w:r>
      <w:r>
        <w:t>燃具应有自动熄火保护装置且不应设置在起居室和卧室内。安装通气后，不应随意改变用气场所功能。禁止在室内使用直排式采暖炉和直排式热水器。</w:t>
      </w:r>
    </w:p>
    <w:p>
      <w:pPr>
        <w:pStyle w:val="15"/>
        <w:spacing w:before="0" w:beforeAutospacing="0" w:after="0" w:afterAutospacing="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4.2.22 </w:t>
      </w:r>
      <w:r>
        <w:rPr>
          <w:rFonts w:hint="eastAsia" w:ascii="Times New Roman" w:hAnsi="Times New Roman" w:cs="Times New Roman"/>
          <w:kern w:val="2"/>
          <w:sz w:val="24"/>
          <w:szCs w:val="24"/>
        </w:rPr>
        <w:t>在燃具停用时，主、支并列型共用烟道的支烟道口处静压值应小于零（负压）。</w:t>
      </w:r>
    </w:p>
    <w:p>
      <w:pPr>
        <w:widowControl/>
        <w:jc w:val="left"/>
      </w:pPr>
      <w:r>
        <w:t xml:space="preserve">4.2.23 </w:t>
      </w:r>
      <w:r>
        <w:rPr>
          <w:rFonts w:hint="eastAsia"/>
          <w:lang w:bidi="ar"/>
        </w:rPr>
        <w:t>安装燃具的房间应符合下列规定：</w:t>
      </w:r>
    </w:p>
    <w:p>
      <w:pPr>
        <w:widowControl/>
        <w:ind w:firstLine="480" w:firstLineChars="200"/>
        <w:jc w:val="left"/>
      </w:pPr>
      <w:r>
        <w:rPr>
          <w:rFonts w:hint="eastAsia"/>
          <w:lang w:bidi="ar"/>
        </w:rPr>
        <w:t>1 与卧室之间应有实体墙隔断，并应设门与之隔开；</w:t>
      </w:r>
    </w:p>
    <w:p>
      <w:pPr>
        <w:widowControl/>
        <w:ind w:firstLine="480" w:firstLineChars="200"/>
        <w:jc w:val="left"/>
      </w:pPr>
      <w:r>
        <w:rPr>
          <w:rFonts w:hint="eastAsia"/>
          <w:lang w:bidi="ar"/>
        </w:rPr>
        <w:t>2 地面和墙壁应为不燃材料，当墙壁为可燃或难燃材料时，应设防火隔热板；</w:t>
      </w:r>
    </w:p>
    <w:p>
      <w:pPr>
        <w:widowControl/>
        <w:ind w:firstLine="480" w:firstLineChars="200"/>
        <w:jc w:val="left"/>
      </w:pPr>
      <w:r>
        <w:rPr>
          <w:rFonts w:hint="eastAsia"/>
          <w:lang w:bidi="ar"/>
        </w:rPr>
        <w:t>3 当顶棚和屋面采用不燃或难燃材料时，层高不得小于</w:t>
      </w:r>
      <w:r>
        <w:rPr>
          <w:lang w:bidi="ar"/>
        </w:rPr>
        <w:t>2.2m</w:t>
      </w:r>
      <w:r>
        <w:rPr>
          <w:rFonts w:hint="eastAsia"/>
          <w:lang w:bidi="ar"/>
        </w:rPr>
        <w:t>；当装有热水器或采暖炉时，层高不得小于</w:t>
      </w:r>
      <w:r>
        <w:rPr>
          <w:lang w:bidi="ar"/>
        </w:rPr>
        <w:t>2.4m</w:t>
      </w:r>
      <w:r>
        <w:rPr>
          <w:rFonts w:hint="eastAsia"/>
          <w:lang w:bidi="ar"/>
        </w:rPr>
        <w:t>；当顶棚和屋面采用可燃材料时，层高不得小于</w:t>
      </w:r>
      <w:r>
        <w:rPr>
          <w:lang w:bidi="ar"/>
        </w:rPr>
        <w:t>2.8m</w:t>
      </w:r>
      <w:r>
        <w:rPr>
          <w:rFonts w:hint="eastAsia"/>
          <w:lang w:bidi="ar"/>
        </w:rPr>
        <w:t>；</w:t>
      </w:r>
    </w:p>
    <w:p>
      <w:pPr>
        <w:widowControl/>
        <w:ind w:firstLine="480" w:firstLineChars="200"/>
        <w:jc w:val="left"/>
        <w:rPr>
          <w:lang w:bidi="ar"/>
        </w:rPr>
      </w:pPr>
      <w:r>
        <w:rPr>
          <w:rFonts w:hint="eastAsia"/>
          <w:lang w:bidi="ar"/>
        </w:rPr>
        <w:t>4 应具有直通室外且自然通风的窗户；</w:t>
      </w:r>
    </w:p>
    <w:p>
      <w:pPr>
        <w:widowControl/>
        <w:ind w:firstLine="480" w:firstLineChars="200"/>
        <w:jc w:val="left"/>
        <w:rPr>
          <w:lang w:bidi="ar"/>
        </w:rPr>
      </w:pPr>
      <w:r>
        <w:rPr>
          <w:rFonts w:hint="eastAsia"/>
          <w:lang w:bidi="ar"/>
        </w:rPr>
        <w:t>5</w:t>
      </w:r>
      <w:r>
        <w:rPr>
          <w:lang w:bidi="ar"/>
        </w:rPr>
        <w:t xml:space="preserve"> 用气房间不得位于地下室、半地下室</w:t>
      </w:r>
      <w:r>
        <w:rPr>
          <w:rFonts w:hint="eastAsia"/>
          <w:lang w:bidi="ar"/>
        </w:rPr>
        <w:t>。</w:t>
      </w:r>
    </w:p>
    <w:p>
      <w:pPr>
        <w:pStyle w:val="5"/>
        <w:rPr>
          <w:rFonts w:ascii="Times New Roman" w:hAnsi="Times New Roman"/>
          <w:b w:val="0"/>
          <w:sz w:val="24"/>
          <w:szCs w:val="24"/>
        </w:rPr>
      </w:pPr>
      <w:bookmarkStart w:id="42" w:name="_Toc28164"/>
      <w:bookmarkStart w:id="43" w:name="_Toc36714030"/>
      <w:bookmarkStart w:id="44" w:name="_Toc22600"/>
      <w:bookmarkStart w:id="45" w:name="_Toc12652"/>
      <w:bookmarkStart w:id="46" w:name="_Toc62427685"/>
      <w:r>
        <w:rPr>
          <w:rFonts w:hint="eastAsia" w:ascii="Times New Roman" w:hAnsi="Times New Roman"/>
          <w:b w:val="0"/>
          <w:bCs w:val="0"/>
          <w:sz w:val="24"/>
          <w:szCs w:val="24"/>
        </w:rPr>
        <w:t>4</w:t>
      </w:r>
      <w:r>
        <w:rPr>
          <w:rFonts w:ascii="Times New Roman" w:hAnsi="Times New Roman"/>
          <w:b w:val="0"/>
          <w:bCs w:val="0"/>
          <w:sz w:val="24"/>
          <w:szCs w:val="24"/>
        </w:rPr>
        <w:t>.</w:t>
      </w:r>
      <w:bookmarkEnd w:id="42"/>
      <w:bookmarkEnd w:id="43"/>
      <w:bookmarkEnd w:id="44"/>
      <w:bookmarkEnd w:id="45"/>
      <w:r>
        <w:rPr>
          <w:rFonts w:ascii="Times New Roman" w:hAnsi="Times New Roman"/>
          <w:b w:val="0"/>
          <w:bCs w:val="0"/>
          <w:sz w:val="24"/>
          <w:szCs w:val="24"/>
        </w:rPr>
        <w:t>3</w:t>
      </w:r>
      <w:r>
        <w:rPr>
          <w:rFonts w:hint="eastAsia" w:ascii="Times New Roman" w:hAnsi="Times New Roman"/>
          <w:b w:val="0"/>
          <w:sz w:val="24"/>
          <w:szCs w:val="24"/>
        </w:rPr>
        <w:t xml:space="preserve"> 施工与安装</w:t>
      </w:r>
      <w:bookmarkEnd w:id="46"/>
    </w:p>
    <w:p>
      <w:r>
        <w:rPr>
          <w:rFonts w:hint="eastAsia"/>
        </w:rPr>
        <w:t>4</w:t>
      </w:r>
      <w:r>
        <w:t>.3.1</w:t>
      </w:r>
      <w:r>
        <w:rPr>
          <w:rFonts w:hint="eastAsia"/>
        </w:rPr>
        <w:t>国家规定实施生产许可证、计量器具许可证或特殊认证的产品，产品生产单位必须提供相关证明文件。施工单位必须在安装使用前查验相关的文件，不符合要求的产品不得安装使用。</w:t>
      </w:r>
    </w:p>
    <w:p>
      <w:r>
        <w:rPr>
          <w:rFonts w:hint="eastAsia"/>
        </w:rPr>
        <w:t>4</w:t>
      </w:r>
      <w:r>
        <w:t xml:space="preserve">.3.2 </w:t>
      </w:r>
      <w:r>
        <w:rPr>
          <w:rFonts w:hint="eastAsia"/>
        </w:rPr>
        <w:t>室内燃气管道与燃具连接前，应当安装燃气泄漏报警及自动切断装置，室内燃气管道应设置手动快速切断阀，宜设置具有过流、超压、欠压切断功能的装置。</w:t>
      </w:r>
    </w:p>
    <w:p>
      <w:pPr>
        <w:rPr>
          <w:bCs/>
        </w:rPr>
      </w:pPr>
      <w:r>
        <w:rPr>
          <w:rFonts w:hint="eastAsia"/>
          <w:bCs/>
        </w:rPr>
        <w:t>4.</w:t>
      </w:r>
      <w:r>
        <w:rPr>
          <w:bCs/>
        </w:rPr>
        <w:t xml:space="preserve">3.3 </w:t>
      </w:r>
      <w:r>
        <w:rPr>
          <w:rFonts w:hint="eastAsia"/>
          <w:bCs/>
        </w:rPr>
        <w:t>室内燃气管道接头的内外表面不允许有裂纹、砂眼、及其它影响性能的明显缺陷。橡胶件外观应规则，无裂纹、缺陷及明显飞边，色泽应均匀。</w:t>
      </w:r>
    </w:p>
    <w:p>
      <w:r>
        <w:rPr>
          <w:rFonts w:hint="eastAsia"/>
        </w:rPr>
        <w:t>4.</w:t>
      </w:r>
      <w:r>
        <w:t>3</w:t>
      </w:r>
      <w:r>
        <w:rPr>
          <w:rFonts w:hint="eastAsia"/>
        </w:rPr>
        <w:t>.</w:t>
      </w:r>
      <w:r>
        <w:t>4 室内架空管道阀门安装前应按</w:t>
      </w:r>
      <w:r>
        <w:rPr>
          <w:rFonts w:hint="eastAsia"/>
        </w:rPr>
        <w:t>现行行业标准</w:t>
      </w:r>
      <w:r>
        <w:t>《城镇燃气室内工程施工与质量验收规范》CJJ 94进行外观、启闭、强度、严密性等质量复验，合格后方可安装。</w:t>
      </w:r>
    </w:p>
    <w:p>
      <w:pPr>
        <w:pStyle w:val="4"/>
        <w:rPr>
          <w:rStyle w:val="30"/>
          <w:rFonts w:eastAsiaTheme="majorEastAsia"/>
          <w:b/>
          <w:bCs w:val="0"/>
        </w:rPr>
      </w:pPr>
      <w:bookmarkStart w:id="47" w:name="_Toc62427686"/>
      <w:bookmarkStart w:id="48" w:name="_Toc14324"/>
      <w:bookmarkStart w:id="49" w:name="_Toc21006"/>
      <w:bookmarkStart w:id="50" w:name="_Toc8228"/>
      <w:bookmarkStart w:id="51" w:name="_Toc36714032"/>
      <w:r>
        <w:rPr>
          <w:rStyle w:val="30"/>
          <w:rFonts w:hint="eastAsia" w:eastAsiaTheme="majorEastAsia"/>
          <w:b/>
          <w:bCs w:val="0"/>
        </w:rPr>
        <w:t>5</w:t>
      </w:r>
      <w:r>
        <w:rPr>
          <w:rStyle w:val="30"/>
          <w:rFonts w:eastAsiaTheme="majorEastAsia"/>
          <w:b/>
          <w:bCs w:val="0"/>
        </w:rPr>
        <w:t xml:space="preserve"> 采暖热水炉供暖系统</w:t>
      </w:r>
      <w:bookmarkEnd w:id="47"/>
    </w:p>
    <w:p>
      <w:pPr>
        <w:pStyle w:val="5"/>
        <w:rPr>
          <w:rFonts w:ascii="Times New Roman" w:hAnsi="Times New Roman"/>
          <w:b w:val="0"/>
          <w:sz w:val="24"/>
          <w:szCs w:val="24"/>
        </w:rPr>
      </w:pPr>
      <w:bookmarkStart w:id="52" w:name="_Toc62427687"/>
      <w:r>
        <w:rPr>
          <w:rFonts w:hint="eastAsia" w:ascii="Times New Roman" w:hAnsi="Times New Roman"/>
          <w:b w:val="0"/>
          <w:sz w:val="24"/>
          <w:szCs w:val="24"/>
        </w:rPr>
        <w:t>5</w:t>
      </w:r>
      <w:r>
        <w:rPr>
          <w:rFonts w:ascii="Times New Roman" w:hAnsi="Times New Roman"/>
          <w:b w:val="0"/>
          <w:sz w:val="24"/>
          <w:szCs w:val="24"/>
        </w:rPr>
        <w:t>.1 负荷计算</w:t>
      </w:r>
      <w:bookmarkEnd w:id="52"/>
    </w:p>
    <w:bookmarkEnd w:id="39"/>
    <w:bookmarkEnd w:id="48"/>
    <w:bookmarkEnd w:id="49"/>
    <w:bookmarkEnd w:id="50"/>
    <w:bookmarkEnd w:id="51"/>
    <w:p>
      <w:bookmarkStart w:id="53" w:name="_Toc24030856"/>
      <w:bookmarkStart w:id="54" w:name="_Toc8563"/>
      <w:r>
        <w:t xml:space="preserve">5.1.1 </w:t>
      </w:r>
      <w:r>
        <w:rPr>
          <w:rFonts w:hint="eastAsia"/>
        </w:rPr>
        <w:t>采暖热水炉的</w:t>
      </w:r>
      <w:r>
        <w:t>额定输出功率应根据供暖热负荷和生活热水</w:t>
      </w:r>
      <w:r>
        <w:rPr>
          <w:rFonts w:hint="eastAsia"/>
        </w:rPr>
        <w:t>耗热量（热输出）</w:t>
      </w:r>
      <w:r>
        <w:t>计算确定，并取其大值</w:t>
      </w:r>
      <w:r>
        <w:rPr>
          <w:rFonts w:hint="eastAsia"/>
        </w:rPr>
        <w:t>。</w:t>
      </w:r>
    </w:p>
    <w:p>
      <w:pPr>
        <w:rPr>
          <w:rFonts w:ascii="宋体" w:hAnsi="宋体"/>
        </w:rPr>
      </w:pPr>
      <w:r>
        <w:t>5.1.2 供暖设计热负荷</w:t>
      </w:r>
      <w:r>
        <w:rPr>
          <w:rFonts w:hint="eastAsia"/>
        </w:rPr>
        <w:t>计算方法</w:t>
      </w:r>
      <w:r>
        <w:t>应符合国家</w:t>
      </w:r>
      <w:r>
        <w:rPr>
          <w:rFonts w:hint="eastAsia"/>
        </w:rPr>
        <w:t>现行</w:t>
      </w:r>
      <w:r>
        <w:t>标准《民用建筑供暖通风与空气调节设计规范》GB50736、《严寒和寒冷地区居住建筑节能设计标准》JGJ26的有关规定。</w:t>
      </w:r>
      <w:r>
        <w:rPr>
          <w:rFonts w:hint="eastAsia" w:ascii="宋体" w:hAnsi="宋体"/>
        </w:rPr>
        <w:t>冬季供</w:t>
      </w:r>
      <w:r>
        <w:rPr>
          <w:rFonts w:ascii="宋体" w:hAnsi="宋体"/>
        </w:rPr>
        <w:t>暖</w:t>
      </w:r>
      <w:r>
        <w:rPr>
          <w:rFonts w:hint="eastAsia" w:ascii="宋体" w:hAnsi="宋体"/>
        </w:rPr>
        <w:t>主要</w:t>
      </w:r>
      <w:r>
        <w:rPr>
          <w:rFonts w:ascii="宋体" w:hAnsi="宋体"/>
        </w:rPr>
        <w:t>房间室内</w:t>
      </w:r>
      <w:r>
        <w:rPr>
          <w:rFonts w:hint="eastAsia" w:ascii="宋体" w:hAnsi="宋体"/>
        </w:rPr>
        <w:t>计算温度应取</w:t>
      </w:r>
      <w:r>
        <w:rPr>
          <w:rFonts w:hint="eastAsia"/>
        </w:rPr>
        <w:t>1</w:t>
      </w:r>
      <w:r>
        <w:t>6</w:t>
      </w:r>
      <w:r>
        <w:rPr>
          <w:rFonts w:hint="eastAsia"/>
        </w:rPr>
        <w:t>~</w:t>
      </w:r>
      <w:r>
        <w:t>18</w:t>
      </w:r>
      <w:r>
        <w:rPr>
          <w:rFonts w:hint="eastAsia"/>
        </w:rPr>
        <w:t>℃，</w:t>
      </w:r>
      <w:r>
        <w:rPr>
          <w:rFonts w:ascii="宋体" w:hAnsi="宋体"/>
        </w:rPr>
        <w:t>计算换气次数应取</w:t>
      </w:r>
      <w:r>
        <w:t>0.5h</w:t>
      </w:r>
      <w:r>
        <w:rPr>
          <w:vertAlign w:val="superscript"/>
        </w:rPr>
        <w:t>-1</w:t>
      </w:r>
      <w:r>
        <w:rPr>
          <w:rFonts w:ascii="宋体" w:hAnsi="宋体"/>
        </w:rPr>
        <w:t>。</w:t>
      </w:r>
    </w:p>
    <w:p>
      <w:r>
        <w:t>5.1.3 采暖热水炉生活热水耗热量宜按国家现行标准《建筑给水排水设计</w:t>
      </w:r>
      <w:r>
        <w:rPr>
          <w:rFonts w:hint="eastAsia"/>
        </w:rPr>
        <w:t>标准</w:t>
      </w:r>
      <w:r>
        <w:t>》GB50015和《节水型生活用水器具》CJ/T164的有关规定采用。</w:t>
      </w:r>
    </w:p>
    <w:p>
      <w:r>
        <w:rPr>
          <w:rFonts w:hint="eastAsia"/>
        </w:rPr>
        <w:t>5</w:t>
      </w:r>
      <w:r>
        <w:t>.1.4 采暖热水炉的额定热负荷</w:t>
      </w:r>
      <w:r>
        <w:rPr>
          <w:rFonts w:hint="eastAsia"/>
        </w:rPr>
        <w:t>（</w:t>
      </w:r>
      <w:r>
        <w:t>热输入</w:t>
      </w:r>
      <w:r>
        <w:rPr>
          <w:rFonts w:hint="eastAsia"/>
        </w:rPr>
        <w:t>）</w:t>
      </w:r>
      <w:r>
        <w:t>应根据供暖设计热负荷</w:t>
      </w:r>
      <w:r>
        <w:rPr>
          <w:rFonts w:hint="eastAsia"/>
        </w:rPr>
        <w:t>和</w:t>
      </w:r>
      <w:r>
        <w:t>生活热水耗热量及相应的热效率计算确定，并应符合下列规定：</w:t>
      </w:r>
    </w:p>
    <w:p>
      <w:pPr>
        <w:ind w:firstLine="480" w:firstLineChars="200"/>
      </w:pPr>
      <w:r>
        <w:t>1 按供暖设计热负荷或生活热水设计小时耗热量中的较大值采用；</w:t>
      </w:r>
    </w:p>
    <w:p>
      <w:pPr>
        <w:ind w:firstLine="480" w:firstLineChars="200"/>
      </w:pPr>
      <w:r>
        <w:t xml:space="preserve">2 </w:t>
      </w:r>
      <w:r>
        <w:rPr>
          <w:rFonts w:hint="eastAsia"/>
        </w:rPr>
        <w:t>采暖热水炉额定热负荷应大于等于最大耗热量除以热效率，非冷凝式采暖热水炉的供暖热效率可采用</w:t>
      </w:r>
      <w:r>
        <w:t>89%</w:t>
      </w:r>
      <w:r>
        <w:rPr>
          <w:rFonts w:hint="eastAsia"/>
        </w:rPr>
        <w:t>；冷凝式采暖热水炉供暖热效率可采用</w:t>
      </w:r>
      <w:r>
        <w:t>99%</w:t>
      </w:r>
      <w:r>
        <w:rPr>
          <w:rFonts w:hint="eastAsia"/>
        </w:rPr>
        <w:t>，热水热效率可采用</w:t>
      </w:r>
      <w:r>
        <w:t>96%</w:t>
      </w:r>
      <w:r>
        <w:rPr>
          <w:rFonts w:hint="eastAsia"/>
        </w:rPr>
        <w:t>。</w:t>
      </w:r>
    </w:p>
    <w:p>
      <w:pPr>
        <w:pStyle w:val="5"/>
        <w:rPr>
          <w:rFonts w:ascii="Times New Roman" w:hAnsi="Times New Roman"/>
          <w:b w:val="0"/>
          <w:sz w:val="24"/>
          <w:szCs w:val="24"/>
        </w:rPr>
      </w:pPr>
      <w:bookmarkStart w:id="55" w:name="_Toc25426"/>
      <w:bookmarkStart w:id="56" w:name="_Toc62427688"/>
      <w:bookmarkStart w:id="57" w:name="_Toc36714034"/>
      <w:bookmarkStart w:id="58" w:name="_Toc29752"/>
      <w:r>
        <w:rPr>
          <w:rFonts w:hint="eastAsia" w:ascii="Times New Roman" w:hAnsi="Times New Roman"/>
          <w:b w:val="0"/>
          <w:sz w:val="24"/>
          <w:szCs w:val="24"/>
        </w:rPr>
        <w:t>5</w:t>
      </w:r>
      <w:r>
        <w:rPr>
          <w:rFonts w:ascii="Times New Roman" w:hAnsi="Times New Roman"/>
          <w:b w:val="0"/>
          <w:sz w:val="24"/>
          <w:szCs w:val="24"/>
        </w:rPr>
        <w:t>.2 设备</w:t>
      </w:r>
      <w:bookmarkEnd w:id="53"/>
      <w:bookmarkEnd w:id="54"/>
      <w:r>
        <w:rPr>
          <w:rFonts w:ascii="Times New Roman" w:hAnsi="Times New Roman"/>
          <w:b w:val="0"/>
          <w:sz w:val="24"/>
          <w:szCs w:val="24"/>
        </w:rPr>
        <w:t>要求</w:t>
      </w:r>
      <w:bookmarkEnd w:id="55"/>
      <w:bookmarkEnd w:id="56"/>
      <w:bookmarkEnd w:id="57"/>
      <w:bookmarkEnd w:id="58"/>
    </w:p>
    <w:p>
      <w:r>
        <w:rPr>
          <w:rFonts w:hint="eastAsia"/>
        </w:rPr>
        <w:t>5</w:t>
      </w:r>
      <w:r>
        <w:t>.2.</w:t>
      </w:r>
      <w:r>
        <w:rPr>
          <w:rFonts w:hint="eastAsia"/>
        </w:rPr>
        <w:t>1</w:t>
      </w:r>
      <w:r>
        <w:t xml:space="preserve"> 采暖热水炉应符合现行标准《燃气燃烧器具安全技术条件》GB16914、《燃气采暖热水炉》GB25034、《冷凝式燃气暖浴两用炉》CJ/T395的规定，还应具备超温、超压、熄火、烟道堵塞、风机故障等的多重安全切断保护功能和防冻保护功能。</w:t>
      </w:r>
    </w:p>
    <w:p>
      <w:r>
        <w:rPr>
          <w:rFonts w:hint="eastAsia"/>
        </w:rPr>
        <w:t>5</w:t>
      </w:r>
      <w:r>
        <w:t xml:space="preserve">.2.2 </w:t>
      </w:r>
      <w:r>
        <w:rPr>
          <w:rFonts w:hint="eastAsia"/>
        </w:rPr>
        <w:t>采暖热水炉的燃气类别、使用电源和适用水压必须与安装所处的燃气类别、电源性质和供水压力一致。</w:t>
      </w:r>
    </w:p>
    <w:p>
      <w:r>
        <w:rPr>
          <w:rFonts w:hint="eastAsia"/>
        </w:rPr>
        <w:t>5.2.</w:t>
      </w:r>
      <w:r>
        <w:t>3</w:t>
      </w:r>
      <w:r>
        <w:rPr>
          <w:rFonts w:hint="eastAsia"/>
        </w:rPr>
        <w:t xml:space="preserve"> 采暖热水炉应采用全封闭式燃烧、平衡式强制排烟型。</w:t>
      </w:r>
    </w:p>
    <w:p>
      <w:r>
        <w:rPr>
          <w:rFonts w:hint="eastAsia"/>
        </w:rPr>
        <w:t>5</w:t>
      </w:r>
      <w:r>
        <w:t xml:space="preserve">.2.4 </w:t>
      </w:r>
      <w:r>
        <w:rPr>
          <w:rFonts w:hint="eastAsia"/>
        </w:rPr>
        <w:t>采暖热水炉的选型除应符合《燃气采暖热水炉应用技术规程》T</w:t>
      </w:r>
      <w:r>
        <w:t>/</w:t>
      </w:r>
      <w:r>
        <w:rPr>
          <w:rFonts w:hint="eastAsia"/>
        </w:rPr>
        <w:t>CECS</w:t>
      </w:r>
      <w:r>
        <w:t>215</w:t>
      </w:r>
      <w:r>
        <w:rPr>
          <w:rFonts w:hint="eastAsia"/>
        </w:rPr>
        <w:t>的规定外，还应符合下列规定：</w:t>
      </w:r>
    </w:p>
    <w:p>
      <w:pPr>
        <w:ind w:firstLine="480" w:firstLineChars="200"/>
      </w:pPr>
      <w:r>
        <w:t xml:space="preserve">1 </w:t>
      </w:r>
      <w:r>
        <w:rPr>
          <w:rFonts w:hint="eastAsia"/>
        </w:rPr>
        <w:t>采暖热水炉应采用低压燃气，并根据安装条件选择壁挂式安装或落地式安装；</w:t>
      </w:r>
    </w:p>
    <w:p>
      <w:pPr>
        <w:ind w:firstLine="480" w:firstLineChars="200"/>
      </w:pPr>
      <w:r>
        <w:rPr>
          <w:rFonts w:hint="eastAsia"/>
        </w:rPr>
        <w:t>2 采暖热水炉热效率应达到现行国家标准《家用燃气快速热水器和燃气采暖热水炉能效限定值及能效等级》</w:t>
      </w:r>
      <w:r>
        <w:t>GB20665</w:t>
      </w:r>
      <w:r>
        <w:rPr>
          <w:rFonts w:hint="eastAsia"/>
        </w:rPr>
        <w:t>中燃气采暖热水炉</w:t>
      </w:r>
      <w:r>
        <w:t>2</w:t>
      </w:r>
      <w:r>
        <w:rPr>
          <w:rFonts w:hint="eastAsia"/>
        </w:rPr>
        <w:t>级及以上能效等级；</w:t>
      </w:r>
    </w:p>
    <w:p>
      <w:pPr>
        <w:ind w:firstLine="480" w:firstLineChars="200"/>
      </w:pPr>
      <w:r>
        <w:t xml:space="preserve">3 </w:t>
      </w:r>
      <w:r>
        <w:rPr>
          <w:rFonts w:hint="eastAsia"/>
        </w:rPr>
        <w:t>采暖热水炉产生</w:t>
      </w:r>
      <w:r>
        <w:t>NO</w:t>
      </w:r>
      <w:r>
        <w:rPr>
          <w:vertAlign w:val="subscript"/>
        </w:rPr>
        <w:t>X</w:t>
      </w:r>
      <w:r>
        <w:rPr>
          <w:rFonts w:hint="eastAsia"/>
        </w:rPr>
        <w:t>排放限定值的要求不宜低于现行国家标准《燃气采暖热水炉》</w:t>
      </w:r>
      <w:r>
        <w:t>GB25034</w:t>
      </w:r>
      <w:r>
        <w:rPr>
          <w:rFonts w:hint="eastAsia"/>
        </w:rPr>
        <w:t>中</w:t>
      </w:r>
      <w:r>
        <w:t>4</w:t>
      </w:r>
      <w:r>
        <w:rPr>
          <w:rFonts w:hint="eastAsia"/>
        </w:rPr>
        <w:t>级排放要求；</w:t>
      </w:r>
    </w:p>
    <w:p>
      <w:pPr>
        <w:ind w:firstLine="480" w:firstLineChars="200"/>
      </w:pPr>
      <w:r>
        <w:rPr>
          <w:rFonts w:hint="eastAsia"/>
        </w:rPr>
        <w:t>4</w:t>
      </w:r>
      <w:r>
        <w:t xml:space="preserve"> </w:t>
      </w:r>
      <w:r>
        <w:rPr>
          <w:rFonts w:hint="eastAsia"/>
        </w:rPr>
        <w:t>采</w:t>
      </w:r>
      <w:r>
        <w:t>暖热水炉应选用具有负荷自动调节功能，调节范围宜为30%～100%；</w:t>
      </w:r>
    </w:p>
    <w:p>
      <w:pPr>
        <w:ind w:firstLine="480" w:firstLineChars="200"/>
      </w:pPr>
      <w:r>
        <w:rPr>
          <w:rFonts w:hint="eastAsia"/>
        </w:rPr>
        <w:t>5</w:t>
      </w:r>
      <w:r>
        <w:t xml:space="preserve"> </w:t>
      </w:r>
      <w:r>
        <w:rPr>
          <w:rFonts w:hint="eastAsia"/>
        </w:rPr>
        <w:t>采</w:t>
      </w:r>
      <w:r>
        <w:t>暖热水炉的工作噪音应低于50dB；</w:t>
      </w:r>
    </w:p>
    <w:p>
      <w:pPr>
        <w:ind w:firstLine="480" w:firstLineChars="200"/>
      </w:pPr>
      <w:r>
        <w:rPr>
          <w:rFonts w:hint="eastAsia"/>
        </w:rPr>
        <w:t xml:space="preserve">6 </w:t>
      </w:r>
      <w:r>
        <w:t>采暖热水炉应设温度、时间自动控制等装置</w:t>
      </w:r>
      <w:r>
        <w:rPr>
          <w:rFonts w:hint="eastAsia"/>
        </w:rPr>
        <w:t>；</w:t>
      </w:r>
    </w:p>
    <w:p>
      <w:pPr>
        <w:ind w:firstLine="480" w:firstLineChars="200"/>
      </w:pPr>
      <w:r>
        <w:rPr>
          <w:rFonts w:hint="eastAsia"/>
        </w:rPr>
        <w:t>7</w:t>
      </w:r>
      <w:r>
        <w:t xml:space="preserve"> 内置水泵流量、扬程应与供暖水系统特性相匹配。</w:t>
      </w:r>
    </w:p>
    <w:p>
      <w:r>
        <w:rPr>
          <w:rFonts w:hint="eastAsia"/>
        </w:rPr>
        <w:t>5</w:t>
      </w:r>
      <w:r>
        <w:t xml:space="preserve">.2.5 </w:t>
      </w:r>
      <w:r>
        <w:rPr>
          <w:rFonts w:hint="eastAsia"/>
        </w:rPr>
        <w:t>采暖热水炉应具备下列技术文件：</w:t>
      </w:r>
    </w:p>
    <w:p>
      <w:pPr>
        <w:ind w:firstLine="480" w:firstLineChars="200"/>
      </w:pPr>
      <w:r>
        <w:rPr>
          <w:rFonts w:hint="eastAsia"/>
        </w:rPr>
        <w:t>1</w:t>
      </w:r>
      <w:r>
        <w:t xml:space="preserve"> </w:t>
      </w:r>
      <w:r>
        <w:rPr>
          <w:rFonts w:hint="eastAsia"/>
        </w:rPr>
        <w:t>安装说明书；</w:t>
      </w:r>
    </w:p>
    <w:p>
      <w:pPr>
        <w:ind w:firstLine="480" w:firstLineChars="200"/>
      </w:pPr>
      <w:r>
        <w:rPr>
          <w:rFonts w:hint="eastAsia"/>
        </w:rPr>
        <w:t>2</w:t>
      </w:r>
      <w:r>
        <w:t xml:space="preserve"> </w:t>
      </w:r>
      <w:r>
        <w:rPr>
          <w:rFonts w:hint="eastAsia"/>
        </w:rPr>
        <w:t>使用说明书。</w:t>
      </w:r>
    </w:p>
    <w:p>
      <w:r>
        <w:rPr>
          <w:rFonts w:hint="eastAsia"/>
        </w:rPr>
        <w:t>5</w:t>
      </w:r>
      <w:r>
        <w:t xml:space="preserve">.2.6 </w:t>
      </w:r>
      <w:r>
        <w:rPr>
          <w:rFonts w:hint="eastAsia"/>
        </w:rPr>
        <w:t>采暖热水炉应具备下列基本技术参数：</w:t>
      </w:r>
    </w:p>
    <w:p>
      <w:pPr>
        <w:ind w:firstLine="480" w:firstLineChars="200"/>
      </w:pPr>
      <w:r>
        <w:rPr>
          <w:rFonts w:hint="eastAsia"/>
        </w:rPr>
        <w:t>1</w:t>
      </w:r>
      <w:r>
        <w:t xml:space="preserve"> </w:t>
      </w:r>
      <w:r>
        <w:rPr>
          <w:rFonts w:hint="eastAsia"/>
        </w:rPr>
        <w:t>燃气类别、额定燃气压力和额定燃气流量；</w:t>
      </w:r>
    </w:p>
    <w:p>
      <w:pPr>
        <w:ind w:firstLine="480" w:firstLineChars="200"/>
      </w:pPr>
      <w:r>
        <w:rPr>
          <w:rFonts w:hint="eastAsia"/>
        </w:rPr>
        <w:t>2</w:t>
      </w:r>
      <w:r>
        <w:t xml:space="preserve"> </w:t>
      </w:r>
      <w:r>
        <w:rPr>
          <w:rFonts w:hint="eastAsia"/>
        </w:rPr>
        <w:t>额定热输入；</w:t>
      </w:r>
    </w:p>
    <w:p>
      <w:pPr>
        <w:ind w:firstLine="480" w:firstLineChars="200"/>
      </w:pPr>
      <w:r>
        <w:rPr>
          <w:rFonts w:hint="eastAsia"/>
        </w:rPr>
        <w:t>3</w:t>
      </w:r>
      <w:r>
        <w:t xml:space="preserve"> </w:t>
      </w:r>
      <w:r>
        <w:rPr>
          <w:rFonts w:hint="eastAsia"/>
        </w:rPr>
        <w:t>额定热输出、额定冷凝热输出；</w:t>
      </w:r>
    </w:p>
    <w:p>
      <w:pPr>
        <w:ind w:firstLine="480" w:firstLineChars="200"/>
      </w:pPr>
      <w:r>
        <w:rPr>
          <w:rFonts w:hint="eastAsia"/>
        </w:rPr>
        <w:t>4</w:t>
      </w:r>
      <w:r>
        <w:t xml:space="preserve"> </w:t>
      </w:r>
      <w:r>
        <w:rPr>
          <w:rFonts w:hint="eastAsia"/>
        </w:rPr>
        <w:t>生活热水产水能力和适用水压；</w:t>
      </w:r>
    </w:p>
    <w:p>
      <w:pPr>
        <w:ind w:firstLine="480" w:firstLineChars="200"/>
      </w:pPr>
      <w:r>
        <w:t xml:space="preserve">5 </w:t>
      </w:r>
      <w:r>
        <w:rPr>
          <w:rFonts w:hint="eastAsia"/>
        </w:rPr>
        <w:t>供暖系统最高工作压力和膨胀水箱容积；</w:t>
      </w:r>
    </w:p>
    <w:p>
      <w:pPr>
        <w:ind w:firstLine="480" w:firstLineChars="200"/>
      </w:pPr>
      <w:r>
        <w:rPr>
          <w:rFonts w:hint="eastAsia"/>
        </w:rPr>
        <w:t>6</w:t>
      </w:r>
      <w:r>
        <w:t xml:space="preserve"> </w:t>
      </w:r>
      <w:r>
        <w:rPr>
          <w:rFonts w:hint="eastAsia"/>
        </w:rPr>
        <w:t>供暖系统水阻力工作曲线；</w:t>
      </w:r>
    </w:p>
    <w:p>
      <w:pPr>
        <w:ind w:firstLine="480" w:firstLineChars="200"/>
      </w:pPr>
      <w:r>
        <w:rPr>
          <w:rFonts w:hint="eastAsia"/>
        </w:rPr>
        <w:t>7</w:t>
      </w:r>
      <w:r>
        <w:t xml:space="preserve"> </w:t>
      </w:r>
      <w:r>
        <w:rPr>
          <w:rFonts w:hint="eastAsia"/>
        </w:rPr>
        <w:t>使用电源：电压、频率、功率；</w:t>
      </w:r>
    </w:p>
    <w:p>
      <w:pPr>
        <w:ind w:firstLine="480" w:firstLineChars="200"/>
      </w:pPr>
      <w:r>
        <w:rPr>
          <w:rFonts w:hint="eastAsia"/>
        </w:rPr>
        <w:t>8</w:t>
      </w:r>
      <w:r>
        <w:t xml:space="preserve"> </w:t>
      </w:r>
      <w:r>
        <w:rPr>
          <w:rFonts w:hint="eastAsia"/>
        </w:rPr>
        <w:t>防触电保护等级，防水等级或外壳防护等级；</w:t>
      </w:r>
    </w:p>
    <w:p>
      <w:pPr>
        <w:ind w:firstLine="480" w:firstLineChars="200"/>
      </w:pPr>
      <w:r>
        <w:rPr>
          <w:rFonts w:hint="eastAsia"/>
        </w:rPr>
        <w:t>9</w:t>
      </w:r>
      <w:r>
        <w:t xml:space="preserve"> </w:t>
      </w:r>
      <w:r>
        <w:rPr>
          <w:rFonts w:hint="eastAsia"/>
        </w:rPr>
        <w:t>接口：供暖供回水管径、冷热水管管径、安全阀接管管径、燃气管管径、给排气管管径及允许最大连接长度；</w:t>
      </w:r>
    </w:p>
    <w:p>
      <w:pPr>
        <w:ind w:firstLine="480" w:firstLineChars="200"/>
      </w:pPr>
      <w:r>
        <w:rPr>
          <w:rFonts w:hint="eastAsia"/>
        </w:rPr>
        <w:t>1</w:t>
      </w:r>
      <w:r>
        <w:t xml:space="preserve">0 </w:t>
      </w:r>
      <w:r>
        <w:rPr>
          <w:rFonts w:hint="eastAsia"/>
        </w:rPr>
        <w:t>重量、外形尺寸。</w:t>
      </w:r>
    </w:p>
    <w:p>
      <w:pPr>
        <w:ind w:firstLine="480" w:firstLineChars="200"/>
      </w:pPr>
      <w:r>
        <w:rPr>
          <w:rFonts w:hint="eastAsia"/>
        </w:rPr>
        <w:t>注：额定冷凝热输出只适用于冷凝式采暖热水炉；生活热水产水能力和使用水压只适用于两用型采暖热水炉，膨胀水箱容积只适用于内置膨胀水箱的采暖热水炉。</w:t>
      </w:r>
    </w:p>
    <w:p>
      <w:pPr>
        <w:pStyle w:val="5"/>
        <w:rPr>
          <w:rFonts w:ascii="Times New Roman" w:hAnsi="Times New Roman"/>
          <w:b w:val="0"/>
          <w:sz w:val="24"/>
          <w:szCs w:val="24"/>
        </w:rPr>
      </w:pPr>
      <w:bookmarkStart w:id="59" w:name="_Toc62427689"/>
      <w:bookmarkStart w:id="60" w:name="_Toc36714036"/>
      <w:bookmarkStart w:id="61" w:name="_Toc5281"/>
      <w:bookmarkStart w:id="62" w:name="_Toc24030859"/>
      <w:bookmarkStart w:id="63" w:name="_Toc18926"/>
      <w:bookmarkStart w:id="64" w:name="_Toc30157"/>
      <w:bookmarkStart w:id="65" w:name="_Toc24030860"/>
      <w:bookmarkStart w:id="66" w:name="_Toc30000"/>
      <w:r>
        <w:rPr>
          <w:rFonts w:hint="eastAsia" w:ascii="Times New Roman" w:hAnsi="Times New Roman"/>
          <w:b w:val="0"/>
          <w:sz w:val="24"/>
          <w:szCs w:val="24"/>
        </w:rPr>
        <w:t>5</w:t>
      </w:r>
      <w:r>
        <w:rPr>
          <w:rFonts w:ascii="Times New Roman" w:hAnsi="Times New Roman"/>
          <w:b w:val="0"/>
          <w:sz w:val="24"/>
          <w:szCs w:val="24"/>
        </w:rPr>
        <w:t>.3 系统设计</w:t>
      </w:r>
      <w:bookmarkEnd w:id="59"/>
    </w:p>
    <w:p>
      <w:pPr>
        <w:pStyle w:val="42"/>
        <w:keepNext w:val="0"/>
        <w:keepLines w:val="0"/>
        <w:numPr>
          <w:ilvl w:val="0"/>
          <w:numId w:val="3"/>
        </w:numPr>
        <w:rPr>
          <w:b/>
        </w:rPr>
      </w:pPr>
      <w:bookmarkStart w:id="67" w:name="_Toc62427690"/>
      <w:r>
        <w:rPr>
          <w:rFonts w:hint="eastAsia"/>
          <w:b/>
        </w:rPr>
        <w:t>供暖系统</w:t>
      </w:r>
      <w:bookmarkEnd w:id="67"/>
    </w:p>
    <w:p>
      <w:r>
        <w:rPr>
          <w:rFonts w:hint="eastAsia"/>
        </w:rPr>
        <w:t>5</w:t>
      </w:r>
      <w:r>
        <w:t xml:space="preserve">.3.1 </w:t>
      </w:r>
      <w:r>
        <w:rPr>
          <w:rFonts w:hint="eastAsia"/>
        </w:rPr>
        <w:t>供暖系统设计应符合现行国家标准《民用建筑供暖通风与空气调节设计规范》GB</w:t>
      </w:r>
      <w:r>
        <w:t>50736</w:t>
      </w:r>
      <w:r>
        <w:rPr>
          <w:rFonts w:hint="eastAsia"/>
        </w:rPr>
        <w:t>相关规定。</w:t>
      </w:r>
    </w:p>
    <w:p>
      <w:r>
        <w:t xml:space="preserve">5.3.2 </w:t>
      </w:r>
      <w:r>
        <w:rPr>
          <w:rFonts w:hint="eastAsia"/>
        </w:rPr>
        <w:t>供暖系统总阻力应与采暖热水炉阻力曲线相匹配。</w:t>
      </w:r>
    </w:p>
    <w:p>
      <w:r>
        <w:rPr>
          <w:rFonts w:hint="eastAsia"/>
        </w:rPr>
        <w:t>5</w:t>
      </w:r>
      <w:r>
        <w:t>.3.3 采暖热水炉供暖系统宜采用散热器、地面辐射、低温散热器</w:t>
      </w:r>
      <w:r>
        <w:rPr>
          <w:rFonts w:hint="eastAsia"/>
        </w:rPr>
        <w:t>、风机盘管</w:t>
      </w:r>
      <w:r>
        <w:t>等</w:t>
      </w:r>
      <w:r>
        <w:rPr>
          <w:rFonts w:hint="eastAsia"/>
        </w:rPr>
        <w:t>供暖</w:t>
      </w:r>
      <w:r>
        <w:t>末端形式，并应符合下列规定：</w:t>
      </w:r>
    </w:p>
    <w:p>
      <w:pPr>
        <w:ind w:firstLine="480" w:firstLineChars="200"/>
      </w:pPr>
      <w:r>
        <w:t>1 散热器供暖末端供水温度不宜大于75℃，供回水温差不宜小于20℃；</w:t>
      </w:r>
    </w:p>
    <w:p>
      <w:pPr>
        <w:ind w:firstLine="480" w:firstLineChars="200"/>
      </w:pPr>
      <w:r>
        <w:t>2 地面辐射供暖末端供水温度宜采用35～45℃，不应超过60℃，供回水温差宜采用</w:t>
      </w:r>
      <w:r>
        <w:rPr>
          <w:rFonts w:hint="eastAsia"/>
        </w:rPr>
        <w:t>5~</w:t>
      </w:r>
      <w:r>
        <w:t>10℃；</w:t>
      </w:r>
    </w:p>
    <w:p>
      <w:pPr>
        <w:ind w:firstLine="480" w:firstLineChars="200"/>
      </w:pPr>
      <w:r>
        <w:t>3 低温散热器供暖末端供水温度宜采用35～55℃，供回水温差宜采用</w:t>
      </w:r>
      <w:r>
        <w:rPr>
          <w:rFonts w:hint="eastAsia"/>
        </w:rPr>
        <w:t>5</w:t>
      </w:r>
      <w:r>
        <w:t>～10℃。</w:t>
      </w:r>
    </w:p>
    <w:p>
      <w:pPr>
        <w:ind w:firstLine="480" w:firstLineChars="200"/>
      </w:pPr>
      <w:r>
        <w:rPr>
          <w:rFonts w:hint="eastAsia"/>
        </w:rPr>
        <w:t>4 风机盘管供暖末端供水温度宜采用50～60℃，供回水温差不宜小于15℃。</w:t>
      </w:r>
    </w:p>
    <w:p>
      <w:r>
        <w:rPr>
          <w:rFonts w:hint="eastAsia"/>
        </w:rPr>
        <w:t>5</w:t>
      </w:r>
      <w:r>
        <w:t xml:space="preserve">.3.4 </w:t>
      </w:r>
      <w:r>
        <w:rPr>
          <w:rFonts w:hint="eastAsia"/>
        </w:rPr>
        <w:t>采暖热水炉内部未安装循环水泵、膨胀水箱时，应在供暖系统回水管上安装相关配件。未安装安全阀的采暖热水炉，应在供暖系统供水管上安装，且与设备之间不能安装隔断类阀门。</w:t>
      </w:r>
    </w:p>
    <w:p>
      <w:r>
        <w:t>5.3.5 当</w:t>
      </w:r>
      <w:r>
        <w:rPr>
          <w:rFonts w:hint="eastAsia"/>
        </w:rPr>
        <w:t>采暖热水炉</w:t>
      </w:r>
      <w:r>
        <w:t>内置水泵</w:t>
      </w:r>
      <w:r>
        <w:rPr>
          <w:rFonts w:hint="eastAsia"/>
        </w:rPr>
        <w:t>机组不能满足要求时，应设置</w:t>
      </w:r>
      <w:r>
        <w:t>外置</w:t>
      </w:r>
      <w:r>
        <w:rPr>
          <w:rFonts w:hint="eastAsia"/>
        </w:rPr>
        <w:t>循环水泵或</w:t>
      </w:r>
      <w:r>
        <w:t>增压泵</w:t>
      </w:r>
      <w:r>
        <w:rPr>
          <w:rFonts w:hint="eastAsia"/>
        </w:rPr>
        <w:t>，并与采暖热水炉水泵同步运行。供暖系统应有降噪声措施，安装在采暖热水炉外的水泵宜采用屏蔽泵。</w:t>
      </w:r>
    </w:p>
    <w:p>
      <w:pPr>
        <w:ind w:left="420" w:hanging="420" w:hangingChars="175"/>
      </w:pPr>
      <w:r>
        <w:t>5.3.6 各房间</w:t>
      </w:r>
      <w:r>
        <w:rPr>
          <w:rFonts w:hint="eastAsia"/>
        </w:rPr>
        <w:t>供暖</w:t>
      </w:r>
      <w:r>
        <w:t>末端水支路</w:t>
      </w:r>
      <w:r>
        <w:rPr>
          <w:rFonts w:hint="eastAsia"/>
        </w:rPr>
        <w:t>宜</w:t>
      </w:r>
      <w:r>
        <w:t>设置单独调节阀门。</w:t>
      </w:r>
    </w:p>
    <w:p>
      <w:r>
        <w:rPr>
          <w:rFonts w:hint="eastAsia"/>
        </w:rPr>
        <w:t>5</w:t>
      </w:r>
      <w:r>
        <w:t xml:space="preserve">.3.7 </w:t>
      </w:r>
      <w:r>
        <w:rPr>
          <w:rFonts w:hint="eastAsia"/>
        </w:rPr>
        <w:t>当采用散热器采暖时，散热器的选型、数量、组装、布置和安装应符合现行国家标准《民用建筑供暖通风与空气调节设计规范》GB</w:t>
      </w:r>
      <w:r>
        <w:t xml:space="preserve"> 50736</w:t>
      </w:r>
      <w:r>
        <w:rPr>
          <w:rFonts w:hint="eastAsia"/>
        </w:rPr>
        <w:t>的有关规定。当采用地面辐射供暖时，应符合《辐射供暖供冷技术规程》JGJ</w:t>
      </w:r>
      <w:r>
        <w:t>142</w:t>
      </w:r>
      <w:r>
        <w:rPr>
          <w:rFonts w:hint="eastAsia"/>
        </w:rPr>
        <w:t>的相关规定。</w:t>
      </w:r>
    </w:p>
    <w:p>
      <w:r>
        <w:t xml:space="preserve">5.3.8 </w:t>
      </w:r>
      <w:r>
        <w:rPr>
          <w:rFonts w:hint="eastAsia"/>
        </w:rPr>
        <w:t>供暖系统的管材、管件和敷设方式及热补偿措施应符合现行国家标准《民用建筑供暖通风与空气调节设计规范》GB</w:t>
      </w:r>
      <w:r>
        <w:t xml:space="preserve"> 50736</w:t>
      </w:r>
      <w:r>
        <w:rPr>
          <w:rFonts w:hint="eastAsia"/>
        </w:rPr>
        <w:t>的规定。</w:t>
      </w:r>
    </w:p>
    <w:p>
      <w:r>
        <w:t xml:space="preserve">5.3.9 </w:t>
      </w:r>
      <w:r>
        <w:rPr>
          <w:rFonts w:hint="eastAsia"/>
        </w:rPr>
        <w:t>供暖系统最低部位应设排水阀；系统应安装过滤装置；密闭式供暖系统的最高部位、易集气部位和散热器上部应设排气阀；系统中至少应设置一个自动排气阀。</w:t>
      </w:r>
    </w:p>
    <w:p>
      <w:pPr>
        <w:ind w:firstLine="480" w:firstLineChars="200"/>
      </w:pPr>
      <w:r>
        <w:rPr>
          <w:rFonts w:hint="eastAsia"/>
        </w:rPr>
        <w:t>注：地板辐射供暖系统的排水阀可不设在供暖系统最低部位。</w:t>
      </w:r>
    </w:p>
    <w:p>
      <w:pPr>
        <w:pStyle w:val="42"/>
        <w:keepNext w:val="0"/>
        <w:keepLines w:val="0"/>
        <w:numPr>
          <w:ilvl w:val="0"/>
          <w:numId w:val="3"/>
        </w:numPr>
        <w:rPr>
          <w:b/>
        </w:rPr>
      </w:pPr>
      <w:bookmarkStart w:id="68" w:name="_Toc62427691"/>
      <w:r>
        <w:rPr>
          <w:rFonts w:hint="eastAsia"/>
          <w:b/>
        </w:rPr>
        <w:t>给水设计</w:t>
      </w:r>
      <w:bookmarkEnd w:id="68"/>
    </w:p>
    <w:p>
      <w:r>
        <w:rPr>
          <w:rFonts w:hint="eastAsia"/>
        </w:rPr>
        <w:t>5</w:t>
      </w:r>
      <w:r>
        <w:t>.3.10</w:t>
      </w:r>
      <w:r>
        <w:rPr>
          <w:rFonts w:hint="eastAsia"/>
        </w:rPr>
        <w:t xml:space="preserve"> 供暖系统热媒水的水质应符合现行国家标准《建筑给水排水设计标准》GB</w:t>
      </w:r>
      <w:r>
        <w:t xml:space="preserve"> 50015</w:t>
      </w:r>
      <w:r>
        <w:rPr>
          <w:rFonts w:hint="eastAsia"/>
        </w:rPr>
        <w:t>的有关规定。</w:t>
      </w:r>
    </w:p>
    <w:p>
      <w:r>
        <w:rPr>
          <w:rFonts w:hint="eastAsia"/>
        </w:rPr>
        <w:t>5</w:t>
      </w:r>
      <w:r>
        <w:t xml:space="preserve">.3.11 </w:t>
      </w:r>
      <w:r>
        <w:rPr>
          <w:rFonts w:hint="eastAsia"/>
        </w:rPr>
        <w:t>供水压力应保证采暖热水炉的炉前压力大于设备的最低工作压力，并满足热水供应系统最不利配水点所需的工作压力。</w:t>
      </w:r>
    </w:p>
    <w:p>
      <w:pPr>
        <w:pStyle w:val="42"/>
        <w:keepNext w:val="0"/>
        <w:keepLines w:val="0"/>
        <w:numPr>
          <w:ilvl w:val="0"/>
          <w:numId w:val="3"/>
        </w:numPr>
        <w:rPr>
          <w:b/>
        </w:rPr>
      </w:pPr>
      <w:bookmarkStart w:id="69" w:name="_Toc62427692"/>
      <w:r>
        <w:rPr>
          <w:rFonts w:hint="eastAsia"/>
          <w:b/>
        </w:rPr>
        <w:t>电气设计</w:t>
      </w:r>
      <w:bookmarkEnd w:id="69"/>
    </w:p>
    <w:p>
      <w:r>
        <w:rPr>
          <w:rFonts w:hint="eastAsia"/>
        </w:rPr>
        <w:t>5</w:t>
      </w:r>
      <w:r>
        <w:t xml:space="preserve">.3.12 </w:t>
      </w:r>
      <w:r>
        <w:rPr>
          <w:rFonts w:hint="eastAsia"/>
        </w:rPr>
        <w:t>采暖热水炉电源应采用电源频率为5</w:t>
      </w:r>
      <w:r>
        <w:t>0</w:t>
      </w:r>
      <w:r>
        <w:rPr>
          <w:rFonts w:hint="eastAsia"/>
        </w:rPr>
        <w:t>Hz，额定电压单相2</w:t>
      </w:r>
      <w:r>
        <w:t>20</w:t>
      </w:r>
      <w:r>
        <w:rPr>
          <w:rFonts w:hint="eastAsia"/>
        </w:rPr>
        <w:t>V交流电源。</w:t>
      </w:r>
    </w:p>
    <w:p>
      <w:r>
        <w:rPr>
          <w:rFonts w:hint="eastAsia"/>
        </w:rPr>
        <w:t>5</w:t>
      </w:r>
      <w:r>
        <w:t xml:space="preserve">.3.13 </w:t>
      </w:r>
      <w:r>
        <w:rPr>
          <w:rFonts w:hint="eastAsia"/>
        </w:rPr>
        <w:t>专用防水电源插座应在采暖热水炉安装位置的侧方高于采暖热水炉产品底部的位置进行设置。</w:t>
      </w:r>
      <w:r>
        <w:t>Ⅰ类</w:t>
      </w:r>
      <w:r>
        <w:rPr>
          <w:rFonts w:hint="eastAsia"/>
        </w:rPr>
        <w:t>器具的电源插座应接地良好。</w:t>
      </w:r>
      <w:r>
        <w:t>电气安装连接电源线时应注意电源线的极性，Ⅰ类用电设备的供电线路应设置PE线，设备金属外壳应可靠接地。</w:t>
      </w:r>
    </w:p>
    <w:p>
      <w:r>
        <w:rPr>
          <w:rFonts w:hint="eastAsia"/>
        </w:rPr>
        <w:t>5.3.</w:t>
      </w:r>
      <w:r>
        <w:t>14</w:t>
      </w:r>
      <w:r>
        <w:rPr>
          <w:rFonts w:hint="eastAsia"/>
        </w:rPr>
        <w:t xml:space="preserve"> 电气系统设计应满足以下条件：</w:t>
      </w:r>
    </w:p>
    <w:p>
      <w:pPr>
        <w:ind w:firstLine="480" w:firstLineChars="200"/>
      </w:pPr>
      <w:r>
        <w:rPr>
          <w:rFonts w:hint="eastAsia"/>
        </w:rPr>
        <w:t>1 当采用220V电源时，室内温控器等控制回路应与电源系统隔离；</w:t>
      </w:r>
    </w:p>
    <w:p>
      <w:pPr>
        <w:ind w:firstLine="480" w:firstLineChars="200"/>
      </w:pPr>
      <w:r>
        <w:rPr>
          <w:rFonts w:hint="eastAsia"/>
        </w:rPr>
        <w:t>2 室内温控器关闭状态下和工作状态下均不得影响采暖热水炉防冻功能的启动；</w:t>
      </w:r>
    </w:p>
    <w:p>
      <w:pPr>
        <w:ind w:firstLine="480" w:firstLineChars="200"/>
      </w:pPr>
      <w:r>
        <w:rPr>
          <w:rFonts w:hint="eastAsia"/>
        </w:rPr>
        <w:t>3 电源插座应采用专用插座，并可靠固定，电源插座与燃气管道的距离不应小于0.5米。电源插座的供电回路应设置额定动作电流为30mA的剩余电流动作保护电器。</w:t>
      </w:r>
    </w:p>
    <w:p>
      <w:r>
        <w:rPr>
          <w:rFonts w:hint="eastAsia"/>
        </w:rPr>
        <w:t>5</w:t>
      </w:r>
      <w:r>
        <w:t xml:space="preserve">.3.15 </w:t>
      </w:r>
      <w:r>
        <w:rPr>
          <w:rFonts w:hint="eastAsia"/>
        </w:rPr>
        <w:t>电气设备与燃气管道之间的净距应符合现行国家标准《城镇燃气设计规范》GB</w:t>
      </w:r>
      <w:r>
        <w:t xml:space="preserve"> 50028</w:t>
      </w:r>
      <w:r>
        <w:rPr>
          <w:rFonts w:hint="eastAsia"/>
        </w:rPr>
        <w:t>的有关规定。</w:t>
      </w:r>
    </w:p>
    <w:p>
      <w:pPr>
        <w:pStyle w:val="42"/>
        <w:keepNext w:val="0"/>
        <w:keepLines w:val="0"/>
        <w:numPr>
          <w:ilvl w:val="0"/>
          <w:numId w:val="3"/>
        </w:numPr>
        <w:rPr>
          <w:b/>
        </w:rPr>
      </w:pPr>
      <w:bookmarkStart w:id="70" w:name="_Toc62427693"/>
      <w:r>
        <w:rPr>
          <w:rFonts w:hint="eastAsia"/>
          <w:b/>
        </w:rPr>
        <w:t>烟道设计</w:t>
      </w:r>
      <w:bookmarkEnd w:id="70"/>
    </w:p>
    <w:p>
      <w:r>
        <w:t xml:space="preserve">5.3.16 </w:t>
      </w:r>
      <w:r>
        <w:rPr>
          <w:rFonts w:hint="eastAsia"/>
        </w:rPr>
        <w:t>采暖热水炉的送风与排烟应符合下列规定：</w:t>
      </w:r>
    </w:p>
    <w:p>
      <w:pPr>
        <w:ind w:firstLine="480" w:firstLineChars="200"/>
      </w:pPr>
      <w:r>
        <w:t xml:space="preserve">1 </w:t>
      </w:r>
      <w:r>
        <w:rPr>
          <w:rFonts w:hint="eastAsia"/>
        </w:rPr>
        <w:t>每台采暖热水炉应单独设置直接与室外相通的烟道，不得穿过无关房间；烟道应采用同轴式，并应设置防倒风装置；</w:t>
      </w:r>
    </w:p>
    <w:p>
      <w:pPr>
        <w:ind w:firstLine="480" w:firstLineChars="200"/>
      </w:pPr>
      <w:r>
        <w:t xml:space="preserve">2 </w:t>
      </w:r>
      <w:r>
        <w:rPr>
          <w:rFonts w:hint="eastAsia"/>
        </w:rPr>
        <w:t>给排气管应符合现行行业标准《燃气器具用给排气管》</w:t>
      </w:r>
      <w:r>
        <w:t>CJ/T199</w:t>
      </w:r>
      <w:r>
        <w:rPr>
          <w:rFonts w:hint="eastAsia"/>
        </w:rPr>
        <w:t>的规定，给排气管的吸气</w:t>
      </w:r>
      <w:r>
        <w:t>/</w:t>
      </w:r>
      <w:r>
        <w:rPr>
          <w:rFonts w:hint="eastAsia"/>
        </w:rPr>
        <w:t>排烟口可设置在墙壁、屋顶或烟道上，严禁将烟管插入非取暖热水炉专用烟道中；</w:t>
      </w:r>
    </w:p>
    <w:p>
      <w:pPr>
        <w:ind w:firstLine="480" w:firstLineChars="200"/>
      </w:pPr>
      <w:r>
        <w:t xml:space="preserve">3 </w:t>
      </w:r>
      <w:r>
        <w:rPr>
          <w:rFonts w:hint="eastAsia"/>
        </w:rPr>
        <w:t>采暖热水炉烟道应选用具有防腐蚀性能的材料，其长度、当量长度或阻力系数应符合产品说明书的规定；</w:t>
      </w:r>
    </w:p>
    <w:p>
      <w:pPr>
        <w:ind w:firstLine="480" w:firstLineChars="200"/>
      </w:pPr>
      <w:r>
        <w:t xml:space="preserve">4 </w:t>
      </w:r>
      <w:r>
        <w:rPr>
          <w:rFonts w:hint="eastAsia"/>
        </w:rPr>
        <w:t>烟道距可燃材料、难燃材料装修的建筑物的距离应符合国家现行标准《城镇燃气设计规范》GB 50028和《家用燃气燃烧器具安装及验收规程》CJJ 12的有关规定。</w:t>
      </w:r>
    </w:p>
    <w:p>
      <w:r>
        <w:t>5.3.17 采暖热水炉</w:t>
      </w:r>
      <w:r>
        <w:rPr>
          <w:rFonts w:hint="eastAsia"/>
        </w:rPr>
        <w:t>给</w:t>
      </w:r>
      <w:r>
        <w:t>排气管应明装，吸气、排气口应直接与室外相通，并有防鸟、防鼠、防蛇等防堵塞设置。</w:t>
      </w:r>
    </w:p>
    <w:p>
      <w:r>
        <w:rPr>
          <w:rFonts w:hint="eastAsia"/>
        </w:rPr>
        <w:t>5</w:t>
      </w:r>
      <w:r>
        <w:t xml:space="preserve">.3.18 </w:t>
      </w:r>
      <w:r>
        <w:rPr>
          <w:rFonts w:hint="eastAsia"/>
        </w:rPr>
        <w:t>给排气管严禁穿过卧室、起居室和浴室等生活房间。</w:t>
      </w:r>
    </w:p>
    <w:p>
      <w:r>
        <w:t xml:space="preserve">5.3.19 </w:t>
      </w:r>
      <w:r>
        <w:rPr>
          <w:rFonts w:hint="eastAsia"/>
        </w:rPr>
        <w:t>穿外墙的给排气管与墙的间隙处应采用耐热保温材料填充，并用密封件做密封防水处理。</w:t>
      </w:r>
    </w:p>
    <w:p>
      <w:pPr>
        <w:pStyle w:val="5"/>
        <w:rPr>
          <w:rFonts w:ascii="Times New Roman" w:hAnsi="Times New Roman"/>
          <w:b w:val="0"/>
          <w:sz w:val="24"/>
          <w:szCs w:val="24"/>
        </w:rPr>
      </w:pPr>
      <w:bookmarkStart w:id="71" w:name="_Toc62427694"/>
      <w:r>
        <w:rPr>
          <w:rFonts w:hint="eastAsia" w:ascii="Times New Roman" w:hAnsi="Times New Roman"/>
          <w:b w:val="0"/>
          <w:sz w:val="24"/>
          <w:szCs w:val="24"/>
        </w:rPr>
        <w:t>5</w:t>
      </w:r>
      <w:r>
        <w:rPr>
          <w:rFonts w:ascii="Times New Roman" w:hAnsi="Times New Roman"/>
          <w:b w:val="0"/>
          <w:sz w:val="24"/>
          <w:szCs w:val="24"/>
        </w:rPr>
        <w:t xml:space="preserve">.4 </w:t>
      </w:r>
      <w:bookmarkEnd w:id="60"/>
      <w:bookmarkEnd w:id="61"/>
      <w:bookmarkEnd w:id="62"/>
      <w:bookmarkEnd w:id="63"/>
      <w:bookmarkEnd w:id="64"/>
      <w:bookmarkEnd w:id="65"/>
      <w:bookmarkEnd w:id="66"/>
      <w:r>
        <w:rPr>
          <w:rFonts w:hint="eastAsia" w:ascii="Times New Roman" w:hAnsi="Times New Roman"/>
          <w:b w:val="0"/>
          <w:sz w:val="24"/>
          <w:szCs w:val="24"/>
        </w:rPr>
        <w:t>设备安装</w:t>
      </w:r>
      <w:bookmarkEnd w:id="71"/>
    </w:p>
    <w:p>
      <w:pPr>
        <w:pStyle w:val="42"/>
        <w:keepNext w:val="0"/>
        <w:keepLines w:val="0"/>
        <w:numPr>
          <w:ilvl w:val="0"/>
          <w:numId w:val="4"/>
        </w:numPr>
        <w:rPr>
          <w:b/>
        </w:rPr>
      </w:pPr>
      <w:bookmarkStart w:id="72" w:name="_Toc62427695"/>
      <w:r>
        <w:rPr>
          <w:rFonts w:hint="eastAsia"/>
          <w:b/>
        </w:rPr>
        <w:t>位置选择</w:t>
      </w:r>
      <w:bookmarkEnd w:id="72"/>
    </w:p>
    <w:p>
      <w:r>
        <w:rPr>
          <w:rFonts w:hint="eastAsia"/>
        </w:rPr>
        <w:t>5.4.</w:t>
      </w:r>
      <w:r>
        <w:t>1</w:t>
      </w:r>
      <w:r>
        <w:rPr>
          <w:rFonts w:hint="eastAsia"/>
        </w:rPr>
        <w:t xml:space="preserve"> 采暖热水炉设置的场所、房间及要求应符合现行国家标准《城镇燃气设计规范》GB50028、《建筑设计防火规范》GB50016、《农村防火规范》GB50039相关规定。</w:t>
      </w:r>
    </w:p>
    <w:p>
      <w:r>
        <w:rPr>
          <w:rFonts w:hint="eastAsia"/>
        </w:rPr>
        <w:t>5</w:t>
      </w:r>
      <w:r>
        <w:t>.4.2 安装采暖热水炉的建筑应满足相应的给水、排水、供暖、供电和供燃气等条件，并综合考虑建筑周边环境对燃气采暖热水炉进气与排烟效果的影响。</w:t>
      </w:r>
    </w:p>
    <w:p>
      <w:r>
        <w:rPr>
          <w:rFonts w:hint="eastAsia"/>
        </w:rPr>
        <w:t>5.</w:t>
      </w:r>
      <w:r>
        <w:t xml:space="preserve">4.3 </w:t>
      </w:r>
      <w:r>
        <w:rPr>
          <w:rFonts w:hint="eastAsia"/>
        </w:rPr>
        <w:t>安装处所的燃气类别、电源性质和供水压力与采暖热水炉的燃气类别、使用电源和适用水压必须一致。电源插座相位正确、接地可靠。</w:t>
      </w:r>
    </w:p>
    <w:p>
      <w:r>
        <w:rPr>
          <w:rFonts w:hint="eastAsia"/>
        </w:rPr>
        <w:t>5</w:t>
      </w:r>
      <w:r>
        <w:t>.4.4 采暖热水炉应安装在通风良好</w:t>
      </w:r>
      <w:r>
        <w:rPr>
          <w:rFonts w:hint="eastAsia"/>
        </w:rPr>
        <w:t>处，</w:t>
      </w:r>
      <w:r>
        <w:t>采暖热水炉上部不应有明敷的电线、电器设备及易燃物；</w:t>
      </w:r>
    </w:p>
    <w:p>
      <w:r>
        <w:rPr>
          <w:rFonts w:hint="eastAsia"/>
        </w:rPr>
        <w:t>5</w:t>
      </w:r>
      <w:r>
        <w:t xml:space="preserve">.4.5 </w:t>
      </w:r>
      <w:r>
        <w:rPr>
          <w:rFonts w:hint="eastAsia"/>
        </w:rPr>
        <w:t>室内型采暖热水炉应安装在厨房、封闭式阳台或设备间以及说明书规定的安装场所。室外型采暖热水炉应安装在建筑物外墙、外廊、未封闭的烟台以及说明书规定的安装场所，系统应有防冻措施。</w:t>
      </w:r>
    </w:p>
    <w:p>
      <w:r>
        <w:rPr>
          <w:rFonts w:hint="eastAsia"/>
        </w:rPr>
        <w:t>5</w:t>
      </w:r>
      <w:r>
        <w:t xml:space="preserve">.4.6 </w:t>
      </w:r>
      <w:r>
        <w:rPr>
          <w:rFonts w:hint="eastAsia"/>
        </w:rPr>
        <w:t>建筑物的下列房间和部位不应安装采暖热水炉：</w:t>
      </w:r>
    </w:p>
    <w:p>
      <w:pPr>
        <w:ind w:firstLine="480" w:firstLineChars="200"/>
      </w:pPr>
      <w:r>
        <w:rPr>
          <w:rFonts w:hint="eastAsia"/>
        </w:rPr>
        <w:t>1</w:t>
      </w:r>
      <w:r>
        <w:t xml:space="preserve"> </w:t>
      </w:r>
      <w:r>
        <w:rPr>
          <w:rFonts w:hint="eastAsia"/>
        </w:rPr>
        <w:t>卧室、起居室和浴室等生活房间；</w:t>
      </w:r>
    </w:p>
    <w:p>
      <w:pPr>
        <w:ind w:firstLine="480" w:firstLineChars="200"/>
      </w:pPr>
      <w:r>
        <w:rPr>
          <w:rFonts w:hint="eastAsia"/>
        </w:rPr>
        <w:t>2</w:t>
      </w:r>
      <w:r>
        <w:t xml:space="preserve"> </w:t>
      </w:r>
      <w:r>
        <w:rPr>
          <w:rFonts w:hint="eastAsia"/>
        </w:rPr>
        <w:t>楼梯和安全出口附近；</w:t>
      </w:r>
    </w:p>
    <w:p>
      <w:pPr>
        <w:ind w:firstLine="480" w:firstLineChars="200"/>
      </w:pPr>
      <w:r>
        <w:rPr>
          <w:rFonts w:hint="eastAsia"/>
        </w:rPr>
        <w:t>3</w:t>
      </w:r>
      <w:r>
        <w:t xml:space="preserve"> </w:t>
      </w:r>
      <w:r>
        <w:rPr>
          <w:rFonts w:hint="eastAsia"/>
        </w:rPr>
        <w:t>易燃易爆物品堆放处；</w:t>
      </w:r>
    </w:p>
    <w:p>
      <w:pPr>
        <w:ind w:firstLine="480" w:firstLineChars="200"/>
      </w:pPr>
      <w:r>
        <w:rPr>
          <w:rFonts w:hint="eastAsia"/>
        </w:rPr>
        <w:t>4</w:t>
      </w:r>
      <w:r>
        <w:t xml:space="preserve"> </w:t>
      </w:r>
      <w:r>
        <w:rPr>
          <w:rFonts w:hint="eastAsia"/>
        </w:rPr>
        <w:t>地下室、半地下室。</w:t>
      </w:r>
    </w:p>
    <w:p>
      <w:r>
        <w:t>5.4.7</w:t>
      </w:r>
      <w:r>
        <w:rPr>
          <w:rFonts w:hint="eastAsia"/>
        </w:rPr>
        <w:t xml:space="preserve"> 设置采暖热水炉的房间和部位必须设隔断门与起居室、卧室等生活房间隔开。</w:t>
      </w:r>
    </w:p>
    <w:p>
      <w:r>
        <w:t>5.4.8</w:t>
      </w:r>
      <w:r>
        <w:rPr>
          <w:rFonts w:hint="eastAsia"/>
        </w:rPr>
        <w:t xml:space="preserve"> 设置采暖热水炉的房间和部位应设燃气和一氧化碳泄漏自动报警切断装置或两种气体的复合型报警器。</w:t>
      </w:r>
    </w:p>
    <w:p>
      <w:pPr>
        <w:pStyle w:val="42"/>
        <w:keepNext w:val="0"/>
        <w:keepLines w:val="0"/>
        <w:numPr>
          <w:ilvl w:val="0"/>
          <w:numId w:val="4"/>
        </w:numPr>
        <w:rPr>
          <w:b/>
        </w:rPr>
      </w:pPr>
      <w:bookmarkStart w:id="73" w:name="_Toc62427696"/>
      <w:r>
        <w:rPr>
          <w:rFonts w:hint="eastAsia"/>
          <w:b/>
        </w:rPr>
        <w:t>炉体安装</w:t>
      </w:r>
      <w:bookmarkEnd w:id="73"/>
    </w:p>
    <w:p>
      <w:r>
        <w:rPr>
          <w:rFonts w:hint="eastAsia"/>
        </w:rPr>
        <w:t>5</w:t>
      </w:r>
      <w:r>
        <w:t xml:space="preserve">.4.9 </w:t>
      </w:r>
      <w:r>
        <w:rPr>
          <w:rFonts w:hint="eastAsia"/>
        </w:rPr>
        <w:t>采暖热水炉的安装应符合国家现行标准《家用燃气燃烧器具安装及验收规程》CJJ</w:t>
      </w:r>
      <w:r>
        <w:t xml:space="preserve"> 12</w:t>
      </w:r>
      <w:r>
        <w:rPr>
          <w:rFonts w:hint="eastAsia"/>
        </w:rPr>
        <w:t>的规定。</w:t>
      </w:r>
    </w:p>
    <w:p>
      <w:r>
        <w:t>5.4.10</w:t>
      </w:r>
      <w:r>
        <w:rPr>
          <w:rFonts w:hint="eastAsia"/>
        </w:rPr>
        <w:t xml:space="preserve"> 炉体安装应符合下列规定： </w:t>
      </w:r>
    </w:p>
    <w:p>
      <w:pPr>
        <w:ind w:firstLine="480" w:firstLineChars="200"/>
      </w:pPr>
      <w:r>
        <w:rPr>
          <w:rFonts w:hint="eastAsia"/>
        </w:rPr>
        <w:t>1 炉体应安装在耐火并能承受炉体重量的墙壁或地面上，当地面和墙面为可燃或难燃材料时，应设防火隔热板；</w:t>
      </w:r>
      <w:r>
        <w:t>严禁使用易燃材料</w:t>
      </w:r>
      <w:r>
        <w:rPr>
          <w:rFonts w:hint="eastAsia"/>
        </w:rPr>
        <w:t>；</w:t>
      </w:r>
    </w:p>
    <w:p>
      <w:pPr>
        <w:ind w:firstLine="480" w:firstLineChars="200"/>
      </w:pPr>
      <w:r>
        <w:rPr>
          <w:rFonts w:hint="eastAsia"/>
        </w:rPr>
        <w:t>2 炉体安装应牢固，并保持竖直，不应倾斜；</w:t>
      </w:r>
    </w:p>
    <w:p>
      <w:pPr>
        <w:ind w:firstLine="480" w:firstLineChars="200"/>
      </w:pPr>
      <w:r>
        <w:rPr>
          <w:rFonts w:hint="eastAsia"/>
        </w:rPr>
        <w:t>3 炉体安装在其他燃具上方时，炉体与相邻灶具的水平净距不应小于300mm。与其他部位的防火间距应符合现行行业标准《家用燃气燃烧器具安装及验收规程》CJJ 12的有关规定；</w:t>
      </w:r>
    </w:p>
    <w:p>
      <w:pPr>
        <w:ind w:firstLine="480" w:firstLineChars="200"/>
      </w:pPr>
      <w:r>
        <w:rPr>
          <w:rFonts w:hint="eastAsia"/>
        </w:rPr>
        <w:t>4 炉体周围应留有必要的操作和维修空间，并应符合产品说明书的规定；</w:t>
      </w:r>
    </w:p>
    <w:p>
      <w:r>
        <w:t>5.4.11</w:t>
      </w:r>
      <w:r>
        <w:rPr>
          <w:rFonts w:hint="eastAsia"/>
        </w:rPr>
        <w:t xml:space="preserve"> 炉体设置部位应利于给排气管、供暖水管道和生活水管道的连接。</w:t>
      </w:r>
    </w:p>
    <w:p>
      <w:pPr>
        <w:pStyle w:val="42"/>
        <w:keepNext w:val="0"/>
        <w:keepLines w:val="0"/>
        <w:numPr>
          <w:ilvl w:val="0"/>
          <w:numId w:val="4"/>
        </w:numPr>
        <w:rPr>
          <w:b/>
        </w:rPr>
      </w:pPr>
      <w:bookmarkStart w:id="74" w:name="_Toc62427697"/>
      <w:r>
        <w:rPr>
          <w:rFonts w:hint="eastAsia"/>
          <w:b/>
        </w:rPr>
        <w:t>燃气管道连接</w:t>
      </w:r>
      <w:bookmarkEnd w:id="74"/>
    </w:p>
    <w:p>
      <w:r>
        <w:t>5.4.12</w:t>
      </w:r>
      <w:r>
        <w:rPr>
          <w:rFonts w:hint="eastAsia"/>
        </w:rPr>
        <w:t xml:space="preserve"> 燃气的类别和供气压力必须与采暖热水炉铭牌上的标示一致。</w:t>
      </w:r>
    </w:p>
    <w:p>
      <w:r>
        <w:rPr>
          <w:rFonts w:hint="eastAsia"/>
        </w:rPr>
        <w:t>5.</w:t>
      </w:r>
      <w:r>
        <w:t xml:space="preserve">4.13 </w:t>
      </w:r>
      <w:r>
        <w:rPr>
          <w:rFonts w:hint="eastAsia"/>
        </w:rPr>
        <w:t>燃气管道与炉体必须用带螺纹接头的金属管道，严禁使用胶管连接，并在炉前设置手动燃气球阀。</w:t>
      </w:r>
    </w:p>
    <w:p>
      <w:r>
        <w:rPr>
          <w:rFonts w:hint="eastAsia"/>
        </w:rPr>
        <w:t>5</w:t>
      </w:r>
      <w:r>
        <w:t xml:space="preserve">.4.14 </w:t>
      </w:r>
      <w:r>
        <w:rPr>
          <w:rFonts w:hint="eastAsia"/>
        </w:rPr>
        <w:t>燃气管道和阀门的气密性必须经过5kPa压力检测；检测时应关闭采暖热水炉燃气阀，严禁使用有可能损坏采暖热水炉燃气阀的超压检测。</w:t>
      </w:r>
    </w:p>
    <w:p>
      <w:pPr>
        <w:pStyle w:val="42"/>
        <w:keepNext w:val="0"/>
        <w:keepLines w:val="0"/>
        <w:numPr>
          <w:ilvl w:val="0"/>
          <w:numId w:val="4"/>
        </w:numPr>
        <w:rPr>
          <w:b/>
        </w:rPr>
      </w:pPr>
      <w:bookmarkStart w:id="75" w:name="_Toc62427698"/>
      <w:r>
        <w:rPr>
          <w:rFonts w:hint="eastAsia"/>
          <w:b/>
        </w:rPr>
        <w:t>水管道连接</w:t>
      </w:r>
      <w:bookmarkEnd w:id="75"/>
    </w:p>
    <w:p>
      <w:r>
        <w:rPr>
          <w:rFonts w:hint="eastAsia"/>
        </w:rPr>
        <w:t>5</w:t>
      </w:r>
      <w:r>
        <w:t xml:space="preserve">.4.15 </w:t>
      </w:r>
      <w:r>
        <w:rPr>
          <w:rFonts w:hint="eastAsia"/>
        </w:rPr>
        <w:t>新供暖系统连接采暖热水炉前应清洗供暖系统；旧供暖系统在连接采暖热水炉前应使用专业清洗设备清洗供暖系统，排除供暖系统内的异物。</w:t>
      </w:r>
    </w:p>
    <w:p>
      <w:r>
        <w:rPr>
          <w:rFonts w:hint="eastAsia"/>
        </w:rPr>
        <w:t>5</w:t>
      </w:r>
      <w:r>
        <w:t xml:space="preserve">.4.16 </w:t>
      </w:r>
      <w:r>
        <w:rPr>
          <w:rFonts w:hint="eastAsia"/>
        </w:rPr>
        <w:t>管道管径不应小于采暖热水炉对应接口直径，管道通过流量和阻力损失应符合设计要求。</w:t>
      </w:r>
    </w:p>
    <w:p>
      <w:r>
        <w:rPr>
          <w:rFonts w:hint="eastAsia"/>
        </w:rPr>
        <w:t>5</w:t>
      </w:r>
      <w:r>
        <w:t>.4.17 采暖热水炉泄压口、溢水口等部位下方应有排水设施，排水口应设导管引至排水处；排水过热时，应采取有效的防烫伤措施；炉体排水管上不得设置阀门；</w:t>
      </w:r>
      <w:r>
        <w:rPr>
          <w:rFonts w:hint="eastAsia"/>
        </w:rPr>
        <w:t>安装场所的地面最低点应设地漏。</w:t>
      </w:r>
    </w:p>
    <w:p>
      <w:r>
        <w:t xml:space="preserve">5.4.18 </w:t>
      </w:r>
      <w:r>
        <w:rPr>
          <w:rFonts w:hint="eastAsia"/>
        </w:rPr>
        <w:t>管道系统安装后，应进行系统冲洗试验，冲洗试验应以出水口水质清澈透明，与进水口水质相同为合格。</w:t>
      </w:r>
    </w:p>
    <w:p>
      <w:pPr>
        <w:pStyle w:val="42"/>
        <w:keepNext w:val="0"/>
        <w:keepLines w:val="0"/>
        <w:numPr>
          <w:ilvl w:val="0"/>
          <w:numId w:val="4"/>
        </w:numPr>
        <w:rPr>
          <w:b/>
        </w:rPr>
      </w:pPr>
      <w:bookmarkStart w:id="76" w:name="_Toc62427699"/>
      <w:r>
        <w:rPr>
          <w:rFonts w:hint="eastAsia"/>
          <w:b/>
        </w:rPr>
        <w:t>给排气管连接</w:t>
      </w:r>
      <w:bookmarkEnd w:id="76"/>
    </w:p>
    <w:p>
      <w:r>
        <w:t>5.4.19</w:t>
      </w:r>
      <w:r>
        <w:rPr>
          <w:rFonts w:hint="eastAsia"/>
        </w:rPr>
        <w:t xml:space="preserve"> 给排气管的连接和安装应符合本导则第</w:t>
      </w:r>
      <w:r>
        <w:t>5</w:t>
      </w:r>
      <w:r>
        <w:rPr>
          <w:rFonts w:hint="eastAsia"/>
        </w:rPr>
        <w:t>章和国家现行标准《城镇燃气设计规范》GB 50028、《燃气采暖热水炉》GB 25034和《家用燃气燃烧器具安装及验收规程》CJJ 12的有关规定，并与其产品说明书的说明相一致；应安装采暖热水炉生产商提供的给排气管和配件，给排气管型式应适用于设备和现场安装条件。</w:t>
      </w:r>
    </w:p>
    <w:p>
      <w:r>
        <w:rPr>
          <w:rFonts w:hint="eastAsia"/>
        </w:rPr>
        <w:t>5</w:t>
      </w:r>
      <w:r>
        <w:t xml:space="preserve">.4.20 </w:t>
      </w:r>
      <w:r>
        <w:rPr>
          <w:rFonts w:hint="eastAsia"/>
        </w:rPr>
        <w:t>给排气管的长度或阻力系数不应大于说明书中规定的下列任一数值：</w:t>
      </w:r>
    </w:p>
    <w:p>
      <w:pPr>
        <w:ind w:firstLine="480" w:firstLineChars="200"/>
      </w:pPr>
      <w:r>
        <w:rPr>
          <w:rFonts w:hint="eastAsia"/>
        </w:rPr>
        <w:t>1</w:t>
      </w:r>
      <w:r>
        <w:t xml:space="preserve"> </w:t>
      </w:r>
      <w:r>
        <w:rPr>
          <w:rFonts w:hint="eastAsia"/>
        </w:rPr>
        <w:t>实际长度；</w:t>
      </w:r>
    </w:p>
    <w:p>
      <w:pPr>
        <w:ind w:firstLine="480" w:firstLineChars="200"/>
      </w:pPr>
      <w:r>
        <w:rPr>
          <w:rFonts w:hint="eastAsia"/>
        </w:rPr>
        <w:t>2</w:t>
      </w:r>
      <w:r>
        <w:t xml:space="preserve"> </w:t>
      </w:r>
      <w:r>
        <w:rPr>
          <w:rFonts w:hint="eastAsia"/>
        </w:rPr>
        <w:t>当量长度；</w:t>
      </w:r>
    </w:p>
    <w:p>
      <w:pPr>
        <w:ind w:firstLine="480" w:firstLineChars="200"/>
      </w:pPr>
      <w:r>
        <w:rPr>
          <w:rFonts w:hint="eastAsia"/>
        </w:rPr>
        <w:t>3</w:t>
      </w:r>
      <w:r>
        <w:t xml:space="preserve"> </w:t>
      </w:r>
      <w:r>
        <w:rPr>
          <w:rFonts w:hint="eastAsia"/>
        </w:rPr>
        <w:t>阻力系数。</w:t>
      </w:r>
    </w:p>
    <w:p>
      <w:r>
        <w:t>5.4.21</w:t>
      </w:r>
      <w:r>
        <w:rPr>
          <w:rFonts w:hint="eastAsia"/>
        </w:rPr>
        <w:t xml:space="preserve"> 给排气管水平安装在外墙时，不带冷凝水收集装置的非冷凝式采暖热水炉给排气管应向下</w:t>
      </w:r>
      <w:r>
        <w:t>倾斜2°～3°，带冷凝水收集装置的非冷凝式采暖热水炉排气管应向上倾斜2°～3°；冷凝式采暖热水炉排气管应向上倾斜2°～3°。给气口距外墙的距离不应小于100mm。</w:t>
      </w:r>
    </w:p>
    <w:p>
      <w:r>
        <w:rPr>
          <w:rFonts w:hint="eastAsia"/>
        </w:rPr>
        <w:t>5</w:t>
      </w:r>
      <w:r>
        <w:t>.</w:t>
      </w:r>
      <w:r>
        <w:rPr>
          <w:rFonts w:hint="eastAsia"/>
        </w:rPr>
        <w:t>4.</w:t>
      </w:r>
      <w:r>
        <w:t>22 采暖热水炉与给排气管连接时应保证良好的气密性，搭接长度不应小于30mm。搭接的延长给排气管每米及弯头连接处应使用支架固定；给排气管安装在吊顶内时应预留检修口。</w:t>
      </w:r>
    </w:p>
    <w:p>
      <w:pPr>
        <w:pStyle w:val="42"/>
        <w:keepNext w:val="0"/>
        <w:keepLines w:val="0"/>
        <w:numPr>
          <w:ilvl w:val="0"/>
          <w:numId w:val="4"/>
        </w:numPr>
        <w:rPr>
          <w:b/>
        </w:rPr>
      </w:pPr>
      <w:bookmarkStart w:id="77" w:name="_Toc62427700"/>
      <w:r>
        <w:rPr>
          <w:rFonts w:hint="eastAsia"/>
          <w:b/>
        </w:rPr>
        <w:t>报警器和自动切断阀安装</w:t>
      </w:r>
      <w:bookmarkEnd w:id="77"/>
    </w:p>
    <w:p>
      <w:r>
        <w:rPr>
          <w:rFonts w:hint="eastAsia"/>
        </w:rPr>
        <w:t>5</w:t>
      </w:r>
      <w:r>
        <w:t>.4.23 设置采暖热水炉的房间应设置可燃气体报警器、防爆电磁阀、独立防爆排风设施，并应具备联动功能，其设置应符合现行国家标准《城镇燃气设计规范》GB50028等有关规范的规定。家用燃气报警器及传感器应符合现行行业标准《家用燃气报警器及传感器》CJ/T 347的规定</w:t>
      </w:r>
      <w:r>
        <w:rPr>
          <w:rFonts w:hint="eastAsia"/>
        </w:rPr>
        <w:t>；</w:t>
      </w:r>
      <w:r>
        <w:t>紧急切断阀应符合现行行业标准《电磁式燃气紧急切断阀》CJ/T394的规定。</w:t>
      </w:r>
    </w:p>
    <w:p>
      <w:r>
        <w:rPr>
          <w:rFonts w:hint="eastAsia"/>
        </w:rPr>
        <w:t>5</w:t>
      </w:r>
      <w:r>
        <w:t xml:space="preserve">.4.24 </w:t>
      </w:r>
      <w:r>
        <w:rPr>
          <w:rFonts w:hint="eastAsia"/>
        </w:rPr>
        <w:t xml:space="preserve">燃气和一氧化碳泄漏自动报警切断装置或两种气体的复合型探测器的安装应符合下列要求： </w:t>
      </w:r>
    </w:p>
    <w:p>
      <w:pPr>
        <w:ind w:firstLine="480" w:firstLineChars="200"/>
      </w:pPr>
      <w:r>
        <w:rPr>
          <w:rFonts w:hint="eastAsia"/>
        </w:rPr>
        <w:t>1 报警器与采暖热水炉或阀门的水平距离不应大于8m；安装高度应距顶棚300mm以内，且不应设在采暖热水炉正上方；报警器与门窗洞口的距离应大于500mm；</w:t>
      </w:r>
    </w:p>
    <w:p>
      <w:pPr>
        <w:ind w:firstLine="480" w:firstLineChars="200"/>
      </w:pPr>
      <w:r>
        <w:t>2</w:t>
      </w:r>
      <w:r>
        <w:rPr>
          <w:rFonts w:hint="eastAsia"/>
        </w:rPr>
        <w:t xml:space="preserve"> 燃气／一氧化碳复合型探测器含独立探测器的技术指标应符合现行国家有关标准的规定；</w:t>
      </w:r>
      <w:bookmarkStart w:id="78" w:name="_Toc750"/>
      <w:bookmarkStart w:id="79" w:name="_Toc30134"/>
    </w:p>
    <w:p>
      <w:r>
        <w:t>5.4.25</w:t>
      </w:r>
      <w:r>
        <w:rPr>
          <w:rFonts w:hint="eastAsia"/>
        </w:rPr>
        <w:t xml:space="preserve"> 天燃气紧急自动切断阀的安装应符合下列规定： </w:t>
      </w:r>
    </w:p>
    <w:p>
      <w:pPr>
        <w:ind w:firstLine="480" w:firstLineChars="200"/>
      </w:pPr>
      <w:r>
        <w:rPr>
          <w:rFonts w:hint="eastAsia"/>
        </w:rPr>
        <w:t xml:space="preserve">1 自动切断阀应设在燃气表前(带自动切断功能的智能燃气表除外)； </w:t>
      </w:r>
    </w:p>
    <w:p>
      <w:pPr>
        <w:ind w:firstLine="480" w:firstLineChars="200"/>
      </w:pPr>
      <w:r>
        <w:rPr>
          <w:rFonts w:hint="eastAsia"/>
        </w:rPr>
        <w:t>2 自动切断阀前应设手动燃气球阀。</w:t>
      </w:r>
    </w:p>
    <w:p>
      <w:pPr>
        <w:ind w:firstLine="480" w:firstLineChars="200"/>
      </w:pPr>
      <w:r>
        <w:rPr>
          <w:rFonts w:hint="eastAsia"/>
        </w:rPr>
        <w:t>注：带自动切断功能的智能燃气表除外。</w:t>
      </w:r>
    </w:p>
    <w:p>
      <w:r>
        <w:t>5.4.26</w:t>
      </w:r>
      <w:r>
        <w:rPr>
          <w:rFonts w:hint="eastAsia"/>
        </w:rPr>
        <w:t xml:space="preserve"> 紧急自动切断阀应采用电压小于等于24V的直流电源、脉冲关闭、现场人工开启型产品，其技术指标应符合国家有关标准的规定；有排风装置时，关闭紧急自动切断阀后，应开启自动排风装置。</w:t>
      </w:r>
    </w:p>
    <w:p>
      <w:pPr>
        <w:pStyle w:val="4"/>
      </w:pPr>
      <w:bookmarkStart w:id="80" w:name="_Toc62427701"/>
      <w:r>
        <w:rPr>
          <w:rFonts w:hint="eastAsia"/>
        </w:rPr>
        <w:t>6</w:t>
      </w:r>
      <w:r>
        <w:t xml:space="preserve"> </w:t>
      </w:r>
      <w:r>
        <w:rPr>
          <w:rFonts w:hint="eastAsia"/>
        </w:rPr>
        <w:t>检验、调试与验收</w:t>
      </w:r>
      <w:bookmarkEnd w:id="78"/>
      <w:bookmarkEnd w:id="79"/>
      <w:bookmarkEnd w:id="80"/>
    </w:p>
    <w:p>
      <w:pPr>
        <w:pStyle w:val="5"/>
      </w:pPr>
      <w:bookmarkStart w:id="81" w:name="_Toc26451"/>
      <w:bookmarkStart w:id="82" w:name="_Toc27657"/>
      <w:bookmarkStart w:id="83" w:name="_Toc62427702"/>
      <w:bookmarkStart w:id="84" w:name="_Toc21522"/>
      <w:bookmarkStart w:id="85" w:name="_Toc24030863"/>
      <w:r>
        <w:rPr>
          <w:rFonts w:hint="eastAsia" w:ascii="Times New Roman" w:hAnsi="Times New Roman"/>
          <w:b w:val="0"/>
          <w:sz w:val="24"/>
          <w:szCs w:val="24"/>
        </w:rPr>
        <w:t>6</w:t>
      </w:r>
      <w:r>
        <w:rPr>
          <w:rFonts w:ascii="Times New Roman" w:hAnsi="Times New Roman"/>
          <w:b w:val="0"/>
          <w:sz w:val="24"/>
          <w:szCs w:val="24"/>
        </w:rPr>
        <w:t xml:space="preserve">.1 </w:t>
      </w:r>
      <w:r>
        <w:rPr>
          <w:rFonts w:hint="eastAsia" w:ascii="Times New Roman" w:hAnsi="Times New Roman"/>
          <w:b w:val="0"/>
          <w:sz w:val="24"/>
          <w:szCs w:val="24"/>
        </w:rPr>
        <w:t>基本要求</w:t>
      </w:r>
      <w:bookmarkEnd w:id="81"/>
      <w:bookmarkEnd w:id="82"/>
      <w:bookmarkEnd w:id="83"/>
    </w:p>
    <w:p>
      <w:r>
        <w:rPr>
          <w:rFonts w:hint="eastAsia"/>
        </w:rPr>
        <w:t>6.1</w:t>
      </w:r>
      <w:r>
        <w:t xml:space="preserve">.1 </w:t>
      </w:r>
      <w:r>
        <w:rPr>
          <w:rFonts w:hint="eastAsia"/>
        </w:rPr>
        <w:t>工程竣工资料的收集、整理工作应与工程建设过程同步，工程建设完工后应及时做好汇总和移交工作。</w:t>
      </w:r>
    </w:p>
    <w:p>
      <w:r>
        <w:rPr>
          <w:rFonts w:hint="eastAsia"/>
        </w:rPr>
        <w:t>6.1</w:t>
      </w:r>
      <w:r>
        <w:t xml:space="preserve">.2 </w:t>
      </w:r>
      <w:r>
        <w:rPr>
          <w:rFonts w:hint="eastAsia"/>
        </w:rPr>
        <w:t>验收前应具备下列条件：</w:t>
      </w:r>
    </w:p>
    <w:p>
      <w:pPr>
        <w:ind w:firstLine="480" w:firstLineChars="200"/>
      </w:pPr>
      <w:r>
        <w:t xml:space="preserve">1 </w:t>
      </w:r>
      <w:r>
        <w:rPr>
          <w:rFonts w:hint="eastAsia"/>
        </w:rPr>
        <w:t>完成工程设计文件和施工承包合同规定的各项内容；</w:t>
      </w:r>
    </w:p>
    <w:p>
      <w:pPr>
        <w:ind w:firstLine="480" w:firstLineChars="200"/>
      </w:pPr>
      <w:r>
        <w:t xml:space="preserve">2 </w:t>
      </w:r>
      <w:r>
        <w:rPr>
          <w:rFonts w:hint="eastAsia"/>
        </w:rPr>
        <w:t>施工单位在工程完工后对工程质量自检合格，并提出工程竣工报告；</w:t>
      </w:r>
    </w:p>
    <w:p>
      <w:pPr>
        <w:ind w:firstLine="480" w:firstLineChars="200"/>
      </w:pPr>
      <w:r>
        <w:rPr>
          <w:rFonts w:hint="eastAsia"/>
        </w:rPr>
        <w:t>3</w:t>
      </w:r>
      <w:r>
        <w:t xml:space="preserve"> </w:t>
      </w:r>
      <w:r>
        <w:rPr>
          <w:rFonts w:hint="eastAsia"/>
        </w:rPr>
        <w:t>工程资料应规范、完整，并签字齐全有效；</w:t>
      </w:r>
    </w:p>
    <w:p>
      <w:pPr>
        <w:ind w:firstLine="480" w:firstLineChars="200"/>
      </w:pPr>
      <w:r>
        <w:rPr>
          <w:rFonts w:hint="eastAsia"/>
        </w:rPr>
        <w:t>4</w:t>
      </w:r>
      <w:r>
        <w:t xml:space="preserve"> </w:t>
      </w:r>
      <w:r>
        <w:rPr>
          <w:rFonts w:hint="eastAsia"/>
        </w:rPr>
        <w:t>工程中使用材料的检验报告齐全、有效；</w:t>
      </w:r>
    </w:p>
    <w:p>
      <w:pPr>
        <w:ind w:firstLine="480" w:firstLineChars="200"/>
      </w:pPr>
      <w:r>
        <w:rPr>
          <w:rFonts w:hint="eastAsia"/>
        </w:rPr>
        <w:t>5</w:t>
      </w:r>
      <w:r>
        <w:t xml:space="preserve"> </w:t>
      </w:r>
      <w:r>
        <w:rPr>
          <w:rFonts w:hint="eastAsia"/>
        </w:rPr>
        <w:t>设备调试合格；</w:t>
      </w:r>
    </w:p>
    <w:p>
      <w:pPr>
        <w:ind w:firstLine="480" w:firstLineChars="200"/>
      </w:pPr>
      <w:r>
        <w:rPr>
          <w:rFonts w:hint="eastAsia"/>
        </w:rPr>
        <w:t>6</w:t>
      </w:r>
      <w:r>
        <w:t xml:space="preserve"> </w:t>
      </w:r>
      <w:r>
        <w:rPr>
          <w:rFonts w:hint="eastAsia"/>
        </w:rPr>
        <w:t>专业检测单位出具的检测报告齐全、有效。</w:t>
      </w:r>
    </w:p>
    <w:p>
      <w:r>
        <w:rPr>
          <w:rFonts w:hint="eastAsia"/>
        </w:rPr>
        <w:t>6.1</w:t>
      </w:r>
      <w:r>
        <w:t xml:space="preserve">.3 </w:t>
      </w:r>
      <w:r>
        <w:rPr>
          <w:rFonts w:hint="eastAsia"/>
        </w:rPr>
        <w:t>验收应符合下列要求：</w:t>
      </w:r>
    </w:p>
    <w:p>
      <w:pPr>
        <w:ind w:firstLine="480" w:firstLineChars="200"/>
      </w:pPr>
      <w:r>
        <w:t xml:space="preserve">1 </w:t>
      </w:r>
      <w:r>
        <w:rPr>
          <w:rFonts w:hint="eastAsia"/>
        </w:rPr>
        <w:t>验收材料内容应规范、完整，并签字齐全有效；</w:t>
      </w:r>
    </w:p>
    <w:p>
      <w:pPr>
        <w:ind w:firstLine="480" w:firstLineChars="200"/>
      </w:pPr>
      <w:r>
        <w:t xml:space="preserve">2 </w:t>
      </w:r>
      <w:r>
        <w:rPr>
          <w:rFonts w:hint="eastAsia"/>
        </w:rPr>
        <w:t>按照设计、竣工图纸对工程进行现场检查，竣工图应真实、准确，符合要求；</w:t>
      </w:r>
    </w:p>
    <w:p>
      <w:pPr>
        <w:ind w:firstLine="480" w:firstLineChars="200"/>
      </w:pPr>
      <w:r>
        <w:t xml:space="preserve">3 </w:t>
      </w:r>
      <w:r>
        <w:rPr>
          <w:rFonts w:hint="eastAsia"/>
        </w:rPr>
        <w:t>设施和设备的安装符合设计的要求，无明显的外观质量缺陷，操作可靠，保养完善；</w:t>
      </w:r>
    </w:p>
    <w:p>
      <w:pPr>
        <w:ind w:firstLine="480" w:firstLineChars="200"/>
      </w:pPr>
      <w:r>
        <w:t xml:space="preserve">4 </w:t>
      </w:r>
      <w:r>
        <w:rPr>
          <w:rFonts w:hint="eastAsia"/>
        </w:rPr>
        <w:t>对工程质量有争议、投诉和检验多次才合格的项目，应重点验收；必要时，可打开隐蔽工程，进行检验、复查。</w:t>
      </w:r>
    </w:p>
    <w:p>
      <w:pPr>
        <w:ind w:firstLine="480" w:firstLineChars="200"/>
      </w:pPr>
      <w:r>
        <w:rPr>
          <w:rFonts w:hint="eastAsia"/>
        </w:rPr>
        <w:t>6.1.</w:t>
      </w:r>
      <w:r>
        <w:t xml:space="preserve">4 </w:t>
      </w:r>
      <w:r>
        <w:rPr>
          <w:rFonts w:hint="eastAsia"/>
        </w:rPr>
        <w:t>农村燃气室内工程检验、调试与</w:t>
      </w:r>
      <w:r>
        <w:t>验收</w:t>
      </w:r>
      <w:r>
        <w:rPr>
          <w:rFonts w:hint="eastAsia"/>
        </w:rPr>
        <w:t>应符合《城镇燃气室内工程施工与质量验收规范》CJJ</w:t>
      </w:r>
      <w:r>
        <w:t xml:space="preserve"> </w:t>
      </w:r>
      <w:r>
        <w:rPr>
          <w:rFonts w:hint="eastAsia"/>
        </w:rPr>
        <w:t>94等相关标准的规定。</w:t>
      </w:r>
    </w:p>
    <w:p>
      <w:r>
        <w:rPr>
          <w:rFonts w:hint="eastAsia"/>
        </w:rPr>
        <w:t>6</w:t>
      </w:r>
      <w:r>
        <w:t xml:space="preserve">.1.5 </w:t>
      </w:r>
      <w:r>
        <w:rPr>
          <w:rFonts w:hint="eastAsia"/>
        </w:rPr>
        <w:t>室内采暖系统的检验、调试与验收应符合《建筑给水排水及采暖工程施工质量验收规范》GB</w:t>
      </w:r>
      <w:r>
        <w:t>50242</w:t>
      </w:r>
      <w:r>
        <w:rPr>
          <w:rFonts w:hint="eastAsia"/>
        </w:rPr>
        <w:t>、《建筑节能工程施工质量验收标准》GB 50411等相关标准的规定。</w:t>
      </w:r>
    </w:p>
    <w:p>
      <w:r>
        <w:t xml:space="preserve">6.1.6 </w:t>
      </w:r>
      <w:r>
        <w:rPr>
          <w:rFonts w:hint="eastAsia"/>
        </w:rPr>
        <w:t>采暖热水炉检验、调试与</w:t>
      </w:r>
      <w:r>
        <w:t>验收应符合国家现行标准</w:t>
      </w:r>
      <w:r>
        <w:rPr>
          <w:rFonts w:hint="eastAsia"/>
        </w:rPr>
        <w:t>《燃气采暖热水炉应用技术规程》、</w:t>
      </w:r>
      <w:r>
        <w:t>《燃气采暖热水炉》GB 25034、《家用燃气燃烧器具安装及验收规程》CJ12和《城镇燃气室内工程施工与质量验收规范》CJJ 94的有关规定。</w:t>
      </w:r>
    </w:p>
    <w:p>
      <w:pPr>
        <w:pStyle w:val="5"/>
        <w:rPr>
          <w:rFonts w:ascii="Times New Roman" w:hAnsi="Times New Roman"/>
          <w:b w:val="0"/>
          <w:sz w:val="24"/>
          <w:szCs w:val="24"/>
        </w:rPr>
      </w:pPr>
      <w:bookmarkStart w:id="86" w:name="_Toc10499"/>
      <w:bookmarkStart w:id="87" w:name="_Toc62427703"/>
      <w:bookmarkStart w:id="88" w:name="_Toc18045"/>
      <w:r>
        <w:rPr>
          <w:rFonts w:hint="eastAsia" w:ascii="Times New Roman" w:hAnsi="Times New Roman"/>
          <w:b w:val="0"/>
          <w:sz w:val="24"/>
          <w:szCs w:val="24"/>
        </w:rPr>
        <w:t>6.2</w:t>
      </w:r>
      <w:r>
        <w:rPr>
          <w:rFonts w:ascii="Times New Roman" w:hAnsi="Times New Roman"/>
          <w:b w:val="0"/>
          <w:sz w:val="24"/>
          <w:szCs w:val="24"/>
        </w:rPr>
        <w:t xml:space="preserve"> </w:t>
      </w:r>
      <w:r>
        <w:rPr>
          <w:rFonts w:hint="eastAsia" w:ascii="Times New Roman" w:hAnsi="Times New Roman"/>
          <w:b w:val="0"/>
          <w:sz w:val="24"/>
          <w:szCs w:val="24"/>
        </w:rPr>
        <w:t>室内燃气管道</w:t>
      </w:r>
      <w:bookmarkEnd w:id="86"/>
      <w:bookmarkEnd w:id="87"/>
      <w:bookmarkEnd w:id="88"/>
    </w:p>
    <w:p>
      <w:pPr>
        <w:pStyle w:val="42"/>
        <w:keepNext w:val="0"/>
        <w:keepLines w:val="0"/>
        <w:numPr>
          <w:ilvl w:val="0"/>
          <w:numId w:val="5"/>
        </w:numPr>
        <w:rPr>
          <w:b/>
        </w:rPr>
      </w:pPr>
      <w:bookmarkStart w:id="89" w:name="_Toc62427704"/>
      <w:r>
        <w:rPr>
          <w:rFonts w:hint="eastAsia"/>
          <w:b/>
        </w:rPr>
        <w:t>检验与试验</w:t>
      </w:r>
      <w:bookmarkEnd w:id="89"/>
    </w:p>
    <w:p>
      <w:r>
        <w:rPr>
          <w:rFonts w:hint="eastAsia"/>
        </w:rPr>
        <w:t>6.2.1</w:t>
      </w:r>
      <w:r>
        <w:t xml:space="preserve"> </w:t>
      </w:r>
      <w:r>
        <w:rPr>
          <w:rFonts w:hint="eastAsia"/>
        </w:rPr>
        <w:t>室内燃气管道的试验应符合下列：</w:t>
      </w:r>
    </w:p>
    <w:p>
      <w:pPr>
        <w:ind w:firstLine="480" w:firstLineChars="200"/>
      </w:pPr>
      <w:r>
        <w:rPr>
          <w:rFonts w:hint="eastAsia"/>
        </w:rPr>
        <w:t>1</w:t>
      </w:r>
      <w:r>
        <w:t xml:space="preserve"> </w:t>
      </w:r>
      <w:r>
        <w:rPr>
          <w:rFonts w:hint="eastAsia"/>
        </w:rPr>
        <w:t>自引入管阀门起至燃具之间的管道的试验应符合国家现行标准《</w:t>
      </w:r>
      <w:r>
        <w:t>城镇燃气室内工程施工与质量验收规范》CJJ 94</w:t>
      </w:r>
      <w:r>
        <w:rPr>
          <w:rFonts w:hint="eastAsia"/>
        </w:rPr>
        <w:t>的有关规定；</w:t>
      </w:r>
    </w:p>
    <w:p>
      <w:pPr>
        <w:ind w:firstLine="480" w:firstLineChars="200"/>
      </w:pPr>
      <w:r>
        <w:rPr>
          <w:rFonts w:hint="eastAsia"/>
        </w:rPr>
        <w:t>2</w:t>
      </w:r>
      <w:r>
        <w:t xml:space="preserve"> </w:t>
      </w:r>
      <w:r>
        <w:rPr>
          <w:rFonts w:hint="eastAsia"/>
        </w:rPr>
        <w:t>自引入管阀门起至室外配气直管之间管线的试验应符合国家现行标准《城镇燃气输配工程施工及验收规范》CJJ</w:t>
      </w:r>
      <w:r>
        <w:t xml:space="preserve"> 33</w:t>
      </w:r>
      <w:r>
        <w:rPr>
          <w:rFonts w:hint="eastAsia"/>
        </w:rPr>
        <w:t>的有关规定。</w:t>
      </w:r>
    </w:p>
    <w:p>
      <w:r>
        <w:rPr>
          <w:rFonts w:hint="eastAsia"/>
        </w:rPr>
        <w:t>6</w:t>
      </w:r>
      <w:r>
        <w:t xml:space="preserve">.2.2 </w:t>
      </w:r>
      <w:r>
        <w:rPr>
          <w:rFonts w:hint="eastAsia"/>
        </w:rPr>
        <w:t>试验介质应采用空气或氮气。严禁使用可燃气体和氧气进行试验。</w:t>
      </w:r>
    </w:p>
    <w:p>
      <w:r>
        <w:rPr>
          <w:rFonts w:hint="eastAsia"/>
        </w:rPr>
        <w:t>6</w:t>
      </w:r>
      <w:r>
        <w:t xml:space="preserve">.2.3 </w:t>
      </w:r>
      <w:r>
        <w:rPr>
          <w:rFonts w:hint="eastAsia"/>
        </w:rPr>
        <w:t>室内燃气管道试验前应具备下列条件：</w:t>
      </w:r>
    </w:p>
    <w:p>
      <w:pPr>
        <w:ind w:firstLine="480" w:firstLineChars="200"/>
      </w:pPr>
      <w:r>
        <w:rPr>
          <w:rFonts w:hint="eastAsia"/>
        </w:rPr>
        <w:t>1</w:t>
      </w:r>
      <w:r>
        <w:t xml:space="preserve"> </w:t>
      </w:r>
      <w:r>
        <w:rPr>
          <w:rFonts w:hint="eastAsia"/>
        </w:rPr>
        <w:t>已制定试验方案和安全措施；</w:t>
      </w:r>
    </w:p>
    <w:p>
      <w:pPr>
        <w:ind w:firstLine="480" w:firstLineChars="200"/>
      </w:pPr>
      <w:r>
        <w:rPr>
          <w:rFonts w:hint="eastAsia"/>
        </w:rPr>
        <w:t>2</w:t>
      </w:r>
      <w:r>
        <w:t xml:space="preserve"> </w:t>
      </w:r>
      <w:r>
        <w:rPr>
          <w:rFonts w:hint="eastAsia"/>
        </w:rPr>
        <w:t>试验范围的管道安装工程除涂漆、隔热层和保温层外，已按设计文件全部完成，安装质量应经施工单位自检和监理（建设）单位检查确认符合本规范的规定。</w:t>
      </w:r>
    </w:p>
    <w:p>
      <w:r>
        <w:rPr>
          <w:rFonts w:hint="eastAsia"/>
        </w:rPr>
        <w:t>6</w:t>
      </w:r>
      <w:r>
        <w:t xml:space="preserve">.2.4 </w:t>
      </w:r>
      <w:r>
        <w:rPr>
          <w:rFonts w:hint="eastAsia"/>
        </w:rPr>
        <w:t>试验用压力计量装置应符合下列要求：</w:t>
      </w:r>
    </w:p>
    <w:p>
      <w:pPr>
        <w:ind w:firstLine="480" w:firstLineChars="200"/>
      </w:pPr>
      <w:r>
        <w:rPr>
          <w:rFonts w:hint="eastAsia"/>
        </w:rPr>
        <w:t>1</w:t>
      </w:r>
      <w:r>
        <w:t xml:space="preserve"> </w:t>
      </w:r>
      <w:r>
        <w:rPr>
          <w:rFonts w:hint="eastAsia"/>
        </w:rPr>
        <w:t>试验用压力计应在校验的有效期内，其量程应为被测最大压力的1</w:t>
      </w:r>
      <w:r>
        <w:t>.5</w:t>
      </w:r>
      <w:r>
        <w:rPr>
          <w:rFonts w:hint="eastAsia"/>
        </w:rPr>
        <w:t>~</w:t>
      </w:r>
      <w:r>
        <w:t>2</w:t>
      </w:r>
      <w:r>
        <w:rPr>
          <w:rFonts w:hint="eastAsia"/>
        </w:rPr>
        <w:t>倍。弹簧压力表的精度不低于0</w:t>
      </w:r>
      <w:r>
        <w:t>.4</w:t>
      </w:r>
      <w:r>
        <w:rPr>
          <w:rFonts w:hint="eastAsia"/>
        </w:rPr>
        <w:t>级。</w:t>
      </w:r>
    </w:p>
    <w:p>
      <w:pPr>
        <w:ind w:firstLine="480" w:firstLineChars="200"/>
      </w:pPr>
      <w:r>
        <w:rPr>
          <w:rFonts w:hint="eastAsia"/>
        </w:rPr>
        <w:t>2</w:t>
      </w:r>
      <w:r>
        <w:t xml:space="preserve"> </w:t>
      </w:r>
      <w:r>
        <w:rPr>
          <w:rFonts w:hint="eastAsia"/>
        </w:rPr>
        <w:t>U形压力计的最小分度值不得大于1mm。</w:t>
      </w:r>
    </w:p>
    <w:p>
      <w:r>
        <w:rPr>
          <w:rFonts w:hint="eastAsia"/>
        </w:rPr>
        <w:t>6</w:t>
      </w:r>
      <w:r>
        <w:t xml:space="preserve">.2.5 </w:t>
      </w:r>
      <w:r>
        <w:rPr>
          <w:rFonts w:hint="eastAsia"/>
        </w:rPr>
        <w:t>试验时发现的缺陷，应在试验压力降至大气压力后进行处理。处理合格后应重新进行试验。</w:t>
      </w:r>
    </w:p>
    <w:p>
      <w:r>
        <w:rPr>
          <w:rFonts w:hint="eastAsia"/>
        </w:rPr>
        <w:t>6</w:t>
      </w:r>
      <w:r>
        <w:t xml:space="preserve">.2.6 </w:t>
      </w:r>
      <w:r>
        <w:rPr>
          <w:rFonts w:hint="eastAsia"/>
        </w:rPr>
        <w:t>室内燃气管道强度试验的范围应符合下列规定：</w:t>
      </w:r>
    </w:p>
    <w:p>
      <w:pPr>
        <w:ind w:firstLine="480" w:firstLineChars="200"/>
      </w:pPr>
      <w:r>
        <w:rPr>
          <w:rFonts w:hint="eastAsia"/>
        </w:rPr>
        <w:t>1</w:t>
      </w:r>
      <w:r>
        <w:t xml:space="preserve"> </w:t>
      </w:r>
      <w:r>
        <w:rPr>
          <w:rFonts w:hint="eastAsia"/>
        </w:rPr>
        <w:t>明管敷设时，居民用户应为引入管阀门至燃气计量装置前阀门之间的管道系统；</w:t>
      </w:r>
    </w:p>
    <w:p>
      <w:pPr>
        <w:ind w:firstLine="480" w:firstLineChars="200"/>
      </w:pPr>
      <w:r>
        <w:t xml:space="preserve">2 </w:t>
      </w:r>
      <w:r>
        <w:rPr>
          <w:rFonts w:hint="eastAsia"/>
        </w:rPr>
        <w:t>暗埋或暗封敷设时，居民用户应为引入管至燃具接入管阀门（含阀门）之间的管道。</w:t>
      </w:r>
    </w:p>
    <w:p>
      <w:r>
        <w:t>6.2.7 进行强度试验前，管内应吹扫干净，吹扫介质宜采用空气或氮气，不得使用可燃气体。</w:t>
      </w:r>
    </w:p>
    <w:p>
      <w:r>
        <w:t xml:space="preserve">6.2.8 </w:t>
      </w:r>
      <w:r>
        <w:rPr>
          <w:rFonts w:hint="eastAsia"/>
        </w:rPr>
        <w:t>室内燃气管道的强度试验应符合以下要求：</w:t>
      </w:r>
    </w:p>
    <w:p>
      <w:pPr>
        <w:ind w:firstLine="480" w:firstLineChars="200"/>
      </w:pPr>
      <w:r>
        <w:t xml:space="preserve">1 </w:t>
      </w:r>
      <w:r>
        <w:rPr>
          <w:rFonts w:hint="eastAsia"/>
        </w:rPr>
        <w:t>室内燃气系统强度试验压力应为设计压力的</w:t>
      </w:r>
      <w:r>
        <w:t>1.5</w:t>
      </w:r>
      <w:r>
        <w:rPr>
          <w:rFonts w:hint="eastAsia"/>
        </w:rPr>
        <w:t>倍，且不得低于</w:t>
      </w:r>
      <w:r>
        <w:t>0.1MPa</w:t>
      </w:r>
      <w:r>
        <w:rPr>
          <w:rFonts w:hint="eastAsia"/>
        </w:rPr>
        <w:t>。</w:t>
      </w:r>
    </w:p>
    <w:p>
      <w:pPr>
        <w:ind w:firstLine="480" w:firstLineChars="200"/>
      </w:pPr>
      <w:r>
        <w:t xml:space="preserve">2 </w:t>
      </w:r>
      <w:r>
        <w:rPr>
          <w:rFonts w:hint="eastAsia"/>
        </w:rPr>
        <w:t>在燃气管道系统达到试验压力时，稳压不小于</w:t>
      </w:r>
      <w:r>
        <w:t>0.5h</w:t>
      </w:r>
      <w:r>
        <w:rPr>
          <w:rFonts w:hint="eastAsia"/>
        </w:rPr>
        <w:t>后，应用发泡剂仔细检查所有接头，无渗漏、压力计无压力降为合格。</w:t>
      </w:r>
    </w:p>
    <w:p>
      <w:r>
        <w:rPr>
          <w:rFonts w:hint="eastAsia"/>
        </w:rPr>
        <w:t>6</w:t>
      </w:r>
      <w:r>
        <w:t xml:space="preserve">.2.9 </w:t>
      </w:r>
      <w:r>
        <w:rPr>
          <w:rFonts w:hint="eastAsia"/>
        </w:rPr>
        <w:t>严密性试验范围应为引入管至燃具前阀门之间的管道。通气前还应对燃具前阀门至燃具之间的管道进行检查。</w:t>
      </w:r>
    </w:p>
    <w:p>
      <w:r>
        <w:rPr>
          <w:rFonts w:hint="eastAsia"/>
        </w:rPr>
        <w:t>6</w:t>
      </w:r>
      <w:r>
        <w:t xml:space="preserve">.2.10 </w:t>
      </w:r>
      <w:r>
        <w:rPr>
          <w:rFonts w:hint="eastAsia"/>
        </w:rPr>
        <w:t>室内燃气管道的</w:t>
      </w:r>
      <w:r>
        <w:t>严密性试验应符合以下要求：</w:t>
      </w:r>
    </w:p>
    <w:p>
      <w:pPr>
        <w:ind w:firstLine="480" w:firstLineChars="200"/>
      </w:pPr>
      <w:r>
        <w:rPr>
          <w:rFonts w:hint="eastAsia"/>
        </w:rPr>
        <w:t>1</w:t>
      </w:r>
      <w:r>
        <w:t xml:space="preserve"> 室内燃气系统严密性试验应在强度试验合格后进行。</w:t>
      </w:r>
    </w:p>
    <w:p>
      <w:pPr>
        <w:ind w:firstLine="480" w:firstLineChars="200"/>
      </w:pPr>
      <w:r>
        <w:rPr>
          <w:rFonts w:hint="eastAsia"/>
        </w:rPr>
        <w:t>2</w:t>
      </w:r>
      <w:r>
        <w:t xml:space="preserve"> </w:t>
      </w:r>
      <w:r>
        <w:rPr>
          <w:rFonts w:hint="eastAsia"/>
        </w:rPr>
        <w:t>压力计量装置应采用U型压力计。</w:t>
      </w:r>
    </w:p>
    <w:p>
      <w:pPr>
        <w:ind w:firstLine="480" w:firstLineChars="200"/>
      </w:pPr>
      <w:r>
        <w:t>3 试验压力应为设计压力且不小于5kPa。试验压力下，用户应稳压不得少于15min，并用发泡剂仔细检查所有接头，无渗漏、压力计无压力降为合格。</w:t>
      </w:r>
    </w:p>
    <w:p>
      <w:pPr>
        <w:ind w:firstLine="480" w:firstLineChars="200"/>
      </w:pPr>
      <w:r>
        <w:t>4</w:t>
      </w:r>
      <w:r>
        <w:rPr>
          <w:rFonts w:hint="eastAsia"/>
        </w:rPr>
        <w:t xml:space="preserve"> </w:t>
      </w:r>
      <w:r>
        <w:t>当试验系统中有不锈钢波纹软管、覆塑铜管、铝塑复合管、耐油胶管时，在试验压力下的稳压时间不宜小于1h，除对各密封点检查外，还应对外包覆层端面是否有渗漏现象进行检查。</w:t>
      </w:r>
    </w:p>
    <w:p>
      <w:pPr>
        <w:pStyle w:val="42"/>
        <w:keepNext w:val="0"/>
        <w:keepLines w:val="0"/>
        <w:numPr>
          <w:ilvl w:val="0"/>
          <w:numId w:val="5"/>
        </w:numPr>
        <w:rPr>
          <w:b/>
        </w:rPr>
      </w:pPr>
      <w:bookmarkStart w:id="90" w:name="_Toc62427705"/>
      <w:r>
        <w:rPr>
          <w:rFonts w:hint="eastAsia"/>
          <w:b/>
        </w:rPr>
        <w:t>验收</w:t>
      </w:r>
      <w:bookmarkEnd w:id="90"/>
    </w:p>
    <w:p>
      <w:r>
        <w:t xml:space="preserve">6.2.11 </w:t>
      </w:r>
      <w:r>
        <w:rPr>
          <w:rFonts w:hint="eastAsia"/>
        </w:rPr>
        <w:t>施工单位在工程完成自检合格的基础上，监理单位应组织进行预验收。预验收合格后，施工单位应向建设单位提交竣工报告并申请竣工验收。建设单位应组织有关部门进行竣工验收。</w:t>
      </w:r>
    </w:p>
    <w:p>
      <w:r>
        <w:rPr>
          <w:rFonts w:hint="eastAsia"/>
        </w:rPr>
        <w:t>6</w:t>
      </w:r>
      <w:r>
        <w:t xml:space="preserve">.2.12 </w:t>
      </w:r>
      <w:r>
        <w:rPr>
          <w:rFonts w:hint="eastAsia"/>
        </w:rPr>
        <w:t>燃气室内工程竣工验收前应具有下列文件</w:t>
      </w:r>
    </w:p>
    <w:p>
      <w:pPr>
        <w:ind w:firstLine="480" w:firstLineChars="200"/>
      </w:pPr>
      <w:r>
        <w:rPr>
          <w:rFonts w:hint="eastAsia"/>
        </w:rPr>
        <w:t>1</w:t>
      </w:r>
      <w:r>
        <w:t xml:space="preserve"> </w:t>
      </w:r>
      <w:r>
        <w:rPr>
          <w:rFonts w:hint="eastAsia"/>
        </w:rPr>
        <w:t>设计文件；</w:t>
      </w:r>
    </w:p>
    <w:p>
      <w:pPr>
        <w:ind w:firstLine="480" w:firstLineChars="200"/>
      </w:pPr>
      <w:r>
        <w:rPr>
          <w:rFonts w:hint="eastAsia"/>
        </w:rPr>
        <w:t>2</w:t>
      </w:r>
      <w:r>
        <w:t xml:space="preserve"> </w:t>
      </w:r>
      <w:r>
        <w:rPr>
          <w:rFonts w:hint="eastAsia"/>
        </w:rPr>
        <w:t>设备、管道组成件、主要材料的合格证、检定证书或质量证明书；</w:t>
      </w:r>
    </w:p>
    <w:p>
      <w:pPr>
        <w:ind w:firstLine="480" w:firstLineChars="200"/>
      </w:pPr>
      <w:r>
        <w:t xml:space="preserve">3 </w:t>
      </w:r>
      <w:r>
        <w:rPr>
          <w:rFonts w:hint="eastAsia"/>
        </w:rPr>
        <w:t>施工安装技术文件记录，宜按</w:t>
      </w:r>
      <w:r>
        <w:rPr>
          <w:rStyle w:val="41"/>
          <w:rFonts w:hint="eastAsia"/>
        </w:rPr>
        <w:t>《</w:t>
      </w:r>
      <w:r>
        <w:rPr>
          <w:rStyle w:val="41"/>
        </w:rPr>
        <w:t>城镇燃气室内工程施工与质量验收规范</w:t>
      </w:r>
      <w:r>
        <w:rPr>
          <w:rStyle w:val="41"/>
          <w:rFonts w:hint="eastAsia"/>
        </w:rPr>
        <w:t>》</w:t>
      </w:r>
      <w:r>
        <w:t>CJJ 94</w:t>
      </w:r>
      <w:r>
        <w:rPr>
          <w:rFonts w:hint="eastAsia"/>
        </w:rPr>
        <w:t>附录C填写；</w:t>
      </w:r>
    </w:p>
    <w:p>
      <w:pPr>
        <w:ind w:firstLine="480" w:firstLineChars="200"/>
      </w:pPr>
      <w:r>
        <w:t xml:space="preserve">4 </w:t>
      </w:r>
      <w:r>
        <w:rPr>
          <w:rFonts w:hint="eastAsia"/>
        </w:rPr>
        <w:t>质量事故处理记录；</w:t>
      </w:r>
    </w:p>
    <w:p>
      <w:pPr>
        <w:ind w:firstLine="480" w:firstLineChars="200"/>
      </w:pPr>
      <w:r>
        <w:rPr>
          <w:rFonts w:hint="eastAsia"/>
        </w:rPr>
        <w:t>5</w:t>
      </w:r>
      <w:r>
        <w:t xml:space="preserve"> </w:t>
      </w:r>
      <w:r>
        <w:rPr>
          <w:rFonts w:hint="eastAsia"/>
        </w:rPr>
        <w:t>城镇燃气工程质量验收记录，宜按</w:t>
      </w:r>
      <w:r>
        <w:rPr>
          <w:rStyle w:val="41"/>
          <w:rFonts w:hint="eastAsia"/>
        </w:rPr>
        <w:t>《</w:t>
      </w:r>
      <w:r>
        <w:rPr>
          <w:rStyle w:val="41"/>
        </w:rPr>
        <w:t>城镇燃气室内工程施工与质量验收规范</w:t>
      </w:r>
      <w:r>
        <w:rPr>
          <w:rStyle w:val="41"/>
          <w:rFonts w:hint="eastAsia"/>
        </w:rPr>
        <w:t>》</w:t>
      </w:r>
      <w:r>
        <w:t>CJJ 94</w:t>
      </w:r>
      <w:r>
        <w:rPr>
          <w:rFonts w:hint="eastAsia"/>
        </w:rPr>
        <w:t>附录A填写；</w:t>
      </w:r>
    </w:p>
    <w:p>
      <w:pPr>
        <w:ind w:firstLine="480" w:firstLineChars="200"/>
      </w:pPr>
      <w:r>
        <w:rPr>
          <w:rFonts w:hint="eastAsia"/>
        </w:rPr>
        <w:t>6</w:t>
      </w:r>
      <w:r>
        <w:t xml:space="preserve"> </w:t>
      </w:r>
      <w:r>
        <w:rPr>
          <w:rFonts w:hint="eastAsia"/>
        </w:rPr>
        <w:t>其他相关记录。</w:t>
      </w:r>
    </w:p>
    <w:p>
      <w:r>
        <w:t xml:space="preserve">6.2.13 </w:t>
      </w:r>
      <w:r>
        <w:rPr>
          <w:rFonts w:hint="eastAsia"/>
        </w:rPr>
        <w:t>燃气室内工程竣工验收还应包括下列内容：</w:t>
      </w:r>
    </w:p>
    <w:p>
      <w:pPr>
        <w:ind w:firstLine="480" w:firstLineChars="200"/>
      </w:pPr>
      <w:r>
        <w:t xml:space="preserve">1 </w:t>
      </w:r>
      <w:r>
        <w:rPr>
          <w:rFonts w:hint="eastAsia"/>
        </w:rPr>
        <w:t>工程的各参建单位向验收组汇报工程实施的情况；</w:t>
      </w:r>
    </w:p>
    <w:p>
      <w:pPr>
        <w:ind w:firstLine="480" w:firstLineChars="200"/>
      </w:pPr>
      <w:r>
        <w:t xml:space="preserve">2 </w:t>
      </w:r>
      <w:r>
        <w:rPr>
          <w:rFonts w:hint="eastAsia"/>
        </w:rPr>
        <w:t>验收组应对工程实体质量</w:t>
      </w:r>
      <w:r>
        <w:t>(</w:t>
      </w:r>
      <w:r>
        <w:rPr>
          <w:rFonts w:hint="eastAsia"/>
        </w:rPr>
        <w:t>功能性试验</w:t>
      </w:r>
      <w:r>
        <w:t>)</w:t>
      </w:r>
      <w:r>
        <w:rPr>
          <w:rFonts w:hint="eastAsia"/>
        </w:rPr>
        <w:t>进行抽查；</w:t>
      </w:r>
    </w:p>
    <w:p>
      <w:pPr>
        <w:ind w:firstLine="480" w:firstLineChars="200"/>
      </w:pPr>
      <w:r>
        <w:t xml:space="preserve">3 </w:t>
      </w:r>
      <w:r>
        <w:rPr>
          <w:rFonts w:hint="eastAsia"/>
        </w:rPr>
        <w:t>对本导则</w:t>
      </w:r>
      <w:r>
        <w:t>第6</w:t>
      </w:r>
      <w:r>
        <w:rPr>
          <w:rFonts w:hint="eastAsia"/>
        </w:rPr>
        <w:t>.</w:t>
      </w:r>
      <w:r>
        <w:t>2</w:t>
      </w:r>
      <w:r>
        <w:rPr>
          <w:rFonts w:hint="eastAsia"/>
        </w:rPr>
        <w:t>.</w:t>
      </w:r>
      <w:r>
        <w:t>12条</w:t>
      </w:r>
      <w:r>
        <w:rPr>
          <w:rFonts w:hint="eastAsia"/>
        </w:rPr>
        <w:t>规定的内容进行核查；</w:t>
      </w:r>
    </w:p>
    <w:p>
      <w:pPr>
        <w:ind w:firstLine="480" w:firstLineChars="200"/>
      </w:pPr>
      <w:r>
        <w:t xml:space="preserve">4 </w:t>
      </w:r>
      <w:r>
        <w:rPr>
          <w:rFonts w:hint="eastAsia"/>
        </w:rPr>
        <w:t>签署工程质量验收文件。</w:t>
      </w:r>
    </w:p>
    <w:p>
      <w:bookmarkStart w:id="91" w:name="_Toc1514"/>
      <w:bookmarkStart w:id="92" w:name="_Toc1347"/>
      <w:r>
        <w:br w:type="page"/>
      </w:r>
    </w:p>
    <w:p>
      <w:pPr>
        <w:pStyle w:val="5"/>
        <w:rPr>
          <w:rFonts w:ascii="Times New Roman" w:hAnsi="Times New Roman"/>
          <w:b w:val="0"/>
          <w:sz w:val="24"/>
          <w:szCs w:val="24"/>
        </w:rPr>
      </w:pPr>
      <w:bookmarkStart w:id="93" w:name="_Toc62427706"/>
      <w:r>
        <w:rPr>
          <w:rFonts w:hint="eastAsia" w:ascii="Times New Roman" w:hAnsi="Times New Roman"/>
          <w:b w:val="0"/>
          <w:sz w:val="24"/>
          <w:szCs w:val="24"/>
        </w:rPr>
        <w:t>6.3</w:t>
      </w:r>
      <w:r>
        <w:rPr>
          <w:rFonts w:ascii="Times New Roman" w:hAnsi="Times New Roman"/>
          <w:b w:val="0"/>
          <w:sz w:val="24"/>
          <w:szCs w:val="24"/>
        </w:rPr>
        <w:t xml:space="preserve"> </w:t>
      </w:r>
      <w:r>
        <w:rPr>
          <w:rFonts w:hint="eastAsia" w:ascii="Times New Roman" w:hAnsi="Times New Roman"/>
          <w:b w:val="0"/>
          <w:sz w:val="24"/>
          <w:szCs w:val="24"/>
        </w:rPr>
        <w:t>采暖热水炉供暖系统</w:t>
      </w:r>
      <w:bookmarkEnd w:id="91"/>
      <w:bookmarkEnd w:id="92"/>
      <w:bookmarkEnd w:id="93"/>
    </w:p>
    <w:p>
      <w:pPr>
        <w:pStyle w:val="42"/>
        <w:keepNext w:val="0"/>
        <w:keepLines w:val="0"/>
        <w:numPr>
          <w:ilvl w:val="0"/>
          <w:numId w:val="1"/>
        </w:numPr>
        <w:rPr>
          <w:b/>
        </w:rPr>
      </w:pPr>
      <w:bookmarkStart w:id="94" w:name="_Toc62427707"/>
      <w:r>
        <w:rPr>
          <w:rFonts w:hint="eastAsia"/>
          <w:b/>
        </w:rPr>
        <w:t>检验与验收</w:t>
      </w:r>
      <w:bookmarkEnd w:id="94"/>
    </w:p>
    <w:p>
      <w:pPr>
        <w:widowControl/>
        <w:jc w:val="left"/>
      </w:pPr>
      <w:r>
        <w:t xml:space="preserve">6.3.1 </w:t>
      </w:r>
      <w:r>
        <w:rPr>
          <w:rFonts w:hint="eastAsia"/>
        </w:rPr>
        <w:t>供暖系统应检查供回水系统的严密性。严密性检验应符合现行国家标准《建筑给水排水及采暖工程施工质量验收规范》</w:t>
      </w:r>
      <w:r>
        <w:t>GB 50242</w:t>
      </w:r>
      <w:r>
        <w:rPr>
          <w:rFonts w:hint="eastAsia"/>
        </w:rPr>
        <w:t>的规定。</w:t>
      </w:r>
    </w:p>
    <w:p>
      <w:pPr>
        <w:widowControl/>
        <w:jc w:val="left"/>
      </w:pPr>
      <w:r>
        <w:rPr>
          <w:rFonts w:hint="eastAsia"/>
        </w:rPr>
        <w:t>6</w:t>
      </w:r>
      <w:r>
        <w:t>.3.2 安装处所的燃气类别、电源性质和供水压力与采暖热水炉的燃气类别、使用电源和适用水压必须一致。电源插座相位正确、接地可靠。</w:t>
      </w:r>
    </w:p>
    <w:p>
      <w:r>
        <w:t>6.3.3 燃气管道与炉体必须用带螺纹接头的金属管道或燃气专用铝塑复合管连接，严禁使用胶管连接，并在炉前设置手动燃气球阀。</w:t>
      </w:r>
    </w:p>
    <w:p>
      <w:pPr>
        <w:widowControl/>
        <w:jc w:val="left"/>
      </w:pPr>
      <w:r>
        <w:t xml:space="preserve">6.3.4 温度控制装置应已正确安装。 </w:t>
      </w:r>
    </w:p>
    <w:p>
      <w:pPr>
        <w:widowControl/>
        <w:jc w:val="left"/>
      </w:pPr>
      <w:r>
        <w:t xml:space="preserve">6.3.5 给排气式采暖热水炉严禁只安装排气管不安装给气管。 </w:t>
      </w:r>
    </w:p>
    <w:p>
      <w:pPr>
        <w:widowControl/>
        <w:jc w:val="left"/>
      </w:pPr>
      <w:r>
        <w:t>6.3.6 安装的给排气管形式、当量长度和冷凝式采暖热水炉给排气管进气口的朝向应符合采暖热水炉说明书规定，倾斜角度应符合本标准要求。</w:t>
      </w:r>
    </w:p>
    <w:p>
      <w:pPr>
        <w:pStyle w:val="36"/>
        <w:ind w:firstLine="0" w:firstLineChars="0"/>
      </w:pPr>
      <w:r>
        <w:rPr>
          <w:rFonts w:hint="eastAsia"/>
        </w:rPr>
        <w:t>6.3.</w:t>
      </w:r>
      <w:r>
        <w:t>7 供暖系统杂物应已清除，水系统无渗漏。</w:t>
      </w:r>
    </w:p>
    <w:p>
      <w:r>
        <w:rPr>
          <w:rFonts w:hint="eastAsia"/>
        </w:rPr>
        <w:t>6.3.</w:t>
      </w:r>
      <w:r>
        <w:t>8 采暖热水炉上的任何密封部件严禁拆动。</w:t>
      </w:r>
    </w:p>
    <w:p>
      <w:r>
        <w:t xml:space="preserve">6.3.9 </w:t>
      </w:r>
      <w:r>
        <w:rPr>
          <w:rFonts w:hint="eastAsia"/>
        </w:rPr>
        <w:t>将采暖热水炉前燃气阀打开，关闭采暖热水炉燃气阀，用发泡剂或检漏仪检查燃气管道和结构，不应有燃气泄漏。</w:t>
      </w:r>
    </w:p>
    <w:p>
      <w:r>
        <w:t>6.3.10</w:t>
      </w:r>
      <w:r>
        <w:rPr>
          <w:rFonts w:hint="eastAsia"/>
        </w:rPr>
        <w:t xml:space="preserve"> 按采暖热水炉使用说明书要求，使其运行，燃烧器燃烧应正常，各种阀门的开关应灵活，安全、调节和控制装置应可靠、有效。</w:t>
      </w:r>
    </w:p>
    <w:p>
      <w:r>
        <w:t>6.3.11</w:t>
      </w:r>
      <w:r>
        <w:rPr>
          <w:rFonts w:hint="eastAsia"/>
        </w:rPr>
        <w:t xml:space="preserve"> 采暖热水炉检查项目及性能要求应符合《家用燃气燃烧器具安装及验收规程》C</w:t>
      </w:r>
      <w:r>
        <w:t>JJ 12</w:t>
      </w:r>
      <w:r>
        <w:rPr>
          <w:rFonts w:hint="eastAsia"/>
        </w:rPr>
        <w:t>中表5．0．7～表5．0．8的规定。类别A为主控项目应全检，B为一般项目应抽检。抽检比例不应小于20％，且不应少于2台。上述检查合格和用户签字后张贴合格标示。</w:t>
      </w:r>
    </w:p>
    <w:p>
      <w:r>
        <w:t xml:space="preserve">6.3.12 </w:t>
      </w:r>
      <w:r>
        <w:rPr>
          <w:rFonts w:hint="eastAsia"/>
        </w:rPr>
        <w:t>采暖热水炉基本条件应按《家用燃气燃烧器具安装及验收规程》C</w:t>
      </w:r>
      <w:r>
        <w:t>JJ 12</w:t>
      </w:r>
      <w:r>
        <w:rPr>
          <w:rFonts w:hint="eastAsia"/>
        </w:rPr>
        <w:t>表</w:t>
      </w:r>
      <w:r>
        <w:t>5.0.7</w:t>
      </w:r>
      <w:r>
        <w:rPr>
          <w:rFonts w:hint="eastAsia"/>
        </w:rPr>
        <w:t>的规定进行检验。</w:t>
      </w:r>
      <w:r>
        <w:t>严禁安装在卧室、客厅和浴室。</w:t>
      </w:r>
    </w:p>
    <w:p>
      <w:pPr>
        <w:pStyle w:val="42"/>
        <w:keepNext w:val="0"/>
        <w:keepLines w:val="0"/>
        <w:numPr>
          <w:ilvl w:val="0"/>
          <w:numId w:val="0"/>
        </w:numPr>
        <w:jc w:val="both"/>
        <w:outlineLvl w:val="9"/>
      </w:pPr>
      <w:r>
        <w:t xml:space="preserve">6.3.13 </w:t>
      </w:r>
      <w:r>
        <w:rPr>
          <w:rFonts w:hint="eastAsia"/>
        </w:rPr>
        <w:t>采暖热水炉安装应按《家用燃气燃烧器具安装及验收规程》C</w:t>
      </w:r>
      <w:r>
        <w:t>JJ 12</w:t>
      </w:r>
      <w:r>
        <w:rPr>
          <w:rFonts w:hint="eastAsia"/>
        </w:rPr>
        <w:t>表5．0．8的规定进行检验。</w:t>
      </w:r>
    </w:p>
    <w:p>
      <w:pPr>
        <w:pStyle w:val="42"/>
        <w:keepNext w:val="0"/>
        <w:keepLines w:val="0"/>
        <w:numPr>
          <w:ilvl w:val="0"/>
          <w:numId w:val="1"/>
        </w:numPr>
        <w:rPr>
          <w:b/>
        </w:rPr>
      </w:pPr>
      <w:bookmarkStart w:id="95" w:name="_Toc62427708"/>
      <w:r>
        <w:rPr>
          <w:b/>
        </w:rPr>
        <w:t>调</w:t>
      </w:r>
      <w:r>
        <w:rPr>
          <w:rFonts w:hint="eastAsia"/>
          <w:b/>
        </w:rPr>
        <w:t>试</w:t>
      </w:r>
      <w:bookmarkEnd w:id="95"/>
    </w:p>
    <w:p>
      <w:r>
        <w:rPr>
          <w:rFonts w:hint="eastAsia"/>
        </w:rPr>
        <w:t>6.3.1</w:t>
      </w:r>
      <w:r>
        <w:t>4 供暖系统未经调试，严禁运行使用。</w:t>
      </w:r>
    </w:p>
    <w:p>
      <w:r>
        <w:rPr>
          <w:rFonts w:hint="eastAsia"/>
        </w:rPr>
        <w:t>6.3.</w:t>
      </w:r>
      <w:r>
        <w:t>15</w:t>
      </w:r>
      <w:r>
        <w:rPr>
          <w:rFonts w:hint="eastAsia"/>
        </w:rPr>
        <w:t xml:space="preserve"> 供暖系统的调试与试运行，应由施工单位负责、监理单位监督，设计单位、主要设备供应商与建设单位参与和配合。系统调试的实施可以是施工企业本身或委托给具有调试能力的其他单位。</w:t>
      </w:r>
    </w:p>
    <w:p>
      <w:bookmarkStart w:id="96" w:name="_Toc1757"/>
      <w:bookmarkStart w:id="97" w:name="_Toc4976"/>
      <w:bookmarkStart w:id="98" w:name="_Toc36714039"/>
      <w:r>
        <w:rPr>
          <w:rFonts w:hint="eastAsia"/>
        </w:rPr>
        <w:t>6.3.</w:t>
      </w:r>
      <w:r>
        <w:t>16</w:t>
      </w:r>
      <w:r>
        <w:rPr>
          <w:rFonts w:hint="eastAsia"/>
        </w:rPr>
        <w:t xml:space="preserve"> 供暖系统启动试运行应在整体工程施工完毕和质量验收后，设备、管道及设施的安装应符合设计和规范要求。</w:t>
      </w:r>
    </w:p>
    <w:p>
      <w:r>
        <w:rPr>
          <w:rFonts w:hint="eastAsia"/>
        </w:rPr>
        <w:t>6.3.</w:t>
      </w:r>
      <w:r>
        <w:t>17</w:t>
      </w:r>
      <w:r>
        <w:rPr>
          <w:rFonts w:hint="eastAsia"/>
        </w:rPr>
        <w:t xml:space="preserve"> 系统调试过程中应进行记录，调试完成后应出具带负荷试运转效果检验报告。</w:t>
      </w:r>
    </w:p>
    <w:p>
      <w:r>
        <w:rPr>
          <w:rFonts w:hint="eastAsia"/>
        </w:rPr>
        <w:t>6.3.</w:t>
      </w:r>
      <w:r>
        <w:t>18</w:t>
      </w:r>
      <w:r>
        <w:rPr>
          <w:rFonts w:hint="eastAsia"/>
        </w:rPr>
        <w:t xml:space="preserve"> 对试运行中发现的问题和系统性缺陷应在试运行后及时整改。</w:t>
      </w:r>
    </w:p>
    <w:p>
      <w:r>
        <w:t>6.3.19</w:t>
      </w:r>
      <w:r>
        <w:rPr>
          <w:rFonts w:hint="eastAsia"/>
        </w:rPr>
        <w:t xml:space="preserve"> 采暖热水炉出厂设置的采暖类型应与现场采暖系统安装形式一致。</w:t>
      </w:r>
    </w:p>
    <w:p>
      <w:r>
        <w:t>6.3.20</w:t>
      </w:r>
      <w:r>
        <w:rPr>
          <w:rFonts w:hint="eastAsia"/>
        </w:rPr>
        <w:t xml:space="preserve"> 采暖热水炉供暖系统的注水、排水和冷凝水排放应按下列步骤进行：</w:t>
      </w:r>
    </w:p>
    <w:p>
      <w:pPr>
        <w:ind w:firstLine="480" w:firstLineChars="200"/>
      </w:pPr>
      <w:r>
        <w:t>1</w:t>
      </w:r>
      <w:r>
        <w:rPr>
          <w:rFonts w:hint="eastAsia"/>
        </w:rPr>
        <w:t xml:space="preserve"> 供暖系统注水应按下列步骤进行： </w:t>
      </w:r>
    </w:p>
    <w:p>
      <w:pPr>
        <w:ind w:firstLine="480" w:firstLineChars="200"/>
      </w:pPr>
      <w:r>
        <w:rPr>
          <w:rFonts w:hint="eastAsia"/>
        </w:rPr>
        <w:t xml:space="preserve">1）打开炉体上的自动排气阀和供暖装置上的排气阀； </w:t>
      </w:r>
    </w:p>
    <w:p>
      <w:pPr>
        <w:ind w:firstLine="480" w:firstLineChars="200"/>
      </w:pPr>
      <w:r>
        <w:rPr>
          <w:rFonts w:hint="eastAsia"/>
        </w:rPr>
        <w:t xml:space="preserve">2）向系统中不断充水，直至将系统中的空气全部排出，且达到系统工作的额定压力，密闭式采暖水系统的注水压力不应小于0．1MPa； </w:t>
      </w:r>
    </w:p>
    <w:p>
      <w:pPr>
        <w:ind w:firstLine="480" w:firstLineChars="200"/>
      </w:pPr>
      <w:r>
        <w:rPr>
          <w:rFonts w:hint="eastAsia"/>
        </w:rPr>
        <w:t xml:space="preserve">3）关闭供暖装置上的手动排气阀，自动排气阀处于打开状态，螺帽不应松脱； </w:t>
      </w:r>
    </w:p>
    <w:p>
      <w:pPr>
        <w:ind w:firstLine="480" w:firstLineChars="200"/>
      </w:pPr>
      <w:r>
        <w:rPr>
          <w:rFonts w:hint="eastAsia"/>
        </w:rPr>
        <w:t xml:space="preserve">4）注完水后应立即关闭注水阀； </w:t>
      </w:r>
    </w:p>
    <w:p>
      <w:pPr>
        <w:ind w:firstLine="480" w:firstLineChars="200"/>
      </w:pPr>
      <w:r>
        <w:rPr>
          <w:rFonts w:hint="eastAsia"/>
        </w:rPr>
        <w:t>5）带有自动排气程序的采暖热水炉，按产品说明书启动运行排气。</w:t>
      </w:r>
    </w:p>
    <w:p>
      <w:r>
        <w:t>6.3.21</w:t>
      </w:r>
      <w:r>
        <w:rPr>
          <w:rFonts w:hint="eastAsia"/>
        </w:rPr>
        <w:t xml:space="preserve"> 测试燃气供气压力应在0.75Pn～1.5Pn范围内。 </w:t>
      </w:r>
    </w:p>
    <w:p>
      <w:pPr>
        <w:ind w:firstLine="480" w:firstLineChars="200"/>
      </w:pPr>
      <w:r>
        <w:rPr>
          <w:rFonts w:hint="eastAsia"/>
        </w:rPr>
        <w:t>注：Pn为采暖热水炉额定供气压力。</w:t>
      </w:r>
    </w:p>
    <w:p>
      <w:r>
        <w:t>6.3.22</w:t>
      </w:r>
      <w:r>
        <w:rPr>
          <w:rFonts w:hint="eastAsia"/>
        </w:rPr>
        <w:t xml:space="preserve"> 供暖和生活热水温度调节功能应符合下列规定： </w:t>
      </w:r>
    </w:p>
    <w:p>
      <w:pPr>
        <w:ind w:firstLine="480" w:firstLineChars="200"/>
      </w:pPr>
      <w:r>
        <w:rPr>
          <w:rFonts w:hint="eastAsia"/>
        </w:rPr>
        <w:t>1 采用散热器供暖时，供水温度应小于</w:t>
      </w:r>
      <w:r>
        <w:t>75</w:t>
      </w:r>
      <w:r>
        <w:rPr>
          <w:rFonts w:hint="eastAsia"/>
        </w:rPr>
        <w:t>℃，采暖热水炉供回水温差△t宜为20K；</w:t>
      </w:r>
    </w:p>
    <w:p>
      <w:pPr>
        <w:ind w:firstLine="480" w:firstLineChars="200"/>
      </w:pPr>
      <w:r>
        <w:t xml:space="preserve">2 </w:t>
      </w:r>
      <w:r>
        <w:rPr>
          <w:rFonts w:hint="eastAsia"/>
        </w:rPr>
        <w:t>采用低温热水地面辐射供暖时，供水温度应小于</w:t>
      </w:r>
      <w:r>
        <w:t>55</w:t>
      </w:r>
      <w:r>
        <w:rPr>
          <w:rFonts w:hint="eastAsia"/>
        </w:rPr>
        <w:t xml:space="preserve">℃，采暖热水炉供回水温差△t宜为10K。 </w:t>
      </w:r>
    </w:p>
    <w:p>
      <w:pPr>
        <w:ind w:firstLine="480" w:firstLineChars="200"/>
      </w:pPr>
      <w:r>
        <w:rPr>
          <w:rFonts w:hint="eastAsia"/>
        </w:rPr>
        <w:t>3 检查室内温控器的功能时，宜将采暖水调至较高温度。</w:t>
      </w:r>
    </w:p>
    <w:p>
      <w:pPr>
        <w:ind w:firstLine="480" w:firstLineChars="200"/>
      </w:pPr>
      <w:r>
        <w:br w:type="page"/>
      </w:r>
    </w:p>
    <w:p>
      <w:pPr>
        <w:pStyle w:val="4"/>
        <w:rPr>
          <w:rStyle w:val="30"/>
          <w:rFonts w:eastAsiaTheme="majorEastAsia"/>
          <w:b/>
          <w:bCs w:val="0"/>
        </w:rPr>
      </w:pPr>
      <w:bookmarkStart w:id="99" w:name="_Toc62427709"/>
      <w:r>
        <w:rPr>
          <w:rStyle w:val="30"/>
          <w:rFonts w:hint="eastAsia" w:eastAsiaTheme="majorEastAsia"/>
          <w:b/>
          <w:bCs w:val="0"/>
        </w:rPr>
        <w:t>7</w:t>
      </w:r>
      <w:r>
        <w:rPr>
          <w:rStyle w:val="30"/>
          <w:rFonts w:eastAsiaTheme="majorEastAsia"/>
          <w:b/>
          <w:bCs w:val="0"/>
        </w:rPr>
        <w:t xml:space="preserve"> 燃气设施安全运行与维护技术要点</w:t>
      </w:r>
      <w:bookmarkEnd w:id="99"/>
    </w:p>
    <w:p>
      <w:pPr>
        <w:pStyle w:val="5"/>
      </w:pPr>
      <w:bookmarkStart w:id="100" w:name="_Toc62427710"/>
      <w:r>
        <w:rPr>
          <w:rFonts w:hint="eastAsia" w:ascii="Times New Roman" w:hAnsi="Times New Roman"/>
          <w:b w:val="0"/>
          <w:bCs w:val="0"/>
          <w:sz w:val="24"/>
          <w:szCs w:val="24"/>
        </w:rPr>
        <w:t>7</w:t>
      </w:r>
      <w:r>
        <w:rPr>
          <w:rFonts w:ascii="Times New Roman" w:hAnsi="Times New Roman"/>
          <w:b w:val="0"/>
          <w:bCs w:val="0"/>
          <w:sz w:val="24"/>
          <w:szCs w:val="24"/>
        </w:rPr>
        <w:t>.1</w:t>
      </w:r>
      <w:r>
        <w:rPr>
          <w:rFonts w:hint="eastAsia" w:ascii="Times New Roman" w:hAnsi="Times New Roman"/>
          <w:b w:val="0"/>
          <w:bCs w:val="0"/>
          <w:sz w:val="24"/>
          <w:szCs w:val="24"/>
        </w:rPr>
        <w:t>一般规定</w:t>
      </w:r>
      <w:bookmarkEnd w:id="100"/>
    </w:p>
    <w:p>
      <w:r>
        <w:rPr>
          <w:rFonts w:hint="eastAsia"/>
        </w:rPr>
        <w:t>7.1.1 供气单位为安全运行管理的责任主体。</w:t>
      </w:r>
    </w:p>
    <w:p>
      <w:r>
        <w:rPr>
          <w:rFonts w:hint="eastAsia"/>
        </w:rPr>
        <w:t>7.1.2 供气单位应建立、健全安全生产运行管理制度及运行、维护、抢修操作规程。</w:t>
      </w:r>
    </w:p>
    <w:p>
      <w:r>
        <w:rPr>
          <w:rFonts w:hint="eastAsia"/>
        </w:rPr>
        <w:t>7.1.3 供气单位应配备专职安全管理人员、抢修人员，定期进行巡查、检测、维修和维护，及时抢修，确保安全运行。</w:t>
      </w:r>
    </w:p>
    <w:p>
      <w:r>
        <w:rPr>
          <w:rFonts w:hint="eastAsia"/>
        </w:rPr>
        <w:t>7.1.4 供气单位应定期进行科学安全用气知识培训、指导和宣传，尤其是针对农村用户，加强一氧化碳中毒、防火、防灾、预防措施及急救方法等知识的宣传教育，增强广大群众的安全防范和自我保护意识。</w:t>
      </w:r>
    </w:p>
    <w:p>
      <w:pPr>
        <w:pStyle w:val="5"/>
      </w:pPr>
      <w:bookmarkStart w:id="101" w:name="_Toc62427711"/>
      <w:r>
        <w:rPr>
          <w:rFonts w:hint="eastAsia" w:ascii="Times New Roman" w:hAnsi="Times New Roman"/>
          <w:b w:val="0"/>
          <w:bCs w:val="0"/>
          <w:sz w:val="24"/>
          <w:szCs w:val="24"/>
        </w:rPr>
        <w:t>7</w:t>
      </w:r>
      <w:r>
        <w:rPr>
          <w:rFonts w:ascii="Times New Roman" w:hAnsi="Times New Roman"/>
          <w:b w:val="0"/>
          <w:bCs w:val="0"/>
          <w:sz w:val="24"/>
          <w:szCs w:val="24"/>
        </w:rPr>
        <w:t>.</w:t>
      </w:r>
      <w:r>
        <w:rPr>
          <w:rFonts w:hint="eastAsia" w:ascii="Times New Roman" w:hAnsi="Times New Roman"/>
          <w:b w:val="0"/>
          <w:bCs w:val="0"/>
          <w:sz w:val="24"/>
          <w:szCs w:val="24"/>
        </w:rPr>
        <w:t>2技术要点</w:t>
      </w:r>
      <w:bookmarkEnd w:id="101"/>
    </w:p>
    <w:p>
      <w:r>
        <w:rPr>
          <w:rFonts w:hint="eastAsia"/>
        </w:rPr>
        <w:t>7.2.1</w:t>
      </w:r>
      <w:r>
        <w:t xml:space="preserve"> 燃气管理部门要加强农村燃气经营管理、燃气使用安全情况的监督检查，燃气经营企业应取得燃气经营许可证，禁止无证经营农村</w:t>
      </w:r>
      <w:r>
        <w:rPr>
          <w:rFonts w:hint="eastAsia"/>
        </w:rPr>
        <w:t>管道天然气</w:t>
      </w:r>
      <w:r>
        <w:t>工程项目。</w:t>
      </w:r>
    </w:p>
    <w:p>
      <w:r>
        <w:t>7.</w:t>
      </w:r>
      <w:r>
        <w:rPr>
          <w:rFonts w:hint="eastAsia"/>
        </w:rPr>
        <w:t>2</w:t>
      </w:r>
      <w:r>
        <w:t>.</w:t>
      </w:r>
      <w:r>
        <w:rPr>
          <w:rFonts w:hint="eastAsia"/>
        </w:rPr>
        <w:t>2</w:t>
      </w:r>
      <w:r>
        <w:t xml:space="preserve"> 燃气经营企业应确保气源安全、稳定供应。应根据天然气供应的实际情况，科学调度供用气计划，实时监测和报告上游供气，承担相应应急任务。</w:t>
      </w:r>
    </w:p>
    <w:p>
      <w:r>
        <w:t>7.</w:t>
      </w:r>
      <w:r>
        <w:rPr>
          <w:rFonts w:hint="eastAsia"/>
        </w:rPr>
        <w:t>2</w:t>
      </w:r>
      <w:r>
        <w:t>.</w:t>
      </w:r>
      <w:r>
        <w:rPr>
          <w:rFonts w:hint="eastAsia"/>
        </w:rPr>
        <w:t>3</w:t>
      </w:r>
      <w:r>
        <w:t>燃气经营企业对所建设管理经营的农村燃气设施安全运行与维护承担主体责任，经营期间，应制定农村燃气设施安全生产管理制度及运行、维护、抢修操作规程和应急预案，公布燃气服务电话和应急救援电话。</w:t>
      </w:r>
    </w:p>
    <w:p>
      <w:r>
        <w:t>7.</w:t>
      </w:r>
      <w:r>
        <w:rPr>
          <w:rFonts w:hint="eastAsia"/>
        </w:rPr>
        <w:t>2</w:t>
      </w:r>
      <w:r>
        <w:t>.</w:t>
      </w:r>
      <w:r>
        <w:rPr>
          <w:rFonts w:hint="eastAsia"/>
        </w:rPr>
        <w:t>4</w:t>
      </w:r>
      <w:r>
        <w:t xml:space="preserve"> 燃气经营企业</w:t>
      </w:r>
      <w:r>
        <w:rPr>
          <w:rFonts w:hint="eastAsia"/>
        </w:rPr>
        <w:t>应由具备燃气维修专业技能的单位及专业人员</w:t>
      </w:r>
      <w:r>
        <w:t>重点对农村燃气用户户内设施进行入户安全检查，并加强用气安全知识宣传，检查和宣传每年不得少于2次；在首次通气和每个采暖期前应对用户进行入户检查。</w:t>
      </w:r>
    </w:p>
    <w:p>
      <w:r>
        <w:t>7.</w:t>
      </w:r>
      <w:r>
        <w:rPr>
          <w:rFonts w:hint="eastAsia"/>
        </w:rPr>
        <w:t>2</w:t>
      </w:r>
      <w:r>
        <w:t>.</w:t>
      </w:r>
      <w:r>
        <w:rPr>
          <w:rFonts w:hint="eastAsia"/>
        </w:rPr>
        <w:t>5</w:t>
      </w:r>
      <w:r>
        <w:t xml:space="preserve"> 燃气经营企业入户检查时应重点检查以下内容：</w:t>
      </w:r>
    </w:p>
    <w:p>
      <w:pPr>
        <w:ind w:firstLine="480" w:firstLineChars="200"/>
      </w:pPr>
      <w:r>
        <w:t>1 确认用户的燃气设施运行完好，无人为碰撞和损坏；</w:t>
      </w:r>
    </w:p>
    <w:p>
      <w:pPr>
        <w:ind w:firstLine="480" w:firstLineChars="200"/>
      </w:pPr>
      <w:r>
        <w:t>2 管道无私自改动，没有作为其他电器设备的接地线，无锈蚀、无载重，软管无超长等；</w:t>
      </w:r>
    </w:p>
    <w:p>
      <w:pPr>
        <w:ind w:firstLine="480" w:firstLineChars="200"/>
      </w:pPr>
      <w:r>
        <w:t>3 用气管道、设备无泄漏，安装符合规程；</w:t>
      </w:r>
    </w:p>
    <w:p>
      <w:pPr>
        <w:ind w:firstLine="480" w:firstLineChars="200"/>
      </w:pPr>
      <w:r>
        <w:t>4 燃气表、报警器、阀门和灶前压力波动范围是否正常等；</w:t>
      </w:r>
    </w:p>
    <w:p>
      <w:pPr>
        <w:ind w:firstLine="480" w:firstLineChars="200"/>
      </w:pPr>
      <w:r>
        <w:t>5入户检查人员还应采用仪器对管道接口处进行检测，发现问题及时处理。</w:t>
      </w:r>
    </w:p>
    <w:p>
      <w:r>
        <w:t>7.</w:t>
      </w:r>
      <w:r>
        <w:rPr>
          <w:rFonts w:hint="eastAsia"/>
        </w:rPr>
        <w:t>2</w:t>
      </w:r>
      <w:r>
        <w:t>.</w:t>
      </w:r>
      <w:r>
        <w:rPr>
          <w:rFonts w:hint="eastAsia"/>
        </w:rPr>
        <w:t>6</w:t>
      </w:r>
      <w:r>
        <w:t xml:space="preserve"> 燃气经营企业应根据需要，在一定区域内设立燃气服务站点，专职负责城乡结合部和农村的燃气安全运行工作。社区和村委会应设置燃气安全综合协管员，协管员应接受燃气经营企业的业务培训，协助燃气经营企业对村内燃气设施进行巡查，宣传燃气安全知识，发现问题及时向燃气经营企业报告。</w:t>
      </w:r>
    </w:p>
    <w:p>
      <w:r>
        <w:t>7.</w:t>
      </w:r>
      <w:r>
        <w:rPr>
          <w:rFonts w:hint="eastAsia"/>
        </w:rPr>
        <w:t>2</w:t>
      </w:r>
      <w:r>
        <w:t>.</w:t>
      </w:r>
      <w:r>
        <w:rPr>
          <w:rFonts w:hint="eastAsia"/>
        </w:rPr>
        <w:t>7</w:t>
      </w:r>
      <w:r>
        <w:t xml:space="preserve"> 任何单位和个人不得侵占、毁损、擅自拆除或者移动农村燃气设施；不得毁损、覆盖、涂改、擅自拆除或者移动燃气设施安全警示标志；架空燃气管道、管道支架等严禁拴牲畜或悬挂、搭放物体。</w:t>
      </w:r>
    </w:p>
    <w:p>
      <w:r>
        <w:t>7.</w:t>
      </w:r>
      <w:r>
        <w:rPr>
          <w:rFonts w:hint="eastAsia"/>
        </w:rPr>
        <w:t>2</w:t>
      </w:r>
      <w:r>
        <w:t>.</w:t>
      </w:r>
      <w:r>
        <w:rPr>
          <w:rFonts w:hint="eastAsia"/>
        </w:rPr>
        <w:t>8</w:t>
      </w:r>
      <w:r>
        <w:t xml:space="preserve"> 燃气设施的运行、维护和抢修严格执行现行行业标准《城镇燃气设施运行、维护和抢修安全技术规程》CJJ51的规定。</w:t>
      </w:r>
    </w:p>
    <w:p>
      <w:r>
        <w:t>7.</w:t>
      </w:r>
      <w:r>
        <w:rPr>
          <w:rFonts w:hint="eastAsia"/>
        </w:rPr>
        <w:t>2</w:t>
      </w:r>
      <w:r>
        <w:t>.</w:t>
      </w:r>
      <w:r>
        <w:rPr>
          <w:rFonts w:hint="eastAsia"/>
        </w:rPr>
        <w:t>9</w:t>
      </w:r>
      <w:r>
        <w:t xml:space="preserve"> 燃气调压设施的运行维护应符合下列规定：</w:t>
      </w:r>
    </w:p>
    <w:p>
      <w:pPr>
        <w:ind w:firstLine="480" w:firstLineChars="200"/>
      </w:pPr>
      <w:r>
        <w:t>1 对于无人值守的调压设施（调压箱、调压站等）应进行检查，每天不得少于1次；</w:t>
      </w:r>
    </w:p>
    <w:p>
      <w:pPr>
        <w:ind w:firstLine="480" w:firstLineChars="200"/>
      </w:pPr>
      <w:r>
        <w:t>2 应对调压器、计量表和放散管重点检查。</w:t>
      </w:r>
    </w:p>
    <w:p>
      <w:r>
        <w:rPr>
          <w:rFonts w:hint="eastAsia"/>
        </w:rPr>
        <w:t>7.2.10 因调压装置、安全切断装置失效而导致压力超过下游燃气设施的设计压力的，应对超压影响区全面检查，排除隐患后方可恢复供气。</w:t>
      </w:r>
    </w:p>
    <w:p>
      <w:r>
        <w:t>7.</w:t>
      </w:r>
      <w:r>
        <w:rPr>
          <w:rFonts w:hint="eastAsia"/>
        </w:rPr>
        <w:t>2</w:t>
      </w:r>
      <w:r>
        <w:t>.</w:t>
      </w:r>
      <w:r>
        <w:rPr>
          <w:rFonts w:hint="eastAsia"/>
        </w:rPr>
        <w:t>11</w:t>
      </w:r>
      <w:r>
        <w:t xml:space="preserve"> </w:t>
      </w:r>
      <w:r>
        <w:rPr>
          <w:rFonts w:hint="eastAsia"/>
        </w:rPr>
        <w:t>为节约能源，</w:t>
      </w:r>
      <w:r>
        <w:t>采暖热水炉出水温度可适当降低，暂时无需取暖的房间可关闭进水阀门。</w:t>
      </w:r>
    </w:p>
    <w:p>
      <w:r>
        <w:t>7.</w:t>
      </w:r>
      <w:r>
        <w:rPr>
          <w:rFonts w:hint="eastAsia"/>
        </w:rPr>
        <w:t>2</w:t>
      </w:r>
      <w:r>
        <w:t>.1</w:t>
      </w:r>
      <w:r>
        <w:rPr>
          <w:rFonts w:hint="eastAsia"/>
        </w:rPr>
        <w:t>2</w:t>
      </w:r>
      <w:r>
        <w:t xml:space="preserve"> 采暖热水炉水系统压力应为0.1～0.2M</w:t>
      </w:r>
      <w:r>
        <w:rPr>
          <w:rFonts w:hint="eastAsia"/>
        </w:rPr>
        <w:t>P</w:t>
      </w:r>
      <w:r>
        <w:t>a，压力不足时需及时补水，补水后关闭补水阀。</w:t>
      </w:r>
    </w:p>
    <w:p>
      <w:r>
        <w:t>7.</w:t>
      </w:r>
      <w:r>
        <w:rPr>
          <w:rFonts w:hint="eastAsia"/>
        </w:rPr>
        <w:t>2</w:t>
      </w:r>
      <w:r>
        <w:t>.1</w:t>
      </w:r>
      <w:r>
        <w:rPr>
          <w:rFonts w:hint="eastAsia"/>
        </w:rPr>
        <w:t>3</w:t>
      </w:r>
      <w:r>
        <w:t xml:space="preserve"> 为避免因天气寒冷导致采暖热水炉冻裂，冬季采暖热水炉需保持通电、通气、通水状态，确保采暖热水炉自带的防冻功能运行良好。</w:t>
      </w:r>
    </w:p>
    <w:p>
      <w:r>
        <w:t>7.</w:t>
      </w:r>
      <w:r>
        <w:rPr>
          <w:rFonts w:hint="eastAsia"/>
        </w:rPr>
        <w:t>2</w:t>
      </w:r>
      <w:r>
        <w:t>.1</w:t>
      </w:r>
      <w:r>
        <w:rPr>
          <w:rFonts w:hint="eastAsia"/>
        </w:rPr>
        <w:t>4</w:t>
      </w:r>
      <w:r>
        <w:t xml:space="preserve"> 每年采暖季前需对采暖热水炉以及水路系统进行维护保养，包括采暖热水炉烟管、风机、火排等清灰、水路系统的滤网清洗、排污、冲洗管路等。</w:t>
      </w:r>
    </w:p>
    <w:bookmarkEnd w:id="84"/>
    <w:bookmarkEnd w:id="85"/>
    <w:bookmarkEnd w:id="96"/>
    <w:bookmarkEnd w:id="97"/>
    <w:bookmarkEnd w:id="98"/>
    <w:p>
      <w:pPr>
        <w:widowControl/>
        <w:spacing w:line="240" w:lineRule="auto"/>
        <w:jc w:val="left"/>
      </w:pPr>
    </w:p>
    <w:p>
      <w:pPr>
        <w:widowControl/>
        <w:spacing w:line="240" w:lineRule="auto"/>
        <w:jc w:val="left"/>
        <w:sectPr>
          <w:footerReference r:id="rId8" w:type="first"/>
          <w:footerReference r:id="rId7" w:type="default"/>
          <w:pgSz w:w="11906" w:h="16838"/>
          <w:pgMar w:top="1440" w:right="1800" w:bottom="1440" w:left="1800" w:header="851" w:footer="992" w:gutter="0"/>
          <w:cols w:space="425" w:num="1"/>
          <w:titlePg/>
          <w:docGrid w:type="lines" w:linePitch="326" w:charSpace="0"/>
        </w:sectPr>
      </w:pPr>
    </w:p>
    <w:p>
      <w:pPr>
        <w:widowControl/>
        <w:spacing w:line="240" w:lineRule="auto"/>
        <w:jc w:val="left"/>
      </w:pPr>
    </w:p>
    <w:p>
      <w:pPr>
        <w:pStyle w:val="4"/>
        <w:rPr>
          <w:rStyle w:val="30"/>
          <w:rFonts w:eastAsiaTheme="majorEastAsia"/>
          <w:b/>
          <w:bCs w:val="0"/>
        </w:rPr>
      </w:pPr>
      <w:bookmarkStart w:id="102" w:name="_Toc27453"/>
      <w:bookmarkStart w:id="103" w:name="_Toc24030864"/>
      <w:bookmarkStart w:id="104" w:name="_Toc36714040"/>
      <w:bookmarkStart w:id="105" w:name="_Toc9152"/>
      <w:bookmarkStart w:id="106" w:name="_Toc17500"/>
      <w:bookmarkStart w:id="107" w:name="_Toc62427712"/>
      <w:r>
        <w:rPr>
          <w:rStyle w:val="30"/>
          <w:rFonts w:eastAsiaTheme="majorEastAsia"/>
          <w:b/>
          <w:bCs w:val="0"/>
        </w:rPr>
        <w:t>引用标准名录</w:t>
      </w:r>
      <w:bookmarkEnd w:id="102"/>
      <w:bookmarkEnd w:id="103"/>
      <w:bookmarkEnd w:id="104"/>
      <w:bookmarkEnd w:id="105"/>
      <w:bookmarkEnd w:id="106"/>
      <w:bookmarkEnd w:id="107"/>
    </w:p>
    <w:p>
      <w:pPr>
        <w:adjustRightInd w:val="0"/>
        <w:snapToGrid w:val="0"/>
        <w:spacing w:line="520" w:lineRule="exact"/>
        <w:ind w:firstLine="480" w:firstLineChars="200"/>
      </w:pPr>
      <w:r>
        <w:t>本导则所遵循的国家规范、标准法则主要包括但不仅限于以下所列范围：</w:t>
      </w:r>
    </w:p>
    <w:p>
      <w:pPr>
        <w:adjustRightInd w:val="0"/>
        <w:snapToGrid w:val="0"/>
        <w:spacing w:line="520" w:lineRule="exact"/>
        <w:ind w:firstLine="480" w:firstLineChars="200"/>
      </w:pPr>
      <w:r>
        <w:t>1 《燃气工程项目规范》</w:t>
      </w:r>
      <w:r>
        <w:rPr>
          <w:rFonts w:hint="eastAsia"/>
        </w:rPr>
        <w:t xml:space="preserve"> </w:t>
      </w:r>
      <w:r>
        <w:t>GB55009</w:t>
      </w:r>
    </w:p>
    <w:p>
      <w:pPr>
        <w:adjustRightInd w:val="0"/>
        <w:snapToGrid w:val="0"/>
        <w:spacing w:line="520" w:lineRule="exact"/>
        <w:ind w:firstLine="480" w:firstLineChars="200"/>
      </w:pPr>
      <w:r>
        <w:t>2 《城镇燃气设计规范》 GB50028</w:t>
      </w:r>
    </w:p>
    <w:p>
      <w:pPr>
        <w:adjustRightInd w:val="0"/>
        <w:snapToGrid w:val="0"/>
        <w:spacing w:line="520" w:lineRule="exact"/>
        <w:ind w:firstLine="480" w:firstLineChars="200"/>
      </w:pPr>
      <w:r>
        <w:t>3 《建筑设计防火规范》 GB50016</w:t>
      </w:r>
    </w:p>
    <w:p>
      <w:pPr>
        <w:adjustRightInd w:val="0"/>
        <w:snapToGrid w:val="0"/>
        <w:spacing w:line="520" w:lineRule="exact"/>
        <w:ind w:firstLine="480" w:firstLineChars="200"/>
      </w:pPr>
      <w:r>
        <w:t>4 《农村防火规范》GB50039</w:t>
      </w:r>
    </w:p>
    <w:p>
      <w:pPr>
        <w:adjustRightInd w:val="0"/>
        <w:snapToGrid w:val="0"/>
        <w:spacing w:line="520" w:lineRule="exact"/>
        <w:ind w:firstLine="480" w:firstLineChars="200"/>
      </w:pPr>
      <w:r>
        <w:t>5 《民用建筑供暖通风与空气调节设计规范》 GB50736</w:t>
      </w:r>
    </w:p>
    <w:p>
      <w:pPr>
        <w:adjustRightInd w:val="0"/>
        <w:snapToGrid w:val="0"/>
        <w:spacing w:line="520" w:lineRule="exact"/>
        <w:ind w:firstLine="480" w:firstLineChars="200"/>
      </w:pPr>
      <w:r>
        <w:t>6 《建筑给水排水设计</w:t>
      </w:r>
      <w:r>
        <w:rPr>
          <w:rFonts w:hint="eastAsia"/>
        </w:rPr>
        <w:t>标准</w:t>
      </w:r>
      <w:r>
        <w:t>》GB50015</w:t>
      </w:r>
    </w:p>
    <w:p>
      <w:pPr>
        <w:adjustRightInd w:val="0"/>
        <w:snapToGrid w:val="0"/>
        <w:spacing w:line="520" w:lineRule="exact"/>
        <w:ind w:left="480" w:leftChars="200"/>
      </w:pPr>
      <w:r>
        <w:t>7 《家用燃气快速热水器和燃气采暖热水炉能效限定值及能效等级》 GB 20665</w:t>
      </w:r>
    </w:p>
    <w:p>
      <w:pPr>
        <w:adjustRightInd w:val="0"/>
        <w:snapToGrid w:val="0"/>
        <w:spacing w:line="520" w:lineRule="exact"/>
        <w:ind w:firstLine="480" w:firstLineChars="200"/>
      </w:pPr>
      <w:r>
        <w:t>8 《燃气采暖热水炉》 GB25034</w:t>
      </w:r>
    </w:p>
    <w:p>
      <w:pPr>
        <w:adjustRightInd w:val="0"/>
        <w:snapToGrid w:val="0"/>
        <w:spacing w:line="520" w:lineRule="exact"/>
        <w:ind w:firstLine="480" w:firstLineChars="200"/>
      </w:pPr>
      <w:r>
        <w:t>9 《燃气用埋地聚乙烯（PE）管道系统第1部分：管材》GB/T15558.1</w:t>
      </w:r>
    </w:p>
    <w:p>
      <w:pPr>
        <w:adjustRightInd w:val="0"/>
        <w:snapToGrid w:val="0"/>
        <w:spacing w:line="520" w:lineRule="exact"/>
        <w:ind w:firstLine="480" w:firstLineChars="200"/>
      </w:pPr>
      <w:r>
        <w:t>10 《燃气用埋地聚乙烯（PE）管道系统第2部分：管件》GB/T15558.2</w:t>
      </w:r>
    </w:p>
    <w:p>
      <w:pPr>
        <w:adjustRightInd w:val="0"/>
        <w:snapToGrid w:val="0"/>
        <w:spacing w:line="520" w:lineRule="exact"/>
        <w:ind w:firstLine="480" w:firstLineChars="200"/>
      </w:pPr>
      <w:r>
        <w:t>11 《燃气用埋地聚乙烯（PE）管道系统第3部分：阀门》GB/T15558.3</w:t>
      </w:r>
    </w:p>
    <w:p>
      <w:pPr>
        <w:adjustRightInd w:val="0"/>
        <w:snapToGrid w:val="0"/>
        <w:spacing w:line="520" w:lineRule="exact"/>
        <w:ind w:firstLine="480" w:firstLineChars="200"/>
      </w:pPr>
      <w:r>
        <w:t>12 《变形铝及铝合金化学成分》GB/T3190</w:t>
      </w:r>
    </w:p>
    <w:p>
      <w:pPr>
        <w:adjustRightInd w:val="0"/>
        <w:snapToGrid w:val="0"/>
        <w:spacing w:line="520" w:lineRule="exact"/>
        <w:ind w:firstLine="480" w:firstLineChars="200"/>
      </w:pPr>
      <w:r>
        <w:t>13 《低压流体输送用焊接钢管》GB/T3091</w:t>
      </w:r>
    </w:p>
    <w:p>
      <w:pPr>
        <w:adjustRightInd w:val="0"/>
        <w:snapToGrid w:val="0"/>
        <w:spacing w:line="520" w:lineRule="exact"/>
        <w:ind w:firstLine="480" w:firstLineChars="200"/>
      </w:pPr>
      <w:r>
        <w:t>14 《输送流体用无缝钢管》GB/T8163</w:t>
      </w:r>
    </w:p>
    <w:p>
      <w:pPr>
        <w:adjustRightInd w:val="0"/>
        <w:snapToGrid w:val="0"/>
        <w:spacing w:line="520" w:lineRule="exact"/>
        <w:ind w:firstLine="480" w:firstLineChars="200"/>
      </w:pPr>
      <w:r>
        <w:t>15 《钢制对焊管件 类型与参数》GB/T12459</w:t>
      </w:r>
    </w:p>
    <w:p>
      <w:pPr>
        <w:adjustRightInd w:val="0"/>
        <w:snapToGrid w:val="0"/>
        <w:spacing w:line="520" w:lineRule="exact"/>
        <w:ind w:firstLine="480" w:firstLineChars="200"/>
      </w:pPr>
      <w:r>
        <w:t>16 《可锻铸铁管路连接件》GB/T3287</w:t>
      </w:r>
    </w:p>
    <w:p>
      <w:pPr>
        <w:adjustRightInd w:val="0"/>
        <w:snapToGrid w:val="0"/>
        <w:spacing w:line="520" w:lineRule="exact"/>
        <w:ind w:firstLine="480" w:firstLineChars="200"/>
      </w:pPr>
      <w:r>
        <w:t>17 《燃气用聚乙烯管道系统的机械管件第1部分：公称外径不大于63mm的管材用钢塑转换管件》GB/T26255.1</w:t>
      </w:r>
    </w:p>
    <w:p>
      <w:pPr>
        <w:adjustRightInd w:val="0"/>
        <w:snapToGrid w:val="0"/>
        <w:spacing w:line="520" w:lineRule="exact"/>
        <w:ind w:firstLine="480" w:firstLineChars="200"/>
      </w:pPr>
      <w:r>
        <w:t>18 《燃气用聚乙烯管道系统的机械管件第2部分：公称外径大于63mm的管材用钢塑转换管件》GB/T26255.2</w:t>
      </w:r>
    </w:p>
    <w:p>
      <w:pPr>
        <w:adjustRightInd w:val="0"/>
        <w:snapToGrid w:val="0"/>
        <w:spacing w:line="520" w:lineRule="exact"/>
        <w:ind w:firstLine="480" w:firstLineChars="200"/>
      </w:pPr>
      <w:r>
        <w:t>19 《石油、石化及相关工业用的钢制球阀》GB/T12237</w:t>
      </w:r>
    </w:p>
    <w:p>
      <w:pPr>
        <w:adjustRightInd w:val="0"/>
        <w:snapToGrid w:val="0"/>
        <w:spacing w:line="520" w:lineRule="exact"/>
        <w:ind w:firstLine="480" w:firstLineChars="200"/>
      </w:pPr>
      <w:r>
        <w:t>20 《钢制管法兰》GB/T9112～GB/T9124</w:t>
      </w:r>
    </w:p>
    <w:p>
      <w:pPr>
        <w:adjustRightInd w:val="0"/>
        <w:snapToGrid w:val="0"/>
        <w:spacing w:line="520" w:lineRule="exact"/>
        <w:ind w:firstLine="480" w:firstLineChars="200"/>
      </w:pPr>
      <w:r>
        <w:t>21 《管法兰用非金属平垫片尺寸》GB/T9126</w:t>
      </w:r>
    </w:p>
    <w:p>
      <w:pPr>
        <w:adjustRightInd w:val="0"/>
        <w:snapToGrid w:val="0"/>
        <w:spacing w:line="520" w:lineRule="exact"/>
        <w:ind w:firstLine="480" w:firstLineChars="200"/>
      </w:pPr>
      <w:r>
        <w:t>22 《管法兰连接用紧固件》GB/T9125</w:t>
      </w:r>
    </w:p>
    <w:p>
      <w:pPr>
        <w:adjustRightInd w:val="0"/>
        <w:snapToGrid w:val="0"/>
        <w:spacing w:line="520" w:lineRule="exact"/>
        <w:ind w:firstLine="480" w:firstLineChars="200"/>
      </w:pPr>
      <w:r>
        <w:rPr>
          <w:rFonts w:hint="eastAsia"/>
        </w:rPr>
        <w:t xml:space="preserve">23 </w:t>
      </w:r>
      <w:r>
        <w:t>《天然气》GB17820</w:t>
      </w:r>
    </w:p>
    <w:p>
      <w:pPr>
        <w:adjustRightInd w:val="0"/>
        <w:snapToGrid w:val="0"/>
        <w:spacing w:line="520" w:lineRule="exact"/>
        <w:ind w:firstLine="480" w:firstLineChars="200"/>
      </w:pPr>
      <w:r>
        <w:t>27 《城镇燃气室内工程施工与质量验收规范》 CJJ94</w:t>
      </w:r>
    </w:p>
    <w:p>
      <w:pPr>
        <w:adjustRightInd w:val="0"/>
        <w:snapToGrid w:val="0"/>
        <w:spacing w:line="520" w:lineRule="exact"/>
        <w:ind w:firstLine="480" w:firstLineChars="200"/>
      </w:pPr>
      <w:r>
        <w:t>28 《城镇燃气输配工程施工及验收规范》 CJJ33</w:t>
      </w:r>
    </w:p>
    <w:p>
      <w:pPr>
        <w:adjustRightInd w:val="0"/>
        <w:snapToGrid w:val="0"/>
        <w:spacing w:line="520" w:lineRule="exact"/>
        <w:ind w:firstLine="480" w:firstLineChars="200"/>
      </w:pPr>
      <w:r>
        <w:t>29 《城镇燃气设施运行、维护和抢修安全技术规程》CJJ51</w:t>
      </w:r>
    </w:p>
    <w:p>
      <w:pPr>
        <w:adjustRightInd w:val="0"/>
        <w:snapToGrid w:val="0"/>
        <w:spacing w:line="520" w:lineRule="exact"/>
        <w:ind w:firstLine="480" w:firstLineChars="200"/>
      </w:pPr>
      <w:r>
        <w:t>30 《冷凝式燃气暖浴两用炉》CJ/T395</w:t>
      </w:r>
    </w:p>
    <w:p>
      <w:pPr>
        <w:adjustRightInd w:val="0"/>
        <w:snapToGrid w:val="0"/>
        <w:spacing w:line="520" w:lineRule="exact"/>
        <w:ind w:firstLine="480" w:firstLineChars="200"/>
      </w:pPr>
      <w:r>
        <w:t>31 《钢制</w:t>
      </w:r>
      <w:r>
        <w:rPr>
          <w:rFonts w:hint="eastAsia"/>
        </w:rPr>
        <w:t>管</w:t>
      </w:r>
      <w:r>
        <w:t>法兰、垫片、紧固件》HG/T20592～HG/T20635</w:t>
      </w:r>
    </w:p>
    <w:p>
      <w:pPr>
        <w:adjustRightInd w:val="0"/>
        <w:snapToGrid w:val="0"/>
        <w:spacing w:line="520" w:lineRule="exact"/>
        <w:ind w:firstLine="480" w:firstLineChars="200"/>
      </w:pPr>
      <w:r>
        <w:t>32 《无线远传膜式燃气表》CJ/T503</w:t>
      </w:r>
    </w:p>
    <w:p>
      <w:pPr>
        <w:adjustRightInd w:val="0"/>
        <w:snapToGrid w:val="0"/>
        <w:spacing w:line="520" w:lineRule="exact"/>
        <w:ind w:firstLine="480" w:firstLineChars="200"/>
      </w:pPr>
      <w:r>
        <w:t>33 《建筑用手动燃气阀门》CJ/T180</w:t>
      </w:r>
    </w:p>
    <w:p>
      <w:pPr>
        <w:adjustRightInd w:val="0"/>
        <w:snapToGrid w:val="0"/>
        <w:spacing w:line="520" w:lineRule="exact"/>
        <w:ind w:firstLine="480" w:firstLineChars="200"/>
      </w:pPr>
      <w:r>
        <w:t>34 《电磁式燃气紧急切断阀》CJ/T394</w:t>
      </w:r>
    </w:p>
    <w:p>
      <w:pPr>
        <w:adjustRightInd w:val="0"/>
        <w:snapToGrid w:val="0"/>
        <w:spacing w:line="520" w:lineRule="exact"/>
        <w:ind w:firstLine="480" w:firstLineChars="200"/>
      </w:pPr>
      <w:r>
        <w:t>35 《节水型生活用水器具》CJ/T164</w:t>
      </w:r>
    </w:p>
    <w:p>
      <w:pPr>
        <w:adjustRightInd w:val="0"/>
        <w:snapToGrid w:val="0"/>
        <w:spacing w:line="520" w:lineRule="exact"/>
        <w:ind w:firstLine="480" w:firstLineChars="200"/>
      </w:pPr>
      <w:r>
        <w:t>36 《电磁式燃气紧急切断阀》CJ/T 394</w:t>
      </w:r>
    </w:p>
    <w:p>
      <w:pPr>
        <w:adjustRightInd w:val="0"/>
        <w:snapToGrid w:val="0"/>
        <w:spacing w:line="520" w:lineRule="exact"/>
        <w:ind w:firstLine="480" w:firstLineChars="200"/>
      </w:pPr>
      <w:r>
        <w:t>37 《燃气采暖热水炉应用技术规程》 T/CECS 215</w:t>
      </w:r>
    </w:p>
    <w:p>
      <w:pPr>
        <w:spacing w:line="240" w:lineRule="auto"/>
        <w:jc w:val="left"/>
      </w:pPr>
    </w:p>
    <w:sectPr>
      <w:pgSz w:w="11906" w:h="16838"/>
      <w:pgMar w:top="1440" w:right="1800" w:bottom="1440" w:left="1800" w:header="851" w:footer="992" w:gutter="0"/>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0554841"/>
    </w:sdtPr>
    <w:sdtContent>
      <w:p>
        <w:pPr>
          <w:pStyle w:val="11"/>
          <w:jc w:val="center"/>
        </w:pPr>
        <w:r>
          <w:fldChar w:fldCharType="begin"/>
        </w:r>
        <w:r>
          <w:instrText xml:space="preserve">PAGE   \* MERGEFORMAT</w:instrText>
        </w:r>
        <w:r>
          <w:fldChar w:fldCharType="separate"/>
        </w:r>
        <w:r>
          <w:rPr>
            <w:lang w:val="zh-CN"/>
          </w:rPr>
          <w:t>9</w:t>
        </w:r>
        <w:r>
          <w:fldChar w:fldCharType="end"/>
        </w:r>
      </w:p>
    </w:sdtContent>
  </w:sdt>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4814219"/>
    </w:sdtPr>
    <w:sdtContent>
      <w:p>
        <w:pPr>
          <w:pStyle w:val="11"/>
          <w:jc w:val="center"/>
        </w:pPr>
        <w:r>
          <w:fldChar w:fldCharType="begin"/>
        </w:r>
        <w:r>
          <w:instrText xml:space="preserve">PAGE   \* MERGEFORMAT</w:instrText>
        </w:r>
        <w:r>
          <w:fldChar w:fldCharType="separate"/>
        </w:r>
        <w:r>
          <w:rPr>
            <w:lang w:val="zh-CN"/>
          </w:rPr>
          <w:t>30</w:t>
        </w:r>
        <w:r>
          <w:fldChar w:fldCharType="end"/>
        </w:r>
      </w:p>
    </w:sdtContent>
  </w:sdt>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F1447"/>
    <w:multiLevelType w:val="singleLevel"/>
    <w:tmpl w:val="0F3F1447"/>
    <w:lvl w:ilvl="0" w:tentative="0">
      <w:start w:val="1"/>
      <w:numFmt w:val="upperRoman"/>
      <w:suff w:val="nothing"/>
      <w:lvlText w:val="%1 "/>
      <w:lvlJc w:val="center"/>
      <w:pPr>
        <w:ind w:left="0" w:firstLine="0"/>
      </w:pPr>
      <w:rPr>
        <w:rFonts w:hint="default" w:ascii="Times New Roman" w:hAnsi="Times New Roman"/>
      </w:rPr>
    </w:lvl>
  </w:abstractNum>
  <w:abstractNum w:abstractNumId="1">
    <w:nsid w:val="1E8D3584"/>
    <w:multiLevelType w:val="multilevel"/>
    <w:tmpl w:val="1E8D3584"/>
    <w:lvl w:ilvl="0" w:tentative="0">
      <w:start w:val="1"/>
      <w:numFmt w:val="decimal"/>
      <w:pStyle w:val="43"/>
      <w:lvlText w:val="%1 "/>
      <w:lvlJc w:val="left"/>
      <w:pPr>
        <w:ind w:left="988" w:hanging="420"/>
      </w:pPr>
      <w:rPr>
        <w:rFonts w:hint="default" w:ascii="Times New Roman" w:hAnsi="Times New Roman"/>
        <w:b w:val="0"/>
        <w:i w:val="0"/>
        <w:sz w:val="24"/>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2B93632A"/>
    <w:multiLevelType w:val="singleLevel"/>
    <w:tmpl w:val="2B93632A"/>
    <w:lvl w:ilvl="0" w:tentative="0">
      <w:start w:val="1"/>
      <w:numFmt w:val="upperRoman"/>
      <w:suff w:val="nothing"/>
      <w:lvlText w:val="%1 "/>
      <w:lvlJc w:val="center"/>
      <w:pPr>
        <w:ind w:left="0" w:firstLine="0"/>
      </w:pPr>
      <w:rPr>
        <w:rFonts w:hint="default" w:ascii="Times New Roman" w:hAnsi="Times New Roman"/>
      </w:rPr>
    </w:lvl>
  </w:abstractNum>
  <w:abstractNum w:abstractNumId="3">
    <w:nsid w:val="440D78BF"/>
    <w:multiLevelType w:val="singleLevel"/>
    <w:tmpl w:val="440D78BF"/>
    <w:lvl w:ilvl="0" w:tentative="0">
      <w:start w:val="1"/>
      <w:numFmt w:val="upperRoman"/>
      <w:suff w:val="nothing"/>
      <w:lvlText w:val="%1 "/>
      <w:lvlJc w:val="center"/>
      <w:pPr>
        <w:ind w:left="0" w:firstLine="0"/>
      </w:pPr>
      <w:rPr>
        <w:rFonts w:hint="default" w:ascii="Times New Roman" w:hAnsi="Times New Roman"/>
      </w:rPr>
    </w:lvl>
  </w:abstractNum>
  <w:abstractNum w:abstractNumId="4">
    <w:nsid w:val="7ABE2984"/>
    <w:multiLevelType w:val="singleLevel"/>
    <w:tmpl w:val="7ABE2984"/>
    <w:lvl w:ilvl="0" w:tentative="0">
      <w:start w:val="1"/>
      <w:numFmt w:val="upperRoman"/>
      <w:suff w:val="nothing"/>
      <w:lvlText w:val="%1 "/>
      <w:lvlJc w:val="center"/>
      <w:pPr>
        <w:ind w:left="0" w:firstLine="0"/>
      </w:pPr>
      <w:rPr>
        <w:rFonts w:hint="default" w:ascii="Times New Roman" w:hAnsi="Times New Roman"/>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Y2JhNjdhOTU4NjkwM2Q5Y2QwMjJkODZkYWVmNjIifQ=="/>
  </w:docVars>
  <w:rsids>
    <w:rsidRoot w:val="005A056A"/>
    <w:rsid w:val="0000022F"/>
    <w:rsid w:val="000012EF"/>
    <w:rsid w:val="00002DCF"/>
    <w:rsid w:val="00003BF7"/>
    <w:rsid w:val="00004A44"/>
    <w:rsid w:val="00005E21"/>
    <w:rsid w:val="00010ED5"/>
    <w:rsid w:val="0001109B"/>
    <w:rsid w:val="00012FEE"/>
    <w:rsid w:val="00013444"/>
    <w:rsid w:val="00015F42"/>
    <w:rsid w:val="000165A3"/>
    <w:rsid w:val="00017EA4"/>
    <w:rsid w:val="00020096"/>
    <w:rsid w:val="0002050D"/>
    <w:rsid w:val="00021940"/>
    <w:rsid w:val="00021BFD"/>
    <w:rsid w:val="000229A8"/>
    <w:rsid w:val="00022DF7"/>
    <w:rsid w:val="00023F34"/>
    <w:rsid w:val="000244F6"/>
    <w:rsid w:val="00024BF7"/>
    <w:rsid w:val="00025508"/>
    <w:rsid w:val="00026985"/>
    <w:rsid w:val="00027C0B"/>
    <w:rsid w:val="000327BE"/>
    <w:rsid w:val="0003325D"/>
    <w:rsid w:val="00033DF0"/>
    <w:rsid w:val="0003517E"/>
    <w:rsid w:val="000362C7"/>
    <w:rsid w:val="000404FE"/>
    <w:rsid w:val="00040855"/>
    <w:rsid w:val="00040B9A"/>
    <w:rsid w:val="00040D74"/>
    <w:rsid w:val="00041FEF"/>
    <w:rsid w:val="000431E1"/>
    <w:rsid w:val="000434C4"/>
    <w:rsid w:val="00044204"/>
    <w:rsid w:val="000454A1"/>
    <w:rsid w:val="0004767C"/>
    <w:rsid w:val="00047F61"/>
    <w:rsid w:val="00051CF2"/>
    <w:rsid w:val="00062F61"/>
    <w:rsid w:val="00064CBF"/>
    <w:rsid w:val="000673AB"/>
    <w:rsid w:val="000700CF"/>
    <w:rsid w:val="0007570D"/>
    <w:rsid w:val="00076F1E"/>
    <w:rsid w:val="00077D99"/>
    <w:rsid w:val="0008198E"/>
    <w:rsid w:val="00081E48"/>
    <w:rsid w:val="0008257B"/>
    <w:rsid w:val="000857B4"/>
    <w:rsid w:val="00094CD8"/>
    <w:rsid w:val="000952FF"/>
    <w:rsid w:val="0009587D"/>
    <w:rsid w:val="00095E60"/>
    <w:rsid w:val="00097441"/>
    <w:rsid w:val="00097A55"/>
    <w:rsid w:val="00097F5F"/>
    <w:rsid w:val="000A2596"/>
    <w:rsid w:val="000A3213"/>
    <w:rsid w:val="000A3E94"/>
    <w:rsid w:val="000A5191"/>
    <w:rsid w:val="000A5BB5"/>
    <w:rsid w:val="000A5F3C"/>
    <w:rsid w:val="000A6A41"/>
    <w:rsid w:val="000A7704"/>
    <w:rsid w:val="000B379E"/>
    <w:rsid w:val="000B3B36"/>
    <w:rsid w:val="000B4681"/>
    <w:rsid w:val="000B6A8E"/>
    <w:rsid w:val="000B7045"/>
    <w:rsid w:val="000B7287"/>
    <w:rsid w:val="000B795D"/>
    <w:rsid w:val="000C0179"/>
    <w:rsid w:val="000C0A86"/>
    <w:rsid w:val="000C1909"/>
    <w:rsid w:val="000C23C1"/>
    <w:rsid w:val="000C2C89"/>
    <w:rsid w:val="000C473C"/>
    <w:rsid w:val="000C477E"/>
    <w:rsid w:val="000C6D7D"/>
    <w:rsid w:val="000D0F28"/>
    <w:rsid w:val="000D1833"/>
    <w:rsid w:val="000D5347"/>
    <w:rsid w:val="000D5747"/>
    <w:rsid w:val="000D6B5D"/>
    <w:rsid w:val="000D6EC2"/>
    <w:rsid w:val="000D7717"/>
    <w:rsid w:val="000D7720"/>
    <w:rsid w:val="000E0584"/>
    <w:rsid w:val="000E2342"/>
    <w:rsid w:val="000E25CB"/>
    <w:rsid w:val="000E2A7F"/>
    <w:rsid w:val="000E7C67"/>
    <w:rsid w:val="000F4C68"/>
    <w:rsid w:val="000F54D4"/>
    <w:rsid w:val="00101F96"/>
    <w:rsid w:val="0010223F"/>
    <w:rsid w:val="00104109"/>
    <w:rsid w:val="00105E4C"/>
    <w:rsid w:val="00107349"/>
    <w:rsid w:val="0010740A"/>
    <w:rsid w:val="00107499"/>
    <w:rsid w:val="00107873"/>
    <w:rsid w:val="001113A4"/>
    <w:rsid w:val="00112370"/>
    <w:rsid w:val="0011292C"/>
    <w:rsid w:val="00116A60"/>
    <w:rsid w:val="001179BC"/>
    <w:rsid w:val="0012106D"/>
    <w:rsid w:val="00121B41"/>
    <w:rsid w:val="00123647"/>
    <w:rsid w:val="00124698"/>
    <w:rsid w:val="00124B5A"/>
    <w:rsid w:val="00125203"/>
    <w:rsid w:val="00127F89"/>
    <w:rsid w:val="001305EB"/>
    <w:rsid w:val="00132D9B"/>
    <w:rsid w:val="001339B5"/>
    <w:rsid w:val="00134B68"/>
    <w:rsid w:val="00134C2A"/>
    <w:rsid w:val="00135CA0"/>
    <w:rsid w:val="00136918"/>
    <w:rsid w:val="0013737D"/>
    <w:rsid w:val="001406D1"/>
    <w:rsid w:val="00142C32"/>
    <w:rsid w:val="00142EC1"/>
    <w:rsid w:val="00145E01"/>
    <w:rsid w:val="00146F6D"/>
    <w:rsid w:val="001473E3"/>
    <w:rsid w:val="001508BB"/>
    <w:rsid w:val="001529D0"/>
    <w:rsid w:val="00154EB6"/>
    <w:rsid w:val="0015518E"/>
    <w:rsid w:val="001558BE"/>
    <w:rsid w:val="001560E8"/>
    <w:rsid w:val="00156421"/>
    <w:rsid w:val="0016026D"/>
    <w:rsid w:val="00160275"/>
    <w:rsid w:val="00160D26"/>
    <w:rsid w:val="00161ED6"/>
    <w:rsid w:val="00162CB7"/>
    <w:rsid w:val="00163A67"/>
    <w:rsid w:val="001642DB"/>
    <w:rsid w:val="00173430"/>
    <w:rsid w:val="00174551"/>
    <w:rsid w:val="001756A9"/>
    <w:rsid w:val="001759DA"/>
    <w:rsid w:val="00175C1C"/>
    <w:rsid w:val="001815F7"/>
    <w:rsid w:val="001816B9"/>
    <w:rsid w:val="00182E3F"/>
    <w:rsid w:val="0018351F"/>
    <w:rsid w:val="00185DEA"/>
    <w:rsid w:val="001861C6"/>
    <w:rsid w:val="00186FF4"/>
    <w:rsid w:val="00187B3D"/>
    <w:rsid w:val="001904EA"/>
    <w:rsid w:val="00190927"/>
    <w:rsid w:val="00192BA4"/>
    <w:rsid w:val="001937DB"/>
    <w:rsid w:val="001945F4"/>
    <w:rsid w:val="00194F6D"/>
    <w:rsid w:val="0019643A"/>
    <w:rsid w:val="001967C6"/>
    <w:rsid w:val="001979C5"/>
    <w:rsid w:val="001A12DA"/>
    <w:rsid w:val="001A1E13"/>
    <w:rsid w:val="001A3610"/>
    <w:rsid w:val="001A655A"/>
    <w:rsid w:val="001A7902"/>
    <w:rsid w:val="001B09EB"/>
    <w:rsid w:val="001B2070"/>
    <w:rsid w:val="001B572F"/>
    <w:rsid w:val="001B63C7"/>
    <w:rsid w:val="001B66B8"/>
    <w:rsid w:val="001C065E"/>
    <w:rsid w:val="001C3F84"/>
    <w:rsid w:val="001C4505"/>
    <w:rsid w:val="001C5BC6"/>
    <w:rsid w:val="001C5CDA"/>
    <w:rsid w:val="001C6406"/>
    <w:rsid w:val="001C6850"/>
    <w:rsid w:val="001C6968"/>
    <w:rsid w:val="001C768A"/>
    <w:rsid w:val="001C78C4"/>
    <w:rsid w:val="001D0298"/>
    <w:rsid w:val="001D05B8"/>
    <w:rsid w:val="001D0E12"/>
    <w:rsid w:val="001D199A"/>
    <w:rsid w:val="001D4E88"/>
    <w:rsid w:val="001E057A"/>
    <w:rsid w:val="001E3FEC"/>
    <w:rsid w:val="001E446C"/>
    <w:rsid w:val="001E564B"/>
    <w:rsid w:val="001E6E95"/>
    <w:rsid w:val="001E76CE"/>
    <w:rsid w:val="001E7837"/>
    <w:rsid w:val="001F0708"/>
    <w:rsid w:val="001F2E12"/>
    <w:rsid w:val="001F3703"/>
    <w:rsid w:val="001F48A2"/>
    <w:rsid w:val="0020586D"/>
    <w:rsid w:val="00210F60"/>
    <w:rsid w:val="00211B76"/>
    <w:rsid w:val="0021609E"/>
    <w:rsid w:val="002161F6"/>
    <w:rsid w:val="00217D35"/>
    <w:rsid w:val="00220860"/>
    <w:rsid w:val="00221D77"/>
    <w:rsid w:val="00223B34"/>
    <w:rsid w:val="002274E8"/>
    <w:rsid w:val="0022779F"/>
    <w:rsid w:val="00230E2C"/>
    <w:rsid w:val="00232642"/>
    <w:rsid w:val="0023293B"/>
    <w:rsid w:val="002354CB"/>
    <w:rsid w:val="00235B54"/>
    <w:rsid w:val="00235DA0"/>
    <w:rsid w:val="00236D08"/>
    <w:rsid w:val="00237068"/>
    <w:rsid w:val="00240CBC"/>
    <w:rsid w:val="00241B3C"/>
    <w:rsid w:val="00242710"/>
    <w:rsid w:val="0024307D"/>
    <w:rsid w:val="00244255"/>
    <w:rsid w:val="00244E14"/>
    <w:rsid w:val="00246469"/>
    <w:rsid w:val="0024755C"/>
    <w:rsid w:val="002509B3"/>
    <w:rsid w:val="00253E00"/>
    <w:rsid w:val="002551A7"/>
    <w:rsid w:val="00256048"/>
    <w:rsid w:val="00261456"/>
    <w:rsid w:val="0026280D"/>
    <w:rsid w:val="00266453"/>
    <w:rsid w:val="00270167"/>
    <w:rsid w:val="002718F6"/>
    <w:rsid w:val="00271CAB"/>
    <w:rsid w:val="00272519"/>
    <w:rsid w:val="00274288"/>
    <w:rsid w:val="00276B62"/>
    <w:rsid w:val="00277079"/>
    <w:rsid w:val="00280897"/>
    <w:rsid w:val="00280B96"/>
    <w:rsid w:val="0028118E"/>
    <w:rsid w:val="00281B83"/>
    <w:rsid w:val="00281EED"/>
    <w:rsid w:val="00282FFD"/>
    <w:rsid w:val="002858AB"/>
    <w:rsid w:val="00291E35"/>
    <w:rsid w:val="00292A38"/>
    <w:rsid w:val="00294407"/>
    <w:rsid w:val="00294F52"/>
    <w:rsid w:val="002A04BC"/>
    <w:rsid w:val="002A2842"/>
    <w:rsid w:val="002A6B9E"/>
    <w:rsid w:val="002B05EB"/>
    <w:rsid w:val="002B41A1"/>
    <w:rsid w:val="002B5C89"/>
    <w:rsid w:val="002B6101"/>
    <w:rsid w:val="002B6740"/>
    <w:rsid w:val="002B6F3A"/>
    <w:rsid w:val="002C1676"/>
    <w:rsid w:val="002C36B9"/>
    <w:rsid w:val="002C4F05"/>
    <w:rsid w:val="002C50C8"/>
    <w:rsid w:val="002C5E9C"/>
    <w:rsid w:val="002D33FB"/>
    <w:rsid w:val="002D41E7"/>
    <w:rsid w:val="002D5304"/>
    <w:rsid w:val="002E059E"/>
    <w:rsid w:val="002E0601"/>
    <w:rsid w:val="002E177B"/>
    <w:rsid w:val="002E1B21"/>
    <w:rsid w:val="002E1F19"/>
    <w:rsid w:val="002E2FA2"/>
    <w:rsid w:val="002E300A"/>
    <w:rsid w:val="002E448E"/>
    <w:rsid w:val="002E452A"/>
    <w:rsid w:val="002E51C0"/>
    <w:rsid w:val="002E6274"/>
    <w:rsid w:val="002E6A06"/>
    <w:rsid w:val="002F0820"/>
    <w:rsid w:val="002F0962"/>
    <w:rsid w:val="002F0B17"/>
    <w:rsid w:val="002F304E"/>
    <w:rsid w:val="002F4EE0"/>
    <w:rsid w:val="002F532E"/>
    <w:rsid w:val="003000E6"/>
    <w:rsid w:val="003017CC"/>
    <w:rsid w:val="0030225E"/>
    <w:rsid w:val="00304E30"/>
    <w:rsid w:val="0030527E"/>
    <w:rsid w:val="00306A90"/>
    <w:rsid w:val="00311FF6"/>
    <w:rsid w:val="00312C23"/>
    <w:rsid w:val="00314213"/>
    <w:rsid w:val="0031619E"/>
    <w:rsid w:val="00321EBF"/>
    <w:rsid w:val="0032240F"/>
    <w:rsid w:val="003229BC"/>
    <w:rsid w:val="0032352C"/>
    <w:rsid w:val="00323AA1"/>
    <w:rsid w:val="00324330"/>
    <w:rsid w:val="00326EA7"/>
    <w:rsid w:val="0032788A"/>
    <w:rsid w:val="00332E58"/>
    <w:rsid w:val="003337C3"/>
    <w:rsid w:val="0033406A"/>
    <w:rsid w:val="0033443D"/>
    <w:rsid w:val="003350FB"/>
    <w:rsid w:val="00335C27"/>
    <w:rsid w:val="0033670B"/>
    <w:rsid w:val="0033735C"/>
    <w:rsid w:val="0033747C"/>
    <w:rsid w:val="00337515"/>
    <w:rsid w:val="003377A5"/>
    <w:rsid w:val="00337EE2"/>
    <w:rsid w:val="00340DEE"/>
    <w:rsid w:val="00340E9A"/>
    <w:rsid w:val="00342107"/>
    <w:rsid w:val="00342837"/>
    <w:rsid w:val="00342F06"/>
    <w:rsid w:val="00344827"/>
    <w:rsid w:val="003448AC"/>
    <w:rsid w:val="00345A33"/>
    <w:rsid w:val="00345B12"/>
    <w:rsid w:val="003475C9"/>
    <w:rsid w:val="0035042C"/>
    <w:rsid w:val="00350A89"/>
    <w:rsid w:val="003517D7"/>
    <w:rsid w:val="00353884"/>
    <w:rsid w:val="003562B6"/>
    <w:rsid w:val="00356878"/>
    <w:rsid w:val="00357BEF"/>
    <w:rsid w:val="00357E6F"/>
    <w:rsid w:val="00360B9A"/>
    <w:rsid w:val="0036135F"/>
    <w:rsid w:val="00362349"/>
    <w:rsid w:val="00363C52"/>
    <w:rsid w:val="00366395"/>
    <w:rsid w:val="0036648C"/>
    <w:rsid w:val="00366940"/>
    <w:rsid w:val="00370E3A"/>
    <w:rsid w:val="003714E7"/>
    <w:rsid w:val="00372D49"/>
    <w:rsid w:val="0037666A"/>
    <w:rsid w:val="00376EA3"/>
    <w:rsid w:val="003826E9"/>
    <w:rsid w:val="00383957"/>
    <w:rsid w:val="00383FFE"/>
    <w:rsid w:val="003842A9"/>
    <w:rsid w:val="00384D8C"/>
    <w:rsid w:val="003853CB"/>
    <w:rsid w:val="003856DC"/>
    <w:rsid w:val="0038657A"/>
    <w:rsid w:val="0038799A"/>
    <w:rsid w:val="0039023B"/>
    <w:rsid w:val="003902C5"/>
    <w:rsid w:val="00391198"/>
    <w:rsid w:val="00391FDD"/>
    <w:rsid w:val="00392FE6"/>
    <w:rsid w:val="00393C76"/>
    <w:rsid w:val="0039443C"/>
    <w:rsid w:val="00397110"/>
    <w:rsid w:val="003A3090"/>
    <w:rsid w:val="003A3344"/>
    <w:rsid w:val="003A367E"/>
    <w:rsid w:val="003A38AF"/>
    <w:rsid w:val="003A4035"/>
    <w:rsid w:val="003B0087"/>
    <w:rsid w:val="003B04B8"/>
    <w:rsid w:val="003B1598"/>
    <w:rsid w:val="003B33F7"/>
    <w:rsid w:val="003B4056"/>
    <w:rsid w:val="003B4EB2"/>
    <w:rsid w:val="003B6F4A"/>
    <w:rsid w:val="003B7C82"/>
    <w:rsid w:val="003B7F91"/>
    <w:rsid w:val="003C06FD"/>
    <w:rsid w:val="003C415D"/>
    <w:rsid w:val="003C4799"/>
    <w:rsid w:val="003C567D"/>
    <w:rsid w:val="003C7071"/>
    <w:rsid w:val="003C764D"/>
    <w:rsid w:val="003D1F00"/>
    <w:rsid w:val="003D32DB"/>
    <w:rsid w:val="003D3D71"/>
    <w:rsid w:val="003D3EDA"/>
    <w:rsid w:val="003D451F"/>
    <w:rsid w:val="003D73C2"/>
    <w:rsid w:val="003D75E1"/>
    <w:rsid w:val="003E3410"/>
    <w:rsid w:val="003E37A9"/>
    <w:rsid w:val="003E5D08"/>
    <w:rsid w:val="003E5E72"/>
    <w:rsid w:val="003E64D2"/>
    <w:rsid w:val="003E755B"/>
    <w:rsid w:val="003E7F84"/>
    <w:rsid w:val="003F1F77"/>
    <w:rsid w:val="003F2F3C"/>
    <w:rsid w:val="003F30CB"/>
    <w:rsid w:val="003F44F6"/>
    <w:rsid w:val="003F598B"/>
    <w:rsid w:val="003F7C1C"/>
    <w:rsid w:val="003F7F5A"/>
    <w:rsid w:val="00403444"/>
    <w:rsid w:val="0040370A"/>
    <w:rsid w:val="00404776"/>
    <w:rsid w:val="00406BF4"/>
    <w:rsid w:val="00407B71"/>
    <w:rsid w:val="00412815"/>
    <w:rsid w:val="00413765"/>
    <w:rsid w:val="00413F77"/>
    <w:rsid w:val="004158DF"/>
    <w:rsid w:val="00416CF9"/>
    <w:rsid w:val="00417891"/>
    <w:rsid w:val="004179F5"/>
    <w:rsid w:val="00422136"/>
    <w:rsid w:val="0042479F"/>
    <w:rsid w:val="00425EA6"/>
    <w:rsid w:val="004260B0"/>
    <w:rsid w:val="00427432"/>
    <w:rsid w:val="004310B3"/>
    <w:rsid w:val="004323DE"/>
    <w:rsid w:val="00432624"/>
    <w:rsid w:val="004334E9"/>
    <w:rsid w:val="00434522"/>
    <w:rsid w:val="00434B65"/>
    <w:rsid w:val="00440A4C"/>
    <w:rsid w:val="00440C2B"/>
    <w:rsid w:val="00441014"/>
    <w:rsid w:val="0044136B"/>
    <w:rsid w:val="00442478"/>
    <w:rsid w:val="004426B6"/>
    <w:rsid w:val="00443C94"/>
    <w:rsid w:val="00443D99"/>
    <w:rsid w:val="00446302"/>
    <w:rsid w:val="004467BF"/>
    <w:rsid w:val="00446964"/>
    <w:rsid w:val="0044734E"/>
    <w:rsid w:val="004476D2"/>
    <w:rsid w:val="004501D4"/>
    <w:rsid w:val="00450845"/>
    <w:rsid w:val="00450C95"/>
    <w:rsid w:val="00451968"/>
    <w:rsid w:val="00451D81"/>
    <w:rsid w:val="004525E1"/>
    <w:rsid w:val="00453286"/>
    <w:rsid w:val="00454F38"/>
    <w:rsid w:val="00454F40"/>
    <w:rsid w:val="0045653C"/>
    <w:rsid w:val="00461A6B"/>
    <w:rsid w:val="004642FA"/>
    <w:rsid w:val="004649C5"/>
    <w:rsid w:val="00467DFC"/>
    <w:rsid w:val="004701B6"/>
    <w:rsid w:val="00470C70"/>
    <w:rsid w:val="004723E1"/>
    <w:rsid w:val="00472D77"/>
    <w:rsid w:val="00472F45"/>
    <w:rsid w:val="004739B3"/>
    <w:rsid w:val="004770AA"/>
    <w:rsid w:val="00480A90"/>
    <w:rsid w:val="00481787"/>
    <w:rsid w:val="00481D84"/>
    <w:rsid w:val="004827E0"/>
    <w:rsid w:val="004849F2"/>
    <w:rsid w:val="00484E30"/>
    <w:rsid w:val="004873A0"/>
    <w:rsid w:val="00487509"/>
    <w:rsid w:val="00490389"/>
    <w:rsid w:val="0049079D"/>
    <w:rsid w:val="0049118F"/>
    <w:rsid w:val="00492A56"/>
    <w:rsid w:val="004954B4"/>
    <w:rsid w:val="004A0DF7"/>
    <w:rsid w:val="004A34C9"/>
    <w:rsid w:val="004A71A2"/>
    <w:rsid w:val="004A733B"/>
    <w:rsid w:val="004A7FB8"/>
    <w:rsid w:val="004B2C3C"/>
    <w:rsid w:val="004B2CD8"/>
    <w:rsid w:val="004B2EB7"/>
    <w:rsid w:val="004B5444"/>
    <w:rsid w:val="004B5BAF"/>
    <w:rsid w:val="004C2B16"/>
    <w:rsid w:val="004C346C"/>
    <w:rsid w:val="004C4A6D"/>
    <w:rsid w:val="004C4E09"/>
    <w:rsid w:val="004D2F56"/>
    <w:rsid w:val="004D3B8A"/>
    <w:rsid w:val="004D4BF5"/>
    <w:rsid w:val="004D5397"/>
    <w:rsid w:val="004D72CE"/>
    <w:rsid w:val="004E0CB6"/>
    <w:rsid w:val="004E1263"/>
    <w:rsid w:val="004E28D3"/>
    <w:rsid w:val="004E37AA"/>
    <w:rsid w:val="004E3CDD"/>
    <w:rsid w:val="004E3F1D"/>
    <w:rsid w:val="004E429C"/>
    <w:rsid w:val="004E4F4C"/>
    <w:rsid w:val="004E5398"/>
    <w:rsid w:val="004E5571"/>
    <w:rsid w:val="004E5F8B"/>
    <w:rsid w:val="004E6C98"/>
    <w:rsid w:val="004F1D56"/>
    <w:rsid w:val="004F1F2C"/>
    <w:rsid w:val="004F1F2D"/>
    <w:rsid w:val="004F4F89"/>
    <w:rsid w:val="004F6999"/>
    <w:rsid w:val="00501111"/>
    <w:rsid w:val="00501131"/>
    <w:rsid w:val="0050151C"/>
    <w:rsid w:val="00501D0D"/>
    <w:rsid w:val="005032B2"/>
    <w:rsid w:val="005055A0"/>
    <w:rsid w:val="00510A66"/>
    <w:rsid w:val="00512604"/>
    <w:rsid w:val="00512657"/>
    <w:rsid w:val="005130CB"/>
    <w:rsid w:val="00513658"/>
    <w:rsid w:val="005157BF"/>
    <w:rsid w:val="00516F7A"/>
    <w:rsid w:val="00520602"/>
    <w:rsid w:val="005207C0"/>
    <w:rsid w:val="00520FD2"/>
    <w:rsid w:val="00522169"/>
    <w:rsid w:val="005229EF"/>
    <w:rsid w:val="00523891"/>
    <w:rsid w:val="00525796"/>
    <w:rsid w:val="00530299"/>
    <w:rsid w:val="0053164D"/>
    <w:rsid w:val="00531F02"/>
    <w:rsid w:val="0053551A"/>
    <w:rsid w:val="005377F8"/>
    <w:rsid w:val="005409B1"/>
    <w:rsid w:val="00542019"/>
    <w:rsid w:val="00542DC2"/>
    <w:rsid w:val="0054313A"/>
    <w:rsid w:val="00543ADF"/>
    <w:rsid w:val="00543F00"/>
    <w:rsid w:val="00544701"/>
    <w:rsid w:val="00544CF0"/>
    <w:rsid w:val="005450B1"/>
    <w:rsid w:val="00546053"/>
    <w:rsid w:val="005470F2"/>
    <w:rsid w:val="00551B53"/>
    <w:rsid w:val="0055404F"/>
    <w:rsid w:val="00555326"/>
    <w:rsid w:val="005564F9"/>
    <w:rsid w:val="00557CFF"/>
    <w:rsid w:val="0056276B"/>
    <w:rsid w:val="00562DC3"/>
    <w:rsid w:val="00562E5A"/>
    <w:rsid w:val="00565339"/>
    <w:rsid w:val="005655C9"/>
    <w:rsid w:val="00567579"/>
    <w:rsid w:val="005724BF"/>
    <w:rsid w:val="0057254F"/>
    <w:rsid w:val="00577F56"/>
    <w:rsid w:val="00581B0B"/>
    <w:rsid w:val="00582449"/>
    <w:rsid w:val="0058347C"/>
    <w:rsid w:val="00583AE4"/>
    <w:rsid w:val="00584515"/>
    <w:rsid w:val="00584D0C"/>
    <w:rsid w:val="0058611C"/>
    <w:rsid w:val="00587059"/>
    <w:rsid w:val="005902A7"/>
    <w:rsid w:val="00592ED0"/>
    <w:rsid w:val="005945A2"/>
    <w:rsid w:val="00594E8C"/>
    <w:rsid w:val="005952AA"/>
    <w:rsid w:val="005955A5"/>
    <w:rsid w:val="00597BD1"/>
    <w:rsid w:val="005A056A"/>
    <w:rsid w:val="005A0A77"/>
    <w:rsid w:val="005A28AF"/>
    <w:rsid w:val="005A29F0"/>
    <w:rsid w:val="005A3580"/>
    <w:rsid w:val="005A67B3"/>
    <w:rsid w:val="005A73BF"/>
    <w:rsid w:val="005A7457"/>
    <w:rsid w:val="005B16C1"/>
    <w:rsid w:val="005B1BE3"/>
    <w:rsid w:val="005B26EB"/>
    <w:rsid w:val="005B2D7A"/>
    <w:rsid w:val="005B325A"/>
    <w:rsid w:val="005B3C19"/>
    <w:rsid w:val="005B3E94"/>
    <w:rsid w:val="005B5237"/>
    <w:rsid w:val="005B5993"/>
    <w:rsid w:val="005B6768"/>
    <w:rsid w:val="005C1386"/>
    <w:rsid w:val="005C2B79"/>
    <w:rsid w:val="005C2C51"/>
    <w:rsid w:val="005C36BF"/>
    <w:rsid w:val="005C3876"/>
    <w:rsid w:val="005C3A3A"/>
    <w:rsid w:val="005C3BA1"/>
    <w:rsid w:val="005C4882"/>
    <w:rsid w:val="005C710B"/>
    <w:rsid w:val="005C72EB"/>
    <w:rsid w:val="005D0759"/>
    <w:rsid w:val="005D0CAE"/>
    <w:rsid w:val="005D1FD2"/>
    <w:rsid w:val="005D203D"/>
    <w:rsid w:val="005D27AB"/>
    <w:rsid w:val="005D3300"/>
    <w:rsid w:val="005D3F1C"/>
    <w:rsid w:val="005D5EE9"/>
    <w:rsid w:val="005D734A"/>
    <w:rsid w:val="005D7942"/>
    <w:rsid w:val="005E0194"/>
    <w:rsid w:val="005E0484"/>
    <w:rsid w:val="005E06D5"/>
    <w:rsid w:val="005E37E0"/>
    <w:rsid w:val="005E4097"/>
    <w:rsid w:val="005E51A6"/>
    <w:rsid w:val="005E52DC"/>
    <w:rsid w:val="005E542C"/>
    <w:rsid w:val="005E5C45"/>
    <w:rsid w:val="005E6DC2"/>
    <w:rsid w:val="005E700F"/>
    <w:rsid w:val="005F6380"/>
    <w:rsid w:val="005F640C"/>
    <w:rsid w:val="005F6694"/>
    <w:rsid w:val="005F7125"/>
    <w:rsid w:val="0060129D"/>
    <w:rsid w:val="00601815"/>
    <w:rsid w:val="00603289"/>
    <w:rsid w:val="00606E35"/>
    <w:rsid w:val="00607730"/>
    <w:rsid w:val="00607C7F"/>
    <w:rsid w:val="006103B3"/>
    <w:rsid w:val="00610B53"/>
    <w:rsid w:val="00616631"/>
    <w:rsid w:val="00617AD1"/>
    <w:rsid w:val="006215F0"/>
    <w:rsid w:val="0062333F"/>
    <w:rsid w:val="0062384A"/>
    <w:rsid w:val="00626E76"/>
    <w:rsid w:val="006270AC"/>
    <w:rsid w:val="00632FC7"/>
    <w:rsid w:val="0063482E"/>
    <w:rsid w:val="00635EA2"/>
    <w:rsid w:val="00635FBE"/>
    <w:rsid w:val="006378C9"/>
    <w:rsid w:val="00642CF9"/>
    <w:rsid w:val="00642EC5"/>
    <w:rsid w:val="006432C8"/>
    <w:rsid w:val="00644B64"/>
    <w:rsid w:val="006451ED"/>
    <w:rsid w:val="006464E1"/>
    <w:rsid w:val="006473E4"/>
    <w:rsid w:val="00647B54"/>
    <w:rsid w:val="0065154E"/>
    <w:rsid w:val="0065196F"/>
    <w:rsid w:val="0065280D"/>
    <w:rsid w:val="0065361B"/>
    <w:rsid w:val="00653F11"/>
    <w:rsid w:val="00655650"/>
    <w:rsid w:val="00655C87"/>
    <w:rsid w:val="00655E31"/>
    <w:rsid w:val="00655F2A"/>
    <w:rsid w:val="00656A25"/>
    <w:rsid w:val="00656E53"/>
    <w:rsid w:val="006576F6"/>
    <w:rsid w:val="00660FCE"/>
    <w:rsid w:val="0066190A"/>
    <w:rsid w:val="00662BF1"/>
    <w:rsid w:val="006630DD"/>
    <w:rsid w:val="00664417"/>
    <w:rsid w:val="00666089"/>
    <w:rsid w:val="006676FF"/>
    <w:rsid w:val="00671AD9"/>
    <w:rsid w:val="00673A2E"/>
    <w:rsid w:val="00675824"/>
    <w:rsid w:val="00675A81"/>
    <w:rsid w:val="0067681D"/>
    <w:rsid w:val="0068135B"/>
    <w:rsid w:val="00681C82"/>
    <w:rsid w:val="00682D0E"/>
    <w:rsid w:val="006834B3"/>
    <w:rsid w:val="00683C68"/>
    <w:rsid w:val="00683FE0"/>
    <w:rsid w:val="006849C5"/>
    <w:rsid w:val="006852B3"/>
    <w:rsid w:val="00686104"/>
    <w:rsid w:val="006869AB"/>
    <w:rsid w:val="00691344"/>
    <w:rsid w:val="00691359"/>
    <w:rsid w:val="00692631"/>
    <w:rsid w:val="00694A85"/>
    <w:rsid w:val="00696202"/>
    <w:rsid w:val="00696CCF"/>
    <w:rsid w:val="0069758F"/>
    <w:rsid w:val="006A14F5"/>
    <w:rsid w:val="006A26F4"/>
    <w:rsid w:val="006A2780"/>
    <w:rsid w:val="006A2B99"/>
    <w:rsid w:val="006A2FAB"/>
    <w:rsid w:val="006A4612"/>
    <w:rsid w:val="006A6F0F"/>
    <w:rsid w:val="006B066B"/>
    <w:rsid w:val="006B0A9A"/>
    <w:rsid w:val="006B1ADB"/>
    <w:rsid w:val="006B37A9"/>
    <w:rsid w:val="006B74D2"/>
    <w:rsid w:val="006B7CEB"/>
    <w:rsid w:val="006B7DD6"/>
    <w:rsid w:val="006C2011"/>
    <w:rsid w:val="006C2395"/>
    <w:rsid w:val="006C37F3"/>
    <w:rsid w:val="006C4097"/>
    <w:rsid w:val="006C6D5A"/>
    <w:rsid w:val="006C7AF6"/>
    <w:rsid w:val="006C7D26"/>
    <w:rsid w:val="006D14E8"/>
    <w:rsid w:val="006D793A"/>
    <w:rsid w:val="006E0A38"/>
    <w:rsid w:val="006E0AAA"/>
    <w:rsid w:val="006E2191"/>
    <w:rsid w:val="006E245B"/>
    <w:rsid w:val="006E6B85"/>
    <w:rsid w:val="006F2025"/>
    <w:rsid w:val="006F50FE"/>
    <w:rsid w:val="006F58D7"/>
    <w:rsid w:val="006F7A6A"/>
    <w:rsid w:val="006F7D5D"/>
    <w:rsid w:val="007003AD"/>
    <w:rsid w:val="00700E7D"/>
    <w:rsid w:val="007019F7"/>
    <w:rsid w:val="007036C9"/>
    <w:rsid w:val="0070685F"/>
    <w:rsid w:val="007074BC"/>
    <w:rsid w:val="007117D9"/>
    <w:rsid w:val="00713259"/>
    <w:rsid w:val="00713B3B"/>
    <w:rsid w:val="00713DC5"/>
    <w:rsid w:val="00714895"/>
    <w:rsid w:val="00715ECB"/>
    <w:rsid w:val="007160FF"/>
    <w:rsid w:val="00716B7B"/>
    <w:rsid w:val="0072082F"/>
    <w:rsid w:val="0072525A"/>
    <w:rsid w:val="00726C1A"/>
    <w:rsid w:val="0072705F"/>
    <w:rsid w:val="00727EEE"/>
    <w:rsid w:val="00732FAF"/>
    <w:rsid w:val="007335D4"/>
    <w:rsid w:val="007361E2"/>
    <w:rsid w:val="007413E9"/>
    <w:rsid w:val="007427B2"/>
    <w:rsid w:val="00742B58"/>
    <w:rsid w:val="0074629E"/>
    <w:rsid w:val="00746B81"/>
    <w:rsid w:val="00746EC5"/>
    <w:rsid w:val="007510BB"/>
    <w:rsid w:val="007529D1"/>
    <w:rsid w:val="00752AEA"/>
    <w:rsid w:val="00752CF4"/>
    <w:rsid w:val="007538D2"/>
    <w:rsid w:val="00753C28"/>
    <w:rsid w:val="007544D5"/>
    <w:rsid w:val="007549EB"/>
    <w:rsid w:val="007567FB"/>
    <w:rsid w:val="00757F76"/>
    <w:rsid w:val="0076032B"/>
    <w:rsid w:val="00760BF7"/>
    <w:rsid w:val="00761235"/>
    <w:rsid w:val="007615AC"/>
    <w:rsid w:val="00761C3C"/>
    <w:rsid w:val="00761FF3"/>
    <w:rsid w:val="00762572"/>
    <w:rsid w:val="00762F70"/>
    <w:rsid w:val="00764C7E"/>
    <w:rsid w:val="0076664C"/>
    <w:rsid w:val="00766DB4"/>
    <w:rsid w:val="0077034C"/>
    <w:rsid w:val="00770E6E"/>
    <w:rsid w:val="00771A96"/>
    <w:rsid w:val="0077203A"/>
    <w:rsid w:val="00772A2B"/>
    <w:rsid w:val="007736D6"/>
    <w:rsid w:val="00773E33"/>
    <w:rsid w:val="00773E75"/>
    <w:rsid w:val="00775942"/>
    <w:rsid w:val="00776620"/>
    <w:rsid w:val="0077736F"/>
    <w:rsid w:val="0078044C"/>
    <w:rsid w:val="00780C2F"/>
    <w:rsid w:val="0078590C"/>
    <w:rsid w:val="007859C5"/>
    <w:rsid w:val="007865B9"/>
    <w:rsid w:val="007870EA"/>
    <w:rsid w:val="00787744"/>
    <w:rsid w:val="007877BB"/>
    <w:rsid w:val="007904C6"/>
    <w:rsid w:val="00791261"/>
    <w:rsid w:val="007917C0"/>
    <w:rsid w:val="00792EA9"/>
    <w:rsid w:val="0079354D"/>
    <w:rsid w:val="00793EAC"/>
    <w:rsid w:val="00795393"/>
    <w:rsid w:val="007962F6"/>
    <w:rsid w:val="0079782C"/>
    <w:rsid w:val="007A294D"/>
    <w:rsid w:val="007A2F67"/>
    <w:rsid w:val="007A3840"/>
    <w:rsid w:val="007A6A79"/>
    <w:rsid w:val="007A7F34"/>
    <w:rsid w:val="007B085D"/>
    <w:rsid w:val="007B0983"/>
    <w:rsid w:val="007B21FF"/>
    <w:rsid w:val="007B3065"/>
    <w:rsid w:val="007B3476"/>
    <w:rsid w:val="007B69BE"/>
    <w:rsid w:val="007B6DD8"/>
    <w:rsid w:val="007C1830"/>
    <w:rsid w:val="007C2181"/>
    <w:rsid w:val="007C31B7"/>
    <w:rsid w:val="007C4750"/>
    <w:rsid w:val="007C4C8E"/>
    <w:rsid w:val="007C54D4"/>
    <w:rsid w:val="007C59A5"/>
    <w:rsid w:val="007C63DB"/>
    <w:rsid w:val="007C728C"/>
    <w:rsid w:val="007C7966"/>
    <w:rsid w:val="007D3AA0"/>
    <w:rsid w:val="007D3EC1"/>
    <w:rsid w:val="007D43A5"/>
    <w:rsid w:val="007D59F9"/>
    <w:rsid w:val="007D650A"/>
    <w:rsid w:val="007D66A8"/>
    <w:rsid w:val="007D6A5C"/>
    <w:rsid w:val="007E24A5"/>
    <w:rsid w:val="007E33F4"/>
    <w:rsid w:val="007E343C"/>
    <w:rsid w:val="007E41B9"/>
    <w:rsid w:val="007E5052"/>
    <w:rsid w:val="007E5DD4"/>
    <w:rsid w:val="007E5ECE"/>
    <w:rsid w:val="007E5F3C"/>
    <w:rsid w:val="007E7C5B"/>
    <w:rsid w:val="007F15D9"/>
    <w:rsid w:val="007F1891"/>
    <w:rsid w:val="007F1A81"/>
    <w:rsid w:val="007F1FD4"/>
    <w:rsid w:val="007F3088"/>
    <w:rsid w:val="007F367C"/>
    <w:rsid w:val="007F3B5C"/>
    <w:rsid w:val="007F6B43"/>
    <w:rsid w:val="007F701D"/>
    <w:rsid w:val="007F7330"/>
    <w:rsid w:val="007F73A8"/>
    <w:rsid w:val="008003DD"/>
    <w:rsid w:val="008008C9"/>
    <w:rsid w:val="00800B73"/>
    <w:rsid w:val="00800CCF"/>
    <w:rsid w:val="008012F7"/>
    <w:rsid w:val="00802BCE"/>
    <w:rsid w:val="00803258"/>
    <w:rsid w:val="00803714"/>
    <w:rsid w:val="00805342"/>
    <w:rsid w:val="00805E6E"/>
    <w:rsid w:val="0080713D"/>
    <w:rsid w:val="0081038F"/>
    <w:rsid w:val="00811124"/>
    <w:rsid w:val="0081194F"/>
    <w:rsid w:val="00812C39"/>
    <w:rsid w:val="00813D33"/>
    <w:rsid w:val="00814DB3"/>
    <w:rsid w:val="008159FD"/>
    <w:rsid w:val="008173B0"/>
    <w:rsid w:val="00817640"/>
    <w:rsid w:val="00817CEB"/>
    <w:rsid w:val="00817E69"/>
    <w:rsid w:val="008200F2"/>
    <w:rsid w:val="00820238"/>
    <w:rsid w:val="0082336D"/>
    <w:rsid w:val="00824D7B"/>
    <w:rsid w:val="008257D9"/>
    <w:rsid w:val="008259B0"/>
    <w:rsid w:val="00826580"/>
    <w:rsid w:val="008267E8"/>
    <w:rsid w:val="0083348D"/>
    <w:rsid w:val="00834EEF"/>
    <w:rsid w:val="00840DA1"/>
    <w:rsid w:val="0084248C"/>
    <w:rsid w:val="00842A92"/>
    <w:rsid w:val="00844C4E"/>
    <w:rsid w:val="00844C71"/>
    <w:rsid w:val="0084524A"/>
    <w:rsid w:val="008472C7"/>
    <w:rsid w:val="00850690"/>
    <w:rsid w:val="008509DD"/>
    <w:rsid w:val="008529A1"/>
    <w:rsid w:val="00852E39"/>
    <w:rsid w:val="008538A5"/>
    <w:rsid w:val="00854A2F"/>
    <w:rsid w:val="008554D4"/>
    <w:rsid w:val="008556AC"/>
    <w:rsid w:val="00856071"/>
    <w:rsid w:val="008563C6"/>
    <w:rsid w:val="00857901"/>
    <w:rsid w:val="00857AEC"/>
    <w:rsid w:val="00857C51"/>
    <w:rsid w:val="00860535"/>
    <w:rsid w:val="00860CAF"/>
    <w:rsid w:val="008624EE"/>
    <w:rsid w:val="00862FC7"/>
    <w:rsid w:val="0086320D"/>
    <w:rsid w:val="008647B1"/>
    <w:rsid w:val="008674E4"/>
    <w:rsid w:val="00867FD9"/>
    <w:rsid w:val="00870269"/>
    <w:rsid w:val="008717F9"/>
    <w:rsid w:val="00871FBF"/>
    <w:rsid w:val="00873165"/>
    <w:rsid w:val="00874139"/>
    <w:rsid w:val="00875508"/>
    <w:rsid w:val="00875FA6"/>
    <w:rsid w:val="00876440"/>
    <w:rsid w:val="00876A59"/>
    <w:rsid w:val="008811B9"/>
    <w:rsid w:val="008828C9"/>
    <w:rsid w:val="0088307C"/>
    <w:rsid w:val="00883B6E"/>
    <w:rsid w:val="00887556"/>
    <w:rsid w:val="00887AEC"/>
    <w:rsid w:val="008904EF"/>
    <w:rsid w:val="00892DC4"/>
    <w:rsid w:val="00894AF5"/>
    <w:rsid w:val="008958CF"/>
    <w:rsid w:val="00896ADE"/>
    <w:rsid w:val="0089719B"/>
    <w:rsid w:val="008A1282"/>
    <w:rsid w:val="008A23D5"/>
    <w:rsid w:val="008A4720"/>
    <w:rsid w:val="008A4C25"/>
    <w:rsid w:val="008A6E1E"/>
    <w:rsid w:val="008A7F22"/>
    <w:rsid w:val="008B11B7"/>
    <w:rsid w:val="008B267B"/>
    <w:rsid w:val="008B32F5"/>
    <w:rsid w:val="008B59BB"/>
    <w:rsid w:val="008B6FAB"/>
    <w:rsid w:val="008B734D"/>
    <w:rsid w:val="008C01EB"/>
    <w:rsid w:val="008C063C"/>
    <w:rsid w:val="008C1381"/>
    <w:rsid w:val="008C2C5D"/>
    <w:rsid w:val="008C2E1D"/>
    <w:rsid w:val="008C4EC3"/>
    <w:rsid w:val="008C57AD"/>
    <w:rsid w:val="008C6951"/>
    <w:rsid w:val="008D2402"/>
    <w:rsid w:val="008D27FC"/>
    <w:rsid w:val="008D288E"/>
    <w:rsid w:val="008D4D51"/>
    <w:rsid w:val="008D58A9"/>
    <w:rsid w:val="008E103E"/>
    <w:rsid w:val="008E7EDF"/>
    <w:rsid w:val="008F1001"/>
    <w:rsid w:val="008F1D58"/>
    <w:rsid w:val="008F239B"/>
    <w:rsid w:val="008F33C2"/>
    <w:rsid w:val="008F4524"/>
    <w:rsid w:val="008F4C31"/>
    <w:rsid w:val="00900783"/>
    <w:rsid w:val="0090085E"/>
    <w:rsid w:val="00902D03"/>
    <w:rsid w:val="00903A27"/>
    <w:rsid w:val="0090545C"/>
    <w:rsid w:val="0090721A"/>
    <w:rsid w:val="0090797B"/>
    <w:rsid w:val="0091046D"/>
    <w:rsid w:val="00911CFA"/>
    <w:rsid w:val="00914A42"/>
    <w:rsid w:val="00914BEE"/>
    <w:rsid w:val="00916E35"/>
    <w:rsid w:val="00924B12"/>
    <w:rsid w:val="00925E1E"/>
    <w:rsid w:val="00925E6D"/>
    <w:rsid w:val="00925EE8"/>
    <w:rsid w:val="0092624C"/>
    <w:rsid w:val="00926363"/>
    <w:rsid w:val="00926B35"/>
    <w:rsid w:val="009315F1"/>
    <w:rsid w:val="00931694"/>
    <w:rsid w:val="00934641"/>
    <w:rsid w:val="00934E19"/>
    <w:rsid w:val="00936EBE"/>
    <w:rsid w:val="009400AA"/>
    <w:rsid w:val="00943499"/>
    <w:rsid w:val="00943B96"/>
    <w:rsid w:val="009447B7"/>
    <w:rsid w:val="00947211"/>
    <w:rsid w:val="00947545"/>
    <w:rsid w:val="00947D5E"/>
    <w:rsid w:val="00950C46"/>
    <w:rsid w:val="009526D6"/>
    <w:rsid w:val="0095460A"/>
    <w:rsid w:val="00954724"/>
    <w:rsid w:val="0095507F"/>
    <w:rsid w:val="00956631"/>
    <w:rsid w:val="009567D0"/>
    <w:rsid w:val="00956D19"/>
    <w:rsid w:val="00960385"/>
    <w:rsid w:val="0096137A"/>
    <w:rsid w:val="00962A04"/>
    <w:rsid w:val="00963194"/>
    <w:rsid w:val="009631EC"/>
    <w:rsid w:val="00963D42"/>
    <w:rsid w:val="009645A3"/>
    <w:rsid w:val="0096636F"/>
    <w:rsid w:val="00966C94"/>
    <w:rsid w:val="00966E40"/>
    <w:rsid w:val="009677C9"/>
    <w:rsid w:val="0097168A"/>
    <w:rsid w:val="00975927"/>
    <w:rsid w:val="00976151"/>
    <w:rsid w:val="009779A4"/>
    <w:rsid w:val="009801F6"/>
    <w:rsid w:val="00980A03"/>
    <w:rsid w:val="00980EB6"/>
    <w:rsid w:val="0098170E"/>
    <w:rsid w:val="00981BD1"/>
    <w:rsid w:val="00982AF5"/>
    <w:rsid w:val="00982D14"/>
    <w:rsid w:val="009837CC"/>
    <w:rsid w:val="0098637F"/>
    <w:rsid w:val="00986F26"/>
    <w:rsid w:val="0099065E"/>
    <w:rsid w:val="0099183F"/>
    <w:rsid w:val="00992E4E"/>
    <w:rsid w:val="00993248"/>
    <w:rsid w:val="00993319"/>
    <w:rsid w:val="00993B6F"/>
    <w:rsid w:val="00994428"/>
    <w:rsid w:val="00994B04"/>
    <w:rsid w:val="00995057"/>
    <w:rsid w:val="0099579D"/>
    <w:rsid w:val="00995945"/>
    <w:rsid w:val="00995C95"/>
    <w:rsid w:val="009978AE"/>
    <w:rsid w:val="009A0343"/>
    <w:rsid w:val="009A650C"/>
    <w:rsid w:val="009A6DE7"/>
    <w:rsid w:val="009B1A10"/>
    <w:rsid w:val="009B30D6"/>
    <w:rsid w:val="009B54D0"/>
    <w:rsid w:val="009B768D"/>
    <w:rsid w:val="009C01E7"/>
    <w:rsid w:val="009C0487"/>
    <w:rsid w:val="009C39A5"/>
    <w:rsid w:val="009C3DA7"/>
    <w:rsid w:val="009C3FDB"/>
    <w:rsid w:val="009C47F2"/>
    <w:rsid w:val="009C5424"/>
    <w:rsid w:val="009C66F7"/>
    <w:rsid w:val="009D0E81"/>
    <w:rsid w:val="009D146F"/>
    <w:rsid w:val="009D2780"/>
    <w:rsid w:val="009D390F"/>
    <w:rsid w:val="009D3BB3"/>
    <w:rsid w:val="009D456D"/>
    <w:rsid w:val="009D6EC0"/>
    <w:rsid w:val="009D7B3B"/>
    <w:rsid w:val="009E1621"/>
    <w:rsid w:val="009E1B00"/>
    <w:rsid w:val="009E1E61"/>
    <w:rsid w:val="009E2C51"/>
    <w:rsid w:val="009E2FE1"/>
    <w:rsid w:val="009E344B"/>
    <w:rsid w:val="009E43F5"/>
    <w:rsid w:val="009E68C1"/>
    <w:rsid w:val="009E6F2C"/>
    <w:rsid w:val="009E7C46"/>
    <w:rsid w:val="009F477A"/>
    <w:rsid w:val="009F5101"/>
    <w:rsid w:val="009F6079"/>
    <w:rsid w:val="009F6758"/>
    <w:rsid w:val="009F798A"/>
    <w:rsid w:val="00A00DC4"/>
    <w:rsid w:val="00A048FF"/>
    <w:rsid w:val="00A06747"/>
    <w:rsid w:val="00A06A1A"/>
    <w:rsid w:val="00A116CC"/>
    <w:rsid w:val="00A11EA2"/>
    <w:rsid w:val="00A122C2"/>
    <w:rsid w:val="00A13411"/>
    <w:rsid w:val="00A13AB5"/>
    <w:rsid w:val="00A151E4"/>
    <w:rsid w:val="00A15566"/>
    <w:rsid w:val="00A1637F"/>
    <w:rsid w:val="00A17262"/>
    <w:rsid w:val="00A20A3E"/>
    <w:rsid w:val="00A21CD9"/>
    <w:rsid w:val="00A22E9A"/>
    <w:rsid w:val="00A246E9"/>
    <w:rsid w:val="00A25FBA"/>
    <w:rsid w:val="00A27491"/>
    <w:rsid w:val="00A301A1"/>
    <w:rsid w:val="00A305A9"/>
    <w:rsid w:val="00A33AE9"/>
    <w:rsid w:val="00A33B52"/>
    <w:rsid w:val="00A35749"/>
    <w:rsid w:val="00A361A3"/>
    <w:rsid w:val="00A36C06"/>
    <w:rsid w:val="00A374CD"/>
    <w:rsid w:val="00A40F71"/>
    <w:rsid w:val="00A418E2"/>
    <w:rsid w:val="00A438B7"/>
    <w:rsid w:val="00A466AD"/>
    <w:rsid w:val="00A47117"/>
    <w:rsid w:val="00A47481"/>
    <w:rsid w:val="00A47BC9"/>
    <w:rsid w:val="00A51FBD"/>
    <w:rsid w:val="00A5256B"/>
    <w:rsid w:val="00A528DD"/>
    <w:rsid w:val="00A536CB"/>
    <w:rsid w:val="00A54109"/>
    <w:rsid w:val="00A54A91"/>
    <w:rsid w:val="00A54D9A"/>
    <w:rsid w:val="00A56327"/>
    <w:rsid w:val="00A56882"/>
    <w:rsid w:val="00A608B4"/>
    <w:rsid w:val="00A623BE"/>
    <w:rsid w:val="00A624DD"/>
    <w:rsid w:val="00A625E5"/>
    <w:rsid w:val="00A638AE"/>
    <w:rsid w:val="00A65C4C"/>
    <w:rsid w:val="00A66142"/>
    <w:rsid w:val="00A670D0"/>
    <w:rsid w:val="00A67393"/>
    <w:rsid w:val="00A67DBE"/>
    <w:rsid w:val="00A71BCC"/>
    <w:rsid w:val="00A72318"/>
    <w:rsid w:val="00A727CA"/>
    <w:rsid w:val="00A73ACE"/>
    <w:rsid w:val="00A748E9"/>
    <w:rsid w:val="00A765BD"/>
    <w:rsid w:val="00A770BE"/>
    <w:rsid w:val="00A80479"/>
    <w:rsid w:val="00A80B96"/>
    <w:rsid w:val="00A80D85"/>
    <w:rsid w:val="00A81A31"/>
    <w:rsid w:val="00A8298F"/>
    <w:rsid w:val="00A835CA"/>
    <w:rsid w:val="00A8372F"/>
    <w:rsid w:val="00A84843"/>
    <w:rsid w:val="00A84D07"/>
    <w:rsid w:val="00A8504B"/>
    <w:rsid w:val="00A8553A"/>
    <w:rsid w:val="00A85A85"/>
    <w:rsid w:val="00A85C1D"/>
    <w:rsid w:val="00A85C52"/>
    <w:rsid w:val="00A860B6"/>
    <w:rsid w:val="00A86A58"/>
    <w:rsid w:val="00A86E26"/>
    <w:rsid w:val="00A872DB"/>
    <w:rsid w:val="00A8778D"/>
    <w:rsid w:val="00A87B3B"/>
    <w:rsid w:val="00A903EB"/>
    <w:rsid w:val="00A90B65"/>
    <w:rsid w:val="00A9129D"/>
    <w:rsid w:val="00A9158D"/>
    <w:rsid w:val="00A927C8"/>
    <w:rsid w:val="00A93E1B"/>
    <w:rsid w:val="00A9616A"/>
    <w:rsid w:val="00AA05B2"/>
    <w:rsid w:val="00AA0B85"/>
    <w:rsid w:val="00AA2030"/>
    <w:rsid w:val="00AA2169"/>
    <w:rsid w:val="00AA2716"/>
    <w:rsid w:val="00AA2BBB"/>
    <w:rsid w:val="00AA336F"/>
    <w:rsid w:val="00AA40DC"/>
    <w:rsid w:val="00AA41EC"/>
    <w:rsid w:val="00AA4411"/>
    <w:rsid w:val="00AA4BDF"/>
    <w:rsid w:val="00AA56FB"/>
    <w:rsid w:val="00AA6837"/>
    <w:rsid w:val="00AA7045"/>
    <w:rsid w:val="00AB38ED"/>
    <w:rsid w:val="00AB4942"/>
    <w:rsid w:val="00AB5556"/>
    <w:rsid w:val="00AB7173"/>
    <w:rsid w:val="00AC03FD"/>
    <w:rsid w:val="00AC2743"/>
    <w:rsid w:val="00AC283C"/>
    <w:rsid w:val="00AC2A47"/>
    <w:rsid w:val="00AC4E90"/>
    <w:rsid w:val="00AC503D"/>
    <w:rsid w:val="00AC5A05"/>
    <w:rsid w:val="00AC5B8B"/>
    <w:rsid w:val="00AC6281"/>
    <w:rsid w:val="00AC709B"/>
    <w:rsid w:val="00AD02C4"/>
    <w:rsid w:val="00AD148D"/>
    <w:rsid w:val="00AD1BCB"/>
    <w:rsid w:val="00AD1E83"/>
    <w:rsid w:val="00AD28D4"/>
    <w:rsid w:val="00AE0156"/>
    <w:rsid w:val="00AE110C"/>
    <w:rsid w:val="00AE1EAF"/>
    <w:rsid w:val="00AE3353"/>
    <w:rsid w:val="00AE55FE"/>
    <w:rsid w:val="00AE6B3E"/>
    <w:rsid w:val="00AE72D9"/>
    <w:rsid w:val="00AF12A7"/>
    <w:rsid w:val="00AF1A55"/>
    <w:rsid w:val="00AF1C6C"/>
    <w:rsid w:val="00AF3D7A"/>
    <w:rsid w:val="00AF43DC"/>
    <w:rsid w:val="00AF5A35"/>
    <w:rsid w:val="00AF6A5E"/>
    <w:rsid w:val="00AF6DDB"/>
    <w:rsid w:val="00AF6EA8"/>
    <w:rsid w:val="00AF7529"/>
    <w:rsid w:val="00B0032A"/>
    <w:rsid w:val="00B00B0F"/>
    <w:rsid w:val="00B02B7F"/>
    <w:rsid w:val="00B0391E"/>
    <w:rsid w:val="00B0595A"/>
    <w:rsid w:val="00B10497"/>
    <w:rsid w:val="00B10F0F"/>
    <w:rsid w:val="00B13A1A"/>
    <w:rsid w:val="00B17EFC"/>
    <w:rsid w:val="00B2059E"/>
    <w:rsid w:val="00B20934"/>
    <w:rsid w:val="00B2193F"/>
    <w:rsid w:val="00B227AC"/>
    <w:rsid w:val="00B23444"/>
    <w:rsid w:val="00B238D4"/>
    <w:rsid w:val="00B23D48"/>
    <w:rsid w:val="00B24957"/>
    <w:rsid w:val="00B24C8E"/>
    <w:rsid w:val="00B261C6"/>
    <w:rsid w:val="00B33380"/>
    <w:rsid w:val="00B33AB1"/>
    <w:rsid w:val="00B35573"/>
    <w:rsid w:val="00B35D05"/>
    <w:rsid w:val="00B37700"/>
    <w:rsid w:val="00B378BF"/>
    <w:rsid w:val="00B37B4F"/>
    <w:rsid w:val="00B37C04"/>
    <w:rsid w:val="00B403CA"/>
    <w:rsid w:val="00B40E82"/>
    <w:rsid w:val="00B41025"/>
    <w:rsid w:val="00B42CB0"/>
    <w:rsid w:val="00B4340E"/>
    <w:rsid w:val="00B43D2C"/>
    <w:rsid w:val="00B447E7"/>
    <w:rsid w:val="00B4730A"/>
    <w:rsid w:val="00B50765"/>
    <w:rsid w:val="00B50EE4"/>
    <w:rsid w:val="00B51919"/>
    <w:rsid w:val="00B5374B"/>
    <w:rsid w:val="00B558BA"/>
    <w:rsid w:val="00B56FF7"/>
    <w:rsid w:val="00B573CD"/>
    <w:rsid w:val="00B60D9D"/>
    <w:rsid w:val="00B60E6A"/>
    <w:rsid w:val="00B610DD"/>
    <w:rsid w:val="00B61CE6"/>
    <w:rsid w:val="00B631BF"/>
    <w:rsid w:val="00B6340D"/>
    <w:rsid w:val="00B6398C"/>
    <w:rsid w:val="00B63B5B"/>
    <w:rsid w:val="00B64FF4"/>
    <w:rsid w:val="00B65A47"/>
    <w:rsid w:val="00B70358"/>
    <w:rsid w:val="00B7071D"/>
    <w:rsid w:val="00B70B8D"/>
    <w:rsid w:val="00B72755"/>
    <w:rsid w:val="00B73B8E"/>
    <w:rsid w:val="00B73DAB"/>
    <w:rsid w:val="00B7500D"/>
    <w:rsid w:val="00B7695E"/>
    <w:rsid w:val="00B817A5"/>
    <w:rsid w:val="00B81832"/>
    <w:rsid w:val="00B83E85"/>
    <w:rsid w:val="00B8400A"/>
    <w:rsid w:val="00B84915"/>
    <w:rsid w:val="00B85E5B"/>
    <w:rsid w:val="00BA28DC"/>
    <w:rsid w:val="00BA4B94"/>
    <w:rsid w:val="00BA5AA8"/>
    <w:rsid w:val="00BA6D80"/>
    <w:rsid w:val="00BA7C21"/>
    <w:rsid w:val="00BB2F49"/>
    <w:rsid w:val="00BB2FD0"/>
    <w:rsid w:val="00BB3776"/>
    <w:rsid w:val="00BB3B2E"/>
    <w:rsid w:val="00BC2A36"/>
    <w:rsid w:val="00BC2B30"/>
    <w:rsid w:val="00BC3412"/>
    <w:rsid w:val="00BC36B4"/>
    <w:rsid w:val="00BC3A24"/>
    <w:rsid w:val="00BC4332"/>
    <w:rsid w:val="00BC4A47"/>
    <w:rsid w:val="00BD0068"/>
    <w:rsid w:val="00BD0C4E"/>
    <w:rsid w:val="00BD4158"/>
    <w:rsid w:val="00BD50CD"/>
    <w:rsid w:val="00BD5C9A"/>
    <w:rsid w:val="00BD6CD7"/>
    <w:rsid w:val="00BD6F3C"/>
    <w:rsid w:val="00BE0001"/>
    <w:rsid w:val="00BE0453"/>
    <w:rsid w:val="00BE1412"/>
    <w:rsid w:val="00BE218E"/>
    <w:rsid w:val="00BE2623"/>
    <w:rsid w:val="00BE3AB9"/>
    <w:rsid w:val="00BE5D9B"/>
    <w:rsid w:val="00BE6A0F"/>
    <w:rsid w:val="00BE6E3F"/>
    <w:rsid w:val="00BE6F8A"/>
    <w:rsid w:val="00BE7CF7"/>
    <w:rsid w:val="00BF00CF"/>
    <w:rsid w:val="00BF36BE"/>
    <w:rsid w:val="00BF38BE"/>
    <w:rsid w:val="00BF49DA"/>
    <w:rsid w:val="00BF7176"/>
    <w:rsid w:val="00BF76A1"/>
    <w:rsid w:val="00C002A4"/>
    <w:rsid w:val="00C0097A"/>
    <w:rsid w:val="00C0116E"/>
    <w:rsid w:val="00C01A48"/>
    <w:rsid w:val="00C02A84"/>
    <w:rsid w:val="00C0308C"/>
    <w:rsid w:val="00C0354D"/>
    <w:rsid w:val="00C035FE"/>
    <w:rsid w:val="00C04B6F"/>
    <w:rsid w:val="00C05F7A"/>
    <w:rsid w:val="00C0724C"/>
    <w:rsid w:val="00C072B4"/>
    <w:rsid w:val="00C07670"/>
    <w:rsid w:val="00C10447"/>
    <w:rsid w:val="00C1150E"/>
    <w:rsid w:val="00C116BF"/>
    <w:rsid w:val="00C149AB"/>
    <w:rsid w:val="00C154BE"/>
    <w:rsid w:val="00C15BA1"/>
    <w:rsid w:val="00C160ED"/>
    <w:rsid w:val="00C2260F"/>
    <w:rsid w:val="00C23678"/>
    <w:rsid w:val="00C23927"/>
    <w:rsid w:val="00C247EC"/>
    <w:rsid w:val="00C24CBB"/>
    <w:rsid w:val="00C2607B"/>
    <w:rsid w:val="00C26680"/>
    <w:rsid w:val="00C30E8D"/>
    <w:rsid w:val="00C32707"/>
    <w:rsid w:val="00C33F01"/>
    <w:rsid w:val="00C344F0"/>
    <w:rsid w:val="00C3657C"/>
    <w:rsid w:val="00C37131"/>
    <w:rsid w:val="00C3782A"/>
    <w:rsid w:val="00C4087B"/>
    <w:rsid w:val="00C40BE5"/>
    <w:rsid w:val="00C41A8E"/>
    <w:rsid w:val="00C41B7B"/>
    <w:rsid w:val="00C43397"/>
    <w:rsid w:val="00C43647"/>
    <w:rsid w:val="00C438E2"/>
    <w:rsid w:val="00C454FC"/>
    <w:rsid w:val="00C45C45"/>
    <w:rsid w:val="00C46F7A"/>
    <w:rsid w:val="00C471FD"/>
    <w:rsid w:val="00C5020E"/>
    <w:rsid w:val="00C5094C"/>
    <w:rsid w:val="00C50E75"/>
    <w:rsid w:val="00C56FC3"/>
    <w:rsid w:val="00C57984"/>
    <w:rsid w:val="00C6160D"/>
    <w:rsid w:val="00C63499"/>
    <w:rsid w:val="00C66087"/>
    <w:rsid w:val="00C7124A"/>
    <w:rsid w:val="00C72619"/>
    <w:rsid w:val="00C75917"/>
    <w:rsid w:val="00C7650E"/>
    <w:rsid w:val="00C765BA"/>
    <w:rsid w:val="00C80014"/>
    <w:rsid w:val="00C81A35"/>
    <w:rsid w:val="00C82581"/>
    <w:rsid w:val="00C82C7F"/>
    <w:rsid w:val="00C83D66"/>
    <w:rsid w:val="00C8700A"/>
    <w:rsid w:val="00C9011C"/>
    <w:rsid w:val="00C90882"/>
    <w:rsid w:val="00C90996"/>
    <w:rsid w:val="00C90CF8"/>
    <w:rsid w:val="00C90D2E"/>
    <w:rsid w:val="00C95669"/>
    <w:rsid w:val="00C97C77"/>
    <w:rsid w:val="00CA5003"/>
    <w:rsid w:val="00CA53D6"/>
    <w:rsid w:val="00CA6433"/>
    <w:rsid w:val="00CA72FD"/>
    <w:rsid w:val="00CB18C0"/>
    <w:rsid w:val="00CB1CC1"/>
    <w:rsid w:val="00CB2CFE"/>
    <w:rsid w:val="00CB2E49"/>
    <w:rsid w:val="00CB3C7F"/>
    <w:rsid w:val="00CB416D"/>
    <w:rsid w:val="00CB4B23"/>
    <w:rsid w:val="00CB5A75"/>
    <w:rsid w:val="00CB6D50"/>
    <w:rsid w:val="00CB7E7E"/>
    <w:rsid w:val="00CC0973"/>
    <w:rsid w:val="00CC15F4"/>
    <w:rsid w:val="00CC1A23"/>
    <w:rsid w:val="00CC5A46"/>
    <w:rsid w:val="00CC65F0"/>
    <w:rsid w:val="00CC6D48"/>
    <w:rsid w:val="00CC7082"/>
    <w:rsid w:val="00CD0315"/>
    <w:rsid w:val="00CD17FC"/>
    <w:rsid w:val="00CD24DB"/>
    <w:rsid w:val="00CD2674"/>
    <w:rsid w:val="00CD3529"/>
    <w:rsid w:val="00CD3E87"/>
    <w:rsid w:val="00CD5B30"/>
    <w:rsid w:val="00CD6EA9"/>
    <w:rsid w:val="00CD7091"/>
    <w:rsid w:val="00CE2AA5"/>
    <w:rsid w:val="00CE30B6"/>
    <w:rsid w:val="00CE459E"/>
    <w:rsid w:val="00CE6AE0"/>
    <w:rsid w:val="00CF20C3"/>
    <w:rsid w:val="00CF242F"/>
    <w:rsid w:val="00CF6C21"/>
    <w:rsid w:val="00CF71CD"/>
    <w:rsid w:val="00D0183B"/>
    <w:rsid w:val="00D038CD"/>
    <w:rsid w:val="00D04571"/>
    <w:rsid w:val="00D05552"/>
    <w:rsid w:val="00D10308"/>
    <w:rsid w:val="00D10861"/>
    <w:rsid w:val="00D10D09"/>
    <w:rsid w:val="00D11728"/>
    <w:rsid w:val="00D11CC1"/>
    <w:rsid w:val="00D121F9"/>
    <w:rsid w:val="00D12F69"/>
    <w:rsid w:val="00D13A0E"/>
    <w:rsid w:val="00D14C7F"/>
    <w:rsid w:val="00D15784"/>
    <w:rsid w:val="00D1656C"/>
    <w:rsid w:val="00D17942"/>
    <w:rsid w:val="00D22B25"/>
    <w:rsid w:val="00D23A37"/>
    <w:rsid w:val="00D245E0"/>
    <w:rsid w:val="00D24753"/>
    <w:rsid w:val="00D2561C"/>
    <w:rsid w:val="00D25D82"/>
    <w:rsid w:val="00D26388"/>
    <w:rsid w:val="00D309AF"/>
    <w:rsid w:val="00D30E56"/>
    <w:rsid w:val="00D32ADF"/>
    <w:rsid w:val="00D33D16"/>
    <w:rsid w:val="00D34B3B"/>
    <w:rsid w:val="00D36F89"/>
    <w:rsid w:val="00D40F3F"/>
    <w:rsid w:val="00D42362"/>
    <w:rsid w:val="00D454C4"/>
    <w:rsid w:val="00D465D2"/>
    <w:rsid w:val="00D504C9"/>
    <w:rsid w:val="00D52D6E"/>
    <w:rsid w:val="00D533CC"/>
    <w:rsid w:val="00D535D2"/>
    <w:rsid w:val="00D53A90"/>
    <w:rsid w:val="00D53C4A"/>
    <w:rsid w:val="00D603EF"/>
    <w:rsid w:val="00D6145F"/>
    <w:rsid w:val="00D63C88"/>
    <w:rsid w:val="00D647BF"/>
    <w:rsid w:val="00D65226"/>
    <w:rsid w:val="00D70845"/>
    <w:rsid w:val="00D714DD"/>
    <w:rsid w:val="00D7240A"/>
    <w:rsid w:val="00D7707B"/>
    <w:rsid w:val="00D773BF"/>
    <w:rsid w:val="00D773D0"/>
    <w:rsid w:val="00D80BD6"/>
    <w:rsid w:val="00D80CB3"/>
    <w:rsid w:val="00D8233C"/>
    <w:rsid w:val="00D826FB"/>
    <w:rsid w:val="00D835F1"/>
    <w:rsid w:val="00D83CF2"/>
    <w:rsid w:val="00D83E9A"/>
    <w:rsid w:val="00D874AF"/>
    <w:rsid w:val="00D879CD"/>
    <w:rsid w:val="00D91502"/>
    <w:rsid w:val="00D91DB6"/>
    <w:rsid w:val="00D932E9"/>
    <w:rsid w:val="00D93BC3"/>
    <w:rsid w:val="00D950E3"/>
    <w:rsid w:val="00D963F7"/>
    <w:rsid w:val="00D9660C"/>
    <w:rsid w:val="00DA1EA1"/>
    <w:rsid w:val="00DA632E"/>
    <w:rsid w:val="00DA6ECA"/>
    <w:rsid w:val="00DA7B1B"/>
    <w:rsid w:val="00DA7C4A"/>
    <w:rsid w:val="00DA7C7A"/>
    <w:rsid w:val="00DB0998"/>
    <w:rsid w:val="00DB5062"/>
    <w:rsid w:val="00DB559A"/>
    <w:rsid w:val="00DC0CC0"/>
    <w:rsid w:val="00DC1214"/>
    <w:rsid w:val="00DC1FF5"/>
    <w:rsid w:val="00DC275D"/>
    <w:rsid w:val="00DC4302"/>
    <w:rsid w:val="00DC4820"/>
    <w:rsid w:val="00DC4A59"/>
    <w:rsid w:val="00DC5227"/>
    <w:rsid w:val="00DC7D55"/>
    <w:rsid w:val="00DD2E38"/>
    <w:rsid w:val="00DD4010"/>
    <w:rsid w:val="00DD4502"/>
    <w:rsid w:val="00DD5AB7"/>
    <w:rsid w:val="00DD5D02"/>
    <w:rsid w:val="00DD695F"/>
    <w:rsid w:val="00DD7042"/>
    <w:rsid w:val="00DE0BF0"/>
    <w:rsid w:val="00DE1EB9"/>
    <w:rsid w:val="00DE2A50"/>
    <w:rsid w:val="00DE4250"/>
    <w:rsid w:val="00DE4C1F"/>
    <w:rsid w:val="00DE548A"/>
    <w:rsid w:val="00DE739A"/>
    <w:rsid w:val="00DF2CFC"/>
    <w:rsid w:val="00DF6124"/>
    <w:rsid w:val="00DF6D58"/>
    <w:rsid w:val="00DF7CFB"/>
    <w:rsid w:val="00E006B2"/>
    <w:rsid w:val="00E01789"/>
    <w:rsid w:val="00E01C05"/>
    <w:rsid w:val="00E044E2"/>
    <w:rsid w:val="00E128B7"/>
    <w:rsid w:val="00E12CD4"/>
    <w:rsid w:val="00E1400A"/>
    <w:rsid w:val="00E14F73"/>
    <w:rsid w:val="00E16480"/>
    <w:rsid w:val="00E20EED"/>
    <w:rsid w:val="00E24FBC"/>
    <w:rsid w:val="00E2533C"/>
    <w:rsid w:val="00E259AC"/>
    <w:rsid w:val="00E26E0F"/>
    <w:rsid w:val="00E279A6"/>
    <w:rsid w:val="00E33B30"/>
    <w:rsid w:val="00E355B0"/>
    <w:rsid w:val="00E36747"/>
    <w:rsid w:val="00E37210"/>
    <w:rsid w:val="00E41F12"/>
    <w:rsid w:val="00E429EC"/>
    <w:rsid w:val="00E46F10"/>
    <w:rsid w:val="00E5150F"/>
    <w:rsid w:val="00E52005"/>
    <w:rsid w:val="00E521E2"/>
    <w:rsid w:val="00E533F5"/>
    <w:rsid w:val="00E540BE"/>
    <w:rsid w:val="00E54FE1"/>
    <w:rsid w:val="00E560D7"/>
    <w:rsid w:val="00E565D3"/>
    <w:rsid w:val="00E5723F"/>
    <w:rsid w:val="00E5789C"/>
    <w:rsid w:val="00E600CF"/>
    <w:rsid w:val="00E62732"/>
    <w:rsid w:val="00E63705"/>
    <w:rsid w:val="00E63BBF"/>
    <w:rsid w:val="00E64C8F"/>
    <w:rsid w:val="00E70839"/>
    <w:rsid w:val="00E7136C"/>
    <w:rsid w:val="00E72AA5"/>
    <w:rsid w:val="00E74A7A"/>
    <w:rsid w:val="00E74A95"/>
    <w:rsid w:val="00E74FB0"/>
    <w:rsid w:val="00E753F0"/>
    <w:rsid w:val="00E767EA"/>
    <w:rsid w:val="00E77055"/>
    <w:rsid w:val="00E77BE0"/>
    <w:rsid w:val="00E82592"/>
    <w:rsid w:val="00E836A5"/>
    <w:rsid w:val="00E83A6F"/>
    <w:rsid w:val="00E84D0B"/>
    <w:rsid w:val="00E85386"/>
    <w:rsid w:val="00E85B28"/>
    <w:rsid w:val="00E86547"/>
    <w:rsid w:val="00E86B37"/>
    <w:rsid w:val="00E87BEA"/>
    <w:rsid w:val="00E87C42"/>
    <w:rsid w:val="00E93EBD"/>
    <w:rsid w:val="00E9522C"/>
    <w:rsid w:val="00E973E0"/>
    <w:rsid w:val="00E975BA"/>
    <w:rsid w:val="00EA0102"/>
    <w:rsid w:val="00EA0B32"/>
    <w:rsid w:val="00EA0BE1"/>
    <w:rsid w:val="00EA0C97"/>
    <w:rsid w:val="00EA21C7"/>
    <w:rsid w:val="00EA22CE"/>
    <w:rsid w:val="00EA2D5F"/>
    <w:rsid w:val="00EA3A89"/>
    <w:rsid w:val="00EA3DD1"/>
    <w:rsid w:val="00EA3E67"/>
    <w:rsid w:val="00EA4609"/>
    <w:rsid w:val="00EA6AD4"/>
    <w:rsid w:val="00EA7049"/>
    <w:rsid w:val="00EA7400"/>
    <w:rsid w:val="00EB00AC"/>
    <w:rsid w:val="00EB18EF"/>
    <w:rsid w:val="00EB36EB"/>
    <w:rsid w:val="00EB3895"/>
    <w:rsid w:val="00EB44D6"/>
    <w:rsid w:val="00EB4B8D"/>
    <w:rsid w:val="00EB5245"/>
    <w:rsid w:val="00EB68CB"/>
    <w:rsid w:val="00EB6D12"/>
    <w:rsid w:val="00EB70B4"/>
    <w:rsid w:val="00EB78FB"/>
    <w:rsid w:val="00EC0C61"/>
    <w:rsid w:val="00EC137B"/>
    <w:rsid w:val="00EC2D49"/>
    <w:rsid w:val="00EC550C"/>
    <w:rsid w:val="00EC6737"/>
    <w:rsid w:val="00EC7DCD"/>
    <w:rsid w:val="00ED0AE9"/>
    <w:rsid w:val="00ED2101"/>
    <w:rsid w:val="00ED3220"/>
    <w:rsid w:val="00ED33A8"/>
    <w:rsid w:val="00ED510C"/>
    <w:rsid w:val="00ED6D64"/>
    <w:rsid w:val="00ED7F87"/>
    <w:rsid w:val="00EE1474"/>
    <w:rsid w:val="00EE2724"/>
    <w:rsid w:val="00EE2982"/>
    <w:rsid w:val="00EE2D46"/>
    <w:rsid w:val="00EE3D78"/>
    <w:rsid w:val="00EE49D5"/>
    <w:rsid w:val="00EE5296"/>
    <w:rsid w:val="00EE5549"/>
    <w:rsid w:val="00EE5D47"/>
    <w:rsid w:val="00EF0545"/>
    <w:rsid w:val="00EF14BA"/>
    <w:rsid w:val="00EF2C29"/>
    <w:rsid w:val="00EF2F7C"/>
    <w:rsid w:val="00EF3048"/>
    <w:rsid w:val="00F0036E"/>
    <w:rsid w:val="00F0109E"/>
    <w:rsid w:val="00F0171B"/>
    <w:rsid w:val="00F03C27"/>
    <w:rsid w:val="00F03E51"/>
    <w:rsid w:val="00F044BA"/>
    <w:rsid w:val="00F04DB3"/>
    <w:rsid w:val="00F05CFF"/>
    <w:rsid w:val="00F06567"/>
    <w:rsid w:val="00F065CE"/>
    <w:rsid w:val="00F0746F"/>
    <w:rsid w:val="00F12076"/>
    <w:rsid w:val="00F1227C"/>
    <w:rsid w:val="00F12D01"/>
    <w:rsid w:val="00F14071"/>
    <w:rsid w:val="00F144A2"/>
    <w:rsid w:val="00F14B64"/>
    <w:rsid w:val="00F15352"/>
    <w:rsid w:val="00F16E21"/>
    <w:rsid w:val="00F17A6B"/>
    <w:rsid w:val="00F231C1"/>
    <w:rsid w:val="00F3209F"/>
    <w:rsid w:val="00F34535"/>
    <w:rsid w:val="00F36D27"/>
    <w:rsid w:val="00F404FB"/>
    <w:rsid w:val="00F411F9"/>
    <w:rsid w:val="00F412D2"/>
    <w:rsid w:val="00F413F7"/>
    <w:rsid w:val="00F437AB"/>
    <w:rsid w:val="00F445BD"/>
    <w:rsid w:val="00F459AD"/>
    <w:rsid w:val="00F462AD"/>
    <w:rsid w:val="00F47204"/>
    <w:rsid w:val="00F511E5"/>
    <w:rsid w:val="00F51217"/>
    <w:rsid w:val="00F53248"/>
    <w:rsid w:val="00F53D1A"/>
    <w:rsid w:val="00F54A2A"/>
    <w:rsid w:val="00F56BE7"/>
    <w:rsid w:val="00F57C29"/>
    <w:rsid w:val="00F603B1"/>
    <w:rsid w:val="00F6083F"/>
    <w:rsid w:val="00F619D0"/>
    <w:rsid w:val="00F63507"/>
    <w:rsid w:val="00F63E73"/>
    <w:rsid w:val="00F64F41"/>
    <w:rsid w:val="00F65838"/>
    <w:rsid w:val="00F6720C"/>
    <w:rsid w:val="00F6789F"/>
    <w:rsid w:val="00F67F4C"/>
    <w:rsid w:val="00F71318"/>
    <w:rsid w:val="00F72AAF"/>
    <w:rsid w:val="00F74A20"/>
    <w:rsid w:val="00F75075"/>
    <w:rsid w:val="00F76DB1"/>
    <w:rsid w:val="00F76F63"/>
    <w:rsid w:val="00F77BEB"/>
    <w:rsid w:val="00F81AB4"/>
    <w:rsid w:val="00F835A0"/>
    <w:rsid w:val="00F857C7"/>
    <w:rsid w:val="00F9339A"/>
    <w:rsid w:val="00F93648"/>
    <w:rsid w:val="00F9447D"/>
    <w:rsid w:val="00F9648D"/>
    <w:rsid w:val="00F97C17"/>
    <w:rsid w:val="00FA1344"/>
    <w:rsid w:val="00FA2E2C"/>
    <w:rsid w:val="00FA5ADC"/>
    <w:rsid w:val="00FB18F4"/>
    <w:rsid w:val="00FB1F9C"/>
    <w:rsid w:val="00FB3C7B"/>
    <w:rsid w:val="00FB5AC0"/>
    <w:rsid w:val="00FB70CE"/>
    <w:rsid w:val="00FB776D"/>
    <w:rsid w:val="00FC0E35"/>
    <w:rsid w:val="00FC1047"/>
    <w:rsid w:val="00FC2880"/>
    <w:rsid w:val="00FC7835"/>
    <w:rsid w:val="00FD04C7"/>
    <w:rsid w:val="00FD1FE7"/>
    <w:rsid w:val="00FD4C7F"/>
    <w:rsid w:val="00FD5AE1"/>
    <w:rsid w:val="00FE1274"/>
    <w:rsid w:val="00FE20FB"/>
    <w:rsid w:val="00FE5AF5"/>
    <w:rsid w:val="00FE6809"/>
    <w:rsid w:val="00FE6943"/>
    <w:rsid w:val="00FE6A0C"/>
    <w:rsid w:val="00FE7E9D"/>
    <w:rsid w:val="00FF015D"/>
    <w:rsid w:val="00FF5B54"/>
    <w:rsid w:val="00FF6A4B"/>
    <w:rsid w:val="00FF6CD0"/>
    <w:rsid w:val="00FF7FCD"/>
    <w:rsid w:val="01047EE2"/>
    <w:rsid w:val="010A032E"/>
    <w:rsid w:val="012445D9"/>
    <w:rsid w:val="014934AF"/>
    <w:rsid w:val="01521DF5"/>
    <w:rsid w:val="016B696B"/>
    <w:rsid w:val="018B4829"/>
    <w:rsid w:val="01967EE8"/>
    <w:rsid w:val="019F0B93"/>
    <w:rsid w:val="01A32DC9"/>
    <w:rsid w:val="01A77B22"/>
    <w:rsid w:val="01E01DBA"/>
    <w:rsid w:val="01E84D0F"/>
    <w:rsid w:val="02027B8B"/>
    <w:rsid w:val="020A602B"/>
    <w:rsid w:val="021A346F"/>
    <w:rsid w:val="022947BF"/>
    <w:rsid w:val="02391FD7"/>
    <w:rsid w:val="02701115"/>
    <w:rsid w:val="02732AD0"/>
    <w:rsid w:val="027F413B"/>
    <w:rsid w:val="029A5D8B"/>
    <w:rsid w:val="02A21ACB"/>
    <w:rsid w:val="02A41933"/>
    <w:rsid w:val="02AC00A0"/>
    <w:rsid w:val="02AE58F3"/>
    <w:rsid w:val="02B61C7F"/>
    <w:rsid w:val="02C36EF2"/>
    <w:rsid w:val="02CB6093"/>
    <w:rsid w:val="02CC1581"/>
    <w:rsid w:val="02FC661C"/>
    <w:rsid w:val="031951DD"/>
    <w:rsid w:val="032D0B8C"/>
    <w:rsid w:val="03334756"/>
    <w:rsid w:val="035162D5"/>
    <w:rsid w:val="03601EA5"/>
    <w:rsid w:val="036A734A"/>
    <w:rsid w:val="03891661"/>
    <w:rsid w:val="039860A7"/>
    <w:rsid w:val="039F5707"/>
    <w:rsid w:val="03B5270C"/>
    <w:rsid w:val="03C72995"/>
    <w:rsid w:val="03E50FF2"/>
    <w:rsid w:val="03E77F90"/>
    <w:rsid w:val="040A0E20"/>
    <w:rsid w:val="041568C9"/>
    <w:rsid w:val="04174620"/>
    <w:rsid w:val="041B16FE"/>
    <w:rsid w:val="0433222E"/>
    <w:rsid w:val="044D4A7E"/>
    <w:rsid w:val="046C0D23"/>
    <w:rsid w:val="04A03809"/>
    <w:rsid w:val="04A336D2"/>
    <w:rsid w:val="04A95287"/>
    <w:rsid w:val="04B31C24"/>
    <w:rsid w:val="04B840AD"/>
    <w:rsid w:val="04D3716B"/>
    <w:rsid w:val="04F8508F"/>
    <w:rsid w:val="054A1FE5"/>
    <w:rsid w:val="05631463"/>
    <w:rsid w:val="057E37FB"/>
    <w:rsid w:val="05AA3C73"/>
    <w:rsid w:val="05AA44A5"/>
    <w:rsid w:val="05B44B75"/>
    <w:rsid w:val="05B73509"/>
    <w:rsid w:val="05D14302"/>
    <w:rsid w:val="05DE6E38"/>
    <w:rsid w:val="05EA3962"/>
    <w:rsid w:val="060110AA"/>
    <w:rsid w:val="0637122D"/>
    <w:rsid w:val="064D3ACE"/>
    <w:rsid w:val="06856793"/>
    <w:rsid w:val="069752CF"/>
    <w:rsid w:val="06A16020"/>
    <w:rsid w:val="06AD1A32"/>
    <w:rsid w:val="06B278AF"/>
    <w:rsid w:val="06D92413"/>
    <w:rsid w:val="06E122E7"/>
    <w:rsid w:val="07023823"/>
    <w:rsid w:val="0707196E"/>
    <w:rsid w:val="07613FAC"/>
    <w:rsid w:val="07641586"/>
    <w:rsid w:val="0771561B"/>
    <w:rsid w:val="07946F43"/>
    <w:rsid w:val="07A447ED"/>
    <w:rsid w:val="07B91D1E"/>
    <w:rsid w:val="07D36596"/>
    <w:rsid w:val="08546531"/>
    <w:rsid w:val="08687DD5"/>
    <w:rsid w:val="087122A0"/>
    <w:rsid w:val="087C5407"/>
    <w:rsid w:val="087D4BE9"/>
    <w:rsid w:val="089E68BB"/>
    <w:rsid w:val="08B430F6"/>
    <w:rsid w:val="08C42ECB"/>
    <w:rsid w:val="08DA39BD"/>
    <w:rsid w:val="08E115E6"/>
    <w:rsid w:val="08EB0887"/>
    <w:rsid w:val="08F3622E"/>
    <w:rsid w:val="090D4BBD"/>
    <w:rsid w:val="09234492"/>
    <w:rsid w:val="092E4C0E"/>
    <w:rsid w:val="09334451"/>
    <w:rsid w:val="093B662E"/>
    <w:rsid w:val="09795382"/>
    <w:rsid w:val="097A57C7"/>
    <w:rsid w:val="09AA33C1"/>
    <w:rsid w:val="09E304A2"/>
    <w:rsid w:val="09FC4912"/>
    <w:rsid w:val="0A315150"/>
    <w:rsid w:val="0A34096B"/>
    <w:rsid w:val="0A3906D2"/>
    <w:rsid w:val="0A476A5F"/>
    <w:rsid w:val="0A676520"/>
    <w:rsid w:val="0A721EB0"/>
    <w:rsid w:val="0AA032E8"/>
    <w:rsid w:val="0AA44E77"/>
    <w:rsid w:val="0AA77554"/>
    <w:rsid w:val="0AB72AD6"/>
    <w:rsid w:val="0AC33723"/>
    <w:rsid w:val="0AD23CCF"/>
    <w:rsid w:val="0AEC404B"/>
    <w:rsid w:val="0B05412F"/>
    <w:rsid w:val="0B293066"/>
    <w:rsid w:val="0B3E527A"/>
    <w:rsid w:val="0B502B34"/>
    <w:rsid w:val="0B572DC9"/>
    <w:rsid w:val="0B686B92"/>
    <w:rsid w:val="0B6B10CF"/>
    <w:rsid w:val="0B78549D"/>
    <w:rsid w:val="0B7E7AEF"/>
    <w:rsid w:val="0B8A16B0"/>
    <w:rsid w:val="0B960096"/>
    <w:rsid w:val="0BC331D8"/>
    <w:rsid w:val="0BFB5C46"/>
    <w:rsid w:val="0C101D14"/>
    <w:rsid w:val="0C15180C"/>
    <w:rsid w:val="0C364C72"/>
    <w:rsid w:val="0C627ED8"/>
    <w:rsid w:val="0C937656"/>
    <w:rsid w:val="0C956750"/>
    <w:rsid w:val="0C9D7D95"/>
    <w:rsid w:val="0CAA6327"/>
    <w:rsid w:val="0CDF4492"/>
    <w:rsid w:val="0CE86C66"/>
    <w:rsid w:val="0CEC7B8A"/>
    <w:rsid w:val="0D067AD6"/>
    <w:rsid w:val="0D074FED"/>
    <w:rsid w:val="0D197889"/>
    <w:rsid w:val="0D1D6020"/>
    <w:rsid w:val="0D2E52B7"/>
    <w:rsid w:val="0D5E4AE9"/>
    <w:rsid w:val="0D7A7D36"/>
    <w:rsid w:val="0D8A159F"/>
    <w:rsid w:val="0D8D4BD3"/>
    <w:rsid w:val="0DB442B1"/>
    <w:rsid w:val="0DB6777A"/>
    <w:rsid w:val="0DE00431"/>
    <w:rsid w:val="0DE4402C"/>
    <w:rsid w:val="0E0F360C"/>
    <w:rsid w:val="0E107F1B"/>
    <w:rsid w:val="0E130167"/>
    <w:rsid w:val="0E130687"/>
    <w:rsid w:val="0E3D5D12"/>
    <w:rsid w:val="0E45356F"/>
    <w:rsid w:val="0E4D4D9A"/>
    <w:rsid w:val="0E66569A"/>
    <w:rsid w:val="0E6F1E89"/>
    <w:rsid w:val="0E716D8E"/>
    <w:rsid w:val="0E724DBB"/>
    <w:rsid w:val="0E7524FA"/>
    <w:rsid w:val="0EA524E4"/>
    <w:rsid w:val="0EA67D90"/>
    <w:rsid w:val="0EB521D8"/>
    <w:rsid w:val="0EC01F54"/>
    <w:rsid w:val="0EC425AA"/>
    <w:rsid w:val="0F124A96"/>
    <w:rsid w:val="0F243791"/>
    <w:rsid w:val="0F473AD9"/>
    <w:rsid w:val="0F6214D9"/>
    <w:rsid w:val="0F6F5C9D"/>
    <w:rsid w:val="0F731A69"/>
    <w:rsid w:val="0F7A4A71"/>
    <w:rsid w:val="0F917E8F"/>
    <w:rsid w:val="0FCD1EB8"/>
    <w:rsid w:val="0FD35A44"/>
    <w:rsid w:val="0FDD18E8"/>
    <w:rsid w:val="0FDD599D"/>
    <w:rsid w:val="0FEB70EE"/>
    <w:rsid w:val="0FF72C0B"/>
    <w:rsid w:val="100D2892"/>
    <w:rsid w:val="10157167"/>
    <w:rsid w:val="101606E9"/>
    <w:rsid w:val="10172ACA"/>
    <w:rsid w:val="106D3E50"/>
    <w:rsid w:val="10731DE4"/>
    <w:rsid w:val="10813347"/>
    <w:rsid w:val="10841945"/>
    <w:rsid w:val="10844129"/>
    <w:rsid w:val="108965E9"/>
    <w:rsid w:val="10D432D6"/>
    <w:rsid w:val="10EC62E7"/>
    <w:rsid w:val="10F3405D"/>
    <w:rsid w:val="10F368D5"/>
    <w:rsid w:val="111A2B6A"/>
    <w:rsid w:val="11241F71"/>
    <w:rsid w:val="11294246"/>
    <w:rsid w:val="112A1FDA"/>
    <w:rsid w:val="11CD1BAC"/>
    <w:rsid w:val="11FB3DB7"/>
    <w:rsid w:val="12174998"/>
    <w:rsid w:val="122B6188"/>
    <w:rsid w:val="123A091E"/>
    <w:rsid w:val="123C66B9"/>
    <w:rsid w:val="124151C0"/>
    <w:rsid w:val="12450626"/>
    <w:rsid w:val="125908BF"/>
    <w:rsid w:val="12773C83"/>
    <w:rsid w:val="1278349C"/>
    <w:rsid w:val="12860BF7"/>
    <w:rsid w:val="12881134"/>
    <w:rsid w:val="12A71E99"/>
    <w:rsid w:val="12A8049C"/>
    <w:rsid w:val="12A80FE9"/>
    <w:rsid w:val="12BB7713"/>
    <w:rsid w:val="12F95223"/>
    <w:rsid w:val="13183FE3"/>
    <w:rsid w:val="131C042A"/>
    <w:rsid w:val="13283880"/>
    <w:rsid w:val="13576D6C"/>
    <w:rsid w:val="135E171B"/>
    <w:rsid w:val="136056FF"/>
    <w:rsid w:val="137D0185"/>
    <w:rsid w:val="13E05B5D"/>
    <w:rsid w:val="13FC3189"/>
    <w:rsid w:val="14033B75"/>
    <w:rsid w:val="140A14E7"/>
    <w:rsid w:val="140E4D19"/>
    <w:rsid w:val="14231869"/>
    <w:rsid w:val="142B15A6"/>
    <w:rsid w:val="146D1E25"/>
    <w:rsid w:val="14743B6A"/>
    <w:rsid w:val="14B35F82"/>
    <w:rsid w:val="14BA3EB3"/>
    <w:rsid w:val="14C32A45"/>
    <w:rsid w:val="14ED0A97"/>
    <w:rsid w:val="150B204B"/>
    <w:rsid w:val="15110966"/>
    <w:rsid w:val="154F2A4C"/>
    <w:rsid w:val="156F3128"/>
    <w:rsid w:val="157215B4"/>
    <w:rsid w:val="15842F4C"/>
    <w:rsid w:val="15891A52"/>
    <w:rsid w:val="1589711F"/>
    <w:rsid w:val="159A50D2"/>
    <w:rsid w:val="15AA05C2"/>
    <w:rsid w:val="15B7238F"/>
    <w:rsid w:val="15EE74FF"/>
    <w:rsid w:val="15EF4547"/>
    <w:rsid w:val="15FB5CDD"/>
    <w:rsid w:val="16041FA6"/>
    <w:rsid w:val="16100557"/>
    <w:rsid w:val="16357D7B"/>
    <w:rsid w:val="166219AF"/>
    <w:rsid w:val="16912A19"/>
    <w:rsid w:val="16BC4C1A"/>
    <w:rsid w:val="16E66A03"/>
    <w:rsid w:val="17136F6C"/>
    <w:rsid w:val="17531A12"/>
    <w:rsid w:val="17CC3AEB"/>
    <w:rsid w:val="17D473FF"/>
    <w:rsid w:val="17F45527"/>
    <w:rsid w:val="18200D46"/>
    <w:rsid w:val="182C4F73"/>
    <w:rsid w:val="18400B20"/>
    <w:rsid w:val="184D3067"/>
    <w:rsid w:val="18590E0C"/>
    <w:rsid w:val="185C63F4"/>
    <w:rsid w:val="185F03F1"/>
    <w:rsid w:val="188759E9"/>
    <w:rsid w:val="1897730E"/>
    <w:rsid w:val="189B11CD"/>
    <w:rsid w:val="18DE13D2"/>
    <w:rsid w:val="19037C9C"/>
    <w:rsid w:val="193878DB"/>
    <w:rsid w:val="19654CF5"/>
    <w:rsid w:val="197C4E8F"/>
    <w:rsid w:val="198E34A0"/>
    <w:rsid w:val="199B4CDB"/>
    <w:rsid w:val="19D33F65"/>
    <w:rsid w:val="19D63A87"/>
    <w:rsid w:val="19F000CA"/>
    <w:rsid w:val="19FF56A8"/>
    <w:rsid w:val="1A0E360B"/>
    <w:rsid w:val="1A1E62E4"/>
    <w:rsid w:val="1A4C3121"/>
    <w:rsid w:val="1A9F29CF"/>
    <w:rsid w:val="1ABA1FAE"/>
    <w:rsid w:val="1ABD2EB3"/>
    <w:rsid w:val="1AC56417"/>
    <w:rsid w:val="1AF12663"/>
    <w:rsid w:val="1B12322A"/>
    <w:rsid w:val="1B2C2FAC"/>
    <w:rsid w:val="1B4D1077"/>
    <w:rsid w:val="1B8462B0"/>
    <w:rsid w:val="1B997433"/>
    <w:rsid w:val="1B9E7963"/>
    <w:rsid w:val="1BA36B67"/>
    <w:rsid w:val="1BC72929"/>
    <w:rsid w:val="1C07743F"/>
    <w:rsid w:val="1C21197F"/>
    <w:rsid w:val="1C2A3255"/>
    <w:rsid w:val="1C486CB5"/>
    <w:rsid w:val="1C6151AC"/>
    <w:rsid w:val="1C622AF4"/>
    <w:rsid w:val="1C7E3D88"/>
    <w:rsid w:val="1C9D0AC0"/>
    <w:rsid w:val="1CA70D07"/>
    <w:rsid w:val="1CB72806"/>
    <w:rsid w:val="1CBE2A2B"/>
    <w:rsid w:val="1CC46309"/>
    <w:rsid w:val="1CCA0B40"/>
    <w:rsid w:val="1CD031E3"/>
    <w:rsid w:val="1CE470CB"/>
    <w:rsid w:val="1CEB48FE"/>
    <w:rsid w:val="1D084E53"/>
    <w:rsid w:val="1D0A5BE5"/>
    <w:rsid w:val="1D0F5653"/>
    <w:rsid w:val="1D220F4A"/>
    <w:rsid w:val="1D393FAF"/>
    <w:rsid w:val="1D590266"/>
    <w:rsid w:val="1D7B5DAD"/>
    <w:rsid w:val="1DA65429"/>
    <w:rsid w:val="1DB7769C"/>
    <w:rsid w:val="1DCA4A97"/>
    <w:rsid w:val="1DDA2E0F"/>
    <w:rsid w:val="1E082684"/>
    <w:rsid w:val="1E102456"/>
    <w:rsid w:val="1E353F97"/>
    <w:rsid w:val="1E40324B"/>
    <w:rsid w:val="1E5811A2"/>
    <w:rsid w:val="1E674EA8"/>
    <w:rsid w:val="1E7144DB"/>
    <w:rsid w:val="1E76538C"/>
    <w:rsid w:val="1EAF4840"/>
    <w:rsid w:val="1EFF4273"/>
    <w:rsid w:val="1F004490"/>
    <w:rsid w:val="1F016846"/>
    <w:rsid w:val="1F0226D7"/>
    <w:rsid w:val="1F291E7F"/>
    <w:rsid w:val="1F2E3E8E"/>
    <w:rsid w:val="1F370FE6"/>
    <w:rsid w:val="1F6823AD"/>
    <w:rsid w:val="1F797065"/>
    <w:rsid w:val="1F8F2234"/>
    <w:rsid w:val="1F9E170B"/>
    <w:rsid w:val="1FAA370A"/>
    <w:rsid w:val="1FDB294E"/>
    <w:rsid w:val="1FE84287"/>
    <w:rsid w:val="1FF70B43"/>
    <w:rsid w:val="20011665"/>
    <w:rsid w:val="200250C2"/>
    <w:rsid w:val="20213B12"/>
    <w:rsid w:val="20523795"/>
    <w:rsid w:val="205F6DF3"/>
    <w:rsid w:val="208259AB"/>
    <w:rsid w:val="209C225C"/>
    <w:rsid w:val="20BA2279"/>
    <w:rsid w:val="20DA79B9"/>
    <w:rsid w:val="20E60247"/>
    <w:rsid w:val="211227FD"/>
    <w:rsid w:val="211C4213"/>
    <w:rsid w:val="212510B8"/>
    <w:rsid w:val="2126233E"/>
    <w:rsid w:val="212A7FFF"/>
    <w:rsid w:val="212F393D"/>
    <w:rsid w:val="2147312C"/>
    <w:rsid w:val="21490ECA"/>
    <w:rsid w:val="215408DD"/>
    <w:rsid w:val="215E583E"/>
    <w:rsid w:val="216F37F5"/>
    <w:rsid w:val="217B06E4"/>
    <w:rsid w:val="21C07098"/>
    <w:rsid w:val="21C34120"/>
    <w:rsid w:val="21D70AB2"/>
    <w:rsid w:val="21F34A88"/>
    <w:rsid w:val="21FC1AEA"/>
    <w:rsid w:val="220A0AE9"/>
    <w:rsid w:val="22154593"/>
    <w:rsid w:val="221874AF"/>
    <w:rsid w:val="22541164"/>
    <w:rsid w:val="22625335"/>
    <w:rsid w:val="22770E72"/>
    <w:rsid w:val="22856FC7"/>
    <w:rsid w:val="22903A5C"/>
    <w:rsid w:val="22A16BD7"/>
    <w:rsid w:val="22A871B3"/>
    <w:rsid w:val="22AC0483"/>
    <w:rsid w:val="22B82A01"/>
    <w:rsid w:val="22C75BFE"/>
    <w:rsid w:val="22D77ED5"/>
    <w:rsid w:val="22DE4344"/>
    <w:rsid w:val="22EE2D70"/>
    <w:rsid w:val="233618AD"/>
    <w:rsid w:val="23390640"/>
    <w:rsid w:val="233B6FB7"/>
    <w:rsid w:val="233E077E"/>
    <w:rsid w:val="234471B1"/>
    <w:rsid w:val="23456F56"/>
    <w:rsid w:val="234A14D6"/>
    <w:rsid w:val="23554497"/>
    <w:rsid w:val="235D1754"/>
    <w:rsid w:val="2388109F"/>
    <w:rsid w:val="23BF02FE"/>
    <w:rsid w:val="23C47048"/>
    <w:rsid w:val="23FA07AD"/>
    <w:rsid w:val="241759C5"/>
    <w:rsid w:val="24184578"/>
    <w:rsid w:val="24344B12"/>
    <w:rsid w:val="2483535C"/>
    <w:rsid w:val="248B0134"/>
    <w:rsid w:val="2498405C"/>
    <w:rsid w:val="24990922"/>
    <w:rsid w:val="24A35CA2"/>
    <w:rsid w:val="24B103E7"/>
    <w:rsid w:val="25053DE8"/>
    <w:rsid w:val="251A1D55"/>
    <w:rsid w:val="25312732"/>
    <w:rsid w:val="25534FAC"/>
    <w:rsid w:val="25825564"/>
    <w:rsid w:val="25922027"/>
    <w:rsid w:val="25F03904"/>
    <w:rsid w:val="260922FE"/>
    <w:rsid w:val="260A3EFD"/>
    <w:rsid w:val="260B6534"/>
    <w:rsid w:val="26137C1F"/>
    <w:rsid w:val="261A1F71"/>
    <w:rsid w:val="261A7540"/>
    <w:rsid w:val="261F7E45"/>
    <w:rsid w:val="26204B5D"/>
    <w:rsid w:val="262475D9"/>
    <w:rsid w:val="26457822"/>
    <w:rsid w:val="26576D3B"/>
    <w:rsid w:val="265A12AD"/>
    <w:rsid w:val="268A4DF7"/>
    <w:rsid w:val="26D31248"/>
    <w:rsid w:val="26DE52F9"/>
    <w:rsid w:val="26E76B34"/>
    <w:rsid w:val="26FC4DC3"/>
    <w:rsid w:val="26FD2E44"/>
    <w:rsid w:val="27006971"/>
    <w:rsid w:val="27210D42"/>
    <w:rsid w:val="273E1DE1"/>
    <w:rsid w:val="274264BB"/>
    <w:rsid w:val="274B2F72"/>
    <w:rsid w:val="27523EF7"/>
    <w:rsid w:val="275D7321"/>
    <w:rsid w:val="27694D4C"/>
    <w:rsid w:val="2779016E"/>
    <w:rsid w:val="27B03C02"/>
    <w:rsid w:val="27E73CCE"/>
    <w:rsid w:val="27F12C5C"/>
    <w:rsid w:val="27F3519F"/>
    <w:rsid w:val="27FF47A0"/>
    <w:rsid w:val="280252BF"/>
    <w:rsid w:val="2807465F"/>
    <w:rsid w:val="281A4818"/>
    <w:rsid w:val="282228C1"/>
    <w:rsid w:val="28492A15"/>
    <w:rsid w:val="28636FDD"/>
    <w:rsid w:val="286D2B1B"/>
    <w:rsid w:val="28833DEB"/>
    <w:rsid w:val="289034A8"/>
    <w:rsid w:val="28B71C5C"/>
    <w:rsid w:val="28CC3AD4"/>
    <w:rsid w:val="28EA4093"/>
    <w:rsid w:val="29020305"/>
    <w:rsid w:val="2946074F"/>
    <w:rsid w:val="295265C8"/>
    <w:rsid w:val="298D5295"/>
    <w:rsid w:val="29946310"/>
    <w:rsid w:val="29AC1201"/>
    <w:rsid w:val="29C55881"/>
    <w:rsid w:val="29E96520"/>
    <w:rsid w:val="29F8177B"/>
    <w:rsid w:val="2A56797E"/>
    <w:rsid w:val="2A5B3718"/>
    <w:rsid w:val="2A7E7F0E"/>
    <w:rsid w:val="2AC349A2"/>
    <w:rsid w:val="2B0105E6"/>
    <w:rsid w:val="2B163F50"/>
    <w:rsid w:val="2B313135"/>
    <w:rsid w:val="2B3479B1"/>
    <w:rsid w:val="2B3E2BA7"/>
    <w:rsid w:val="2B426968"/>
    <w:rsid w:val="2B4349A9"/>
    <w:rsid w:val="2B4C4279"/>
    <w:rsid w:val="2B555F64"/>
    <w:rsid w:val="2B6574AA"/>
    <w:rsid w:val="2B6C4EE1"/>
    <w:rsid w:val="2B8F3878"/>
    <w:rsid w:val="2B90560C"/>
    <w:rsid w:val="2BB24D3C"/>
    <w:rsid w:val="2BB77614"/>
    <w:rsid w:val="2BB95F45"/>
    <w:rsid w:val="2BBF614E"/>
    <w:rsid w:val="2BD809E0"/>
    <w:rsid w:val="2BDF4C35"/>
    <w:rsid w:val="2C2C5459"/>
    <w:rsid w:val="2C4B2BA8"/>
    <w:rsid w:val="2C566EEE"/>
    <w:rsid w:val="2C6E75B1"/>
    <w:rsid w:val="2C8C7429"/>
    <w:rsid w:val="2CA541D6"/>
    <w:rsid w:val="2CB01891"/>
    <w:rsid w:val="2CB675CB"/>
    <w:rsid w:val="2CE04298"/>
    <w:rsid w:val="2CE66024"/>
    <w:rsid w:val="2D167E87"/>
    <w:rsid w:val="2D347E59"/>
    <w:rsid w:val="2D3C17E6"/>
    <w:rsid w:val="2D4B41C2"/>
    <w:rsid w:val="2D531142"/>
    <w:rsid w:val="2D7E627A"/>
    <w:rsid w:val="2D832922"/>
    <w:rsid w:val="2D856044"/>
    <w:rsid w:val="2D954CCE"/>
    <w:rsid w:val="2DB456BA"/>
    <w:rsid w:val="2DBC7EA6"/>
    <w:rsid w:val="2DDE7BCC"/>
    <w:rsid w:val="2DE74A47"/>
    <w:rsid w:val="2DF147E1"/>
    <w:rsid w:val="2E0730B8"/>
    <w:rsid w:val="2E1A4432"/>
    <w:rsid w:val="2E2F5BE8"/>
    <w:rsid w:val="2E362E1D"/>
    <w:rsid w:val="2E6421F0"/>
    <w:rsid w:val="2E956E53"/>
    <w:rsid w:val="2ECD1FCE"/>
    <w:rsid w:val="2EEE6032"/>
    <w:rsid w:val="2F4424F3"/>
    <w:rsid w:val="2F4622C8"/>
    <w:rsid w:val="2F6A5F55"/>
    <w:rsid w:val="2F927FA3"/>
    <w:rsid w:val="2F931CCB"/>
    <w:rsid w:val="2F9378FA"/>
    <w:rsid w:val="2FAE6949"/>
    <w:rsid w:val="2FDA0DA9"/>
    <w:rsid w:val="2FE700CE"/>
    <w:rsid w:val="30350AB8"/>
    <w:rsid w:val="30456515"/>
    <w:rsid w:val="30477D66"/>
    <w:rsid w:val="304B07A0"/>
    <w:rsid w:val="305E3FEF"/>
    <w:rsid w:val="30626F88"/>
    <w:rsid w:val="30690A85"/>
    <w:rsid w:val="30850AA8"/>
    <w:rsid w:val="308A3EEB"/>
    <w:rsid w:val="309A2DD7"/>
    <w:rsid w:val="30A765A2"/>
    <w:rsid w:val="30AA37B7"/>
    <w:rsid w:val="30EF1D79"/>
    <w:rsid w:val="30F33A19"/>
    <w:rsid w:val="30FC06F8"/>
    <w:rsid w:val="3116662E"/>
    <w:rsid w:val="311C3577"/>
    <w:rsid w:val="312B27A4"/>
    <w:rsid w:val="31345C95"/>
    <w:rsid w:val="313F5CD8"/>
    <w:rsid w:val="319F2879"/>
    <w:rsid w:val="31B20253"/>
    <w:rsid w:val="31EB5744"/>
    <w:rsid w:val="31EC7DE3"/>
    <w:rsid w:val="31EF70DB"/>
    <w:rsid w:val="31F87944"/>
    <w:rsid w:val="31FA4671"/>
    <w:rsid w:val="32017270"/>
    <w:rsid w:val="323F06A4"/>
    <w:rsid w:val="324D7EB4"/>
    <w:rsid w:val="326B46A1"/>
    <w:rsid w:val="32866814"/>
    <w:rsid w:val="328A33AB"/>
    <w:rsid w:val="328F0D31"/>
    <w:rsid w:val="32A311EF"/>
    <w:rsid w:val="32B51047"/>
    <w:rsid w:val="32B51EF8"/>
    <w:rsid w:val="32C86FC7"/>
    <w:rsid w:val="32D525A6"/>
    <w:rsid w:val="334234D6"/>
    <w:rsid w:val="334A3B40"/>
    <w:rsid w:val="3387358F"/>
    <w:rsid w:val="339460EB"/>
    <w:rsid w:val="33AC0395"/>
    <w:rsid w:val="33D628C5"/>
    <w:rsid w:val="33D725D8"/>
    <w:rsid w:val="341B69BE"/>
    <w:rsid w:val="34373625"/>
    <w:rsid w:val="343E32EF"/>
    <w:rsid w:val="34600561"/>
    <w:rsid w:val="347B5DC2"/>
    <w:rsid w:val="347F6748"/>
    <w:rsid w:val="34931613"/>
    <w:rsid w:val="349B1B57"/>
    <w:rsid w:val="34AF1BDE"/>
    <w:rsid w:val="34B86EA4"/>
    <w:rsid w:val="34D572C3"/>
    <w:rsid w:val="34D73082"/>
    <w:rsid w:val="34EE2AD0"/>
    <w:rsid w:val="35053447"/>
    <w:rsid w:val="3512487E"/>
    <w:rsid w:val="35311259"/>
    <w:rsid w:val="353F293F"/>
    <w:rsid w:val="354F306D"/>
    <w:rsid w:val="35532A85"/>
    <w:rsid w:val="355849D8"/>
    <w:rsid w:val="355C726D"/>
    <w:rsid w:val="355E1F00"/>
    <w:rsid w:val="35891705"/>
    <w:rsid w:val="358A58AB"/>
    <w:rsid w:val="358C6BF1"/>
    <w:rsid w:val="35A44124"/>
    <w:rsid w:val="35B13CA1"/>
    <w:rsid w:val="35C401D0"/>
    <w:rsid w:val="35EF3798"/>
    <w:rsid w:val="36041EE1"/>
    <w:rsid w:val="3650422C"/>
    <w:rsid w:val="365363F1"/>
    <w:rsid w:val="3669452A"/>
    <w:rsid w:val="368C6A51"/>
    <w:rsid w:val="36B9292D"/>
    <w:rsid w:val="36CE1DD4"/>
    <w:rsid w:val="371A6614"/>
    <w:rsid w:val="371B3140"/>
    <w:rsid w:val="371E2D10"/>
    <w:rsid w:val="373965BE"/>
    <w:rsid w:val="373F59E1"/>
    <w:rsid w:val="374545D6"/>
    <w:rsid w:val="375C44ED"/>
    <w:rsid w:val="37777AF7"/>
    <w:rsid w:val="3787433C"/>
    <w:rsid w:val="379D0E1B"/>
    <w:rsid w:val="37AE391B"/>
    <w:rsid w:val="37D23C54"/>
    <w:rsid w:val="37DE16BC"/>
    <w:rsid w:val="38012DBE"/>
    <w:rsid w:val="38206066"/>
    <w:rsid w:val="384E5918"/>
    <w:rsid w:val="385A702E"/>
    <w:rsid w:val="386945AA"/>
    <w:rsid w:val="38712FF4"/>
    <w:rsid w:val="38821396"/>
    <w:rsid w:val="38857516"/>
    <w:rsid w:val="38B26CC3"/>
    <w:rsid w:val="38CA2B55"/>
    <w:rsid w:val="38D55B59"/>
    <w:rsid w:val="38EC71BE"/>
    <w:rsid w:val="3911492F"/>
    <w:rsid w:val="39165BB8"/>
    <w:rsid w:val="39221A7F"/>
    <w:rsid w:val="3933364A"/>
    <w:rsid w:val="39371099"/>
    <w:rsid w:val="39396058"/>
    <w:rsid w:val="394E569D"/>
    <w:rsid w:val="398820B5"/>
    <w:rsid w:val="39B80AD9"/>
    <w:rsid w:val="39C60D6D"/>
    <w:rsid w:val="39D84800"/>
    <w:rsid w:val="39F76196"/>
    <w:rsid w:val="3A1E48F2"/>
    <w:rsid w:val="3A2C1A2F"/>
    <w:rsid w:val="3A3A46C7"/>
    <w:rsid w:val="3A5E5644"/>
    <w:rsid w:val="3A6163D4"/>
    <w:rsid w:val="3A80003B"/>
    <w:rsid w:val="3AA07B9B"/>
    <w:rsid w:val="3AA909FC"/>
    <w:rsid w:val="3AE3151F"/>
    <w:rsid w:val="3B025A21"/>
    <w:rsid w:val="3B1B5E7F"/>
    <w:rsid w:val="3B1C1339"/>
    <w:rsid w:val="3B36030E"/>
    <w:rsid w:val="3B3C0E21"/>
    <w:rsid w:val="3B504C73"/>
    <w:rsid w:val="3B560DD5"/>
    <w:rsid w:val="3B577163"/>
    <w:rsid w:val="3B625842"/>
    <w:rsid w:val="3B7A2E03"/>
    <w:rsid w:val="3B7A709C"/>
    <w:rsid w:val="3B7B5461"/>
    <w:rsid w:val="3BA2231D"/>
    <w:rsid w:val="3BAC72F6"/>
    <w:rsid w:val="3BAE57F9"/>
    <w:rsid w:val="3BCD2229"/>
    <w:rsid w:val="3BEA5ED3"/>
    <w:rsid w:val="3C1760FD"/>
    <w:rsid w:val="3C262244"/>
    <w:rsid w:val="3C394173"/>
    <w:rsid w:val="3C3E0F59"/>
    <w:rsid w:val="3C4903CD"/>
    <w:rsid w:val="3C540AD0"/>
    <w:rsid w:val="3C6D2506"/>
    <w:rsid w:val="3C826849"/>
    <w:rsid w:val="3C851E79"/>
    <w:rsid w:val="3CA968CF"/>
    <w:rsid w:val="3CC12A49"/>
    <w:rsid w:val="3CC13425"/>
    <w:rsid w:val="3CE152AD"/>
    <w:rsid w:val="3D09534D"/>
    <w:rsid w:val="3D283ACA"/>
    <w:rsid w:val="3D2C6581"/>
    <w:rsid w:val="3D3E0A80"/>
    <w:rsid w:val="3D4034D7"/>
    <w:rsid w:val="3D5949F5"/>
    <w:rsid w:val="3D636B9C"/>
    <w:rsid w:val="3D6459A9"/>
    <w:rsid w:val="3D7323C6"/>
    <w:rsid w:val="3D7B74BB"/>
    <w:rsid w:val="3D7D45A9"/>
    <w:rsid w:val="3D905F63"/>
    <w:rsid w:val="3DA63134"/>
    <w:rsid w:val="3DC84BCB"/>
    <w:rsid w:val="3DDF09FF"/>
    <w:rsid w:val="3DE536F8"/>
    <w:rsid w:val="3DEC3377"/>
    <w:rsid w:val="3E0D1890"/>
    <w:rsid w:val="3E177925"/>
    <w:rsid w:val="3E1B02BF"/>
    <w:rsid w:val="3E1C62FC"/>
    <w:rsid w:val="3E4C66AE"/>
    <w:rsid w:val="3E8316FA"/>
    <w:rsid w:val="3E932DEC"/>
    <w:rsid w:val="3E9B2029"/>
    <w:rsid w:val="3E9D0CA6"/>
    <w:rsid w:val="3EA967A5"/>
    <w:rsid w:val="3EB93AA4"/>
    <w:rsid w:val="3F1A10A8"/>
    <w:rsid w:val="3F2D0449"/>
    <w:rsid w:val="3F3D60A1"/>
    <w:rsid w:val="3F527E83"/>
    <w:rsid w:val="3F594F61"/>
    <w:rsid w:val="3F644544"/>
    <w:rsid w:val="3F6A26DF"/>
    <w:rsid w:val="3F72203F"/>
    <w:rsid w:val="3F73647C"/>
    <w:rsid w:val="3F7701E5"/>
    <w:rsid w:val="3F910897"/>
    <w:rsid w:val="3FEF042B"/>
    <w:rsid w:val="3FFE6AE4"/>
    <w:rsid w:val="40096333"/>
    <w:rsid w:val="40160DF8"/>
    <w:rsid w:val="4024703D"/>
    <w:rsid w:val="40394550"/>
    <w:rsid w:val="404D1610"/>
    <w:rsid w:val="406876E8"/>
    <w:rsid w:val="4070738B"/>
    <w:rsid w:val="40A76535"/>
    <w:rsid w:val="40C2325D"/>
    <w:rsid w:val="40C717D6"/>
    <w:rsid w:val="40D47A68"/>
    <w:rsid w:val="40E17BCD"/>
    <w:rsid w:val="4113390F"/>
    <w:rsid w:val="412B0C8F"/>
    <w:rsid w:val="412D6402"/>
    <w:rsid w:val="414840DB"/>
    <w:rsid w:val="41553B1C"/>
    <w:rsid w:val="41583EC6"/>
    <w:rsid w:val="41677272"/>
    <w:rsid w:val="41807BAA"/>
    <w:rsid w:val="41870159"/>
    <w:rsid w:val="418F355F"/>
    <w:rsid w:val="41AA1C8A"/>
    <w:rsid w:val="41D70B4B"/>
    <w:rsid w:val="41E61CE4"/>
    <w:rsid w:val="41FB1397"/>
    <w:rsid w:val="420B266C"/>
    <w:rsid w:val="422A6238"/>
    <w:rsid w:val="423C731F"/>
    <w:rsid w:val="427C7E11"/>
    <w:rsid w:val="429C5476"/>
    <w:rsid w:val="42FB2AF2"/>
    <w:rsid w:val="43567F15"/>
    <w:rsid w:val="43571643"/>
    <w:rsid w:val="435B1210"/>
    <w:rsid w:val="435D3763"/>
    <w:rsid w:val="4388691E"/>
    <w:rsid w:val="43900F3C"/>
    <w:rsid w:val="439E6071"/>
    <w:rsid w:val="43AE61B4"/>
    <w:rsid w:val="43B4480B"/>
    <w:rsid w:val="43BA1709"/>
    <w:rsid w:val="43BD589B"/>
    <w:rsid w:val="43CD5B48"/>
    <w:rsid w:val="43CF5144"/>
    <w:rsid w:val="43E0565D"/>
    <w:rsid w:val="43E2249F"/>
    <w:rsid w:val="43E43078"/>
    <w:rsid w:val="43FF26AD"/>
    <w:rsid w:val="440E24E7"/>
    <w:rsid w:val="442501FC"/>
    <w:rsid w:val="442A5AAB"/>
    <w:rsid w:val="44362B09"/>
    <w:rsid w:val="443F6974"/>
    <w:rsid w:val="44502AEF"/>
    <w:rsid w:val="44AD2D29"/>
    <w:rsid w:val="44C14BCE"/>
    <w:rsid w:val="44D57898"/>
    <w:rsid w:val="44DA3508"/>
    <w:rsid w:val="44F32811"/>
    <w:rsid w:val="44F975CD"/>
    <w:rsid w:val="452A36EA"/>
    <w:rsid w:val="452C027C"/>
    <w:rsid w:val="453934A0"/>
    <w:rsid w:val="455362C8"/>
    <w:rsid w:val="45601D6D"/>
    <w:rsid w:val="457752C8"/>
    <w:rsid w:val="45847580"/>
    <w:rsid w:val="458529F1"/>
    <w:rsid w:val="458A14A5"/>
    <w:rsid w:val="458A5BD9"/>
    <w:rsid w:val="459F14A3"/>
    <w:rsid w:val="45A715D5"/>
    <w:rsid w:val="45B309F5"/>
    <w:rsid w:val="45C46796"/>
    <w:rsid w:val="45F12728"/>
    <w:rsid w:val="460415EF"/>
    <w:rsid w:val="46203682"/>
    <w:rsid w:val="462B4FB8"/>
    <w:rsid w:val="4635299C"/>
    <w:rsid w:val="46434761"/>
    <w:rsid w:val="46541705"/>
    <w:rsid w:val="46756234"/>
    <w:rsid w:val="46867476"/>
    <w:rsid w:val="469C4A71"/>
    <w:rsid w:val="46A71294"/>
    <w:rsid w:val="46B14F58"/>
    <w:rsid w:val="46B72573"/>
    <w:rsid w:val="46D23011"/>
    <w:rsid w:val="46EB5861"/>
    <w:rsid w:val="46EB78B4"/>
    <w:rsid w:val="46FC37D6"/>
    <w:rsid w:val="470D4A26"/>
    <w:rsid w:val="47253E76"/>
    <w:rsid w:val="47387112"/>
    <w:rsid w:val="473D41A7"/>
    <w:rsid w:val="479E5042"/>
    <w:rsid w:val="47B20399"/>
    <w:rsid w:val="47D42C70"/>
    <w:rsid w:val="47F958A1"/>
    <w:rsid w:val="47FB4397"/>
    <w:rsid w:val="48131E3E"/>
    <w:rsid w:val="48143654"/>
    <w:rsid w:val="48487B5E"/>
    <w:rsid w:val="486A66AD"/>
    <w:rsid w:val="48755D29"/>
    <w:rsid w:val="487F69B0"/>
    <w:rsid w:val="48B25872"/>
    <w:rsid w:val="48C67852"/>
    <w:rsid w:val="48CB55FA"/>
    <w:rsid w:val="48E27074"/>
    <w:rsid w:val="49101A24"/>
    <w:rsid w:val="492A71FD"/>
    <w:rsid w:val="4932533F"/>
    <w:rsid w:val="49333AEF"/>
    <w:rsid w:val="49692D30"/>
    <w:rsid w:val="4981130A"/>
    <w:rsid w:val="49A411FC"/>
    <w:rsid w:val="49A611D0"/>
    <w:rsid w:val="49CB58AE"/>
    <w:rsid w:val="49D86EDE"/>
    <w:rsid w:val="49E43D24"/>
    <w:rsid w:val="49E728CF"/>
    <w:rsid w:val="49ED3E8D"/>
    <w:rsid w:val="49F05448"/>
    <w:rsid w:val="4A0361AE"/>
    <w:rsid w:val="4A0824D9"/>
    <w:rsid w:val="4A2455CD"/>
    <w:rsid w:val="4A275884"/>
    <w:rsid w:val="4A381374"/>
    <w:rsid w:val="4A45118A"/>
    <w:rsid w:val="4A4829B8"/>
    <w:rsid w:val="4A487E98"/>
    <w:rsid w:val="4A4F3635"/>
    <w:rsid w:val="4A614181"/>
    <w:rsid w:val="4A726ACF"/>
    <w:rsid w:val="4A777A36"/>
    <w:rsid w:val="4A9424E9"/>
    <w:rsid w:val="4AA550CA"/>
    <w:rsid w:val="4AAC2B66"/>
    <w:rsid w:val="4AB9792D"/>
    <w:rsid w:val="4ACC0E88"/>
    <w:rsid w:val="4ADE7C41"/>
    <w:rsid w:val="4AE3548A"/>
    <w:rsid w:val="4B151DE5"/>
    <w:rsid w:val="4B287FA1"/>
    <w:rsid w:val="4B2F315C"/>
    <w:rsid w:val="4B59005A"/>
    <w:rsid w:val="4B6E1BF1"/>
    <w:rsid w:val="4B9259DF"/>
    <w:rsid w:val="4BA45C62"/>
    <w:rsid w:val="4BB07B4C"/>
    <w:rsid w:val="4BDE4051"/>
    <w:rsid w:val="4C506135"/>
    <w:rsid w:val="4C51388B"/>
    <w:rsid w:val="4C550FD3"/>
    <w:rsid w:val="4C712E6A"/>
    <w:rsid w:val="4C747E98"/>
    <w:rsid w:val="4C961B85"/>
    <w:rsid w:val="4CBE2333"/>
    <w:rsid w:val="4CC67512"/>
    <w:rsid w:val="4CC75E02"/>
    <w:rsid w:val="4CCE0A7C"/>
    <w:rsid w:val="4CD851AA"/>
    <w:rsid w:val="4CD85F26"/>
    <w:rsid w:val="4CD87B0A"/>
    <w:rsid w:val="4CD908C2"/>
    <w:rsid w:val="4D2E3EF9"/>
    <w:rsid w:val="4D331BE9"/>
    <w:rsid w:val="4D525A63"/>
    <w:rsid w:val="4D575883"/>
    <w:rsid w:val="4DB911B5"/>
    <w:rsid w:val="4DD90246"/>
    <w:rsid w:val="4DE9610C"/>
    <w:rsid w:val="4DF67EE3"/>
    <w:rsid w:val="4DFE6719"/>
    <w:rsid w:val="4E2615D9"/>
    <w:rsid w:val="4E403184"/>
    <w:rsid w:val="4E4B6BAE"/>
    <w:rsid w:val="4E6C0328"/>
    <w:rsid w:val="4EA45218"/>
    <w:rsid w:val="4EC80236"/>
    <w:rsid w:val="4ECE3B3C"/>
    <w:rsid w:val="4ED310CF"/>
    <w:rsid w:val="4EDA1977"/>
    <w:rsid w:val="4EEE1E97"/>
    <w:rsid w:val="4F020C8A"/>
    <w:rsid w:val="4F0F3B24"/>
    <w:rsid w:val="4F345E10"/>
    <w:rsid w:val="4F542AD7"/>
    <w:rsid w:val="4F63097F"/>
    <w:rsid w:val="4F6B57F2"/>
    <w:rsid w:val="4F733DCA"/>
    <w:rsid w:val="4F7475E8"/>
    <w:rsid w:val="4F8668B6"/>
    <w:rsid w:val="4FA907E3"/>
    <w:rsid w:val="4FCE75E1"/>
    <w:rsid w:val="4FD06970"/>
    <w:rsid w:val="4FD24136"/>
    <w:rsid w:val="4FD27BB7"/>
    <w:rsid w:val="4FE10750"/>
    <w:rsid w:val="4FE70BB1"/>
    <w:rsid w:val="500E1092"/>
    <w:rsid w:val="5046777E"/>
    <w:rsid w:val="505F77EE"/>
    <w:rsid w:val="506D06E0"/>
    <w:rsid w:val="507062E8"/>
    <w:rsid w:val="508C69A4"/>
    <w:rsid w:val="50942ED3"/>
    <w:rsid w:val="50A01E67"/>
    <w:rsid w:val="50A66918"/>
    <w:rsid w:val="50AB22E6"/>
    <w:rsid w:val="50B2626C"/>
    <w:rsid w:val="50B378C3"/>
    <w:rsid w:val="50BE55E4"/>
    <w:rsid w:val="50C00CDF"/>
    <w:rsid w:val="50C51F13"/>
    <w:rsid w:val="50CE2CD1"/>
    <w:rsid w:val="50E26B81"/>
    <w:rsid w:val="511D41B6"/>
    <w:rsid w:val="511D7922"/>
    <w:rsid w:val="51276A8D"/>
    <w:rsid w:val="5135034C"/>
    <w:rsid w:val="51574FF5"/>
    <w:rsid w:val="517C0F41"/>
    <w:rsid w:val="51C27814"/>
    <w:rsid w:val="51C8437B"/>
    <w:rsid w:val="51D94C6C"/>
    <w:rsid w:val="51E62DBC"/>
    <w:rsid w:val="51FA450E"/>
    <w:rsid w:val="521E224A"/>
    <w:rsid w:val="52231929"/>
    <w:rsid w:val="522B79C8"/>
    <w:rsid w:val="52301C75"/>
    <w:rsid w:val="523D1613"/>
    <w:rsid w:val="524A6C31"/>
    <w:rsid w:val="524F54BF"/>
    <w:rsid w:val="525165CC"/>
    <w:rsid w:val="52624940"/>
    <w:rsid w:val="527F2F5A"/>
    <w:rsid w:val="528B3D0C"/>
    <w:rsid w:val="528C39E8"/>
    <w:rsid w:val="529B765E"/>
    <w:rsid w:val="53455290"/>
    <w:rsid w:val="53493FF1"/>
    <w:rsid w:val="53677421"/>
    <w:rsid w:val="5371791B"/>
    <w:rsid w:val="53850279"/>
    <w:rsid w:val="538D2DB5"/>
    <w:rsid w:val="5394223B"/>
    <w:rsid w:val="53B42C9D"/>
    <w:rsid w:val="53BB7557"/>
    <w:rsid w:val="53BF2226"/>
    <w:rsid w:val="53D05605"/>
    <w:rsid w:val="53D32CA3"/>
    <w:rsid w:val="53D501A3"/>
    <w:rsid w:val="53DB08B9"/>
    <w:rsid w:val="53DE323B"/>
    <w:rsid w:val="53F415EE"/>
    <w:rsid w:val="54036A1B"/>
    <w:rsid w:val="542469B0"/>
    <w:rsid w:val="5435738F"/>
    <w:rsid w:val="54964A51"/>
    <w:rsid w:val="54A05EEC"/>
    <w:rsid w:val="54AC558A"/>
    <w:rsid w:val="54AD2C97"/>
    <w:rsid w:val="54B27666"/>
    <w:rsid w:val="54B73800"/>
    <w:rsid w:val="54BA29CD"/>
    <w:rsid w:val="54DF5D67"/>
    <w:rsid w:val="54EF79E3"/>
    <w:rsid w:val="55007474"/>
    <w:rsid w:val="551E249B"/>
    <w:rsid w:val="55452EC6"/>
    <w:rsid w:val="55663DAE"/>
    <w:rsid w:val="55803557"/>
    <w:rsid w:val="55A1022D"/>
    <w:rsid w:val="55A80B49"/>
    <w:rsid w:val="55C85865"/>
    <w:rsid w:val="55CC0C91"/>
    <w:rsid w:val="55E06EBB"/>
    <w:rsid w:val="55EC3852"/>
    <w:rsid w:val="56042AE7"/>
    <w:rsid w:val="56277CEB"/>
    <w:rsid w:val="562E3ED8"/>
    <w:rsid w:val="563C02EA"/>
    <w:rsid w:val="56857266"/>
    <w:rsid w:val="56921578"/>
    <w:rsid w:val="5693570B"/>
    <w:rsid w:val="56952819"/>
    <w:rsid w:val="56E1724F"/>
    <w:rsid w:val="56FF18BF"/>
    <w:rsid w:val="57471B9A"/>
    <w:rsid w:val="574848B8"/>
    <w:rsid w:val="57567FF7"/>
    <w:rsid w:val="575A526D"/>
    <w:rsid w:val="575D0095"/>
    <w:rsid w:val="577242C7"/>
    <w:rsid w:val="57C70940"/>
    <w:rsid w:val="57E678B0"/>
    <w:rsid w:val="57F47E03"/>
    <w:rsid w:val="580E626D"/>
    <w:rsid w:val="58225531"/>
    <w:rsid w:val="58254B1E"/>
    <w:rsid w:val="582D144A"/>
    <w:rsid w:val="584262AB"/>
    <w:rsid w:val="58504A7A"/>
    <w:rsid w:val="58640FBF"/>
    <w:rsid w:val="586A1EFE"/>
    <w:rsid w:val="589300BA"/>
    <w:rsid w:val="58993292"/>
    <w:rsid w:val="58C04A7B"/>
    <w:rsid w:val="5910476D"/>
    <w:rsid w:val="5919116E"/>
    <w:rsid w:val="591C0293"/>
    <w:rsid w:val="592749AC"/>
    <w:rsid w:val="594C5CA5"/>
    <w:rsid w:val="596E0D9E"/>
    <w:rsid w:val="59772C2D"/>
    <w:rsid w:val="597C7016"/>
    <w:rsid w:val="5990756F"/>
    <w:rsid w:val="59AE728B"/>
    <w:rsid w:val="59E855AA"/>
    <w:rsid w:val="59EB2923"/>
    <w:rsid w:val="59F43436"/>
    <w:rsid w:val="59F50E27"/>
    <w:rsid w:val="5A013603"/>
    <w:rsid w:val="5A0422D8"/>
    <w:rsid w:val="5A3234B0"/>
    <w:rsid w:val="5A6E0101"/>
    <w:rsid w:val="5A7434DB"/>
    <w:rsid w:val="5A804E21"/>
    <w:rsid w:val="5A903084"/>
    <w:rsid w:val="5AA16C2E"/>
    <w:rsid w:val="5AA53B92"/>
    <w:rsid w:val="5AAE7256"/>
    <w:rsid w:val="5ABF4248"/>
    <w:rsid w:val="5AFF5733"/>
    <w:rsid w:val="5B1F7FC6"/>
    <w:rsid w:val="5B2B42B8"/>
    <w:rsid w:val="5B4C0C1E"/>
    <w:rsid w:val="5B70090E"/>
    <w:rsid w:val="5B7F0747"/>
    <w:rsid w:val="5B9533A2"/>
    <w:rsid w:val="5BCF7BAF"/>
    <w:rsid w:val="5BF2008F"/>
    <w:rsid w:val="5C3D6B8E"/>
    <w:rsid w:val="5C435698"/>
    <w:rsid w:val="5C8F0D29"/>
    <w:rsid w:val="5CB10F5C"/>
    <w:rsid w:val="5CC56310"/>
    <w:rsid w:val="5CD30D6E"/>
    <w:rsid w:val="5CED5534"/>
    <w:rsid w:val="5CF5348A"/>
    <w:rsid w:val="5CFD6127"/>
    <w:rsid w:val="5D381AFC"/>
    <w:rsid w:val="5D5969EB"/>
    <w:rsid w:val="5D5E3802"/>
    <w:rsid w:val="5D6B1BDB"/>
    <w:rsid w:val="5D835AD3"/>
    <w:rsid w:val="5D946AB9"/>
    <w:rsid w:val="5DA27CCD"/>
    <w:rsid w:val="5DB05FA8"/>
    <w:rsid w:val="5DB52CBC"/>
    <w:rsid w:val="5DB856DE"/>
    <w:rsid w:val="5E140559"/>
    <w:rsid w:val="5E1B7675"/>
    <w:rsid w:val="5E2A5E83"/>
    <w:rsid w:val="5E2C429B"/>
    <w:rsid w:val="5E3D5FE1"/>
    <w:rsid w:val="5E3F4715"/>
    <w:rsid w:val="5E5148DB"/>
    <w:rsid w:val="5E5C51EC"/>
    <w:rsid w:val="5E601BBC"/>
    <w:rsid w:val="5E894887"/>
    <w:rsid w:val="5E921EB0"/>
    <w:rsid w:val="5E971113"/>
    <w:rsid w:val="5E985A8E"/>
    <w:rsid w:val="5EA17DEF"/>
    <w:rsid w:val="5EA900BF"/>
    <w:rsid w:val="5ED03BB3"/>
    <w:rsid w:val="5EE327F3"/>
    <w:rsid w:val="5EE85FC0"/>
    <w:rsid w:val="5EF51423"/>
    <w:rsid w:val="5F1A04B6"/>
    <w:rsid w:val="5F5C0A89"/>
    <w:rsid w:val="5F6B7E28"/>
    <w:rsid w:val="5F7869F1"/>
    <w:rsid w:val="5F834835"/>
    <w:rsid w:val="5F842CAE"/>
    <w:rsid w:val="5FB922B5"/>
    <w:rsid w:val="5FC17F7D"/>
    <w:rsid w:val="5FD76C43"/>
    <w:rsid w:val="5FDD425F"/>
    <w:rsid w:val="5FEC2DBD"/>
    <w:rsid w:val="60231F0A"/>
    <w:rsid w:val="60257D10"/>
    <w:rsid w:val="603239E7"/>
    <w:rsid w:val="60412DC9"/>
    <w:rsid w:val="604378E0"/>
    <w:rsid w:val="604D5595"/>
    <w:rsid w:val="605D40D7"/>
    <w:rsid w:val="606E4798"/>
    <w:rsid w:val="607B30E0"/>
    <w:rsid w:val="60893C38"/>
    <w:rsid w:val="609210BF"/>
    <w:rsid w:val="609C4FB0"/>
    <w:rsid w:val="609D3F4A"/>
    <w:rsid w:val="60AC60BA"/>
    <w:rsid w:val="60C04681"/>
    <w:rsid w:val="61114ED9"/>
    <w:rsid w:val="612E07E4"/>
    <w:rsid w:val="61302021"/>
    <w:rsid w:val="613A44A4"/>
    <w:rsid w:val="61497EB8"/>
    <w:rsid w:val="61554627"/>
    <w:rsid w:val="61597964"/>
    <w:rsid w:val="61647BA5"/>
    <w:rsid w:val="61714824"/>
    <w:rsid w:val="61764684"/>
    <w:rsid w:val="617D31FD"/>
    <w:rsid w:val="618D7554"/>
    <w:rsid w:val="61AC4E8C"/>
    <w:rsid w:val="61B058A0"/>
    <w:rsid w:val="61D858DE"/>
    <w:rsid w:val="61EE5415"/>
    <w:rsid w:val="61FB7E66"/>
    <w:rsid w:val="620A6796"/>
    <w:rsid w:val="621C7712"/>
    <w:rsid w:val="621D64C3"/>
    <w:rsid w:val="621F7611"/>
    <w:rsid w:val="62662F12"/>
    <w:rsid w:val="62680ED8"/>
    <w:rsid w:val="62AE2413"/>
    <w:rsid w:val="62C81642"/>
    <w:rsid w:val="62DC6C94"/>
    <w:rsid w:val="63056755"/>
    <w:rsid w:val="631751BF"/>
    <w:rsid w:val="632E1504"/>
    <w:rsid w:val="63393C24"/>
    <w:rsid w:val="634206A3"/>
    <w:rsid w:val="634D2B92"/>
    <w:rsid w:val="63520754"/>
    <w:rsid w:val="635A52DE"/>
    <w:rsid w:val="63851C33"/>
    <w:rsid w:val="638E3EA4"/>
    <w:rsid w:val="639B78DE"/>
    <w:rsid w:val="639C7D96"/>
    <w:rsid w:val="63CA12BD"/>
    <w:rsid w:val="63D67DB1"/>
    <w:rsid w:val="63EB074E"/>
    <w:rsid w:val="640B0ECF"/>
    <w:rsid w:val="64210D17"/>
    <w:rsid w:val="64357D72"/>
    <w:rsid w:val="64557CD6"/>
    <w:rsid w:val="64573399"/>
    <w:rsid w:val="645970CB"/>
    <w:rsid w:val="64836E4C"/>
    <w:rsid w:val="648D0E22"/>
    <w:rsid w:val="649C4E51"/>
    <w:rsid w:val="64B61C15"/>
    <w:rsid w:val="64C40357"/>
    <w:rsid w:val="64DC6FB2"/>
    <w:rsid w:val="64E01E10"/>
    <w:rsid w:val="64E5768E"/>
    <w:rsid w:val="6513368F"/>
    <w:rsid w:val="651B4C6D"/>
    <w:rsid w:val="651C0E5D"/>
    <w:rsid w:val="65210223"/>
    <w:rsid w:val="65370176"/>
    <w:rsid w:val="65424E04"/>
    <w:rsid w:val="654477BC"/>
    <w:rsid w:val="654E318E"/>
    <w:rsid w:val="65753B30"/>
    <w:rsid w:val="6576043F"/>
    <w:rsid w:val="65890145"/>
    <w:rsid w:val="659A3673"/>
    <w:rsid w:val="65A67D6B"/>
    <w:rsid w:val="65AD0C5A"/>
    <w:rsid w:val="65C4469B"/>
    <w:rsid w:val="65E45945"/>
    <w:rsid w:val="65EA73FC"/>
    <w:rsid w:val="65F4764F"/>
    <w:rsid w:val="66076C3E"/>
    <w:rsid w:val="661F002A"/>
    <w:rsid w:val="66242021"/>
    <w:rsid w:val="663C2025"/>
    <w:rsid w:val="66530ED4"/>
    <w:rsid w:val="666C0661"/>
    <w:rsid w:val="66750B6D"/>
    <w:rsid w:val="667809F0"/>
    <w:rsid w:val="66793021"/>
    <w:rsid w:val="668225C6"/>
    <w:rsid w:val="66827F7E"/>
    <w:rsid w:val="66866371"/>
    <w:rsid w:val="66C96CBE"/>
    <w:rsid w:val="66CD017E"/>
    <w:rsid w:val="66ED0294"/>
    <w:rsid w:val="67042F35"/>
    <w:rsid w:val="672B65B5"/>
    <w:rsid w:val="672F3717"/>
    <w:rsid w:val="6736300A"/>
    <w:rsid w:val="67667B83"/>
    <w:rsid w:val="67694F26"/>
    <w:rsid w:val="677D2F54"/>
    <w:rsid w:val="678F01F0"/>
    <w:rsid w:val="679001E6"/>
    <w:rsid w:val="67AC32A5"/>
    <w:rsid w:val="67AC4A1C"/>
    <w:rsid w:val="67AD46E3"/>
    <w:rsid w:val="67FD6813"/>
    <w:rsid w:val="680333D0"/>
    <w:rsid w:val="68127D0D"/>
    <w:rsid w:val="68277473"/>
    <w:rsid w:val="68321E96"/>
    <w:rsid w:val="683523AD"/>
    <w:rsid w:val="68592D59"/>
    <w:rsid w:val="685A394A"/>
    <w:rsid w:val="688C2914"/>
    <w:rsid w:val="68B34821"/>
    <w:rsid w:val="68B359E8"/>
    <w:rsid w:val="68C07598"/>
    <w:rsid w:val="68D21288"/>
    <w:rsid w:val="68DE4401"/>
    <w:rsid w:val="68E70390"/>
    <w:rsid w:val="68F41A7D"/>
    <w:rsid w:val="68FB05B9"/>
    <w:rsid w:val="6913751F"/>
    <w:rsid w:val="696947C4"/>
    <w:rsid w:val="69703E17"/>
    <w:rsid w:val="697426B6"/>
    <w:rsid w:val="69874726"/>
    <w:rsid w:val="698F6CBE"/>
    <w:rsid w:val="699204E6"/>
    <w:rsid w:val="69B57975"/>
    <w:rsid w:val="69DC4A43"/>
    <w:rsid w:val="69E9044A"/>
    <w:rsid w:val="69EF31A0"/>
    <w:rsid w:val="6A1115DE"/>
    <w:rsid w:val="6A2E52E6"/>
    <w:rsid w:val="6A30798C"/>
    <w:rsid w:val="6A353A03"/>
    <w:rsid w:val="6A3C48AF"/>
    <w:rsid w:val="6A5905C4"/>
    <w:rsid w:val="6A5A2FF5"/>
    <w:rsid w:val="6A803538"/>
    <w:rsid w:val="6A962E8A"/>
    <w:rsid w:val="6A972E90"/>
    <w:rsid w:val="6ACB0FB2"/>
    <w:rsid w:val="6B01014B"/>
    <w:rsid w:val="6B012AF6"/>
    <w:rsid w:val="6B202629"/>
    <w:rsid w:val="6B3A1119"/>
    <w:rsid w:val="6C2C4CBC"/>
    <w:rsid w:val="6C2D69FC"/>
    <w:rsid w:val="6C2E26B0"/>
    <w:rsid w:val="6C3154C7"/>
    <w:rsid w:val="6C370902"/>
    <w:rsid w:val="6C3A6A5E"/>
    <w:rsid w:val="6C4B076E"/>
    <w:rsid w:val="6C561E80"/>
    <w:rsid w:val="6C6E2C0E"/>
    <w:rsid w:val="6C843323"/>
    <w:rsid w:val="6C937296"/>
    <w:rsid w:val="6C970DE8"/>
    <w:rsid w:val="6C9809EF"/>
    <w:rsid w:val="6CB717E4"/>
    <w:rsid w:val="6CBD704C"/>
    <w:rsid w:val="6CD44C16"/>
    <w:rsid w:val="6CF12D67"/>
    <w:rsid w:val="6CFF2E31"/>
    <w:rsid w:val="6D061FD1"/>
    <w:rsid w:val="6D2927C1"/>
    <w:rsid w:val="6D432CC4"/>
    <w:rsid w:val="6D4B1AA1"/>
    <w:rsid w:val="6D4E4EEC"/>
    <w:rsid w:val="6D50269A"/>
    <w:rsid w:val="6D5248F6"/>
    <w:rsid w:val="6D5C2218"/>
    <w:rsid w:val="6D5D2C40"/>
    <w:rsid w:val="6D760E07"/>
    <w:rsid w:val="6D8761B2"/>
    <w:rsid w:val="6D89644D"/>
    <w:rsid w:val="6D9A39ED"/>
    <w:rsid w:val="6DA15C72"/>
    <w:rsid w:val="6DAB50A1"/>
    <w:rsid w:val="6DBD3CCC"/>
    <w:rsid w:val="6E0B6A48"/>
    <w:rsid w:val="6E4B0434"/>
    <w:rsid w:val="6E4E3AD4"/>
    <w:rsid w:val="6E6878ED"/>
    <w:rsid w:val="6E6D79E2"/>
    <w:rsid w:val="6E92123B"/>
    <w:rsid w:val="6EA20818"/>
    <w:rsid w:val="6EA6679D"/>
    <w:rsid w:val="6EC90A03"/>
    <w:rsid w:val="6EE63D35"/>
    <w:rsid w:val="6EE65407"/>
    <w:rsid w:val="6EFD3BFD"/>
    <w:rsid w:val="6EFE0E7D"/>
    <w:rsid w:val="6F29738F"/>
    <w:rsid w:val="6F521A4E"/>
    <w:rsid w:val="6F5E3EE1"/>
    <w:rsid w:val="6F7C099B"/>
    <w:rsid w:val="6F9D3CB9"/>
    <w:rsid w:val="6FCE5E78"/>
    <w:rsid w:val="6FFF178F"/>
    <w:rsid w:val="70236282"/>
    <w:rsid w:val="702C513B"/>
    <w:rsid w:val="702F5AC0"/>
    <w:rsid w:val="707A7156"/>
    <w:rsid w:val="70AB341E"/>
    <w:rsid w:val="70BF04E1"/>
    <w:rsid w:val="70BF21E6"/>
    <w:rsid w:val="70C11F39"/>
    <w:rsid w:val="70C924E9"/>
    <w:rsid w:val="70E24E22"/>
    <w:rsid w:val="70F27F7C"/>
    <w:rsid w:val="710A7363"/>
    <w:rsid w:val="7116438D"/>
    <w:rsid w:val="71227AD3"/>
    <w:rsid w:val="712460A3"/>
    <w:rsid w:val="71300E8D"/>
    <w:rsid w:val="713C5E2F"/>
    <w:rsid w:val="718D32F2"/>
    <w:rsid w:val="71B2721E"/>
    <w:rsid w:val="71B572E6"/>
    <w:rsid w:val="71C533A0"/>
    <w:rsid w:val="71EE6C2F"/>
    <w:rsid w:val="7207423F"/>
    <w:rsid w:val="721D5E25"/>
    <w:rsid w:val="72317FC3"/>
    <w:rsid w:val="72323FD3"/>
    <w:rsid w:val="72414F83"/>
    <w:rsid w:val="7248619F"/>
    <w:rsid w:val="728B47AF"/>
    <w:rsid w:val="72991F5D"/>
    <w:rsid w:val="729C6A4B"/>
    <w:rsid w:val="72CE61F2"/>
    <w:rsid w:val="72EA27FA"/>
    <w:rsid w:val="72EA4080"/>
    <w:rsid w:val="72F47862"/>
    <w:rsid w:val="72F77BAF"/>
    <w:rsid w:val="730C342D"/>
    <w:rsid w:val="7316244D"/>
    <w:rsid w:val="7321056D"/>
    <w:rsid w:val="73485B5D"/>
    <w:rsid w:val="734A2A06"/>
    <w:rsid w:val="734F07FE"/>
    <w:rsid w:val="735757D0"/>
    <w:rsid w:val="73771610"/>
    <w:rsid w:val="737F64C6"/>
    <w:rsid w:val="73975325"/>
    <w:rsid w:val="739F635D"/>
    <w:rsid w:val="73BD0CF9"/>
    <w:rsid w:val="73E5524F"/>
    <w:rsid w:val="73EE2E16"/>
    <w:rsid w:val="73FD702F"/>
    <w:rsid w:val="74133F47"/>
    <w:rsid w:val="741F2BAA"/>
    <w:rsid w:val="743B61B5"/>
    <w:rsid w:val="744B6231"/>
    <w:rsid w:val="746A0106"/>
    <w:rsid w:val="74784F9B"/>
    <w:rsid w:val="747D7EA8"/>
    <w:rsid w:val="748566B7"/>
    <w:rsid w:val="74B03533"/>
    <w:rsid w:val="74CA7270"/>
    <w:rsid w:val="74CF3F8F"/>
    <w:rsid w:val="74D94AFA"/>
    <w:rsid w:val="74F973D8"/>
    <w:rsid w:val="75156726"/>
    <w:rsid w:val="75254204"/>
    <w:rsid w:val="75324B8E"/>
    <w:rsid w:val="7563129D"/>
    <w:rsid w:val="758234CA"/>
    <w:rsid w:val="75850210"/>
    <w:rsid w:val="7591231E"/>
    <w:rsid w:val="759D43F7"/>
    <w:rsid w:val="75AD72A6"/>
    <w:rsid w:val="75B15BA4"/>
    <w:rsid w:val="75BA3F18"/>
    <w:rsid w:val="76093F0F"/>
    <w:rsid w:val="761219E3"/>
    <w:rsid w:val="76594214"/>
    <w:rsid w:val="76627270"/>
    <w:rsid w:val="7664421B"/>
    <w:rsid w:val="76664A52"/>
    <w:rsid w:val="766B53AB"/>
    <w:rsid w:val="7689295C"/>
    <w:rsid w:val="768A3309"/>
    <w:rsid w:val="76B004DB"/>
    <w:rsid w:val="76B06F79"/>
    <w:rsid w:val="76B44C77"/>
    <w:rsid w:val="76C13DC3"/>
    <w:rsid w:val="76D25052"/>
    <w:rsid w:val="76D43CC6"/>
    <w:rsid w:val="76E67DFE"/>
    <w:rsid w:val="77125ECB"/>
    <w:rsid w:val="7713390A"/>
    <w:rsid w:val="771A4719"/>
    <w:rsid w:val="773A0B3F"/>
    <w:rsid w:val="773E6B45"/>
    <w:rsid w:val="77552C6D"/>
    <w:rsid w:val="776A463A"/>
    <w:rsid w:val="77701050"/>
    <w:rsid w:val="778A4564"/>
    <w:rsid w:val="77A86BC7"/>
    <w:rsid w:val="77B87D35"/>
    <w:rsid w:val="77C21EF5"/>
    <w:rsid w:val="77C63D7E"/>
    <w:rsid w:val="77D838CE"/>
    <w:rsid w:val="77E57E55"/>
    <w:rsid w:val="7814019F"/>
    <w:rsid w:val="7818320B"/>
    <w:rsid w:val="78241AD7"/>
    <w:rsid w:val="786B6CFD"/>
    <w:rsid w:val="786F12B7"/>
    <w:rsid w:val="787B0374"/>
    <w:rsid w:val="78997032"/>
    <w:rsid w:val="789F5452"/>
    <w:rsid w:val="78AB0D85"/>
    <w:rsid w:val="78B41FA9"/>
    <w:rsid w:val="78B6256E"/>
    <w:rsid w:val="78DA07A2"/>
    <w:rsid w:val="78EA42F6"/>
    <w:rsid w:val="792C2C25"/>
    <w:rsid w:val="79586C0A"/>
    <w:rsid w:val="796F6CAE"/>
    <w:rsid w:val="79A47164"/>
    <w:rsid w:val="79BF2534"/>
    <w:rsid w:val="79E25DEE"/>
    <w:rsid w:val="79FC3739"/>
    <w:rsid w:val="7A2E143E"/>
    <w:rsid w:val="7A3A3A62"/>
    <w:rsid w:val="7A3A3F72"/>
    <w:rsid w:val="7A484151"/>
    <w:rsid w:val="7A7971AC"/>
    <w:rsid w:val="7A8B1E4E"/>
    <w:rsid w:val="7AA649B6"/>
    <w:rsid w:val="7AA91A28"/>
    <w:rsid w:val="7ABC46F6"/>
    <w:rsid w:val="7AD35DA2"/>
    <w:rsid w:val="7ADE60C9"/>
    <w:rsid w:val="7AE00351"/>
    <w:rsid w:val="7AFE1511"/>
    <w:rsid w:val="7B146E63"/>
    <w:rsid w:val="7B2C4972"/>
    <w:rsid w:val="7BA179FB"/>
    <w:rsid w:val="7BA35E10"/>
    <w:rsid w:val="7BA60D0D"/>
    <w:rsid w:val="7BDA602B"/>
    <w:rsid w:val="7BEA22EC"/>
    <w:rsid w:val="7C0F762B"/>
    <w:rsid w:val="7C152B20"/>
    <w:rsid w:val="7C207F7F"/>
    <w:rsid w:val="7C3924AE"/>
    <w:rsid w:val="7C3E0E25"/>
    <w:rsid w:val="7C446BDF"/>
    <w:rsid w:val="7C4523F0"/>
    <w:rsid w:val="7C493FF4"/>
    <w:rsid w:val="7C4C54A1"/>
    <w:rsid w:val="7C5B081A"/>
    <w:rsid w:val="7C5C66E9"/>
    <w:rsid w:val="7C794B5B"/>
    <w:rsid w:val="7C7F4CCC"/>
    <w:rsid w:val="7C8568A1"/>
    <w:rsid w:val="7C8C2A9A"/>
    <w:rsid w:val="7CBA7841"/>
    <w:rsid w:val="7CDB1DD3"/>
    <w:rsid w:val="7CE24DD5"/>
    <w:rsid w:val="7CF65380"/>
    <w:rsid w:val="7CFC777D"/>
    <w:rsid w:val="7D320BEB"/>
    <w:rsid w:val="7D3B4341"/>
    <w:rsid w:val="7D586DF3"/>
    <w:rsid w:val="7D8D0286"/>
    <w:rsid w:val="7D8D510B"/>
    <w:rsid w:val="7D994535"/>
    <w:rsid w:val="7D9C2421"/>
    <w:rsid w:val="7DDC7D9D"/>
    <w:rsid w:val="7DE800A3"/>
    <w:rsid w:val="7DF4402B"/>
    <w:rsid w:val="7E037708"/>
    <w:rsid w:val="7E1D136A"/>
    <w:rsid w:val="7E2E2BB2"/>
    <w:rsid w:val="7E424D62"/>
    <w:rsid w:val="7E506FF1"/>
    <w:rsid w:val="7E5217E2"/>
    <w:rsid w:val="7E5D6769"/>
    <w:rsid w:val="7E5F1E22"/>
    <w:rsid w:val="7E717D16"/>
    <w:rsid w:val="7E8C6DF9"/>
    <w:rsid w:val="7E920DE5"/>
    <w:rsid w:val="7EBB62DE"/>
    <w:rsid w:val="7ECD5014"/>
    <w:rsid w:val="7EDB2C91"/>
    <w:rsid w:val="7F1E45E6"/>
    <w:rsid w:val="7F2930D8"/>
    <w:rsid w:val="7F4B55FB"/>
    <w:rsid w:val="7F5210E9"/>
    <w:rsid w:val="7F5856ED"/>
    <w:rsid w:val="7F693D16"/>
    <w:rsid w:val="7F712CD7"/>
    <w:rsid w:val="7F84452F"/>
    <w:rsid w:val="7F860BD6"/>
    <w:rsid w:val="7F885ADA"/>
    <w:rsid w:val="7F932732"/>
    <w:rsid w:val="7F936438"/>
    <w:rsid w:val="7FC30C77"/>
    <w:rsid w:val="7FC835BD"/>
    <w:rsid w:val="7FEA2547"/>
    <w:rsid w:val="7FF35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30"/>
    <w:qFormat/>
    <w:uiPriority w:val="9"/>
    <w:pPr>
      <w:keepNext/>
      <w:keepLines/>
      <w:spacing w:before="120" w:after="120" w:line="240" w:lineRule="auto"/>
      <w:jc w:val="center"/>
      <w:outlineLvl w:val="0"/>
    </w:pPr>
    <w:rPr>
      <w:b/>
      <w:bCs/>
      <w:kern w:val="44"/>
      <w:sz w:val="32"/>
      <w:szCs w:val="44"/>
    </w:rPr>
  </w:style>
  <w:style w:type="paragraph" w:styleId="5">
    <w:name w:val="heading 2"/>
    <w:basedOn w:val="1"/>
    <w:next w:val="1"/>
    <w:link w:val="31"/>
    <w:unhideWhenUsed/>
    <w:qFormat/>
    <w:uiPriority w:val="9"/>
    <w:pPr>
      <w:keepNext/>
      <w:keepLines/>
      <w:spacing w:before="120" w:after="120"/>
      <w:jc w:val="center"/>
      <w:outlineLvl w:val="1"/>
    </w:pPr>
    <w:rPr>
      <w:rFonts w:ascii="Calibri Light" w:hAnsi="Calibri Light" w:eastAsia="黑体"/>
      <w:b/>
      <w:bCs/>
      <w:sz w:val="28"/>
      <w:szCs w:val="32"/>
    </w:rPr>
  </w:style>
  <w:style w:type="paragraph" w:styleId="6">
    <w:name w:val="heading 3"/>
    <w:basedOn w:val="1"/>
    <w:next w:val="1"/>
    <w:link w:val="32"/>
    <w:unhideWhenUsed/>
    <w:qFormat/>
    <w:uiPriority w:val="9"/>
    <w:pPr>
      <w:keepNext/>
      <w:keepLines/>
      <w:spacing w:before="20" w:after="20" w:line="240" w:lineRule="auto"/>
      <w:outlineLvl w:val="2"/>
    </w:pPr>
    <w:rPr>
      <w:b/>
      <w:bCs/>
      <w:sz w:val="28"/>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firstLineChars="200"/>
    </w:pPr>
  </w:style>
  <w:style w:type="paragraph" w:styleId="3">
    <w:name w:val="Body Text Indent"/>
    <w:basedOn w:val="1"/>
    <w:semiHidden/>
    <w:unhideWhenUsed/>
    <w:qFormat/>
    <w:uiPriority w:val="0"/>
    <w:pPr>
      <w:spacing w:after="120"/>
      <w:ind w:left="420" w:leftChars="200"/>
    </w:pPr>
  </w:style>
  <w:style w:type="paragraph" w:styleId="7">
    <w:name w:val="annotation text"/>
    <w:basedOn w:val="1"/>
    <w:link w:val="37"/>
    <w:semiHidden/>
    <w:unhideWhenUsed/>
    <w:qFormat/>
    <w:uiPriority w:val="0"/>
    <w:pPr>
      <w:jc w:val="left"/>
    </w:pPr>
  </w:style>
  <w:style w:type="paragraph" w:styleId="8">
    <w:name w:val="toc 3"/>
    <w:basedOn w:val="1"/>
    <w:next w:val="1"/>
    <w:unhideWhenUsed/>
    <w:qFormat/>
    <w:uiPriority w:val="39"/>
    <w:pPr>
      <w:ind w:left="840" w:leftChars="400"/>
    </w:pPr>
  </w:style>
  <w:style w:type="paragraph" w:styleId="9">
    <w:name w:val="Date"/>
    <w:basedOn w:val="1"/>
    <w:next w:val="1"/>
    <w:link w:val="35"/>
    <w:semiHidden/>
    <w:unhideWhenUsed/>
    <w:qFormat/>
    <w:uiPriority w:val="0"/>
    <w:pPr>
      <w:ind w:left="100" w:leftChars="2500"/>
    </w:pPr>
  </w:style>
  <w:style w:type="paragraph" w:styleId="10">
    <w:name w:val="Balloon Text"/>
    <w:basedOn w:val="1"/>
    <w:link w:val="34"/>
    <w:unhideWhenUsed/>
    <w:qFormat/>
    <w:uiPriority w:val="99"/>
    <w:pPr>
      <w:spacing w:line="240" w:lineRule="auto"/>
    </w:pPr>
    <w:rPr>
      <w:sz w:val="18"/>
      <w:szCs w:val="18"/>
    </w:rPr>
  </w:style>
  <w:style w:type="paragraph" w:styleId="11">
    <w:name w:val="footer"/>
    <w:basedOn w:val="1"/>
    <w:link w:val="29"/>
    <w:unhideWhenUsed/>
    <w:qFormat/>
    <w:uiPriority w:val="99"/>
    <w:pPr>
      <w:tabs>
        <w:tab w:val="center" w:pos="4153"/>
        <w:tab w:val="right" w:pos="8306"/>
      </w:tabs>
      <w:snapToGrid w:val="0"/>
      <w:jc w:val="left"/>
    </w:pPr>
    <w:rPr>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line="330" w:lineRule="atLeast"/>
      <w:jc w:val="left"/>
    </w:pPr>
    <w:rPr>
      <w:rFonts w:ascii="宋体" w:hAnsi="宋体" w:cs="宋体"/>
      <w:kern w:val="0"/>
      <w:sz w:val="22"/>
      <w:szCs w:val="22"/>
    </w:rPr>
  </w:style>
  <w:style w:type="paragraph" w:styleId="16">
    <w:name w:val="annotation subject"/>
    <w:basedOn w:val="7"/>
    <w:next w:val="7"/>
    <w:link w:val="38"/>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0"/>
    <w:rPr>
      <w:color w:val="0000CC"/>
      <w:sz w:val="22"/>
      <w:szCs w:val="22"/>
      <w:u w:val="single"/>
    </w:rPr>
  </w:style>
  <w:style w:type="character" w:styleId="22">
    <w:name w:val="Hyperlink"/>
    <w:unhideWhenUsed/>
    <w:qFormat/>
    <w:uiPriority w:val="99"/>
    <w:rPr>
      <w:color w:val="0563C1"/>
      <w:u w:val="single"/>
    </w:rPr>
  </w:style>
  <w:style w:type="character" w:styleId="23">
    <w:name w:val="annotation reference"/>
    <w:basedOn w:val="19"/>
    <w:semiHidden/>
    <w:unhideWhenUsed/>
    <w:qFormat/>
    <w:uiPriority w:val="0"/>
    <w:rPr>
      <w:sz w:val="21"/>
      <w:szCs w:val="21"/>
    </w:rPr>
  </w:style>
  <w:style w:type="paragraph" w:customStyle="1" w:styleId="24">
    <w:name w:val="列出段落1"/>
    <w:basedOn w:val="1"/>
    <w:qFormat/>
    <w:uiPriority w:val="34"/>
    <w:pPr>
      <w:ind w:firstLine="420" w:firstLineChars="200"/>
    </w:pPr>
  </w:style>
  <w:style w:type="paragraph" w:customStyle="1" w:styleId="25">
    <w:name w:val="表题"/>
    <w:basedOn w:val="1"/>
    <w:link w:val="33"/>
    <w:qFormat/>
    <w:uiPriority w:val="99"/>
    <w:pPr>
      <w:spacing w:beforeLines="50" w:afterLines="50" w:line="240" w:lineRule="auto"/>
      <w:jc w:val="center"/>
      <w:outlineLvl w:val="5"/>
    </w:pPr>
    <w:rPr>
      <w:b/>
      <w:sz w:val="22"/>
      <w:szCs w:val="22"/>
    </w:rPr>
  </w:style>
  <w:style w:type="paragraph" w:customStyle="1" w:styleId="26">
    <w:name w:val="TOC 标题1"/>
    <w:basedOn w:val="4"/>
    <w:next w:val="1"/>
    <w:unhideWhenUsed/>
    <w:qFormat/>
    <w:uiPriority w:val="39"/>
    <w:pPr>
      <w:widowControl/>
      <w:spacing w:before="240" w:after="0" w:line="259" w:lineRule="auto"/>
      <w:jc w:val="left"/>
      <w:outlineLvl w:val="9"/>
    </w:pPr>
    <w:rPr>
      <w:rFonts w:ascii="Calibri Light" w:hAnsi="Calibri Light"/>
      <w:b w:val="0"/>
      <w:bCs w:val="0"/>
      <w:color w:val="2D73B3"/>
      <w:kern w:val="0"/>
      <w:szCs w:val="32"/>
    </w:rPr>
  </w:style>
  <w:style w:type="paragraph" w:customStyle="1" w:styleId="27">
    <w:name w:val="修订1"/>
    <w:hidden/>
    <w:semiHidden/>
    <w:qFormat/>
    <w:uiPriority w:val="99"/>
    <w:rPr>
      <w:rFonts w:ascii="Times New Roman" w:hAnsi="Times New Roman" w:eastAsia="宋体" w:cs="Times New Roman"/>
      <w:kern w:val="2"/>
      <w:sz w:val="24"/>
      <w:szCs w:val="24"/>
      <w:lang w:val="en-US" w:eastAsia="zh-CN" w:bidi="ar-SA"/>
    </w:rPr>
  </w:style>
  <w:style w:type="character" w:customStyle="1" w:styleId="28">
    <w:name w:val="页眉 字符"/>
    <w:link w:val="12"/>
    <w:qFormat/>
    <w:uiPriority w:val="99"/>
    <w:rPr>
      <w:sz w:val="18"/>
      <w:szCs w:val="18"/>
    </w:rPr>
  </w:style>
  <w:style w:type="character" w:customStyle="1" w:styleId="29">
    <w:name w:val="页脚 字符"/>
    <w:link w:val="11"/>
    <w:qFormat/>
    <w:uiPriority w:val="99"/>
    <w:rPr>
      <w:sz w:val="18"/>
      <w:szCs w:val="18"/>
    </w:rPr>
  </w:style>
  <w:style w:type="character" w:customStyle="1" w:styleId="30">
    <w:name w:val="标题 1 字符"/>
    <w:link w:val="4"/>
    <w:qFormat/>
    <w:uiPriority w:val="9"/>
    <w:rPr>
      <w:b/>
      <w:bCs/>
      <w:kern w:val="44"/>
      <w:sz w:val="32"/>
      <w:szCs w:val="44"/>
    </w:rPr>
  </w:style>
  <w:style w:type="character" w:customStyle="1" w:styleId="31">
    <w:name w:val="标题 2 字符"/>
    <w:link w:val="5"/>
    <w:qFormat/>
    <w:uiPriority w:val="9"/>
    <w:rPr>
      <w:rFonts w:ascii="Calibri Light" w:hAnsi="Calibri Light" w:eastAsia="黑体"/>
      <w:b/>
      <w:bCs/>
      <w:kern w:val="2"/>
      <w:sz w:val="28"/>
      <w:szCs w:val="32"/>
    </w:rPr>
  </w:style>
  <w:style w:type="character" w:customStyle="1" w:styleId="32">
    <w:name w:val="标题 3 字符"/>
    <w:link w:val="6"/>
    <w:qFormat/>
    <w:uiPriority w:val="9"/>
    <w:rPr>
      <w:rFonts w:ascii="Times New Roman" w:hAnsi="Times New Roman" w:eastAsia="仿宋" w:cs="Times New Roman"/>
      <w:b/>
      <w:bCs/>
      <w:sz w:val="28"/>
      <w:szCs w:val="32"/>
    </w:rPr>
  </w:style>
  <w:style w:type="character" w:customStyle="1" w:styleId="33">
    <w:name w:val="表题 字符"/>
    <w:link w:val="25"/>
    <w:qFormat/>
    <w:uiPriority w:val="99"/>
    <w:rPr>
      <w:rFonts w:ascii="Times New Roman" w:hAnsi="Times New Roman"/>
      <w:b/>
      <w:sz w:val="22"/>
    </w:rPr>
  </w:style>
  <w:style w:type="character" w:customStyle="1" w:styleId="34">
    <w:name w:val="批注框文本 字符"/>
    <w:link w:val="10"/>
    <w:semiHidden/>
    <w:qFormat/>
    <w:uiPriority w:val="99"/>
    <w:rPr>
      <w:rFonts w:ascii="Times New Roman" w:hAnsi="Times New Roman" w:cs="Times New Roman"/>
      <w:sz w:val="18"/>
      <w:szCs w:val="18"/>
    </w:rPr>
  </w:style>
  <w:style w:type="character" w:customStyle="1" w:styleId="35">
    <w:name w:val="日期 字符"/>
    <w:basedOn w:val="19"/>
    <w:link w:val="9"/>
    <w:semiHidden/>
    <w:qFormat/>
    <w:uiPriority w:val="0"/>
    <w:rPr>
      <w:kern w:val="2"/>
      <w:sz w:val="24"/>
      <w:szCs w:val="24"/>
    </w:rPr>
  </w:style>
  <w:style w:type="paragraph" w:styleId="36">
    <w:name w:val="List Paragraph"/>
    <w:basedOn w:val="1"/>
    <w:qFormat/>
    <w:uiPriority w:val="99"/>
    <w:pPr>
      <w:ind w:firstLine="420" w:firstLineChars="200"/>
    </w:pPr>
  </w:style>
  <w:style w:type="character" w:customStyle="1" w:styleId="37">
    <w:name w:val="批注文字 字符"/>
    <w:basedOn w:val="19"/>
    <w:link w:val="7"/>
    <w:semiHidden/>
    <w:qFormat/>
    <w:uiPriority w:val="0"/>
    <w:rPr>
      <w:kern w:val="2"/>
      <w:sz w:val="24"/>
      <w:szCs w:val="24"/>
    </w:rPr>
  </w:style>
  <w:style w:type="character" w:customStyle="1" w:styleId="38">
    <w:name w:val="批注主题 字符"/>
    <w:basedOn w:val="37"/>
    <w:link w:val="16"/>
    <w:semiHidden/>
    <w:qFormat/>
    <w:uiPriority w:val="0"/>
    <w:rPr>
      <w:b/>
      <w:bCs/>
      <w:kern w:val="2"/>
      <w:sz w:val="24"/>
      <w:szCs w:val="24"/>
    </w:rPr>
  </w:style>
  <w:style w:type="paragraph" w:customStyle="1" w:styleId="39">
    <w:name w:val="修订2"/>
    <w:hidden/>
    <w:semiHidden/>
    <w:qFormat/>
    <w:uiPriority w:val="99"/>
    <w:rPr>
      <w:rFonts w:ascii="Times New Roman" w:hAnsi="Times New Roman" w:eastAsia="宋体" w:cs="Times New Roman"/>
      <w:kern w:val="2"/>
      <w:sz w:val="24"/>
      <w:szCs w:val="24"/>
      <w:lang w:val="en-US" w:eastAsia="zh-CN" w:bidi="ar-SA"/>
    </w:rPr>
  </w:style>
  <w:style w:type="character" w:customStyle="1" w:styleId="40">
    <w:name w:val="fontstyle01"/>
    <w:basedOn w:val="19"/>
    <w:qFormat/>
    <w:uiPriority w:val="0"/>
    <w:rPr>
      <w:rFonts w:hint="eastAsia" w:ascii="黑体" w:hAnsi="黑体" w:eastAsia="黑体"/>
      <w:color w:val="000000"/>
      <w:sz w:val="44"/>
      <w:szCs w:val="44"/>
    </w:rPr>
  </w:style>
  <w:style w:type="character" w:customStyle="1" w:styleId="41">
    <w:name w:val="style71"/>
    <w:basedOn w:val="19"/>
    <w:qFormat/>
    <w:uiPriority w:val="0"/>
    <w:rPr>
      <w:sz w:val="24"/>
      <w:szCs w:val="24"/>
    </w:rPr>
  </w:style>
  <w:style w:type="paragraph" w:customStyle="1" w:styleId="42">
    <w:name w:val="样式2"/>
    <w:basedOn w:val="6"/>
    <w:next w:val="1"/>
    <w:qFormat/>
    <w:uiPriority w:val="0"/>
    <w:pPr>
      <w:numPr>
        <w:ilvl w:val="2"/>
        <w:numId w:val="1"/>
      </w:numPr>
      <w:tabs>
        <w:tab w:val="left" w:pos="1260"/>
      </w:tabs>
      <w:spacing w:before="0" w:after="0" w:line="360" w:lineRule="auto"/>
      <w:jc w:val="center"/>
    </w:pPr>
    <w:rPr>
      <w:b w:val="0"/>
      <w:bCs w:val="0"/>
      <w:sz w:val="24"/>
      <w:szCs w:val="24"/>
    </w:rPr>
  </w:style>
  <w:style w:type="paragraph" w:customStyle="1" w:styleId="43">
    <w:name w:val="样式1"/>
    <w:basedOn w:val="1"/>
    <w:qFormat/>
    <w:uiPriority w:val="0"/>
    <w:pPr>
      <w:numPr>
        <w:ilvl w:val="0"/>
        <w:numId w:val="2"/>
      </w:numPr>
    </w:pPr>
  </w:style>
  <w:style w:type="character" w:styleId="44">
    <w:name w:val="Placeholder Text"/>
    <w:basedOn w:val="19"/>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8ABCF-FDD4-4EC6-A7B7-8D50C6F2E792}">
  <ds:schemaRefs/>
</ds:datastoreItem>
</file>

<file path=docProps/app.xml><?xml version="1.0" encoding="utf-8"?>
<Properties xmlns="http://schemas.openxmlformats.org/officeDocument/2006/extended-properties" xmlns:vt="http://schemas.openxmlformats.org/officeDocument/2006/docPropsVTypes">
  <Template>Normal</Template>
  <Company>DELLEMC</Company>
  <Pages>30</Pages>
  <Words>15023</Words>
  <Characters>16890</Characters>
  <Lines>142</Lines>
  <Paragraphs>40</Paragraphs>
  <TotalTime>4</TotalTime>
  <ScaleCrop>false</ScaleCrop>
  <LinksUpToDate>false</LinksUpToDate>
  <CharactersWithSpaces>17557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2021-01-24T23:04:00Z</dcterms:created>
  <dc:creator>DELL</dc:creator>
  <cp:lastModifiedBy>张珣珣</cp:lastModifiedBy>
  <cp:lastPrinted>2022-09-15T01:53:00Z</cp:lastPrinted>
  <dcterms:modified xsi:type="dcterms:W3CDTF">2022-09-27T06:10:43Z</dcterms:modified>
  <dc:title>青岛市清洁取暖气代煤工程</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C7C2B77A2BD649DC99E32EB49C36868A</vt:lpwstr>
  </property>
</Properties>
</file>