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附件1</w:t>
      </w:r>
    </w:p>
    <w:p>
      <w:pPr>
        <w:jc w:val="center"/>
        <w:rPr>
          <w:rFonts w:ascii="方正小标宋_GBK" w:hAnsi="方正小标宋_GBK" w:eastAsia="方正小标宋_GBK" w:cs="方正小标宋_GBK"/>
          <w:spacing w:val="8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8"/>
          <w:sz w:val="44"/>
          <w:szCs w:val="44"/>
        </w:rPr>
        <w:t>评审专家负面行为清单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97"/>
        <w:gridCol w:w="7865"/>
        <w:gridCol w:w="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3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黑体" w:hAnsi="黑体" w:eastAsia="黑体" w:cs="黑体"/>
                <w:bCs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4"/>
              </w:rPr>
              <w:t>序号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黑体" w:hAnsi="黑体" w:eastAsia="黑体" w:cs="黑体"/>
                <w:bCs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4"/>
              </w:rPr>
              <w:t>行为描述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黑体" w:hAnsi="黑体" w:eastAsia="黑体" w:cs="黑体"/>
                <w:bCs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" w:hRule="atLeast"/>
          <w:jc w:val="center"/>
        </w:trPr>
        <w:tc>
          <w:tcPr>
            <w:tcW w:w="0" w:type="auto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Cs w:val="24"/>
              </w:rPr>
              <w:t>（一）专家有下列情形之一的，每次扣10分：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不按照要求填写真实材料、维护个人信息，影响评审工作的；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3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2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累计拒绝参会或超期未确认达4次及以上，每发生1次的；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3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3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在确认参加评审后，无正当理由于评审开始前48小时以内请假，影响评审工作的；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4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shd w:val="clear" w:color="auto" w:fill="FFFFFF"/>
              <w:overflowPunct w:val="0"/>
              <w:autoSpaceDE w:val="0"/>
              <w:autoSpaceDN w:val="0"/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在评审召开前不按要求通过管理服务平台上传初步意见，影响评审工作的；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3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5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专项方案可行性不强，无法指导施工，出具通过意见的；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3" w:hRule="atLeast"/>
          <w:jc w:val="center"/>
        </w:trPr>
        <w:tc>
          <w:tcPr>
            <w:tcW w:w="0" w:type="auto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Cs w:val="24"/>
              </w:rPr>
              <w:t>（二）专家有下列情形之一的，每次扣20分：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trike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6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背离公平公正评审原则，影响结果公正性的；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7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违反回避制度，应当回避而未予回避的；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8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以专家身份跨专业参加评审；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9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在未填写论证意见的空白论证报告和文件上签字的；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10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专家意见质量不高，未明确列出方案中的较大缺陷，对技术措施的可行性未充分论证，未提出改进建议或要求补充资料的；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3" w:hRule="atLeast"/>
          <w:jc w:val="center"/>
        </w:trPr>
        <w:tc>
          <w:tcPr>
            <w:tcW w:w="0" w:type="auto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Cs w:val="24"/>
              </w:rPr>
              <w:t>（三）专家有下列情形之一的，每次扣30分：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3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11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无正当理由拒绝参加</w:t>
            </w:r>
            <w:r>
              <w:rPr>
                <w:rFonts w:hint="eastAsia" w:ascii="仿宋_GB2312" w:hAnsi="仿宋_GB2312" w:eastAsia="仿宋_GB2312" w:cs="仿宋_GB2312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Cs w:val="24"/>
              </w:rPr>
              <w:t>住房和城乡建设主管部门组织的评审活动、培训学习等的；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3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12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无故缺席评审会议的；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3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13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无故拒绝参加复评工作的；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7" w:hRule="atLeast"/>
          <w:jc w:val="center"/>
        </w:trPr>
        <w:tc>
          <w:tcPr>
            <w:tcW w:w="597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14</w:t>
            </w:r>
          </w:p>
        </w:tc>
        <w:tc>
          <w:tcPr>
            <w:tcW w:w="786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未能发现专项施工方案中存在的严重缺陷，导致存在违反强制性标准、规范的专项施工方案通过论证的；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3" w:hRule="atLeast"/>
          <w:jc w:val="center"/>
        </w:trPr>
        <w:tc>
          <w:tcPr>
            <w:tcW w:w="0" w:type="auto"/>
            <w:gridSpan w:val="3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Cs w:val="24"/>
              </w:rPr>
              <w:t>（四）主管部门解聘专家的情形：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2" w:hRule="atLeast"/>
          <w:jc w:val="center"/>
        </w:trPr>
        <w:tc>
          <w:tcPr>
            <w:tcW w:w="597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15</w:t>
            </w:r>
          </w:p>
        </w:tc>
        <w:tc>
          <w:tcPr>
            <w:tcW w:w="7866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委托他人代替参加评审或顶替他人参加评审的；</w:t>
            </w:r>
          </w:p>
        </w:tc>
        <w:tc>
          <w:tcPr>
            <w:tcW w:w="598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597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16</w:t>
            </w:r>
          </w:p>
        </w:tc>
        <w:tc>
          <w:tcPr>
            <w:tcW w:w="7866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年度内无故累计2次拒绝参加</w:t>
            </w:r>
            <w:r>
              <w:rPr>
                <w:rFonts w:hint="eastAsia" w:ascii="仿宋_GB2312" w:hAnsi="仿宋_GB2312" w:eastAsia="仿宋_GB2312" w:cs="仿宋_GB2312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Cs w:val="24"/>
              </w:rPr>
              <w:t>住房和城乡建设主管部门组织的评审活动、培训学习等的；</w:t>
            </w:r>
          </w:p>
        </w:tc>
        <w:tc>
          <w:tcPr>
            <w:tcW w:w="598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5" w:hRule="atLeast"/>
          <w:jc w:val="center"/>
        </w:trPr>
        <w:tc>
          <w:tcPr>
            <w:tcW w:w="597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17</w:t>
            </w:r>
          </w:p>
        </w:tc>
        <w:tc>
          <w:tcPr>
            <w:tcW w:w="7866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评审工作存在重大问题、重大失误，造成重大信访投诉或质量安全问题的；</w:t>
            </w:r>
          </w:p>
        </w:tc>
        <w:tc>
          <w:tcPr>
            <w:tcW w:w="598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5" w:hRule="atLeast"/>
          <w:jc w:val="center"/>
        </w:trPr>
        <w:tc>
          <w:tcPr>
            <w:tcW w:w="597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18</w:t>
            </w:r>
          </w:p>
        </w:tc>
        <w:tc>
          <w:tcPr>
            <w:tcW w:w="7866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违反廉洁自律工作纪律，索取、收受不正当利益的；</w:t>
            </w:r>
          </w:p>
        </w:tc>
        <w:tc>
          <w:tcPr>
            <w:tcW w:w="598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5" w:hRule="atLeast"/>
          <w:jc w:val="center"/>
        </w:trPr>
        <w:tc>
          <w:tcPr>
            <w:tcW w:w="597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19</w:t>
            </w:r>
          </w:p>
        </w:tc>
        <w:tc>
          <w:tcPr>
            <w:tcW w:w="7866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使用不实信息和虚假材料骗取评审专家资格的；</w:t>
            </w:r>
          </w:p>
        </w:tc>
        <w:tc>
          <w:tcPr>
            <w:tcW w:w="598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2" w:hRule="atLeast"/>
          <w:jc w:val="center"/>
        </w:trPr>
        <w:tc>
          <w:tcPr>
            <w:tcW w:w="597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20</w:t>
            </w:r>
          </w:p>
        </w:tc>
        <w:tc>
          <w:tcPr>
            <w:tcW w:w="7866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违反保密规定，</w:t>
            </w:r>
            <w:r>
              <w:rPr>
                <w:rFonts w:hint="eastAsia" w:ascii="仿宋_GB2312" w:hAnsi="仿宋_GB2312" w:eastAsia="仿宋_GB2312" w:cs="仿宋_GB2312"/>
                <w:szCs w:val="24"/>
                <w:lang w:eastAsia="zh-CN"/>
              </w:rPr>
              <w:t>泄露</w:t>
            </w:r>
            <w:r>
              <w:rPr>
                <w:rFonts w:hint="eastAsia" w:ascii="仿宋_GB2312" w:hAnsi="仿宋_GB2312" w:eastAsia="仿宋_GB2312" w:cs="仿宋_GB2312"/>
                <w:szCs w:val="24"/>
              </w:rPr>
              <w:t>需保密相关信息的；</w:t>
            </w:r>
          </w:p>
        </w:tc>
        <w:tc>
          <w:tcPr>
            <w:tcW w:w="598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8" w:hRule="atLeast"/>
          <w:jc w:val="center"/>
        </w:trPr>
        <w:tc>
          <w:tcPr>
            <w:tcW w:w="597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21</w:t>
            </w:r>
          </w:p>
        </w:tc>
        <w:tc>
          <w:tcPr>
            <w:tcW w:w="7866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年度综合评价等级被认定为“不称职”等级的；</w:t>
            </w:r>
          </w:p>
        </w:tc>
        <w:tc>
          <w:tcPr>
            <w:tcW w:w="598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8" w:hRule="atLeast"/>
          <w:jc w:val="center"/>
        </w:trPr>
        <w:tc>
          <w:tcPr>
            <w:tcW w:w="597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22</w:t>
            </w:r>
          </w:p>
        </w:tc>
        <w:tc>
          <w:tcPr>
            <w:tcW w:w="7866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其他被认定为应解聘的情形。</w:t>
            </w:r>
          </w:p>
        </w:tc>
        <w:tc>
          <w:tcPr>
            <w:tcW w:w="598" w:type="dxa"/>
            <w:vAlign w:val="center"/>
          </w:tcPr>
          <w:p>
            <w:pPr>
              <w:pStyle w:val="3"/>
              <w:widowControl/>
              <w:spacing w:before="0" w:beforeAutospacing="0" w:after="0" w:afterAutospacing="0" w:line="360" w:lineRule="exact"/>
              <w:jc w:val="both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C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2025-12-26T09:24:55Z</dcterms:created>
  <dc:creator>Administrator</dc:creator>
  <cp:lastModifiedBy>刘超</cp:lastModifiedBy>
  <dcterms:modified xsi:type="dcterms:W3CDTF">2025-12-26T09:25:12Z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