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kern w:val="36"/>
          <w:sz w:val="44"/>
          <w:szCs w:val="44"/>
        </w:rPr>
      </w:pPr>
      <w:bookmarkStart w:id="0" w:name="_Toc22429"/>
      <w:bookmarkStart w:id="1" w:name="_Toc22300"/>
      <w:bookmarkStart w:id="2" w:name="_Toc47266245"/>
      <w:r>
        <w:rPr>
          <w:rFonts w:hint="eastAsia" w:ascii="方正小标宋_GBK" w:hAnsi="方正小标宋_GBK" w:eastAsia="方正小标宋_GBK" w:cs="方正小标宋_GBK"/>
          <w:b w:val="0"/>
          <w:bCs w:val="0"/>
          <w:kern w:val="36"/>
          <w:sz w:val="44"/>
          <w:szCs w:val="44"/>
          <w:lang w:val="en-US" w:eastAsia="zh-CN"/>
        </w:rPr>
        <w:t>2</w:t>
      </w:r>
      <w:r>
        <w:rPr>
          <w:rFonts w:hint="eastAsia" w:ascii="方正小标宋_GBK" w:hAnsi="方正小标宋_GBK" w:eastAsia="方正小标宋_GBK" w:cs="方正小标宋_GBK"/>
          <w:b w:val="0"/>
          <w:bCs w:val="0"/>
          <w:kern w:val="36"/>
          <w:sz w:val="44"/>
          <w:szCs w:val="44"/>
        </w:rPr>
        <w:t>023年度青岛市</w:t>
      </w:r>
      <w:r>
        <w:rPr>
          <w:rFonts w:hint="eastAsia" w:ascii="方正小标宋_GBK" w:hAnsi="方正小标宋_GBK" w:eastAsia="方正小标宋_GBK" w:cs="方正小标宋_GBK"/>
          <w:b w:val="0"/>
          <w:bCs w:val="0"/>
          <w:kern w:val="36"/>
          <w:sz w:val="44"/>
          <w:szCs w:val="44"/>
          <w:lang w:eastAsia="zh-CN"/>
        </w:rPr>
        <w:t>市级</w:t>
      </w:r>
      <w:r>
        <w:rPr>
          <w:rFonts w:hint="eastAsia" w:ascii="方正小标宋_GBK" w:hAnsi="方正小标宋_GBK" w:eastAsia="方正小标宋_GBK" w:cs="方正小标宋_GBK"/>
          <w:b w:val="0"/>
          <w:bCs w:val="0"/>
          <w:kern w:val="36"/>
          <w:sz w:val="44"/>
          <w:szCs w:val="44"/>
        </w:rPr>
        <w:t>政府引导基金</w:t>
      </w:r>
      <w:bookmarkEnd w:id="0"/>
      <w:bookmarkEnd w:id="1"/>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kern w:val="36"/>
          <w:sz w:val="44"/>
          <w:szCs w:val="44"/>
        </w:rPr>
      </w:pPr>
      <w:r>
        <w:rPr>
          <w:rFonts w:hint="eastAsia" w:ascii="方正小标宋_GBK" w:hAnsi="方正小标宋_GBK" w:eastAsia="方正小标宋_GBK" w:cs="方正小标宋_GBK"/>
          <w:b w:val="0"/>
          <w:bCs w:val="0"/>
          <w:kern w:val="36"/>
          <w:sz w:val="44"/>
          <w:szCs w:val="44"/>
        </w:rPr>
        <w:t>绩效评价报告</w:t>
      </w:r>
    </w:p>
    <w:bookmarkEnd w:id="2"/>
    <w:p>
      <w:pPr>
        <w:pStyle w:val="4"/>
        <w:pageBreakBefore w:val="0"/>
        <w:widowControl w:val="0"/>
        <w:kinsoku/>
        <w:wordWrap/>
        <w:overflowPunct/>
        <w:topLinePunct w:val="0"/>
        <w:autoSpaceDE/>
        <w:autoSpaceDN/>
        <w:bidi w:val="0"/>
        <w:adjustRightInd/>
        <w:snapToGrid/>
        <w:spacing w:before="0" w:after="0" w:line="560" w:lineRule="exact"/>
        <w:ind w:right="0" w:rightChars="0" w:firstLine="560" w:firstLineChars="200"/>
        <w:textAlignment w:val="auto"/>
        <w:rPr>
          <w:rFonts w:hint="eastAsia" w:ascii="黑体" w:hAnsi="黑体" w:eastAsia="黑体" w:cs="黑体"/>
          <w:b w:val="0"/>
          <w:bCs w:val="0"/>
          <w:sz w:val="28"/>
          <w:szCs w:val="28"/>
        </w:rPr>
      </w:pPr>
      <w:bookmarkStart w:id="3" w:name="_Toc29673"/>
    </w:p>
    <w:p>
      <w:pPr>
        <w:pStyle w:val="4"/>
        <w:pageBreakBefore w:val="0"/>
        <w:widowControl w:val="0"/>
        <w:kinsoku/>
        <w:wordWrap/>
        <w:overflowPunct/>
        <w:topLinePunct w:val="0"/>
        <w:autoSpaceDE/>
        <w:autoSpaceDN/>
        <w:bidi w:val="0"/>
        <w:adjustRightInd/>
        <w:snapToGrid/>
        <w:spacing w:before="0" w:after="0" w:line="560" w:lineRule="exact"/>
        <w:ind w:right="0" w:rightChars="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一、项目概况</w:t>
      </w:r>
      <w:bookmarkEnd w:id="3"/>
    </w:p>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楷体_GB2312" w:hAnsi="楷体_GB2312" w:eastAsia="楷体_GB2312" w:cs="楷体_GB2312"/>
          <w:b w:val="0"/>
          <w:kern w:val="44"/>
          <w:sz w:val="32"/>
          <w:szCs w:val="32"/>
          <w:lang w:val="en-US"/>
        </w:rPr>
      </w:pPr>
      <w:bookmarkStart w:id="4" w:name="_Toc23001"/>
      <w:bookmarkStart w:id="5" w:name="_Toc2264"/>
      <w:r>
        <w:rPr>
          <w:rFonts w:hint="eastAsia" w:ascii="楷体_GB2312" w:hAnsi="楷体_GB2312" w:eastAsia="楷体_GB2312" w:cs="楷体_GB2312"/>
          <w:b w:val="0"/>
          <w:kern w:val="44"/>
          <w:sz w:val="32"/>
          <w:szCs w:val="32"/>
          <w:lang w:val="en-US"/>
        </w:rPr>
        <w:t>（一）基金设立背景</w:t>
      </w:r>
      <w:bookmarkEnd w:id="4"/>
      <w:bookmarkEnd w:id="5"/>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2010年以国家发展改革委、财政部联合试点新兴产业创投计划为契机，青岛市设立了市级创业投资引导基金，并成立青岛市创业投资引导基金管理中心。青岛市创新投资有限公司（以下简称“青创投”）成立于2021年9月，隶属于青岛财通集团，注册资本30亿元。青创投为青岛市政府引导基金受托管理机构，按照市场化方式决策并设立运作基金。</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级政府引导基金，是落实山东省委、省政府决策部署的重要举措之一。引导基金是由市财政出资设立，并按市场化方式运作的政策性基金，有利于发挥财政资金杠杆效应，加速资本、创新要素集聚。青岛市政府引导基金的受托管理机构，负责政府引导基金参股基金的调查评估、注资组建、运营监管、退出回收等工作，充分发挥政府引导基金引导带动作用，吸引机构投资者资金、民间资本等聚焦青岛市24条重点产业链，汇聚产业发展、推动科技创新，为加快打造现代产业先行城市注入动力。青岛市政府引导基金负责政府引导基金市场化管理，围绕政策性母基金的功能定位，较早开展了财政资金扶持企业的新探索，形成了规范的运作机制和管理制度，极大带动了青岛市创投风投行业健康快速发展，是青岛市创新、创业、创投工作重要阵地。</w:t>
      </w:r>
    </w:p>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640" w:right="0" w:rightChars="0" w:firstLine="0" w:firstLineChars="0"/>
        <w:textAlignment w:val="auto"/>
        <w:rPr>
          <w:rFonts w:ascii="Times New Roman" w:hAnsi="Times New Roman" w:eastAsia="楷体_GB2312"/>
          <w:b w:val="0"/>
          <w:kern w:val="44"/>
          <w:sz w:val="32"/>
          <w:szCs w:val="32"/>
          <w:lang w:val="en-US"/>
        </w:rPr>
      </w:pPr>
      <w:bookmarkStart w:id="6" w:name="_Toc22971"/>
      <w:bookmarkStart w:id="7" w:name="_Toc1760"/>
      <w:r>
        <w:rPr>
          <w:rFonts w:hint="eastAsia" w:ascii="Times New Roman" w:hAnsi="Times New Roman" w:eastAsia="楷体_GB2312"/>
          <w:b w:val="0"/>
          <w:kern w:val="44"/>
          <w:sz w:val="32"/>
          <w:szCs w:val="32"/>
          <w:lang w:val="en-US"/>
        </w:rPr>
        <w:t>（二）纳入本次绩效评价的</w:t>
      </w:r>
      <w:bookmarkEnd w:id="6"/>
      <w:r>
        <w:rPr>
          <w:rFonts w:hint="eastAsia" w:ascii="Times New Roman" w:hAnsi="Times New Roman" w:eastAsia="楷体_GB2312"/>
          <w:b w:val="0"/>
          <w:kern w:val="44"/>
          <w:sz w:val="32"/>
          <w:szCs w:val="32"/>
          <w:lang w:val="en-US"/>
        </w:rPr>
        <w:t>范围</w:t>
      </w:r>
      <w:bookmarkEnd w:id="7"/>
    </w:p>
    <w:p>
      <w:pPr>
        <w:pStyle w:val="1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 w:hAnsi="仿宋" w:eastAsia="仿宋" w:cs="仿宋"/>
          <w:sz w:val="32"/>
          <w:szCs w:val="32"/>
        </w:rPr>
      </w:pPr>
      <w:r>
        <w:rPr>
          <w:rFonts w:hint="eastAsia" w:ascii="仿宋_GB2312" w:hAnsi="仿宋_GB2312" w:eastAsia="仿宋_GB2312" w:cs="仿宋_GB2312"/>
          <w:sz w:val="32"/>
          <w:szCs w:val="32"/>
        </w:rPr>
        <w:t>截至2023年末，青创投受托管理的青岛市市级政府引导基金在投的94支基金</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本次纳入绩效评价范围的基金90支，其中创业投资基金－投资期基金18支，基金认缴规模97.40亿元，其中市级政府引导基金认缴规模13.74亿元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创业投资基金-退出期（含清算期）基金13支，基金认缴规模31.82亿元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其中市级政府引导基金认缴规模5.18亿元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产业投资基金－投资期基金29支，基金认缴规模687.50亿元，其中市级政府引导基金认缴规模57.34亿元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产业投资基金－退出期（含清算期）基金30支，基金认缴规模165.73亿元，其中市级政府引导基金认缴规模22.21亿元。</w:t>
      </w:r>
    </w:p>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640" w:right="0" w:rightChars="0" w:firstLine="0" w:firstLineChars="0"/>
        <w:textAlignment w:val="auto"/>
        <w:rPr>
          <w:rFonts w:hint="eastAsia" w:ascii="Times New Roman" w:hAnsi="Times New Roman" w:eastAsia="楷体_GB2312"/>
          <w:b w:val="0"/>
          <w:kern w:val="44"/>
          <w:sz w:val="32"/>
          <w:szCs w:val="32"/>
          <w:lang w:val="en-US"/>
        </w:rPr>
      </w:pPr>
      <w:bookmarkStart w:id="8" w:name="_Toc29938"/>
      <w:bookmarkStart w:id="9" w:name="_Toc11399"/>
      <w:r>
        <w:rPr>
          <w:rFonts w:hint="eastAsia" w:ascii="Times New Roman" w:hAnsi="Times New Roman" w:eastAsia="楷体_GB2312"/>
          <w:b w:val="0"/>
          <w:kern w:val="44"/>
          <w:sz w:val="32"/>
          <w:szCs w:val="32"/>
          <w:lang w:val="en-US"/>
        </w:rPr>
        <w:t>（</w:t>
      </w:r>
      <w:r>
        <w:rPr>
          <w:rFonts w:hint="eastAsia" w:ascii="Times New Roman" w:hAnsi="Times New Roman" w:eastAsia="楷体_GB2312"/>
          <w:b w:val="0"/>
          <w:kern w:val="44"/>
          <w:sz w:val="32"/>
          <w:szCs w:val="32"/>
          <w:lang w:val="en-US" w:eastAsia="zh-CN"/>
        </w:rPr>
        <w:t>三</w:t>
      </w:r>
      <w:r>
        <w:rPr>
          <w:rFonts w:hint="eastAsia" w:ascii="Times New Roman" w:hAnsi="Times New Roman" w:eastAsia="楷体_GB2312"/>
          <w:b w:val="0"/>
          <w:kern w:val="44"/>
          <w:sz w:val="32"/>
          <w:szCs w:val="32"/>
          <w:lang w:val="en-US"/>
        </w:rPr>
        <w:t>）基金投资项目情况</w:t>
      </w:r>
      <w:bookmarkEnd w:id="8"/>
      <w:bookmarkEnd w:id="9"/>
    </w:p>
    <w:p>
      <w:pPr>
        <w:pStyle w:val="1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纳入本次绩效评价的青创投受托管理的青岛市级政府引导基金90支基金对外投资项目数量共978个（直投项目数量941个，专项基金投资项目4个，母基金投资子基金33个），投资金额410.65亿元（直投项目金额339.71亿元，专项基金投资项目金额40.44亿元，母基金投资子基金金额30.50亿元）。详见下表：</w:t>
      </w:r>
    </w:p>
    <w:tbl>
      <w:tblPr>
        <w:tblStyle w:val="25"/>
        <w:tblW w:w="8782" w:type="dxa"/>
        <w:tblInd w:w="0" w:type="dxa"/>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
      <w:tblGrid>
        <w:gridCol w:w="1134"/>
        <w:gridCol w:w="1985"/>
        <w:gridCol w:w="1135"/>
        <w:gridCol w:w="1516"/>
        <w:gridCol w:w="1953"/>
        <w:gridCol w:w="1059"/>
      </w:tblGrid>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21" w:hRule="atLeast"/>
        </w:trPr>
        <w:tc>
          <w:tcPr>
            <w:tcW w:w="1134" w:type="dxa"/>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基金属性</w:t>
            </w:r>
          </w:p>
        </w:tc>
        <w:tc>
          <w:tcPr>
            <w:tcW w:w="1985" w:type="dxa"/>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所处阶段</w:t>
            </w:r>
          </w:p>
        </w:tc>
        <w:tc>
          <w:tcPr>
            <w:tcW w:w="1135" w:type="dxa"/>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项目数量</w:t>
            </w:r>
          </w:p>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（个）</w:t>
            </w:r>
          </w:p>
        </w:tc>
        <w:tc>
          <w:tcPr>
            <w:tcW w:w="1516" w:type="dxa"/>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占比</w:t>
            </w:r>
          </w:p>
        </w:tc>
        <w:tc>
          <w:tcPr>
            <w:tcW w:w="1953" w:type="dxa"/>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投资金额</w:t>
            </w:r>
          </w:p>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（万元）</w:t>
            </w:r>
          </w:p>
        </w:tc>
        <w:tc>
          <w:tcPr>
            <w:tcW w:w="1059" w:type="dxa"/>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占比</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6" w:hRule="atLeast"/>
        </w:trPr>
        <w:tc>
          <w:tcPr>
            <w:tcW w:w="1134" w:type="dxa"/>
            <w:vMerge w:val="restart"/>
            <w:vAlign w:val="center"/>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创业投资基金</w:t>
            </w:r>
          </w:p>
        </w:tc>
        <w:tc>
          <w:tcPr>
            <w:tcW w:w="1985" w:type="dxa"/>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投资期</w:t>
            </w:r>
          </w:p>
        </w:tc>
        <w:tc>
          <w:tcPr>
            <w:tcW w:w="1135" w:type="dxa"/>
            <w:vAlign w:val="center"/>
          </w:tcPr>
          <w:p>
            <w:pPr>
              <w:pStyle w:val="55"/>
              <w:spacing w:before="93" w:line="177" w:lineRule="auto"/>
              <w:jc w:val="center"/>
              <w:rPr>
                <w:rFonts w:ascii="宋体" w:hAnsi="宋体" w:eastAsia="宋体" w:cs="宋体"/>
                <w:lang w:eastAsia="zh-CN"/>
              </w:rPr>
            </w:pPr>
            <w:r>
              <w:rPr>
                <w:rFonts w:hint="eastAsia" w:ascii="宋体" w:hAnsi="宋体" w:eastAsia="宋体" w:cs="宋体"/>
                <w:lang w:eastAsia="zh-CN"/>
              </w:rPr>
              <w:t>168</w:t>
            </w:r>
          </w:p>
        </w:tc>
        <w:tc>
          <w:tcPr>
            <w:tcW w:w="1516" w:type="dxa"/>
            <w:vAlign w:val="center"/>
          </w:tcPr>
          <w:p>
            <w:pPr>
              <w:pStyle w:val="55"/>
              <w:spacing w:before="96" w:line="120" w:lineRule="exact"/>
              <w:ind w:left="368"/>
              <w:jc w:val="right"/>
              <w:rPr>
                <w:rFonts w:ascii="宋体" w:hAnsi="宋体" w:eastAsia="宋体" w:cs="仿宋"/>
              </w:rPr>
            </w:pPr>
            <w:r>
              <w:rPr>
                <w:rFonts w:hint="eastAsia" w:ascii="宋体" w:hAnsi="宋体" w:eastAsia="宋体" w:cs="仿宋"/>
              </w:rPr>
              <w:t>17.18%</w:t>
            </w:r>
          </w:p>
        </w:tc>
        <w:tc>
          <w:tcPr>
            <w:tcW w:w="1953" w:type="dxa"/>
            <w:vAlign w:val="center"/>
          </w:tcPr>
          <w:p>
            <w:pPr>
              <w:pStyle w:val="55"/>
              <w:spacing w:before="96" w:line="120" w:lineRule="exact"/>
              <w:ind w:left="368"/>
              <w:jc w:val="right"/>
              <w:rPr>
                <w:rFonts w:ascii="宋体" w:hAnsi="宋体" w:eastAsia="宋体" w:cs="仿宋"/>
              </w:rPr>
            </w:pPr>
            <w:r>
              <w:rPr>
                <w:rFonts w:hint="eastAsia" w:ascii="宋体" w:hAnsi="宋体" w:eastAsia="宋体" w:cs="仿宋"/>
              </w:rPr>
              <w:t xml:space="preserve">       441,156.21 </w:t>
            </w:r>
          </w:p>
        </w:tc>
        <w:tc>
          <w:tcPr>
            <w:tcW w:w="1059" w:type="dxa"/>
            <w:vAlign w:val="center"/>
          </w:tcPr>
          <w:p>
            <w:pPr>
              <w:pStyle w:val="55"/>
              <w:spacing w:before="96" w:line="120" w:lineRule="exact"/>
              <w:ind w:left="368"/>
              <w:jc w:val="right"/>
              <w:rPr>
                <w:rFonts w:ascii="宋体" w:hAnsi="宋体" w:eastAsia="宋体" w:cs="仿宋"/>
              </w:rPr>
            </w:pPr>
            <w:r>
              <w:rPr>
                <w:rFonts w:hint="eastAsia" w:ascii="宋体" w:hAnsi="宋体" w:eastAsia="宋体" w:cs="仿宋"/>
              </w:rPr>
              <w:t>10.74%</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7" w:hRule="atLeast"/>
        </w:trPr>
        <w:tc>
          <w:tcPr>
            <w:tcW w:w="1134" w:type="dxa"/>
            <w:vMerge w:val="continue"/>
          </w:tcPr>
          <w:p>
            <w:pPr>
              <w:rPr>
                <w:rFonts w:ascii="宋体" w:hAnsi="宋体" w:cs="宋体"/>
                <w:sz w:val="15"/>
                <w:szCs w:val="15"/>
              </w:rPr>
            </w:pPr>
          </w:p>
        </w:tc>
        <w:tc>
          <w:tcPr>
            <w:tcW w:w="1985" w:type="dxa"/>
          </w:tcPr>
          <w:p>
            <w:pPr>
              <w:pStyle w:val="55"/>
              <w:spacing w:before="36" w:line="269" w:lineRule="exact"/>
              <w:jc w:val="center"/>
              <w:rPr>
                <w:rFonts w:ascii="宋体" w:hAnsi="宋体" w:eastAsia="宋体" w:cs="仿宋"/>
                <w:spacing w:val="-2"/>
                <w:position w:val="3"/>
              </w:rPr>
            </w:pPr>
            <w:r>
              <w:rPr>
                <w:rFonts w:hint="eastAsia" w:ascii="宋体" w:hAnsi="宋体" w:eastAsia="宋体" w:cs="仿宋"/>
                <w:spacing w:val="-2"/>
                <w:position w:val="3"/>
              </w:rPr>
              <w:t>退出期</w:t>
            </w:r>
          </w:p>
          <w:p>
            <w:pPr>
              <w:pStyle w:val="55"/>
              <w:spacing w:before="36" w:line="269" w:lineRule="exact"/>
              <w:ind w:left="142"/>
              <w:jc w:val="center"/>
              <w:rPr>
                <w:rFonts w:ascii="宋体" w:hAnsi="宋体" w:eastAsia="宋体" w:cs="仿宋"/>
                <w:spacing w:val="-2"/>
                <w:position w:val="3"/>
              </w:rPr>
            </w:pPr>
            <w:r>
              <w:rPr>
                <w:rFonts w:hint="eastAsia" w:ascii="宋体" w:hAnsi="宋体" w:eastAsia="宋体" w:cs="仿宋"/>
                <w:spacing w:val="-2"/>
                <w:position w:val="3"/>
              </w:rPr>
              <w:t>（含清算期）</w:t>
            </w:r>
          </w:p>
        </w:tc>
        <w:tc>
          <w:tcPr>
            <w:tcW w:w="1135" w:type="dxa"/>
            <w:vAlign w:val="center"/>
          </w:tcPr>
          <w:p>
            <w:pPr>
              <w:pStyle w:val="55"/>
              <w:spacing w:before="93" w:line="177" w:lineRule="auto"/>
              <w:jc w:val="center"/>
              <w:rPr>
                <w:rFonts w:ascii="宋体" w:hAnsi="宋体" w:eastAsia="宋体" w:cs="宋体"/>
                <w:lang w:eastAsia="zh-CN"/>
              </w:rPr>
            </w:pPr>
            <w:r>
              <w:rPr>
                <w:rFonts w:hint="eastAsia" w:ascii="宋体" w:hAnsi="宋体" w:eastAsia="宋体" w:cs="宋体"/>
                <w:lang w:eastAsia="zh-CN"/>
              </w:rPr>
              <w:t>175</w:t>
            </w:r>
          </w:p>
        </w:tc>
        <w:tc>
          <w:tcPr>
            <w:tcW w:w="1516" w:type="dxa"/>
            <w:vAlign w:val="center"/>
          </w:tcPr>
          <w:p>
            <w:pPr>
              <w:pStyle w:val="55"/>
              <w:spacing w:before="96" w:line="120" w:lineRule="exact"/>
              <w:ind w:left="368"/>
              <w:jc w:val="right"/>
              <w:rPr>
                <w:rFonts w:ascii="宋体" w:hAnsi="宋体" w:eastAsia="宋体" w:cs="仿宋"/>
              </w:rPr>
            </w:pPr>
            <w:r>
              <w:rPr>
                <w:rFonts w:hint="eastAsia" w:ascii="宋体" w:hAnsi="宋体" w:eastAsia="宋体" w:cs="仿宋"/>
              </w:rPr>
              <w:t>17.89%</w:t>
            </w:r>
          </w:p>
        </w:tc>
        <w:tc>
          <w:tcPr>
            <w:tcW w:w="1953" w:type="dxa"/>
            <w:vAlign w:val="center"/>
          </w:tcPr>
          <w:p>
            <w:pPr>
              <w:pStyle w:val="55"/>
              <w:spacing w:before="96" w:line="120" w:lineRule="exact"/>
              <w:ind w:left="368"/>
              <w:jc w:val="right"/>
              <w:rPr>
                <w:rFonts w:ascii="宋体" w:hAnsi="宋体" w:eastAsia="宋体" w:cs="仿宋"/>
              </w:rPr>
            </w:pPr>
            <w:r>
              <w:rPr>
                <w:rFonts w:hint="eastAsia" w:ascii="宋体" w:hAnsi="宋体" w:eastAsia="宋体" w:cs="仿宋"/>
              </w:rPr>
              <w:t xml:space="preserve">       283,567.55 </w:t>
            </w:r>
          </w:p>
        </w:tc>
        <w:tc>
          <w:tcPr>
            <w:tcW w:w="1059" w:type="dxa"/>
            <w:vAlign w:val="center"/>
          </w:tcPr>
          <w:p>
            <w:pPr>
              <w:pStyle w:val="55"/>
              <w:spacing w:before="96" w:line="120" w:lineRule="exact"/>
              <w:ind w:left="368"/>
              <w:jc w:val="right"/>
              <w:rPr>
                <w:rFonts w:ascii="宋体" w:hAnsi="宋体" w:eastAsia="宋体" w:cs="仿宋"/>
              </w:rPr>
            </w:pPr>
            <w:r>
              <w:rPr>
                <w:rFonts w:hint="eastAsia" w:ascii="宋体" w:hAnsi="宋体" w:eastAsia="宋体" w:cs="仿宋"/>
              </w:rPr>
              <w:t>6.91%</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7" w:hRule="atLeast"/>
        </w:trPr>
        <w:tc>
          <w:tcPr>
            <w:tcW w:w="1134" w:type="dxa"/>
            <w:vMerge w:val="continue"/>
          </w:tcPr>
          <w:p>
            <w:pPr>
              <w:rPr>
                <w:rFonts w:ascii="宋体" w:hAnsi="宋体" w:cs="宋体"/>
                <w:sz w:val="15"/>
                <w:szCs w:val="15"/>
              </w:rPr>
            </w:pPr>
          </w:p>
        </w:tc>
        <w:tc>
          <w:tcPr>
            <w:tcW w:w="1985" w:type="dxa"/>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合计</w:t>
            </w:r>
          </w:p>
        </w:tc>
        <w:tc>
          <w:tcPr>
            <w:tcW w:w="1135" w:type="dxa"/>
            <w:vAlign w:val="center"/>
          </w:tcPr>
          <w:p>
            <w:pPr>
              <w:pStyle w:val="55"/>
              <w:spacing w:before="93" w:line="177" w:lineRule="auto"/>
              <w:jc w:val="center"/>
              <w:rPr>
                <w:rFonts w:ascii="宋体" w:hAnsi="宋体" w:eastAsia="宋体" w:cs="宋体"/>
                <w:lang w:eastAsia="zh-CN"/>
              </w:rPr>
            </w:pPr>
            <w:r>
              <w:rPr>
                <w:rFonts w:hint="eastAsia" w:ascii="宋体" w:hAnsi="宋体" w:eastAsia="宋体" w:cs="宋体"/>
                <w:lang w:eastAsia="zh-CN"/>
              </w:rPr>
              <w:t>343</w:t>
            </w:r>
          </w:p>
        </w:tc>
        <w:tc>
          <w:tcPr>
            <w:tcW w:w="1516" w:type="dxa"/>
            <w:vAlign w:val="center"/>
          </w:tcPr>
          <w:p>
            <w:pPr>
              <w:pStyle w:val="55"/>
              <w:spacing w:before="96" w:line="120" w:lineRule="exact"/>
              <w:ind w:left="368"/>
              <w:jc w:val="right"/>
              <w:rPr>
                <w:rFonts w:ascii="宋体" w:hAnsi="宋体" w:eastAsia="宋体" w:cs="仿宋"/>
              </w:rPr>
            </w:pPr>
            <w:r>
              <w:rPr>
                <w:rFonts w:hint="eastAsia" w:ascii="宋体" w:hAnsi="宋体" w:eastAsia="宋体" w:cs="仿宋"/>
              </w:rPr>
              <w:t>35.07%</w:t>
            </w:r>
          </w:p>
        </w:tc>
        <w:tc>
          <w:tcPr>
            <w:tcW w:w="1953" w:type="dxa"/>
            <w:vAlign w:val="center"/>
          </w:tcPr>
          <w:p>
            <w:pPr>
              <w:pStyle w:val="55"/>
              <w:spacing w:before="96" w:line="120" w:lineRule="exact"/>
              <w:ind w:left="368"/>
              <w:jc w:val="right"/>
              <w:rPr>
                <w:rFonts w:ascii="宋体" w:hAnsi="宋体" w:eastAsia="宋体" w:cs="仿宋"/>
              </w:rPr>
            </w:pPr>
            <w:r>
              <w:rPr>
                <w:rFonts w:ascii="宋体" w:hAnsi="宋体" w:eastAsia="宋体" w:cs="仿宋"/>
              </w:rPr>
              <w:t>724,723.76</w:t>
            </w:r>
          </w:p>
        </w:tc>
        <w:tc>
          <w:tcPr>
            <w:tcW w:w="1059" w:type="dxa"/>
            <w:vAlign w:val="center"/>
          </w:tcPr>
          <w:p>
            <w:pPr>
              <w:pStyle w:val="55"/>
              <w:spacing w:before="96" w:line="120" w:lineRule="exact"/>
              <w:ind w:left="368"/>
              <w:jc w:val="right"/>
              <w:rPr>
                <w:rFonts w:ascii="宋体" w:hAnsi="宋体" w:eastAsia="宋体" w:cs="仿宋"/>
              </w:rPr>
            </w:pPr>
            <w:r>
              <w:rPr>
                <w:rFonts w:hint="eastAsia" w:ascii="宋体" w:hAnsi="宋体" w:eastAsia="宋体" w:cs="仿宋"/>
              </w:rPr>
              <w:t>17.65%</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6" w:hRule="atLeast"/>
        </w:trPr>
        <w:tc>
          <w:tcPr>
            <w:tcW w:w="1134" w:type="dxa"/>
            <w:vMerge w:val="restart"/>
            <w:vAlign w:val="center"/>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产业投资基金</w:t>
            </w:r>
          </w:p>
        </w:tc>
        <w:tc>
          <w:tcPr>
            <w:tcW w:w="1985" w:type="dxa"/>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投资期</w:t>
            </w:r>
          </w:p>
        </w:tc>
        <w:tc>
          <w:tcPr>
            <w:tcW w:w="1135" w:type="dxa"/>
            <w:vAlign w:val="center"/>
          </w:tcPr>
          <w:p>
            <w:pPr>
              <w:pStyle w:val="55"/>
              <w:spacing w:before="93" w:line="177" w:lineRule="auto"/>
              <w:jc w:val="center"/>
              <w:rPr>
                <w:rFonts w:ascii="宋体" w:hAnsi="宋体" w:eastAsia="宋体" w:cs="宋体"/>
                <w:lang w:eastAsia="zh-CN"/>
              </w:rPr>
            </w:pPr>
            <w:r>
              <w:rPr>
                <w:rFonts w:hint="eastAsia" w:ascii="宋体" w:hAnsi="宋体" w:eastAsia="宋体" w:cs="宋体"/>
                <w:lang w:eastAsia="zh-CN"/>
              </w:rPr>
              <w:t>427</w:t>
            </w:r>
          </w:p>
        </w:tc>
        <w:tc>
          <w:tcPr>
            <w:tcW w:w="1516" w:type="dxa"/>
            <w:vAlign w:val="center"/>
          </w:tcPr>
          <w:p>
            <w:pPr>
              <w:pStyle w:val="55"/>
              <w:spacing w:before="96" w:line="120" w:lineRule="exact"/>
              <w:ind w:left="368"/>
              <w:jc w:val="right"/>
              <w:rPr>
                <w:rFonts w:ascii="宋体" w:hAnsi="宋体" w:eastAsia="宋体" w:cs="仿宋"/>
              </w:rPr>
            </w:pPr>
            <w:r>
              <w:rPr>
                <w:rFonts w:hint="eastAsia" w:ascii="宋体" w:hAnsi="宋体" w:eastAsia="宋体" w:cs="仿宋"/>
              </w:rPr>
              <w:t>43.66%</w:t>
            </w:r>
          </w:p>
        </w:tc>
        <w:tc>
          <w:tcPr>
            <w:tcW w:w="1953" w:type="dxa"/>
            <w:vAlign w:val="center"/>
          </w:tcPr>
          <w:p>
            <w:pPr>
              <w:pStyle w:val="55"/>
              <w:spacing w:before="96" w:line="120" w:lineRule="exact"/>
              <w:ind w:left="368"/>
              <w:jc w:val="right"/>
              <w:rPr>
                <w:rFonts w:ascii="宋体" w:hAnsi="宋体" w:eastAsia="宋体" w:cs="仿宋"/>
              </w:rPr>
            </w:pPr>
            <w:r>
              <w:rPr>
                <w:rFonts w:ascii="宋体" w:hAnsi="宋体" w:eastAsia="宋体" w:cs="仿宋"/>
              </w:rPr>
              <w:t>2,171,442.65</w:t>
            </w:r>
          </w:p>
        </w:tc>
        <w:tc>
          <w:tcPr>
            <w:tcW w:w="1059" w:type="dxa"/>
            <w:vAlign w:val="center"/>
          </w:tcPr>
          <w:p>
            <w:pPr>
              <w:pStyle w:val="55"/>
              <w:spacing w:before="96" w:line="120" w:lineRule="exact"/>
              <w:ind w:left="368"/>
              <w:jc w:val="right"/>
              <w:rPr>
                <w:rFonts w:ascii="宋体" w:hAnsi="宋体" w:eastAsia="宋体" w:cs="仿宋"/>
              </w:rPr>
            </w:pPr>
            <w:r>
              <w:rPr>
                <w:rFonts w:hint="eastAsia" w:ascii="宋体" w:hAnsi="宋体" w:eastAsia="宋体" w:cs="仿宋"/>
              </w:rPr>
              <w:t>52.88%</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6" w:hRule="atLeast"/>
        </w:trPr>
        <w:tc>
          <w:tcPr>
            <w:tcW w:w="1134" w:type="dxa"/>
            <w:vMerge w:val="continue"/>
          </w:tcPr>
          <w:p>
            <w:pPr>
              <w:rPr>
                <w:rFonts w:ascii="宋体" w:hAnsi="宋体" w:cs="宋体"/>
                <w:sz w:val="18"/>
                <w:szCs w:val="18"/>
              </w:rPr>
            </w:pPr>
          </w:p>
        </w:tc>
        <w:tc>
          <w:tcPr>
            <w:tcW w:w="1985" w:type="dxa"/>
          </w:tcPr>
          <w:p>
            <w:pPr>
              <w:pStyle w:val="55"/>
              <w:spacing w:before="36" w:line="269" w:lineRule="exact"/>
              <w:jc w:val="center"/>
              <w:rPr>
                <w:rFonts w:ascii="宋体" w:hAnsi="宋体" w:eastAsia="宋体" w:cs="仿宋"/>
                <w:spacing w:val="-2"/>
                <w:position w:val="3"/>
              </w:rPr>
            </w:pPr>
            <w:r>
              <w:rPr>
                <w:rFonts w:hint="eastAsia" w:ascii="宋体" w:hAnsi="宋体" w:eastAsia="宋体" w:cs="仿宋"/>
                <w:spacing w:val="-2"/>
                <w:position w:val="3"/>
              </w:rPr>
              <w:t>退出期</w:t>
            </w:r>
          </w:p>
          <w:p>
            <w:pPr>
              <w:pStyle w:val="55"/>
              <w:spacing w:before="36" w:line="269" w:lineRule="exact"/>
              <w:jc w:val="center"/>
              <w:rPr>
                <w:rFonts w:ascii="宋体" w:hAnsi="宋体" w:eastAsia="宋体" w:cs="仿宋"/>
                <w:spacing w:val="-2"/>
                <w:position w:val="3"/>
              </w:rPr>
            </w:pPr>
            <w:r>
              <w:rPr>
                <w:rFonts w:hint="eastAsia" w:ascii="宋体" w:hAnsi="宋体" w:eastAsia="宋体" w:cs="仿宋"/>
                <w:spacing w:val="-2"/>
                <w:position w:val="3"/>
              </w:rPr>
              <w:t>（含清算期）</w:t>
            </w:r>
          </w:p>
        </w:tc>
        <w:tc>
          <w:tcPr>
            <w:tcW w:w="1135" w:type="dxa"/>
            <w:vAlign w:val="center"/>
          </w:tcPr>
          <w:p>
            <w:pPr>
              <w:pStyle w:val="55"/>
              <w:spacing w:before="93" w:line="177" w:lineRule="auto"/>
              <w:jc w:val="center"/>
              <w:rPr>
                <w:rFonts w:ascii="宋体" w:hAnsi="宋体" w:eastAsia="宋体" w:cs="宋体"/>
                <w:lang w:eastAsia="zh-CN"/>
              </w:rPr>
            </w:pPr>
            <w:r>
              <w:rPr>
                <w:rFonts w:hint="eastAsia" w:ascii="宋体" w:hAnsi="宋体" w:eastAsia="宋体" w:cs="宋体"/>
                <w:lang w:eastAsia="zh-CN"/>
              </w:rPr>
              <w:t>208</w:t>
            </w:r>
          </w:p>
        </w:tc>
        <w:tc>
          <w:tcPr>
            <w:tcW w:w="1516" w:type="dxa"/>
            <w:vAlign w:val="center"/>
          </w:tcPr>
          <w:p>
            <w:pPr>
              <w:pStyle w:val="55"/>
              <w:spacing w:before="96" w:line="120" w:lineRule="exact"/>
              <w:ind w:left="368"/>
              <w:jc w:val="right"/>
              <w:rPr>
                <w:rFonts w:ascii="宋体" w:hAnsi="宋体" w:eastAsia="宋体" w:cs="仿宋"/>
              </w:rPr>
            </w:pPr>
            <w:r>
              <w:rPr>
                <w:rFonts w:hint="eastAsia" w:ascii="宋体" w:hAnsi="宋体" w:eastAsia="宋体" w:cs="仿宋"/>
              </w:rPr>
              <w:t>21.27%</w:t>
            </w:r>
          </w:p>
        </w:tc>
        <w:tc>
          <w:tcPr>
            <w:tcW w:w="1953" w:type="dxa"/>
            <w:vAlign w:val="center"/>
          </w:tcPr>
          <w:p>
            <w:pPr>
              <w:pStyle w:val="55"/>
              <w:spacing w:before="96" w:line="120" w:lineRule="exact"/>
              <w:ind w:left="368"/>
              <w:jc w:val="right"/>
              <w:rPr>
                <w:rFonts w:ascii="宋体" w:hAnsi="宋体" w:eastAsia="宋体" w:cs="仿宋"/>
              </w:rPr>
            </w:pPr>
            <w:r>
              <w:rPr>
                <w:rFonts w:hint="eastAsia" w:ascii="宋体" w:hAnsi="宋体" w:eastAsia="宋体" w:cs="仿宋"/>
              </w:rPr>
              <w:t xml:space="preserve">     1,210,3</w:t>
            </w:r>
            <w:r>
              <w:rPr>
                <w:rFonts w:hint="eastAsia" w:ascii="宋体" w:hAnsi="宋体" w:eastAsia="宋体" w:cs="仿宋"/>
                <w:lang w:eastAsia="zh-CN"/>
              </w:rPr>
              <w:t>79.95</w:t>
            </w:r>
          </w:p>
        </w:tc>
        <w:tc>
          <w:tcPr>
            <w:tcW w:w="1059" w:type="dxa"/>
            <w:vAlign w:val="center"/>
          </w:tcPr>
          <w:p>
            <w:pPr>
              <w:pStyle w:val="55"/>
              <w:spacing w:before="96" w:line="120" w:lineRule="exact"/>
              <w:ind w:left="368"/>
              <w:jc w:val="right"/>
              <w:rPr>
                <w:rFonts w:ascii="宋体" w:hAnsi="宋体" w:eastAsia="宋体" w:cs="仿宋"/>
              </w:rPr>
            </w:pPr>
            <w:r>
              <w:rPr>
                <w:rFonts w:hint="eastAsia" w:ascii="宋体" w:hAnsi="宋体" w:eastAsia="宋体" w:cs="仿宋"/>
              </w:rPr>
              <w:t>29.47%</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6" w:hRule="atLeast"/>
        </w:trPr>
        <w:tc>
          <w:tcPr>
            <w:tcW w:w="1134" w:type="dxa"/>
            <w:vMerge w:val="continue"/>
          </w:tcPr>
          <w:p>
            <w:pPr>
              <w:rPr>
                <w:rFonts w:ascii="宋体" w:hAnsi="宋体" w:cs="宋体"/>
                <w:sz w:val="18"/>
                <w:szCs w:val="18"/>
              </w:rPr>
            </w:pPr>
          </w:p>
        </w:tc>
        <w:tc>
          <w:tcPr>
            <w:tcW w:w="1985" w:type="dxa"/>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合计</w:t>
            </w:r>
          </w:p>
        </w:tc>
        <w:tc>
          <w:tcPr>
            <w:tcW w:w="1135" w:type="dxa"/>
            <w:vAlign w:val="center"/>
          </w:tcPr>
          <w:p>
            <w:pPr>
              <w:pStyle w:val="55"/>
              <w:spacing w:before="93" w:line="177" w:lineRule="auto"/>
              <w:jc w:val="center"/>
              <w:rPr>
                <w:rFonts w:ascii="宋体" w:hAnsi="宋体" w:eastAsia="宋体" w:cs="宋体"/>
                <w:lang w:eastAsia="zh-CN"/>
              </w:rPr>
            </w:pPr>
            <w:r>
              <w:rPr>
                <w:rFonts w:hint="eastAsia" w:ascii="宋体" w:hAnsi="宋体" w:eastAsia="宋体" w:cs="宋体"/>
                <w:lang w:eastAsia="zh-CN"/>
              </w:rPr>
              <w:t>635</w:t>
            </w:r>
          </w:p>
        </w:tc>
        <w:tc>
          <w:tcPr>
            <w:tcW w:w="1516" w:type="dxa"/>
            <w:vAlign w:val="center"/>
          </w:tcPr>
          <w:p>
            <w:pPr>
              <w:pStyle w:val="55"/>
              <w:spacing w:before="96" w:line="120" w:lineRule="exact"/>
              <w:ind w:left="368"/>
              <w:jc w:val="right"/>
              <w:rPr>
                <w:rFonts w:ascii="宋体" w:hAnsi="宋体" w:eastAsia="宋体" w:cs="仿宋"/>
              </w:rPr>
            </w:pPr>
            <w:r>
              <w:rPr>
                <w:rFonts w:hint="eastAsia" w:ascii="宋体" w:hAnsi="宋体" w:eastAsia="宋体" w:cs="仿宋"/>
              </w:rPr>
              <w:t>64.93%</w:t>
            </w:r>
          </w:p>
        </w:tc>
        <w:tc>
          <w:tcPr>
            <w:tcW w:w="1953" w:type="dxa"/>
            <w:vAlign w:val="center"/>
          </w:tcPr>
          <w:p>
            <w:pPr>
              <w:pStyle w:val="55"/>
              <w:spacing w:before="96" w:line="120" w:lineRule="exact"/>
              <w:ind w:left="368"/>
              <w:jc w:val="right"/>
              <w:rPr>
                <w:rFonts w:ascii="宋体" w:hAnsi="宋体" w:eastAsia="宋体" w:cs="仿宋"/>
              </w:rPr>
            </w:pPr>
            <w:r>
              <w:rPr>
                <w:rFonts w:ascii="宋体" w:hAnsi="宋体" w:eastAsia="宋体" w:cs="仿宋"/>
              </w:rPr>
              <w:t>3,381,822.60</w:t>
            </w:r>
          </w:p>
        </w:tc>
        <w:tc>
          <w:tcPr>
            <w:tcW w:w="1059" w:type="dxa"/>
            <w:vAlign w:val="center"/>
          </w:tcPr>
          <w:p>
            <w:pPr>
              <w:pStyle w:val="55"/>
              <w:spacing w:before="96" w:line="120" w:lineRule="exact"/>
              <w:ind w:left="368"/>
              <w:jc w:val="right"/>
              <w:rPr>
                <w:rFonts w:ascii="宋体" w:hAnsi="宋体" w:eastAsia="宋体" w:cs="仿宋"/>
              </w:rPr>
            </w:pPr>
            <w:r>
              <w:rPr>
                <w:rFonts w:hint="eastAsia" w:ascii="宋体" w:hAnsi="宋体" w:eastAsia="宋体" w:cs="仿宋"/>
              </w:rPr>
              <w:t>82.35%</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21" w:hRule="atLeast"/>
        </w:trPr>
        <w:tc>
          <w:tcPr>
            <w:tcW w:w="3119" w:type="dxa"/>
            <w:gridSpan w:val="2"/>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合计</w:t>
            </w:r>
          </w:p>
        </w:tc>
        <w:tc>
          <w:tcPr>
            <w:tcW w:w="1135" w:type="dxa"/>
            <w:vAlign w:val="center"/>
          </w:tcPr>
          <w:p>
            <w:pPr>
              <w:pStyle w:val="55"/>
              <w:spacing w:before="93" w:line="177" w:lineRule="auto"/>
              <w:jc w:val="center"/>
              <w:rPr>
                <w:rFonts w:ascii="宋体" w:hAnsi="宋体" w:eastAsia="宋体" w:cs="宋体"/>
                <w:lang w:eastAsia="zh-CN"/>
              </w:rPr>
            </w:pPr>
            <w:r>
              <w:rPr>
                <w:rFonts w:hint="eastAsia" w:ascii="宋体" w:hAnsi="宋体" w:eastAsia="宋体" w:cs="宋体"/>
                <w:lang w:eastAsia="zh-CN"/>
              </w:rPr>
              <w:t>978</w:t>
            </w:r>
          </w:p>
        </w:tc>
        <w:tc>
          <w:tcPr>
            <w:tcW w:w="1516" w:type="dxa"/>
            <w:vAlign w:val="center"/>
          </w:tcPr>
          <w:p>
            <w:pPr>
              <w:pStyle w:val="55"/>
              <w:spacing w:before="96" w:line="120" w:lineRule="exact"/>
              <w:ind w:left="368"/>
              <w:jc w:val="right"/>
              <w:rPr>
                <w:rFonts w:ascii="宋体" w:hAnsi="宋体" w:eastAsia="宋体" w:cs="仿宋"/>
              </w:rPr>
            </w:pPr>
            <w:r>
              <w:rPr>
                <w:rFonts w:hint="eastAsia" w:ascii="宋体" w:hAnsi="宋体" w:eastAsia="宋体" w:cs="仿宋"/>
              </w:rPr>
              <w:t>100.00%</w:t>
            </w:r>
          </w:p>
        </w:tc>
        <w:tc>
          <w:tcPr>
            <w:tcW w:w="1953" w:type="dxa"/>
            <w:vAlign w:val="center"/>
          </w:tcPr>
          <w:p>
            <w:pPr>
              <w:pStyle w:val="55"/>
              <w:spacing w:before="96" w:line="120" w:lineRule="exact"/>
              <w:ind w:left="368"/>
              <w:jc w:val="right"/>
              <w:rPr>
                <w:rFonts w:ascii="宋体" w:hAnsi="宋体" w:eastAsia="宋体" w:cs="仿宋"/>
              </w:rPr>
            </w:pPr>
            <w:r>
              <w:rPr>
                <w:rFonts w:ascii="宋体" w:hAnsi="宋体" w:eastAsia="宋体" w:cs="仿宋"/>
              </w:rPr>
              <w:t>4,106,546.36</w:t>
            </w:r>
          </w:p>
        </w:tc>
        <w:tc>
          <w:tcPr>
            <w:tcW w:w="1059" w:type="dxa"/>
            <w:vAlign w:val="center"/>
          </w:tcPr>
          <w:p>
            <w:pPr>
              <w:pStyle w:val="55"/>
              <w:spacing w:before="96" w:line="120" w:lineRule="exact"/>
              <w:ind w:left="368"/>
              <w:jc w:val="right"/>
              <w:rPr>
                <w:rFonts w:ascii="宋体" w:hAnsi="宋体" w:eastAsia="宋体" w:cs="仿宋"/>
              </w:rPr>
            </w:pPr>
            <w:r>
              <w:rPr>
                <w:rFonts w:hint="eastAsia" w:ascii="宋体" w:hAnsi="宋体" w:eastAsia="宋体" w:cs="仿宋"/>
              </w:rPr>
              <w:t>100.00%</w:t>
            </w:r>
          </w:p>
        </w:tc>
      </w:tr>
    </w:tbl>
    <w:p>
      <w:pPr>
        <w:pStyle w:val="1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bookmarkStart w:id="10" w:name="_Toc8765"/>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投资区域分布情况</w:t>
      </w:r>
    </w:p>
    <w:p>
      <w:pPr>
        <w:pStyle w:val="1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投资项目总数978个，投资总金额410.65亿元，其中：投资山东省内项目338个，占比34.56%，投资青岛市项目273个，占比27.91%，投资青岛市内项目的投资金额134.80亿元，占投资总金额的32.83%。</w:t>
      </w:r>
    </w:p>
    <w:tbl>
      <w:tblPr>
        <w:tblStyle w:val="25"/>
        <w:tblW w:w="8787" w:type="dxa"/>
        <w:tblInd w:w="0" w:type="dxa"/>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
      <w:tblGrid>
        <w:gridCol w:w="853"/>
        <w:gridCol w:w="1620"/>
        <w:gridCol w:w="1135"/>
        <w:gridCol w:w="852"/>
        <w:gridCol w:w="852"/>
        <w:gridCol w:w="852"/>
        <w:gridCol w:w="852"/>
        <w:gridCol w:w="1135"/>
        <w:gridCol w:w="636"/>
      </w:tblGrid>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21" w:hRule="atLeast"/>
        </w:trPr>
        <w:tc>
          <w:tcPr>
            <w:tcW w:w="853" w:type="dxa"/>
            <w:vMerge w:val="restart"/>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基金属性</w:t>
            </w:r>
          </w:p>
        </w:tc>
        <w:tc>
          <w:tcPr>
            <w:tcW w:w="1620" w:type="dxa"/>
            <w:vMerge w:val="restart"/>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所处阶段</w:t>
            </w:r>
          </w:p>
        </w:tc>
        <w:tc>
          <w:tcPr>
            <w:tcW w:w="1135" w:type="dxa"/>
            <w:vMerge w:val="restart"/>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项目总数量</w:t>
            </w:r>
          </w:p>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（个）</w:t>
            </w:r>
          </w:p>
        </w:tc>
        <w:tc>
          <w:tcPr>
            <w:tcW w:w="1704" w:type="dxa"/>
            <w:gridSpan w:val="2"/>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其中：山东省投资项目</w:t>
            </w:r>
          </w:p>
        </w:tc>
        <w:tc>
          <w:tcPr>
            <w:tcW w:w="1704" w:type="dxa"/>
            <w:gridSpan w:val="2"/>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其中：青岛市投资项目</w:t>
            </w:r>
          </w:p>
        </w:tc>
        <w:tc>
          <w:tcPr>
            <w:tcW w:w="1771" w:type="dxa"/>
            <w:gridSpan w:val="2"/>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其中：其他省市投资项目数量</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21" w:hRule="atLeast"/>
        </w:trPr>
        <w:tc>
          <w:tcPr>
            <w:tcW w:w="853" w:type="dxa"/>
            <w:vMerge w:val="continue"/>
            <w:vAlign w:val="center"/>
          </w:tcPr>
          <w:p>
            <w:pPr>
              <w:pStyle w:val="55"/>
              <w:spacing w:before="76" w:line="197" w:lineRule="auto"/>
              <w:jc w:val="center"/>
              <w:rPr>
                <w:rFonts w:ascii="宋体" w:hAnsi="宋体" w:eastAsia="宋体" w:cs="黑体"/>
                <w:b/>
                <w:lang w:eastAsia="zh-CN"/>
              </w:rPr>
            </w:pPr>
          </w:p>
        </w:tc>
        <w:tc>
          <w:tcPr>
            <w:tcW w:w="1620" w:type="dxa"/>
            <w:vMerge w:val="continue"/>
            <w:vAlign w:val="center"/>
          </w:tcPr>
          <w:p>
            <w:pPr>
              <w:pStyle w:val="55"/>
              <w:spacing w:before="76" w:line="197" w:lineRule="auto"/>
              <w:jc w:val="center"/>
              <w:rPr>
                <w:rFonts w:ascii="宋体" w:hAnsi="宋体" w:eastAsia="宋体" w:cs="黑体"/>
                <w:b/>
                <w:lang w:eastAsia="zh-CN"/>
              </w:rPr>
            </w:pPr>
          </w:p>
        </w:tc>
        <w:tc>
          <w:tcPr>
            <w:tcW w:w="1135" w:type="dxa"/>
            <w:vMerge w:val="continue"/>
            <w:vAlign w:val="center"/>
          </w:tcPr>
          <w:p>
            <w:pPr>
              <w:pStyle w:val="55"/>
              <w:spacing w:before="76" w:line="197" w:lineRule="auto"/>
              <w:jc w:val="center"/>
              <w:rPr>
                <w:rFonts w:ascii="宋体" w:hAnsi="宋体" w:eastAsia="宋体" w:cs="黑体"/>
                <w:b/>
                <w:lang w:eastAsia="zh-CN"/>
              </w:rPr>
            </w:pPr>
          </w:p>
        </w:tc>
        <w:tc>
          <w:tcPr>
            <w:tcW w:w="852" w:type="dxa"/>
            <w:vAlign w:val="center"/>
          </w:tcPr>
          <w:p>
            <w:pPr>
              <w:pStyle w:val="55"/>
              <w:keepNext w:val="0"/>
              <w:keepLines w:val="0"/>
              <w:pageBreakBefore w:val="0"/>
              <w:widowControl w:val="0"/>
              <w:kinsoku/>
              <w:wordWrap/>
              <w:overflowPunct/>
              <w:topLinePunct w:val="0"/>
              <w:autoSpaceDE/>
              <w:autoSpaceDN/>
              <w:bidi w:val="0"/>
              <w:adjustRightInd/>
              <w:snapToGrid/>
              <w:spacing w:before="76" w:line="200" w:lineRule="exact"/>
              <w:ind w:left="0" w:leftChars="0" w:right="0" w:rightChars="0" w:firstLine="0" w:firstLineChars="0"/>
              <w:jc w:val="center"/>
              <w:textAlignment w:val="auto"/>
              <w:outlineLvl w:val="9"/>
              <w:rPr>
                <w:rFonts w:ascii="宋体" w:hAnsi="宋体" w:eastAsia="宋体" w:cs="黑体"/>
                <w:b/>
                <w:lang w:eastAsia="zh-CN"/>
              </w:rPr>
            </w:pPr>
            <w:r>
              <w:rPr>
                <w:rFonts w:hint="eastAsia" w:ascii="宋体" w:hAnsi="宋体" w:eastAsia="宋体" w:cs="黑体"/>
                <w:b/>
                <w:lang w:eastAsia="zh-CN"/>
              </w:rPr>
              <w:t>数量</w:t>
            </w:r>
          </w:p>
          <w:p>
            <w:pPr>
              <w:pStyle w:val="55"/>
              <w:keepNext w:val="0"/>
              <w:keepLines w:val="0"/>
              <w:pageBreakBefore w:val="0"/>
              <w:widowControl w:val="0"/>
              <w:kinsoku/>
              <w:wordWrap/>
              <w:overflowPunct/>
              <w:topLinePunct w:val="0"/>
              <w:autoSpaceDE/>
              <w:autoSpaceDN/>
              <w:bidi w:val="0"/>
              <w:adjustRightInd/>
              <w:snapToGrid/>
              <w:spacing w:before="76" w:line="200" w:lineRule="exact"/>
              <w:ind w:left="0" w:leftChars="0" w:right="0" w:rightChars="0" w:firstLine="0" w:firstLineChars="0"/>
              <w:jc w:val="center"/>
              <w:textAlignment w:val="auto"/>
              <w:outlineLvl w:val="9"/>
              <w:rPr>
                <w:rFonts w:ascii="宋体" w:hAnsi="宋体" w:eastAsia="宋体" w:cs="黑体"/>
                <w:b/>
                <w:lang w:eastAsia="zh-CN"/>
              </w:rPr>
            </w:pPr>
            <w:r>
              <w:rPr>
                <w:rFonts w:hint="eastAsia" w:ascii="宋体" w:hAnsi="宋体" w:eastAsia="宋体" w:cs="黑体"/>
                <w:b/>
                <w:lang w:eastAsia="zh-CN"/>
              </w:rPr>
              <w:t>（个）</w:t>
            </w:r>
          </w:p>
        </w:tc>
        <w:tc>
          <w:tcPr>
            <w:tcW w:w="852" w:type="dxa"/>
            <w:vAlign w:val="center"/>
          </w:tcPr>
          <w:p>
            <w:pPr>
              <w:pStyle w:val="55"/>
              <w:keepNext w:val="0"/>
              <w:keepLines w:val="0"/>
              <w:pageBreakBefore w:val="0"/>
              <w:widowControl w:val="0"/>
              <w:kinsoku/>
              <w:wordWrap/>
              <w:overflowPunct/>
              <w:topLinePunct w:val="0"/>
              <w:autoSpaceDE/>
              <w:autoSpaceDN/>
              <w:bidi w:val="0"/>
              <w:adjustRightInd/>
              <w:snapToGrid/>
              <w:spacing w:before="76" w:line="200" w:lineRule="exact"/>
              <w:ind w:left="0" w:leftChars="0" w:right="0" w:rightChars="0" w:firstLine="0" w:firstLineChars="0"/>
              <w:jc w:val="center"/>
              <w:textAlignment w:val="auto"/>
              <w:outlineLvl w:val="9"/>
              <w:rPr>
                <w:rFonts w:ascii="宋体" w:hAnsi="宋体" w:eastAsia="宋体" w:cs="黑体"/>
                <w:b/>
                <w:lang w:eastAsia="zh-CN"/>
              </w:rPr>
            </w:pPr>
            <w:r>
              <w:rPr>
                <w:rFonts w:hint="eastAsia" w:ascii="宋体" w:hAnsi="宋体" w:eastAsia="宋体" w:cs="黑体"/>
                <w:b/>
                <w:lang w:eastAsia="zh-CN"/>
              </w:rPr>
              <w:t>占比</w:t>
            </w:r>
          </w:p>
        </w:tc>
        <w:tc>
          <w:tcPr>
            <w:tcW w:w="852" w:type="dxa"/>
            <w:vAlign w:val="center"/>
          </w:tcPr>
          <w:p>
            <w:pPr>
              <w:pStyle w:val="55"/>
              <w:keepNext w:val="0"/>
              <w:keepLines w:val="0"/>
              <w:pageBreakBefore w:val="0"/>
              <w:widowControl w:val="0"/>
              <w:kinsoku/>
              <w:wordWrap/>
              <w:overflowPunct/>
              <w:topLinePunct w:val="0"/>
              <w:autoSpaceDE/>
              <w:autoSpaceDN/>
              <w:bidi w:val="0"/>
              <w:adjustRightInd/>
              <w:snapToGrid/>
              <w:spacing w:before="76" w:line="200" w:lineRule="exact"/>
              <w:ind w:left="0" w:leftChars="0" w:right="0" w:rightChars="0" w:firstLine="0" w:firstLineChars="0"/>
              <w:jc w:val="center"/>
              <w:textAlignment w:val="auto"/>
              <w:outlineLvl w:val="9"/>
              <w:rPr>
                <w:rFonts w:ascii="宋体" w:hAnsi="宋体" w:eastAsia="宋体" w:cs="黑体"/>
                <w:b/>
                <w:lang w:eastAsia="zh-CN"/>
              </w:rPr>
            </w:pPr>
            <w:r>
              <w:rPr>
                <w:rFonts w:hint="eastAsia" w:ascii="宋体" w:hAnsi="宋体" w:eastAsia="宋体" w:cs="黑体"/>
                <w:b/>
                <w:lang w:eastAsia="zh-CN"/>
              </w:rPr>
              <w:t>数量</w:t>
            </w:r>
          </w:p>
          <w:p>
            <w:pPr>
              <w:pStyle w:val="55"/>
              <w:keepNext w:val="0"/>
              <w:keepLines w:val="0"/>
              <w:pageBreakBefore w:val="0"/>
              <w:widowControl w:val="0"/>
              <w:kinsoku/>
              <w:wordWrap/>
              <w:overflowPunct/>
              <w:topLinePunct w:val="0"/>
              <w:autoSpaceDE/>
              <w:autoSpaceDN/>
              <w:bidi w:val="0"/>
              <w:adjustRightInd/>
              <w:snapToGrid/>
              <w:spacing w:before="76" w:line="200" w:lineRule="exact"/>
              <w:ind w:left="0" w:leftChars="0" w:right="0" w:rightChars="0" w:firstLine="0" w:firstLineChars="0"/>
              <w:jc w:val="center"/>
              <w:textAlignment w:val="auto"/>
              <w:outlineLvl w:val="9"/>
              <w:rPr>
                <w:rFonts w:ascii="宋体" w:hAnsi="宋体" w:eastAsia="宋体" w:cs="黑体"/>
                <w:b/>
                <w:lang w:eastAsia="zh-CN"/>
              </w:rPr>
            </w:pPr>
            <w:r>
              <w:rPr>
                <w:rFonts w:hint="eastAsia" w:ascii="宋体" w:hAnsi="宋体" w:eastAsia="宋体" w:cs="黑体"/>
                <w:b/>
                <w:lang w:eastAsia="zh-CN"/>
              </w:rPr>
              <w:t>（个）</w:t>
            </w:r>
          </w:p>
        </w:tc>
        <w:tc>
          <w:tcPr>
            <w:tcW w:w="852" w:type="dxa"/>
            <w:vAlign w:val="center"/>
          </w:tcPr>
          <w:p>
            <w:pPr>
              <w:pStyle w:val="55"/>
              <w:keepNext w:val="0"/>
              <w:keepLines w:val="0"/>
              <w:pageBreakBefore w:val="0"/>
              <w:widowControl w:val="0"/>
              <w:kinsoku/>
              <w:wordWrap/>
              <w:overflowPunct/>
              <w:topLinePunct w:val="0"/>
              <w:autoSpaceDE/>
              <w:autoSpaceDN/>
              <w:bidi w:val="0"/>
              <w:adjustRightInd/>
              <w:snapToGrid/>
              <w:spacing w:before="76" w:line="200" w:lineRule="exact"/>
              <w:ind w:left="0" w:leftChars="0" w:right="0" w:rightChars="0" w:firstLine="0" w:firstLineChars="0"/>
              <w:jc w:val="center"/>
              <w:textAlignment w:val="auto"/>
              <w:outlineLvl w:val="9"/>
              <w:rPr>
                <w:rFonts w:ascii="宋体" w:hAnsi="宋体" w:eastAsia="宋体" w:cs="黑体"/>
                <w:b/>
                <w:lang w:eastAsia="zh-CN"/>
              </w:rPr>
            </w:pPr>
            <w:r>
              <w:rPr>
                <w:rFonts w:hint="eastAsia" w:ascii="宋体" w:hAnsi="宋体" w:eastAsia="宋体" w:cs="黑体"/>
                <w:b/>
                <w:lang w:eastAsia="zh-CN"/>
              </w:rPr>
              <w:t>占比</w:t>
            </w:r>
          </w:p>
        </w:tc>
        <w:tc>
          <w:tcPr>
            <w:tcW w:w="1135" w:type="dxa"/>
            <w:vAlign w:val="center"/>
          </w:tcPr>
          <w:p>
            <w:pPr>
              <w:pStyle w:val="55"/>
              <w:keepNext w:val="0"/>
              <w:keepLines w:val="0"/>
              <w:pageBreakBefore w:val="0"/>
              <w:widowControl w:val="0"/>
              <w:kinsoku/>
              <w:wordWrap/>
              <w:overflowPunct/>
              <w:topLinePunct w:val="0"/>
              <w:autoSpaceDE/>
              <w:autoSpaceDN/>
              <w:bidi w:val="0"/>
              <w:adjustRightInd/>
              <w:snapToGrid/>
              <w:spacing w:before="76" w:line="200" w:lineRule="exact"/>
              <w:ind w:left="0" w:leftChars="0" w:right="0" w:rightChars="0" w:firstLine="0" w:firstLineChars="0"/>
              <w:jc w:val="center"/>
              <w:textAlignment w:val="auto"/>
              <w:outlineLvl w:val="9"/>
              <w:rPr>
                <w:rFonts w:ascii="宋体" w:hAnsi="宋体" w:eastAsia="宋体" w:cs="黑体"/>
                <w:b/>
                <w:lang w:eastAsia="zh-CN"/>
              </w:rPr>
            </w:pPr>
            <w:r>
              <w:rPr>
                <w:rFonts w:hint="eastAsia" w:ascii="宋体" w:hAnsi="宋体" w:eastAsia="宋体" w:cs="黑体"/>
                <w:b/>
                <w:lang w:eastAsia="zh-CN"/>
              </w:rPr>
              <w:t>数量</w:t>
            </w:r>
          </w:p>
          <w:p>
            <w:pPr>
              <w:pStyle w:val="55"/>
              <w:keepNext w:val="0"/>
              <w:keepLines w:val="0"/>
              <w:pageBreakBefore w:val="0"/>
              <w:widowControl w:val="0"/>
              <w:kinsoku/>
              <w:wordWrap/>
              <w:overflowPunct/>
              <w:topLinePunct w:val="0"/>
              <w:autoSpaceDE/>
              <w:autoSpaceDN/>
              <w:bidi w:val="0"/>
              <w:adjustRightInd/>
              <w:snapToGrid/>
              <w:spacing w:before="76" w:line="200" w:lineRule="exact"/>
              <w:ind w:left="0" w:leftChars="0" w:right="0" w:rightChars="0" w:firstLine="0" w:firstLineChars="0"/>
              <w:jc w:val="center"/>
              <w:textAlignment w:val="auto"/>
              <w:outlineLvl w:val="9"/>
              <w:rPr>
                <w:rFonts w:ascii="宋体" w:hAnsi="宋体" w:eastAsia="宋体" w:cs="黑体"/>
                <w:b/>
                <w:lang w:eastAsia="zh-CN"/>
              </w:rPr>
            </w:pPr>
            <w:r>
              <w:rPr>
                <w:rFonts w:hint="eastAsia" w:ascii="宋体" w:hAnsi="宋体" w:eastAsia="宋体" w:cs="黑体"/>
                <w:b/>
                <w:lang w:eastAsia="zh-CN"/>
              </w:rPr>
              <w:t>（个）</w:t>
            </w:r>
          </w:p>
        </w:tc>
        <w:tc>
          <w:tcPr>
            <w:tcW w:w="636" w:type="dxa"/>
            <w:vAlign w:val="center"/>
          </w:tcPr>
          <w:p>
            <w:pPr>
              <w:pStyle w:val="55"/>
              <w:keepNext w:val="0"/>
              <w:keepLines w:val="0"/>
              <w:pageBreakBefore w:val="0"/>
              <w:widowControl w:val="0"/>
              <w:kinsoku/>
              <w:wordWrap/>
              <w:overflowPunct/>
              <w:topLinePunct w:val="0"/>
              <w:autoSpaceDE/>
              <w:autoSpaceDN/>
              <w:bidi w:val="0"/>
              <w:adjustRightInd/>
              <w:snapToGrid/>
              <w:spacing w:before="76" w:line="200" w:lineRule="exact"/>
              <w:ind w:left="0" w:leftChars="0" w:right="0" w:rightChars="0" w:firstLine="0" w:firstLineChars="0"/>
              <w:jc w:val="center"/>
              <w:textAlignment w:val="auto"/>
              <w:outlineLvl w:val="9"/>
              <w:rPr>
                <w:rFonts w:ascii="宋体" w:hAnsi="宋体" w:eastAsia="宋体" w:cs="黑体"/>
                <w:b/>
                <w:lang w:eastAsia="zh-CN"/>
              </w:rPr>
            </w:pPr>
            <w:r>
              <w:rPr>
                <w:rFonts w:hint="eastAsia" w:ascii="宋体" w:hAnsi="宋体" w:eastAsia="宋体" w:cs="黑体"/>
                <w:b/>
                <w:lang w:eastAsia="zh-CN"/>
              </w:rPr>
              <w:t>占比</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6" w:hRule="atLeast"/>
        </w:trPr>
        <w:tc>
          <w:tcPr>
            <w:tcW w:w="853" w:type="dxa"/>
            <w:vMerge w:val="restart"/>
            <w:vAlign w:val="center"/>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创业投资基金</w:t>
            </w:r>
          </w:p>
        </w:tc>
        <w:tc>
          <w:tcPr>
            <w:tcW w:w="1620" w:type="dxa"/>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投资期</w:t>
            </w:r>
          </w:p>
        </w:tc>
        <w:tc>
          <w:tcPr>
            <w:tcW w:w="1135" w:type="dxa"/>
            <w:vAlign w:val="center"/>
          </w:tcPr>
          <w:p>
            <w:pPr>
              <w:jc w:val="center"/>
              <w:rPr>
                <w:rFonts w:ascii="宋体" w:hAnsi="宋体" w:cs="宋体"/>
                <w:color w:val="000000"/>
                <w:sz w:val="18"/>
                <w:szCs w:val="18"/>
              </w:rPr>
            </w:pPr>
            <w:r>
              <w:rPr>
                <w:rFonts w:hint="eastAsia" w:ascii="宋体" w:hAnsi="宋体"/>
                <w:color w:val="000000"/>
                <w:sz w:val="18"/>
                <w:szCs w:val="18"/>
              </w:rPr>
              <w:t>168</w:t>
            </w:r>
          </w:p>
        </w:tc>
        <w:tc>
          <w:tcPr>
            <w:tcW w:w="852" w:type="dxa"/>
            <w:vAlign w:val="center"/>
          </w:tcPr>
          <w:p>
            <w:pPr>
              <w:jc w:val="center"/>
              <w:rPr>
                <w:rFonts w:ascii="宋体" w:hAnsi="宋体" w:cs="宋体"/>
                <w:color w:val="000000"/>
                <w:sz w:val="18"/>
                <w:szCs w:val="18"/>
              </w:rPr>
            </w:pPr>
            <w:r>
              <w:rPr>
                <w:rFonts w:hint="eastAsia" w:ascii="宋体" w:hAnsi="宋体"/>
                <w:color w:val="000000"/>
                <w:sz w:val="18"/>
                <w:szCs w:val="18"/>
              </w:rPr>
              <w:t>52</w:t>
            </w:r>
          </w:p>
        </w:tc>
        <w:tc>
          <w:tcPr>
            <w:tcW w:w="852" w:type="dxa"/>
            <w:vAlign w:val="center"/>
          </w:tcPr>
          <w:p>
            <w:pPr>
              <w:jc w:val="right"/>
              <w:rPr>
                <w:rFonts w:ascii="宋体" w:hAnsi="宋体" w:cs="宋体"/>
                <w:color w:val="000000"/>
                <w:sz w:val="18"/>
                <w:szCs w:val="18"/>
              </w:rPr>
            </w:pPr>
            <w:r>
              <w:rPr>
                <w:rFonts w:hint="eastAsia" w:ascii="宋体" w:hAnsi="宋体" w:cs="宋体"/>
                <w:color w:val="000000"/>
                <w:sz w:val="18"/>
                <w:szCs w:val="18"/>
              </w:rPr>
              <w:t>5.32%</w:t>
            </w:r>
          </w:p>
        </w:tc>
        <w:tc>
          <w:tcPr>
            <w:tcW w:w="852" w:type="dxa"/>
            <w:vAlign w:val="center"/>
          </w:tcPr>
          <w:p>
            <w:pPr>
              <w:jc w:val="center"/>
              <w:rPr>
                <w:rFonts w:ascii="宋体" w:hAnsi="宋体" w:cs="宋体"/>
                <w:color w:val="000000"/>
                <w:sz w:val="18"/>
                <w:szCs w:val="18"/>
              </w:rPr>
            </w:pPr>
            <w:r>
              <w:rPr>
                <w:rFonts w:hint="eastAsia" w:ascii="宋体" w:hAnsi="宋体"/>
                <w:color w:val="000000"/>
                <w:sz w:val="18"/>
                <w:szCs w:val="18"/>
              </w:rPr>
              <w:t>44</w:t>
            </w:r>
          </w:p>
        </w:tc>
        <w:tc>
          <w:tcPr>
            <w:tcW w:w="852" w:type="dxa"/>
            <w:vAlign w:val="center"/>
          </w:tcPr>
          <w:p>
            <w:pPr>
              <w:jc w:val="right"/>
              <w:rPr>
                <w:rFonts w:ascii="宋体" w:hAnsi="宋体" w:cs="宋体"/>
                <w:color w:val="000000"/>
                <w:sz w:val="18"/>
                <w:szCs w:val="18"/>
              </w:rPr>
            </w:pPr>
            <w:r>
              <w:rPr>
                <w:rFonts w:hint="eastAsia" w:ascii="宋体" w:hAnsi="宋体" w:cs="宋体"/>
                <w:color w:val="000000"/>
                <w:sz w:val="18"/>
                <w:szCs w:val="18"/>
              </w:rPr>
              <w:t>4.50%</w:t>
            </w:r>
          </w:p>
        </w:tc>
        <w:tc>
          <w:tcPr>
            <w:tcW w:w="1135" w:type="dxa"/>
            <w:vAlign w:val="center"/>
          </w:tcPr>
          <w:p>
            <w:pPr>
              <w:jc w:val="center"/>
              <w:rPr>
                <w:rFonts w:ascii="宋体" w:hAnsi="宋体" w:cs="宋体"/>
                <w:color w:val="000000"/>
                <w:sz w:val="18"/>
                <w:szCs w:val="18"/>
              </w:rPr>
            </w:pPr>
            <w:r>
              <w:rPr>
                <w:rFonts w:hint="eastAsia" w:ascii="宋体" w:hAnsi="宋体"/>
                <w:color w:val="000000"/>
                <w:sz w:val="18"/>
                <w:szCs w:val="18"/>
              </w:rPr>
              <w:t>116</w:t>
            </w:r>
          </w:p>
        </w:tc>
        <w:tc>
          <w:tcPr>
            <w:tcW w:w="636" w:type="dxa"/>
            <w:vAlign w:val="center"/>
          </w:tcPr>
          <w:p>
            <w:pPr>
              <w:jc w:val="right"/>
              <w:rPr>
                <w:rFonts w:ascii="宋体" w:hAnsi="宋体" w:cs="宋体"/>
                <w:color w:val="000000"/>
                <w:sz w:val="18"/>
                <w:szCs w:val="18"/>
              </w:rPr>
            </w:pPr>
            <w:r>
              <w:rPr>
                <w:rFonts w:hint="eastAsia" w:ascii="宋体" w:hAnsi="宋体" w:cs="宋体"/>
                <w:color w:val="000000"/>
                <w:sz w:val="18"/>
                <w:szCs w:val="18"/>
              </w:rPr>
              <w:t>11.86%</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7" w:hRule="atLeast"/>
        </w:trPr>
        <w:tc>
          <w:tcPr>
            <w:tcW w:w="853" w:type="dxa"/>
            <w:vMerge w:val="continue"/>
          </w:tcPr>
          <w:p>
            <w:pPr>
              <w:rPr>
                <w:rFonts w:ascii="宋体" w:hAnsi="宋体" w:cs="宋体"/>
                <w:sz w:val="15"/>
                <w:szCs w:val="15"/>
              </w:rPr>
            </w:pPr>
          </w:p>
        </w:tc>
        <w:tc>
          <w:tcPr>
            <w:tcW w:w="1620" w:type="dxa"/>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退出期</w:t>
            </w:r>
          </w:p>
          <w:p>
            <w:pPr>
              <w:pStyle w:val="55"/>
              <w:spacing w:before="76" w:line="197" w:lineRule="auto"/>
              <w:ind w:left="142"/>
              <w:jc w:val="center"/>
              <w:rPr>
                <w:rFonts w:ascii="宋体" w:hAnsi="宋体" w:eastAsia="宋体" w:cs="黑体"/>
                <w:lang w:eastAsia="zh-CN"/>
              </w:rPr>
            </w:pPr>
            <w:r>
              <w:rPr>
                <w:rFonts w:hint="eastAsia" w:ascii="宋体" w:hAnsi="宋体" w:eastAsia="宋体" w:cs="黑体"/>
                <w:lang w:eastAsia="zh-CN"/>
              </w:rPr>
              <w:t>（含清算期）</w:t>
            </w:r>
          </w:p>
        </w:tc>
        <w:tc>
          <w:tcPr>
            <w:tcW w:w="1135" w:type="dxa"/>
            <w:vAlign w:val="center"/>
          </w:tcPr>
          <w:p>
            <w:pPr>
              <w:jc w:val="center"/>
              <w:rPr>
                <w:rFonts w:ascii="宋体" w:hAnsi="宋体" w:cs="宋体"/>
                <w:color w:val="000000"/>
                <w:sz w:val="18"/>
                <w:szCs w:val="18"/>
              </w:rPr>
            </w:pPr>
            <w:r>
              <w:rPr>
                <w:rFonts w:hint="eastAsia" w:ascii="宋体" w:hAnsi="宋体"/>
                <w:color w:val="000000"/>
                <w:sz w:val="18"/>
                <w:szCs w:val="18"/>
              </w:rPr>
              <w:t>175</w:t>
            </w:r>
          </w:p>
        </w:tc>
        <w:tc>
          <w:tcPr>
            <w:tcW w:w="852" w:type="dxa"/>
            <w:vAlign w:val="center"/>
          </w:tcPr>
          <w:p>
            <w:pPr>
              <w:jc w:val="center"/>
              <w:rPr>
                <w:rFonts w:ascii="宋体" w:hAnsi="宋体" w:cs="宋体"/>
                <w:color w:val="000000"/>
                <w:sz w:val="18"/>
                <w:szCs w:val="18"/>
              </w:rPr>
            </w:pPr>
            <w:r>
              <w:rPr>
                <w:rFonts w:hint="eastAsia" w:ascii="宋体" w:hAnsi="宋体"/>
                <w:color w:val="000000"/>
                <w:sz w:val="18"/>
                <w:szCs w:val="18"/>
              </w:rPr>
              <w:t>87</w:t>
            </w:r>
          </w:p>
        </w:tc>
        <w:tc>
          <w:tcPr>
            <w:tcW w:w="852" w:type="dxa"/>
            <w:vAlign w:val="center"/>
          </w:tcPr>
          <w:p>
            <w:pPr>
              <w:jc w:val="right"/>
              <w:rPr>
                <w:rFonts w:ascii="宋体" w:hAnsi="宋体" w:cs="宋体"/>
                <w:color w:val="000000"/>
                <w:sz w:val="18"/>
                <w:szCs w:val="18"/>
              </w:rPr>
            </w:pPr>
            <w:r>
              <w:rPr>
                <w:rFonts w:hint="eastAsia" w:ascii="宋体" w:hAnsi="宋体" w:cs="宋体"/>
                <w:color w:val="000000"/>
                <w:sz w:val="18"/>
                <w:szCs w:val="18"/>
              </w:rPr>
              <w:t>8.90%</w:t>
            </w:r>
          </w:p>
        </w:tc>
        <w:tc>
          <w:tcPr>
            <w:tcW w:w="852" w:type="dxa"/>
            <w:vAlign w:val="center"/>
          </w:tcPr>
          <w:p>
            <w:pPr>
              <w:jc w:val="center"/>
              <w:rPr>
                <w:rFonts w:ascii="宋体" w:hAnsi="宋体" w:cs="宋体"/>
                <w:color w:val="000000"/>
                <w:sz w:val="18"/>
                <w:szCs w:val="18"/>
              </w:rPr>
            </w:pPr>
            <w:r>
              <w:rPr>
                <w:rFonts w:hint="eastAsia" w:ascii="宋体" w:hAnsi="宋体"/>
                <w:color w:val="000000"/>
                <w:sz w:val="18"/>
                <w:szCs w:val="18"/>
              </w:rPr>
              <w:t>73</w:t>
            </w:r>
          </w:p>
        </w:tc>
        <w:tc>
          <w:tcPr>
            <w:tcW w:w="852" w:type="dxa"/>
            <w:vAlign w:val="center"/>
          </w:tcPr>
          <w:p>
            <w:pPr>
              <w:jc w:val="right"/>
              <w:rPr>
                <w:rFonts w:ascii="宋体" w:hAnsi="宋体" w:cs="宋体"/>
                <w:color w:val="000000"/>
                <w:sz w:val="18"/>
                <w:szCs w:val="18"/>
              </w:rPr>
            </w:pPr>
            <w:r>
              <w:rPr>
                <w:rFonts w:hint="eastAsia" w:ascii="宋体" w:hAnsi="宋体" w:cs="宋体"/>
                <w:color w:val="000000"/>
                <w:sz w:val="18"/>
                <w:szCs w:val="18"/>
              </w:rPr>
              <w:t>7.46%</w:t>
            </w:r>
          </w:p>
        </w:tc>
        <w:tc>
          <w:tcPr>
            <w:tcW w:w="1135" w:type="dxa"/>
            <w:vAlign w:val="center"/>
          </w:tcPr>
          <w:p>
            <w:pPr>
              <w:jc w:val="center"/>
              <w:rPr>
                <w:rFonts w:ascii="宋体" w:hAnsi="宋体" w:cs="宋体"/>
                <w:color w:val="000000"/>
                <w:sz w:val="18"/>
                <w:szCs w:val="18"/>
              </w:rPr>
            </w:pPr>
            <w:r>
              <w:rPr>
                <w:rFonts w:hint="eastAsia" w:ascii="宋体" w:hAnsi="宋体"/>
                <w:color w:val="000000"/>
                <w:sz w:val="18"/>
                <w:szCs w:val="18"/>
              </w:rPr>
              <w:t>88</w:t>
            </w:r>
          </w:p>
        </w:tc>
        <w:tc>
          <w:tcPr>
            <w:tcW w:w="636" w:type="dxa"/>
            <w:vAlign w:val="center"/>
          </w:tcPr>
          <w:p>
            <w:pPr>
              <w:jc w:val="right"/>
              <w:rPr>
                <w:rFonts w:ascii="宋体" w:hAnsi="宋体" w:cs="宋体"/>
                <w:color w:val="000000"/>
                <w:sz w:val="18"/>
                <w:szCs w:val="18"/>
              </w:rPr>
            </w:pPr>
            <w:r>
              <w:rPr>
                <w:rFonts w:hint="eastAsia" w:ascii="宋体" w:hAnsi="宋体" w:cs="宋体"/>
                <w:color w:val="000000"/>
                <w:sz w:val="18"/>
                <w:szCs w:val="18"/>
              </w:rPr>
              <w:t>9.00%</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7" w:hRule="atLeast"/>
        </w:trPr>
        <w:tc>
          <w:tcPr>
            <w:tcW w:w="853" w:type="dxa"/>
            <w:vMerge w:val="continue"/>
          </w:tcPr>
          <w:p>
            <w:pPr>
              <w:rPr>
                <w:rFonts w:ascii="宋体" w:hAnsi="宋体" w:cs="宋体"/>
                <w:sz w:val="15"/>
                <w:szCs w:val="15"/>
              </w:rPr>
            </w:pPr>
          </w:p>
        </w:tc>
        <w:tc>
          <w:tcPr>
            <w:tcW w:w="1620" w:type="dxa"/>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合计</w:t>
            </w:r>
          </w:p>
        </w:tc>
        <w:tc>
          <w:tcPr>
            <w:tcW w:w="1135" w:type="dxa"/>
            <w:vAlign w:val="center"/>
          </w:tcPr>
          <w:p>
            <w:pPr>
              <w:jc w:val="center"/>
              <w:rPr>
                <w:rFonts w:ascii="宋体" w:hAnsi="宋体" w:cs="宋体"/>
                <w:color w:val="000000"/>
                <w:sz w:val="18"/>
                <w:szCs w:val="18"/>
              </w:rPr>
            </w:pPr>
            <w:r>
              <w:rPr>
                <w:rFonts w:hint="eastAsia" w:ascii="宋体" w:hAnsi="宋体"/>
                <w:color w:val="000000"/>
                <w:sz w:val="18"/>
                <w:szCs w:val="18"/>
              </w:rPr>
              <w:t>343</w:t>
            </w:r>
          </w:p>
        </w:tc>
        <w:tc>
          <w:tcPr>
            <w:tcW w:w="852" w:type="dxa"/>
            <w:vAlign w:val="center"/>
          </w:tcPr>
          <w:p>
            <w:pPr>
              <w:jc w:val="center"/>
              <w:rPr>
                <w:rFonts w:ascii="宋体" w:hAnsi="宋体" w:cs="宋体"/>
                <w:color w:val="000000"/>
                <w:sz w:val="18"/>
                <w:szCs w:val="18"/>
              </w:rPr>
            </w:pPr>
            <w:r>
              <w:rPr>
                <w:rFonts w:hint="eastAsia" w:ascii="宋体" w:hAnsi="宋体"/>
                <w:color w:val="000000"/>
                <w:sz w:val="18"/>
                <w:szCs w:val="18"/>
              </w:rPr>
              <w:t>139</w:t>
            </w:r>
          </w:p>
        </w:tc>
        <w:tc>
          <w:tcPr>
            <w:tcW w:w="852" w:type="dxa"/>
            <w:vAlign w:val="center"/>
          </w:tcPr>
          <w:p>
            <w:pPr>
              <w:jc w:val="right"/>
              <w:rPr>
                <w:rFonts w:ascii="宋体" w:hAnsi="宋体" w:cs="宋体"/>
                <w:color w:val="000000"/>
                <w:sz w:val="18"/>
                <w:szCs w:val="18"/>
              </w:rPr>
            </w:pPr>
            <w:r>
              <w:rPr>
                <w:rFonts w:hint="eastAsia" w:ascii="宋体" w:hAnsi="宋体" w:cs="宋体"/>
                <w:color w:val="000000"/>
                <w:sz w:val="18"/>
                <w:szCs w:val="18"/>
              </w:rPr>
              <w:t>14.21%</w:t>
            </w:r>
          </w:p>
        </w:tc>
        <w:tc>
          <w:tcPr>
            <w:tcW w:w="852" w:type="dxa"/>
            <w:vAlign w:val="center"/>
          </w:tcPr>
          <w:p>
            <w:pPr>
              <w:jc w:val="center"/>
              <w:rPr>
                <w:rFonts w:ascii="宋体" w:hAnsi="宋体" w:cs="宋体"/>
                <w:color w:val="000000"/>
                <w:sz w:val="18"/>
                <w:szCs w:val="18"/>
              </w:rPr>
            </w:pPr>
            <w:r>
              <w:rPr>
                <w:rFonts w:hint="eastAsia" w:ascii="宋体" w:hAnsi="宋体"/>
                <w:color w:val="000000"/>
                <w:sz w:val="18"/>
                <w:szCs w:val="18"/>
              </w:rPr>
              <w:t>117</w:t>
            </w:r>
          </w:p>
        </w:tc>
        <w:tc>
          <w:tcPr>
            <w:tcW w:w="852" w:type="dxa"/>
            <w:vAlign w:val="center"/>
          </w:tcPr>
          <w:p>
            <w:pPr>
              <w:jc w:val="right"/>
              <w:rPr>
                <w:rFonts w:ascii="宋体" w:hAnsi="宋体" w:cs="宋体"/>
                <w:color w:val="000000"/>
                <w:sz w:val="18"/>
                <w:szCs w:val="18"/>
              </w:rPr>
            </w:pPr>
            <w:r>
              <w:rPr>
                <w:rFonts w:hint="eastAsia" w:ascii="宋体" w:hAnsi="宋体" w:cs="宋体"/>
                <w:color w:val="000000"/>
                <w:sz w:val="18"/>
                <w:szCs w:val="18"/>
              </w:rPr>
              <w:t>11.96%</w:t>
            </w:r>
          </w:p>
        </w:tc>
        <w:tc>
          <w:tcPr>
            <w:tcW w:w="1135" w:type="dxa"/>
            <w:vAlign w:val="center"/>
          </w:tcPr>
          <w:p>
            <w:pPr>
              <w:jc w:val="center"/>
              <w:rPr>
                <w:rFonts w:ascii="宋体" w:hAnsi="宋体" w:cs="宋体"/>
                <w:color w:val="000000"/>
                <w:sz w:val="18"/>
                <w:szCs w:val="18"/>
              </w:rPr>
            </w:pPr>
            <w:r>
              <w:rPr>
                <w:rFonts w:hint="eastAsia" w:ascii="宋体" w:hAnsi="宋体"/>
                <w:color w:val="000000"/>
                <w:sz w:val="18"/>
                <w:szCs w:val="18"/>
              </w:rPr>
              <w:t>204</w:t>
            </w:r>
          </w:p>
        </w:tc>
        <w:tc>
          <w:tcPr>
            <w:tcW w:w="636" w:type="dxa"/>
            <w:vAlign w:val="center"/>
          </w:tcPr>
          <w:p>
            <w:pPr>
              <w:jc w:val="right"/>
              <w:rPr>
                <w:rFonts w:ascii="宋体" w:hAnsi="宋体" w:cs="宋体"/>
                <w:color w:val="000000"/>
                <w:sz w:val="18"/>
                <w:szCs w:val="18"/>
              </w:rPr>
            </w:pPr>
            <w:r>
              <w:rPr>
                <w:rFonts w:hint="eastAsia" w:ascii="宋体" w:hAnsi="宋体" w:cs="宋体"/>
                <w:color w:val="000000"/>
                <w:sz w:val="18"/>
                <w:szCs w:val="18"/>
              </w:rPr>
              <w:t>20.86%</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6" w:hRule="atLeast"/>
        </w:trPr>
        <w:tc>
          <w:tcPr>
            <w:tcW w:w="853" w:type="dxa"/>
            <w:vMerge w:val="restart"/>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产业投资基金</w:t>
            </w:r>
          </w:p>
        </w:tc>
        <w:tc>
          <w:tcPr>
            <w:tcW w:w="1620" w:type="dxa"/>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投资期</w:t>
            </w:r>
          </w:p>
        </w:tc>
        <w:tc>
          <w:tcPr>
            <w:tcW w:w="1135" w:type="dxa"/>
            <w:vAlign w:val="center"/>
          </w:tcPr>
          <w:p>
            <w:pPr>
              <w:jc w:val="center"/>
              <w:rPr>
                <w:rFonts w:ascii="宋体" w:hAnsi="宋体" w:cs="宋体"/>
                <w:color w:val="000000"/>
                <w:sz w:val="18"/>
                <w:szCs w:val="18"/>
              </w:rPr>
            </w:pPr>
            <w:r>
              <w:rPr>
                <w:rFonts w:hint="eastAsia" w:ascii="宋体" w:hAnsi="宋体"/>
                <w:color w:val="000000"/>
                <w:sz w:val="18"/>
                <w:szCs w:val="18"/>
              </w:rPr>
              <w:t>427</w:t>
            </w:r>
          </w:p>
        </w:tc>
        <w:tc>
          <w:tcPr>
            <w:tcW w:w="852" w:type="dxa"/>
            <w:vAlign w:val="center"/>
          </w:tcPr>
          <w:p>
            <w:pPr>
              <w:jc w:val="center"/>
              <w:rPr>
                <w:rFonts w:ascii="宋体" w:hAnsi="宋体" w:cs="宋体"/>
                <w:color w:val="000000"/>
                <w:sz w:val="18"/>
                <w:szCs w:val="18"/>
              </w:rPr>
            </w:pPr>
            <w:r>
              <w:rPr>
                <w:rFonts w:hint="eastAsia" w:ascii="宋体" w:hAnsi="宋体"/>
                <w:color w:val="000000"/>
                <w:sz w:val="18"/>
                <w:szCs w:val="18"/>
              </w:rPr>
              <w:t>117</w:t>
            </w:r>
          </w:p>
        </w:tc>
        <w:tc>
          <w:tcPr>
            <w:tcW w:w="852" w:type="dxa"/>
            <w:vAlign w:val="center"/>
          </w:tcPr>
          <w:p>
            <w:pPr>
              <w:jc w:val="right"/>
              <w:rPr>
                <w:rFonts w:ascii="宋体" w:hAnsi="宋体" w:cs="宋体"/>
                <w:color w:val="000000"/>
                <w:sz w:val="18"/>
                <w:szCs w:val="18"/>
              </w:rPr>
            </w:pPr>
            <w:r>
              <w:rPr>
                <w:rFonts w:hint="eastAsia" w:ascii="宋体" w:hAnsi="宋体" w:cs="宋体"/>
                <w:color w:val="000000"/>
                <w:sz w:val="18"/>
                <w:szCs w:val="18"/>
              </w:rPr>
              <w:t>11.96%</w:t>
            </w:r>
          </w:p>
        </w:tc>
        <w:tc>
          <w:tcPr>
            <w:tcW w:w="852" w:type="dxa"/>
            <w:vAlign w:val="center"/>
          </w:tcPr>
          <w:p>
            <w:pPr>
              <w:jc w:val="center"/>
              <w:rPr>
                <w:rFonts w:ascii="宋体" w:hAnsi="宋体" w:cs="宋体"/>
                <w:color w:val="000000"/>
                <w:sz w:val="18"/>
                <w:szCs w:val="18"/>
              </w:rPr>
            </w:pPr>
            <w:r>
              <w:rPr>
                <w:rFonts w:hint="eastAsia" w:ascii="宋体" w:hAnsi="宋体"/>
                <w:color w:val="000000"/>
                <w:sz w:val="18"/>
                <w:szCs w:val="18"/>
              </w:rPr>
              <w:t>87</w:t>
            </w:r>
          </w:p>
        </w:tc>
        <w:tc>
          <w:tcPr>
            <w:tcW w:w="852" w:type="dxa"/>
            <w:vAlign w:val="center"/>
          </w:tcPr>
          <w:p>
            <w:pPr>
              <w:jc w:val="right"/>
              <w:rPr>
                <w:rFonts w:ascii="宋体" w:hAnsi="宋体" w:cs="宋体"/>
                <w:color w:val="000000"/>
                <w:sz w:val="18"/>
                <w:szCs w:val="18"/>
              </w:rPr>
            </w:pPr>
            <w:r>
              <w:rPr>
                <w:rFonts w:hint="eastAsia" w:ascii="宋体" w:hAnsi="宋体" w:cs="宋体"/>
                <w:color w:val="000000"/>
                <w:sz w:val="18"/>
                <w:szCs w:val="18"/>
              </w:rPr>
              <w:t>8.90%</w:t>
            </w:r>
          </w:p>
        </w:tc>
        <w:tc>
          <w:tcPr>
            <w:tcW w:w="1135" w:type="dxa"/>
            <w:vAlign w:val="center"/>
          </w:tcPr>
          <w:p>
            <w:pPr>
              <w:jc w:val="center"/>
              <w:rPr>
                <w:rFonts w:ascii="宋体" w:hAnsi="宋体" w:cs="宋体"/>
                <w:color w:val="000000"/>
                <w:sz w:val="18"/>
                <w:szCs w:val="18"/>
              </w:rPr>
            </w:pPr>
            <w:r>
              <w:rPr>
                <w:rFonts w:hint="eastAsia" w:ascii="宋体" w:hAnsi="宋体"/>
                <w:color w:val="000000"/>
                <w:sz w:val="18"/>
                <w:szCs w:val="18"/>
              </w:rPr>
              <w:t>310</w:t>
            </w:r>
          </w:p>
        </w:tc>
        <w:tc>
          <w:tcPr>
            <w:tcW w:w="636" w:type="dxa"/>
            <w:vAlign w:val="center"/>
          </w:tcPr>
          <w:p>
            <w:pPr>
              <w:jc w:val="right"/>
              <w:rPr>
                <w:rFonts w:ascii="宋体" w:hAnsi="宋体" w:cs="宋体"/>
                <w:color w:val="000000"/>
                <w:sz w:val="18"/>
                <w:szCs w:val="18"/>
              </w:rPr>
            </w:pPr>
            <w:r>
              <w:rPr>
                <w:rFonts w:hint="eastAsia" w:ascii="宋体" w:hAnsi="宋体" w:cs="宋体"/>
                <w:color w:val="000000"/>
                <w:sz w:val="18"/>
                <w:szCs w:val="18"/>
              </w:rPr>
              <w:t>31.70%</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6" w:hRule="atLeast"/>
        </w:trPr>
        <w:tc>
          <w:tcPr>
            <w:tcW w:w="853" w:type="dxa"/>
            <w:vMerge w:val="continue"/>
          </w:tcPr>
          <w:p>
            <w:pPr>
              <w:rPr>
                <w:rFonts w:ascii="宋体" w:hAnsi="宋体" w:cs="宋体"/>
                <w:sz w:val="18"/>
                <w:szCs w:val="18"/>
              </w:rPr>
            </w:pPr>
          </w:p>
        </w:tc>
        <w:tc>
          <w:tcPr>
            <w:tcW w:w="1620" w:type="dxa"/>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退出期</w:t>
            </w:r>
          </w:p>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（含清算期）</w:t>
            </w:r>
          </w:p>
        </w:tc>
        <w:tc>
          <w:tcPr>
            <w:tcW w:w="1135" w:type="dxa"/>
            <w:vAlign w:val="center"/>
          </w:tcPr>
          <w:p>
            <w:pPr>
              <w:jc w:val="center"/>
              <w:rPr>
                <w:rFonts w:ascii="宋体" w:hAnsi="宋体" w:cs="宋体"/>
                <w:color w:val="000000"/>
                <w:sz w:val="18"/>
                <w:szCs w:val="18"/>
              </w:rPr>
            </w:pPr>
            <w:r>
              <w:rPr>
                <w:rFonts w:hint="eastAsia" w:ascii="宋体" w:hAnsi="宋体"/>
                <w:color w:val="000000"/>
                <w:sz w:val="18"/>
                <w:szCs w:val="18"/>
              </w:rPr>
              <w:t>208</w:t>
            </w:r>
          </w:p>
        </w:tc>
        <w:tc>
          <w:tcPr>
            <w:tcW w:w="852" w:type="dxa"/>
            <w:vAlign w:val="center"/>
          </w:tcPr>
          <w:p>
            <w:pPr>
              <w:jc w:val="center"/>
              <w:rPr>
                <w:rFonts w:ascii="宋体" w:hAnsi="宋体" w:cs="宋体"/>
                <w:color w:val="000000"/>
                <w:sz w:val="18"/>
                <w:szCs w:val="18"/>
              </w:rPr>
            </w:pPr>
            <w:r>
              <w:rPr>
                <w:rFonts w:hint="eastAsia" w:ascii="宋体" w:hAnsi="宋体"/>
                <w:color w:val="000000"/>
                <w:sz w:val="18"/>
                <w:szCs w:val="18"/>
              </w:rPr>
              <w:t>82</w:t>
            </w:r>
          </w:p>
        </w:tc>
        <w:tc>
          <w:tcPr>
            <w:tcW w:w="852" w:type="dxa"/>
            <w:vAlign w:val="center"/>
          </w:tcPr>
          <w:p>
            <w:pPr>
              <w:jc w:val="right"/>
              <w:rPr>
                <w:rFonts w:ascii="宋体" w:hAnsi="宋体" w:cs="宋体"/>
                <w:color w:val="000000"/>
                <w:sz w:val="18"/>
                <w:szCs w:val="18"/>
              </w:rPr>
            </w:pPr>
            <w:r>
              <w:rPr>
                <w:rFonts w:hint="eastAsia" w:ascii="宋体" w:hAnsi="宋体" w:cs="宋体"/>
                <w:color w:val="000000"/>
                <w:sz w:val="18"/>
                <w:szCs w:val="18"/>
              </w:rPr>
              <w:t>8.38%</w:t>
            </w:r>
          </w:p>
        </w:tc>
        <w:tc>
          <w:tcPr>
            <w:tcW w:w="852" w:type="dxa"/>
            <w:vAlign w:val="center"/>
          </w:tcPr>
          <w:p>
            <w:pPr>
              <w:jc w:val="center"/>
              <w:rPr>
                <w:rFonts w:ascii="宋体" w:hAnsi="宋体" w:cs="宋体"/>
                <w:color w:val="000000"/>
                <w:sz w:val="18"/>
                <w:szCs w:val="18"/>
              </w:rPr>
            </w:pPr>
            <w:r>
              <w:rPr>
                <w:rFonts w:hint="eastAsia" w:ascii="宋体" w:hAnsi="宋体"/>
                <w:color w:val="000000"/>
                <w:sz w:val="18"/>
                <w:szCs w:val="18"/>
              </w:rPr>
              <w:t>69</w:t>
            </w:r>
          </w:p>
        </w:tc>
        <w:tc>
          <w:tcPr>
            <w:tcW w:w="852" w:type="dxa"/>
            <w:vAlign w:val="center"/>
          </w:tcPr>
          <w:p>
            <w:pPr>
              <w:jc w:val="right"/>
              <w:rPr>
                <w:rFonts w:ascii="宋体" w:hAnsi="宋体" w:cs="宋体"/>
                <w:color w:val="000000"/>
                <w:sz w:val="18"/>
                <w:szCs w:val="18"/>
              </w:rPr>
            </w:pPr>
            <w:r>
              <w:rPr>
                <w:rFonts w:hint="eastAsia" w:ascii="宋体" w:hAnsi="宋体" w:cs="宋体"/>
                <w:color w:val="000000"/>
                <w:sz w:val="18"/>
                <w:szCs w:val="18"/>
              </w:rPr>
              <w:t>7.06%</w:t>
            </w:r>
          </w:p>
        </w:tc>
        <w:tc>
          <w:tcPr>
            <w:tcW w:w="1135" w:type="dxa"/>
            <w:vAlign w:val="center"/>
          </w:tcPr>
          <w:p>
            <w:pPr>
              <w:jc w:val="center"/>
              <w:rPr>
                <w:rFonts w:ascii="宋体" w:hAnsi="宋体" w:cs="宋体"/>
                <w:color w:val="000000"/>
                <w:sz w:val="18"/>
                <w:szCs w:val="18"/>
              </w:rPr>
            </w:pPr>
            <w:r>
              <w:rPr>
                <w:rFonts w:hint="eastAsia" w:ascii="宋体" w:hAnsi="宋体"/>
                <w:color w:val="000000"/>
                <w:sz w:val="18"/>
                <w:szCs w:val="18"/>
              </w:rPr>
              <w:t>126</w:t>
            </w:r>
          </w:p>
        </w:tc>
        <w:tc>
          <w:tcPr>
            <w:tcW w:w="636" w:type="dxa"/>
            <w:vAlign w:val="center"/>
          </w:tcPr>
          <w:p>
            <w:pPr>
              <w:jc w:val="right"/>
              <w:rPr>
                <w:rFonts w:ascii="宋体" w:hAnsi="宋体" w:cs="宋体"/>
                <w:color w:val="000000"/>
                <w:sz w:val="18"/>
                <w:szCs w:val="18"/>
              </w:rPr>
            </w:pPr>
            <w:r>
              <w:rPr>
                <w:rFonts w:hint="eastAsia" w:ascii="宋体" w:hAnsi="宋体" w:cs="宋体"/>
                <w:color w:val="000000"/>
                <w:sz w:val="18"/>
                <w:szCs w:val="18"/>
              </w:rPr>
              <w:t>12.88%</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6" w:hRule="atLeast"/>
        </w:trPr>
        <w:tc>
          <w:tcPr>
            <w:tcW w:w="853" w:type="dxa"/>
            <w:vMerge w:val="continue"/>
          </w:tcPr>
          <w:p>
            <w:pPr>
              <w:rPr>
                <w:rFonts w:ascii="宋体" w:hAnsi="宋体" w:cs="宋体"/>
                <w:sz w:val="18"/>
                <w:szCs w:val="18"/>
              </w:rPr>
            </w:pPr>
          </w:p>
        </w:tc>
        <w:tc>
          <w:tcPr>
            <w:tcW w:w="1620" w:type="dxa"/>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合计</w:t>
            </w:r>
          </w:p>
        </w:tc>
        <w:tc>
          <w:tcPr>
            <w:tcW w:w="1135" w:type="dxa"/>
            <w:vAlign w:val="center"/>
          </w:tcPr>
          <w:p>
            <w:pPr>
              <w:jc w:val="center"/>
              <w:rPr>
                <w:rFonts w:ascii="宋体" w:hAnsi="宋体" w:cs="宋体"/>
                <w:color w:val="000000"/>
                <w:sz w:val="18"/>
                <w:szCs w:val="18"/>
              </w:rPr>
            </w:pPr>
            <w:r>
              <w:rPr>
                <w:rFonts w:hint="eastAsia" w:ascii="宋体" w:hAnsi="宋体"/>
                <w:color w:val="000000"/>
                <w:sz w:val="18"/>
                <w:szCs w:val="18"/>
              </w:rPr>
              <w:t>635</w:t>
            </w:r>
          </w:p>
        </w:tc>
        <w:tc>
          <w:tcPr>
            <w:tcW w:w="852" w:type="dxa"/>
            <w:vAlign w:val="center"/>
          </w:tcPr>
          <w:p>
            <w:pPr>
              <w:jc w:val="center"/>
              <w:rPr>
                <w:rFonts w:ascii="宋体" w:hAnsi="宋体" w:cs="宋体"/>
                <w:color w:val="000000"/>
                <w:sz w:val="18"/>
                <w:szCs w:val="18"/>
              </w:rPr>
            </w:pPr>
            <w:r>
              <w:rPr>
                <w:rFonts w:hint="eastAsia" w:ascii="宋体" w:hAnsi="宋体"/>
                <w:color w:val="000000"/>
                <w:sz w:val="18"/>
                <w:szCs w:val="18"/>
              </w:rPr>
              <w:t>199</w:t>
            </w:r>
          </w:p>
        </w:tc>
        <w:tc>
          <w:tcPr>
            <w:tcW w:w="852" w:type="dxa"/>
            <w:vAlign w:val="center"/>
          </w:tcPr>
          <w:p>
            <w:pPr>
              <w:jc w:val="right"/>
              <w:rPr>
                <w:rFonts w:ascii="宋体" w:hAnsi="宋体" w:cs="宋体"/>
                <w:color w:val="000000"/>
                <w:sz w:val="18"/>
                <w:szCs w:val="18"/>
              </w:rPr>
            </w:pPr>
            <w:r>
              <w:rPr>
                <w:rFonts w:hint="eastAsia" w:ascii="宋体" w:hAnsi="宋体" w:cs="宋体"/>
                <w:color w:val="000000"/>
                <w:sz w:val="18"/>
                <w:szCs w:val="18"/>
              </w:rPr>
              <w:t>20.35%</w:t>
            </w:r>
          </w:p>
        </w:tc>
        <w:tc>
          <w:tcPr>
            <w:tcW w:w="852" w:type="dxa"/>
            <w:vAlign w:val="center"/>
          </w:tcPr>
          <w:p>
            <w:pPr>
              <w:jc w:val="center"/>
              <w:rPr>
                <w:rFonts w:ascii="宋体" w:hAnsi="宋体" w:cs="宋体"/>
                <w:color w:val="000000"/>
                <w:sz w:val="18"/>
                <w:szCs w:val="18"/>
              </w:rPr>
            </w:pPr>
            <w:r>
              <w:rPr>
                <w:rFonts w:hint="eastAsia" w:ascii="宋体" w:hAnsi="宋体"/>
                <w:color w:val="000000"/>
                <w:sz w:val="18"/>
                <w:szCs w:val="18"/>
              </w:rPr>
              <w:t>156</w:t>
            </w:r>
          </w:p>
        </w:tc>
        <w:tc>
          <w:tcPr>
            <w:tcW w:w="852" w:type="dxa"/>
            <w:vAlign w:val="center"/>
          </w:tcPr>
          <w:p>
            <w:pPr>
              <w:jc w:val="right"/>
              <w:rPr>
                <w:rFonts w:ascii="宋体" w:hAnsi="宋体" w:cs="宋体"/>
                <w:color w:val="000000"/>
                <w:sz w:val="18"/>
                <w:szCs w:val="18"/>
              </w:rPr>
            </w:pPr>
            <w:r>
              <w:rPr>
                <w:rFonts w:hint="eastAsia" w:ascii="宋体" w:hAnsi="宋体" w:cs="宋体"/>
                <w:color w:val="000000"/>
                <w:sz w:val="18"/>
                <w:szCs w:val="18"/>
              </w:rPr>
              <w:t>15.95%</w:t>
            </w:r>
          </w:p>
        </w:tc>
        <w:tc>
          <w:tcPr>
            <w:tcW w:w="1135" w:type="dxa"/>
            <w:vAlign w:val="center"/>
          </w:tcPr>
          <w:p>
            <w:pPr>
              <w:jc w:val="center"/>
              <w:rPr>
                <w:rFonts w:ascii="宋体" w:hAnsi="宋体" w:cs="宋体"/>
                <w:color w:val="000000"/>
                <w:sz w:val="18"/>
                <w:szCs w:val="18"/>
              </w:rPr>
            </w:pPr>
            <w:r>
              <w:rPr>
                <w:rFonts w:hint="eastAsia" w:ascii="宋体" w:hAnsi="宋体"/>
                <w:color w:val="000000"/>
                <w:sz w:val="18"/>
                <w:szCs w:val="18"/>
              </w:rPr>
              <w:t>436</w:t>
            </w:r>
          </w:p>
        </w:tc>
        <w:tc>
          <w:tcPr>
            <w:tcW w:w="636" w:type="dxa"/>
            <w:vAlign w:val="center"/>
          </w:tcPr>
          <w:p>
            <w:pPr>
              <w:jc w:val="right"/>
              <w:rPr>
                <w:rFonts w:ascii="宋体" w:hAnsi="宋体" w:cs="宋体"/>
                <w:color w:val="000000"/>
                <w:sz w:val="18"/>
                <w:szCs w:val="18"/>
              </w:rPr>
            </w:pPr>
            <w:r>
              <w:rPr>
                <w:rFonts w:hint="eastAsia" w:ascii="宋体" w:hAnsi="宋体" w:cs="宋体"/>
                <w:color w:val="000000"/>
                <w:sz w:val="18"/>
                <w:szCs w:val="18"/>
              </w:rPr>
              <w:t>44.58%</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21" w:hRule="atLeast"/>
        </w:trPr>
        <w:tc>
          <w:tcPr>
            <w:tcW w:w="2473" w:type="dxa"/>
            <w:gridSpan w:val="2"/>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合计</w:t>
            </w:r>
          </w:p>
        </w:tc>
        <w:tc>
          <w:tcPr>
            <w:tcW w:w="1135" w:type="dxa"/>
            <w:vAlign w:val="center"/>
          </w:tcPr>
          <w:p>
            <w:pPr>
              <w:jc w:val="center"/>
              <w:rPr>
                <w:rFonts w:ascii="宋体" w:hAnsi="宋体" w:cs="宋体"/>
                <w:color w:val="000000"/>
                <w:sz w:val="18"/>
                <w:szCs w:val="18"/>
              </w:rPr>
            </w:pPr>
            <w:r>
              <w:rPr>
                <w:rFonts w:hint="eastAsia" w:ascii="宋体" w:hAnsi="宋体"/>
                <w:color w:val="000000"/>
                <w:sz w:val="18"/>
                <w:szCs w:val="18"/>
              </w:rPr>
              <w:t>978</w:t>
            </w:r>
          </w:p>
        </w:tc>
        <w:tc>
          <w:tcPr>
            <w:tcW w:w="852" w:type="dxa"/>
            <w:vAlign w:val="center"/>
          </w:tcPr>
          <w:p>
            <w:pPr>
              <w:jc w:val="center"/>
              <w:rPr>
                <w:rFonts w:ascii="宋体" w:hAnsi="宋体" w:cs="宋体"/>
                <w:color w:val="000000"/>
                <w:sz w:val="18"/>
                <w:szCs w:val="18"/>
              </w:rPr>
            </w:pPr>
            <w:r>
              <w:rPr>
                <w:rFonts w:hint="eastAsia" w:ascii="宋体" w:hAnsi="宋体"/>
                <w:color w:val="000000"/>
                <w:sz w:val="18"/>
                <w:szCs w:val="18"/>
              </w:rPr>
              <w:t>338</w:t>
            </w:r>
          </w:p>
        </w:tc>
        <w:tc>
          <w:tcPr>
            <w:tcW w:w="852" w:type="dxa"/>
            <w:vAlign w:val="center"/>
          </w:tcPr>
          <w:p>
            <w:pPr>
              <w:jc w:val="right"/>
              <w:rPr>
                <w:rFonts w:ascii="宋体" w:hAnsi="宋体" w:cs="宋体"/>
                <w:color w:val="000000"/>
                <w:sz w:val="18"/>
                <w:szCs w:val="18"/>
              </w:rPr>
            </w:pPr>
            <w:r>
              <w:rPr>
                <w:rFonts w:hint="eastAsia" w:ascii="宋体" w:hAnsi="宋体"/>
                <w:color w:val="000000"/>
                <w:sz w:val="18"/>
                <w:szCs w:val="18"/>
              </w:rPr>
              <w:t>34.56%</w:t>
            </w:r>
          </w:p>
        </w:tc>
        <w:tc>
          <w:tcPr>
            <w:tcW w:w="852" w:type="dxa"/>
            <w:vAlign w:val="center"/>
          </w:tcPr>
          <w:p>
            <w:pPr>
              <w:jc w:val="center"/>
              <w:rPr>
                <w:rFonts w:ascii="宋体" w:hAnsi="宋体" w:cs="宋体"/>
                <w:color w:val="000000"/>
                <w:sz w:val="18"/>
                <w:szCs w:val="18"/>
              </w:rPr>
            </w:pPr>
            <w:r>
              <w:rPr>
                <w:rFonts w:hint="eastAsia" w:ascii="宋体" w:hAnsi="宋体"/>
                <w:color w:val="000000"/>
                <w:sz w:val="18"/>
                <w:szCs w:val="18"/>
              </w:rPr>
              <w:t>273</w:t>
            </w:r>
          </w:p>
        </w:tc>
        <w:tc>
          <w:tcPr>
            <w:tcW w:w="852" w:type="dxa"/>
            <w:vAlign w:val="center"/>
          </w:tcPr>
          <w:p>
            <w:pPr>
              <w:jc w:val="right"/>
              <w:rPr>
                <w:rFonts w:ascii="宋体" w:hAnsi="宋体" w:cs="宋体"/>
                <w:color w:val="000000"/>
                <w:sz w:val="18"/>
                <w:szCs w:val="18"/>
              </w:rPr>
            </w:pPr>
            <w:r>
              <w:rPr>
                <w:rFonts w:hint="eastAsia" w:ascii="宋体" w:hAnsi="宋体"/>
                <w:color w:val="000000"/>
                <w:sz w:val="18"/>
                <w:szCs w:val="18"/>
              </w:rPr>
              <w:t>27.91%</w:t>
            </w:r>
          </w:p>
        </w:tc>
        <w:tc>
          <w:tcPr>
            <w:tcW w:w="1135" w:type="dxa"/>
            <w:vAlign w:val="center"/>
          </w:tcPr>
          <w:p>
            <w:pPr>
              <w:jc w:val="center"/>
              <w:rPr>
                <w:rFonts w:ascii="宋体" w:hAnsi="宋体" w:cs="宋体"/>
                <w:color w:val="000000"/>
                <w:sz w:val="18"/>
                <w:szCs w:val="18"/>
              </w:rPr>
            </w:pPr>
            <w:r>
              <w:rPr>
                <w:rFonts w:hint="eastAsia" w:ascii="宋体" w:hAnsi="宋体"/>
                <w:color w:val="000000"/>
                <w:sz w:val="18"/>
                <w:szCs w:val="18"/>
              </w:rPr>
              <w:t>640</w:t>
            </w:r>
          </w:p>
        </w:tc>
        <w:tc>
          <w:tcPr>
            <w:tcW w:w="636" w:type="dxa"/>
            <w:vAlign w:val="center"/>
          </w:tcPr>
          <w:p>
            <w:pPr>
              <w:jc w:val="right"/>
              <w:rPr>
                <w:rFonts w:ascii="宋体" w:hAnsi="宋体" w:cs="宋体"/>
                <w:color w:val="000000"/>
                <w:sz w:val="18"/>
                <w:szCs w:val="18"/>
              </w:rPr>
            </w:pPr>
            <w:r>
              <w:rPr>
                <w:rFonts w:hint="eastAsia" w:ascii="宋体" w:hAnsi="宋体"/>
                <w:color w:val="000000"/>
                <w:sz w:val="18"/>
                <w:szCs w:val="18"/>
              </w:rPr>
              <w:t>65.44%</w:t>
            </w:r>
          </w:p>
        </w:tc>
      </w:tr>
    </w:tbl>
    <w:p>
      <w:pPr>
        <w:pStyle w:val="1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投资阶段情况</w:t>
      </w:r>
    </w:p>
    <w:p>
      <w:pPr>
        <w:pStyle w:val="1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基金所投项目就投资阶段分布而言，投资初创期、早中期项目数量517个，占所投资项目总数量的 52.86%，涉及投资金额 121.83 亿元，占所投资项目总金额的29.67%；投资成长期、成熟期项目数量 461 个，占所投资项目总数量的47.14%，涉及投资金额 288.83 亿元，占所投资项目总金额的70.33%。</w:t>
      </w:r>
    </w:p>
    <w:tbl>
      <w:tblPr>
        <w:tblStyle w:val="25"/>
        <w:tblW w:w="8729" w:type="dxa"/>
        <w:tblInd w:w="0" w:type="dxa"/>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
      <w:tblGrid>
        <w:gridCol w:w="753"/>
        <w:gridCol w:w="1470"/>
        <w:gridCol w:w="1034"/>
        <w:gridCol w:w="691"/>
        <w:gridCol w:w="752"/>
        <w:gridCol w:w="752"/>
        <w:gridCol w:w="1082"/>
        <w:gridCol w:w="1561"/>
        <w:gridCol w:w="634"/>
      </w:tblGrid>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21" w:hRule="atLeast"/>
        </w:trPr>
        <w:tc>
          <w:tcPr>
            <w:tcW w:w="753" w:type="dxa"/>
            <w:vMerge w:val="restart"/>
            <w:vAlign w:val="center"/>
          </w:tcPr>
          <w:p>
            <w:pPr>
              <w:pStyle w:val="55"/>
              <w:spacing w:before="76" w:line="197" w:lineRule="auto"/>
              <w:rPr>
                <w:rFonts w:ascii="宋体" w:hAnsi="宋体" w:eastAsia="宋体" w:cs="黑体"/>
                <w:b/>
                <w:lang w:eastAsia="zh-CN"/>
              </w:rPr>
            </w:pPr>
            <w:r>
              <w:rPr>
                <w:rFonts w:hint="eastAsia" w:ascii="宋体" w:hAnsi="宋体" w:eastAsia="宋体" w:cs="黑体"/>
                <w:b/>
                <w:lang w:eastAsia="zh-CN"/>
              </w:rPr>
              <w:t>基金属性</w:t>
            </w:r>
          </w:p>
        </w:tc>
        <w:tc>
          <w:tcPr>
            <w:tcW w:w="1470" w:type="dxa"/>
            <w:vMerge w:val="restart"/>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所处阶段</w:t>
            </w:r>
          </w:p>
        </w:tc>
        <w:tc>
          <w:tcPr>
            <w:tcW w:w="1034" w:type="dxa"/>
            <w:vMerge w:val="restart"/>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项目总数量</w:t>
            </w:r>
          </w:p>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（个）</w:t>
            </w:r>
          </w:p>
        </w:tc>
        <w:tc>
          <w:tcPr>
            <w:tcW w:w="1443" w:type="dxa"/>
            <w:gridSpan w:val="2"/>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初创期、早中期</w:t>
            </w:r>
          </w:p>
        </w:tc>
        <w:tc>
          <w:tcPr>
            <w:tcW w:w="1834" w:type="dxa"/>
            <w:gridSpan w:val="2"/>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成长期、成熟期</w:t>
            </w:r>
          </w:p>
        </w:tc>
        <w:tc>
          <w:tcPr>
            <w:tcW w:w="1561" w:type="dxa"/>
            <w:vMerge w:val="restart"/>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初创期、早中期投资金额</w:t>
            </w:r>
          </w:p>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（万元）</w:t>
            </w:r>
          </w:p>
        </w:tc>
        <w:tc>
          <w:tcPr>
            <w:tcW w:w="634" w:type="dxa"/>
            <w:vMerge w:val="restart"/>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占比</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21" w:hRule="atLeast"/>
        </w:trPr>
        <w:tc>
          <w:tcPr>
            <w:tcW w:w="753" w:type="dxa"/>
            <w:vMerge w:val="continue"/>
            <w:vAlign w:val="center"/>
          </w:tcPr>
          <w:p>
            <w:pPr>
              <w:pStyle w:val="55"/>
              <w:spacing w:before="76" w:line="197" w:lineRule="auto"/>
              <w:jc w:val="center"/>
              <w:rPr>
                <w:rFonts w:ascii="宋体" w:hAnsi="宋体" w:eastAsia="宋体" w:cs="黑体"/>
                <w:lang w:eastAsia="zh-CN"/>
              </w:rPr>
            </w:pPr>
          </w:p>
        </w:tc>
        <w:tc>
          <w:tcPr>
            <w:tcW w:w="1470" w:type="dxa"/>
            <w:vMerge w:val="continue"/>
            <w:vAlign w:val="center"/>
          </w:tcPr>
          <w:p>
            <w:pPr>
              <w:pStyle w:val="55"/>
              <w:spacing w:before="76" w:line="197" w:lineRule="auto"/>
              <w:jc w:val="center"/>
              <w:rPr>
                <w:rFonts w:ascii="宋体" w:hAnsi="宋体" w:eastAsia="宋体" w:cs="黑体"/>
                <w:lang w:eastAsia="zh-CN"/>
              </w:rPr>
            </w:pPr>
          </w:p>
        </w:tc>
        <w:tc>
          <w:tcPr>
            <w:tcW w:w="1034" w:type="dxa"/>
            <w:vMerge w:val="continue"/>
            <w:vAlign w:val="center"/>
          </w:tcPr>
          <w:p>
            <w:pPr>
              <w:pStyle w:val="55"/>
              <w:spacing w:before="76" w:line="197" w:lineRule="auto"/>
              <w:jc w:val="center"/>
              <w:rPr>
                <w:rFonts w:ascii="宋体" w:hAnsi="宋体" w:eastAsia="宋体" w:cs="黑体"/>
                <w:lang w:eastAsia="zh-CN"/>
              </w:rPr>
            </w:pPr>
          </w:p>
        </w:tc>
        <w:tc>
          <w:tcPr>
            <w:tcW w:w="691" w:type="dxa"/>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数量</w:t>
            </w:r>
          </w:p>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（个）</w:t>
            </w:r>
          </w:p>
        </w:tc>
        <w:tc>
          <w:tcPr>
            <w:tcW w:w="752" w:type="dxa"/>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占比</w:t>
            </w:r>
          </w:p>
        </w:tc>
        <w:tc>
          <w:tcPr>
            <w:tcW w:w="752" w:type="dxa"/>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数量</w:t>
            </w:r>
          </w:p>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（个）</w:t>
            </w:r>
          </w:p>
        </w:tc>
        <w:tc>
          <w:tcPr>
            <w:tcW w:w="1082" w:type="dxa"/>
            <w:vAlign w:val="center"/>
          </w:tcPr>
          <w:p>
            <w:pPr>
              <w:pStyle w:val="55"/>
              <w:spacing w:before="76" w:line="197" w:lineRule="auto"/>
              <w:jc w:val="center"/>
              <w:rPr>
                <w:rFonts w:ascii="宋体" w:hAnsi="宋体" w:eastAsia="宋体" w:cs="黑体"/>
                <w:b/>
                <w:lang w:eastAsia="zh-CN"/>
              </w:rPr>
            </w:pPr>
            <w:r>
              <w:rPr>
                <w:rFonts w:hint="eastAsia" w:ascii="宋体" w:hAnsi="宋体" w:eastAsia="宋体" w:cs="黑体"/>
                <w:b/>
                <w:lang w:eastAsia="zh-CN"/>
              </w:rPr>
              <w:t>占比</w:t>
            </w:r>
          </w:p>
        </w:tc>
        <w:tc>
          <w:tcPr>
            <w:tcW w:w="1561" w:type="dxa"/>
            <w:vMerge w:val="continue"/>
            <w:vAlign w:val="center"/>
          </w:tcPr>
          <w:p>
            <w:pPr>
              <w:pStyle w:val="55"/>
              <w:spacing w:before="76" w:line="197" w:lineRule="auto"/>
              <w:jc w:val="center"/>
              <w:rPr>
                <w:rFonts w:ascii="宋体" w:hAnsi="宋体" w:eastAsia="宋体" w:cs="黑体"/>
                <w:lang w:eastAsia="zh-CN"/>
              </w:rPr>
            </w:pPr>
          </w:p>
        </w:tc>
        <w:tc>
          <w:tcPr>
            <w:tcW w:w="634" w:type="dxa"/>
            <w:vMerge w:val="continue"/>
            <w:vAlign w:val="center"/>
          </w:tcPr>
          <w:p>
            <w:pPr>
              <w:pStyle w:val="55"/>
              <w:spacing w:before="76" w:line="197" w:lineRule="auto"/>
              <w:jc w:val="center"/>
              <w:rPr>
                <w:rFonts w:ascii="宋体" w:hAnsi="宋体" w:eastAsia="宋体" w:cs="黑体"/>
                <w:lang w:eastAsia="zh-CN"/>
              </w:rPr>
            </w:pP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6" w:hRule="atLeast"/>
        </w:trPr>
        <w:tc>
          <w:tcPr>
            <w:tcW w:w="753" w:type="dxa"/>
            <w:vMerge w:val="restart"/>
            <w:vAlign w:val="center"/>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创业投资基金</w:t>
            </w:r>
          </w:p>
        </w:tc>
        <w:tc>
          <w:tcPr>
            <w:tcW w:w="1470" w:type="dxa"/>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投资期</w:t>
            </w:r>
          </w:p>
        </w:tc>
        <w:tc>
          <w:tcPr>
            <w:tcW w:w="1034" w:type="dxa"/>
            <w:vAlign w:val="center"/>
          </w:tcPr>
          <w:p>
            <w:pPr>
              <w:jc w:val="center"/>
              <w:rPr>
                <w:rFonts w:ascii="宋体" w:hAnsi="宋体" w:cs="宋体"/>
                <w:color w:val="000000"/>
                <w:sz w:val="18"/>
                <w:szCs w:val="18"/>
              </w:rPr>
            </w:pPr>
            <w:r>
              <w:rPr>
                <w:rFonts w:hint="eastAsia" w:ascii="宋体" w:hAnsi="宋体"/>
                <w:color w:val="000000"/>
                <w:sz w:val="18"/>
                <w:szCs w:val="18"/>
              </w:rPr>
              <w:t>168</w:t>
            </w:r>
          </w:p>
        </w:tc>
        <w:tc>
          <w:tcPr>
            <w:tcW w:w="691" w:type="dxa"/>
            <w:vAlign w:val="center"/>
          </w:tcPr>
          <w:p>
            <w:pPr>
              <w:jc w:val="center"/>
              <w:rPr>
                <w:rFonts w:ascii="宋体" w:hAnsi="宋体" w:cs="宋体"/>
                <w:color w:val="000000"/>
                <w:sz w:val="18"/>
                <w:szCs w:val="18"/>
              </w:rPr>
            </w:pPr>
            <w:r>
              <w:rPr>
                <w:rFonts w:hint="eastAsia" w:ascii="宋体" w:hAnsi="宋体"/>
                <w:color w:val="000000"/>
                <w:sz w:val="18"/>
                <w:szCs w:val="18"/>
              </w:rPr>
              <w:t>125</w:t>
            </w:r>
          </w:p>
        </w:tc>
        <w:tc>
          <w:tcPr>
            <w:tcW w:w="752" w:type="dxa"/>
            <w:vAlign w:val="center"/>
          </w:tcPr>
          <w:p>
            <w:pPr>
              <w:jc w:val="right"/>
              <w:rPr>
                <w:rFonts w:ascii="宋体" w:hAnsi="宋体" w:cs="宋体"/>
                <w:color w:val="000000"/>
                <w:sz w:val="18"/>
                <w:szCs w:val="18"/>
              </w:rPr>
            </w:pPr>
            <w:r>
              <w:rPr>
                <w:rFonts w:hint="eastAsia" w:ascii="宋体" w:hAnsi="宋体"/>
                <w:color w:val="000000"/>
                <w:sz w:val="18"/>
                <w:szCs w:val="18"/>
              </w:rPr>
              <w:t>12.78%</w:t>
            </w:r>
          </w:p>
        </w:tc>
        <w:tc>
          <w:tcPr>
            <w:tcW w:w="752" w:type="dxa"/>
            <w:vAlign w:val="center"/>
          </w:tcPr>
          <w:p>
            <w:pPr>
              <w:jc w:val="center"/>
              <w:rPr>
                <w:rFonts w:ascii="宋体" w:hAnsi="宋体" w:cs="宋体"/>
                <w:color w:val="000000"/>
                <w:sz w:val="18"/>
                <w:szCs w:val="18"/>
              </w:rPr>
            </w:pPr>
            <w:r>
              <w:rPr>
                <w:rFonts w:hint="eastAsia" w:ascii="宋体" w:hAnsi="宋体"/>
                <w:color w:val="000000"/>
                <w:sz w:val="18"/>
                <w:szCs w:val="18"/>
              </w:rPr>
              <w:t>43</w:t>
            </w:r>
          </w:p>
        </w:tc>
        <w:tc>
          <w:tcPr>
            <w:tcW w:w="1082" w:type="dxa"/>
            <w:vAlign w:val="center"/>
          </w:tcPr>
          <w:p>
            <w:pPr>
              <w:jc w:val="right"/>
              <w:rPr>
                <w:rFonts w:ascii="宋体" w:hAnsi="宋体" w:cs="宋体"/>
                <w:color w:val="000000"/>
                <w:sz w:val="18"/>
                <w:szCs w:val="18"/>
              </w:rPr>
            </w:pPr>
            <w:r>
              <w:rPr>
                <w:rFonts w:hint="eastAsia" w:ascii="宋体" w:hAnsi="宋体"/>
                <w:color w:val="000000"/>
                <w:sz w:val="18"/>
                <w:szCs w:val="18"/>
              </w:rPr>
              <w:t>4.40%</w:t>
            </w:r>
          </w:p>
        </w:tc>
        <w:tc>
          <w:tcPr>
            <w:tcW w:w="1561" w:type="dxa"/>
            <w:vAlign w:val="center"/>
          </w:tcPr>
          <w:p>
            <w:pPr>
              <w:ind w:firstLine="180" w:firstLineChars="100"/>
              <w:jc w:val="right"/>
              <w:rPr>
                <w:rFonts w:ascii="宋体" w:hAnsi="宋体" w:cs="宋体"/>
                <w:color w:val="000000"/>
                <w:sz w:val="18"/>
                <w:szCs w:val="18"/>
              </w:rPr>
            </w:pPr>
            <w:r>
              <w:rPr>
                <w:rFonts w:hint="eastAsia" w:ascii="宋体" w:hAnsi="宋体"/>
                <w:color w:val="000000"/>
                <w:sz w:val="18"/>
                <w:szCs w:val="18"/>
              </w:rPr>
              <w:t>296,506.70</w:t>
            </w:r>
          </w:p>
        </w:tc>
        <w:tc>
          <w:tcPr>
            <w:tcW w:w="634" w:type="dxa"/>
            <w:vAlign w:val="center"/>
          </w:tcPr>
          <w:p>
            <w:pPr>
              <w:jc w:val="right"/>
              <w:rPr>
                <w:rFonts w:ascii="宋体" w:hAnsi="宋体" w:cs="宋体"/>
                <w:color w:val="000000"/>
                <w:sz w:val="18"/>
                <w:szCs w:val="18"/>
              </w:rPr>
            </w:pPr>
            <w:r>
              <w:rPr>
                <w:rFonts w:ascii="宋体" w:hAnsi="宋体"/>
                <w:color w:val="000000"/>
                <w:sz w:val="18"/>
                <w:szCs w:val="18"/>
              </w:rPr>
              <w:t>7.22%</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7" w:hRule="atLeast"/>
        </w:trPr>
        <w:tc>
          <w:tcPr>
            <w:tcW w:w="753" w:type="dxa"/>
            <w:vMerge w:val="continue"/>
            <w:vAlign w:val="center"/>
          </w:tcPr>
          <w:p>
            <w:pPr>
              <w:jc w:val="center"/>
              <w:rPr>
                <w:rFonts w:ascii="宋体" w:hAnsi="宋体" w:cs="宋体"/>
                <w:sz w:val="15"/>
                <w:szCs w:val="15"/>
              </w:rPr>
            </w:pPr>
          </w:p>
        </w:tc>
        <w:tc>
          <w:tcPr>
            <w:tcW w:w="1470" w:type="dxa"/>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退出期</w:t>
            </w:r>
          </w:p>
          <w:p>
            <w:pPr>
              <w:pStyle w:val="55"/>
              <w:spacing w:before="76" w:line="197" w:lineRule="auto"/>
              <w:ind w:left="142"/>
              <w:jc w:val="center"/>
              <w:rPr>
                <w:rFonts w:ascii="宋体" w:hAnsi="宋体" w:eastAsia="宋体" w:cs="黑体"/>
                <w:lang w:eastAsia="zh-CN"/>
              </w:rPr>
            </w:pPr>
            <w:r>
              <w:rPr>
                <w:rFonts w:hint="eastAsia" w:ascii="宋体" w:hAnsi="宋体" w:eastAsia="宋体" w:cs="黑体"/>
                <w:lang w:eastAsia="zh-CN"/>
              </w:rPr>
              <w:t>（含清算期）</w:t>
            </w:r>
          </w:p>
        </w:tc>
        <w:tc>
          <w:tcPr>
            <w:tcW w:w="1034" w:type="dxa"/>
            <w:vAlign w:val="center"/>
          </w:tcPr>
          <w:p>
            <w:pPr>
              <w:jc w:val="center"/>
              <w:rPr>
                <w:rFonts w:ascii="宋体" w:hAnsi="宋体" w:cs="宋体"/>
                <w:color w:val="000000"/>
                <w:sz w:val="18"/>
                <w:szCs w:val="18"/>
              </w:rPr>
            </w:pPr>
            <w:r>
              <w:rPr>
                <w:rFonts w:hint="eastAsia" w:ascii="宋体" w:hAnsi="宋体"/>
                <w:color w:val="000000"/>
                <w:sz w:val="18"/>
                <w:szCs w:val="18"/>
              </w:rPr>
              <w:t>175</w:t>
            </w:r>
          </w:p>
        </w:tc>
        <w:tc>
          <w:tcPr>
            <w:tcW w:w="691" w:type="dxa"/>
            <w:vAlign w:val="center"/>
          </w:tcPr>
          <w:p>
            <w:pPr>
              <w:jc w:val="center"/>
              <w:rPr>
                <w:rFonts w:ascii="宋体" w:hAnsi="宋体" w:cs="宋体"/>
                <w:color w:val="000000"/>
                <w:sz w:val="18"/>
                <w:szCs w:val="18"/>
              </w:rPr>
            </w:pPr>
            <w:r>
              <w:rPr>
                <w:rFonts w:hint="eastAsia" w:ascii="宋体" w:hAnsi="宋体"/>
                <w:color w:val="000000"/>
                <w:sz w:val="18"/>
                <w:szCs w:val="18"/>
              </w:rPr>
              <w:t>138</w:t>
            </w:r>
          </w:p>
        </w:tc>
        <w:tc>
          <w:tcPr>
            <w:tcW w:w="752" w:type="dxa"/>
            <w:vAlign w:val="center"/>
          </w:tcPr>
          <w:p>
            <w:pPr>
              <w:jc w:val="right"/>
              <w:rPr>
                <w:rFonts w:ascii="宋体" w:hAnsi="宋体" w:cs="宋体"/>
                <w:color w:val="000000"/>
                <w:sz w:val="18"/>
                <w:szCs w:val="18"/>
              </w:rPr>
            </w:pPr>
            <w:r>
              <w:rPr>
                <w:rFonts w:hint="eastAsia" w:ascii="宋体" w:hAnsi="宋体"/>
                <w:color w:val="000000"/>
                <w:sz w:val="18"/>
                <w:szCs w:val="18"/>
              </w:rPr>
              <w:t>14.11%</w:t>
            </w:r>
          </w:p>
        </w:tc>
        <w:tc>
          <w:tcPr>
            <w:tcW w:w="752" w:type="dxa"/>
            <w:vAlign w:val="center"/>
          </w:tcPr>
          <w:p>
            <w:pPr>
              <w:jc w:val="center"/>
              <w:rPr>
                <w:rFonts w:ascii="宋体" w:hAnsi="宋体" w:cs="宋体"/>
                <w:color w:val="000000"/>
                <w:sz w:val="18"/>
                <w:szCs w:val="18"/>
              </w:rPr>
            </w:pPr>
            <w:r>
              <w:rPr>
                <w:rFonts w:hint="eastAsia" w:ascii="宋体" w:hAnsi="宋体"/>
                <w:color w:val="000000"/>
                <w:sz w:val="18"/>
                <w:szCs w:val="18"/>
              </w:rPr>
              <w:t>37</w:t>
            </w:r>
          </w:p>
        </w:tc>
        <w:tc>
          <w:tcPr>
            <w:tcW w:w="1082" w:type="dxa"/>
            <w:vAlign w:val="center"/>
          </w:tcPr>
          <w:p>
            <w:pPr>
              <w:jc w:val="right"/>
              <w:rPr>
                <w:rFonts w:ascii="宋体" w:hAnsi="宋体" w:cs="宋体"/>
                <w:color w:val="000000"/>
                <w:sz w:val="18"/>
                <w:szCs w:val="18"/>
              </w:rPr>
            </w:pPr>
            <w:r>
              <w:rPr>
                <w:rFonts w:hint="eastAsia" w:ascii="宋体" w:hAnsi="宋体"/>
                <w:color w:val="000000"/>
                <w:sz w:val="18"/>
                <w:szCs w:val="18"/>
              </w:rPr>
              <w:t>3.78%</w:t>
            </w:r>
          </w:p>
        </w:tc>
        <w:tc>
          <w:tcPr>
            <w:tcW w:w="1561" w:type="dxa"/>
            <w:vAlign w:val="center"/>
          </w:tcPr>
          <w:p>
            <w:pPr>
              <w:jc w:val="right"/>
              <w:rPr>
                <w:rFonts w:ascii="宋体" w:hAnsi="宋体" w:cs="宋体"/>
                <w:color w:val="000000"/>
                <w:sz w:val="18"/>
                <w:szCs w:val="18"/>
              </w:rPr>
            </w:pPr>
            <w:r>
              <w:rPr>
                <w:rFonts w:hint="eastAsia" w:ascii="宋体" w:hAnsi="宋体"/>
                <w:color w:val="000000"/>
                <w:sz w:val="18"/>
                <w:szCs w:val="18"/>
              </w:rPr>
              <w:t>217,744.78</w:t>
            </w:r>
          </w:p>
        </w:tc>
        <w:tc>
          <w:tcPr>
            <w:tcW w:w="634" w:type="dxa"/>
            <w:vAlign w:val="center"/>
          </w:tcPr>
          <w:p>
            <w:pPr>
              <w:jc w:val="right"/>
              <w:rPr>
                <w:rFonts w:ascii="宋体" w:hAnsi="宋体" w:cs="宋体"/>
                <w:color w:val="000000"/>
                <w:sz w:val="18"/>
                <w:szCs w:val="18"/>
              </w:rPr>
            </w:pPr>
            <w:r>
              <w:rPr>
                <w:rFonts w:hint="eastAsia" w:ascii="宋体" w:hAnsi="宋体"/>
                <w:color w:val="000000"/>
                <w:sz w:val="18"/>
                <w:szCs w:val="18"/>
              </w:rPr>
              <w:t>5.30%</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7" w:hRule="atLeast"/>
        </w:trPr>
        <w:tc>
          <w:tcPr>
            <w:tcW w:w="753" w:type="dxa"/>
            <w:vMerge w:val="continue"/>
            <w:vAlign w:val="center"/>
          </w:tcPr>
          <w:p>
            <w:pPr>
              <w:jc w:val="center"/>
              <w:rPr>
                <w:rFonts w:ascii="宋体" w:hAnsi="宋体" w:cs="宋体"/>
                <w:sz w:val="15"/>
                <w:szCs w:val="15"/>
              </w:rPr>
            </w:pPr>
          </w:p>
        </w:tc>
        <w:tc>
          <w:tcPr>
            <w:tcW w:w="1470" w:type="dxa"/>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合计</w:t>
            </w:r>
          </w:p>
        </w:tc>
        <w:tc>
          <w:tcPr>
            <w:tcW w:w="1034" w:type="dxa"/>
            <w:vAlign w:val="center"/>
          </w:tcPr>
          <w:p>
            <w:pPr>
              <w:jc w:val="center"/>
              <w:rPr>
                <w:rFonts w:ascii="宋体" w:hAnsi="宋体" w:cs="宋体"/>
                <w:color w:val="000000"/>
                <w:sz w:val="18"/>
                <w:szCs w:val="18"/>
              </w:rPr>
            </w:pPr>
            <w:r>
              <w:rPr>
                <w:rFonts w:hint="eastAsia" w:ascii="宋体" w:hAnsi="宋体"/>
                <w:color w:val="000000"/>
                <w:sz w:val="18"/>
                <w:szCs w:val="18"/>
              </w:rPr>
              <w:t>343</w:t>
            </w:r>
          </w:p>
        </w:tc>
        <w:tc>
          <w:tcPr>
            <w:tcW w:w="691" w:type="dxa"/>
            <w:vAlign w:val="center"/>
          </w:tcPr>
          <w:p>
            <w:pPr>
              <w:jc w:val="center"/>
              <w:rPr>
                <w:rFonts w:ascii="宋体" w:hAnsi="宋体" w:cs="宋体"/>
                <w:color w:val="000000"/>
                <w:sz w:val="18"/>
                <w:szCs w:val="18"/>
              </w:rPr>
            </w:pPr>
            <w:r>
              <w:rPr>
                <w:rFonts w:hint="eastAsia" w:ascii="宋体" w:hAnsi="宋体"/>
                <w:color w:val="000000"/>
                <w:sz w:val="18"/>
                <w:szCs w:val="18"/>
              </w:rPr>
              <w:t>263</w:t>
            </w:r>
          </w:p>
        </w:tc>
        <w:tc>
          <w:tcPr>
            <w:tcW w:w="752" w:type="dxa"/>
            <w:vAlign w:val="center"/>
          </w:tcPr>
          <w:p>
            <w:pPr>
              <w:jc w:val="right"/>
              <w:rPr>
                <w:rFonts w:ascii="宋体" w:hAnsi="宋体" w:cs="宋体"/>
                <w:color w:val="000000"/>
                <w:sz w:val="18"/>
                <w:szCs w:val="18"/>
              </w:rPr>
            </w:pPr>
            <w:r>
              <w:rPr>
                <w:rFonts w:hint="eastAsia" w:ascii="宋体" w:hAnsi="宋体"/>
                <w:color w:val="000000"/>
                <w:sz w:val="18"/>
                <w:szCs w:val="18"/>
              </w:rPr>
              <w:t>26.89%</w:t>
            </w:r>
          </w:p>
        </w:tc>
        <w:tc>
          <w:tcPr>
            <w:tcW w:w="752" w:type="dxa"/>
            <w:vAlign w:val="center"/>
          </w:tcPr>
          <w:p>
            <w:pPr>
              <w:jc w:val="center"/>
              <w:rPr>
                <w:rFonts w:ascii="宋体" w:hAnsi="宋体" w:cs="宋体"/>
                <w:color w:val="000000"/>
                <w:sz w:val="18"/>
                <w:szCs w:val="18"/>
              </w:rPr>
            </w:pPr>
            <w:r>
              <w:rPr>
                <w:rFonts w:hint="eastAsia" w:ascii="宋体" w:hAnsi="宋体"/>
                <w:color w:val="000000"/>
                <w:sz w:val="18"/>
                <w:szCs w:val="18"/>
              </w:rPr>
              <w:t>80</w:t>
            </w:r>
          </w:p>
        </w:tc>
        <w:tc>
          <w:tcPr>
            <w:tcW w:w="1082" w:type="dxa"/>
            <w:vAlign w:val="center"/>
          </w:tcPr>
          <w:p>
            <w:pPr>
              <w:jc w:val="right"/>
              <w:rPr>
                <w:rFonts w:ascii="宋体" w:hAnsi="宋体" w:cs="宋体"/>
                <w:color w:val="000000"/>
                <w:sz w:val="18"/>
                <w:szCs w:val="18"/>
              </w:rPr>
            </w:pPr>
            <w:r>
              <w:rPr>
                <w:rFonts w:hint="eastAsia" w:ascii="宋体" w:hAnsi="宋体"/>
                <w:color w:val="000000"/>
                <w:sz w:val="18"/>
                <w:szCs w:val="18"/>
              </w:rPr>
              <w:t>8.18%</w:t>
            </w:r>
          </w:p>
        </w:tc>
        <w:tc>
          <w:tcPr>
            <w:tcW w:w="1561" w:type="dxa"/>
            <w:vAlign w:val="center"/>
          </w:tcPr>
          <w:p>
            <w:pPr>
              <w:jc w:val="right"/>
              <w:rPr>
                <w:rFonts w:ascii="宋体" w:hAnsi="宋体" w:cs="宋体"/>
                <w:color w:val="000000"/>
                <w:sz w:val="18"/>
                <w:szCs w:val="18"/>
              </w:rPr>
            </w:pPr>
            <w:r>
              <w:rPr>
                <w:rFonts w:hint="eastAsia" w:ascii="宋体" w:hAnsi="宋体"/>
                <w:color w:val="000000"/>
                <w:sz w:val="18"/>
                <w:szCs w:val="18"/>
              </w:rPr>
              <w:t>514,251.48</w:t>
            </w:r>
          </w:p>
        </w:tc>
        <w:tc>
          <w:tcPr>
            <w:tcW w:w="634" w:type="dxa"/>
            <w:vAlign w:val="center"/>
          </w:tcPr>
          <w:p>
            <w:pPr>
              <w:jc w:val="right"/>
              <w:rPr>
                <w:rFonts w:ascii="宋体" w:hAnsi="宋体"/>
                <w:color w:val="000000"/>
                <w:sz w:val="18"/>
                <w:szCs w:val="18"/>
              </w:rPr>
            </w:pPr>
            <w:r>
              <w:rPr>
                <w:rFonts w:hint="eastAsia" w:ascii="宋体" w:hAnsi="宋体"/>
                <w:color w:val="000000"/>
                <w:sz w:val="18"/>
                <w:szCs w:val="18"/>
              </w:rPr>
              <w:t>12.52%</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6" w:hRule="atLeast"/>
        </w:trPr>
        <w:tc>
          <w:tcPr>
            <w:tcW w:w="753" w:type="dxa"/>
            <w:vMerge w:val="restart"/>
            <w:vAlign w:val="center"/>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产业投资基金</w:t>
            </w:r>
          </w:p>
        </w:tc>
        <w:tc>
          <w:tcPr>
            <w:tcW w:w="1470" w:type="dxa"/>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投资期</w:t>
            </w:r>
          </w:p>
        </w:tc>
        <w:tc>
          <w:tcPr>
            <w:tcW w:w="1034" w:type="dxa"/>
            <w:vAlign w:val="center"/>
          </w:tcPr>
          <w:p>
            <w:pPr>
              <w:jc w:val="center"/>
              <w:rPr>
                <w:rFonts w:ascii="宋体" w:hAnsi="宋体" w:cs="宋体"/>
                <w:color w:val="000000"/>
                <w:sz w:val="18"/>
                <w:szCs w:val="18"/>
              </w:rPr>
            </w:pPr>
            <w:r>
              <w:rPr>
                <w:rFonts w:hint="eastAsia" w:ascii="宋体" w:hAnsi="宋体"/>
                <w:color w:val="000000"/>
                <w:sz w:val="18"/>
                <w:szCs w:val="18"/>
              </w:rPr>
              <w:t>427</w:t>
            </w:r>
          </w:p>
        </w:tc>
        <w:tc>
          <w:tcPr>
            <w:tcW w:w="691" w:type="dxa"/>
            <w:vAlign w:val="center"/>
          </w:tcPr>
          <w:p>
            <w:pPr>
              <w:jc w:val="center"/>
              <w:rPr>
                <w:rFonts w:ascii="宋体" w:hAnsi="宋体" w:cs="宋体"/>
                <w:color w:val="000000"/>
                <w:sz w:val="18"/>
                <w:szCs w:val="18"/>
              </w:rPr>
            </w:pPr>
            <w:r>
              <w:rPr>
                <w:rFonts w:hint="eastAsia" w:ascii="宋体" w:hAnsi="宋体"/>
                <w:color w:val="000000"/>
                <w:sz w:val="18"/>
                <w:szCs w:val="18"/>
              </w:rPr>
              <w:t>161</w:t>
            </w:r>
          </w:p>
        </w:tc>
        <w:tc>
          <w:tcPr>
            <w:tcW w:w="752" w:type="dxa"/>
            <w:vAlign w:val="center"/>
          </w:tcPr>
          <w:p>
            <w:pPr>
              <w:jc w:val="right"/>
              <w:rPr>
                <w:rFonts w:ascii="宋体" w:hAnsi="宋体" w:cs="宋体"/>
                <w:color w:val="000000"/>
                <w:sz w:val="18"/>
                <w:szCs w:val="18"/>
              </w:rPr>
            </w:pPr>
            <w:r>
              <w:rPr>
                <w:rFonts w:hint="eastAsia" w:ascii="宋体" w:hAnsi="宋体"/>
                <w:color w:val="000000"/>
                <w:sz w:val="18"/>
                <w:szCs w:val="18"/>
              </w:rPr>
              <w:t>16.46%</w:t>
            </w:r>
          </w:p>
        </w:tc>
        <w:tc>
          <w:tcPr>
            <w:tcW w:w="752" w:type="dxa"/>
            <w:vAlign w:val="center"/>
          </w:tcPr>
          <w:p>
            <w:pPr>
              <w:jc w:val="center"/>
              <w:rPr>
                <w:rFonts w:ascii="宋体" w:hAnsi="宋体" w:cs="宋体"/>
                <w:color w:val="000000"/>
                <w:sz w:val="18"/>
                <w:szCs w:val="18"/>
              </w:rPr>
            </w:pPr>
            <w:r>
              <w:rPr>
                <w:rFonts w:hint="eastAsia" w:ascii="宋体" w:hAnsi="宋体"/>
                <w:color w:val="000000"/>
                <w:sz w:val="18"/>
                <w:szCs w:val="18"/>
              </w:rPr>
              <w:t>266</w:t>
            </w:r>
          </w:p>
        </w:tc>
        <w:tc>
          <w:tcPr>
            <w:tcW w:w="1082" w:type="dxa"/>
            <w:vAlign w:val="center"/>
          </w:tcPr>
          <w:p>
            <w:pPr>
              <w:jc w:val="right"/>
              <w:rPr>
                <w:rFonts w:ascii="宋体" w:hAnsi="宋体" w:cs="宋体"/>
                <w:color w:val="000000"/>
                <w:sz w:val="18"/>
                <w:szCs w:val="18"/>
              </w:rPr>
            </w:pPr>
            <w:r>
              <w:rPr>
                <w:rFonts w:hint="eastAsia" w:ascii="宋体" w:hAnsi="宋体"/>
                <w:color w:val="000000"/>
                <w:sz w:val="18"/>
                <w:szCs w:val="18"/>
              </w:rPr>
              <w:t>27.20%</w:t>
            </w:r>
          </w:p>
        </w:tc>
        <w:tc>
          <w:tcPr>
            <w:tcW w:w="1561" w:type="dxa"/>
            <w:vAlign w:val="center"/>
          </w:tcPr>
          <w:p>
            <w:pPr>
              <w:jc w:val="right"/>
              <w:rPr>
                <w:rFonts w:ascii="宋体" w:hAnsi="宋体" w:cs="宋体"/>
                <w:color w:val="000000"/>
                <w:sz w:val="18"/>
                <w:szCs w:val="18"/>
              </w:rPr>
            </w:pPr>
            <w:r>
              <w:rPr>
                <w:rFonts w:hint="eastAsia" w:ascii="宋体" w:hAnsi="宋体"/>
                <w:color w:val="000000"/>
                <w:sz w:val="18"/>
                <w:szCs w:val="18"/>
              </w:rPr>
              <w:t>484,636.54</w:t>
            </w:r>
          </w:p>
        </w:tc>
        <w:tc>
          <w:tcPr>
            <w:tcW w:w="634" w:type="dxa"/>
            <w:vAlign w:val="center"/>
          </w:tcPr>
          <w:p>
            <w:pPr>
              <w:jc w:val="right"/>
              <w:rPr>
                <w:rFonts w:ascii="宋体" w:hAnsi="宋体"/>
                <w:color w:val="000000"/>
                <w:sz w:val="18"/>
                <w:szCs w:val="18"/>
              </w:rPr>
            </w:pPr>
            <w:r>
              <w:rPr>
                <w:rFonts w:hint="eastAsia" w:ascii="宋体" w:hAnsi="宋体"/>
                <w:color w:val="000000"/>
                <w:sz w:val="18"/>
                <w:szCs w:val="18"/>
              </w:rPr>
              <w:t>11.80%</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6" w:hRule="atLeast"/>
        </w:trPr>
        <w:tc>
          <w:tcPr>
            <w:tcW w:w="753" w:type="dxa"/>
            <w:vMerge w:val="continue"/>
          </w:tcPr>
          <w:p>
            <w:pPr>
              <w:rPr>
                <w:rFonts w:ascii="宋体" w:hAnsi="宋体" w:cs="宋体"/>
                <w:sz w:val="18"/>
                <w:szCs w:val="18"/>
              </w:rPr>
            </w:pPr>
          </w:p>
        </w:tc>
        <w:tc>
          <w:tcPr>
            <w:tcW w:w="1470" w:type="dxa"/>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退出期</w:t>
            </w:r>
          </w:p>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（含清算期）</w:t>
            </w:r>
          </w:p>
        </w:tc>
        <w:tc>
          <w:tcPr>
            <w:tcW w:w="1034" w:type="dxa"/>
            <w:vAlign w:val="center"/>
          </w:tcPr>
          <w:p>
            <w:pPr>
              <w:jc w:val="center"/>
              <w:rPr>
                <w:rFonts w:ascii="宋体" w:hAnsi="宋体" w:cs="宋体"/>
                <w:color w:val="000000"/>
                <w:sz w:val="18"/>
                <w:szCs w:val="18"/>
              </w:rPr>
            </w:pPr>
            <w:r>
              <w:rPr>
                <w:rFonts w:hint="eastAsia" w:ascii="宋体" w:hAnsi="宋体"/>
                <w:color w:val="000000"/>
                <w:sz w:val="18"/>
                <w:szCs w:val="18"/>
              </w:rPr>
              <w:t>208</w:t>
            </w:r>
          </w:p>
        </w:tc>
        <w:tc>
          <w:tcPr>
            <w:tcW w:w="691" w:type="dxa"/>
            <w:vAlign w:val="center"/>
          </w:tcPr>
          <w:p>
            <w:pPr>
              <w:jc w:val="center"/>
              <w:rPr>
                <w:rFonts w:ascii="宋体" w:hAnsi="宋体" w:cs="宋体"/>
                <w:color w:val="000000"/>
                <w:sz w:val="18"/>
                <w:szCs w:val="18"/>
              </w:rPr>
            </w:pPr>
            <w:r>
              <w:rPr>
                <w:rFonts w:hint="eastAsia" w:ascii="宋体" w:hAnsi="宋体"/>
                <w:color w:val="000000"/>
                <w:sz w:val="18"/>
                <w:szCs w:val="18"/>
              </w:rPr>
              <w:t>93</w:t>
            </w:r>
          </w:p>
        </w:tc>
        <w:tc>
          <w:tcPr>
            <w:tcW w:w="752" w:type="dxa"/>
            <w:vAlign w:val="center"/>
          </w:tcPr>
          <w:p>
            <w:pPr>
              <w:jc w:val="right"/>
              <w:rPr>
                <w:rFonts w:ascii="宋体" w:hAnsi="宋体" w:cs="宋体"/>
                <w:color w:val="000000"/>
                <w:sz w:val="18"/>
                <w:szCs w:val="18"/>
              </w:rPr>
            </w:pPr>
            <w:r>
              <w:rPr>
                <w:rFonts w:hint="eastAsia" w:ascii="宋体" w:hAnsi="宋体"/>
                <w:color w:val="000000"/>
                <w:sz w:val="18"/>
                <w:szCs w:val="18"/>
              </w:rPr>
              <w:t>9.51%</w:t>
            </w:r>
          </w:p>
        </w:tc>
        <w:tc>
          <w:tcPr>
            <w:tcW w:w="752" w:type="dxa"/>
            <w:vAlign w:val="center"/>
          </w:tcPr>
          <w:p>
            <w:pPr>
              <w:jc w:val="center"/>
              <w:rPr>
                <w:rFonts w:ascii="宋体" w:hAnsi="宋体" w:cs="宋体"/>
                <w:color w:val="000000"/>
                <w:sz w:val="18"/>
                <w:szCs w:val="18"/>
              </w:rPr>
            </w:pPr>
            <w:r>
              <w:rPr>
                <w:rFonts w:hint="eastAsia" w:ascii="宋体" w:hAnsi="宋体"/>
                <w:color w:val="000000"/>
                <w:sz w:val="18"/>
                <w:szCs w:val="18"/>
              </w:rPr>
              <w:t>115</w:t>
            </w:r>
          </w:p>
        </w:tc>
        <w:tc>
          <w:tcPr>
            <w:tcW w:w="1082" w:type="dxa"/>
            <w:vAlign w:val="center"/>
          </w:tcPr>
          <w:p>
            <w:pPr>
              <w:jc w:val="right"/>
              <w:rPr>
                <w:rFonts w:ascii="宋体" w:hAnsi="宋体" w:cs="宋体"/>
                <w:color w:val="000000"/>
                <w:sz w:val="18"/>
                <w:szCs w:val="18"/>
              </w:rPr>
            </w:pPr>
            <w:r>
              <w:rPr>
                <w:rFonts w:hint="eastAsia" w:ascii="宋体" w:hAnsi="宋体"/>
                <w:color w:val="000000"/>
                <w:sz w:val="18"/>
                <w:szCs w:val="18"/>
              </w:rPr>
              <w:t>11.76%</w:t>
            </w:r>
          </w:p>
        </w:tc>
        <w:tc>
          <w:tcPr>
            <w:tcW w:w="1561" w:type="dxa"/>
            <w:vAlign w:val="center"/>
          </w:tcPr>
          <w:p>
            <w:pPr>
              <w:jc w:val="right"/>
              <w:rPr>
                <w:rFonts w:ascii="宋体" w:hAnsi="宋体" w:cs="宋体"/>
                <w:color w:val="000000"/>
                <w:sz w:val="18"/>
                <w:szCs w:val="18"/>
              </w:rPr>
            </w:pPr>
            <w:r>
              <w:rPr>
                <w:rFonts w:hint="eastAsia" w:ascii="宋体" w:hAnsi="宋体"/>
                <w:color w:val="000000"/>
                <w:sz w:val="18"/>
                <w:szCs w:val="18"/>
              </w:rPr>
              <w:t>219,388.18</w:t>
            </w:r>
          </w:p>
        </w:tc>
        <w:tc>
          <w:tcPr>
            <w:tcW w:w="634" w:type="dxa"/>
            <w:vAlign w:val="center"/>
          </w:tcPr>
          <w:p>
            <w:pPr>
              <w:jc w:val="right"/>
              <w:rPr>
                <w:rFonts w:ascii="宋体" w:hAnsi="宋体" w:cs="宋体"/>
                <w:color w:val="000000"/>
                <w:sz w:val="18"/>
                <w:szCs w:val="18"/>
              </w:rPr>
            </w:pPr>
            <w:r>
              <w:rPr>
                <w:rFonts w:hint="eastAsia" w:ascii="宋体" w:hAnsi="宋体"/>
                <w:color w:val="000000"/>
                <w:sz w:val="18"/>
                <w:szCs w:val="18"/>
              </w:rPr>
              <w:t>5.34%</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16" w:hRule="atLeast"/>
        </w:trPr>
        <w:tc>
          <w:tcPr>
            <w:tcW w:w="753" w:type="dxa"/>
            <w:vMerge w:val="continue"/>
          </w:tcPr>
          <w:p>
            <w:pPr>
              <w:rPr>
                <w:rFonts w:ascii="宋体" w:hAnsi="宋体" w:cs="宋体"/>
                <w:sz w:val="18"/>
                <w:szCs w:val="18"/>
              </w:rPr>
            </w:pPr>
          </w:p>
        </w:tc>
        <w:tc>
          <w:tcPr>
            <w:tcW w:w="1470" w:type="dxa"/>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合计</w:t>
            </w:r>
          </w:p>
        </w:tc>
        <w:tc>
          <w:tcPr>
            <w:tcW w:w="1034" w:type="dxa"/>
            <w:vAlign w:val="center"/>
          </w:tcPr>
          <w:p>
            <w:pPr>
              <w:jc w:val="center"/>
              <w:rPr>
                <w:rFonts w:ascii="宋体" w:hAnsi="宋体" w:cs="宋体"/>
                <w:color w:val="000000"/>
                <w:sz w:val="18"/>
                <w:szCs w:val="18"/>
              </w:rPr>
            </w:pPr>
            <w:r>
              <w:rPr>
                <w:rFonts w:hint="eastAsia" w:ascii="宋体" w:hAnsi="宋体"/>
                <w:color w:val="000000"/>
                <w:sz w:val="18"/>
                <w:szCs w:val="18"/>
              </w:rPr>
              <w:t>635</w:t>
            </w:r>
          </w:p>
        </w:tc>
        <w:tc>
          <w:tcPr>
            <w:tcW w:w="691" w:type="dxa"/>
            <w:vAlign w:val="center"/>
          </w:tcPr>
          <w:p>
            <w:pPr>
              <w:jc w:val="center"/>
              <w:rPr>
                <w:rFonts w:ascii="宋体" w:hAnsi="宋体" w:cs="宋体"/>
                <w:color w:val="000000"/>
                <w:sz w:val="18"/>
                <w:szCs w:val="18"/>
              </w:rPr>
            </w:pPr>
            <w:r>
              <w:rPr>
                <w:rFonts w:hint="eastAsia" w:ascii="宋体" w:hAnsi="宋体"/>
                <w:color w:val="000000"/>
                <w:sz w:val="18"/>
                <w:szCs w:val="18"/>
              </w:rPr>
              <w:t>254</w:t>
            </w:r>
          </w:p>
        </w:tc>
        <w:tc>
          <w:tcPr>
            <w:tcW w:w="752" w:type="dxa"/>
            <w:vAlign w:val="center"/>
          </w:tcPr>
          <w:p>
            <w:pPr>
              <w:jc w:val="right"/>
              <w:rPr>
                <w:rFonts w:ascii="宋体" w:hAnsi="宋体" w:cs="宋体"/>
                <w:color w:val="000000"/>
                <w:sz w:val="18"/>
                <w:szCs w:val="18"/>
              </w:rPr>
            </w:pPr>
            <w:r>
              <w:rPr>
                <w:rFonts w:hint="eastAsia" w:ascii="宋体" w:hAnsi="宋体"/>
                <w:color w:val="000000"/>
                <w:sz w:val="18"/>
                <w:szCs w:val="18"/>
              </w:rPr>
              <w:t>25.97%</w:t>
            </w:r>
          </w:p>
        </w:tc>
        <w:tc>
          <w:tcPr>
            <w:tcW w:w="752" w:type="dxa"/>
            <w:vAlign w:val="center"/>
          </w:tcPr>
          <w:p>
            <w:pPr>
              <w:jc w:val="center"/>
              <w:rPr>
                <w:rFonts w:ascii="宋体" w:hAnsi="宋体" w:cs="宋体"/>
                <w:color w:val="000000"/>
                <w:sz w:val="18"/>
                <w:szCs w:val="18"/>
              </w:rPr>
            </w:pPr>
            <w:r>
              <w:rPr>
                <w:rFonts w:hint="eastAsia" w:ascii="宋体" w:hAnsi="宋体"/>
                <w:color w:val="000000"/>
                <w:sz w:val="18"/>
                <w:szCs w:val="18"/>
              </w:rPr>
              <w:t>381</w:t>
            </w:r>
          </w:p>
        </w:tc>
        <w:tc>
          <w:tcPr>
            <w:tcW w:w="1082" w:type="dxa"/>
            <w:vAlign w:val="center"/>
          </w:tcPr>
          <w:p>
            <w:pPr>
              <w:jc w:val="right"/>
              <w:rPr>
                <w:rFonts w:ascii="宋体" w:hAnsi="宋体" w:cs="宋体"/>
                <w:color w:val="000000"/>
                <w:sz w:val="18"/>
                <w:szCs w:val="18"/>
              </w:rPr>
            </w:pPr>
            <w:r>
              <w:rPr>
                <w:rFonts w:hint="eastAsia" w:ascii="宋体" w:hAnsi="宋体"/>
                <w:color w:val="000000"/>
                <w:sz w:val="18"/>
                <w:szCs w:val="18"/>
              </w:rPr>
              <w:t>38.96%</w:t>
            </w:r>
          </w:p>
        </w:tc>
        <w:tc>
          <w:tcPr>
            <w:tcW w:w="1561" w:type="dxa"/>
            <w:vAlign w:val="center"/>
          </w:tcPr>
          <w:p>
            <w:pPr>
              <w:jc w:val="right"/>
              <w:rPr>
                <w:rFonts w:ascii="宋体" w:hAnsi="宋体" w:cs="宋体"/>
                <w:color w:val="000000"/>
                <w:sz w:val="18"/>
                <w:szCs w:val="18"/>
              </w:rPr>
            </w:pPr>
            <w:r>
              <w:rPr>
                <w:rFonts w:ascii="宋体" w:hAnsi="宋体"/>
                <w:color w:val="000000"/>
                <w:sz w:val="18"/>
                <w:szCs w:val="18"/>
              </w:rPr>
              <w:t>704,024.72</w:t>
            </w:r>
          </w:p>
        </w:tc>
        <w:tc>
          <w:tcPr>
            <w:tcW w:w="634" w:type="dxa"/>
            <w:vAlign w:val="center"/>
          </w:tcPr>
          <w:p>
            <w:pPr>
              <w:jc w:val="right"/>
              <w:rPr>
                <w:rFonts w:ascii="宋体" w:hAnsi="宋体" w:cs="宋体"/>
                <w:color w:val="000000"/>
                <w:sz w:val="18"/>
                <w:szCs w:val="18"/>
              </w:rPr>
            </w:pPr>
            <w:r>
              <w:rPr>
                <w:rFonts w:ascii="宋体" w:hAnsi="宋体"/>
                <w:color w:val="000000"/>
                <w:sz w:val="18"/>
                <w:szCs w:val="18"/>
              </w:rPr>
              <w:t>17.14%</w:t>
            </w:r>
          </w:p>
        </w:tc>
      </w:tr>
      <w:tr>
        <w:tblPrEx>
          <w:tblBorders>
            <w:top w:val="single" w:color="000000" w:sz="12" w:space="0"/>
            <w:left w:val="none" w:color="auto" w:sz="0" w:space="0"/>
            <w:bottom w:val="single" w:color="000000" w:sz="12" w:space="0"/>
            <w:right w:val="none" w:color="auto" w:sz="0" w:space="0"/>
            <w:insideH w:val="dotted" w:color="000000" w:sz="4" w:space="0"/>
            <w:insideV w:val="dotted" w:color="000000" w:sz="4" w:space="0"/>
          </w:tblBorders>
          <w:tblLayout w:type="fixed"/>
          <w:tblCellMar>
            <w:top w:w="0" w:type="dxa"/>
            <w:left w:w="0" w:type="dxa"/>
            <w:bottom w:w="0" w:type="dxa"/>
            <w:right w:w="0" w:type="dxa"/>
          </w:tblCellMar>
        </w:tblPrEx>
        <w:trPr>
          <w:trHeight w:val="321" w:hRule="atLeast"/>
        </w:trPr>
        <w:tc>
          <w:tcPr>
            <w:tcW w:w="2223" w:type="dxa"/>
            <w:gridSpan w:val="2"/>
          </w:tcPr>
          <w:p>
            <w:pPr>
              <w:pStyle w:val="55"/>
              <w:spacing w:before="76" w:line="197" w:lineRule="auto"/>
              <w:jc w:val="center"/>
              <w:rPr>
                <w:rFonts w:ascii="宋体" w:hAnsi="宋体" w:eastAsia="宋体" w:cs="黑体"/>
                <w:lang w:eastAsia="zh-CN"/>
              </w:rPr>
            </w:pPr>
            <w:r>
              <w:rPr>
                <w:rFonts w:hint="eastAsia" w:ascii="宋体" w:hAnsi="宋体" w:eastAsia="宋体" w:cs="黑体"/>
                <w:lang w:eastAsia="zh-CN"/>
              </w:rPr>
              <w:t>合计</w:t>
            </w:r>
          </w:p>
        </w:tc>
        <w:tc>
          <w:tcPr>
            <w:tcW w:w="1034" w:type="dxa"/>
            <w:vAlign w:val="center"/>
          </w:tcPr>
          <w:p>
            <w:pPr>
              <w:pStyle w:val="55"/>
              <w:spacing w:before="93" w:line="177" w:lineRule="auto"/>
              <w:jc w:val="center"/>
              <w:rPr>
                <w:rFonts w:ascii="宋体" w:hAnsi="宋体" w:eastAsia="宋体" w:cs="宋体"/>
                <w:lang w:eastAsia="zh-CN"/>
              </w:rPr>
            </w:pPr>
            <w:r>
              <w:rPr>
                <w:rFonts w:hint="eastAsia" w:ascii="宋体" w:hAnsi="宋体" w:eastAsia="宋体" w:cs="宋体"/>
                <w:lang w:eastAsia="zh-CN"/>
              </w:rPr>
              <w:t>978</w:t>
            </w:r>
          </w:p>
        </w:tc>
        <w:tc>
          <w:tcPr>
            <w:tcW w:w="691" w:type="dxa"/>
            <w:vAlign w:val="center"/>
          </w:tcPr>
          <w:p>
            <w:pPr>
              <w:jc w:val="center"/>
              <w:rPr>
                <w:rFonts w:ascii="宋体" w:hAnsi="宋体"/>
                <w:color w:val="000000"/>
                <w:sz w:val="18"/>
                <w:szCs w:val="18"/>
              </w:rPr>
            </w:pPr>
            <w:r>
              <w:rPr>
                <w:rFonts w:hint="eastAsia" w:ascii="宋体" w:hAnsi="宋体"/>
                <w:color w:val="000000"/>
                <w:sz w:val="18"/>
                <w:szCs w:val="18"/>
              </w:rPr>
              <w:t>517</w:t>
            </w:r>
          </w:p>
        </w:tc>
        <w:tc>
          <w:tcPr>
            <w:tcW w:w="752" w:type="dxa"/>
            <w:vAlign w:val="center"/>
          </w:tcPr>
          <w:p>
            <w:pPr>
              <w:jc w:val="right"/>
              <w:rPr>
                <w:rFonts w:ascii="宋体" w:hAnsi="宋体"/>
                <w:color w:val="000000"/>
                <w:sz w:val="18"/>
                <w:szCs w:val="18"/>
              </w:rPr>
            </w:pPr>
            <w:r>
              <w:rPr>
                <w:rFonts w:hint="eastAsia" w:ascii="宋体" w:hAnsi="宋体"/>
                <w:color w:val="000000"/>
                <w:sz w:val="18"/>
                <w:szCs w:val="18"/>
              </w:rPr>
              <w:t>52.86%</w:t>
            </w:r>
          </w:p>
        </w:tc>
        <w:tc>
          <w:tcPr>
            <w:tcW w:w="752" w:type="dxa"/>
            <w:vAlign w:val="center"/>
          </w:tcPr>
          <w:p>
            <w:pPr>
              <w:jc w:val="center"/>
              <w:rPr>
                <w:rFonts w:ascii="宋体" w:hAnsi="宋体"/>
                <w:color w:val="000000"/>
                <w:sz w:val="18"/>
                <w:szCs w:val="18"/>
              </w:rPr>
            </w:pPr>
            <w:r>
              <w:rPr>
                <w:rFonts w:hint="eastAsia" w:ascii="宋体" w:hAnsi="宋体"/>
                <w:color w:val="000000"/>
                <w:sz w:val="18"/>
                <w:szCs w:val="18"/>
              </w:rPr>
              <w:t>461</w:t>
            </w:r>
          </w:p>
        </w:tc>
        <w:tc>
          <w:tcPr>
            <w:tcW w:w="1082" w:type="dxa"/>
            <w:vAlign w:val="center"/>
          </w:tcPr>
          <w:p>
            <w:pPr>
              <w:jc w:val="right"/>
              <w:rPr>
                <w:rFonts w:ascii="宋体" w:hAnsi="宋体"/>
                <w:color w:val="000000"/>
                <w:sz w:val="18"/>
                <w:szCs w:val="18"/>
              </w:rPr>
            </w:pPr>
            <w:r>
              <w:rPr>
                <w:rFonts w:hint="eastAsia" w:ascii="宋体" w:hAnsi="宋体"/>
                <w:color w:val="000000"/>
                <w:sz w:val="18"/>
                <w:szCs w:val="18"/>
              </w:rPr>
              <w:t>47.14%</w:t>
            </w:r>
          </w:p>
        </w:tc>
        <w:tc>
          <w:tcPr>
            <w:tcW w:w="1561" w:type="dxa"/>
            <w:vAlign w:val="center"/>
          </w:tcPr>
          <w:p>
            <w:pPr>
              <w:jc w:val="right"/>
              <w:rPr>
                <w:rFonts w:ascii="宋体" w:hAnsi="宋体"/>
                <w:color w:val="000000"/>
                <w:sz w:val="18"/>
                <w:szCs w:val="18"/>
              </w:rPr>
            </w:pPr>
            <w:r>
              <w:rPr>
                <w:rFonts w:ascii="宋体" w:hAnsi="宋体"/>
                <w:color w:val="000000"/>
                <w:sz w:val="18"/>
                <w:szCs w:val="18"/>
              </w:rPr>
              <w:t>1,218,276.20</w:t>
            </w:r>
          </w:p>
        </w:tc>
        <w:tc>
          <w:tcPr>
            <w:tcW w:w="634" w:type="dxa"/>
            <w:vAlign w:val="center"/>
          </w:tcPr>
          <w:p>
            <w:pPr>
              <w:jc w:val="right"/>
              <w:rPr>
                <w:rFonts w:ascii="宋体" w:hAnsi="宋体"/>
                <w:color w:val="000000"/>
                <w:sz w:val="18"/>
                <w:szCs w:val="18"/>
              </w:rPr>
            </w:pPr>
            <w:r>
              <w:rPr>
                <w:rFonts w:ascii="宋体" w:hAnsi="宋体"/>
                <w:color w:val="000000"/>
                <w:sz w:val="18"/>
                <w:szCs w:val="18"/>
              </w:rPr>
              <w:t>29.67%</w:t>
            </w:r>
          </w:p>
        </w:tc>
      </w:tr>
      <w:bookmarkEnd w:id="10"/>
    </w:tbl>
    <w:p>
      <w:pPr>
        <w:pStyle w:val="4"/>
        <w:pageBreakBefore w:val="0"/>
        <w:widowControl w:val="0"/>
        <w:kinsoku/>
        <w:wordWrap/>
        <w:overflowPunct/>
        <w:topLinePunct w:val="0"/>
        <w:autoSpaceDE/>
        <w:autoSpaceDN/>
        <w:bidi w:val="0"/>
        <w:adjustRightInd/>
        <w:snapToGrid/>
        <w:spacing w:before="0" w:after="0" w:line="560" w:lineRule="exact"/>
        <w:ind w:right="0" w:rightChars="0" w:firstLine="640" w:firstLineChars="200"/>
        <w:textAlignment w:val="auto"/>
        <w:rPr>
          <w:rFonts w:ascii="黑体" w:hAnsi="黑体" w:eastAsia="黑体" w:cs="黑体"/>
          <w:b w:val="0"/>
          <w:bCs w:val="0"/>
          <w:sz w:val="32"/>
          <w:szCs w:val="32"/>
        </w:rPr>
      </w:pPr>
      <w:bookmarkStart w:id="11" w:name="_Toc31117"/>
      <w:bookmarkStart w:id="12" w:name="_Toc22075"/>
      <w:bookmarkStart w:id="13" w:name="_Toc76139435"/>
      <w:r>
        <w:rPr>
          <w:rFonts w:hint="eastAsia" w:ascii="黑体" w:hAnsi="黑体" w:eastAsia="黑体" w:cs="黑体"/>
          <w:b w:val="0"/>
          <w:bCs w:val="0"/>
          <w:sz w:val="32"/>
          <w:szCs w:val="32"/>
        </w:rPr>
        <w:t>二、绩效评价实施</w:t>
      </w:r>
      <w:bookmarkEnd w:id="11"/>
      <w:bookmarkEnd w:id="12"/>
    </w:p>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640" w:right="0" w:rightChars="0" w:firstLine="0" w:firstLineChars="0"/>
        <w:textAlignment w:val="auto"/>
        <w:rPr>
          <w:rFonts w:ascii="Times New Roman" w:hAnsi="Times New Roman" w:eastAsia="楷体_GB2312"/>
          <w:b w:val="0"/>
          <w:kern w:val="44"/>
          <w:sz w:val="32"/>
          <w:szCs w:val="32"/>
          <w:lang w:val="en-US"/>
        </w:rPr>
      </w:pPr>
      <w:bookmarkStart w:id="14" w:name="_Toc27093"/>
      <w:bookmarkStart w:id="15" w:name="_Toc20247"/>
      <w:r>
        <w:rPr>
          <w:rFonts w:hint="eastAsia" w:ascii="Times New Roman" w:hAnsi="Times New Roman" w:eastAsia="楷体_GB2312"/>
          <w:b w:val="0"/>
          <w:kern w:val="44"/>
          <w:sz w:val="32"/>
          <w:szCs w:val="32"/>
          <w:lang w:val="en-US"/>
        </w:rPr>
        <w:t>（一）</w:t>
      </w:r>
      <w:bookmarkEnd w:id="13"/>
      <w:r>
        <w:rPr>
          <w:rFonts w:hint="eastAsia" w:ascii="Times New Roman" w:hAnsi="Times New Roman" w:eastAsia="楷体_GB2312"/>
          <w:b w:val="0"/>
          <w:kern w:val="44"/>
          <w:sz w:val="32"/>
          <w:szCs w:val="32"/>
          <w:lang w:val="en-US"/>
        </w:rPr>
        <w:t>评价目的、对象及范围</w:t>
      </w:r>
      <w:bookmarkEnd w:id="14"/>
      <w:bookmarkEnd w:id="15"/>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bookmarkStart w:id="16" w:name="_Toc485"/>
      <w:bookmarkStart w:id="17" w:name="_Hlk69941948"/>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评价目的</w:t>
      </w:r>
      <w:bookmarkEnd w:id="16"/>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度青岛市财政局委托尤尼泰振青会计师事务所（特殊普通合伙）对青岛市创新投资有限公司受托管理的青岛市市级政府引导基金进行绩效评价，主要为进一步规范青岛市市级政府引导基金的日常管理工作，提高财政资金使用效益，促进引导基金持续健康发展，进一步完善引导基金管理制度、提升引导基金管理能力、提高青岛市市级政府引导基金绩效水平等工作提供决策依据。</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bookmarkStart w:id="18" w:name="_Toc6633"/>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评价对象及范围</w:t>
      </w:r>
      <w:bookmarkEnd w:id="18"/>
    </w:p>
    <w:p>
      <w:pPr>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仿宋" w:hAnsi="仿宋" w:eastAsia="仿宋" w:cs="仿宋"/>
          <w:sz w:val="32"/>
          <w:szCs w:val="32"/>
        </w:rPr>
      </w:pPr>
      <w:r>
        <w:rPr>
          <w:rFonts w:hint="eastAsia" w:ascii="仿宋_GB2312" w:hAnsi="仿宋_GB2312" w:eastAsia="仿宋_GB2312" w:cs="仿宋_GB2312"/>
          <w:sz w:val="32"/>
          <w:szCs w:val="32"/>
        </w:rPr>
        <w:t>本次绩效评价的对象为受托管理机构青岛市创新投资有限公司，评价范围是纳入本次绩效评价的青岛市级政府引导基金90支在管基金。</w:t>
      </w:r>
    </w:p>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640" w:right="0" w:rightChars="0" w:firstLine="0" w:firstLineChars="0"/>
        <w:textAlignment w:val="auto"/>
        <w:rPr>
          <w:rFonts w:hint="eastAsia" w:ascii="Times New Roman" w:hAnsi="Times New Roman" w:eastAsia="楷体_GB2312"/>
          <w:b w:val="0"/>
          <w:kern w:val="44"/>
          <w:sz w:val="32"/>
          <w:szCs w:val="32"/>
          <w:lang w:val="en-US"/>
        </w:rPr>
      </w:pPr>
      <w:bookmarkStart w:id="19" w:name="_Toc28881"/>
      <w:bookmarkStart w:id="20" w:name="_Toc8311"/>
      <w:r>
        <w:rPr>
          <w:rFonts w:hint="eastAsia" w:ascii="Times New Roman" w:hAnsi="Times New Roman" w:eastAsia="楷体_GB2312"/>
          <w:b w:val="0"/>
          <w:kern w:val="44"/>
          <w:sz w:val="32"/>
          <w:szCs w:val="32"/>
          <w:lang w:val="en-US"/>
        </w:rPr>
        <w:t>（</w:t>
      </w:r>
      <w:r>
        <w:rPr>
          <w:rFonts w:hint="eastAsia" w:ascii="Times New Roman" w:hAnsi="Times New Roman" w:eastAsia="楷体_GB2312"/>
          <w:b w:val="0"/>
          <w:kern w:val="44"/>
          <w:sz w:val="32"/>
          <w:szCs w:val="32"/>
          <w:lang w:val="en-US"/>
        </w:rPr>
        <w:t>二）评价依据</w:t>
      </w:r>
      <w:bookmarkEnd w:id="19"/>
      <w:bookmarkEnd w:id="20"/>
    </w:p>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640" w:right="0" w:rightChars="0" w:firstLine="0" w:firstLineChars="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kern w:val="44"/>
          <w:sz w:val="32"/>
          <w:szCs w:val="32"/>
          <w:lang w:val="en-US"/>
        </w:rPr>
        <w:t>本次绩效评价的依</w:t>
      </w:r>
      <w:r>
        <w:rPr>
          <w:rFonts w:hint="eastAsia" w:ascii="仿宋_GB2312" w:hAnsi="仿宋_GB2312" w:eastAsia="仿宋_GB2312" w:cs="仿宋_GB2312"/>
          <w:b w:val="0"/>
          <w:bCs/>
          <w:kern w:val="44"/>
          <w:sz w:val="32"/>
          <w:szCs w:val="32"/>
          <w:lang w:val="en-US"/>
        </w:rPr>
        <w:t>据主</w:t>
      </w:r>
      <w:r>
        <w:rPr>
          <w:rFonts w:hint="eastAsia" w:ascii="仿宋_GB2312" w:hAnsi="仿宋_GB2312" w:eastAsia="仿宋_GB2312" w:cs="仿宋_GB2312"/>
          <w:b w:val="0"/>
          <w:bCs/>
          <w:sz w:val="32"/>
          <w:szCs w:val="32"/>
        </w:rPr>
        <w:t>要包括：</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（1）国家、省、市相关法律法规、规章、规范性文件等；</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（2）受托管理机构规章制度及其他相关资料；</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（3）引导基金托管报告；</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（4）引导基金年度运行情况，引导基金专项审计报告及相关资料；</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（5）引导基金对外出资的决策文件；</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（6）引导基金参股基金的公司章程或合伙协议，年度运行情况报告，经审计的年度会计报告，托管报告等；</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（7）受托管理机构关于参股基金的绩效评价报告；</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（8）市财政局确定的其他资料。</w:t>
      </w:r>
    </w:p>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640" w:right="0" w:rightChars="0" w:firstLine="0" w:firstLineChars="0"/>
        <w:textAlignment w:val="auto"/>
        <w:rPr>
          <w:rFonts w:ascii="Times New Roman" w:hAnsi="Times New Roman" w:eastAsia="楷体_GB2312"/>
          <w:b w:val="0"/>
          <w:kern w:val="44"/>
          <w:sz w:val="32"/>
          <w:szCs w:val="32"/>
          <w:lang w:val="en-US"/>
        </w:rPr>
      </w:pPr>
      <w:bookmarkStart w:id="21" w:name="_Toc4974"/>
      <w:bookmarkStart w:id="22" w:name="_Toc32615"/>
      <w:r>
        <w:rPr>
          <w:rFonts w:hint="eastAsia" w:ascii="Times New Roman" w:hAnsi="Times New Roman" w:eastAsia="楷体_GB2312"/>
          <w:b w:val="0"/>
          <w:kern w:val="44"/>
          <w:sz w:val="32"/>
          <w:szCs w:val="32"/>
          <w:lang w:val="en-US"/>
        </w:rPr>
        <w:t>（三）评价原则、评价思路和评价方法</w:t>
      </w:r>
      <w:bookmarkEnd w:id="21"/>
      <w:bookmarkEnd w:id="22"/>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评价原则</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（1）科学规范原则。绩效评价应当严格执行规定的程序，按照科学可行的要求，采用定量与定性分析相结合的办法。</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（2）公正公开原则。绩效评价应当符合真实、客观、公正的要求，依法公开并接受监督。</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（3）分级分类原则。按照“统一领导，分级管理”的财务管理制度，市引导基金根据评价对象的特点分类组织实施绩效评价工作。</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（4）绩效相关原则。绩效评价应当针对具体支出及其绩效进行，评价结果应清晰反映支出和产出绩效之间的紧密对应关系。</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评价思路和评价方法</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（1）根据《青岛市政府引导基金绩效评价管理办法》等政策性指引文件，结合青岛市财政局提示的关注点及指导建议，评价项目组对绩效评价指标体系进行了研究细化。</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（2）根据绩效评价指标体系，评价项目组设置了填报数据模板及资料搜集清单，发送受托管理机构。其后，受托管理机构完成了表格数据填写、资料整理提交等各项工作。</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（3）评价项目组在收集到上述绩效评价数据及资料的基础之上，通过研究、访谈调研、背景调查、综合比较分析等方式，落实开展了2023年度青岛市市级政府引导基金绩效评价工作。</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（4）评价项目组撰写本项目绩效评价报告初稿，并根据青岛市财政局的反馈意见，对绩效评价报告进行了修订和完善。</w:t>
      </w:r>
    </w:p>
    <w:bookmarkEnd w:id="17"/>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640" w:right="0" w:rightChars="0" w:firstLine="0" w:firstLineChars="0"/>
        <w:textAlignment w:val="auto"/>
        <w:rPr>
          <w:rFonts w:ascii="Times New Roman" w:hAnsi="Times New Roman" w:eastAsia="楷体_GB2312"/>
          <w:b w:val="0"/>
          <w:kern w:val="44"/>
          <w:sz w:val="32"/>
          <w:szCs w:val="32"/>
          <w:lang w:val="en-US"/>
        </w:rPr>
      </w:pPr>
      <w:bookmarkStart w:id="23" w:name="_Toc9019"/>
      <w:bookmarkStart w:id="24" w:name="_Toc28231"/>
      <w:r>
        <w:rPr>
          <w:rFonts w:hint="eastAsia" w:ascii="Times New Roman" w:hAnsi="Times New Roman" w:eastAsia="楷体_GB2312"/>
          <w:b w:val="0"/>
          <w:kern w:val="44"/>
          <w:sz w:val="32"/>
          <w:szCs w:val="32"/>
          <w:lang w:val="en-US"/>
        </w:rPr>
        <w:t>（四）评价指标体系</w:t>
      </w:r>
      <w:bookmarkEnd w:id="23"/>
      <w:bookmarkEnd w:id="24"/>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市级政府引导基金的绩效评价采用《青岛市政府引导基金绩效评价管理办法》规定的指标评价体系，分为创业投资基金－投资期、创业投资基金-退出期（含清算期）、产业投资基金－投资期、产业投资基金－退出期（含清算期）4套指标。绩效评价采用综合评分法，总分为100分，绩效评价指标包括政策效应指标、经济效益指标、管理效能指标三部分，分值权重根据基金类型、所处阶段分别确定。</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政策效应指标：主要评价引导基金投资领域、投资区域、资本放大等情况；</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经济效益指标：主要评价投资项目营收增长率、保值增值等情况；</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管理效能指标：主要评价投资退出进度、风险防控、制度建设执行等情况；</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设特别加分项，对基金投资企业上市、引入重大项目、信息宣传等方面予以加分，总分不超过10 分。</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根据青岛市财政局关于印发《青岛市政府引导基金绩效评价管理办法》的通知（青财金〔2023〕2号），本次绩效评价综合绩效级别具体分为4个等级：</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85分及以上，绩效评价等级为“优秀”；</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70～85分（不含上限），绩效评价等级为“良好”；</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60～70分（不含上限），绩效评价等级为“合格”；</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60分以下，绩效评价等级为“不合格”。</w:t>
      </w:r>
    </w:p>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640" w:right="0" w:rightChars="0" w:firstLine="0" w:firstLineChars="0"/>
        <w:textAlignment w:val="auto"/>
        <w:rPr>
          <w:rFonts w:ascii="Times New Roman" w:hAnsi="Times New Roman" w:eastAsia="楷体_GB2312"/>
          <w:b w:val="0"/>
          <w:kern w:val="44"/>
          <w:sz w:val="32"/>
          <w:szCs w:val="32"/>
          <w:lang w:val="en-US"/>
        </w:rPr>
      </w:pPr>
      <w:bookmarkStart w:id="25" w:name="_Toc32496"/>
      <w:bookmarkStart w:id="26" w:name="_Toc12272"/>
      <w:r>
        <w:rPr>
          <w:rFonts w:hint="eastAsia" w:ascii="Times New Roman" w:hAnsi="Times New Roman" w:eastAsia="楷体_GB2312"/>
          <w:b w:val="0"/>
          <w:kern w:val="44"/>
          <w:sz w:val="32"/>
          <w:szCs w:val="32"/>
          <w:lang w:val="en-US"/>
        </w:rPr>
        <w:t>（五）绩效评价工作过程</w:t>
      </w:r>
      <w:bookmarkEnd w:id="25"/>
      <w:bookmarkEnd w:id="26"/>
    </w:p>
    <w:p>
      <w:pPr>
        <w:pStyle w:val="3"/>
        <w:pageBreakBefore w:val="0"/>
        <w:widowControl w:val="0"/>
        <w:kinsoku/>
        <w:wordWrap/>
        <w:overflowPunct/>
        <w:topLinePunct w:val="0"/>
        <w:autoSpaceDE/>
        <w:autoSpaceDN/>
        <w:bidi w:val="0"/>
        <w:adjustRightInd/>
        <w:snapToGrid/>
        <w:spacing w:line="560" w:lineRule="exact"/>
        <w:ind w:right="0" w:rightChars="0" w:firstLine="560"/>
        <w:textAlignment w:val="auto"/>
        <w:rPr>
          <w:rFonts w:hint="eastAsia" w:ascii="仿宋_GB2312" w:hAnsi="仿宋_GB2312" w:eastAsia="仿宋_GB2312" w:cs="仿宋_GB2312"/>
          <w:sz w:val="32"/>
          <w:szCs w:val="32"/>
          <w:lang w:val="en-US"/>
        </w:rPr>
      </w:pPr>
      <w:bookmarkStart w:id="27" w:name="_Toc23285"/>
      <w:bookmarkStart w:id="28" w:name="_Toc76139439"/>
      <w:r>
        <w:rPr>
          <w:rFonts w:hint="eastAsia" w:ascii="仿宋_GB2312" w:hAnsi="仿宋_GB2312" w:eastAsia="仿宋_GB2312" w:cs="仿宋_GB2312"/>
          <w:sz w:val="32"/>
          <w:szCs w:val="32"/>
          <w:lang w:val="en-US"/>
        </w:rPr>
        <w:t>1</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rPr>
        <w:t>前期准备和组织实施阶段</w:t>
      </w:r>
      <w:bookmarkEnd w:id="27"/>
    </w:p>
    <w:p>
      <w:pPr>
        <w:pStyle w:val="3"/>
        <w:spacing w:line="560" w:lineRule="exact"/>
        <w:ind w:firstLine="56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尤尼泰振青会计师事务所（特殊普通合伙）接受青岛市财政局委托后，成立了绩效评价工作组。绩效评价工作组在财政局的组织与协调下，与青创投取得联系，确定评价目的及范围，讨论绩效评价工作的重点，按照青岛市财政局关于印发《青岛市政府引导基金绩效评价管理办法》的通知及引导基金管理办法，对指标体现设置了填报数据模板，并要求青创投填报相关数据，并提供支撑数据的相关资料。</w:t>
      </w:r>
    </w:p>
    <w:p>
      <w:pPr>
        <w:pStyle w:val="3"/>
        <w:spacing w:line="560" w:lineRule="exact"/>
        <w:ind w:firstLine="560"/>
        <w:rPr>
          <w:rFonts w:hint="eastAsia" w:ascii="仿宋_GB2312" w:hAnsi="仿宋_GB2312" w:eastAsia="仿宋_GB2312" w:cs="仿宋_GB2312"/>
          <w:sz w:val="32"/>
          <w:szCs w:val="32"/>
          <w:lang w:val="en-US"/>
        </w:rPr>
      </w:pPr>
      <w:bookmarkStart w:id="29" w:name="_Toc6443"/>
      <w:r>
        <w:rPr>
          <w:rFonts w:hint="eastAsia" w:ascii="仿宋_GB2312" w:hAnsi="仿宋_GB2312" w:eastAsia="仿宋_GB2312" w:cs="仿宋_GB2312"/>
          <w:sz w:val="32"/>
          <w:szCs w:val="32"/>
          <w:lang w:val="en-US"/>
        </w:rPr>
        <w:t>2</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rPr>
        <w:t>实施评价阶段</w:t>
      </w:r>
      <w:bookmarkEnd w:id="29"/>
    </w:p>
    <w:p>
      <w:pPr>
        <w:pStyle w:val="3"/>
        <w:spacing w:line="560" w:lineRule="exact"/>
        <w:ind w:firstLine="56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绩效评价工作组成员收集、整理相关资料，查阅分析收集的资料，深入了解相关项目的政策效应、经济效益、管理效能、特别加分等信息，并结合市级政府引导基金的相关文件资料，形成初步绩效评价指标。</w:t>
      </w:r>
    </w:p>
    <w:p>
      <w:pPr>
        <w:pStyle w:val="3"/>
        <w:spacing w:line="560" w:lineRule="exact"/>
        <w:ind w:firstLine="56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绩效评价工作组成员依据青创投提供的资料，开展现场勘察核实工作，对相关负责人进行访谈，审核提报资料的相关性、真实性、完整性。计算绩效评价指标，根据本次评价指标体系与评分标准，形成评价结论。</w:t>
      </w:r>
    </w:p>
    <w:p>
      <w:pPr>
        <w:pStyle w:val="3"/>
        <w:spacing w:line="560" w:lineRule="exact"/>
        <w:ind w:firstLine="560"/>
        <w:rPr>
          <w:rFonts w:hint="eastAsia" w:ascii="仿宋_GB2312" w:hAnsi="仿宋_GB2312" w:eastAsia="仿宋_GB2312" w:cs="仿宋_GB2312"/>
          <w:sz w:val="32"/>
          <w:szCs w:val="32"/>
          <w:lang w:val="en-US"/>
        </w:rPr>
      </w:pPr>
      <w:bookmarkStart w:id="30" w:name="_Toc18605"/>
      <w:r>
        <w:rPr>
          <w:rFonts w:hint="eastAsia" w:ascii="仿宋_GB2312" w:hAnsi="仿宋_GB2312" w:eastAsia="仿宋_GB2312" w:cs="仿宋_GB2312"/>
          <w:sz w:val="32"/>
          <w:szCs w:val="32"/>
          <w:lang w:val="en-US"/>
        </w:rPr>
        <w:t>3</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rPr>
        <w:t>撰写报告阶段</w:t>
      </w:r>
      <w:bookmarkEnd w:id="30"/>
    </w:p>
    <w:p>
      <w:pPr>
        <w:pStyle w:val="3"/>
        <w:spacing w:line="560" w:lineRule="exact"/>
        <w:ind w:firstLine="56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绩效评价小组撰写本项目绩效评价报告初稿，征求市财政局和青创投的反馈意见，对报告进行调整，形成绩效评价报告终稿。</w:t>
      </w:r>
    </w:p>
    <w:p>
      <w:pPr>
        <w:pStyle w:val="4"/>
        <w:spacing w:before="0" w:after="0" w:line="560" w:lineRule="exact"/>
        <w:ind w:firstLine="640" w:firstLineChars="200"/>
        <w:rPr>
          <w:rFonts w:ascii="黑体" w:hAnsi="黑体" w:eastAsia="黑体" w:cs="黑体"/>
          <w:b w:val="0"/>
          <w:bCs/>
          <w:sz w:val="32"/>
          <w:szCs w:val="32"/>
        </w:rPr>
      </w:pPr>
      <w:bookmarkStart w:id="31" w:name="_Toc6373"/>
      <w:bookmarkStart w:id="32" w:name="_Toc25989"/>
      <w:r>
        <w:rPr>
          <w:rFonts w:hint="eastAsia" w:ascii="黑体" w:hAnsi="黑体" w:eastAsia="黑体" w:cs="黑体"/>
          <w:b w:val="0"/>
          <w:bCs/>
          <w:sz w:val="32"/>
          <w:szCs w:val="32"/>
        </w:rPr>
        <w:t>三、绩效</w:t>
      </w:r>
      <w:bookmarkEnd w:id="31"/>
      <w:bookmarkEnd w:id="32"/>
      <w:r>
        <w:rPr>
          <w:rFonts w:hint="eastAsia" w:ascii="黑体" w:hAnsi="黑体" w:eastAsia="黑体" w:cs="黑体"/>
          <w:b w:val="0"/>
          <w:bCs/>
          <w:sz w:val="32"/>
          <w:szCs w:val="32"/>
          <w:lang w:eastAsia="zh-CN"/>
        </w:rPr>
        <w:t>评价结果</w:t>
      </w:r>
    </w:p>
    <w:bookmarkEnd w:id="28"/>
    <w:p>
      <w:pPr>
        <w:pStyle w:val="3"/>
        <w:spacing w:line="560" w:lineRule="exact"/>
        <w:ind w:firstLine="560"/>
        <w:rPr>
          <w:rFonts w:hint="eastAsia" w:ascii="仿宋_GB2312" w:hAnsi="仿宋_GB2312" w:eastAsia="仿宋_GB2312" w:cs="仿宋_GB2312"/>
          <w:sz w:val="32"/>
          <w:szCs w:val="32"/>
          <w:lang w:val="en-US" w:eastAsia="zh-CN"/>
        </w:rPr>
      </w:pPr>
      <w:bookmarkStart w:id="33" w:name="_Toc9633"/>
      <w:bookmarkStart w:id="34" w:name="_Toc23134"/>
      <w:r>
        <w:rPr>
          <w:rFonts w:hint="eastAsia" w:ascii="仿宋_GB2312" w:hAnsi="仿宋_GB2312" w:eastAsia="仿宋_GB2312" w:cs="仿宋_GB2312"/>
          <w:sz w:val="32"/>
          <w:szCs w:val="32"/>
          <w:lang w:val="en-US" w:eastAsia="zh-CN"/>
        </w:rPr>
        <w:t>2023年度绩效评价中，四类基金的绩效评价等级均为“优秀”。</w:t>
      </w:r>
    </w:p>
    <w:p>
      <w:pPr>
        <w:pStyle w:val="4"/>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eastAsia" w:ascii="黑体" w:hAnsi="黑体" w:eastAsia="黑体" w:cs="黑体"/>
          <w:b w:val="0"/>
          <w:bCs/>
          <w:sz w:val="32"/>
          <w:szCs w:val="32"/>
          <w:lang w:val="en-US"/>
        </w:rPr>
      </w:pPr>
      <w:r>
        <w:rPr>
          <w:rFonts w:hint="eastAsia" w:ascii="黑体" w:hAnsi="黑体" w:eastAsia="黑体" w:cs="黑体"/>
          <w:b w:val="0"/>
          <w:bCs/>
          <w:sz w:val="32"/>
          <w:szCs w:val="32"/>
          <w:lang w:val="en-US"/>
        </w:rPr>
        <w:t>四、存在的问题</w:t>
      </w:r>
      <w:bookmarkEnd w:id="33"/>
      <w:bookmarkEnd w:id="34"/>
      <w:bookmarkStart w:id="35" w:name="_Toc17942"/>
    </w:p>
    <w:bookmarkEnd w:id="35"/>
    <w:p>
      <w:pPr>
        <w:pStyle w:val="3"/>
        <w:pageBreakBefore w:val="0"/>
        <w:widowControl w:val="0"/>
        <w:kinsoku/>
        <w:wordWrap/>
        <w:overflowPunct/>
        <w:topLinePunct w:val="0"/>
        <w:autoSpaceDE/>
        <w:autoSpaceDN/>
        <w:bidi w:val="0"/>
        <w:adjustRightInd/>
        <w:snapToGrid/>
        <w:spacing w:line="560" w:lineRule="exact"/>
        <w:ind w:left="0" w:leftChars="0" w:right="0" w:rightChars="0" w:firstLine="560"/>
        <w:jc w:val="both"/>
        <w:textAlignment w:val="auto"/>
        <w:rPr>
          <w:rFonts w:hint="eastAsia" w:ascii="仿宋_GB2312" w:hAnsi="仿宋_GB2312" w:cs="仿宋_GB2312"/>
          <w:sz w:val="32"/>
          <w:szCs w:val="32"/>
          <w:lang w:val="en-US" w:eastAsia="zh-CN"/>
        </w:rPr>
      </w:pPr>
      <w:r>
        <w:rPr>
          <w:rFonts w:hint="eastAsia" w:ascii="仿宋_GB2312" w:hAnsi="仿宋_GB2312" w:eastAsia="仿宋_GB2312" w:cs="仿宋_GB2312"/>
          <w:sz w:val="32"/>
          <w:szCs w:val="32"/>
          <w:lang w:val="en-US" w:eastAsia="zh-CN"/>
        </w:rPr>
        <w:t>一是对于项目投资阶段审查不够严谨，部分项目投资阶段认定不准确。</w:t>
      </w:r>
      <w:r>
        <w:rPr>
          <w:rFonts w:hint="eastAsia" w:ascii="仿宋_GB2312" w:hAnsi="仿宋_GB2312" w:cs="仿宋_GB2312"/>
          <w:sz w:val="32"/>
          <w:szCs w:val="32"/>
          <w:lang w:val="en-US" w:eastAsia="zh-CN"/>
        </w:rPr>
        <w:t>二是部分认定返投的项目证明材料不充分。三是</w:t>
      </w:r>
    </w:p>
    <w:p>
      <w:pPr>
        <w:pStyle w:val="3"/>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参股基金信息披露标准管理不统一。四是受经济环境和监管等因素影响，参股基金出现出资困难、投资进度放缓、退出滞后等问题</w:t>
      </w:r>
      <w:bookmarkStart w:id="36" w:name="_Toc8161"/>
      <w:bookmarkStart w:id="37" w:name="_Toc17488"/>
      <w:r>
        <w:rPr>
          <w:rFonts w:hint="eastAsia" w:ascii="仿宋_GB2312" w:hAnsi="仿宋_GB2312" w:cs="仿宋_GB2312"/>
          <w:sz w:val="32"/>
          <w:szCs w:val="32"/>
          <w:lang w:val="en-US" w:eastAsia="zh-CN"/>
        </w:rPr>
        <w:t>。</w:t>
      </w:r>
    </w:p>
    <w:p>
      <w:pPr>
        <w:pStyle w:val="4"/>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eastAsia" w:ascii="黑体" w:hAnsi="黑体" w:eastAsia="黑体" w:cs="黑体"/>
          <w:b w:val="0"/>
          <w:bCs/>
          <w:sz w:val="32"/>
          <w:szCs w:val="32"/>
          <w:lang w:val="en-US"/>
        </w:rPr>
      </w:pPr>
      <w:r>
        <w:rPr>
          <w:rFonts w:hint="eastAsia" w:ascii="黑体" w:hAnsi="黑体" w:eastAsia="黑体" w:cs="黑体"/>
          <w:b w:val="0"/>
          <w:bCs/>
          <w:sz w:val="32"/>
          <w:szCs w:val="32"/>
          <w:lang w:val="en-US" w:eastAsia="zh-CN"/>
        </w:rPr>
        <w:t>五、</w:t>
      </w:r>
      <w:r>
        <w:rPr>
          <w:rFonts w:hint="eastAsia" w:ascii="黑体" w:hAnsi="黑体" w:eastAsia="黑体" w:cs="黑体"/>
          <w:b w:val="0"/>
          <w:bCs/>
          <w:sz w:val="32"/>
          <w:szCs w:val="32"/>
          <w:lang w:val="en-US"/>
        </w:rPr>
        <w:t>相关建议</w:t>
      </w:r>
      <w:bookmarkEnd w:id="36"/>
      <w:bookmarkEnd w:id="37"/>
    </w:p>
    <w:p>
      <w:pPr>
        <w:pStyle w:val="3"/>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一是加强对基金所投项目阶段的审查力度</w:t>
      </w:r>
      <w:r>
        <w:rPr>
          <w:rFonts w:hint="eastAsia" w:ascii="仿宋_GB2312" w:hAnsi="仿宋_GB2312" w:cs="仿宋_GB2312"/>
          <w:sz w:val="32"/>
          <w:szCs w:val="32"/>
          <w:lang w:val="en-US" w:eastAsia="zh-CN"/>
        </w:rPr>
        <w:t>。</w:t>
      </w:r>
      <w:bookmarkStart w:id="38" w:name="_Toc16971"/>
      <w:r>
        <w:rPr>
          <w:rFonts w:hint="eastAsia" w:ascii="仿宋_GB2312" w:hAnsi="仿宋_GB2312" w:cs="仿宋_GB2312"/>
          <w:sz w:val="32"/>
          <w:szCs w:val="32"/>
          <w:lang w:val="en-US" w:eastAsia="zh-CN"/>
        </w:rPr>
        <w:t>在项目投前审查阶段应根据项目投资建议书及尽调报告等资料，核实项目所投阶段，在基金管</w:t>
      </w:r>
      <w:bookmarkStart w:id="41" w:name="_GoBack"/>
      <w:bookmarkEnd w:id="41"/>
      <w:r>
        <w:rPr>
          <w:rFonts w:hint="eastAsia" w:ascii="仿宋_GB2312" w:hAnsi="仿宋_GB2312" w:cs="仿宋_GB2312"/>
          <w:sz w:val="32"/>
          <w:szCs w:val="32"/>
          <w:lang w:val="en-US" w:eastAsia="zh-CN"/>
        </w:rPr>
        <w:t>理人报送数据时，结合基金运行报告及管理办法中的初创期、早中期的认定标准，核对信息的准确性，避免出现更正前期错误的情况出现。</w:t>
      </w:r>
      <w:bookmarkEnd w:id="3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lang w:eastAsia="zh-CN"/>
        </w:rPr>
        <w:t>二是</w:t>
      </w:r>
      <w:r>
        <w:rPr>
          <w:rFonts w:hint="eastAsia" w:ascii="仿宋_GB2312" w:hAnsi="仿宋_GB2312" w:eastAsia="仿宋_GB2312" w:cs="仿宋_GB2312"/>
          <w:bCs/>
          <w:kern w:val="44"/>
          <w:sz w:val="32"/>
          <w:szCs w:val="32"/>
        </w:rPr>
        <w:t>加大对返投青岛项目管理力度，同时监督管理目标完成情况，实现引导基金政策目标和产业导向</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rPr>
        <w:t>在返投进展监督方面，建议敦促参投基金管理机构加快对青岛市本地企业进行投资或项目招引落地，确保完成管理办法及合伙协议约定的返投要求。应加强主动管理，重点关注返投项目质量，定期走访返投项目现场，持续关注返投项目的发展情况，确保项目在青岛本地能够实际运营，实现政府引导基金的政策目标和产业导向。在具体操作方面，应定期要求基金管理人提供返投相关的支撑材料，如项目实缴凭证、完税证明、社保缴纳证明、项目的经营情况说明等，并结合项目定期走访情况了解企业的实际经营现状，综合判断项目是否符合返投的认定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lang w:eastAsia="zh-CN"/>
        </w:rPr>
        <w:t>三是</w:t>
      </w:r>
      <w:r>
        <w:rPr>
          <w:rFonts w:hint="eastAsia" w:ascii="仿宋_GB2312" w:hAnsi="仿宋_GB2312" w:eastAsia="仿宋_GB2312" w:cs="仿宋_GB2312"/>
          <w:bCs/>
          <w:kern w:val="44"/>
          <w:sz w:val="32"/>
          <w:szCs w:val="32"/>
        </w:rPr>
        <w:t>加强对参股基金的监管，密切跟踪其经营和财务状况，防范财务风险</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rPr>
        <w:t>密切跟踪参股基金的经营和财务状况，除关注营收成长外，还应关注参股基金的项目估值情况、盈利状况、对外抵押担保情况及涉诉事项，如发现参股基金财务状况出现重大瑕疵，应提请基金管理机构予以重点关注，及早考虑退出路径，规避相应的风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lang w:eastAsia="zh-CN"/>
        </w:rPr>
        <w:t>四是</w:t>
      </w:r>
      <w:r>
        <w:rPr>
          <w:rFonts w:hint="eastAsia" w:ascii="仿宋_GB2312" w:hAnsi="仿宋_GB2312" w:eastAsia="仿宋_GB2312" w:cs="仿宋_GB2312"/>
          <w:bCs/>
          <w:kern w:val="44"/>
          <w:sz w:val="32"/>
          <w:szCs w:val="32"/>
        </w:rPr>
        <w:t>统一投后信息披露标准，必要时将标准明确在基金合伙协议中</w:t>
      </w:r>
      <w:bookmarkStart w:id="39" w:name="_Toc28431"/>
      <w:bookmarkStart w:id="40" w:name="_Toc76139448"/>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rPr>
        <w:t>建议统一投后信息披露标准，提高对参投基金及基金管理人的信息披露质量要求。应根据引导基金领域特点，制定不同的信息披露标准，必要时可在基金合伙协议中予以落实，对参股基金及管理人形成一定的约束力，同时加强对于搜集信息的数据核实、关注项目财务信息质量，确保证明材料与披露数据的一致性。</w:t>
      </w:r>
    </w:p>
    <w:p>
      <w:pPr>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bCs/>
          <w:kern w:val="44"/>
          <w:sz w:val="32"/>
          <w:szCs w:val="32"/>
          <w:lang w:eastAsia="zh-CN"/>
        </w:rPr>
        <w:t>五是</w:t>
      </w:r>
      <w:r>
        <w:rPr>
          <w:rFonts w:hint="eastAsia" w:ascii="仿宋_GB2312" w:hAnsi="仿宋_GB2312" w:eastAsia="仿宋_GB2312" w:cs="仿宋_GB2312"/>
          <w:kern w:val="44"/>
          <w:sz w:val="32"/>
          <w:szCs w:val="32"/>
        </w:rPr>
        <w:t>对子基金的退出制定明确的退出计划，确保参投子基金退出工作有序进行，提高财政资金的使用效率</w:t>
      </w:r>
      <w:r>
        <w:rPr>
          <w:rFonts w:hint="eastAsia" w:ascii="仿宋_GB2312" w:hAnsi="仿宋_GB2312" w:eastAsia="仿宋_GB2312" w:cs="仿宋_GB2312"/>
          <w:kern w:val="44"/>
          <w:sz w:val="32"/>
          <w:szCs w:val="32"/>
          <w:lang w:eastAsia="zh-CN"/>
        </w:rPr>
        <w:t>。</w:t>
      </w:r>
      <w:r>
        <w:rPr>
          <w:rFonts w:hint="eastAsia" w:ascii="仿宋_GB2312" w:hAnsi="仿宋_GB2312" w:eastAsia="仿宋_GB2312" w:cs="仿宋_GB2312"/>
          <w:kern w:val="44"/>
          <w:sz w:val="32"/>
          <w:szCs w:val="32"/>
        </w:rPr>
        <w:t>建议对已经进入退出期的基金，督促管理机构开展有序退出工作，围绕基金退出难点和风险项目，定期跟踪、及时了解情况，形成具体解决方案。在具体实操方面，建议受托管理机构针对子基金的退出管理工作制定相对明确的年度退出计划安排，尤其是尽可能确保退出计划与基金运作年限匹配，并将年度计划退出金额与实际退出情况纳入年度绩效考核中。对于违约管理人，积极采用合法手段维护引导基金权益。建议主管部门进一步加强在引导基金退出方面的管理约束，敦促受托管理机构积极开展有效的退出管理工作。</w:t>
      </w:r>
      <w:bookmarkEnd w:id="39"/>
      <w:bookmarkEnd w:id="40"/>
    </w:p>
    <w:sectPr>
      <w:footerReference r:id="rId3" w:type="default"/>
      <w:pgSz w:w="11906" w:h="16838"/>
      <w:pgMar w:top="1701" w:right="1418" w:bottom="1134" w:left="1701" w:header="851" w:footer="680"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Arial Narrow">
    <w:panose1 w:val="020B0606020202030204"/>
    <w:charset w:val="00"/>
    <w:family w:val="swiss"/>
    <w:pitch w:val="default"/>
    <w:sig w:usb0="00000287" w:usb1="000008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roman"/>
    <w:pitch w:val="default"/>
    <w:sig w:usb0="00000001" w:usb1="080E0000" w:usb2="00000000" w:usb3="00000000" w:csb0="00040000" w:csb1="00000000"/>
  </w:font>
  <w:font w:name="文星简黑体">
    <w:altName w:val="黑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E00002FF" w:usb1="6AC7FDFB" w:usb2="00000012" w:usb3="00000000" w:csb0="4002009F" w:csb1="DFD7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jc w:val="cente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PAGE   \* MERGEFORMAT</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175</w:t>
                          </w:r>
                          <w:r>
                            <w:rPr>
                              <w:rFonts w:hint="eastAsia" w:ascii="仿宋_GB2312" w:hAnsi="仿宋_GB2312" w:eastAsia="仿宋_GB2312" w:cs="仿宋_GB2312"/>
                              <w:sz w:val="32"/>
                              <w:szCs w:val="32"/>
                              <w:lang w:val="zh-CN"/>
                            </w:rP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3Qk5U68BAABL&#10;AwAADgAAAAAAAAABACAAAAAeAQAAZHJzL2Uyb0RvYy54bWxQSwUGAAAAAAYABgBZAQAAPwUAAAAA&#10;">
              <v:fill on="f" focussize="0,0"/>
              <v:stroke on="f"/>
              <v:imagedata o:title=""/>
              <o:lock v:ext="edit" aspectratio="f"/>
              <v:textbox inset="0mm,0mm,0mm,0mm" style="mso-fit-shape-to-text:t;">
                <w:txbxContent>
                  <w:p>
                    <w:pPr>
                      <w:pStyle w:val="14"/>
                      <w:jc w:val="cente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PAGE   \* MERGEFORMAT</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175</w:t>
                    </w:r>
                    <w:r>
                      <w:rPr>
                        <w:rFonts w:hint="eastAsia" w:ascii="仿宋_GB2312" w:hAnsi="仿宋_GB2312" w:eastAsia="仿宋_GB2312" w:cs="仿宋_GB2312"/>
                        <w:sz w:val="32"/>
                        <w:szCs w:val="32"/>
                        <w:lang w:val="zh-CN"/>
                      </w:rPr>
                      <w:fldChar w:fldCharType="end"/>
                    </w:r>
                  </w:p>
                </w:txbxContent>
              </v:textbox>
            </v:shape>
          </w:pict>
        </mc:Fallback>
      </mc:AlternateContent>
    </w:r>
  </w:p>
  <w:p>
    <w:pPr>
      <w:pStyle w:val="14"/>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hideSpellingErrors/>
  <w:attachedTemplate r:id="rId1"/>
  <w:documentProtection w:enforcement="0"/>
  <w:defaultTabStop w:val="420"/>
  <w:drawingGridVerticalSpacing w:val="156"/>
  <w:doNotShadeFormData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NjQxYmZmN2ZkODIxYWNiNTEzMzQyMTZmNzQ1MmMifQ=="/>
  </w:docVars>
  <w:rsids>
    <w:rsidRoot w:val="00172A27"/>
    <w:rsid w:val="00001397"/>
    <w:rsid w:val="0000168D"/>
    <w:rsid w:val="00001C54"/>
    <w:rsid w:val="0000259A"/>
    <w:rsid w:val="00002908"/>
    <w:rsid w:val="0000385B"/>
    <w:rsid w:val="00003C84"/>
    <w:rsid w:val="00003CE0"/>
    <w:rsid w:val="00004986"/>
    <w:rsid w:val="00005315"/>
    <w:rsid w:val="00005825"/>
    <w:rsid w:val="00006D03"/>
    <w:rsid w:val="00007871"/>
    <w:rsid w:val="00007C8E"/>
    <w:rsid w:val="00007D0B"/>
    <w:rsid w:val="000106A9"/>
    <w:rsid w:val="00010EBF"/>
    <w:rsid w:val="00012380"/>
    <w:rsid w:val="000127C8"/>
    <w:rsid w:val="000137D3"/>
    <w:rsid w:val="000138B1"/>
    <w:rsid w:val="00013E71"/>
    <w:rsid w:val="0001515F"/>
    <w:rsid w:val="0001532D"/>
    <w:rsid w:val="0001540F"/>
    <w:rsid w:val="0001565E"/>
    <w:rsid w:val="00016FF7"/>
    <w:rsid w:val="00020A44"/>
    <w:rsid w:val="00020C69"/>
    <w:rsid w:val="00021270"/>
    <w:rsid w:val="000224D2"/>
    <w:rsid w:val="000225B1"/>
    <w:rsid w:val="000227EC"/>
    <w:rsid w:val="00024078"/>
    <w:rsid w:val="000243B8"/>
    <w:rsid w:val="00024BDA"/>
    <w:rsid w:val="00024C74"/>
    <w:rsid w:val="0002520B"/>
    <w:rsid w:val="00026113"/>
    <w:rsid w:val="0002643A"/>
    <w:rsid w:val="00026A2D"/>
    <w:rsid w:val="00026A4B"/>
    <w:rsid w:val="000274A7"/>
    <w:rsid w:val="00027880"/>
    <w:rsid w:val="00027F76"/>
    <w:rsid w:val="000303CB"/>
    <w:rsid w:val="00030652"/>
    <w:rsid w:val="000306DD"/>
    <w:rsid w:val="00031055"/>
    <w:rsid w:val="00031F81"/>
    <w:rsid w:val="00032118"/>
    <w:rsid w:val="00032641"/>
    <w:rsid w:val="00032D05"/>
    <w:rsid w:val="0003353D"/>
    <w:rsid w:val="00033FCC"/>
    <w:rsid w:val="00034799"/>
    <w:rsid w:val="00034EC3"/>
    <w:rsid w:val="00035B4B"/>
    <w:rsid w:val="00035F6C"/>
    <w:rsid w:val="00036990"/>
    <w:rsid w:val="00037591"/>
    <w:rsid w:val="0003788E"/>
    <w:rsid w:val="00040019"/>
    <w:rsid w:val="0004055A"/>
    <w:rsid w:val="00041940"/>
    <w:rsid w:val="00042A36"/>
    <w:rsid w:val="00042F6F"/>
    <w:rsid w:val="00043172"/>
    <w:rsid w:val="00043178"/>
    <w:rsid w:val="00043C49"/>
    <w:rsid w:val="00043CF6"/>
    <w:rsid w:val="000440FE"/>
    <w:rsid w:val="00044387"/>
    <w:rsid w:val="00044783"/>
    <w:rsid w:val="0004479F"/>
    <w:rsid w:val="00044C66"/>
    <w:rsid w:val="00045273"/>
    <w:rsid w:val="00045D3C"/>
    <w:rsid w:val="0004600C"/>
    <w:rsid w:val="00046906"/>
    <w:rsid w:val="00046C53"/>
    <w:rsid w:val="00046CD8"/>
    <w:rsid w:val="00047238"/>
    <w:rsid w:val="0004740E"/>
    <w:rsid w:val="00047CCF"/>
    <w:rsid w:val="00047DF5"/>
    <w:rsid w:val="00047FAB"/>
    <w:rsid w:val="000506EB"/>
    <w:rsid w:val="00050C4A"/>
    <w:rsid w:val="00051307"/>
    <w:rsid w:val="00051409"/>
    <w:rsid w:val="00051C54"/>
    <w:rsid w:val="00052A7A"/>
    <w:rsid w:val="00052E15"/>
    <w:rsid w:val="0005304E"/>
    <w:rsid w:val="00053190"/>
    <w:rsid w:val="00053FEC"/>
    <w:rsid w:val="00054408"/>
    <w:rsid w:val="00054AFD"/>
    <w:rsid w:val="000550FE"/>
    <w:rsid w:val="000560F1"/>
    <w:rsid w:val="00057212"/>
    <w:rsid w:val="00057231"/>
    <w:rsid w:val="00057351"/>
    <w:rsid w:val="00057907"/>
    <w:rsid w:val="000600B4"/>
    <w:rsid w:val="000607BD"/>
    <w:rsid w:val="00060B7E"/>
    <w:rsid w:val="00060F4F"/>
    <w:rsid w:val="0006110B"/>
    <w:rsid w:val="00061118"/>
    <w:rsid w:val="000624F6"/>
    <w:rsid w:val="000628B2"/>
    <w:rsid w:val="00063561"/>
    <w:rsid w:val="00063AC0"/>
    <w:rsid w:val="00064B07"/>
    <w:rsid w:val="00064D16"/>
    <w:rsid w:val="00065BF5"/>
    <w:rsid w:val="00065E0E"/>
    <w:rsid w:val="00066792"/>
    <w:rsid w:val="0006746E"/>
    <w:rsid w:val="00067D98"/>
    <w:rsid w:val="000701D0"/>
    <w:rsid w:val="00073977"/>
    <w:rsid w:val="00074281"/>
    <w:rsid w:val="00075666"/>
    <w:rsid w:val="00076063"/>
    <w:rsid w:val="00076445"/>
    <w:rsid w:val="00076E68"/>
    <w:rsid w:val="00077625"/>
    <w:rsid w:val="00077968"/>
    <w:rsid w:val="00077E33"/>
    <w:rsid w:val="000802F8"/>
    <w:rsid w:val="0008031C"/>
    <w:rsid w:val="000808AA"/>
    <w:rsid w:val="00080FBE"/>
    <w:rsid w:val="0008176C"/>
    <w:rsid w:val="0008200A"/>
    <w:rsid w:val="00083256"/>
    <w:rsid w:val="000845E9"/>
    <w:rsid w:val="000855ED"/>
    <w:rsid w:val="00085925"/>
    <w:rsid w:val="00086CF0"/>
    <w:rsid w:val="000875EC"/>
    <w:rsid w:val="00087A68"/>
    <w:rsid w:val="00090345"/>
    <w:rsid w:val="00090AD5"/>
    <w:rsid w:val="000924DA"/>
    <w:rsid w:val="00092DA4"/>
    <w:rsid w:val="00093055"/>
    <w:rsid w:val="00093ACD"/>
    <w:rsid w:val="0009433E"/>
    <w:rsid w:val="000943D2"/>
    <w:rsid w:val="00094972"/>
    <w:rsid w:val="00094A5C"/>
    <w:rsid w:val="00094B49"/>
    <w:rsid w:val="000953FA"/>
    <w:rsid w:val="00095633"/>
    <w:rsid w:val="00095C14"/>
    <w:rsid w:val="0009783F"/>
    <w:rsid w:val="00097C64"/>
    <w:rsid w:val="00097CE8"/>
    <w:rsid w:val="00097ED0"/>
    <w:rsid w:val="000A0448"/>
    <w:rsid w:val="000A05F7"/>
    <w:rsid w:val="000A129B"/>
    <w:rsid w:val="000A1554"/>
    <w:rsid w:val="000A1D5F"/>
    <w:rsid w:val="000A23C3"/>
    <w:rsid w:val="000A2A79"/>
    <w:rsid w:val="000A2C10"/>
    <w:rsid w:val="000A2EDF"/>
    <w:rsid w:val="000A3743"/>
    <w:rsid w:val="000A3E05"/>
    <w:rsid w:val="000A48DE"/>
    <w:rsid w:val="000A4BC6"/>
    <w:rsid w:val="000A5707"/>
    <w:rsid w:val="000A6458"/>
    <w:rsid w:val="000A6E04"/>
    <w:rsid w:val="000A76AF"/>
    <w:rsid w:val="000B04D2"/>
    <w:rsid w:val="000B06FE"/>
    <w:rsid w:val="000B08F3"/>
    <w:rsid w:val="000B1663"/>
    <w:rsid w:val="000B212F"/>
    <w:rsid w:val="000B301B"/>
    <w:rsid w:val="000B3313"/>
    <w:rsid w:val="000B5057"/>
    <w:rsid w:val="000B5391"/>
    <w:rsid w:val="000B58C3"/>
    <w:rsid w:val="000B672E"/>
    <w:rsid w:val="000B6A3E"/>
    <w:rsid w:val="000B7024"/>
    <w:rsid w:val="000B72E5"/>
    <w:rsid w:val="000B760A"/>
    <w:rsid w:val="000B76B8"/>
    <w:rsid w:val="000B7C26"/>
    <w:rsid w:val="000B7CFE"/>
    <w:rsid w:val="000B7DC1"/>
    <w:rsid w:val="000C05FD"/>
    <w:rsid w:val="000C1014"/>
    <w:rsid w:val="000C148D"/>
    <w:rsid w:val="000C321C"/>
    <w:rsid w:val="000C336C"/>
    <w:rsid w:val="000C3410"/>
    <w:rsid w:val="000C3695"/>
    <w:rsid w:val="000C40A7"/>
    <w:rsid w:val="000C4526"/>
    <w:rsid w:val="000C45B1"/>
    <w:rsid w:val="000C58DE"/>
    <w:rsid w:val="000C5CE1"/>
    <w:rsid w:val="000C6093"/>
    <w:rsid w:val="000C6643"/>
    <w:rsid w:val="000C6FE7"/>
    <w:rsid w:val="000C7185"/>
    <w:rsid w:val="000C7989"/>
    <w:rsid w:val="000D02C0"/>
    <w:rsid w:val="000D0393"/>
    <w:rsid w:val="000D0C3B"/>
    <w:rsid w:val="000D1979"/>
    <w:rsid w:val="000D1E7D"/>
    <w:rsid w:val="000D2313"/>
    <w:rsid w:val="000D28F5"/>
    <w:rsid w:val="000D31BF"/>
    <w:rsid w:val="000D44FC"/>
    <w:rsid w:val="000D7A4C"/>
    <w:rsid w:val="000D7DBB"/>
    <w:rsid w:val="000E052B"/>
    <w:rsid w:val="000E1560"/>
    <w:rsid w:val="000E16D0"/>
    <w:rsid w:val="000E1C93"/>
    <w:rsid w:val="000E25A2"/>
    <w:rsid w:val="000E277F"/>
    <w:rsid w:val="000E286A"/>
    <w:rsid w:val="000E2A52"/>
    <w:rsid w:val="000E2DBB"/>
    <w:rsid w:val="000E2E1E"/>
    <w:rsid w:val="000E2E92"/>
    <w:rsid w:val="000E2F40"/>
    <w:rsid w:val="000E2FCA"/>
    <w:rsid w:val="000E3EDD"/>
    <w:rsid w:val="000E47A1"/>
    <w:rsid w:val="000E48EE"/>
    <w:rsid w:val="000E4923"/>
    <w:rsid w:val="000E4E4F"/>
    <w:rsid w:val="000E5F81"/>
    <w:rsid w:val="000E65DC"/>
    <w:rsid w:val="000E65E4"/>
    <w:rsid w:val="000E6618"/>
    <w:rsid w:val="000E730C"/>
    <w:rsid w:val="000E7772"/>
    <w:rsid w:val="000E77DE"/>
    <w:rsid w:val="000F0808"/>
    <w:rsid w:val="000F0A83"/>
    <w:rsid w:val="000F0ACF"/>
    <w:rsid w:val="000F0B69"/>
    <w:rsid w:val="000F1B7E"/>
    <w:rsid w:val="000F20A6"/>
    <w:rsid w:val="000F28EF"/>
    <w:rsid w:val="000F38B4"/>
    <w:rsid w:val="000F41A2"/>
    <w:rsid w:val="000F491D"/>
    <w:rsid w:val="000F566B"/>
    <w:rsid w:val="000F5940"/>
    <w:rsid w:val="000F59FA"/>
    <w:rsid w:val="000F5C83"/>
    <w:rsid w:val="000F61A8"/>
    <w:rsid w:val="000F654F"/>
    <w:rsid w:val="000F688D"/>
    <w:rsid w:val="000F68C3"/>
    <w:rsid w:val="000F6B9C"/>
    <w:rsid w:val="000F6CC7"/>
    <w:rsid w:val="000F6D25"/>
    <w:rsid w:val="000F6E15"/>
    <w:rsid w:val="000F729C"/>
    <w:rsid w:val="000F738F"/>
    <w:rsid w:val="000F7BC8"/>
    <w:rsid w:val="001000AC"/>
    <w:rsid w:val="00100295"/>
    <w:rsid w:val="00100DB0"/>
    <w:rsid w:val="00101A20"/>
    <w:rsid w:val="001021AC"/>
    <w:rsid w:val="0010279B"/>
    <w:rsid w:val="00102A58"/>
    <w:rsid w:val="00103F07"/>
    <w:rsid w:val="00104676"/>
    <w:rsid w:val="00104DCA"/>
    <w:rsid w:val="0010515D"/>
    <w:rsid w:val="0010583C"/>
    <w:rsid w:val="00106487"/>
    <w:rsid w:val="00106525"/>
    <w:rsid w:val="00106B08"/>
    <w:rsid w:val="00107132"/>
    <w:rsid w:val="00107590"/>
    <w:rsid w:val="00110D92"/>
    <w:rsid w:val="00111A77"/>
    <w:rsid w:val="001127C8"/>
    <w:rsid w:val="00112E30"/>
    <w:rsid w:val="0011410A"/>
    <w:rsid w:val="0011428F"/>
    <w:rsid w:val="00115080"/>
    <w:rsid w:val="001154A9"/>
    <w:rsid w:val="0011561D"/>
    <w:rsid w:val="001158F3"/>
    <w:rsid w:val="00115F2A"/>
    <w:rsid w:val="00115F55"/>
    <w:rsid w:val="00115F58"/>
    <w:rsid w:val="001161A7"/>
    <w:rsid w:val="001164A7"/>
    <w:rsid w:val="0011674B"/>
    <w:rsid w:val="00117A9E"/>
    <w:rsid w:val="00120AEF"/>
    <w:rsid w:val="00120EFB"/>
    <w:rsid w:val="00120F08"/>
    <w:rsid w:val="00121232"/>
    <w:rsid w:val="00121742"/>
    <w:rsid w:val="001221AE"/>
    <w:rsid w:val="00123784"/>
    <w:rsid w:val="001245BD"/>
    <w:rsid w:val="001249AB"/>
    <w:rsid w:val="00124DC5"/>
    <w:rsid w:val="00125B22"/>
    <w:rsid w:val="00125B91"/>
    <w:rsid w:val="00125C3A"/>
    <w:rsid w:val="00126431"/>
    <w:rsid w:val="00127086"/>
    <w:rsid w:val="001277C4"/>
    <w:rsid w:val="00127AC0"/>
    <w:rsid w:val="00131573"/>
    <w:rsid w:val="00131FE8"/>
    <w:rsid w:val="001330AC"/>
    <w:rsid w:val="00133CB9"/>
    <w:rsid w:val="00134A33"/>
    <w:rsid w:val="00135CB0"/>
    <w:rsid w:val="00135F2E"/>
    <w:rsid w:val="00136218"/>
    <w:rsid w:val="001364E8"/>
    <w:rsid w:val="0013657B"/>
    <w:rsid w:val="0013730C"/>
    <w:rsid w:val="00140CAD"/>
    <w:rsid w:val="00141008"/>
    <w:rsid w:val="001417BA"/>
    <w:rsid w:val="0014182F"/>
    <w:rsid w:val="001429ED"/>
    <w:rsid w:val="00144500"/>
    <w:rsid w:val="00144643"/>
    <w:rsid w:val="001447BA"/>
    <w:rsid w:val="00144993"/>
    <w:rsid w:val="00145401"/>
    <w:rsid w:val="00145D22"/>
    <w:rsid w:val="0014609C"/>
    <w:rsid w:val="0014650B"/>
    <w:rsid w:val="00146613"/>
    <w:rsid w:val="00146BD9"/>
    <w:rsid w:val="00146C2C"/>
    <w:rsid w:val="00146DB7"/>
    <w:rsid w:val="00146DD1"/>
    <w:rsid w:val="0014787B"/>
    <w:rsid w:val="00147998"/>
    <w:rsid w:val="001501BC"/>
    <w:rsid w:val="00150663"/>
    <w:rsid w:val="00150872"/>
    <w:rsid w:val="001508CC"/>
    <w:rsid w:val="00150BAB"/>
    <w:rsid w:val="00150EA3"/>
    <w:rsid w:val="00151426"/>
    <w:rsid w:val="001515EA"/>
    <w:rsid w:val="00151C2B"/>
    <w:rsid w:val="001523EA"/>
    <w:rsid w:val="0015259A"/>
    <w:rsid w:val="00154262"/>
    <w:rsid w:val="00154FA2"/>
    <w:rsid w:val="00155AF7"/>
    <w:rsid w:val="001566EE"/>
    <w:rsid w:val="00156BFC"/>
    <w:rsid w:val="00157087"/>
    <w:rsid w:val="00157493"/>
    <w:rsid w:val="001602D0"/>
    <w:rsid w:val="0016073E"/>
    <w:rsid w:val="00160A93"/>
    <w:rsid w:val="00160C04"/>
    <w:rsid w:val="00161E95"/>
    <w:rsid w:val="001632B2"/>
    <w:rsid w:val="00163496"/>
    <w:rsid w:val="0016413A"/>
    <w:rsid w:val="0016443C"/>
    <w:rsid w:val="001645D7"/>
    <w:rsid w:val="001646A9"/>
    <w:rsid w:val="001651B3"/>
    <w:rsid w:val="00165385"/>
    <w:rsid w:val="00165981"/>
    <w:rsid w:val="001662CA"/>
    <w:rsid w:val="00166E83"/>
    <w:rsid w:val="00167054"/>
    <w:rsid w:val="0017074A"/>
    <w:rsid w:val="0017083B"/>
    <w:rsid w:val="00171408"/>
    <w:rsid w:val="00171EA7"/>
    <w:rsid w:val="00171F55"/>
    <w:rsid w:val="00172A27"/>
    <w:rsid w:val="00172A9F"/>
    <w:rsid w:val="00172B16"/>
    <w:rsid w:val="00172C2D"/>
    <w:rsid w:val="00173271"/>
    <w:rsid w:val="00174EBE"/>
    <w:rsid w:val="0017535B"/>
    <w:rsid w:val="00176197"/>
    <w:rsid w:val="00176C69"/>
    <w:rsid w:val="00177E64"/>
    <w:rsid w:val="001803C8"/>
    <w:rsid w:val="00180A3F"/>
    <w:rsid w:val="00180DD3"/>
    <w:rsid w:val="001822F1"/>
    <w:rsid w:val="001827E7"/>
    <w:rsid w:val="00182E22"/>
    <w:rsid w:val="00183032"/>
    <w:rsid w:val="00183B6C"/>
    <w:rsid w:val="001841DA"/>
    <w:rsid w:val="00185691"/>
    <w:rsid w:val="00186A4B"/>
    <w:rsid w:val="00186B21"/>
    <w:rsid w:val="00187810"/>
    <w:rsid w:val="00187BAA"/>
    <w:rsid w:val="001900A4"/>
    <w:rsid w:val="00190A3D"/>
    <w:rsid w:val="00190B1C"/>
    <w:rsid w:val="00190CA3"/>
    <w:rsid w:val="00190D5A"/>
    <w:rsid w:val="00190EAE"/>
    <w:rsid w:val="00191AE5"/>
    <w:rsid w:val="00191DB2"/>
    <w:rsid w:val="0019318B"/>
    <w:rsid w:val="0019385A"/>
    <w:rsid w:val="00193CFC"/>
    <w:rsid w:val="00194AA6"/>
    <w:rsid w:val="00194CB0"/>
    <w:rsid w:val="0019532A"/>
    <w:rsid w:val="00195B3A"/>
    <w:rsid w:val="00195EAB"/>
    <w:rsid w:val="001A0676"/>
    <w:rsid w:val="001A06CD"/>
    <w:rsid w:val="001A07C9"/>
    <w:rsid w:val="001A0A27"/>
    <w:rsid w:val="001A1E95"/>
    <w:rsid w:val="001A3706"/>
    <w:rsid w:val="001A375E"/>
    <w:rsid w:val="001A3FBD"/>
    <w:rsid w:val="001A4140"/>
    <w:rsid w:val="001A4431"/>
    <w:rsid w:val="001A53C0"/>
    <w:rsid w:val="001A6B0A"/>
    <w:rsid w:val="001A6FB1"/>
    <w:rsid w:val="001B1759"/>
    <w:rsid w:val="001B17CE"/>
    <w:rsid w:val="001B18C3"/>
    <w:rsid w:val="001B1C70"/>
    <w:rsid w:val="001B2FF1"/>
    <w:rsid w:val="001B3E9A"/>
    <w:rsid w:val="001B4151"/>
    <w:rsid w:val="001B44E4"/>
    <w:rsid w:val="001B4D31"/>
    <w:rsid w:val="001B53EC"/>
    <w:rsid w:val="001B597F"/>
    <w:rsid w:val="001B64BF"/>
    <w:rsid w:val="001B74B7"/>
    <w:rsid w:val="001B7A41"/>
    <w:rsid w:val="001C07E1"/>
    <w:rsid w:val="001C088C"/>
    <w:rsid w:val="001C0EA1"/>
    <w:rsid w:val="001C0EF4"/>
    <w:rsid w:val="001C0FF2"/>
    <w:rsid w:val="001C1514"/>
    <w:rsid w:val="001C17FE"/>
    <w:rsid w:val="001C1A12"/>
    <w:rsid w:val="001C1CB0"/>
    <w:rsid w:val="001C29B6"/>
    <w:rsid w:val="001C2FC4"/>
    <w:rsid w:val="001C384E"/>
    <w:rsid w:val="001C3A50"/>
    <w:rsid w:val="001C3DB1"/>
    <w:rsid w:val="001C5316"/>
    <w:rsid w:val="001C5652"/>
    <w:rsid w:val="001C5E44"/>
    <w:rsid w:val="001C62EE"/>
    <w:rsid w:val="001C6BCE"/>
    <w:rsid w:val="001C7448"/>
    <w:rsid w:val="001C7CC2"/>
    <w:rsid w:val="001D0D62"/>
    <w:rsid w:val="001D136F"/>
    <w:rsid w:val="001D2241"/>
    <w:rsid w:val="001D229B"/>
    <w:rsid w:val="001D2C49"/>
    <w:rsid w:val="001D2E41"/>
    <w:rsid w:val="001D2E7D"/>
    <w:rsid w:val="001D373B"/>
    <w:rsid w:val="001D3B2F"/>
    <w:rsid w:val="001D3C43"/>
    <w:rsid w:val="001D4E80"/>
    <w:rsid w:val="001D54D2"/>
    <w:rsid w:val="001D6CB6"/>
    <w:rsid w:val="001E0D67"/>
    <w:rsid w:val="001E0FF4"/>
    <w:rsid w:val="001E1580"/>
    <w:rsid w:val="001E1A97"/>
    <w:rsid w:val="001E2A75"/>
    <w:rsid w:val="001E3147"/>
    <w:rsid w:val="001E4239"/>
    <w:rsid w:val="001E476E"/>
    <w:rsid w:val="001E487F"/>
    <w:rsid w:val="001E5192"/>
    <w:rsid w:val="001E5A36"/>
    <w:rsid w:val="001E6199"/>
    <w:rsid w:val="001E62FA"/>
    <w:rsid w:val="001E6B50"/>
    <w:rsid w:val="001E6F0A"/>
    <w:rsid w:val="001E7083"/>
    <w:rsid w:val="001E7B85"/>
    <w:rsid w:val="001F05B7"/>
    <w:rsid w:val="001F0A37"/>
    <w:rsid w:val="001F0DCC"/>
    <w:rsid w:val="001F0F33"/>
    <w:rsid w:val="001F1111"/>
    <w:rsid w:val="001F1846"/>
    <w:rsid w:val="001F1B2B"/>
    <w:rsid w:val="001F1D61"/>
    <w:rsid w:val="001F2197"/>
    <w:rsid w:val="001F2569"/>
    <w:rsid w:val="001F2602"/>
    <w:rsid w:val="001F2BE9"/>
    <w:rsid w:val="001F2D4E"/>
    <w:rsid w:val="001F2FC5"/>
    <w:rsid w:val="001F31AF"/>
    <w:rsid w:val="001F3C82"/>
    <w:rsid w:val="001F4B79"/>
    <w:rsid w:val="001F5116"/>
    <w:rsid w:val="001F5433"/>
    <w:rsid w:val="001F5A19"/>
    <w:rsid w:val="001F5EE7"/>
    <w:rsid w:val="001F661E"/>
    <w:rsid w:val="001F72BE"/>
    <w:rsid w:val="001F7470"/>
    <w:rsid w:val="001F7BBF"/>
    <w:rsid w:val="001F7DA9"/>
    <w:rsid w:val="0020028C"/>
    <w:rsid w:val="00202F2A"/>
    <w:rsid w:val="00203B2B"/>
    <w:rsid w:val="002048CE"/>
    <w:rsid w:val="00205C34"/>
    <w:rsid w:val="00206000"/>
    <w:rsid w:val="00206956"/>
    <w:rsid w:val="00206E6C"/>
    <w:rsid w:val="002071A1"/>
    <w:rsid w:val="00207903"/>
    <w:rsid w:val="002103C4"/>
    <w:rsid w:val="0021174F"/>
    <w:rsid w:val="00211BDB"/>
    <w:rsid w:val="00212A11"/>
    <w:rsid w:val="002132B1"/>
    <w:rsid w:val="0021479E"/>
    <w:rsid w:val="00215497"/>
    <w:rsid w:val="00215BA2"/>
    <w:rsid w:val="00215D69"/>
    <w:rsid w:val="00216833"/>
    <w:rsid w:val="00216B39"/>
    <w:rsid w:val="0021704B"/>
    <w:rsid w:val="002179E1"/>
    <w:rsid w:val="00217CFD"/>
    <w:rsid w:val="0022058A"/>
    <w:rsid w:val="00220664"/>
    <w:rsid w:val="00220835"/>
    <w:rsid w:val="00220F9A"/>
    <w:rsid w:val="0022232D"/>
    <w:rsid w:val="00222499"/>
    <w:rsid w:val="002232A1"/>
    <w:rsid w:val="002237D9"/>
    <w:rsid w:val="00223C3B"/>
    <w:rsid w:val="00223CAE"/>
    <w:rsid w:val="00224CAD"/>
    <w:rsid w:val="00225CF5"/>
    <w:rsid w:val="002264C3"/>
    <w:rsid w:val="0022694E"/>
    <w:rsid w:val="002273A9"/>
    <w:rsid w:val="00227574"/>
    <w:rsid w:val="00230130"/>
    <w:rsid w:val="002304C8"/>
    <w:rsid w:val="00230568"/>
    <w:rsid w:val="00230B84"/>
    <w:rsid w:val="002317A8"/>
    <w:rsid w:val="002317EA"/>
    <w:rsid w:val="00231FB1"/>
    <w:rsid w:val="00232579"/>
    <w:rsid w:val="002327C3"/>
    <w:rsid w:val="002332A6"/>
    <w:rsid w:val="00234AAC"/>
    <w:rsid w:val="00234E2A"/>
    <w:rsid w:val="0023536B"/>
    <w:rsid w:val="00235864"/>
    <w:rsid w:val="002358DE"/>
    <w:rsid w:val="002376B4"/>
    <w:rsid w:val="00237D52"/>
    <w:rsid w:val="002406E2"/>
    <w:rsid w:val="00240F8D"/>
    <w:rsid w:val="00241FD8"/>
    <w:rsid w:val="0024224D"/>
    <w:rsid w:val="00242B0B"/>
    <w:rsid w:val="00242E82"/>
    <w:rsid w:val="00243032"/>
    <w:rsid w:val="002433C2"/>
    <w:rsid w:val="002442EA"/>
    <w:rsid w:val="00244585"/>
    <w:rsid w:val="002454D2"/>
    <w:rsid w:val="00245976"/>
    <w:rsid w:val="00245AD5"/>
    <w:rsid w:val="00246084"/>
    <w:rsid w:val="00250587"/>
    <w:rsid w:val="0025058C"/>
    <w:rsid w:val="00250739"/>
    <w:rsid w:val="00250B91"/>
    <w:rsid w:val="00251395"/>
    <w:rsid w:val="00251ADC"/>
    <w:rsid w:val="00252098"/>
    <w:rsid w:val="00252433"/>
    <w:rsid w:val="00252AAE"/>
    <w:rsid w:val="00252AC4"/>
    <w:rsid w:val="00252B78"/>
    <w:rsid w:val="00252FBB"/>
    <w:rsid w:val="0025384A"/>
    <w:rsid w:val="0025484D"/>
    <w:rsid w:val="00254877"/>
    <w:rsid w:val="0025575E"/>
    <w:rsid w:val="0025633C"/>
    <w:rsid w:val="00257663"/>
    <w:rsid w:val="00257B8C"/>
    <w:rsid w:val="00257C3B"/>
    <w:rsid w:val="00261CD8"/>
    <w:rsid w:val="002621BB"/>
    <w:rsid w:val="00262FF7"/>
    <w:rsid w:val="00263513"/>
    <w:rsid w:val="00263E79"/>
    <w:rsid w:val="00264015"/>
    <w:rsid w:val="002644C9"/>
    <w:rsid w:val="0026496E"/>
    <w:rsid w:val="002653E0"/>
    <w:rsid w:val="00265920"/>
    <w:rsid w:val="00265B1A"/>
    <w:rsid w:val="002664FD"/>
    <w:rsid w:val="00266C57"/>
    <w:rsid w:val="00270343"/>
    <w:rsid w:val="0027075A"/>
    <w:rsid w:val="00270E20"/>
    <w:rsid w:val="00270F07"/>
    <w:rsid w:val="002713EE"/>
    <w:rsid w:val="0027148B"/>
    <w:rsid w:val="00271AF1"/>
    <w:rsid w:val="002728A3"/>
    <w:rsid w:val="00272D4F"/>
    <w:rsid w:val="0027377E"/>
    <w:rsid w:val="0027399C"/>
    <w:rsid w:val="00273A6F"/>
    <w:rsid w:val="00276641"/>
    <w:rsid w:val="002768EB"/>
    <w:rsid w:val="00276AA9"/>
    <w:rsid w:val="00276D63"/>
    <w:rsid w:val="00277662"/>
    <w:rsid w:val="002802C2"/>
    <w:rsid w:val="002805FE"/>
    <w:rsid w:val="00280A0D"/>
    <w:rsid w:val="0028117A"/>
    <w:rsid w:val="00281315"/>
    <w:rsid w:val="00281603"/>
    <w:rsid w:val="00281FEA"/>
    <w:rsid w:val="0028225C"/>
    <w:rsid w:val="00282529"/>
    <w:rsid w:val="00282D05"/>
    <w:rsid w:val="00283333"/>
    <w:rsid w:val="00283556"/>
    <w:rsid w:val="00283A27"/>
    <w:rsid w:val="00283D82"/>
    <w:rsid w:val="002842DF"/>
    <w:rsid w:val="00284869"/>
    <w:rsid w:val="00284B1E"/>
    <w:rsid w:val="002851F8"/>
    <w:rsid w:val="002857CC"/>
    <w:rsid w:val="00285D00"/>
    <w:rsid w:val="002864D1"/>
    <w:rsid w:val="00286665"/>
    <w:rsid w:val="00286D20"/>
    <w:rsid w:val="00286DEC"/>
    <w:rsid w:val="002878A7"/>
    <w:rsid w:val="00287BCA"/>
    <w:rsid w:val="00287CEF"/>
    <w:rsid w:val="002904AA"/>
    <w:rsid w:val="0029148A"/>
    <w:rsid w:val="0029176C"/>
    <w:rsid w:val="002918B1"/>
    <w:rsid w:val="0029205D"/>
    <w:rsid w:val="00292D0A"/>
    <w:rsid w:val="002934A1"/>
    <w:rsid w:val="002939E8"/>
    <w:rsid w:val="00293CAB"/>
    <w:rsid w:val="00293E60"/>
    <w:rsid w:val="00294065"/>
    <w:rsid w:val="00294632"/>
    <w:rsid w:val="00294855"/>
    <w:rsid w:val="002958A5"/>
    <w:rsid w:val="00295A3A"/>
    <w:rsid w:val="00296036"/>
    <w:rsid w:val="002969F2"/>
    <w:rsid w:val="00297705"/>
    <w:rsid w:val="00297BE2"/>
    <w:rsid w:val="00297EFA"/>
    <w:rsid w:val="002A009B"/>
    <w:rsid w:val="002A0FEF"/>
    <w:rsid w:val="002A19E7"/>
    <w:rsid w:val="002A2506"/>
    <w:rsid w:val="002A35DF"/>
    <w:rsid w:val="002A3662"/>
    <w:rsid w:val="002A3E0A"/>
    <w:rsid w:val="002A41B9"/>
    <w:rsid w:val="002A515C"/>
    <w:rsid w:val="002A5523"/>
    <w:rsid w:val="002A5559"/>
    <w:rsid w:val="002A58A4"/>
    <w:rsid w:val="002A5E92"/>
    <w:rsid w:val="002A6125"/>
    <w:rsid w:val="002A7693"/>
    <w:rsid w:val="002A77D4"/>
    <w:rsid w:val="002B2469"/>
    <w:rsid w:val="002B2591"/>
    <w:rsid w:val="002B2A42"/>
    <w:rsid w:val="002B3238"/>
    <w:rsid w:val="002B3EAF"/>
    <w:rsid w:val="002B3FA0"/>
    <w:rsid w:val="002B5796"/>
    <w:rsid w:val="002B5F9E"/>
    <w:rsid w:val="002B656E"/>
    <w:rsid w:val="002B6B0B"/>
    <w:rsid w:val="002B6DB3"/>
    <w:rsid w:val="002B6E6C"/>
    <w:rsid w:val="002B7394"/>
    <w:rsid w:val="002B7ABE"/>
    <w:rsid w:val="002C0672"/>
    <w:rsid w:val="002C0EA8"/>
    <w:rsid w:val="002C127F"/>
    <w:rsid w:val="002C19EC"/>
    <w:rsid w:val="002C28EC"/>
    <w:rsid w:val="002C2B26"/>
    <w:rsid w:val="002C307E"/>
    <w:rsid w:val="002C3A74"/>
    <w:rsid w:val="002C3AC5"/>
    <w:rsid w:val="002C4B78"/>
    <w:rsid w:val="002C52DA"/>
    <w:rsid w:val="002C5750"/>
    <w:rsid w:val="002C597C"/>
    <w:rsid w:val="002C5FAA"/>
    <w:rsid w:val="002C60F7"/>
    <w:rsid w:val="002C6487"/>
    <w:rsid w:val="002C6EBE"/>
    <w:rsid w:val="002C7912"/>
    <w:rsid w:val="002C7E96"/>
    <w:rsid w:val="002C7F1F"/>
    <w:rsid w:val="002D1A1A"/>
    <w:rsid w:val="002D1F79"/>
    <w:rsid w:val="002D24B8"/>
    <w:rsid w:val="002D25F8"/>
    <w:rsid w:val="002D2AC5"/>
    <w:rsid w:val="002D2EBC"/>
    <w:rsid w:val="002D30CF"/>
    <w:rsid w:val="002D4285"/>
    <w:rsid w:val="002D6298"/>
    <w:rsid w:val="002D6434"/>
    <w:rsid w:val="002D65FE"/>
    <w:rsid w:val="002D6B4E"/>
    <w:rsid w:val="002D7010"/>
    <w:rsid w:val="002D74CD"/>
    <w:rsid w:val="002E0A9E"/>
    <w:rsid w:val="002E0FB9"/>
    <w:rsid w:val="002E1676"/>
    <w:rsid w:val="002E1E3B"/>
    <w:rsid w:val="002E2405"/>
    <w:rsid w:val="002E250C"/>
    <w:rsid w:val="002E2957"/>
    <w:rsid w:val="002E2ABA"/>
    <w:rsid w:val="002E313C"/>
    <w:rsid w:val="002E54B8"/>
    <w:rsid w:val="002E54DF"/>
    <w:rsid w:val="002E6141"/>
    <w:rsid w:val="002E664E"/>
    <w:rsid w:val="002E67B3"/>
    <w:rsid w:val="002E7181"/>
    <w:rsid w:val="002F0185"/>
    <w:rsid w:val="002F0467"/>
    <w:rsid w:val="002F04D6"/>
    <w:rsid w:val="002F0A52"/>
    <w:rsid w:val="002F0CD6"/>
    <w:rsid w:val="002F0F7C"/>
    <w:rsid w:val="002F1625"/>
    <w:rsid w:val="002F1FB0"/>
    <w:rsid w:val="002F2468"/>
    <w:rsid w:val="002F3886"/>
    <w:rsid w:val="002F3F07"/>
    <w:rsid w:val="002F4123"/>
    <w:rsid w:val="002F463C"/>
    <w:rsid w:val="002F496E"/>
    <w:rsid w:val="002F6CBA"/>
    <w:rsid w:val="002F6D64"/>
    <w:rsid w:val="002F72CE"/>
    <w:rsid w:val="002F7C24"/>
    <w:rsid w:val="002F7D4C"/>
    <w:rsid w:val="003005BC"/>
    <w:rsid w:val="003008BB"/>
    <w:rsid w:val="00300B6A"/>
    <w:rsid w:val="00301009"/>
    <w:rsid w:val="0030133E"/>
    <w:rsid w:val="003015FE"/>
    <w:rsid w:val="0030278A"/>
    <w:rsid w:val="00302B47"/>
    <w:rsid w:val="00303160"/>
    <w:rsid w:val="00303173"/>
    <w:rsid w:val="00303175"/>
    <w:rsid w:val="00303BB3"/>
    <w:rsid w:val="003041D0"/>
    <w:rsid w:val="00304FB6"/>
    <w:rsid w:val="003051E6"/>
    <w:rsid w:val="0030542F"/>
    <w:rsid w:val="00305C59"/>
    <w:rsid w:val="00305DB8"/>
    <w:rsid w:val="00306574"/>
    <w:rsid w:val="00306BE2"/>
    <w:rsid w:val="00307B84"/>
    <w:rsid w:val="00307BDA"/>
    <w:rsid w:val="00310919"/>
    <w:rsid w:val="003116CB"/>
    <w:rsid w:val="00311E52"/>
    <w:rsid w:val="00313053"/>
    <w:rsid w:val="00313150"/>
    <w:rsid w:val="003132B5"/>
    <w:rsid w:val="00313BCB"/>
    <w:rsid w:val="00314047"/>
    <w:rsid w:val="00314547"/>
    <w:rsid w:val="00314D4C"/>
    <w:rsid w:val="003150E9"/>
    <w:rsid w:val="003156A1"/>
    <w:rsid w:val="00315A62"/>
    <w:rsid w:val="00315AD2"/>
    <w:rsid w:val="00316986"/>
    <w:rsid w:val="00316D88"/>
    <w:rsid w:val="0031752E"/>
    <w:rsid w:val="003178ED"/>
    <w:rsid w:val="003179C1"/>
    <w:rsid w:val="00320194"/>
    <w:rsid w:val="0032020A"/>
    <w:rsid w:val="0032088A"/>
    <w:rsid w:val="00321871"/>
    <w:rsid w:val="00321CFC"/>
    <w:rsid w:val="0032254F"/>
    <w:rsid w:val="003232AD"/>
    <w:rsid w:val="003246A5"/>
    <w:rsid w:val="00324944"/>
    <w:rsid w:val="0032540D"/>
    <w:rsid w:val="00325D20"/>
    <w:rsid w:val="003276EF"/>
    <w:rsid w:val="0032799B"/>
    <w:rsid w:val="00327BDA"/>
    <w:rsid w:val="00327D58"/>
    <w:rsid w:val="00330355"/>
    <w:rsid w:val="00332554"/>
    <w:rsid w:val="00332CC7"/>
    <w:rsid w:val="003334D1"/>
    <w:rsid w:val="00333535"/>
    <w:rsid w:val="003336EE"/>
    <w:rsid w:val="00333F2F"/>
    <w:rsid w:val="00333F5B"/>
    <w:rsid w:val="00334320"/>
    <w:rsid w:val="00334F84"/>
    <w:rsid w:val="003352B7"/>
    <w:rsid w:val="00335C59"/>
    <w:rsid w:val="00335EB7"/>
    <w:rsid w:val="00336B22"/>
    <w:rsid w:val="003370C5"/>
    <w:rsid w:val="003370D9"/>
    <w:rsid w:val="003371E8"/>
    <w:rsid w:val="00337982"/>
    <w:rsid w:val="003404D7"/>
    <w:rsid w:val="0034135F"/>
    <w:rsid w:val="00341D88"/>
    <w:rsid w:val="00342943"/>
    <w:rsid w:val="00343DAF"/>
    <w:rsid w:val="00343F58"/>
    <w:rsid w:val="0034464E"/>
    <w:rsid w:val="00344962"/>
    <w:rsid w:val="003449D4"/>
    <w:rsid w:val="00344EEC"/>
    <w:rsid w:val="0034544E"/>
    <w:rsid w:val="00345CD7"/>
    <w:rsid w:val="00346071"/>
    <w:rsid w:val="00346942"/>
    <w:rsid w:val="003478BB"/>
    <w:rsid w:val="00347AAD"/>
    <w:rsid w:val="00347B3B"/>
    <w:rsid w:val="00347C33"/>
    <w:rsid w:val="0035067D"/>
    <w:rsid w:val="00350A09"/>
    <w:rsid w:val="003518E3"/>
    <w:rsid w:val="00351964"/>
    <w:rsid w:val="00353584"/>
    <w:rsid w:val="003550D0"/>
    <w:rsid w:val="00355BAD"/>
    <w:rsid w:val="003561A8"/>
    <w:rsid w:val="003561EF"/>
    <w:rsid w:val="00356644"/>
    <w:rsid w:val="00356B78"/>
    <w:rsid w:val="003575E3"/>
    <w:rsid w:val="003577A0"/>
    <w:rsid w:val="0036061F"/>
    <w:rsid w:val="003608F5"/>
    <w:rsid w:val="00360F67"/>
    <w:rsid w:val="0036158E"/>
    <w:rsid w:val="0036171C"/>
    <w:rsid w:val="003626B1"/>
    <w:rsid w:val="00362CCD"/>
    <w:rsid w:val="00362F77"/>
    <w:rsid w:val="00363275"/>
    <w:rsid w:val="00363D55"/>
    <w:rsid w:val="00363F3E"/>
    <w:rsid w:val="00364075"/>
    <w:rsid w:val="00364565"/>
    <w:rsid w:val="00364B05"/>
    <w:rsid w:val="003671BD"/>
    <w:rsid w:val="00367C58"/>
    <w:rsid w:val="00367ECB"/>
    <w:rsid w:val="003702BF"/>
    <w:rsid w:val="00371B2D"/>
    <w:rsid w:val="00371EE8"/>
    <w:rsid w:val="00372309"/>
    <w:rsid w:val="003725DE"/>
    <w:rsid w:val="0037375B"/>
    <w:rsid w:val="00374333"/>
    <w:rsid w:val="003743B2"/>
    <w:rsid w:val="0037489D"/>
    <w:rsid w:val="00374988"/>
    <w:rsid w:val="003749F4"/>
    <w:rsid w:val="00374F4F"/>
    <w:rsid w:val="003756F3"/>
    <w:rsid w:val="00375C19"/>
    <w:rsid w:val="003764E7"/>
    <w:rsid w:val="003764EB"/>
    <w:rsid w:val="00376784"/>
    <w:rsid w:val="00376956"/>
    <w:rsid w:val="00376F62"/>
    <w:rsid w:val="0037709E"/>
    <w:rsid w:val="00377338"/>
    <w:rsid w:val="00377678"/>
    <w:rsid w:val="00377A1B"/>
    <w:rsid w:val="00377C73"/>
    <w:rsid w:val="00377DC6"/>
    <w:rsid w:val="00380BCA"/>
    <w:rsid w:val="00380D87"/>
    <w:rsid w:val="0038118C"/>
    <w:rsid w:val="003815D0"/>
    <w:rsid w:val="00381A74"/>
    <w:rsid w:val="0038231C"/>
    <w:rsid w:val="00382939"/>
    <w:rsid w:val="00382A60"/>
    <w:rsid w:val="00383FD7"/>
    <w:rsid w:val="003846ED"/>
    <w:rsid w:val="003858D9"/>
    <w:rsid w:val="00385A0A"/>
    <w:rsid w:val="003866D0"/>
    <w:rsid w:val="0038671F"/>
    <w:rsid w:val="00386C41"/>
    <w:rsid w:val="00387224"/>
    <w:rsid w:val="00387803"/>
    <w:rsid w:val="0038794E"/>
    <w:rsid w:val="00390785"/>
    <w:rsid w:val="00390C1B"/>
    <w:rsid w:val="003915BC"/>
    <w:rsid w:val="0039210D"/>
    <w:rsid w:val="0039260F"/>
    <w:rsid w:val="00392C77"/>
    <w:rsid w:val="00392F37"/>
    <w:rsid w:val="00393B54"/>
    <w:rsid w:val="00394016"/>
    <w:rsid w:val="00394714"/>
    <w:rsid w:val="003947EA"/>
    <w:rsid w:val="0039576A"/>
    <w:rsid w:val="00395FFB"/>
    <w:rsid w:val="00396614"/>
    <w:rsid w:val="0039661A"/>
    <w:rsid w:val="0039799F"/>
    <w:rsid w:val="00397FAA"/>
    <w:rsid w:val="003A0835"/>
    <w:rsid w:val="003A0D15"/>
    <w:rsid w:val="003A127B"/>
    <w:rsid w:val="003A29C7"/>
    <w:rsid w:val="003A3411"/>
    <w:rsid w:val="003A36E5"/>
    <w:rsid w:val="003A36F9"/>
    <w:rsid w:val="003A3734"/>
    <w:rsid w:val="003A3EAB"/>
    <w:rsid w:val="003A4573"/>
    <w:rsid w:val="003A46FD"/>
    <w:rsid w:val="003A486D"/>
    <w:rsid w:val="003A5725"/>
    <w:rsid w:val="003A59C1"/>
    <w:rsid w:val="003A5E86"/>
    <w:rsid w:val="003A7434"/>
    <w:rsid w:val="003A7D00"/>
    <w:rsid w:val="003B0291"/>
    <w:rsid w:val="003B0662"/>
    <w:rsid w:val="003B0F9C"/>
    <w:rsid w:val="003B1125"/>
    <w:rsid w:val="003B13BE"/>
    <w:rsid w:val="003B1E3F"/>
    <w:rsid w:val="003B29B1"/>
    <w:rsid w:val="003B2AB7"/>
    <w:rsid w:val="003B3C67"/>
    <w:rsid w:val="003B5057"/>
    <w:rsid w:val="003B5A01"/>
    <w:rsid w:val="003B6C49"/>
    <w:rsid w:val="003B73BC"/>
    <w:rsid w:val="003B7519"/>
    <w:rsid w:val="003B7D58"/>
    <w:rsid w:val="003B7D82"/>
    <w:rsid w:val="003C01FD"/>
    <w:rsid w:val="003C0249"/>
    <w:rsid w:val="003C07CD"/>
    <w:rsid w:val="003C0C20"/>
    <w:rsid w:val="003C1344"/>
    <w:rsid w:val="003C15F2"/>
    <w:rsid w:val="003C2C56"/>
    <w:rsid w:val="003C3481"/>
    <w:rsid w:val="003C36B7"/>
    <w:rsid w:val="003C37D5"/>
    <w:rsid w:val="003C43B1"/>
    <w:rsid w:val="003C512A"/>
    <w:rsid w:val="003C534B"/>
    <w:rsid w:val="003C54CC"/>
    <w:rsid w:val="003C5630"/>
    <w:rsid w:val="003C5972"/>
    <w:rsid w:val="003C5D12"/>
    <w:rsid w:val="003C5E75"/>
    <w:rsid w:val="003C73A6"/>
    <w:rsid w:val="003C7FD7"/>
    <w:rsid w:val="003D005A"/>
    <w:rsid w:val="003D0B41"/>
    <w:rsid w:val="003D1C38"/>
    <w:rsid w:val="003D21CF"/>
    <w:rsid w:val="003D22EF"/>
    <w:rsid w:val="003D34F9"/>
    <w:rsid w:val="003D3BBC"/>
    <w:rsid w:val="003D41FC"/>
    <w:rsid w:val="003D49B0"/>
    <w:rsid w:val="003D49F8"/>
    <w:rsid w:val="003D5FD5"/>
    <w:rsid w:val="003D6D8D"/>
    <w:rsid w:val="003D7003"/>
    <w:rsid w:val="003D7467"/>
    <w:rsid w:val="003D77BE"/>
    <w:rsid w:val="003D79EC"/>
    <w:rsid w:val="003D7B43"/>
    <w:rsid w:val="003D7E1B"/>
    <w:rsid w:val="003E01CB"/>
    <w:rsid w:val="003E1684"/>
    <w:rsid w:val="003E2005"/>
    <w:rsid w:val="003E23FC"/>
    <w:rsid w:val="003E27C8"/>
    <w:rsid w:val="003E3474"/>
    <w:rsid w:val="003E47F3"/>
    <w:rsid w:val="003E5092"/>
    <w:rsid w:val="003E5162"/>
    <w:rsid w:val="003E53EC"/>
    <w:rsid w:val="003E5499"/>
    <w:rsid w:val="003E645A"/>
    <w:rsid w:val="003E6BE1"/>
    <w:rsid w:val="003F03C9"/>
    <w:rsid w:val="003F0D61"/>
    <w:rsid w:val="003F13F6"/>
    <w:rsid w:val="003F1B16"/>
    <w:rsid w:val="003F1BF9"/>
    <w:rsid w:val="003F20A0"/>
    <w:rsid w:val="003F2B65"/>
    <w:rsid w:val="003F2BAF"/>
    <w:rsid w:val="003F2D2F"/>
    <w:rsid w:val="003F2FB7"/>
    <w:rsid w:val="003F3096"/>
    <w:rsid w:val="003F3629"/>
    <w:rsid w:val="003F36BF"/>
    <w:rsid w:val="003F5501"/>
    <w:rsid w:val="003F5734"/>
    <w:rsid w:val="003F671D"/>
    <w:rsid w:val="003F67BC"/>
    <w:rsid w:val="003F69DD"/>
    <w:rsid w:val="003F6CDB"/>
    <w:rsid w:val="003F6DEC"/>
    <w:rsid w:val="003F76DF"/>
    <w:rsid w:val="003F7DA7"/>
    <w:rsid w:val="004003A0"/>
    <w:rsid w:val="00400430"/>
    <w:rsid w:val="00400E9B"/>
    <w:rsid w:val="004011E3"/>
    <w:rsid w:val="0040187F"/>
    <w:rsid w:val="00401B87"/>
    <w:rsid w:val="00401DA7"/>
    <w:rsid w:val="00402445"/>
    <w:rsid w:val="00402C0D"/>
    <w:rsid w:val="00402DFB"/>
    <w:rsid w:val="0040323C"/>
    <w:rsid w:val="0040379C"/>
    <w:rsid w:val="0040423D"/>
    <w:rsid w:val="00404436"/>
    <w:rsid w:val="00405091"/>
    <w:rsid w:val="00405239"/>
    <w:rsid w:val="004054E1"/>
    <w:rsid w:val="00406647"/>
    <w:rsid w:val="00410804"/>
    <w:rsid w:val="004108D9"/>
    <w:rsid w:val="00411122"/>
    <w:rsid w:val="0041181C"/>
    <w:rsid w:val="00411ADB"/>
    <w:rsid w:val="00411B8C"/>
    <w:rsid w:val="00411DA1"/>
    <w:rsid w:val="004124B0"/>
    <w:rsid w:val="00412685"/>
    <w:rsid w:val="00412C15"/>
    <w:rsid w:val="0041323F"/>
    <w:rsid w:val="00414914"/>
    <w:rsid w:val="00415350"/>
    <w:rsid w:val="004153D7"/>
    <w:rsid w:val="00420A0C"/>
    <w:rsid w:val="00420E0D"/>
    <w:rsid w:val="00420E85"/>
    <w:rsid w:val="00421183"/>
    <w:rsid w:val="00421CE9"/>
    <w:rsid w:val="00423670"/>
    <w:rsid w:val="00423CC6"/>
    <w:rsid w:val="00423D7C"/>
    <w:rsid w:val="00423E2C"/>
    <w:rsid w:val="0042410D"/>
    <w:rsid w:val="00424556"/>
    <w:rsid w:val="004246CB"/>
    <w:rsid w:val="00424A8A"/>
    <w:rsid w:val="00425327"/>
    <w:rsid w:val="00425C56"/>
    <w:rsid w:val="004267DB"/>
    <w:rsid w:val="0042744F"/>
    <w:rsid w:val="00427B88"/>
    <w:rsid w:val="00427E63"/>
    <w:rsid w:val="004305B2"/>
    <w:rsid w:val="00430B8C"/>
    <w:rsid w:val="00430CA3"/>
    <w:rsid w:val="00431E10"/>
    <w:rsid w:val="0043244A"/>
    <w:rsid w:val="00432F91"/>
    <w:rsid w:val="0043309D"/>
    <w:rsid w:val="00433FD7"/>
    <w:rsid w:val="00434354"/>
    <w:rsid w:val="0043454F"/>
    <w:rsid w:val="004349FF"/>
    <w:rsid w:val="00435B66"/>
    <w:rsid w:val="00435CB8"/>
    <w:rsid w:val="00435E20"/>
    <w:rsid w:val="00436628"/>
    <w:rsid w:val="00436ADF"/>
    <w:rsid w:val="00436B67"/>
    <w:rsid w:val="0044009D"/>
    <w:rsid w:val="004400EB"/>
    <w:rsid w:val="00440145"/>
    <w:rsid w:val="0044084D"/>
    <w:rsid w:val="00440D95"/>
    <w:rsid w:val="00441777"/>
    <w:rsid w:val="0044268B"/>
    <w:rsid w:val="00442835"/>
    <w:rsid w:val="00443142"/>
    <w:rsid w:val="00443436"/>
    <w:rsid w:val="00443821"/>
    <w:rsid w:val="00443B06"/>
    <w:rsid w:val="00443B38"/>
    <w:rsid w:val="00444881"/>
    <w:rsid w:val="00444937"/>
    <w:rsid w:val="00445CA7"/>
    <w:rsid w:val="00445D80"/>
    <w:rsid w:val="00446C76"/>
    <w:rsid w:val="004501E4"/>
    <w:rsid w:val="0045084C"/>
    <w:rsid w:val="00450F4C"/>
    <w:rsid w:val="00451704"/>
    <w:rsid w:val="00451975"/>
    <w:rsid w:val="00451A04"/>
    <w:rsid w:val="00451AA3"/>
    <w:rsid w:val="00451DA2"/>
    <w:rsid w:val="00452970"/>
    <w:rsid w:val="004535FB"/>
    <w:rsid w:val="004537AC"/>
    <w:rsid w:val="00453E17"/>
    <w:rsid w:val="00453F27"/>
    <w:rsid w:val="0045485C"/>
    <w:rsid w:val="00454C94"/>
    <w:rsid w:val="00454D19"/>
    <w:rsid w:val="00456054"/>
    <w:rsid w:val="0045654F"/>
    <w:rsid w:val="004567D3"/>
    <w:rsid w:val="00456BCC"/>
    <w:rsid w:val="00456C6B"/>
    <w:rsid w:val="00457A19"/>
    <w:rsid w:val="00460333"/>
    <w:rsid w:val="004608A6"/>
    <w:rsid w:val="00460DFE"/>
    <w:rsid w:val="00461C3D"/>
    <w:rsid w:val="00462777"/>
    <w:rsid w:val="0046307C"/>
    <w:rsid w:val="004636B7"/>
    <w:rsid w:val="00464455"/>
    <w:rsid w:val="00464502"/>
    <w:rsid w:val="004648B4"/>
    <w:rsid w:val="00464ACC"/>
    <w:rsid w:val="0046616E"/>
    <w:rsid w:val="00466C67"/>
    <w:rsid w:val="004673A8"/>
    <w:rsid w:val="0046799D"/>
    <w:rsid w:val="00467E01"/>
    <w:rsid w:val="004700A5"/>
    <w:rsid w:val="00470186"/>
    <w:rsid w:val="004703DA"/>
    <w:rsid w:val="00470B4D"/>
    <w:rsid w:val="00471699"/>
    <w:rsid w:val="004719D2"/>
    <w:rsid w:val="00471B8D"/>
    <w:rsid w:val="00471F03"/>
    <w:rsid w:val="00472277"/>
    <w:rsid w:val="00472585"/>
    <w:rsid w:val="004735CC"/>
    <w:rsid w:val="00473650"/>
    <w:rsid w:val="00474013"/>
    <w:rsid w:val="00474145"/>
    <w:rsid w:val="00474CE8"/>
    <w:rsid w:val="00474ECC"/>
    <w:rsid w:val="004752F8"/>
    <w:rsid w:val="00476A0D"/>
    <w:rsid w:val="00476BBA"/>
    <w:rsid w:val="0047717A"/>
    <w:rsid w:val="00477D83"/>
    <w:rsid w:val="00480C74"/>
    <w:rsid w:val="0048105F"/>
    <w:rsid w:val="004811B3"/>
    <w:rsid w:val="0048254C"/>
    <w:rsid w:val="00482BD0"/>
    <w:rsid w:val="00483435"/>
    <w:rsid w:val="004836F1"/>
    <w:rsid w:val="0048380E"/>
    <w:rsid w:val="004846A2"/>
    <w:rsid w:val="00485A70"/>
    <w:rsid w:val="004864A4"/>
    <w:rsid w:val="00486DAF"/>
    <w:rsid w:val="00487C4B"/>
    <w:rsid w:val="0049013E"/>
    <w:rsid w:val="00490237"/>
    <w:rsid w:val="00490602"/>
    <w:rsid w:val="00490BC8"/>
    <w:rsid w:val="00490CCD"/>
    <w:rsid w:val="00491B34"/>
    <w:rsid w:val="00491CDA"/>
    <w:rsid w:val="00492BFA"/>
    <w:rsid w:val="004932C2"/>
    <w:rsid w:val="00493A01"/>
    <w:rsid w:val="00493F7B"/>
    <w:rsid w:val="004941A2"/>
    <w:rsid w:val="00494801"/>
    <w:rsid w:val="00494BE5"/>
    <w:rsid w:val="00495163"/>
    <w:rsid w:val="00497104"/>
    <w:rsid w:val="00497284"/>
    <w:rsid w:val="004A1F9C"/>
    <w:rsid w:val="004A1FE2"/>
    <w:rsid w:val="004A2090"/>
    <w:rsid w:val="004A2C43"/>
    <w:rsid w:val="004A2C95"/>
    <w:rsid w:val="004A328E"/>
    <w:rsid w:val="004A331B"/>
    <w:rsid w:val="004A380A"/>
    <w:rsid w:val="004A38E5"/>
    <w:rsid w:val="004A3B8C"/>
    <w:rsid w:val="004A43A7"/>
    <w:rsid w:val="004A4A60"/>
    <w:rsid w:val="004A58EA"/>
    <w:rsid w:val="004A5FC8"/>
    <w:rsid w:val="004A6089"/>
    <w:rsid w:val="004A6393"/>
    <w:rsid w:val="004A68B3"/>
    <w:rsid w:val="004A6C0F"/>
    <w:rsid w:val="004A7D95"/>
    <w:rsid w:val="004B2583"/>
    <w:rsid w:val="004B2A60"/>
    <w:rsid w:val="004B2BC8"/>
    <w:rsid w:val="004B3F72"/>
    <w:rsid w:val="004B5BE5"/>
    <w:rsid w:val="004B6044"/>
    <w:rsid w:val="004B6D65"/>
    <w:rsid w:val="004B7015"/>
    <w:rsid w:val="004B707C"/>
    <w:rsid w:val="004B7AC3"/>
    <w:rsid w:val="004B7D7F"/>
    <w:rsid w:val="004C07FE"/>
    <w:rsid w:val="004C0DD4"/>
    <w:rsid w:val="004C1900"/>
    <w:rsid w:val="004C2348"/>
    <w:rsid w:val="004C2B37"/>
    <w:rsid w:val="004C3332"/>
    <w:rsid w:val="004C3412"/>
    <w:rsid w:val="004C34FB"/>
    <w:rsid w:val="004C3547"/>
    <w:rsid w:val="004C4147"/>
    <w:rsid w:val="004C51D4"/>
    <w:rsid w:val="004C553F"/>
    <w:rsid w:val="004C6033"/>
    <w:rsid w:val="004C63F0"/>
    <w:rsid w:val="004C6414"/>
    <w:rsid w:val="004C6670"/>
    <w:rsid w:val="004C69C7"/>
    <w:rsid w:val="004C6E88"/>
    <w:rsid w:val="004C7084"/>
    <w:rsid w:val="004C76C6"/>
    <w:rsid w:val="004C7730"/>
    <w:rsid w:val="004C797B"/>
    <w:rsid w:val="004C7F22"/>
    <w:rsid w:val="004D02A4"/>
    <w:rsid w:val="004D09AC"/>
    <w:rsid w:val="004D22A0"/>
    <w:rsid w:val="004D2BE9"/>
    <w:rsid w:val="004D38BE"/>
    <w:rsid w:val="004D4218"/>
    <w:rsid w:val="004D4A42"/>
    <w:rsid w:val="004D4DAE"/>
    <w:rsid w:val="004D5057"/>
    <w:rsid w:val="004D5508"/>
    <w:rsid w:val="004D63FD"/>
    <w:rsid w:val="004D6507"/>
    <w:rsid w:val="004D66E4"/>
    <w:rsid w:val="004D6EEE"/>
    <w:rsid w:val="004D7711"/>
    <w:rsid w:val="004D77A9"/>
    <w:rsid w:val="004D7A1C"/>
    <w:rsid w:val="004D7DF2"/>
    <w:rsid w:val="004E07BA"/>
    <w:rsid w:val="004E0BE7"/>
    <w:rsid w:val="004E0C0D"/>
    <w:rsid w:val="004E19B3"/>
    <w:rsid w:val="004E23E8"/>
    <w:rsid w:val="004E3B7A"/>
    <w:rsid w:val="004E500E"/>
    <w:rsid w:val="004E5E7C"/>
    <w:rsid w:val="004E6830"/>
    <w:rsid w:val="004E6B91"/>
    <w:rsid w:val="004E7198"/>
    <w:rsid w:val="004F035E"/>
    <w:rsid w:val="004F0596"/>
    <w:rsid w:val="004F09F1"/>
    <w:rsid w:val="004F0CFF"/>
    <w:rsid w:val="004F0DFE"/>
    <w:rsid w:val="004F113E"/>
    <w:rsid w:val="004F1744"/>
    <w:rsid w:val="004F18D1"/>
    <w:rsid w:val="004F2289"/>
    <w:rsid w:val="004F23C1"/>
    <w:rsid w:val="004F27E0"/>
    <w:rsid w:val="004F32D6"/>
    <w:rsid w:val="004F35D9"/>
    <w:rsid w:val="004F3A13"/>
    <w:rsid w:val="004F4F8D"/>
    <w:rsid w:val="004F4F9B"/>
    <w:rsid w:val="004F5B9C"/>
    <w:rsid w:val="004F5E99"/>
    <w:rsid w:val="004F604F"/>
    <w:rsid w:val="004F60AD"/>
    <w:rsid w:val="004F60CD"/>
    <w:rsid w:val="004F62DB"/>
    <w:rsid w:val="004F77CD"/>
    <w:rsid w:val="004F7B15"/>
    <w:rsid w:val="00500518"/>
    <w:rsid w:val="005007FD"/>
    <w:rsid w:val="00500906"/>
    <w:rsid w:val="00501291"/>
    <w:rsid w:val="005016A1"/>
    <w:rsid w:val="00501CA6"/>
    <w:rsid w:val="00502531"/>
    <w:rsid w:val="005026AA"/>
    <w:rsid w:val="005034EB"/>
    <w:rsid w:val="005035E4"/>
    <w:rsid w:val="00503CAB"/>
    <w:rsid w:val="00504C4A"/>
    <w:rsid w:val="005051E9"/>
    <w:rsid w:val="005063C6"/>
    <w:rsid w:val="00506EAA"/>
    <w:rsid w:val="0051006D"/>
    <w:rsid w:val="00510B0C"/>
    <w:rsid w:val="00510FCE"/>
    <w:rsid w:val="0051150D"/>
    <w:rsid w:val="005120D5"/>
    <w:rsid w:val="005128AA"/>
    <w:rsid w:val="00512C11"/>
    <w:rsid w:val="00512FC5"/>
    <w:rsid w:val="00513586"/>
    <w:rsid w:val="00513D38"/>
    <w:rsid w:val="005143DF"/>
    <w:rsid w:val="005148A3"/>
    <w:rsid w:val="005148EC"/>
    <w:rsid w:val="00514B1F"/>
    <w:rsid w:val="00515B68"/>
    <w:rsid w:val="00515B80"/>
    <w:rsid w:val="00516070"/>
    <w:rsid w:val="00516EF5"/>
    <w:rsid w:val="00517324"/>
    <w:rsid w:val="005178AE"/>
    <w:rsid w:val="00517A43"/>
    <w:rsid w:val="00517DD3"/>
    <w:rsid w:val="005207EC"/>
    <w:rsid w:val="00520E9B"/>
    <w:rsid w:val="00520F44"/>
    <w:rsid w:val="005211F0"/>
    <w:rsid w:val="00521261"/>
    <w:rsid w:val="005215C5"/>
    <w:rsid w:val="0052211D"/>
    <w:rsid w:val="005223A2"/>
    <w:rsid w:val="00522BEA"/>
    <w:rsid w:val="00523030"/>
    <w:rsid w:val="00523351"/>
    <w:rsid w:val="00523568"/>
    <w:rsid w:val="00523915"/>
    <w:rsid w:val="00524439"/>
    <w:rsid w:val="00525FEF"/>
    <w:rsid w:val="0052601D"/>
    <w:rsid w:val="005267C0"/>
    <w:rsid w:val="00526D76"/>
    <w:rsid w:val="00526FF0"/>
    <w:rsid w:val="005273CD"/>
    <w:rsid w:val="00527C39"/>
    <w:rsid w:val="00527DA6"/>
    <w:rsid w:val="005306AE"/>
    <w:rsid w:val="00530E1F"/>
    <w:rsid w:val="00531CCC"/>
    <w:rsid w:val="0053279A"/>
    <w:rsid w:val="0053341E"/>
    <w:rsid w:val="0053492C"/>
    <w:rsid w:val="00535443"/>
    <w:rsid w:val="00535C52"/>
    <w:rsid w:val="00535E7A"/>
    <w:rsid w:val="0053666C"/>
    <w:rsid w:val="005366DA"/>
    <w:rsid w:val="0053763A"/>
    <w:rsid w:val="0054024C"/>
    <w:rsid w:val="0054085C"/>
    <w:rsid w:val="00541D36"/>
    <w:rsid w:val="005421BA"/>
    <w:rsid w:val="00542AAC"/>
    <w:rsid w:val="00542DD6"/>
    <w:rsid w:val="005436CE"/>
    <w:rsid w:val="00543CBD"/>
    <w:rsid w:val="00544A05"/>
    <w:rsid w:val="00545012"/>
    <w:rsid w:val="00545034"/>
    <w:rsid w:val="00545C9C"/>
    <w:rsid w:val="00546953"/>
    <w:rsid w:val="005471B4"/>
    <w:rsid w:val="00547831"/>
    <w:rsid w:val="00547E0C"/>
    <w:rsid w:val="00547FD8"/>
    <w:rsid w:val="005508A8"/>
    <w:rsid w:val="0055103F"/>
    <w:rsid w:val="00551749"/>
    <w:rsid w:val="0055202F"/>
    <w:rsid w:val="00552584"/>
    <w:rsid w:val="005528DF"/>
    <w:rsid w:val="005534F2"/>
    <w:rsid w:val="005537FB"/>
    <w:rsid w:val="00553AB0"/>
    <w:rsid w:val="00553C7C"/>
    <w:rsid w:val="00554043"/>
    <w:rsid w:val="00554644"/>
    <w:rsid w:val="00554B9F"/>
    <w:rsid w:val="00554DF3"/>
    <w:rsid w:val="00555419"/>
    <w:rsid w:val="0055571F"/>
    <w:rsid w:val="00555E0C"/>
    <w:rsid w:val="005562A1"/>
    <w:rsid w:val="005568B5"/>
    <w:rsid w:val="005572B2"/>
    <w:rsid w:val="0055796D"/>
    <w:rsid w:val="0056053C"/>
    <w:rsid w:val="0056088A"/>
    <w:rsid w:val="00560D11"/>
    <w:rsid w:val="00561130"/>
    <w:rsid w:val="00561B76"/>
    <w:rsid w:val="00561FA0"/>
    <w:rsid w:val="00562338"/>
    <w:rsid w:val="005623CC"/>
    <w:rsid w:val="00562856"/>
    <w:rsid w:val="00562899"/>
    <w:rsid w:val="00562C66"/>
    <w:rsid w:val="00562FE6"/>
    <w:rsid w:val="005639C0"/>
    <w:rsid w:val="0056483C"/>
    <w:rsid w:val="0056508E"/>
    <w:rsid w:val="00565356"/>
    <w:rsid w:val="00565B57"/>
    <w:rsid w:val="00565FD1"/>
    <w:rsid w:val="00566335"/>
    <w:rsid w:val="005667BC"/>
    <w:rsid w:val="0056776F"/>
    <w:rsid w:val="0056794C"/>
    <w:rsid w:val="00567C20"/>
    <w:rsid w:val="00567C6F"/>
    <w:rsid w:val="00567E81"/>
    <w:rsid w:val="00570417"/>
    <w:rsid w:val="005713A5"/>
    <w:rsid w:val="00571F8F"/>
    <w:rsid w:val="0057258F"/>
    <w:rsid w:val="00573C57"/>
    <w:rsid w:val="00574208"/>
    <w:rsid w:val="00574F5A"/>
    <w:rsid w:val="00575630"/>
    <w:rsid w:val="0057574E"/>
    <w:rsid w:val="00575E7A"/>
    <w:rsid w:val="00576308"/>
    <w:rsid w:val="00576884"/>
    <w:rsid w:val="00577772"/>
    <w:rsid w:val="00580980"/>
    <w:rsid w:val="00580DF2"/>
    <w:rsid w:val="00581B39"/>
    <w:rsid w:val="00581B71"/>
    <w:rsid w:val="0058219D"/>
    <w:rsid w:val="00582BC4"/>
    <w:rsid w:val="00583102"/>
    <w:rsid w:val="00583199"/>
    <w:rsid w:val="005832D2"/>
    <w:rsid w:val="00583BCF"/>
    <w:rsid w:val="00583D1A"/>
    <w:rsid w:val="005855AC"/>
    <w:rsid w:val="00586401"/>
    <w:rsid w:val="00586576"/>
    <w:rsid w:val="00586F02"/>
    <w:rsid w:val="005903B8"/>
    <w:rsid w:val="005905A6"/>
    <w:rsid w:val="00591FB3"/>
    <w:rsid w:val="005920B2"/>
    <w:rsid w:val="005920DB"/>
    <w:rsid w:val="005923F7"/>
    <w:rsid w:val="00592745"/>
    <w:rsid w:val="00592D75"/>
    <w:rsid w:val="00593746"/>
    <w:rsid w:val="00593A49"/>
    <w:rsid w:val="00593A5F"/>
    <w:rsid w:val="00593DE4"/>
    <w:rsid w:val="00593EDA"/>
    <w:rsid w:val="00594063"/>
    <w:rsid w:val="00594462"/>
    <w:rsid w:val="00594C60"/>
    <w:rsid w:val="00596122"/>
    <w:rsid w:val="0059741B"/>
    <w:rsid w:val="00597B01"/>
    <w:rsid w:val="00597FC5"/>
    <w:rsid w:val="005A00D7"/>
    <w:rsid w:val="005A14C9"/>
    <w:rsid w:val="005A1EA8"/>
    <w:rsid w:val="005A21B6"/>
    <w:rsid w:val="005A2CFF"/>
    <w:rsid w:val="005A393E"/>
    <w:rsid w:val="005A4474"/>
    <w:rsid w:val="005A4A27"/>
    <w:rsid w:val="005A4C03"/>
    <w:rsid w:val="005A4F3E"/>
    <w:rsid w:val="005A53B7"/>
    <w:rsid w:val="005A70A0"/>
    <w:rsid w:val="005A763D"/>
    <w:rsid w:val="005A788C"/>
    <w:rsid w:val="005B010A"/>
    <w:rsid w:val="005B049E"/>
    <w:rsid w:val="005B0700"/>
    <w:rsid w:val="005B102F"/>
    <w:rsid w:val="005B116F"/>
    <w:rsid w:val="005B2178"/>
    <w:rsid w:val="005B297D"/>
    <w:rsid w:val="005B3659"/>
    <w:rsid w:val="005B3902"/>
    <w:rsid w:val="005B3DA0"/>
    <w:rsid w:val="005B433F"/>
    <w:rsid w:val="005B43FE"/>
    <w:rsid w:val="005B45D9"/>
    <w:rsid w:val="005B4734"/>
    <w:rsid w:val="005B4A5D"/>
    <w:rsid w:val="005B4CF6"/>
    <w:rsid w:val="005B4FDA"/>
    <w:rsid w:val="005B5B7C"/>
    <w:rsid w:val="005B5BC4"/>
    <w:rsid w:val="005B6F8B"/>
    <w:rsid w:val="005B749C"/>
    <w:rsid w:val="005B74BB"/>
    <w:rsid w:val="005B7664"/>
    <w:rsid w:val="005B77A1"/>
    <w:rsid w:val="005B7A5F"/>
    <w:rsid w:val="005C0D13"/>
    <w:rsid w:val="005C0E57"/>
    <w:rsid w:val="005C12EE"/>
    <w:rsid w:val="005C4C95"/>
    <w:rsid w:val="005C4F4A"/>
    <w:rsid w:val="005C5807"/>
    <w:rsid w:val="005C5976"/>
    <w:rsid w:val="005C609D"/>
    <w:rsid w:val="005C6857"/>
    <w:rsid w:val="005C68B5"/>
    <w:rsid w:val="005C6A30"/>
    <w:rsid w:val="005C7885"/>
    <w:rsid w:val="005D0886"/>
    <w:rsid w:val="005D0FB4"/>
    <w:rsid w:val="005D167B"/>
    <w:rsid w:val="005D1A7E"/>
    <w:rsid w:val="005D1E92"/>
    <w:rsid w:val="005D226B"/>
    <w:rsid w:val="005D22CF"/>
    <w:rsid w:val="005D241B"/>
    <w:rsid w:val="005D4002"/>
    <w:rsid w:val="005D47D5"/>
    <w:rsid w:val="005D638F"/>
    <w:rsid w:val="005D6822"/>
    <w:rsid w:val="005D6ABB"/>
    <w:rsid w:val="005E0675"/>
    <w:rsid w:val="005E0D49"/>
    <w:rsid w:val="005E0FCB"/>
    <w:rsid w:val="005E148B"/>
    <w:rsid w:val="005E17CC"/>
    <w:rsid w:val="005E1F87"/>
    <w:rsid w:val="005E2E3B"/>
    <w:rsid w:val="005E2F40"/>
    <w:rsid w:val="005E34F0"/>
    <w:rsid w:val="005E3D46"/>
    <w:rsid w:val="005E417B"/>
    <w:rsid w:val="005E458E"/>
    <w:rsid w:val="005E46D0"/>
    <w:rsid w:val="005E4C26"/>
    <w:rsid w:val="005E5447"/>
    <w:rsid w:val="005E57C7"/>
    <w:rsid w:val="005E5A20"/>
    <w:rsid w:val="005E60A8"/>
    <w:rsid w:val="005E6790"/>
    <w:rsid w:val="005E67AD"/>
    <w:rsid w:val="005E6976"/>
    <w:rsid w:val="005E772F"/>
    <w:rsid w:val="005E7815"/>
    <w:rsid w:val="005F09EF"/>
    <w:rsid w:val="005F0BD6"/>
    <w:rsid w:val="005F0E68"/>
    <w:rsid w:val="005F142F"/>
    <w:rsid w:val="005F1BE3"/>
    <w:rsid w:val="005F2B99"/>
    <w:rsid w:val="005F2FF6"/>
    <w:rsid w:val="005F3A33"/>
    <w:rsid w:val="005F3B1C"/>
    <w:rsid w:val="005F49C7"/>
    <w:rsid w:val="005F5622"/>
    <w:rsid w:val="005F5A01"/>
    <w:rsid w:val="005F5DBA"/>
    <w:rsid w:val="005F7557"/>
    <w:rsid w:val="00600D88"/>
    <w:rsid w:val="00600E83"/>
    <w:rsid w:val="006020D7"/>
    <w:rsid w:val="006021F1"/>
    <w:rsid w:val="0060226D"/>
    <w:rsid w:val="00602EFF"/>
    <w:rsid w:val="0060380E"/>
    <w:rsid w:val="00603D7C"/>
    <w:rsid w:val="0060445A"/>
    <w:rsid w:val="006048E4"/>
    <w:rsid w:val="006056CF"/>
    <w:rsid w:val="0060577B"/>
    <w:rsid w:val="00605BDD"/>
    <w:rsid w:val="00605E7B"/>
    <w:rsid w:val="006075BA"/>
    <w:rsid w:val="00607B56"/>
    <w:rsid w:val="00607D2E"/>
    <w:rsid w:val="00607E68"/>
    <w:rsid w:val="00607EEF"/>
    <w:rsid w:val="0061008B"/>
    <w:rsid w:val="00610D9D"/>
    <w:rsid w:val="006110BD"/>
    <w:rsid w:val="006115EC"/>
    <w:rsid w:val="00611EB6"/>
    <w:rsid w:val="00612C7E"/>
    <w:rsid w:val="00612E4C"/>
    <w:rsid w:val="006132E7"/>
    <w:rsid w:val="006138E3"/>
    <w:rsid w:val="00613A93"/>
    <w:rsid w:val="0061487C"/>
    <w:rsid w:val="006154B4"/>
    <w:rsid w:val="0061584A"/>
    <w:rsid w:val="0061601B"/>
    <w:rsid w:val="00616670"/>
    <w:rsid w:val="00617BAB"/>
    <w:rsid w:val="0062145D"/>
    <w:rsid w:val="0062173E"/>
    <w:rsid w:val="00621FDB"/>
    <w:rsid w:val="00622BB1"/>
    <w:rsid w:val="00623151"/>
    <w:rsid w:val="0062338B"/>
    <w:rsid w:val="00623E55"/>
    <w:rsid w:val="006246EC"/>
    <w:rsid w:val="00625FC8"/>
    <w:rsid w:val="00630713"/>
    <w:rsid w:val="00631B61"/>
    <w:rsid w:val="0063209C"/>
    <w:rsid w:val="006323F4"/>
    <w:rsid w:val="00632F89"/>
    <w:rsid w:val="006332BA"/>
    <w:rsid w:val="006333E6"/>
    <w:rsid w:val="00633792"/>
    <w:rsid w:val="00633EE5"/>
    <w:rsid w:val="00634F75"/>
    <w:rsid w:val="0063516C"/>
    <w:rsid w:val="0063522D"/>
    <w:rsid w:val="00635B39"/>
    <w:rsid w:val="00636D7A"/>
    <w:rsid w:val="006372C0"/>
    <w:rsid w:val="0063794D"/>
    <w:rsid w:val="0063797E"/>
    <w:rsid w:val="00637F83"/>
    <w:rsid w:val="00641384"/>
    <w:rsid w:val="00641CE2"/>
    <w:rsid w:val="006427EC"/>
    <w:rsid w:val="00642834"/>
    <w:rsid w:val="00642F2B"/>
    <w:rsid w:val="00643E9A"/>
    <w:rsid w:val="00644E4D"/>
    <w:rsid w:val="00646131"/>
    <w:rsid w:val="006464F2"/>
    <w:rsid w:val="006467B1"/>
    <w:rsid w:val="006471D5"/>
    <w:rsid w:val="0065006A"/>
    <w:rsid w:val="00650200"/>
    <w:rsid w:val="006505E3"/>
    <w:rsid w:val="00650A59"/>
    <w:rsid w:val="00651003"/>
    <w:rsid w:val="006512B6"/>
    <w:rsid w:val="00651D8F"/>
    <w:rsid w:val="00652030"/>
    <w:rsid w:val="0065231B"/>
    <w:rsid w:val="006526AF"/>
    <w:rsid w:val="00653001"/>
    <w:rsid w:val="006531A1"/>
    <w:rsid w:val="006538F9"/>
    <w:rsid w:val="00654E00"/>
    <w:rsid w:val="006555AE"/>
    <w:rsid w:val="00655BE0"/>
    <w:rsid w:val="00656C07"/>
    <w:rsid w:val="00656F51"/>
    <w:rsid w:val="00657B5A"/>
    <w:rsid w:val="00657F1D"/>
    <w:rsid w:val="00663B81"/>
    <w:rsid w:val="006641A7"/>
    <w:rsid w:val="006652B1"/>
    <w:rsid w:val="00665C9C"/>
    <w:rsid w:val="006662DE"/>
    <w:rsid w:val="00666D89"/>
    <w:rsid w:val="006670AC"/>
    <w:rsid w:val="006705A2"/>
    <w:rsid w:val="0067088E"/>
    <w:rsid w:val="00670D26"/>
    <w:rsid w:val="006710C5"/>
    <w:rsid w:val="00671536"/>
    <w:rsid w:val="00671B27"/>
    <w:rsid w:val="00672951"/>
    <w:rsid w:val="006737B9"/>
    <w:rsid w:val="00673A6D"/>
    <w:rsid w:val="006749F6"/>
    <w:rsid w:val="00675B02"/>
    <w:rsid w:val="0067629F"/>
    <w:rsid w:val="00676396"/>
    <w:rsid w:val="006765C2"/>
    <w:rsid w:val="00676CC7"/>
    <w:rsid w:val="006778F8"/>
    <w:rsid w:val="00677B34"/>
    <w:rsid w:val="00677D1E"/>
    <w:rsid w:val="006806FE"/>
    <w:rsid w:val="00680A5B"/>
    <w:rsid w:val="00681A83"/>
    <w:rsid w:val="006823B5"/>
    <w:rsid w:val="00682551"/>
    <w:rsid w:val="00683A81"/>
    <w:rsid w:val="00684A88"/>
    <w:rsid w:val="00684B2F"/>
    <w:rsid w:val="0068525C"/>
    <w:rsid w:val="0068557E"/>
    <w:rsid w:val="00686775"/>
    <w:rsid w:val="00686DBD"/>
    <w:rsid w:val="00687439"/>
    <w:rsid w:val="006876DA"/>
    <w:rsid w:val="00687840"/>
    <w:rsid w:val="00687B60"/>
    <w:rsid w:val="00687C9E"/>
    <w:rsid w:val="0069021C"/>
    <w:rsid w:val="00690255"/>
    <w:rsid w:val="00690BA6"/>
    <w:rsid w:val="00691F51"/>
    <w:rsid w:val="006926D9"/>
    <w:rsid w:val="00695179"/>
    <w:rsid w:val="006951CF"/>
    <w:rsid w:val="00695234"/>
    <w:rsid w:val="00695414"/>
    <w:rsid w:val="006956E7"/>
    <w:rsid w:val="00695A22"/>
    <w:rsid w:val="00695E1B"/>
    <w:rsid w:val="00696826"/>
    <w:rsid w:val="006968AF"/>
    <w:rsid w:val="0069695C"/>
    <w:rsid w:val="00696F1C"/>
    <w:rsid w:val="00697D06"/>
    <w:rsid w:val="006A0A4D"/>
    <w:rsid w:val="006A1ADE"/>
    <w:rsid w:val="006A26AB"/>
    <w:rsid w:val="006A27C7"/>
    <w:rsid w:val="006A3600"/>
    <w:rsid w:val="006A3965"/>
    <w:rsid w:val="006A49D0"/>
    <w:rsid w:val="006A532A"/>
    <w:rsid w:val="006A5DC1"/>
    <w:rsid w:val="006A5DDC"/>
    <w:rsid w:val="006A6413"/>
    <w:rsid w:val="006A6484"/>
    <w:rsid w:val="006A6997"/>
    <w:rsid w:val="006A7BC1"/>
    <w:rsid w:val="006A7E5B"/>
    <w:rsid w:val="006B01DE"/>
    <w:rsid w:val="006B03E4"/>
    <w:rsid w:val="006B0471"/>
    <w:rsid w:val="006B067C"/>
    <w:rsid w:val="006B0827"/>
    <w:rsid w:val="006B0CDE"/>
    <w:rsid w:val="006B1014"/>
    <w:rsid w:val="006B1173"/>
    <w:rsid w:val="006B13AF"/>
    <w:rsid w:val="006B1736"/>
    <w:rsid w:val="006B1A7D"/>
    <w:rsid w:val="006B2350"/>
    <w:rsid w:val="006B2715"/>
    <w:rsid w:val="006B2CD9"/>
    <w:rsid w:val="006B2E4F"/>
    <w:rsid w:val="006B31EB"/>
    <w:rsid w:val="006B3958"/>
    <w:rsid w:val="006B39D7"/>
    <w:rsid w:val="006B4825"/>
    <w:rsid w:val="006B4F37"/>
    <w:rsid w:val="006B57A7"/>
    <w:rsid w:val="006B5B25"/>
    <w:rsid w:val="006B5EB0"/>
    <w:rsid w:val="006B6035"/>
    <w:rsid w:val="006B65D3"/>
    <w:rsid w:val="006B7011"/>
    <w:rsid w:val="006C0338"/>
    <w:rsid w:val="006C03BA"/>
    <w:rsid w:val="006C03F7"/>
    <w:rsid w:val="006C0CB8"/>
    <w:rsid w:val="006C0E68"/>
    <w:rsid w:val="006C1E70"/>
    <w:rsid w:val="006C2B30"/>
    <w:rsid w:val="006C2DDF"/>
    <w:rsid w:val="006C2DE7"/>
    <w:rsid w:val="006C2F3F"/>
    <w:rsid w:val="006C3162"/>
    <w:rsid w:val="006C347A"/>
    <w:rsid w:val="006C36F9"/>
    <w:rsid w:val="006C3D6B"/>
    <w:rsid w:val="006C483E"/>
    <w:rsid w:val="006C49ED"/>
    <w:rsid w:val="006C5D0C"/>
    <w:rsid w:val="006C5F2F"/>
    <w:rsid w:val="006C61A2"/>
    <w:rsid w:val="006C68C5"/>
    <w:rsid w:val="006C6B99"/>
    <w:rsid w:val="006C7B8B"/>
    <w:rsid w:val="006C7CEE"/>
    <w:rsid w:val="006C7F1A"/>
    <w:rsid w:val="006D02B2"/>
    <w:rsid w:val="006D0490"/>
    <w:rsid w:val="006D0808"/>
    <w:rsid w:val="006D0E6A"/>
    <w:rsid w:val="006D14BB"/>
    <w:rsid w:val="006D14DB"/>
    <w:rsid w:val="006D1A72"/>
    <w:rsid w:val="006D1CE4"/>
    <w:rsid w:val="006D2341"/>
    <w:rsid w:val="006D25A1"/>
    <w:rsid w:val="006D2EF7"/>
    <w:rsid w:val="006D3A51"/>
    <w:rsid w:val="006D40DC"/>
    <w:rsid w:val="006D5B61"/>
    <w:rsid w:val="006D5DEF"/>
    <w:rsid w:val="006D61DD"/>
    <w:rsid w:val="006D62AF"/>
    <w:rsid w:val="006D64F5"/>
    <w:rsid w:val="006D65AC"/>
    <w:rsid w:val="006D6DFF"/>
    <w:rsid w:val="006D76D2"/>
    <w:rsid w:val="006D7900"/>
    <w:rsid w:val="006D7EF7"/>
    <w:rsid w:val="006E041D"/>
    <w:rsid w:val="006E09DA"/>
    <w:rsid w:val="006E0DE2"/>
    <w:rsid w:val="006E19A5"/>
    <w:rsid w:val="006E1D46"/>
    <w:rsid w:val="006E2FDE"/>
    <w:rsid w:val="006E375C"/>
    <w:rsid w:val="006E3938"/>
    <w:rsid w:val="006E3BCB"/>
    <w:rsid w:val="006E3F62"/>
    <w:rsid w:val="006E445E"/>
    <w:rsid w:val="006E4EF8"/>
    <w:rsid w:val="006E5676"/>
    <w:rsid w:val="006E6CA3"/>
    <w:rsid w:val="006E6D9F"/>
    <w:rsid w:val="006E7344"/>
    <w:rsid w:val="006F0356"/>
    <w:rsid w:val="006F051C"/>
    <w:rsid w:val="006F0A40"/>
    <w:rsid w:val="006F0CB0"/>
    <w:rsid w:val="006F1D81"/>
    <w:rsid w:val="006F23BC"/>
    <w:rsid w:val="006F2607"/>
    <w:rsid w:val="006F49C7"/>
    <w:rsid w:val="006F5631"/>
    <w:rsid w:val="006F716B"/>
    <w:rsid w:val="006F76EB"/>
    <w:rsid w:val="006F7C3D"/>
    <w:rsid w:val="006F7D49"/>
    <w:rsid w:val="0070043B"/>
    <w:rsid w:val="0070067F"/>
    <w:rsid w:val="00700A65"/>
    <w:rsid w:val="00700DCC"/>
    <w:rsid w:val="00702103"/>
    <w:rsid w:val="00702E0C"/>
    <w:rsid w:val="0070354F"/>
    <w:rsid w:val="0070534A"/>
    <w:rsid w:val="00705A64"/>
    <w:rsid w:val="00705B95"/>
    <w:rsid w:val="00706145"/>
    <w:rsid w:val="007061B7"/>
    <w:rsid w:val="00706D0E"/>
    <w:rsid w:val="0070755B"/>
    <w:rsid w:val="00707B27"/>
    <w:rsid w:val="00707D94"/>
    <w:rsid w:val="00710B5C"/>
    <w:rsid w:val="00711147"/>
    <w:rsid w:val="007113C4"/>
    <w:rsid w:val="00711756"/>
    <w:rsid w:val="00711C2B"/>
    <w:rsid w:val="00712C31"/>
    <w:rsid w:val="00712F20"/>
    <w:rsid w:val="007132C8"/>
    <w:rsid w:val="0071397E"/>
    <w:rsid w:val="007139DE"/>
    <w:rsid w:val="00713BA0"/>
    <w:rsid w:val="00714100"/>
    <w:rsid w:val="007145E7"/>
    <w:rsid w:val="00714702"/>
    <w:rsid w:val="00714725"/>
    <w:rsid w:val="00715124"/>
    <w:rsid w:val="007152A2"/>
    <w:rsid w:val="00715FB4"/>
    <w:rsid w:val="0071671E"/>
    <w:rsid w:val="007168FA"/>
    <w:rsid w:val="00717241"/>
    <w:rsid w:val="0071744D"/>
    <w:rsid w:val="0071768C"/>
    <w:rsid w:val="00717C9D"/>
    <w:rsid w:val="00720E3D"/>
    <w:rsid w:val="00721047"/>
    <w:rsid w:val="00721410"/>
    <w:rsid w:val="00721701"/>
    <w:rsid w:val="00721831"/>
    <w:rsid w:val="00722080"/>
    <w:rsid w:val="00722857"/>
    <w:rsid w:val="007231FE"/>
    <w:rsid w:val="007239B0"/>
    <w:rsid w:val="00724420"/>
    <w:rsid w:val="007248CE"/>
    <w:rsid w:val="00724922"/>
    <w:rsid w:val="0072493A"/>
    <w:rsid w:val="00724940"/>
    <w:rsid w:val="0072539C"/>
    <w:rsid w:val="007266BA"/>
    <w:rsid w:val="0072732B"/>
    <w:rsid w:val="00730AF8"/>
    <w:rsid w:val="00731B81"/>
    <w:rsid w:val="0073261F"/>
    <w:rsid w:val="00733241"/>
    <w:rsid w:val="00733EE0"/>
    <w:rsid w:val="00734222"/>
    <w:rsid w:val="00734D88"/>
    <w:rsid w:val="007366AF"/>
    <w:rsid w:val="00737031"/>
    <w:rsid w:val="00737586"/>
    <w:rsid w:val="007375BE"/>
    <w:rsid w:val="007379AC"/>
    <w:rsid w:val="0074076C"/>
    <w:rsid w:val="0074097F"/>
    <w:rsid w:val="00740C27"/>
    <w:rsid w:val="00740DC1"/>
    <w:rsid w:val="00740E22"/>
    <w:rsid w:val="00741359"/>
    <w:rsid w:val="007423AB"/>
    <w:rsid w:val="0074458D"/>
    <w:rsid w:val="00744876"/>
    <w:rsid w:val="00745330"/>
    <w:rsid w:val="00745AC6"/>
    <w:rsid w:val="00745E61"/>
    <w:rsid w:val="00745E80"/>
    <w:rsid w:val="00745F59"/>
    <w:rsid w:val="00747CFA"/>
    <w:rsid w:val="00747D96"/>
    <w:rsid w:val="00750396"/>
    <w:rsid w:val="00750511"/>
    <w:rsid w:val="00750658"/>
    <w:rsid w:val="00751A0F"/>
    <w:rsid w:val="00751BA9"/>
    <w:rsid w:val="00751C8B"/>
    <w:rsid w:val="00752059"/>
    <w:rsid w:val="00752421"/>
    <w:rsid w:val="007526EF"/>
    <w:rsid w:val="007534DA"/>
    <w:rsid w:val="00753A27"/>
    <w:rsid w:val="007541E5"/>
    <w:rsid w:val="0075473D"/>
    <w:rsid w:val="00754AF1"/>
    <w:rsid w:val="00754F5C"/>
    <w:rsid w:val="00755A97"/>
    <w:rsid w:val="0075600C"/>
    <w:rsid w:val="00756A66"/>
    <w:rsid w:val="00757136"/>
    <w:rsid w:val="007606A3"/>
    <w:rsid w:val="0076135C"/>
    <w:rsid w:val="00761C37"/>
    <w:rsid w:val="0076251E"/>
    <w:rsid w:val="007627BB"/>
    <w:rsid w:val="00762B26"/>
    <w:rsid w:val="00762ECF"/>
    <w:rsid w:val="007630BA"/>
    <w:rsid w:val="00763128"/>
    <w:rsid w:val="00764366"/>
    <w:rsid w:val="00764547"/>
    <w:rsid w:val="0076459E"/>
    <w:rsid w:val="0076497C"/>
    <w:rsid w:val="00764F79"/>
    <w:rsid w:val="00765793"/>
    <w:rsid w:val="0076688C"/>
    <w:rsid w:val="00766A2C"/>
    <w:rsid w:val="00767C75"/>
    <w:rsid w:val="00767D04"/>
    <w:rsid w:val="00770BEC"/>
    <w:rsid w:val="00770DF7"/>
    <w:rsid w:val="00771265"/>
    <w:rsid w:val="00772215"/>
    <w:rsid w:val="00772402"/>
    <w:rsid w:val="007729D8"/>
    <w:rsid w:val="00772BA2"/>
    <w:rsid w:val="00772CD2"/>
    <w:rsid w:val="007732B3"/>
    <w:rsid w:val="0077337C"/>
    <w:rsid w:val="007738BE"/>
    <w:rsid w:val="00774631"/>
    <w:rsid w:val="00775563"/>
    <w:rsid w:val="00775CBE"/>
    <w:rsid w:val="0077681B"/>
    <w:rsid w:val="0077726C"/>
    <w:rsid w:val="00777413"/>
    <w:rsid w:val="00777D39"/>
    <w:rsid w:val="0078041D"/>
    <w:rsid w:val="0078146B"/>
    <w:rsid w:val="00782DEE"/>
    <w:rsid w:val="0078300F"/>
    <w:rsid w:val="0078317A"/>
    <w:rsid w:val="007837EE"/>
    <w:rsid w:val="00784628"/>
    <w:rsid w:val="00784CD6"/>
    <w:rsid w:val="00785B01"/>
    <w:rsid w:val="00787515"/>
    <w:rsid w:val="0079082C"/>
    <w:rsid w:val="0079126F"/>
    <w:rsid w:val="00791481"/>
    <w:rsid w:val="00791C82"/>
    <w:rsid w:val="00791DEE"/>
    <w:rsid w:val="007922D2"/>
    <w:rsid w:val="007936A8"/>
    <w:rsid w:val="00794044"/>
    <w:rsid w:val="00794083"/>
    <w:rsid w:val="00794145"/>
    <w:rsid w:val="00794D0F"/>
    <w:rsid w:val="007969B1"/>
    <w:rsid w:val="007969E8"/>
    <w:rsid w:val="007976F8"/>
    <w:rsid w:val="00797D7E"/>
    <w:rsid w:val="007A0326"/>
    <w:rsid w:val="007A06B9"/>
    <w:rsid w:val="007A07DC"/>
    <w:rsid w:val="007A0CB8"/>
    <w:rsid w:val="007A1246"/>
    <w:rsid w:val="007A1560"/>
    <w:rsid w:val="007A1710"/>
    <w:rsid w:val="007A183C"/>
    <w:rsid w:val="007A2434"/>
    <w:rsid w:val="007A2FA5"/>
    <w:rsid w:val="007A3C5F"/>
    <w:rsid w:val="007A3E83"/>
    <w:rsid w:val="007A4254"/>
    <w:rsid w:val="007A47E1"/>
    <w:rsid w:val="007A4981"/>
    <w:rsid w:val="007A5992"/>
    <w:rsid w:val="007A5D40"/>
    <w:rsid w:val="007A63F6"/>
    <w:rsid w:val="007A6943"/>
    <w:rsid w:val="007A7AE1"/>
    <w:rsid w:val="007B007B"/>
    <w:rsid w:val="007B1122"/>
    <w:rsid w:val="007B1F00"/>
    <w:rsid w:val="007B221F"/>
    <w:rsid w:val="007B2428"/>
    <w:rsid w:val="007B3654"/>
    <w:rsid w:val="007B4806"/>
    <w:rsid w:val="007B4FBC"/>
    <w:rsid w:val="007B7138"/>
    <w:rsid w:val="007B73AA"/>
    <w:rsid w:val="007B770B"/>
    <w:rsid w:val="007B7735"/>
    <w:rsid w:val="007C0FEA"/>
    <w:rsid w:val="007C1079"/>
    <w:rsid w:val="007C13EF"/>
    <w:rsid w:val="007C210A"/>
    <w:rsid w:val="007C215A"/>
    <w:rsid w:val="007C218E"/>
    <w:rsid w:val="007C250F"/>
    <w:rsid w:val="007C32B8"/>
    <w:rsid w:val="007C38B3"/>
    <w:rsid w:val="007C4090"/>
    <w:rsid w:val="007C4A0F"/>
    <w:rsid w:val="007C50F0"/>
    <w:rsid w:val="007C538A"/>
    <w:rsid w:val="007C7229"/>
    <w:rsid w:val="007C7CD6"/>
    <w:rsid w:val="007D178C"/>
    <w:rsid w:val="007D1FA9"/>
    <w:rsid w:val="007D2344"/>
    <w:rsid w:val="007D271D"/>
    <w:rsid w:val="007D27D5"/>
    <w:rsid w:val="007D2D62"/>
    <w:rsid w:val="007D2ECC"/>
    <w:rsid w:val="007D2FF5"/>
    <w:rsid w:val="007D316D"/>
    <w:rsid w:val="007D3700"/>
    <w:rsid w:val="007D49E4"/>
    <w:rsid w:val="007D4DEF"/>
    <w:rsid w:val="007D5746"/>
    <w:rsid w:val="007D57AE"/>
    <w:rsid w:val="007E1CB9"/>
    <w:rsid w:val="007E1FF4"/>
    <w:rsid w:val="007E2A25"/>
    <w:rsid w:val="007E3B2E"/>
    <w:rsid w:val="007E47AE"/>
    <w:rsid w:val="007E5A57"/>
    <w:rsid w:val="007E5B79"/>
    <w:rsid w:val="007E616E"/>
    <w:rsid w:val="007E705A"/>
    <w:rsid w:val="007E7084"/>
    <w:rsid w:val="007E710D"/>
    <w:rsid w:val="007E72C5"/>
    <w:rsid w:val="007E7E1F"/>
    <w:rsid w:val="007F03DA"/>
    <w:rsid w:val="007F0734"/>
    <w:rsid w:val="007F1ADC"/>
    <w:rsid w:val="007F2CBA"/>
    <w:rsid w:val="007F4337"/>
    <w:rsid w:val="007F49AB"/>
    <w:rsid w:val="007F4C71"/>
    <w:rsid w:val="007F4FCB"/>
    <w:rsid w:val="007F549E"/>
    <w:rsid w:val="007F5697"/>
    <w:rsid w:val="007F5FBD"/>
    <w:rsid w:val="007F6393"/>
    <w:rsid w:val="007F707F"/>
    <w:rsid w:val="007F75D0"/>
    <w:rsid w:val="007F782C"/>
    <w:rsid w:val="007F7F1F"/>
    <w:rsid w:val="0080007B"/>
    <w:rsid w:val="0080079B"/>
    <w:rsid w:val="00800B1B"/>
    <w:rsid w:val="008010F6"/>
    <w:rsid w:val="008013B3"/>
    <w:rsid w:val="00801B4E"/>
    <w:rsid w:val="00801B6B"/>
    <w:rsid w:val="00801F5B"/>
    <w:rsid w:val="0080375D"/>
    <w:rsid w:val="00803D18"/>
    <w:rsid w:val="00804A59"/>
    <w:rsid w:val="00804FDF"/>
    <w:rsid w:val="0080523A"/>
    <w:rsid w:val="008060B4"/>
    <w:rsid w:val="00807960"/>
    <w:rsid w:val="008104BA"/>
    <w:rsid w:val="00810B93"/>
    <w:rsid w:val="00810BB2"/>
    <w:rsid w:val="00810BC6"/>
    <w:rsid w:val="00810CCE"/>
    <w:rsid w:val="0081141C"/>
    <w:rsid w:val="00811E21"/>
    <w:rsid w:val="00811F99"/>
    <w:rsid w:val="00812A07"/>
    <w:rsid w:val="0081319C"/>
    <w:rsid w:val="008135C6"/>
    <w:rsid w:val="00813BE3"/>
    <w:rsid w:val="0081487D"/>
    <w:rsid w:val="00814C08"/>
    <w:rsid w:val="00814E9E"/>
    <w:rsid w:val="00815A57"/>
    <w:rsid w:val="00815BA8"/>
    <w:rsid w:val="00816B61"/>
    <w:rsid w:val="00817AD9"/>
    <w:rsid w:val="008205D1"/>
    <w:rsid w:val="0082252D"/>
    <w:rsid w:val="00822DE3"/>
    <w:rsid w:val="008233B6"/>
    <w:rsid w:val="00823458"/>
    <w:rsid w:val="008237C6"/>
    <w:rsid w:val="00823B07"/>
    <w:rsid w:val="00824698"/>
    <w:rsid w:val="00824ACE"/>
    <w:rsid w:val="00824B01"/>
    <w:rsid w:val="00824FBA"/>
    <w:rsid w:val="0082560F"/>
    <w:rsid w:val="00826BA4"/>
    <w:rsid w:val="00826F55"/>
    <w:rsid w:val="00827527"/>
    <w:rsid w:val="008276C9"/>
    <w:rsid w:val="008301A5"/>
    <w:rsid w:val="0083036E"/>
    <w:rsid w:val="008307F3"/>
    <w:rsid w:val="00830982"/>
    <w:rsid w:val="0083123C"/>
    <w:rsid w:val="0083136E"/>
    <w:rsid w:val="00831D2F"/>
    <w:rsid w:val="00831E86"/>
    <w:rsid w:val="008327F9"/>
    <w:rsid w:val="00833DA2"/>
    <w:rsid w:val="0083469E"/>
    <w:rsid w:val="0083472D"/>
    <w:rsid w:val="00835225"/>
    <w:rsid w:val="00835372"/>
    <w:rsid w:val="00835FE6"/>
    <w:rsid w:val="0083624B"/>
    <w:rsid w:val="0083648C"/>
    <w:rsid w:val="00836C68"/>
    <w:rsid w:val="00837FA6"/>
    <w:rsid w:val="00842E08"/>
    <w:rsid w:val="00842EEC"/>
    <w:rsid w:val="008433D2"/>
    <w:rsid w:val="008438E4"/>
    <w:rsid w:val="008442A3"/>
    <w:rsid w:val="008442FA"/>
    <w:rsid w:val="008447DA"/>
    <w:rsid w:val="00844E65"/>
    <w:rsid w:val="00845093"/>
    <w:rsid w:val="00846AE0"/>
    <w:rsid w:val="00847A6D"/>
    <w:rsid w:val="00847E3A"/>
    <w:rsid w:val="00847EED"/>
    <w:rsid w:val="008509E9"/>
    <w:rsid w:val="00850CF9"/>
    <w:rsid w:val="0085126C"/>
    <w:rsid w:val="00851612"/>
    <w:rsid w:val="0085168E"/>
    <w:rsid w:val="008517E3"/>
    <w:rsid w:val="00851959"/>
    <w:rsid w:val="00851C80"/>
    <w:rsid w:val="00851CC2"/>
    <w:rsid w:val="00852524"/>
    <w:rsid w:val="008529C9"/>
    <w:rsid w:val="00852DD8"/>
    <w:rsid w:val="00853300"/>
    <w:rsid w:val="00853E50"/>
    <w:rsid w:val="00854632"/>
    <w:rsid w:val="00854A70"/>
    <w:rsid w:val="00854C0A"/>
    <w:rsid w:val="00854DB8"/>
    <w:rsid w:val="00854EBA"/>
    <w:rsid w:val="0085585F"/>
    <w:rsid w:val="00856941"/>
    <w:rsid w:val="00856953"/>
    <w:rsid w:val="00857062"/>
    <w:rsid w:val="00860048"/>
    <w:rsid w:val="008605E8"/>
    <w:rsid w:val="008610EC"/>
    <w:rsid w:val="0086134D"/>
    <w:rsid w:val="0086135B"/>
    <w:rsid w:val="008619B3"/>
    <w:rsid w:val="00862394"/>
    <w:rsid w:val="0086271E"/>
    <w:rsid w:val="0086290A"/>
    <w:rsid w:val="00863A2A"/>
    <w:rsid w:val="00863FA1"/>
    <w:rsid w:val="0086425A"/>
    <w:rsid w:val="0086429D"/>
    <w:rsid w:val="0086483B"/>
    <w:rsid w:val="00864DA7"/>
    <w:rsid w:val="00865008"/>
    <w:rsid w:val="0086572D"/>
    <w:rsid w:val="008657A1"/>
    <w:rsid w:val="00865CAA"/>
    <w:rsid w:val="00866C91"/>
    <w:rsid w:val="00867399"/>
    <w:rsid w:val="00867C47"/>
    <w:rsid w:val="00870031"/>
    <w:rsid w:val="00870C9C"/>
    <w:rsid w:val="00872AF9"/>
    <w:rsid w:val="008734E3"/>
    <w:rsid w:val="00873699"/>
    <w:rsid w:val="00873BC6"/>
    <w:rsid w:val="0087404E"/>
    <w:rsid w:val="0087407C"/>
    <w:rsid w:val="0087470C"/>
    <w:rsid w:val="0087493C"/>
    <w:rsid w:val="0087494C"/>
    <w:rsid w:val="00874DB8"/>
    <w:rsid w:val="00876078"/>
    <w:rsid w:val="00876589"/>
    <w:rsid w:val="0087666D"/>
    <w:rsid w:val="008769EF"/>
    <w:rsid w:val="00877880"/>
    <w:rsid w:val="00881EC0"/>
    <w:rsid w:val="00883308"/>
    <w:rsid w:val="008837EA"/>
    <w:rsid w:val="0088399C"/>
    <w:rsid w:val="00883F59"/>
    <w:rsid w:val="00884513"/>
    <w:rsid w:val="008853AE"/>
    <w:rsid w:val="00885C09"/>
    <w:rsid w:val="008873BF"/>
    <w:rsid w:val="008876DB"/>
    <w:rsid w:val="00887798"/>
    <w:rsid w:val="00887CE6"/>
    <w:rsid w:val="00887D3C"/>
    <w:rsid w:val="008907B1"/>
    <w:rsid w:val="00890B0D"/>
    <w:rsid w:val="00890D4E"/>
    <w:rsid w:val="00891919"/>
    <w:rsid w:val="00891C47"/>
    <w:rsid w:val="00892434"/>
    <w:rsid w:val="00893312"/>
    <w:rsid w:val="00893863"/>
    <w:rsid w:val="00893CA9"/>
    <w:rsid w:val="008950AD"/>
    <w:rsid w:val="0089526F"/>
    <w:rsid w:val="00895AB2"/>
    <w:rsid w:val="0089656E"/>
    <w:rsid w:val="008A00DE"/>
    <w:rsid w:val="008A01E7"/>
    <w:rsid w:val="008A05A7"/>
    <w:rsid w:val="008A0D4C"/>
    <w:rsid w:val="008A230C"/>
    <w:rsid w:val="008A2805"/>
    <w:rsid w:val="008A2B84"/>
    <w:rsid w:val="008A2C82"/>
    <w:rsid w:val="008A3550"/>
    <w:rsid w:val="008A39D6"/>
    <w:rsid w:val="008A48F4"/>
    <w:rsid w:val="008A5C86"/>
    <w:rsid w:val="008A66AA"/>
    <w:rsid w:val="008A69CC"/>
    <w:rsid w:val="008A69F5"/>
    <w:rsid w:val="008A7477"/>
    <w:rsid w:val="008A7D68"/>
    <w:rsid w:val="008B0C32"/>
    <w:rsid w:val="008B151F"/>
    <w:rsid w:val="008B215B"/>
    <w:rsid w:val="008B26D0"/>
    <w:rsid w:val="008B2AFD"/>
    <w:rsid w:val="008B2E69"/>
    <w:rsid w:val="008B350B"/>
    <w:rsid w:val="008B3A99"/>
    <w:rsid w:val="008B44E4"/>
    <w:rsid w:val="008B5008"/>
    <w:rsid w:val="008B52E3"/>
    <w:rsid w:val="008B5C03"/>
    <w:rsid w:val="008B5EC3"/>
    <w:rsid w:val="008B6784"/>
    <w:rsid w:val="008B68CD"/>
    <w:rsid w:val="008B7234"/>
    <w:rsid w:val="008B73BC"/>
    <w:rsid w:val="008B73C2"/>
    <w:rsid w:val="008B761D"/>
    <w:rsid w:val="008B7A71"/>
    <w:rsid w:val="008C02DE"/>
    <w:rsid w:val="008C07F8"/>
    <w:rsid w:val="008C174D"/>
    <w:rsid w:val="008C1DAA"/>
    <w:rsid w:val="008C2FFF"/>
    <w:rsid w:val="008C358D"/>
    <w:rsid w:val="008C3832"/>
    <w:rsid w:val="008C38D0"/>
    <w:rsid w:val="008C3DAC"/>
    <w:rsid w:val="008C57F1"/>
    <w:rsid w:val="008C5E85"/>
    <w:rsid w:val="008C5F71"/>
    <w:rsid w:val="008C63EA"/>
    <w:rsid w:val="008C6BAB"/>
    <w:rsid w:val="008C6F26"/>
    <w:rsid w:val="008C7179"/>
    <w:rsid w:val="008C73DD"/>
    <w:rsid w:val="008C7536"/>
    <w:rsid w:val="008C7761"/>
    <w:rsid w:val="008C78F2"/>
    <w:rsid w:val="008C7F87"/>
    <w:rsid w:val="008D0581"/>
    <w:rsid w:val="008D0BC1"/>
    <w:rsid w:val="008D1368"/>
    <w:rsid w:val="008D16D5"/>
    <w:rsid w:val="008D1BDB"/>
    <w:rsid w:val="008D2109"/>
    <w:rsid w:val="008D25B5"/>
    <w:rsid w:val="008D25EC"/>
    <w:rsid w:val="008D2A88"/>
    <w:rsid w:val="008D35C0"/>
    <w:rsid w:val="008D4627"/>
    <w:rsid w:val="008D4696"/>
    <w:rsid w:val="008D473B"/>
    <w:rsid w:val="008D4982"/>
    <w:rsid w:val="008D615F"/>
    <w:rsid w:val="008D6218"/>
    <w:rsid w:val="008D757C"/>
    <w:rsid w:val="008D771D"/>
    <w:rsid w:val="008D7FC3"/>
    <w:rsid w:val="008E0601"/>
    <w:rsid w:val="008E1024"/>
    <w:rsid w:val="008E23B6"/>
    <w:rsid w:val="008E336F"/>
    <w:rsid w:val="008E3450"/>
    <w:rsid w:val="008E3667"/>
    <w:rsid w:val="008E39A6"/>
    <w:rsid w:val="008E3F42"/>
    <w:rsid w:val="008E40FA"/>
    <w:rsid w:val="008E434B"/>
    <w:rsid w:val="008E4370"/>
    <w:rsid w:val="008E475D"/>
    <w:rsid w:val="008E47A4"/>
    <w:rsid w:val="008E5238"/>
    <w:rsid w:val="008E531F"/>
    <w:rsid w:val="008E5F91"/>
    <w:rsid w:val="008E5FF8"/>
    <w:rsid w:val="008E6105"/>
    <w:rsid w:val="008E6403"/>
    <w:rsid w:val="008E6545"/>
    <w:rsid w:val="008E6D48"/>
    <w:rsid w:val="008E73C9"/>
    <w:rsid w:val="008F03ED"/>
    <w:rsid w:val="008F0943"/>
    <w:rsid w:val="008F157E"/>
    <w:rsid w:val="008F2497"/>
    <w:rsid w:val="008F2EF0"/>
    <w:rsid w:val="008F46A5"/>
    <w:rsid w:val="008F4855"/>
    <w:rsid w:val="008F54A0"/>
    <w:rsid w:val="008F6195"/>
    <w:rsid w:val="008F63B5"/>
    <w:rsid w:val="00900135"/>
    <w:rsid w:val="00900C1D"/>
    <w:rsid w:val="00900C61"/>
    <w:rsid w:val="00901358"/>
    <w:rsid w:val="0090188F"/>
    <w:rsid w:val="00902960"/>
    <w:rsid w:val="009029BF"/>
    <w:rsid w:val="00902E69"/>
    <w:rsid w:val="0090306F"/>
    <w:rsid w:val="00903A0C"/>
    <w:rsid w:val="0090462A"/>
    <w:rsid w:val="00904764"/>
    <w:rsid w:val="00904E6D"/>
    <w:rsid w:val="00906198"/>
    <w:rsid w:val="00906826"/>
    <w:rsid w:val="00910C79"/>
    <w:rsid w:val="00911604"/>
    <w:rsid w:val="00911FF3"/>
    <w:rsid w:val="00912154"/>
    <w:rsid w:val="0091232F"/>
    <w:rsid w:val="00912C3D"/>
    <w:rsid w:val="00912C53"/>
    <w:rsid w:val="00912EDD"/>
    <w:rsid w:val="00912FED"/>
    <w:rsid w:val="0091394C"/>
    <w:rsid w:val="00915258"/>
    <w:rsid w:val="009155FD"/>
    <w:rsid w:val="0091583F"/>
    <w:rsid w:val="00916369"/>
    <w:rsid w:val="009165ED"/>
    <w:rsid w:val="0091679D"/>
    <w:rsid w:val="00916CC2"/>
    <w:rsid w:val="00917E80"/>
    <w:rsid w:val="009208B9"/>
    <w:rsid w:val="00920A58"/>
    <w:rsid w:val="00920CB3"/>
    <w:rsid w:val="00920D1B"/>
    <w:rsid w:val="00921842"/>
    <w:rsid w:val="00921DCB"/>
    <w:rsid w:val="00921F1A"/>
    <w:rsid w:val="00921F90"/>
    <w:rsid w:val="0092245E"/>
    <w:rsid w:val="009228C4"/>
    <w:rsid w:val="00922927"/>
    <w:rsid w:val="00923320"/>
    <w:rsid w:val="00923409"/>
    <w:rsid w:val="009240A1"/>
    <w:rsid w:val="009248AD"/>
    <w:rsid w:val="009249E0"/>
    <w:rsid w:val="009264DA"/>
    <w:rsid w:val="009264E7"/>
    <w:rsid w:val="00926606"/>
    <w:rsid w:val="00926785"/>
    <w:rsid w:val="00926EC7"/>
    <w:rsid w:val="009276E9"/>
    <w:rsid w:val="00927A53"/>
    <w:rsid w:val="00927DD8"/>
    <w:rsid w:val="00927F21"/>
    <w:rsid w:val="009307B4"/>
    <w:rsid w:val="00930EC0"/>
    <w:rsid w:val="00931264"/>
    <w:rsid w:val="009312D0"/>
    <w:rsid w:val="009328BB"/>
    <w:rsid w:val="0093294C"/>
    <w:rsid w:val="00934147"/>
    <w:rsid w:val="0093428D"/>
    <w:rsid w:val="00934662"/>
    <w:rsid w:val="009348D5"/>
    <w:rsid w:val="00934B94"/>
    <w:rsid w:val="00934C4B"/>
    <w:rsid w:val="00934D03"/>
    <w:rsid w:val="00934F99"/>
    <w:rsid w:val="009361B9"/>
    <w:rsid w:val="0093623F"/>
    <w:rsid w:val="009363B1"/>
    <w:rsid w:val="00936584"/>
    <w:rsid w:val="00936687"/>
    <w:rsid w:val="009366E2"/>
    <w:rsid w:val="00936D40"/>
    <w:rsid w:val="00937A4E"/>
    <w:rsid w:val="00940116"/>
    <w:rsid w:val="009411B1"/>
    <w:rsid w:val="00942006"/>
    <w:rsid w:val="00942526"/>
    <w:rsid w:val="00942C31"/>
    <w:rsid w:val="00942CBB"/>
    <w:rsid w:val="009447CD"/>
    <w:rsid w:val="00944F39"/>
    <w:rsid w:val="00945F6E"/>
    <w:rsid w:val="0094650B"/>
    <w:rsid w:val="009466DC"/>
    <w:rsid w:val="009467C4"/>
    <w:rsid w:val="009473E6"/>
    <w:rsid w:val="00947452"/>
    <w:rsid w:val="0094790F"/>
    <w:rsid w:val="00947BC5"/>
    <w:rsid w:val="00950534"/>
    <w:rsid w:val="00950545"/>
    <w:rsid w:val="00950A78"/>
    <w:rsid w:val="009512E8"/>
    <w:rsid w:val="00951ABD"/>
    <w:rsid w:val="00953009"/>
    <w:rsid w:val="009538B8"/>
    <w:rsid w:val="009547F0"/>
    <w:rsid w:val="00954A1F"/>
    <w:rsid w:val="00954EC0"/>
    <w:rsid w:val="00955092"/>
    <w:rsid w:val="009551FC"/>
    <w:rsid w:val="009566D8"/>
    <w:rsid w:val="00956A47"/>
    <w:rsid w:val="00956AA8"/>
    <w:rsid w:val="00956AEE"/>
    <w:rsid w:val="00956EB4"/>
    <w:rsid w:val="009606DB"/>
    <w:rsid w:val="009607AB"/>
    <w:rsid w:val="009609F7"/>
    <w:rsid w:val="00960E87"/>
    <w:rsid w:val="00961002"/>
    <w:rsid w:val="0096164A"/>
    <w:rsid w:val="00962837"/>
    <w:rsid w:val="00962BDF"/>
    <w:rsid w:val="009633AE"/>
    <w:rsid w:val="0096381A"/>
    <w:rsid w:val="009638A0"/>
    <w:rsid w:val="00965397"/>
    <w:rsid w:val="00965BF0"/>
    <w:rsid w:val="00965D89"/>
    <w:rsid w:val="00966A4C"/>
    <w:rsid w:val="009676BF"/>
    <w:rsid w:val="009703CD"/>
    <w:rsid w:val="0097066E"/>
    <w:rsid w:val="00970B55"/>
    <w:rsid w:val="00970E3F"/>
    <w:rsid w:val="00970E94"/>
    <w:rsid w:val="0097126B"/>
    <w:rsid w:val="00971441"/>
    <w:rsid w:val="00972688"/>
    <w:rsid w:val="00972DE5"/>
    <w:rsid w:val="0097322E"/>
    <w:rsid w:val="0097329F"/>
    <w:rsid w:val="0097436C"/>
    <w:rsid w:val="0097474A"/>
    <w:rsid w:val="00975671"/>
    <w:rsid w:val="009758C9"/>
    <w:rsid w:val="0097597C"/>
    <w:rsid w:val="00977AA0"/>
    <w:rsid w:val="00977C6B"/>
    <w:rsid w:val="00977E75"/>
    <w:rsid w:val="00977F55"/>
    <w:rsid w:val="00977F84"/>
    <w:rsid w:val="0098043A"/>
    <w:rsid w:val="00980899"/>
    <w:rsid w:val="0098097F"/>
    <w:rsid w:val="00980B49"/>
    <w:rsid w:val="009811C1"/>
    <w:rsid w:val="009814C3"/>
    <w:rsid w:val="0098233F"/>
    <w:rsid w:val="00984CD7"/>
    <w:rsid w:val="00986085"/>
    <w:rsid w:val="0098636E"/>
    <w:rsid w:val="009863F1"/>
    <w:rsid w:val="00987456"/>
    <w:rsid w:val="009879A4"/>
    <w:rsid w:val="0099009E"/>
    <w:rsid w:val="00990BC1"/>
    <w:rsid w:val="009919A1"/>
    <w:rsid w:val="0099204B"/>
    <w:rsid w:val="009920FC"/>
    <w:rsid w:val="009921A4"/>
    <w:rsid w:val="009929DC"/>
    <w:rsid w:val="00992C89"/>
    <w:rsid w:val="00992DD8"/>
    <w:rsid w:val="00993381"/>
    <w:rsid w:val="009940D4"/>
    <w:rsid w:val="00994E69"/>
    <w:rsid w:val="00995042"/>
    <w:rsid w:val="00995C47"/>
    <w:rsid w:val="00997AEF"/>
    <w:rsid w:val="00997F93"/>
    <w:rsid w:val="009A0CF8"/>
    <w:rsid w:val="009A2F52"/>
    <w:rsid w:val="009A4396"/>
    <w:rsid w:val="009A4833"/>
    <w:rsid w:val="009A4A58"/>
    <w:rsid w:val="009A5EBA"/>
    <w:rsid w:val="009A69E1"/>
    <w:rsid w:val="009A6F75"/>
    <w:rsid w:val="009B0158"/>
    <w:rsid w:val="009B01D5"/>
    <w:rsid w:val="009B096C"/>
    <w:rsid w:val="009B0B1B"/>
    <w:rsid w:val="009B1030"/>
    <w:rsid w:val="009B1EFB"/>
    <w:rsid w:val="009B202E"/>
    <w:rsid w:val="009B2178"/>
    <w:rsid w:val="009B2354"/>
    <w:rsid w:val="009B29EC"/>
    <w:rsid w:val="009B349A"/>
    <w:rsid w:val="009B3796"/>
    <w:rsid w:val="009B434D"/>
    <w:rsid w:val="009B46FB"/>
    <w:rsid w:val="009B49A5"/>
    <w:rsid w:val="009B4FF5"/>
    <w:rsid w:val="009B5029"/>
    <w:rsid w:val="009B5439"/>
    <w:rsid w:val="009B67E4"/>
    <w:rsid w:val="009B69F7"/>
    <w:rsid w:val="009B6A0B"/>
    <w:rsid w:val="009B6E2C"/>
    <w:rsid w:val="009B7127"/>
    <w:rsid w:val="009B782F"/>
    <w:rsid w:val="009C12BC"/>
    <w:rsid w:val="009C1E61"/>
    <w:rsid w:val="009C3E56"/>
    <w:rsid w:val="009C4593"/>
    <w:rsid w:val="009C460A"/>
    <w:rsid w:val="009C4884"/>
    <w:rsid w:val="009C4FE1"/>
    <w:rsid w:val="009C5C68"/>
    <w:rsid w:val="009C6019"/>
    <w:rsid w:val="009C6F8E"/>
    <w:rsid w:val="009C701A"/>
    <w:rsid w:val="009D2109"/>
    <w:rsid w:val="009D216C"/>
    <w:rsid w:val="009D24B7"/>
    <w:rsid w:val="009D2BA9"/>
    <w:rsid w:val="009D34BA"/>
    <w:rsid w:val="009D40F7"/>
    <w:rsid w:val="009D487C"/>
    <w:rsid w:val="009D4C01"/>
    <w:rsid w:val="009D655A"/>
    <w:rsid w:val="009D65FA"/>
    <w:rsid w:val="009D7600"/>
    <w:rsid w:val="009D7958"/>
    <w:rsid w:val="009D798F"/>
    <w:rsid w:val="009E0681"/>
    <w:rsid w:val="009E083D"/>
    <w:rsid w:val="009E3093"/>
    <w:rsid w:val="009E3526"/>
    <w:rsid w:val="009E3C08"/>
    <w:rsid w:val="009E40DD"/>
    <w:rsid w:val="009E4D64"/>
    <w:rsid w:val="009E5186"/>
    <w:rsid w:val="009E51D1"/>
    <w:rsid w:val="009E57B9"/>
    <w:rsid w:val="009E5939"/>
    <w:rsid w:val="009E62E2"/>
    <w:rsid w:val="009E6E59"/>
    <w:rsid w:val="009E7D9E"/>
    <w:rsid w:val="009F006C"/>
    <w:rsid w:val="009F03BC"/>
    <w:rsid w:val="009F0A43"/>
    <w:rsid w:val="009F116A"/>
    <w:rsid w:val="009F1A09"/>
    <w:rsid w:val="009F1C08"/>
    <w:rsid w:val="009F1FF2"/>
    <w:rsid w:val="009F4198"/>
    <w:rsid w:val="009F4E1D"/>
    <w:rsid w:val="009F4F6E"/>
    <w:rsid w:val="009F5F9B"/>
    <w:rsid w:val="009F6311"/>
    <w:rsid w:val="009F69D6"/>
    <w:rsid w:val="009F6C1E"/>
    <w:rsid w:val="009F6E0A"/>
    <w:rsid w:val="00A001A4"/>
    <w:rsid w:val="00A00704"/>
    <w:rsid w:val="00A009DE"/>
    <w:rsid w:val="00A01751"/>
    <w:rsid w:val="00A019B2"/>
    <w:rsid w:val="00A01AEC"/>
    <w:rsid w:val="00A01DC9"/>
    <w:rsid w:val="00A01FA7"/>
    <w:rsid w:val="00A029BE"/>
    <w:rsid w:val="00A036FF"/>
    <w:rsid w:val="00A043D6"/>
    <w:rsid w:val="00A0477D"/>
    <w:rsid w:val="00A04AF9"/>
    <w:rsid w:val="00A04D85"/>
    <w:rsid w:val="00A0670B"/>
    <w:rsid w:val="00A068BE"/>
    <w:rsid w:val="00A06AA3"/>
    <w:rsid w:val="00A06F41"/>
    <w:rsid w:val="00A06FD8"/>
    <w:rsid w:val="00A07520"/>
    <w:rsid w:val="00A07A50"/>
    <w:rsid w:val="00A07D6D"/>
    <w:rsid w:val="00A1056F"/>
    <w:rsid w:val="00A10EAF"/>
    <w:rsid w:val="00A1132C"/>
    <w:rsid w:val="00A11550"/>
    <w:rsid w:val="00A120E2"/>
    <w:rsid w:val="00A122E7"/>
    <w:rsid w:val="00A123C6"/>
    <w:rsid w:val="00A12AB9"/>
    <w:rsid w:val="00A12CC3"/>
    <w:rsid w:val="00A12D0F"/>
    <w:rsid w:val="00A136DC"/>
    <w:rsid w:val="00A13812"/>
    <w:rsid w:val="00A13AE1"/>
    <w:rsid w:val="00A143C0"/>
    <w:rsid w:val="00A14DFD"/>
    <w:rsid w:val="00A152B4"/>
    <w:rsid w:val="00A1556E"/>
    <w:rsid w:val="00A163BC"/>
    <w:rsid w:val="00A16A3F"/>
    <w:rsid w:val="00A20541"/>
    <w:rsid w:val="00A20740"/>
    <w:rsid w:val="00A2081B"/>
    <w:rsid w:val="00A2205E"/>
    <w:rsid w:val="00A220EE"/>
    <w:rsid w:val="00A2239A"/>
    <w:rsid w:val="00A22C83"/>
    <w:rsid w:val="00A2356E"/>
    <w:rsid w:val="00A23801"/>
    <w:rsid w:val="00A23850"/>
    <w:rsid w:val="00A2463F"/>
    <w:rsid w:val="00A2484A"/>
    <w:rsid w:val="00A2584B"/>
    <w:rsid w:val="00A25A5B"/>
    <w:rsid w:val="00A25B5D"/>
    <w:rsid w:val="00A266C2"/>
    <w:rsid w:val="00A26F29"/>
    <w:rsid w:val="00A275A2"/>
    <w:rsid w:val="00A27A31"/>
    <w:rsid w:val="00A27DEE"/>
    <w:rsid w:val="00A302DE"/>
    <w:rsid w:val="00A3037A"/>
    <w:rsid w:val="00A30563"/>
    <w:rsid w:val="00A3074D"/>
    <w:rsid w:val="00A30C4A"/>
    <w:rsid w:val="00A311B3"/>
    <w:rsid w:val="00A31D07"/>
    <w:rsid w:val="00A31D18"/>
    <w:rsid w:val="00A31F71"/>
    <w:rsid w:val="00A3227F"/>
    <w:rsid w:val="00A32639"/>
    <w:rsid w:val="00A32711"/>
    <w:rsid w:val="00A329EA"/>
    <w:rsid w:val="00A32B8D"/>
    <w:rsid w:val="00A3327E"/>
    <w:rsid w:val="00A344EB"/>
    <w:rsid w:val="00A355BB"/>
    <w:rsid w:val="00A35A5B"/>
    <w:rsid w:val="00A35BF4"/>
    <w:rsid w:val="00A35F4D"/>
    <w:rsid w:val="00A36457"/>
    <w:rsid w:val="00A3681D"/>
    <w:rsid w:val="00A368CB"/>
    <w:rsid w:val="00A37448"/>
    <w:rsid w:val="00A37659"/>
    <w:rsid w:val="00A37ED4"/>
    <w:rsid w:val="00A37F1D"/>
    <w:rsid w:val="00A4019F"/>
    <w:rsid w:val="00A40A0C"/>
    <w:rsid w:val="00A40D35"/>
    <w:rsid w:val="00A4177C"/>
    <w:rsid w:val="00A41B36"/>
    <w:rsid w:val="00A41D59"/>
    <w:rsid w:val="00A42487"/>
    <w:rsid w:val="00A42A2C"/>
    <w:rsid w:val="00A42B73"/>
    <w:rsid w:val="00A42F5F"/>
    <w:rsid w:val="00A4338C"/>
    <w:rsid w:val="00A437EA"/>
    <w:rsid w:val="00A4400F"/>
    <w:rsid w:val="00A44EF5"/>
    <w:rsid w:val="00A465FC"/>
    <w:rsid w:val="00A46604"/>
    <w:rsid w:val="00A46EFB"/>
    <w:rsid w:val="00A470C7"/>
    <w:rsid w:val="00A47B70"/>
    <w:rsid w:val="00A506DE"/>
    <w:rsid w:val="00A50790"/>
    <w:rsid w:val="00A50BB6"/>
    <w:rsid w:val="00A51914"/>
    <w:rsid w:val="00A51CF6"/>
    <w:rsid w:val="00A5225E"/>
    <w:rsid w:val="00A52672"/>
    <w:rsid w:val="00A53206"/>
    <w:rsid w:val="00A53636"/>
    <w:rsid w:val="00A547BB"/>
    <w:rsid w:val="00A54E08"/>
    <w:rsid w:val="00A5536D"/>
    <w:rsid w:val="00A55377"/>
    <w:rsid w:val="00A56A00"/>
    <w:rsid w:val="00A57C0A"/>
    <w:rsid w:val="00A60569"/>
    <w:rsid w:val="00A6233E"/>
    <w:rsid w:val="00A62F98"/>
    <w:rsid w:val="00A63387"/>
    <w:rsid w:val="00A633D9"/>
    <w:rsid w:val="00A639A7"/>
    <w:rsid w:val="00A6400E"/>
    <w:rsid w:val="00A64310"/>
    <w:rsid w:val="00A649FD"/>
    <w:rsid w:val="00A64D36"/>
    <w:rsid w:val="00A64D76"/>
    <w:rsid w:val="00A65012"/>
    <w:rsid w:val="00A65761"/>
    <w:rsid w:val="00A665DF"/>
    <w:rsid w:val="00A66B99"/>
    <w:rsid w:val="00A66BEA"/>
    <w:rsid w:val="00A67320"/>
    <w:rsid w:val="00A6750D"/>
    <w:rsid w:val="00A67845"/>
    <w:rsid w:val="00A700FB"/>
    <w:rsid w:val="00A7147D"/>
    <w:rsid w:val="00A71539"/>
    <w:rsid w:val="00A71613"/>
    <w:rsid w:val="00A71B24"/>
    <w:rsid w:val="00A72B16"/>
    <w:rsid w:val="00A72DC4"/>
    <w:rsid w:val="00A7334C"/>
    <w:rsid w:val="00A73C73"/>
    <w:rsid w:val="00A74E61"/>
    <w:rsid w:val="00A773A0"/>
    <w:rsid w:val="00A777D3"/>
    <w:rsid w:val="00A779DF"/>
    <w:rsid w:val="00A80711"/>
    <w:rsid w:val="00A8173F"/>
    <w:rsid w:val="00A820E0"/>
    <w:rsid w:val="00A82C13"/>
    <w:rsid w:val="00A82C22"/>
    <w:rsid w:val="00A82C47"/>
    <w:rsid w:val="00A830A2"/>
    <w:rsid w:val="00A836EB"/>
    <w:rsid w:val="00A8533B"/>
    <w:rsid w:val="00A85343"/>
    <w:rsid w:val="00A85B02"/>
    <w:rsid w:val="00A8606C"/>
    <w:rsid w:val="00A86371"/>
    <w:rsid w:val="00A87E9B"/>
    <w:rsid w:val="00A90387"/>
    <w:rsid w:val="00A906F7"/>
    <w:rsid w:val="00A90F06"/>
    <w:rsid w:val="00A91679"/>
    <w:rsid w:val="00A92007"/>
    <w:rsid w:val="00A9210A"/>
    <w:rsid w:val="00A923C7"/>
    <w:rsid w:val="00A92508"/>
    <w:rsid w:val="00A92FE9"/>
    <w:rsid w:val="00A9336D"/>
    <w:rsid w:val="00A93E81"/>
    <w:rsid w:val="00A94242"/>
    <w:rsid w:val="00A94D1C"/>
    <w:rsid w:val="00A9723C"/>
    <w:rsid w:val="00A9734C"/>
    <w:rsid w:val="00A97D07"/>
    <w:rsid w:val="00AA0660"/>
    <w:rsid w:val="00AA14E0"/>
    <w:rsid w:val="00AA174C"/>
    <w:rsid w:val="00AA2016"/>
    <w:rsid w:val="00AA23DF"/>
    <w:rsid w:val="00AA2829"/>
    <w:rsid w:val="00AA2A27"/>
    <w:rsid w:val="00AA2CEE"/>
    <w:rsid w:val="00AA395E"/>
    <w:rsid w:val="00AA3FB5"/>
    <w:rsid w:val="00AA4B77"/>
    <w:rsid w:val="00AA5052"/>
    <w:rsid w:val="00AA5F64"/>
    <w:rsid w:val="00AA6161"/>
    <w:rsid w:val="00AA6768"/>
    <w:rsid w:val="00AA6A0F"/>
    <w:rsid w:val="00AA6E92"/>
    <w:rsid w:val="00AA712D"/>
    <w:rsid w:val="00AA7AC2"/>
    <w:rsid w:val="00AB050D"/>
    <w:rsid w:val="00AB0A4E"/>
    <w:rsid w:val="00AB0B6D"/>
    <w:rsid w:val="00AB0EC9"/>
    <w:rsid w:val="00AB1793"/>
    <w:rsid w:val="00AB1AB4"/>
    <w:rsid w:val="00AB1F2F"/>
    <w:rsid w:val="00AB24AB"/>
    <w:rsid w:val="00AB299D"/>
    <w:rsid w:val="00AB45C8"/>
    <w:rsid w:val="00AB4D9D"/>
    <w:rsid w:val="00AB58A1"/>
    <w:rsid w:val="00AB5A8C"/>
    <w:rsid w:val="00AB66EA"/>
    <w:rsid w:val="00AB699D"/>
    <w:rsid w:val="00AB758A"/>
    <w:rsid w:val="00AC0456"/>
    <w:rsid w:val="00AC04E2"/>
    <w:rsid w:val="00AC04E8"/>
    <w:rsid w:val="00AC1506"/>
    <w:rsid w:val="00AC1A81"/>
    <w:rsid w:val="00AC28AB"/>
    <w:rsid w:val="00AC2C6C"/>
    <w:rsid w:val="00AC2D11"/>
    <w:rsid w:val="00AC3D1B"/>
    <w:rsid w:val="00AC4736"/>
    <w:rsid w:val="00AC4CB8"/>
    <w:rsid w:val="00AC4D09"/>
    <w:rsid w:val="00AC53CD"/>
    <w:rsid w:val="00AC572C"/>
    <w:rsid w:val="00AC5DAC"/>
    <w:rsid w:val="00AC5EDC"/>
    <w:rsid w:val="00AC6000"/>
    <w:rsid w:val="00AC6A6B"/>
    <w:rsid w:val="00AC6D2B"/>
    <w:rsid w:val="00AC701D"/>
    <w:rsid w:val="00AC712A"/>
    <w:rsid w:val="00AC71D1"/>
    <w:rsid w:val="00AC7546"/>
    <w:rsid w:val="00AC7F86"/>
    <w:rsid w:val="00AD007E"/>
    <w:rsid w:val="00AD0C2E"/>
    <w:rsid w:val="00AD1095"/>
    <w:rsid w:val="00AD133B"/>
    <w:rsid w:val="00AD163E"/>
    <w:rsid w:val="00AD194C"/>
    <w:rsid w:val="00AD2AF4"/>
    <w:rsid w:val="00AD2D06"/>
    <w:rsid w:val="00AD2D55"/>
    <w:rsid w:val="00AD38ED"/>
    <w:rsid w:val="00AD4D59"/>
    <w:rsid w:val="00AD5600"/>
    <w:rsid w:val="00AD5F92"/>
    <w:rsid w:val="00AD66C6"/>
    <w:rsid w:val="00AD67F9"/>
    <w:rsid w:val="00AD6CA3"/>
    <w:rsid w:val="00AD6EE1"/>
    <w:rsid w:val="00AD7EA9"/>
    <w:rsid w:val="00AE0072"/>
    <w:rsid w:val="00AE0DFC"/>
    <w:rsid w:val="00AE171E"/>
    <w:rsid w:val="00AE21DE"/>
    <w:rsid w:val="00AE2C65"/>
    <w:rsid w:val="00AE3D97"/>
    <w:rsid w:val="00AE3DD6"/>
    <w:rsid w:val="00AE4151"/>
    <w:rsid w:val="00AE4699"/>
    <w:rsid w:val="00AE4CFD"/>
    <w:rsid w:val="00AE5788"/>
    <w:rsid w:val="00AE586A"/>
    <w:rsid w:val="00AE5F88"/>
    <w:rsid w:val="00AE6855"/>
    <w:rsid w:val="00AE6C6B"/>
    <w:rsid w:val="00AE6E01"/>
    <w:rsid w:val="00AE6E31"/>
    <w:rsid w:val="00AE7312"/>
    <w:rsid w:val="00AE7549"/>
    <w:rsid w:val="00AE7843"/>
    <w:rsid w:val="00AF0704"/>
    <w:rsid w:val="00AF0D5E"/>
    <w:rsid w:val="00AF2CBE"/>
    <w:rsid w:val="00AF3495"/>
    <w:rsid w:val="00AF4923"/>
    <w:rsid w:val="00AF4CD6"/>
    <w:rsid w:val="00AF4E01"/>
    <w:rsid w:val="00AF5A6F"/>
    <w:rsid w:val="00AF612D"/>
    <w:rsid w:val="00AF6D26"/>
    <w:rsid w:val="00AF70B3"/>
    <w:rsid w:val="00AF760E"/>
    <w:rsid w:val="00AF782A"/>
    <w:rsid w:val="00AF795B"/>
    <w:rsid w:val="00AF7DFE"/>
    <w:rsid w:val="00B0082C"/>
    <w:rsid w:val="00B0095B"/>
    <w:rsid w:val="00B00987"/>
    <w:rsid w:val="00B00B48"/>
    <w:rsid w:val="00B00E73"/>
    <w:rsid w:val="00B00F14"/>
    <w:rsid w:val="00B02563"/>
    <w:rsid w:val="00B02DE9"/>
    <w:rsid w:val="00B035A2"/>
    <w:rsid w:val="00B03B97"/>
    <w:rsid w:val="00B04164"/>
    <w:rsid w:val="00B047AF"/>
    <w:rsid w:val="00B05D24"/>
    <w:rsid w:val="00B05FC5"/>
    <w:rsid w:val="00B05FE7"/>
    <w:rsid w:val="00B06AC9"/>
    <w:rsid w:val="00B06F35"/>
    <w:rsid w:val="00B070A7"/>
    <w:rsid w:val="00B077AE"/>
    <w:rsid w:val="00B10452"/>
    <w:rsid w:val="00B10D55"/>
    <w:rsid w:val="00B11B71"/>
    <w:rsid w:val="00B1208E"/>
    <w:rsid w:val="00B133E0"/>
    <w:rsid w:val="00B13539"/>
    <w:rsid w:val="00B137D9"/>
    <w:rsid w:val="00B13B95"/>
    <w:rsid w:val="00B13C64"/>
    <w:rsid w:val="00B15D1A"/>
    <w:rsid w:val="00B15E49"/>
    <w:rsid w:val="00B15E64"/>
    <w:rsid w:val="00B15FEE"/>
    <w:rsid w:val="00B16DA4"/>
    <w:rsid w:val="00B1700D"/>
    <w:rsid w:val="00B17480"/>
    <w:rsid w:val="00B20AB7"/>
    <w:rsid w:val="00B20DE4"/>
    <w:rsid w:val="00B212B7"/>
    <w:rsid w:val="00B219C8"/>
    <w:rsid w:val="00B222AF"/>
    <w:rsid w:val="00B22A4C"/>
    <w:rsid w:val="00B23A42"/>
    <w:rsid w:val="00B23DDF"/>
    <w:rsid w:val="00B24D48"/>
    <w:rsid w:val="00B2606A"/>
    <w:rsid w:val="00B26341"/>
    <w:rsid w:val="00B26AD3"/>
    <w:rsid w:val="00B26FC2"/>
    <w:rsid w:val="00B27200"/>
    <w:rsid w:val="00B274AD"/>
    <w:rsid w:val="00B27DFA"/>
    <w:rsid w:val="00B307F7"/>
    <w:rsid w:val="00B30AF7"/>
    <w:rsid w:val="00B313E2"/>
    <w:rsid w:val="00B3176E"/>
    <w:rsid w:val="00B318B3"/>
    <w:rsid w:val="00B32204"/>
    <w:rsid w:val="00B32A31"/>
    <w:rsid w:val="00B32DB1"/>
    <w:rsid w:val="00B33AAC"/>
    <w:rsid w:val="00B33C46"/>
    <w:rsid w:val="00B3422F"/>
    <w:rsid w:val="00B344F6"/>
    <w:rsid w:val="00B34758"/>
    <w:rsid w:val="00B35CAE"/>
    <w:rsid w:val="00B362DC"/>
    <w:rsid w:val="00B36A80"/>
    <w:rsid w:val="00B379FE"/>
    <w:rsid w:val="00B37D51"/>
    <w:rsid w:val="00B40122"/>
    <w:rsid w:val="00B406CE"/>
    <w:rsid w:val="00B408F6"/>
    <w:rsid w:val="00B40AEB"/>
    <w:rsid w:val="00B411E0"/>
    <w:rsid w:val="00B41576"/>
    <w:rsid w:val="00B41B02"/>
    <w:rsid w:val="00B41C43"/>
    <w:rsid w:val="00B420CD"/>
    <w:rsid w:val="00B420FB"/>
    <w:rsid w:val="00B42145"/>
    <w:rsid w:val="00B42B97"/>
    <w:rsid w:val="00B42DD8"/>
    <w:rsid w:val="00B4414F"/>
    <w:rsid w:val="00B447D8"/>
    <w:rsid w:val="00B452BD"/>
    <w:rsid w:val="00B45561"/>
    <w:rsid w:val="00B455A3"/>
    <w:rsid w:val="00B45D90"/>
    <w:rsid w:val="00B45FA7"/>
    <w:rsid w:val="00B469B5"/>
    <w:rsid w:val="00B469DF"/>
    <w:rsid w:val="00B46CA1"/>
    <w:rsid w:val="00B47BFB"/>
    <w:rsid w:val="00B50376"/>
    <w:rsid w:val="00B504DE"/>
    <w:rsid w:val="00B50AC0"/>
    <w:rsid w:val="00B5101A"/>
    <w:rsid w:val="00B5101D"/>
    <w:rsid w:val="00B52099"/>
    <w:rsid w:val="00B5353E"/>
    <w:rsid w:val="00B53C39"/>
    <w:rsid w:val="00B54488"/>
    <w:rsid w:val="00B551D6"/>
    <w:rsid w:val="00B5549E"/>
    <w:rsid w:val="00B55C7C"/>
    <w:rsid w:val="00B56BFE"/>
    <w:rsid w:val="00B56DAC"/>
    <w:rsid w:val="00B6101E"/>
    <w:rsid w:val="00B619EA"/>
    <w:rsid w:val="00B61A3D"/>
    <w:rsid w:val="00B63C02"/>
    <w:rsid w:val="00B649CF"/>
    <w:rsid w:val="00B64C5A"/>
    <w:rsid w:val="00B66965"/>
    <w:rsid w:val="00B66E79"/>
    <w:rsid w:val="00B673B7"/>
    <w:rsid w:val="00B677AB"/>
    <w:rsid w:val="00B67945"/>
    <w:rsid w:val="00B71892"/>
    <w:rsid w:val="00B71CAE"/>
    <w:rsid w:val="00B723BD"/>
    <w:rsid w:val="00B724D6"/>
    <w:rsid w:val="00B72B39"/>
    <w:rsid w:val="00B72C87"/>
    <w:rsid w:val="00B7328A"/>
    <w:rsid w:val="00B7375F"/>
    <w:rsid w:val="00B7587F"/>
    <w:rsid w:val="00B75C77"/>
    <w:rsid w:val="00B76927"/>
    <w:rsid w:val="00B77BEF"/>
    <w:rsid w:val="00B80374"/>
    <w:rsid w:val="00B80938"/>
    <w:rsid w:val="00B80D09"/>
    <w:rsid w:val="00B81B0A"/>
    <w:rsid w:val="00B81FA3"/>
    <w:rsid w:val="00B82289"/>
    <w:rsid w:val="00B822F8"/>
    <w:rsid w:val="00B82658"/>
    <w:rsid w:val="00B828DE"/>
    <w:rsid w:val="00B82B1A"/>
    <w:rsid w:val="00B8340E"/>
    <w:rsid w:val="00B835D2"/>
    <w:rsid w:val="00B83D28"/>
    <w:rsid w:val="00B84F67"/>
    <w:rsid w:val="00B85CEB"/>
    <w:rsid w:val="00B878C8"/>
    <w:rsid w:val="00B87BD8"/>
    <w:rsid w:val="00B90CF3"/>
    <w:rsid w:val="00B90D4A"/>
    <w:rsid w:val="00B91201"/>
    <w:rsid w:val="00B916D5"/>
    <w:rsid w:val="00B9180F"/>
    <w:rsid w:val="00B91A47"/>
    <w:rsid w:val="00B91EFD"/>
    <w:rsid w:val="00B92308"/>
    <w:rsid w:val="00B925EF"/>
    <w:rsid w:val="00B927B5"/>
    <w:rsid w:val="00B93268"/>
    <w:rsid w:val="00B9328D"/>
    <w:rsid w:val="00B93455"/>
    <w:rsid w:val="00B9354B"/>
    <w:rsid w:val="00B94A45"/>
    <w:rsid w:val="00B952A4"/>
    <w:rsid w:val="00B9583B"/>
    <w:rsid w:val="00B95EE7"/>
    <w:rsid w:val="00B960C4"/>
    <w:rsid w:val="00B9640E"/>
    <w:rsid w:val="00B96C2B"/>
    <w:rsid w:val="00B97BD7"/>
    <w:rsid w:val="00BA12BA"/>
    <w:rsid w:val="00BA1626"/>
    <w:rsid w:val="00BA1CE2"/>
    <w:rsid w:val="00BA25C2"/>
    <w:rsid w:val="00BA3121"/>
    <w:rsid w:val="00BA3636"/>
    <w:rsid w:val="00BA375F"/>
    <w:rsid w:val="00BA4EE0"/>
    <w:rsid w:val="00BA5093"/>
    <w:rsid w:val="00BA581B"/>
    <w:rsid w:val="00BA5FE3"/>
    <w:rsid w:val="00BA7CE0"/>
    <w:rsid w:val="00BA7DB1"/>
    <w:rsid w:val="00BB0515"/>
    <w:rsid w:val="00BB073E"/>
    <w:rsid w:val="00BB0942"/>
    <w:rsid w:val="00BB103B"/>
    <w:rsid w:val="00BB11B1"/>
    <w:rsid w:val="00BB1233"/>
    <w:rsid w:val="00BB1554"/>
    <w:rsid w:val="00BB1681"/>
    <w:rsid w:val="00BB19AF"/>
    <w:rsid w:val="00BB1AD0"/>
    <w:rsid w:val="00BB1C18"/>
    <w:rsid w:val="00BB29B7"/>
    <w:rsid w:val="00BB2D09"/>
    <w:rsid w:val="00BB30F3"/>
    <w:rsid w:val="00BB32DC"/>
    <w:rsid w:val="00BB4791"/>
    <w:rsid w:val="00BB53A6"/>
    <w:rsid w:val="00BB5749"/>
    <w:rsid w:val="00BB58FB"/>
    <w:rsid w:val="00BB61E0"/>
    <w:rsid w:val="00BB683C"/>
    <w:rsid w:val="00BB70F0"/>
    <w:rsid w:val="00BB752D"/>
    <w:rsid w:val="00BB75D9"/>
    <w:rsid w:val="00BB7B02"/>
    <w:rsid w:val="00BB7C02"/>
    <w:rsid w:val="00BB7D9C"/>
    <w:rsid w:val="00BB7E8C"/>
    <w:rsid w:val="00BC085E"/>
    <w:rsid w:val="00BC150A"/>
    <w:rsid w:val="00BC159F"/>
    <w:rsid w:val="00BC1B32"/>
    <w:rsid w:val="00BC224A"/>
    <w:rsid w:val="00BC2513"/>
    <w:rsid w:val="00BC275D"/>
    <w:rsid w:val="00BC2FAC"/>
    <w:rsid w:val="00BC3009"/>
    <w:rsid w:val="00BC35B9"/>
    <w:rsid w:val="00BC39BB"/>
    <w:rsid w:val="00BC3A2B"/>
    <w:rsid w:val="00BC3B94"/>
    <w:rsid w:val="00BC5165"/>
    <w:rsid w:val="00BC53E3"/>
    <w:rsid w:val="00BC5D7B"/>
    <w:rsid w:val="00BC6B95"/>
    <w:rsid w:val="00BC712A"/>
    <w:rsid w:val="00BC7496"/>
    <w:rsid w:val="00BC7658"/>
    <w:rsid w:val="00BC7A01"/>
    <w:rsid w:val="00BD1211"/>
    <w:rsid w:val="00BD242C"/>
    <w:rsid w:val="00BD3201"/>
    <w:rsid w:val="00BD37BD"/>
    <w:rsid w:val="00BD3A01"/>
    <w:rsid w:val="00BD43F5"/>
    <w:rsid w:val="00BD487A"/>
    <w:rsid w:val="00BD4899"/>
    <w:rsid w:val="00BD556B"/>
    <w:rsid w:val="00BD5DE1"/>
    <w:rsid w:val="00BD60BB"/>
    <w:rsid w:val="00BD61AD"/>
    <w:rsid w:val="00BD6579"/>
    <w:rsid w:val="00BD6851"/>
    <w:rsid w:val="00BD6B9F"/>
    <w:rsid w:val="00BD7123"/>
    <w:rsid w:val="00BD77AB"/>
    <w:rsid w:val="00BD79F5"/>
    <w:rsid w:val="00BD7A2F"/>
    <w:rsid w:val="00BD7D0F"/>
    <w:rsid w:val="00BD7EBB"/>
    <w:rsid w:val="00BD7FDC"/>
    <w:rsid w:val="00BE116C"/>
    <w:rsid w:val="00BE1570"/>
    <w:rsid w:val="00BE1C0E"/>
    <w:rsid w:val="00BE22C1"/>
    <w:rsid w:val="00BE23D8"/>
    <w:rsid w:val="00BE2B6F"/>
    <w:rsid w:val="00BE3582"/>
    <w:rsid w:val="00BE3819"/>
    <w:rsid w:val="00BE3962"/>
    <w:rsid w:val="00BE404D"/>
    <w:rsid w:val="00BE67B4"/>
    <w:rsid w:val="00BE6BD4"/>
    <w:rsid w:val="00BE7418"/>
    <w:rsid w:val="00BE76E7"/>
    <w:rsid w:val="00BE7DC3"/>
    <w:rsid w:val="00BE7E75"/>
    <w:rsid w:val="00BF03B3"/>
    <w:rsid w:val="00BF15DF"/>
    <w:rsid w:val="00BF179C"/>
    <w:rsid w:val="00BF1EB2"/>
    <w:rsid w:val="00BF28C2"/>
    <w:rsid w:val="00BF2AA5"/>
    <w:rsid w:val="00BF3527"/>
    <w:rsid w:val="00BF359D"/>
    <w:rsid w:val="00BF3F06"/>
    <w:rsid w:val="00BF41C3"/>
    <w:rsid w:val="00BF46BA"/>
    <w:rsid w:val="00BF479C"/>
    <w:rsid w:val="00BF4E88"/>
    <w:rsid w:val="00BF53A4"/>
    <w:rsid w:val="00BF5C19"/>
    <w:rsid w:val="00BF61B6"/>
    <w:rsid w:val="00BF62F2"/>
    <w:rsid w:val="00BF74A1"/>
    <w:rsid w:val="00BF7B96"/>
    <w:rsid w:val="00BF7C26"/>
    <w:rsid w:val="00C00608"/>
    <w:rsid w:val="00C00747"/>
    <w:rsid w:val="00C00CD4"/>
    <w:rsid w:val="00C0132F"/>
    <w:rsid w:val="00C01EE7"/>
    <w:rsid w:val="00C02D88"/>
    <w:rsid w:val="00C04689"/>
    <w:rsid w:val="00C04B18"/>
    <w:rsid w:val="00C05689"/>
    <w:rsid w:val="00C05C30"/>
    <w:rsid w:val="00C063E7"/>
    <w:rsid w:val="00C073CC"/>
    <w:rsid w:val="00C07791"/>
    <w:rsid w:val="00C07E7B"/>
    <w:rsid w:val="00C101ED"/>
    <w:rsid w:val="00C11A8F"/>
    <w:rsid w:val="00C1224C"/>
    <w:rsid w:val="00C1248A"/>
    <w:rsid w:val="00C127D4"/>
    <w:rsid w:val="00C14228"/>
    <w:rsid w:val="00C142A0"/>
    <w:rsid w:val="00C1454A"/>
    <w:rsid w:val="00C14D19"/>
    <w:rsid w:val="00C161BC"/>
    <w:rsid w:val="00C1639A"/>
    <w:rsid w:val="00C16713"/>
    <w:rsid w:val="00C1673C"/>
    <w:rsid w:val="00C16C0F"/>
    <w:rsid w:val="00C174BA"/>
    <w:rsid w:val="00C17DEA"/>
    <w:rsid w:val="00C17FC8"/>
    <w:rsid w:val="00C2035D"/>
    <w:rsid w:val="00C20EFE"/>
    <w:rsid w:val="00C20FEF"/>
    <w:rsid w:val="00C22AAB"/>
    <w:rsid w:val="00C231CF"/>
    <w:rsid w:val="00C23200"/>
    <w:rsid w:val="00C239A4"/>
    <w:rsid w:val="00C242A9"/>
    <w:rsid w:val="00C246E8"/>
    <w:rsid w:val="00C26459"/>
    <w:rsid w:val="00C2658A"/>
    <w:rsid w:val="00C26C5C"/>
    <w:rsid w:val="00C30218"/>
    <w:rsid w:val="00C3043F"/>
    <w:rsid w:val="00C31B5B"/>
    <w:rsid w:val="00C31C73"/>
    <w:rsid w:val="00C31F1D"/>
    <w:rsid w:val="00C32315"/>
    <w:rsid w:val="00C32394"/>
    <w:rsid w:val="00C3272A"/>
    <w:rsid w:val="00C3290C"/>
    <w:rsid w:val="00C32AC4"/>
    <w:rsid w:val="00C3392E"/>
    <w:rsid w:val="00C33ED6"/>
    <w:rsid w:val="00C3427F"/>
    <w:rsid w:val="00C34451"/>
    <w:rsid w:val="00C345EB"/>
    <w:rsid w:val="00C34930"/>
    <w:rsid w:val="00C34F3A"/>
    <w:rsid w:val="00C35A54"/>
    <w:rsid w:val="00C35BD8"/>
    <w:rsid w:val="00C35C57"/>
    <w:rsid w:val="00C36B3D"/>
    <w:rsid w:val="00C37BBD"/>
    <w:rsid w:val="00C4007E"/>
    <w:rsid w:val="00C40271"/>
    <w:rsid w:val="00C40359"/>
    <w:rsid w:val="00C405DD"/>
    <w:rsid w:val="00C40EB6"/>
    <w:rsid w:val="00C410F4"/>
    <w:rsid w:val="00C4128E"/>
    <w:rsid w:val="00C41A56"/>
    <w:rsid w:val="00C41D47"/>
    <w:rsid w:val="00C421AB"/>
    <w:rsid w:val="00C42441"/>
    <w:rsid w:val="00C43C4E"/>
    <w:rsid w:val="00C43CC9"/>
    <w:rsid w:val="00C43CFF"/>
    <w:rsid w:val="00C44072"/>
    <w:rsid w:val="00C4477E"/>
    <w:rsid w:val="00C44A5C"/>
    <w:rsid w:val="00C44D30"/>
    <w:rsid w:val="00C45661"/>
    <w:rsid w:val="00C463D2"/>
    <w:rsid w:val="00C465AE"/>
    <w:rsid w:val="00C5037E"/>
    <w:rsid w:val="00C50392"/>
    <w:rsid w:val="00C50B6D"/>
    <w:rsid w:val="00C50E71"/>
    <w:rsid w:val="00C51164"/>
    <w:rsid w:val="00C517BE"/>
    <w:rsid w:val="00C5261A"/>
    <w:rsid w:val="00C52F6D"/>
    <w:rsid w:val="00C5341B"/>
    <w:rsid w:val="00C540DE"/>
    <w:rsid w:val="00C54FD6"/>
    <w:rsid w:val="00C55260"/>
    <w:rsid w:val="00C55891"/>
    <w:rsid w:val="00C558F3"/>
    <w:rsid w:val="00C55BB1"/>
    <w:rsid w:val="00C55DEF"/>
    <w:rsid w:val="00C56A60"/>
    <w:rsid w:val="00C56D82"/>
    <w:rsid w:val="00C57D2D"/>
    <w:rsid w:val="00C6052C"/>
    <w:rsid w:val="00C609FA"/>
    <w:rsid w:val="00C60C23"/>
    <w:rsid w:val="00C60D3B"/>
    <w:rsid w:val="00C60E67"/>
    <w:rsid w:val="00C6142B"/>
    <w:rsid w:val="00C62333"/>
    <w:rsid w:val="00C62559"/>
    <w:rsid w:val="00C636ED"/>
    <w:rsid w:val="00C6432B"/>
    <w:rsid w:val="00C65A0A"/>
    <w:rsid w:val="00C65F58"/>
    <w:rsid w:val="00C664EB"/>
    <w:rsid w:val="00C6654B"/>
    <w:rsid w:val="00C67624"/>
    <w:rsid w:val="00C71C5F"/>
    <w:rsid w:val="00C72D34"/>
    <w:rsid w:val="00C72D9F"/>
    <w:rsid w:val="00C72EEE"/>
    <w:rsid w:val="00C735FB"/>
    <w:rsid w:val="00C737DB"/>
    <w:rsid w:val="00C73A9D"/>
    <w:rsid w:val="00C74A1A"/>
    <w:rsid w:val="00C75812"/>
    <w:rsid w:val="00C76109"/>
    <w:rsid w:val="00C76D78"/>
    <w:rsid w:val="00C76EE3"/>
    <w:rsid w:val="00C773B6"/>
    <w:rsid w:val="00C77E44"/>
    <w:rsid w:val="00C80470"/>
    <w:rsid w:val="00C80BB4"/>
    <w:rsid w:val="00C816CB"/>
    <w:rsid w:val="00C81DAB"/>
    <w:rsid w:val="00C821A5"/>
    <w:rsid w:val="00C82ADA"/>
    <w:rsid w:val="00C82ED3"/>
    <w:rsid w:val="00C82F60"/>
    <w:rsid w:val="00C83D06"/>
    <w:rsid w:val="00C842F4"/>
    <w:rsid w:val="00C844E6"/>
    <w:rsid w:val="00C844F9"/>
    <w:rsid w:val="00C847DC"/>
    <w:rsid w:val="00C84D02"/>
    <w:rsid w:val="00C857C0"/>
    <w:rsid w:val="00C857D8"/>
    <w:rsid w:val="00C85A26"/>
    <w:rsid w:val="00C85C22"/>
    <w:rsid w:val="00C86475"/>
    <w:rsid w:val="00C867C2"/>
    <w:rsid w:val="00C869E2"/>
    <w:rsid w:val="00C86FEA"/>
    <w:rsid w:val="00C870ED"/>
    <w:rsid w:val="00C87334"/>
    <w:rsid w:val="00C87D71"/>
    <w:rsid w:val="00C90145"/>
    <w:rsid w:val="00C9040B"/>
    <w:rsid w:val="00C9056F"/>
    <w:rsid w:val="00C90EB8"/>
    <w:rsid w:val="00C90EE8"/>
    <w:rsid w:val="00C91070"/>
    <w:rsid w:val="00C916B4"/>
    <w:rsid w:val="00C91B57"/>
    <w:rsid w:val="00C91C1D"/>
    <w:rsid w:val="00C91EA2"/>
    <w:rsid w:val="00C92284"/>
    <w:rsid w:val="00C92C69"/>
    <w:rsid w:val="00C932EC"/>
    <w:rsid w:val="00C93BC1"/>
    <w:rsid w:val="00C94BC4"/>
    <w:rsid w:val="00C961E2"/>
    <w:rsid w:val="00C96503"/>
    <w:rsid w:val="00C96602"/>
    <w:rsid w:val="00C966B8"/>
    <w:rsid w:val="00C97D90"/>
    <w:rsid w:val="00CA0622"/>
    <w:rsid w:val="00CA07A3"/>
    <w:rsid w:val="00CA134D"/>
    <w:rsid w:val="00CA16A5"/>
    <w:rsid w:val="00CA1ABD"/>
    <w:rsid w:val="00CA1C2D"/>
    <w:rsid w:val="00CA1CF5"/>
    <w:rsid w:val="00CA2483"/>
    <w:rsid w:val="00CA2EA1"/>
    <w:rsid w:val="00CA34C6"/>
    <w:rsid w:val="00CA36E3"/>
    <w:rsid w:val="00CA38AE"/>
    <w:rsid w:val="00CA39C0"/>
    <w:rsid w:val="00CA45E3"/>
    <w:rsid w:val="00CA487B"/>
    <w:rsid w:val="00CA59E9"/>
    <w:rsid w:val="00CA5AA2"/>
    <w:rsid w:val="00CA5AAE"/>
    <w:rsid w:val="00CA5C0C"/>
    <w:rsid w:val="00CA5CF1"/>
    <w:rsid w:val="00CA6017"/>
    <w:rsid w:val="00CA69C4"/>
    <w:rsid w:val="00CA6E35"/>
    <w:rsid w:val="00CA7588"/>
    <w:rsid w:val="00CA775E"/>
    <w:rsid w:val="00CA7F7F"/>
    <w:rsid w:val="00CB0240"/>
    <w:rsid w:val="00CB02E0"/>
    <w:rsid w:val="00CB058F"/>
    <w:rsid w:val="00CB0636"/>
    <w:rsid w:val="00CB072C"/>
    <w:rsid w:val="00CB0795"/>
    <w:rsid w:val="00CB0853"/>
    <w:rsid w:val="00CB15D1"/>
    <w:rsid w:val="00CB2B55"/>
    <w:rsid w:val="00CB3AC3"/>
    <w:rsid w:val="00CB3DE5"/>
    <w:rsid w:val="00CB45D3"/>
    <w:rsid w:val="00CB5601"/>
    <w:rsid w:val="00CB5F52"/>
    <w:rsid w:val="00CB5FF2"/>
    <w:rsid w:val="00CB6B93"/>
    <w:rsid w:val="00CB6FF7"/>
    <w:rsid w:val="00CC0567"/>
    <w:rsid w:val="00CC0B98"/>
    <w:rsid w:val="00CC0BD6"/>
    <w:rsid w:val="00CC1766"/>
    <w:rsid w:val="00CC1C8B"/>
    <w:rsid w:val="00CC284F"/>
    <w:rsid w:val="00CC2D42"/>
    <w:rsid w:val="00CC3E6C"/>
    <w:rsid w:val="00CC44DA"/>
    <w:rsid w:val="00CC494E"/>
    <w:rsid w:val="00CC4B3F"/>
    <w:rsid w:val="00CC4BDE"/>
    <w:rsid w:val="00CC7459"/>
    <w:rsid w:val="00CC7B8B"/>
    <w:rsid w:val="00CD004F"/>
    <w:rsid w:val="00CD0EA9"/>
    <w:rsid w:val="00CD11FA"/>
    <w:rsid w:val="00CD159C"/>
    <w:rsid w:val="00CD1AD3"/>
    <w:rsid w:val="00CD219B"/>
    <w:rsid w:val="00CD2CE0"/>
    <w:rsid w:val="00CD3365"/>
    <w:rsid w:val="00CD34AB"/>
    <w:rsid w:val="00CD39F4"/>
    <w:rsid w:val="00CD470A"/>
    <w:rsid w:val="00CD49A9"/>
    <w:rsid w:val="00CD4B2B"/>
    <w:rsid w:val="00CD5831"/>
    <w:rsid w:val="00CD5C97"/>
    <w:rsid w:val="00CE036F"/>
    <w:rsid w:val="00CE07F1"/>
    <w:rsid w:val="00CE0851"/>
    <w:rsid w:val="00CE1FB5"/>
    <w:rsid w:val="00CE2276"/>
    <w:rsid w:val="00CE33B1"/>
    <w:rsid w:val="00CE393A"/>
    <w:rsid w:val="00CE3FDC"/>
    <w:rsid w:val="00CE47DD"/>
    <w:rsid w:val="00CE633B"/>
    <w:rsid w:val="00CE6DE3"/>
    <w:rsid w:val="00CE6E59"/>
    <w:rsid w:val="00CE6FF9"/>
    <w:rsid w:val="00CF0979"/>
    <w:rsid w:val="00CF1BD1"/>
    <w:rsid w:val="00CF3E51"/>
    <w:rsid w:val="00CF4368"/>
    <w:rsid w:val="00CF4B33"/>
    <w:rsid w:val="00CF5552"/>
    <w:rsid w:val="00CF5894"/>
    <w:rsid w:val="00CF64CB"/>
    <w:rsid w:val="00CF7194"/>
    <w:rsid w:val="00CF71BA"/>
    <w:rsid w:val="00CF7245"/>
    <w:rsid w:val="00D001A4"/>
    <w:rsid w:val="00D00C72"/>
    <w:rsid w:val="00D0125B"/>
    <w:rsid w:val="00D028DE"/>
    <w:rsid w:val="00D03805"/>
    <w:rsid w:val="00D03938"/>
    <w:rsid w:val="00D039D5"/>
    <w:rsid w:val="00D03B2F"/>
    <w:rsid w:val="00D0432E"/>
    <w:rsid w:val="00D048CC"/>
    <w:rsid w:val="00D0497B"/>
    <w:rsid w:val="00D058F8"/>
    <w:rsid w:val="00D05B73"/>
    <w:rsid w:val="00D06E26"/>
    <w:rsid w:val="00D07686"/>
    <w:rsid w:val="00D07DEF"/>
    <w:rsid w:val="00D10873"/>
    <w:rsid w:val="00D1091A"/>
    <w:rsid w:val="00D10BBE"/>
    <w:rsid w:val="00D110A4"/>
    <w:rsid w:val="00D11D82"/>
    <w:rsid w:val="00D13464"/>
    <w:rsid w:val="00D14128"/>
    <w:rsid w:val="00D1444B"/>
    <w:rsid w:val="00D15A50"/>
    <w:rsid w:val="00D16845"/>
    <w:rsid w:val="00D16A64"/>
    <w:rsid w:val="00D16FE6"/>
    <w:rsid w:val="00D17490"/>
    <w:rsid w:val="00D178E0"/>
    <w:rsid w:val="00D17F8E"/>
    <w:rsid w:val="00D201D0"/>
    <w:rsid w:val="00D20E79"/>
    <w:rsid w:val="00D20F2A"/>
    <w:rsid w:val="00D21CCA"/>
    <w:rsid w:val="00D21FB7"/>
    <w:rsid w:val="00D2206F"/>
    <w:rsid w:val="00D220CC"/>
    <w:rsid w:val="00D22A28"/>
    <w:rsid w:val="00D22F1C"/>
    <w:rsid w:val="00D23049"/>
    <w:rsid w:val="00D231D7"/>
    <w:rsid w:val="00D24A3B"/>
    <w:rsid w:val="00D25A55"/>
    <w:rsid w:val="00D26528"/>
    <w:rsid w:val="00D270D1"/>
    <w:rsid w:val="00D276D6"/>
    <w:rsid w:val="00D27C14"/>
    <w:rsid w:val="00D27C8F"/>
    <w:rsid w:val="00D30018"/>
    <w:rsid w:val="00D30176"/>
    <w:rsid w:val="00D301A8"/>
    <w:rsid w:val="00D31455"/>
    <w:rsid w:val="00D31712"/>
    <w:rsid w:val="00D31B61"/>
    <w:rsid w:val="00D32442"/>
    <w:rsid w:val="00D32AED"/>
    <w:rsid w:val="00D32E3D"/>
    <w:rsid w:val="00D335FF"/>
    <w:rsid w:val="00D336D0"/>
    <w:rsid w:val="00D3394B"/>
    <w:rsid w:val="00D33D95"/>
    <w:rsid w:val="00D33E9C"/>
    <w:rsid w:val="00D3429B"/>
    <w:rsid w:val="00D34803"/>
    <w:rsid w:val="00D34D3A"/>
    <w:rsid w:val="00D35027"/>
    <w:rsid w:val="00D35E78"/>
    <w:rsid w:val="00D4016D"/>
    <w:rsid w:val="00D403BF"/>
    <w:rsid w:val="00D40473"/>
    <w:rsid w:val="00D40E49"/>
    <w:rsid w:val="00D40FCD"/>
    <w:rsid w:val="00D42076"/>
    <w:rsid w:val="00D4252B"/>
    <w:rsid w:val="00D425A4"/>
    <w:rsid w:val="00D42BE1"/>
    <w:rsid w:val="00D4325C"/>
    <w:rsid w:val="00D43692"/>
    <w:rsid w:val="00D43787"/>
    <w:rsid w:val="00D43AA7"/>
    <w:rsid w:val="00D43B9F"/>
    <w:rsid w:val="00D4506A"/>
    <w:rsid w:val="00D45692"/>
    <w:rsid w:val="00D456EF"/>
    <w:rsid w:val="00D46ED5"/>
    <w:rsid w:val="00D474C3"/>
    <w:rsid w:val="00D47660"/>
    <w:rsid w:val="00D47A10"/>
    <w:rsid w:val="00D47F97"/>
    <w:rsid w:val="00D5006A"/>
    <w:rsid w:val="00D509A1"/>
    <w:rsid w:val="00D52360"/>
    <w:rsid w:val="00D52477"/>
    <w:rsid w:val="00D52FE5"/>
    <w:rsid w:val="00D532C6"/>
    <w:rsid w:val="00D5366E"/>
    <w:rsid w:val="00D53CCF"/>
    <w:rsid w:val="00D540F9"/>
    <w:rsid w:val="00D54B74"/>
    <w:rsid w:val="00D54DD3"/>
    <w:rsid w:val="00D54F16"/>
    <w:rsid w:val="00D5591A"/>
    <w:rsid w:val="00D567C1"/>
    <w:rsid w:val="00D56CB0"/>
    <w:rsid w:val="00D57DC2"/>
    <w:rsid w:val="00D6035A"/>
    <w:rsid w:val="00D60651"/>
    <w:rsid w:val="00D60B11"/>
    <w:rsid w:val="00D6145D"/>
    <w:rsid w:val="00D61481"/>
    <w:rsid w:val="00D623CA"/>
    <w:rsid w:val="00D62492"/>
    <w:rsid w:val="00D62D2E"/>
    <w:rsid w:val="00D62ED1"/>
    <w:rsid w:val="00D635C6"/>
    <w:rsid w:val="00D6387A"/>
    <w:rsid w:val="00D642DB"/>
    <w:rsid w:val="00D6440A"/>
    <w:rsid w:val="00D64571"/>
    <w:rsid w:val="00D65777"/>
    <w:rsid w:val="00D657FA"/>
    <w:rsid w:val="00D659DB"/>
    <w:rsid w:val="00D66882"/>
    <w:rsid w:val="00D7046B"/>
    <w:rsid w:val="00D70533"/>
    <w:rsid w:val="00D70BD9"/>
    <w:rsid w:val="00D70FF6"/>
    <w:rsid w:val="00D714CA"/>
    <w:rsid w:val="00D718C0"/>
    <w:rsid w:val="00D71E3B"/>
    <w:rsid w:val="00D721CE"/>
    <w:rsid w:val="00D722D1"/>
    <w:rsid w:val="00D736C1"/>
    <w:rsid w:val="00D73AE0"/>
    <w:rsid w:val="00D74036"/>
    <w:rsid w:val="00D74899"/>
    <w:rsid w:val="00D74B8D"/>
    <w:rsid w:val="00D753D5"/>
    <w:rsid w:val="00D75802"/>
    <w:rsid w:val="00D7769D"/>
    <w:rsid w:val="00D81897"/>
    <w:rsid w:val="00D829A9"/>
    <w:rsid w:val="00D82A01"/>
    <w:rsid w:val="00D836D8"/>
    <w:rsid w:val="00D83C76"/>
    <w:rsid w:val="00D84BEC"/>
    <w:rsid w:val="00D8587B"/>
    <w:rsid w:val="00D86B24"/>
    <w:rsid w:val="00D86BAD"/>
    <w:rsid w:val="00D86F17"/>
    <w:rsid w:val="00D871F4"/>
    <w:rsid w:val="00D87BF1"/>
    <w:rsid w:val="00D904A3"/>
    <w:rsid w:val="00D910EB"/>
    <w:rsid w:val="00D9215D"/>
    <w:rsid w:val="00D92829"/>
    <w:rsid w:val="00D92C33"/>
    <w:rsid w:val="00D93016"/>
    <w:rsid w:val="00D9325C"/>
    <w:rsid w:val="00D941F8"/>
    <w:rsid w:val="00D943C6"/>
    <w:rsid w:val="00D94F0F"/>
    <w:rsid w:val="00D95361"/>
    <w:rsid w:val="00D95482"/>
    <w:rsid w:val="00D956B2"/>
    <w:rsid w:val="00D957F5"/>
    <w:rsid w:val="00D96A30"/>
    <w:rsid w:val="00D96D9D"/>
    <w:rsid w:val="00D9737A"/>
    <w:rsid w:val="00DA0458"/>
    <w:rsid w:val="00DA093B"/>
    <w:rsid w:val="00DA0D3B"/>
    <w:rsid w:val="00DA0DE5"/>
    <w:rsid w:val="00DA2083"/>
    <w:rsid w:val="00DA2A51"/>
    <w:rsid w:val="00DA36DE"/>
    <w:rsid w:val="00DA3C21"/>
    <w:rsid w:val="00DA4439"/>
    <w:rsid w:val="00DA4F45"/>
    <w:rsid w:val="00DA608E"/>
    <w:rsid w:val="00DA6306"/>
    <w:rsid w:val="00DA6942"/>
    <w:rsid w:val="00DA77F9"/>
    <w:rsid w:val="00DA79D5"/>
    <w:rsid w:val="00DB0197"/>
    <w:rsid w:val="00DB0223"/>
    <w:rsid w:val="00DB02AD"/>
    <w:rsid w:val="00DB050A"/>
    <w:rsid w:val="00DB0B3B"/>
    <w:rsid w:val="00DB1A7C"/>
    <w:rsid w:val="00DB1AFB"/>
    <w:rsid w:val="00DB272F"/>
    <w:rsid w:val="00DB3025"/>
    <w:rsid w:val="00DB3DD3"/>
    <w:rsid w:val="00DB3E27"/>
    <w:rsid w:val="00DB3F1C"/>
    <w:rsid w:val="00DB4597"/>
    <w:rsid w:val="00DB4A59"/>
    <w:rsid w:val="00DB5B5D"/>
    <w:rsid w:val="00DB5B77"/>
    <w:rsid w:val="00DB5F5F"/>
    <w:rsid w:val="00DB61A3"/>
    <w:rsid w:val="00DB65C3"/>
    <w:rsid w:val="00DB6832"/>
    <w:rsid w:val="00DB772B"/>
    <w:rsid w:val="00DB7EB4"/>
    <w:rsid w:val="00DC00A5"/>
    <w:rsid w:val="00DC0BD1"/>
    <w:rsid w:val="00DC1837"/>
    <w:rsid w:val="00DC1C96"/>
    <w:rsid w:val="00DC23EB"/>
    <w:rsid w:val="00DC26B3"/>
    <w:rsid w:val="00DC2C70"/>
    <w:rsid w:val="00DC39D0"/>
    <w:rsid w:val="00DC4406"/>
    <w:rsid w:val="00DC4DC4"/>
    <w:rsid w:val="00DC503F"/>
    <w:rsid w:val="00DC5892"/>
    <w:rsid w:val="00DC6EF5"/>
    <w:rsid w:val="00DC77AC"/>
    <w:rsid w:val="00DD0221"/>
    <w:rsid w:val="00DD087D"/>
    <w:rsid w:val="00DD0CED"/>
    <w:rsid w:val="00DD15F3"/>
    <w:rsid w:val="00DD18CF"/>
    <w:rsid w:val="00DD1FBE"/>
    <w:rsid w:val="00DD34D2"/>
    <w:rsid w:val="00DD3C80"/>
    <w:rsid w:val="00DD46AD"/>
    <w:rsid w:val="00DD4E51"/>
    <w:rsid w:val="00DD5631"/>
    <w:rsid w:val="00DD5EC1"/>
    <w:rsid w:val="00DD5F98"/>
    <w:rsid w:val="00DD6166"/>
    <w:rsid w:val="00DD618F"/>
    <w:rsid w:val="00DD67E0"/>
    <w:rsid w:val="00DD6908"/>
    <w:rsid w:val="00DD6ACC"/>
    <w:rsid w:val="00DD706A"/>
    <w:rsid w:val="00DD7763"/>
    <w:rsid w:val="00DD7A4C"/>
    <w:rsid w:val="00DD7DC1"/>
    <w:rsid w:val="00DE0C23"/>
    <w:rsid w:val="00DE0DCD"/>
    <w:rsid w:val="00DE19D0"/>
    <w:rsid w:val="00DE1EB1"/>
    <w:rsid w:val="00DE2243"/>
    <w:rsid w:val="00DE4464"/>
    <w:rsid w:val="00DE4961"/>
    <w:rsid w:val="00DE4964"/>
    <w:rsid w:val="00DE53E4"/>
    <w:rsid w:val="00DE5802"/>
    <w:rsid w:val="00DE5C67"/>
    <w:rsid w:val="00DE5DBF"/>
    <w:rsid w:val="00DE5FCF"/>
    <w:rsid w:val="00DE69FF"/>
    <w:rsid w:val="00DE6DFE"/>
    <w:rsid w:val="00DE6E34"/>
    <w:rsid w:val="00DE7563"/>
    <w:rsid w:val="00DE7591"/>
    <w:rsid w:val="00DE77E4"/>
    <w:rsid w:val="00DF079E"/>
    <w:rsid w:val="00DF207C"/>
    <w:rsid w:val="00DF21AD"/>
    <w:rsid w:val="00DF35E1"/>
    <w:rsid w:val="00DF39DC"/>
    <w:rsid w:val="00DF3E17"/>
    <w:rsid w:val="00DF5CC8"/>
    <w:rsid w:val="00DF7015"/>
    <w:rsid w:val="00DF77AC"/>
    <w:rsid w:val="00E003F5"/>
    <w:rsid w:val="00E0074B"/>
    <w:rsid w:val="00E00A32"/>
    <w:rsid w:val="00E024EA"/>
    <w:rsid w:val="00E02C0E"/>
    <w:rsid w:val="00E02DD6"/>
    <w:rsid w:val="00E040E7"/>
    <w:rsid w:val="00E04352"/>
    <w:rsid w:val="00E04514"/>
    <w:rsid w:val="00E05851"/>
    <w:rsid w:val="00E05A95"/>
    <w:rsid w:val="00E05E1B"/>
    <w:rsid w:val="00E061B9"/>
    <w:rsid w:val="00E06993"/>
    <w:rsid w:val="00E06B41"/>
    <w:rsid w:val="00E071C7"/>
    <w:rsid w:val="00E102FF"/>
    <w:rsid w:val="00E10552"/>
    <w:rsid w:val="00E1058B"/>
    <w:rsid w:val="00E10651"/>
    <w:rsid w:val="00E107C5"/>
    <w:rsid w:val="00E11042"/>
    <w:rsid w:val="00E1109A"/>
    <w:rsid w:val="00E115BE"/>
    <w:rsid w:val="00E12FE3"/>
    <w:rsid w:val="00E14DA2"/>
    <w:rsid w:val="00E157EE"/>
    <w:rsid w:val="00E15883"/>
    <w:rsid w:val="00E158AA"/>
    <w:rsid w:val="00E162D5"/>
    <w:rsid w:val="00E16920"/>
    <w:rsid w:val="00E1709A"/>
    <w:rsid w:val="00E204D5"/>
    <w:rsid w:val="00E205FA"/>
    <w:rsid w:val="00E2094D"/>
    <w:rsid w:val="00E20CF1"/>
    <w:rsid w:val="00E21299"/>
    <w:rsid w:val="00E218C9"/>
    <w:rsid w:val="00E21A01"/>
    <w:rsid w:val="00E21CBB"/>
    <w:rsid w:val="00E22183"/>
    <w:rsid w:val="00E22265"/>
    <w:rsid w:val="00E222A4"/>
    <w:rsid w:val="00E22839"/>
    <w:rsid w:val="00E233BD"/>
    <w:rsid w:val="00E23AA4"/>
    <w:rsid w:val="00E23B01"/>
    <w:rsid w:val="00E23BD6"/>
    <w:rsid w:val="00E249A0"/>
    <w:rsid w:val="00E24C62"/>
    <w:rsid w:val="00E257C3"/>
    <w:rsid w:val="00E2608A"/>
    <w:rsid w:val="00E269C0"/>
    <w:rsid w:val="00E26F16"/>
    <w:rsid w:val="00E273A5"/>
    <w:rsid w:val="00E2756B"/>
    <w:rsid w:val="00E27C04"/>
    <w:rsid w:val="00E3093C"/>
    <w:rsid w:val="00E30E8F"/>
    <w:rsid w:val="00E3241F"/>
    <w:rsid w:val="00E325CC"/>
    <w:rsid w:val="00E32E1B"/>
    <w:rsid w:val="00E339FC"/>
    <w:rsid w:val="00E33E1E"/>
    <w:rsid w:val="00E34087"/>
    <w:rsid w:val="00E349D8"/>
    <w:rsid w:val="00E34AA6"/>
    <w:rsid w:val="00E34D7F"/>
    <w:rsid w:val="00E3521E"/>
    <w:rsid w:val="00E356FD"/>
    <w:rsid w:val="00E35CFC"/>
    <w:rsid w:val="00E35D55"/>
    <w:rsid w:val="00E36268"/>
    <w:rsid w:val="00E367EF"/>
    <w:rsid w:val="00E36B89"/>
    <w:rsid w:val="00E36B9E"/>
    <w:rsid w:val="00E36FE3"/>
    <w:rsid w:val="00E37E94"/>
    <w:rsid w:val="00E4015D"/>
    <w:rsid w:val="00E406F4"/>
    <w:rsid w:val="00E4113D"/>
    <w:rsid w:val="00E4128C"/>
    <w:rsid w:val="00E41585"/>
    <w:rsid w:val="00E41956"/>
    <w:rsid w:val="00E41C01"/>
    <w:rsid w:val="00E42388"/>
    <w:rsid w:val="00E42479"/>
    <w:rsid w:val="00E42A45"/>
    <w:rsid w:val="00E43292"/>
    <w:rsid w:val="00E43CE3"/>
    <w:rsid w:val="00E43D2F"/>
    <w:rsid w:val="00E43E20"/>
    <w:rsid w:val="00E45554"/>
    <w:rsid w:val="00E45AC5"/>
    <w:rsid w:val="00E4632C"/>
    <w:rsid w:val="00E463B4"/>
    <w:rsid w:val="00E46A69"/>
    <w:rsid w:val="00E46D2A"/>
    <w:rsid w:val="00E47722"/>
    <w:rsid w:val="00E478C4"/>
    <w:rsid w:val="00E47ADD"/>
    <w:rsid w:val="00E50648"/>
    <w:rsid w:val="00E5067E"/>
    <w:rsid w:val="00E50835"/>
    <w:rsid w:val="00E50BF0"/>
    <w:rsid w:val="00E50C13"/>
    <w:rsid w:val="00E5132F"/>
    <w:rsid w:val="00E51BF8"/>
    <w:rsid w:val="00E51C7A"/>
    <w:rsid w:val="00E52BFA"/>
    <w:rsid w:val="00E52CCD"/>
    <w:rsid w:val="00E54061"/>
    <w:rsid w:val="00E5470C"/>
    <w:rsid w:val="00E54975"/>
    <w:rsid w:val="00E54EA3"/>
    <w:rsid w:val="00E55035"/>
    <w:rsid w:val="00E55890"/>
    <w:rsid w:val="00E559A9"/>
    <w:rsid w:val="00E55AA5"/>
    <w:rsid w:val="00E55D49"/>
    <w:rsid w:val="00E55EC1"/>
    <w:rsid w:val="00E5620E"/>
    <w:rsid w:val="00E568AA"/>
    <w:rsid w:val="00E56F13"/>
    <w:rsid w:val="00E572C0"/>
    <w:rsid w:val="00E6158B"/>
    <w:rsid w:val="00E619A9"/>
    <w:rsid w:val="00E633E0"/>
    <w:rsid w:val="00E634CB"/>
    <w:rsid w:val="00E6354B"/>
    <w:rsid w:val="00E636ED"/>
    <w:rsid w:val="00E63913"/>
    <w:rsid w:val="00E639C9"/>
    <w:rsid w:val="00E64FFC"/>
    <w:rsid w:val="00E6532B"/>
    <w:rsid w:val="00E6612F"/>
    <w:rsid w:val="00E66422"/>
    <w:rsid w:val="00E665B2"/>
    <w:rsid w:val="00E66700"/>
    <w:rsid w:val="00E66A72"/>
    <w:rsid w:val="00E674B8"/>
    <w:rsid w:val="00E675E2"/>
    <w:rsid w:val="00E703A8"/>
    <w:rsid w:val="00E70828"/>
    <w:rsid w:val="00E70BF8"/>
    <w:rsid w:val="00E70C65"/>
    <w:rsid w:val="00E714EF"/>
    <w:rsid w:val="00E71816"/>
    <w:rsid w:val="00E7189D"/>
    <w:rsid w:val="00E72083"/>
    <w:rsid w:val="00E722B1"/>
    <w:rsid w:val="00E733E8"/>
    <w:rsid w:val="00E73F0F"/>
    <w:rsid w:val="00E743AD"/>
    <w:rsid w:val="00E74701"/>
    <w:rsid w:val="00E74974"/>
    <w:rsid w:val="00E749AB"/>
    <w:rsid w:val="00E750F3"/>
    <w:rsid w:val="00E7533E"/>
    <w:rsid w:val="00E75649"/>
    <w:rsid w:val="00E7633E"/>
    <w:rsid w:val="00E7649D"/>
    <w:rsid w:val="00E764C5"/>
    <w:rsid w:val="00E76987"/>
    <w:rsid w:val="00E77319"/>
    <w:rsid w:val="00E7755A"/>
    <w:rsid w:val="00E77811"/>
    <w:rsid w:val="00E77CB7"/>
    <w:rsid w:val="00E80076"/>
    <w:rsid w:val="00E802AB"/>
    <w:rsid w:val="00E8064C"/>
    <w:rsid w:val="00E80834"/>
    <w:rsid w:val="00E811AE"/>
    <w:rsid w:val="00E818D8"/>
    <w:rsid w:val="00E81E13"/>
    <w:rsid w:val="00E81EDD"/>
    <w:rsid w:val="00E83880"/>
    <w:rsid w:val="00E841CE"/>
    <w:rsid w:val="00E841E1"/>
    <w:rsid w:val="00E856C0"/>
    <w:rsid w:val="00E87985"/>
    <w:rsid w:val="00E87C77"/>
    <w:rsid w:val="00E87D75"/>
    <w:rsid w:val="00E902A1"/>
    <w:rsid w:val="00E90660"/>
    <w:rsid w:val="00E90AC5"/>
    <w:rsid w:val="00E90C13"/>
    <w:rsid w:val="00E915EC"/>
    <w:rsid w:val="00E919AB"/>
    <w:rsid w:val="00E91A33"/>
    <w:rsid w:val="00E92038"/>
    <w:rsid w:val="00E9248E"/>
    <w:rsid w:val="00E93738"/>
    <w:rsid w:val="00E93CE2"/>
    <w:rsid w:val="00E93FA1"/>
    <w:rsid w:val="00E942E9"/>
    <w:rsid w:val="00E943D2"/>
    <w:rsid w:val="00E94430"/>
    <w:rsid w:val="00E946E0"/>
    <w:rsid w:val="00E957DD"/>
    <w:rsid w:val="00E95E66"/>
    <w:rsid w:val="00E95F44"/>
    <w:rsid w:val="00E96288"/>
    <w:rsid w:val="00E96A06"/>
    <w:rsid w:val="00E9747A"/>
    <w:rsid w:val="00E975FB"/>
    <w:rsid w:val="00E97987"/>
    <w:rsid w:val="00E97C25"/>
    <w:rsid w:val="00EA0055"/>
    <w:rsid w:val="00EA02AC"/>
    <w:rsid w:val="00EA0610"/>
    <w:rsid w:val="00EA0EAF"/>
    <w:rsid w:val="00EA11F2"/>
    <w:rsid w:val="00EA199F"/>
    <w:rsid w:val="00EA1B06"/>
    <w:rsid w:val="00EA2104"/>
    <w:rsid w:val="00EA2F5A"/>
    <w:rsid w:val="00EA2FC9"/>
    <w:rsid w:val="00EA4138"/>
    <w:rsid w:val="00EA46DD"/>
    <w:rsid w:val="00EA494F"/>
    <w:rsid w:val="00EA496A"/>
    <w:rsid w:val="00EA4D04"/>
    <w:rsid w:val="00EA52DA"/>
    <w:rsid w:val="00EA6469"/>
    <w:rsid w:val="00EA648C"/>
    <w:rsid w:val="00EA6969"/>
    <w:rsid w:val="00EA7407"/>
    <w:rsid w:val="00EA767B"/>
    <w:rsid w:val="00EA7A78"/>
    <w:rsid w:val="00EB03A4"/>
    <w:rsid w:val="00EB047D"/>
    <w:rsid w:val="00EB0A50"/>
    <w:rsid w:val="00EB0DC3"/>
    <w:rsid w:val="00EB11FB"/>
    <w:rsid w:val="00EB132A"/>
    <w:rsid w:val="00EB1876"/>
    <w:rsid w:val="00EB2167"/>
    <w:rsid w:val="00EB366A"/>
    <w:rsid w:val="00EB36D0"/>
    <w:rsid w:val="00EB410B"/>
    <w:rsid w:val="00EB4288"/>
    <w:rsid w:val="00EB4460"/>
    <w:rsid w:val="00EB459A"/>
    <w:rsid w:val="00EB5617"/>
    <w:rsid w:val="00EB5746"/>
    <w:rsid w:val="00EB5AAC"/>
    <w:rsid w:val="00EB5BCC"/>
    <w:rsid w:val="00EB5F92"/>
    <w:rsid w:val="00EC17B0"/>
    <w:rsid w:val="00EC1F08"/>
    <w:rsid w:val="00EC20CE"/>
    <w:rsid w:val="00EC22AF"/>
    <w:rsid w:val="00EC29D1"/>
    <w:rsid w:val="00EC2CF2"/>
    <w:rsid w:val="00EC2F98"/>
    <w:rsid w:val="00EC3265"/>
    <w:rsid w:val="00EC35AA"/>
    <w:rsid w:val="00EC4269"/>
    <w:rsid w:val="00EC4344"/>
    <w:rsid w:val="00EC4B35"/>
    <w:rsid w:val="00EC4F6F"/>
    <w:rsid w:val="00EC580A"/>
    <w:rsid w:val="00EC582D"/>
    <w:rsid w:val="00EC594B"/>
    <w:rsid w:val="00EC5979"/>
    <w:rsid w:val="00EC61EA"/>
    <w:rsid w:val="00EC66B1"/>
    <w:rsid w:val="00EC6BC6"/>
    <w:rsid w:val="00EC7544"/>
    <w:rsid w:val="00EC7649"/>
    <w:rsid w:val="00EC7AAE"/>
    <w:rsid w:val="00ED0306"/>
    <w:rsid w:val="00ED0688"/>
    <w:rsid w:val="00ED0BDD"/>
    <w:rsid w:val="00ED0FD6"/>
    <w:rsid w:val="00ED134A"/>
    <w:rsid w:val="00ED1374"/>
    <w:rsid w:val="00ED1766"/>
    <w:rsid w:val="00ED1E7D"/>
    <w:rsid w:val="00ED2916"/>
    <w:rsid w:val="00ED2C9E"/>
    <w:rsid w:val="00ED2D7B"/>
    <w:rsid w:val="00ED4216"/>
    <w:rsid w:val="00ED4855"/>
    <w:rsid w:val="00ED4CEB"/>
    <w:rsid w:val="00ED55C5"/>
    <w:rsid w:val="00ED591C"/>
    <w:rsid w:val="00ED5944"/>
    <w:rsid w:val="00ED6D03"/>
    <w:rsid w:val="00ED70EE"/>
    <w:rsid w:val="00ED77F5"/>
    <w:rsid w:val="00EE0C7B"/>
    <w:rsid w:val="00EE2025"/>
    <w:rsid w:val="00EE22EC"/>
    <w:rsid w:val="00EE2B12"/>
    <w:rsid w:val="00EE320D"/>
    <w:rsid w:val="00EE3727"/>
    <w:rsid w:val="00EE3811"/>
    <w:rsid w:val="00EE42F3"/>
    <w:rsid w:val="00EE4656"/>
    <w:rsid w:val="00EE51E1"/>
    <w:rsid w:val="00EE5924"/>
    <w:rsid w:val="00EE5DF6"/>
    <w:rsid w:val="00EE6074"/>
    <w:rsid w:val="00EE7167"/>
    <w:rsid w:val="00EE7978"/>
    <w:rsid w:val="00EE7C34"/>
    <w:rsid w:val="00EF017E"/>
    <w:rsid w:val="00EF0C86"/>
    <w:rsid w:val="00EF0E4B"/>
    <w:rsid w:val="00EF173C"/>
    <w:rsid w:val="00EF1FE3"/>
    <w:rsid w:val="00EF2079"/>
    <w:rsid w:val="00EF318F"/>
    <w:rsid w:val="00EF3A5A"/>
    <w:rsid w:val="00EF43A9"/>
    <w:rsid w:val="00EF4C48"/>
    <w:rsid w:val="00EF5138"/>
    <w:rsid w:val="00EF61D1"/>
    <w:rsid w:val="00EF70E1"/>
    <w:rsid w:val="00EF7C69"/>
    <w:rsid w:val="00F00143"/>
    <w:rsid w:val="00F007BA"/>
    <w:rsid w:val="00F00883"/>
    <w:rsid w:val="00F00C41"/>
    <w:rsid w:val="00F01DDC"/>
    <w:rsid w:val="00F021E7"/>
    <w:rsid w:val="00F027CC"/>
    <w:rsid w:val="00F02B99"/>
    <w:rsid w:val="00F03CEA"/>
    <w:rsid w:val="00F03DAF"/>
    <w:rsid w:val="00F042DA"/>
    <w:rsid w:val="00F05091"/>
    <w:rsid w:val="00F05115"/>
    <w:rsid w:val="00F0645B"/>
    <w:rsid w:val="00F07E42"/>
    <w:rsid w:val="00F10790"/>
    <w:rsid w:val="00F10B0B"/>
    <w:rsid w:val="00F11502"/>
    <w:rsid w:val="00F12F8E"/>
    <w:rsid w:val="00F13990"/>
    <w:rsid w:val="00F13F8B"/>
    <w:rsid w:val="00F147DB"/>
    <w:rsid w:val="00F148D6"/>
    <w:rsid w:val="00F1500B"/>
    <w:rsid w:val="00F16D24"/>
    <w:rsid w:val="00F20081"/>
    <w:rsid w:val="00F21595"/>
    <w:rsid w:val="00F216B7"/>
    <w:rsid w:val="00F2184A"/>
    <w:rsid w:val="00F21A41"/>
    <w:rsid w:val="00F21F62"/>
    <w:rsid w:val="00F22A32"/>
    <w:rsid w:val="00F22D2A"/>
    <w:rsid w:val="00F233E0"/>
    <w:rsid w:val="00F23F95"/>
    <w:rsid w:val="00F244F3"/>
    <w:rsid w:val="00F253A3"/>
    <w:rsid w:val="00F269B7"/>
    <w:rsid w:val="00F26D5A"/>
    <w:rsid w:val="00F26DDA"/>
    <w:rsid w:val="00F27088"/>
    <w:rsid w:val="00F27B7B"/>
    <w:rsid w:val="00F27DC4"/>
    <w:rsid w:val="00F27E25"/>
    <w:rsid w:val="00F30498"/>
    <w:rsid w:val="00F30CFB"/>
    <w:rsid w:val="00F30F48"/>
    <w:rsid w:val="00F318AC"/>
    <w:rsid w:val="00F31CCD"/>
    <w:rsid w:val="00F32A44"/>
    <w:rsid w:val="00F32C12"/>
    <w:rsid w:val="00F330E8"/>
    <w:rsid w:val="00F33135"/>
    <w:rsid w:val="00F33611"/>
    <w:rsid w:val="00F3384D"/>
    <w:rsid w:val="00F34389"/>
    <w:rsid w:val="00F34741"/>
    <w:rsid w:val="00F34E58"/>
    <w:rsid w:val="00F35395"/>
    <w:rsid w:val="00F35E92"/>
    <w:rsid w:val="00F36463"/>
    <w:rsid w:val="00F365C3"/>
    <w:rsid w:val="00F375D4"/>
    <w:rsid w:val="00F37955"/>
    <w:rsid w:val="00F4083E"/>
    <w:rsid w:val="00F408D6"/>
    <w:rsid w:val="00F40A89"/>
    <w:rsid w:val="00F411D4"/>
    <w:rsid w:val="00F4121A"/>
    <w:rsid w:val="00F412A0"/>
    <w:rsid w:val="00F417A7"/>
    <w:rsid w:val="00F41A2A"/>
    <w:rsid w:val="00F42547"/>
    <w:rsid w:val="00F42EAD"/>
    <w:rsid w:val="00F43505"/>
    <w:rsid w:val="00F438A3"/>
    <w:rsid w:val="00F470E5"/>
    <w:rsid w:val="00F472C8"/>
    <w:rsid w:val="00F47720"/>
    <w:rsid w:val="00F4784D"/>
    <w:rsid w:val="00F50425"/>
    <w:rsid w:val="00F50D2C"/>
    <w:rsid w:val="00F510C4"/>
    <w:rsid w:val="00F510F6"/>
    <w:rsid w:val="00F5114E"/>
    <w:rsid w:val="00F5116E"/>
    <w:rsid w:val="00F51680"/>
    <w:rsid w:val="00F51808"/>
    <w:rsid w:val="00F518C2"/>
    <w:rsid w:val="00F5212C"/>
    <w:rsid w:val="00F52F06"/>
    <w:rsid w:val="00F5303D"/>
    <w:rsid w:val="00F535A6"/>
    <w:rsid w:val="00F53B39"/>
    <w:rsid w:val="00F5424C"/>
    <w:rsid w:val="00F546E9"/>
    <w:rsid w:val="00F54E22"/>
    <w:rsid w:val="00F550FC"/>
    <w:rsid w:val="00F55B88"/>
    <w:rsid w:val="00F567C8"/>
    <w:rsid w:val="00F5705B"/>
    <w:rsid w:val="00F57495"/>
    <w:rsid w:val="00F57633"/>
    <w:rsid w:val="00F57A67"/>
    <w:rsid w:val="00F57B30"/>
    <w:rsid w:val="00F57C31"/>
    <w:rsid w:val="00F603E5"/>
    <w:rsid w:val="00F606CC"/>
    <w:rsid w:val="00F60EA6"/>
    <w:rsid w:val="00F61D41"/>
    <w:rsid w:val="00F62196"/>
    <w:rsid w:val="00F6289D"/>
    <w:rsid w:val="00F65DE0"/>
    <w:rsid w:val="00F65FD6"/>
    <w:rsid w:val="00F6611D"/>
    <w:rsid w:val="00F664A7"/>
    <w:rsid w:val="00F66789"/>
    <w:rsid w:val="00F67A57"/>
    <w:rsid w:val="00F710B1"/>
    <w:rsid w:val="00F7116C"/>
    <w:rsid w:val="00F712EF"/>
    <w:rsid w:val="00F71707"/>
    <w:rsid w:val="00F7173F"/>
    <w:rsid w:val="00F722E6"/>
    <w:rsid w:val="00F72771"/>
    <w:rsid w:val="00F729A0"/>
    <w:rsid w:val="00F731E0"/>
    <w:rsid w:val="00F73861"/>
    <w:rsid w:val="00F738AB"/>
    <w:rsid w:val="00F73F35"/>
    <w:rsid w:val="00F74406"/>
    <w:rsid w:val="00F74990"/>
    <w:rsid w:val="00F74C89"/>
    <w:rsid w:val="00F74D59"/>
    <w:rsid w:val="00F75259"/>
    <w:rsid w:val="00F75542"/>
    <w:rsid w:val="00F75E30"/>
    <w:rsid w:val="00F75F1E"/>
    <w:rsid w:val="00F76716"/>
    <w:rsid w:val="00F76C61"/>
    <w:rsid w:val="00F77163"/>
    <w:rsid w:val="00F77E54"/>
    <w:rsid w:val="00F800E5"/>
    <w:rsid w:val="00F80484"/>
    <w:rsid w:val="00F806AF"/>
    <w:rsid w:val="00F80936"/>
    <w:rsid w:val="00F820E3"/>
    <w:rsid w:val="00F8217D"/>
    <w:rsid w:val="00F8218F"/>
    <w:rsid w:val="00F821BE"/>
    <w:rsid w:val="00F8222B"/>
    <w:rsid w:val="00F8230C"/>
    <w:rsid w:val="00F8297A"/>
    <w:rsid w:val="00F829DC"/>
    <w:rsid w:val="00F82D32"/>
    <w:rsid w:val="00F83134"/>
    <w:rsid w:val="00F83196"/>
    <w:rsid w:val="00F83778"/>
    <w:rsid w:val="00F84262"/>
    <w:rsid w:val="00F845B9"/>
    <w:rsid w:val="00F84D3B"/>
    <w:rsid w:val="00F85756"/>
    <w:rsid w:val="00F85761"/>
    <w:rsid w:val="00F85CF2"/>
    <w:rsid w:val="00F85D31"/>
    <w:rsid w:val="00F86704"/>
    <w:rsid w:val="00F86ED2"/>
    <w:rsid w:val="00F87A0B"/>
    <w:rsid w:val="00F9061A"/>
    <w:rsid w:val="00F909AE"/>
    <w:rsid w:val="00F90E44"/>
    <w:rsid w:val="00F91090"/>
    <w:rsid w:val="00F917EF"/>
    <w:rsid w:val="00F91964"/>
    <w:rsid w:val="00F92987"/>
    <w:rsid w:val="00F92E7A"/>
    <w:rsid w:val="00F93FDA"/>
    <w:rsid w:val="00F94FAA"/>
    <w:rsid w:val="00F955AD"/>
    <w:rsid w:val="00F9587E"/>
    <w:rsid w:val="00F96048"/>
    <w:rsid w:val="00F960BF"/>
    <w:rsid w:val="00F963AD"/>
    <w:rsid w:val="00F96E44"/>
    <w:rsid w:val="00F972E2"/>
    <w:rsid w:val="00F97635"/>
    <w:rsid w:val="00F97C20"/>
    <w:rsid w:val="00FA0311"/>
    <w:rsid w:val="00FA1201"/>
    <w:rsid w:val="00FA285F"/>
    <w:rsid w:val="00FA3E67"/>
    <w:rsid w:val="00FA4626"/>
    <w:rsid w:val="00FA5106"/>
    <w:rsid w:val="00FA56FF"/>
    <w:rsid w:val="00FA5B3B"/>
    <w:rsid w:val="00FA61D5"/>
    <w:rsid w:val="00FB016B"/>
    <w:rsid w:val="00FB07DE"/>
    <w:rsid w:val="00FB0A59"/>
    <w:rsid w:val="00FB0DFF"/>
    <w:rsid w:val="00FB1112"/>
    <w:rsid w:val="00FB1470"/>
    <w:rsid w:val="00FB1FC3"/>
    <w:rsid w:val="00FB236D"/>
    <w:rsid w:val="00FB27AE"/>
    <w:rsid w:val="00FB28FC"/>
    <w:rsid w:val="00FB33A9"/>
    <w:rsid w:val="00FB3BD9"/>
    <w:rsid w:val="00FB424F"/>
    <w:rsid w:val="00FB4E7D"/>
    <w:rsid w:val="00FB5420"/>
    <w:rsid w:val="00FB5485"/>
    <w:rsid w:val="00FB5B8D"/>
    <w:rsid w:val="00FB5C9D"/>
    <w:rsid w:val="00FB609C"/>
    <w:rsid w:val="00FB64E2"/>
    <w:rsid w:val="00FB6819"/>
    <w:rsid w:val="00FB6E16"/>
    <w:rsid w:val="00FB786A"/>
    <w:rsid w:val="00FC05C4"/>
    <w:rsid w:val="00FC05DA"/>
    <w:rsid w:val="00FC081C"/>
    <w:rsid w:val="00FC0BD3"/>
    <w:rsid w:val="00FC0EE0"/>
    <w:rsid w:val="00FC10B0"/>
    <w:rsid w:val="00FC20D4"/>
    <w:rsid w:val="00FC26D9"/>
    <w:rsid w:val="00FC2938"/>
    <w:rsid w:val="00FC2D02"/>
    <w:rsid w:val="00FC3E9E"/>
    <w:rsid w:val="00FC3FEB"/>
    <w:rsid w:val="00FC47B1"/>
    <w:rsid w:val="00FC5B1D"/>
    <w:rsid w:val="00FC5E4E"/>
    <w:rsid w:val="00FC5EF7"/>
    <w:rsid w:val="00FC654B"/>
    <w:rsid w:val="00FC6E17"/>
    <w:rsid w:val="00FC7046"/>
    <w:rsid w:val="00FC71BA"/>
    <w:rsid w:val="00FC73FA"/>
    <w:rsid w:val="00FC79D0"/>
    <w:rsid w:val="00FD0216"/>
    <w:rsid w:val="00FD0323"/>
    <w:rsid w:val="00FD045F"/>
    <w:rsid w:val="00FD0541"/>
    <w:rsid w:val="00FD08DA"/>
    <w:rsid w:val="00FD0AAB"/>
    <w:rsid w:val="00FD0E89"/>
    <w:rsid w:val="00FD13C0"/>
    <w:rsid w:val="00FD25AB"/>
    <w:rsid w:val="00FD31AA"/>
    <w:rsid w:val="00FD324C"/>
    <w:rsid w:val="00FD3D45"/>
    <w:rsid w:val="00FD4AB2"/>
    <w:rsid w:val="00FD5694"/>
    <w:rsid w:val="00FD59D0"/>
    <w:rsid w:val="00FD6053"/>
    <w:rsid w:val="00FD643A"/>
    <w:rsid w:val="00FD6B82"/>
    <w:rsid w:val="00FD7A2A"/>
    <w:rsid w:val="00FD7EFD"/>
    <w:rsid w:val="00FD7FBE"/>
    <w:rsid w:val="00FE0678"/>
    <w:rsid w:val="00FE08C8"/>
    <w:rsid w:val="00FE0D14"/>
    <w:rsid w:val="00FE149D"/>
    <w:rsid w:val="00FE1905"/>
    <w:rsid w:val="00FE284F"/>
    <w:rsid w:val="00FE29CA"/>
    <w:rsid w:val="00FE2B9C"/>
    <w:rsid w:val="00FE33E0"/>
    <w:rsid w:val="00FE4859"/>
    <w:rsid w:val="00FE50FD"/>
    <w:rsid w:val="00FE5B6D"/>
    <w:rsid w:val="00FE5BA2"/>
    <w:rsid w:val="00FE5F0E"/>
    <w:rsid w:val="00FE6045"/>
    <w:rsid w:val="00FE732A"/>
    <w:rsid w:val="00FF08FA"/>
    <w:rsid w:val="00FF0EE7"/>
    <w:rsid w:val="00FF1946"/>
    <w:rsid w:val="00FF1AD2"/>
    <w:rsid w:val="00FF24A4"/>
    <w:rsid w:val="00FF38A6"/>
    <w:rsid w:val="00FF3AE2"/>
    <w:rsid w:val="00FF41F8"/>
    <w:rsid w:val="00FF4BDC"/>
    <w:rsid w:val="00FF4DEC"/>
    <w:rsid w:val="00FF52BD"/>
    <w:rsid w:val="00FF5443"/>
    <w:rsid w:val="00FF56AD"/>
    <w:rsid w:val="00FF5FD2"/>
    <w:rsid w:val="00FF69E6"/>
    <w:rsid w:val="00FF7139"/>
    <w:rsid w:val="00FF7AAD"/>
    <w:rsid w:val="018C6CBE"/>
    <w:rsid w:val="04F76FE1"/>
    <w:rsid w:val="05E530D0"/>
    <w:rsid w:val="060A2A81"/>
    <w:rsid w:val="06485559"/>
    <w:rsid w:val="073A13BA"/>
    <w:rsid w:val="08BA48F8"/>
    <w:rsid w:val="08BB280E"/>
    <w:rsid w:val="0A664DCA"/>
    <w:rsid w:val="0AE918B4"/>
    <w:rsid w:val="0AEF5D5B"/>
    <w:rsid w:val="0B574470"/>
    <w:rsid w:val="0B674587"/>
    <w:rsid w:val="0C617AC8"/>
    <w:rsid w:val="0C9F78BD"/>
    <w:rsid w:val="0D3112F1"/>
    <w:rsid w:val="0DDF6F9F"/>
    <w:rsid w:val="0E1E3623"/>
    <w:rsid w:val="0E4017EB"/>
    <w:rsid w:val="0FB71F81"/>
    <w:rsid w:val="11177635"/>
    <w:rsid w:val="11AC53EA"/>
    <w:rsid w:val="11D34725"/>
    <w:rsid w:val="12891287"/>
    <w:rsid w:val="132C67E2"/>
    <w:rsid w:val="13E55C7E"/>
    <w:rsid w:val="142676D5"/>
    <w:rsid w:val="14AA20B4"/>
    <w:rsid w:val="15064C78"/>
    <w:rsid w:val="16F67CFA"/>
    <w:rsid w:val="183034BF"/>
    <w:rsid w:val="18D15693"/>
    <w:rsid w:val="18D45952"/>
    <w:rsid w:val="19283784"/>
    <w:rsid w:val="19C34A19"/>
    <w:rsid w:val="1A68351D"/>
    <w:rsid w:val="1A78055F"/>
    <w:rsid w:val="1A9D60B7"/>
    <w:rsid w:val="1B092452"/>
    <w:rsid w:val="1B2E4D81"/>
    <w:rsid w:val="1B351FAC"/>
    <w:rsid w:val="1BD25A4D"/>
    <w:rsid w:val="1BDD7F2E"/>
    <w:rsid w:val="1EA83BBB"/>
    <w:rsid w:val="1ECE03E2"/>
    <w:rsid w:val="1EFB350D"/>
    <w:rsid w:val="221A2A00"/>
    <w:rsid w:val="237A0D7C"/>
    <w:rsid w:val="250860AD"/>
    <w:rsid w:val="25E40645"/>
    <w:rsid w:val="262E2C1F"/>
    <w:rsid w:val="273C3BE1"/>
    <w:rsid w:val="27A61EA5"/>
    <w:rsid w:val="28566C84"/>
    <w:rsid w:val="297F68AD"/>
    <w:rsid w:val="29944785"/>
    <w:rsid w:val="29CE5AA6"/>
    <w:rsid w:val="29FE7F3A"/>
    <w:rsid w:val="2A982D44"/>
    <w:rsid w:val="2AD37D2B"/>
    <w:rsid w:val="2C66290D"/>
    <w:rsid w:val="2C7D1A05"/>
    <w:rsid w:val="2D55028C"/>
    <w:rsid w:val="2E322C13"/>
    <w:rsid w:val="2EB55486"/>
    <w:rsid w:val="2EDC2584"/>
    <w:rsid w:val="2F4C39FA"/>
    <w:rsid w:val="301466BF"/>
    <w:rsid w:val="30501D8F"/>
    <w:rsid w:val="30D22E4F"/>
    <w:rsid w:val="31216519"/>
    <w:rsid w:val="315E3707"/>
    <w:rsid w:val="31BD01D6"/>
    <w:rsid w:val="320329AC"/>
    <w:rsid w:val="328238D1"/>
    <w:rsid w:val="339A40A3"/>
    <w:rsid w:val="350902DA"/>
    <w:rsid w:val="35587542"/>
    <w:rsid w:val="3592207D"/>
    <w:rsid w:val="361A42C3"/>
    <w:rsid w:val="36590DED"/>
    <w:rsid w:val="3695447B"/>
    <w:rsid w:val="3751103F"/>
    <w:rsid w:val="37A478E2"/>
    <w:rsid w:val="38202411"/>
    <w:rsid w:val="38876845"/>
    <w:rsid w:val="38AD0678"/>
    <w:rsid w:val="3A445910"/>
    <w:rsid w:val="3B6444BC"/>
    <w:rsid w:val="3B8065B2"/>
    <w:rsid w:val="3BA40D5C"/>
    <w:rsid w:val="3BDF4BB4"/>
    <w:rsid w:val="3BEA252B"/>
    <w:rsid w:val="3C90253B"/>
    <w:rsid w:val="3CA1529C"/>
    <w:rsid w:val="3CD411CD"/>
    <w:rsid w:val="3D2757A1"/>
    <w:rsid w:val="3E483C21"/>
    <w:rsid w:val="3FBB48C6"/>
    <w:rsid w:val="3FF07C25"/>
    <w:rsid w:val="402678CA"/>
    <w:rsid w:val="402F457A"/>
    <w:rsid w:val="403C2513"/>
    <w:rsid w:val="40D55514"/>
    <w:rsid w:val="4253528A"/>
    <w:rsid w:val="42CD0B98"/>
    <w:rsid w:val="43317379"/>
    <w:rsid w:val="436112E1"/>
    <w:rsid w:val="44C6414D"/>
    <w:rsid w:val="4670640B"/>
    <w:rsid w:val="469C726D"/>
    <w:rsid w:val="47653A95"/>
    <w:rsid w:val="477E4B57"/>
    <w:rsid w:val="49B42535"/>
    <w:rsid w:val="49BC3715"/>
    <w:rsid w:val="49EF7646"/>
    <w:rsid w:val="4A58078E"/>
    <w:rsid w:val="4B2E7EB5"/>
    <w:rsid w:val="4B315A3D"/>
    <w:rsid w:val="4BFC604B"/>
    <w:rsid w:val="4C2F14FB"/>
    <w:rsid w:val="4C897566"/>
    <w:rsid w:val="4D035091"/>
    <w:rsid w:val="4D137D75"/>
    <w:rsid w:val="4D671BE9"/>
    <w:rsid w:val="4DF06083"/>
    <w:rsid w:val="4E1E674C"/>
    <w:rsid w:val="4ED37E18"/>
    <w:rsid w:val="4ED52558"/>
    <w:rsid w:val="4F1E452A"/>
    <w:rsid w:val="4FB67438"/>
    <w:rsid w:val="4FBC5A76"/>
    <w:rsid w:val="5026056E"/>
    <w:rsid w:val="50641D09"/>
    <w:rsid w:val="51333709"/>
    <w:rsid w:val="51E57A85"/>
    <w:rsid w:val="521013DF"/>
    <w:rsid w:val="535A6478"/>
    <w:rsid w:val="556F1FA6"/>
    <w:rsid w:val="55E02539"/>
    <w:rsid w:val="56E57F93"/>
    <w:rsid w:val="57435E3C"/>
    <w:rsid w:val="57686C8A"/>
    <w:rsid w:val="577B69BD"/>
    <w:rsid w:val="58095D77"/>
    <w:rsid w:val="58C07B7D"/>
    <w:rsid w:val="592813CA"/>
    <w:rsid w:val="594204BF"/>
    <w:rsid w:val="599624EF"/>
    <w:rsid w:val="59E94CF1"/>
    <w:rsid w:val="5A407549"/>
    <w:rsid w:val="5CE21702"/>
    <w:rsid w:val="5D412B45"/>
    <w:rsid w:val="5D9F4E42"/>
    <w:rsid w:val="5DFD2098"/>
    <w:rsid w:val="5F4973A1"/>
    <w:rsid w:val="5F812FDF"/>
    <w:rsid w:val="5F84662B"/>
    <w:rsid w:val="5FD72BFF"/>
    <w:rsid w:val="5FF27F43"/>
    <w:rsid w:val="6053031B"/>
    <w:rsid w:val="60563B24"/>
    <w:rsid w:val="60AC5E39"/>
    <w:rsid w:val="62B114E5"/>
    <w:rsid w:val="62BC1DE1"/>
    <w:rsid w:val="62CD0079"/>
    <w:rsid w:val="62E531FF"/>
    <w:rsid w:val="63212B0F"/>
    <w:rsid w:val="64B96D77"/>
    <w:rsid w:val="64FD5745"/>
    <w:rsid w:val="66AD7C31"/>
    <w:rsid w:val="67092F69"/>
    <w:rsid w:val="69074555"/>
    <w:rsid w:val="6B200CC3"/>
    <w:rsid w:val="6BC06917"/>
    <w:rsid w:val="6DA87EED"/>
    <w:rsid w:val="6EED10FD"/>
    <w:rsid w:val="6FDB4045"/>
    <w:rsid w:val="6FEA072C"/>
    <w:rsid w:val="70FA04FB"/>
    <w:rsid w:val="71566079"/>
    <w:rsid w:val="71A30B93"/>
    <w:rsid w:val="71D074AE"/>
    <w:rsid w:val="71D550E4"/>
    <w:rsid w:val="75327FD9"/>
    <w:rsid w:val="75610B49"/>
    <w:rsid w:val="76343220"/>
    <w:rsid w:val="76A95E15"/>
    <w:rsid w:val="77C55359"/>
    <w:rsid w:val="77D72E2B"/>
    <w:rsid w:val="781F5F31"/>
    <w:rsid w:val="782A2D7E"/>
    <w:rsid w:val="78FF0DA4"/>
    <w:rsid w:val="7A1C14E2"/>
    <w:rsid w:val="7A676F98"/>
    <w:rsid w:val="7A886B78"/>
    <w:rsid w:val="7C8E3AA9"/>
    <w:rsid w:val="7D0814EB"/>
    <w:rsid w:val="7E4640AA"/>
    <w:rsid w:val="7EE97F7A"/>
    <w:rsid w:val="7FD840FD"/>
    <w:rsid w:val="E7535C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3"/>
    <w:next w:val="3"/>
    <w:link w:val="27"/>
    <w:qFormat/>
    <w:uiPriority w:val="0"/>
    <w:pPr>
      <w:widowControl/>
      <w:spacing w:before="100" w:beforeAutospacing="1" w:after="100" w:afterAutospacing="1"/>
      <w:jc w:val="left"/>
      <w:outlineLvl w:val="0"/>
    </w:pPr>
    <w:rPr>
      <w:rFonts w:ascii="宋体" w:hAnsi="宋体" w:eastAsia="宋体"/>
      <w:b/>
      <w:bCs/>
      <w:kern w:val="36"/>
      <w:sz w:val="48"/>
      <w:szCs w:val="48"/>
    </w:rPr>
  </w:style>
  <w:style w:type="paragraph" w:styleId="4">
    <w:name w:val="heading 2"/>
    <w:basedOn w:val="1"/>
    <w:next w:val="1"/>
    <w:link w:val="28"/>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9"/>
    <w:qFormat/>
    <w:uiPriority w:val="0"/>
    <w:pPr>
      <w:keepNext/>
      <w:keepLines/>
      <w:spacing w:before="260" w:after="260" w:line="416" w:lineRule="auto"/>
      <w:outlineLvl w:val="2"/>
    </w:pPr>
    <w:rPr>
      <w:b/>
      <w:bCs/>
      <w:sz w:val="32"/>
      <w:szCs w:val="32"/>
    </w:rPr>
  </w:style>
  <w:style w:type="character" w:default="1" w:styleId="20">
    <w:name w:val="Default Paragraph Font"/>
    <w:unhideWhenUsed/>
    <w:qFormat/>
    <w:uiPriority w:val="1"/>
  </w:style>
  <w:style w:type="table" w:default="1" w:styleId="25">
    <w:name w:val="Normal Table"/>
    <w:unhideWhenUsed/>
    <w:qFormat/>
    <w:uiPriority w:val="99"/>
    <w:tblPr>
      <w:tblLayout w:type="fixed"/>
      <w:tblCellMar>
        <w:top w:w="0" w:type="dxa"/>
        <w:left w:w="108" w:type="dxa"/>
        <w:bottom w:w="0" w:type="dxa"/>
        <w:right w:w="108" w:type="dxa"/>
      </w:tblCellMar>
    </w:tblPr>
  </w:style>
  <w:style w:type="paragraph" w:customStyle="1" w:styleId="3">
    <w:name w:val="闻政正文"/>
    <w:basedOn w:val="1"/>
    <w:qFormat/>
    <w:uiPriority w:val="0"/>
    <w:pPr>
      <w:spacing w:line="500" w:lineRule="exact"/>
      <w:ind w:firstLine="200" w:firstLineChars="200"/>
    </w:pPr>
    <w:rPr>
      <w:rFonts w:eastAsia="仿宋_GB2312"/>
      <w:kern w:val="0"/>
      <w:sz w:val="28"/>
      <w:szCs w:val="28"/>
      <w:lang w:val="zh-CN"/>
    </w:rPr>
  </w:style>
  <w:style w:type="paragraph" w:styleId="6">
    <w:name w:val="annotation subject"/>
    <w:basedOn w:val="7"/>
    <w:next w:val="7"/>
    <w:link w:val="39"/>
    <w:unhideWhenUsed/>
    <w:qFormat/>
    <w:uiPriority w:val="99"/>
    <w:rPr>
      <w:b/>
      <w:bCs/>
    </w:rPr>
  </w:style>
  <w:style w:type="paragraph" w:styleId="7">
    <w:name w:val="annotation text"/>
    <w:basedOn w:val="1"/>
    <w:link w:val="31"/>
    <w:qFormat/>
    <w:uiPriority w:val="0"/>
    <w:pPr>
      <w:jc w:val="left"/>
    </w:pPr>
  </w:style>
  <w:style w:type="paragraph" w:styleId="8">
    <w:name w:val="Document Map"/>
    <w:basedOn w:val="1"/>
    <w:link w:val="30"/>
    <w:qFormat/>
    <w:uiPriority w:val="0"/>
    <w:pPr>
      <w:shd w:val="clear" w:color="auto" w:fill="000080"/>
    </w:pPr>
  </w:style>
  <w:style w:type="paragraph" w:styleId="9">
    <w:name w:val="Body Text"/>
    <w:basedOn w:val="1"/>
    <w:link w:val="32"/>
    <w:semiHidden/>
    <w:qFormat/>
    <w:uiPriority w:val="0"/>
    <w:rPr>
      <w:rFonts w:ascii="华文楷体" w:hAnsi="华文楷体" w:eastAsia="华文楷体" w:cs="华文楷体"/>
      <w:sz w:val="20"/>
      <w:lang w:eastAsia="en-US"/>
    </w:rPr>
  </w:style>
  <w:style w:type="paragraph" w:styleId="10">
    <w:name w:val="Body Text Indent"/>
    <w:basedOn w:val="1"/>
    <w:next w:val="1"/>
    <w:link w:val="33"/>
    <w:qFormat/>
    <w:uiPriority w:val="0"/>
    <w:pPr>
      <w:spacing w:line="460" w:lineRule="exact"/>
      <w:ind w:firstLine="480" w:firstLineChars="200"/>
    </w:pPr>
    <w:rPr>
      <w:sz w:val="24"/>
    </w:rPr>
  </w:style>
  <w:style w:type="paragraph" w:styleId="11">
    <w:name w:val="Date"/>
    <w:basedOn w:val="1"/>
    <w:next w:val="1"/>
    <w:link w:val="34"/>
    <w:unhideWhenUsed/>
    <w:qFormat/>
    <w:uiPriority w:val="99"/>
    <w:pPr>
      <w:ind w:left="100" w:leftChars="2500"/>
    </w:pPr>
    <w:rPr>
      <w:rFonts w:ascii="等线" w:hAnsi="等线" w:eastAsia="等线"/>
      <w:szCs w:val="22"/>
    </w:rPr>
  </w:style>
  <w:style w:type="paragraph" w:styleId="12">
    <w:name w:val="Body Text Indent 2"/>
    <w:basedOn w:val="1"/>
    <w:link w:val="35"/>
    <w:qFormat/>
    <w:uiPriority w:val="0"/>
    <w:pPr>
      <w:spacing w:line="440" w:lineRule="exact"/>
      <w:ind w:firstLine="480" w:firstLineChars="200"/>
    </w:pPr>
    <w:rPr>
      <w:rFonts w:ascii="宋体"/>
      <w:sz w:val="24"/>
    </w:rPr>
  </w:style>
  <w:style w:type="paragraph" w:styleId="13">
    <w:name w:val="Balloon Text"/>
    <w:basedOn w:val="1"/>
    <w:link w:val="36"/>
    <w:qFormat/>
    <w:uiPriority w:val="0"/>
    <w:rPr>
      <w:sz w:val="18"/>
      <w:szCs w:val="18"/>
    </w:rPr>
  </w:style>
  <w:style w:type="paragraph" w:styleId="14">
    <w:name w:val="footer"/>
    <w:basedOn w:val="1"/>
    <w:link w:val="37"/>
    <w:qFormat/>
    <w:uiPriority w:val="0"/>
    <w:pPr>
      <w:tabs>
        <w:tab w:val="center" w:pos="4153"/>
        <w:tab w:val="right" w:pos="8306"/>
      </w:tabs>
      <w:snapToGrid w:val="0"/>
      <w:jc w:val="left"/>
    </w:pPr>
    <w:rPr>
      <w:sz w:val="18"/>
      <w:szCs w:val="18"/>
    </w:rPr>
  </w:style>
  <w:style w:type="paragraph" w:styleId="15">
    <w:name w:val="Body Text First Indent 2"/>
    <w:basedOn w:val="10"/>
    <w:link w:val="40"/>
    <w:unhideWhenUsed/>
    <w:qFormat/>
    <w:uiPriority w:val="99"/>
    <w:pPr>
      <w:ind w:firstLine="420"/>
    </w:pPr>
  </w:style>
  <w:style w:type="paragraph" w:styleId="16">
    <w:name w:val="header"/>
    <w:basedOn w:val="1"/>
    <w:link w:val="38"/>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tabs>
        <w:tab w:val="right" w:leader="dot" w:pos="8720"/>
      </w:tabs>
    </w:pPr>
  </w:style>
  <w:style w:type="paragraph" w:styleId="18">
    <w:name w:val="toc 2"/>
    <w:basedOn w:val="1"/>
    <w:next w:val="1"/>
    <w:unhideWhenUsed/>
    <w:qFormat/>
    <w:uiPriority w:val="39"/>
    <w:pPr>
      <w:ind w:left="420" w:leftChars="200"/>
    </w:pPr>
  </w:style>
  <w:style w:type="paragraph" w:styleId="19">
    <w:name w:val="Normal (Web)"/>
    <w:basedOn w:val="1"/>
    <w:qFormat/>
    <w:uiPriority w:val="0"/>
    <w:pPr>
      <w:widowControl/>
      <w:spacing w:before="100" w:beforeAutospacing="1" w:after="100" w:afterAutospacing="1"/>
      <w:jc w:val="left"/>
    </w:pPr>
    <w:rPr>
      <w:rFonts w:ascii="宋体" w:hAnsi="宋体"/>
      <w:kern w:val="0"/>
      <w:sz w:val="24"/>
      <w:szCs w:val="24"/>
    </w:rPr>
  </w:style>
  <w:style w:type="character" w:styleId="21">
    <w:name w:val="page number"/>
    <w:qFormat/>
    <w:uiPriority w:val="0"/>
    <w:rPr>
      <w:rFonts w:ascii="Times New Roman" w:hAnsi="Times New Roman" w:eastAsia="宋体" w:cs="Times New Roman"/>
    </w:rPr>
  </w:style>
  <w:style w:type="character" w:styleId="22">
    <w:name w:val="FollowedHyperlink"/>
    <w:unhideWhenUsed/>
    <w:qFormat/>
    <w:uiPriority w:val="99"/>
    <w:rPr>
      <w:color w:val="800080"/>
      <w:u w:val="single"/>
    </w:rPr>
  </w:style>
  <w:style w:type="character" w:styleId="23">
    <w:name w:val="Hyperlink"/>
    <w:unhideWhenUsed/>
    <w:qFormat/>
    <w:uiPriority w:val="99"/>
    <w:rPr>
      <w:color w:val="0563C1"/>
      <w:u w:val="single"/>
    </w:rPr>
  </w:style>
  <w:style w:type="character" w:styleId="24">
    <w:name w:val="annotation reference"/>
    <w:qFormat/>
    <w:uiPriority w:val="0"/>
    <w:rPr>
      <w:rFonts w:ascii="Times New Roman" w:hAnsi="Times New Roman" w:eastAsia="宋体" w:cs="Times New Roman"/>
      <w:sz w:val="21"/>
      <w:szCs w:val="21"/>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7">
    <w:name w:val="标题 1 Char"/>
    <w:link w:val="2"/>
    <w:qFormat/>
    <w:uiPriority w:val="0"/>
    <w:rPr>
      <w:rFonts w:ascii="宋体" w:hAnsi="宋体" w:eastAsia="宋体" w:cs="宋体"/>
      <w:b/>
      <w:bCs/>
      <w:kern w:val="36"/>
      <w:sz w:val="48"/>
      <w:szCs w:val="48"/>
    </w:rPr>
  </w:style>
  <w:style w:type="character" w:customStyle="1" w:styleId="28">
    <w:name w:val="标题 2 Char"/>
    <w:link w:val="4"/>
    <w:qFormat/>
    <w:uiPriority w:val="9"/>
    <w:rPr>
      <w:rFonts w:ascii="Cambria" w:hAnsi="Cambria" w:eastAsia="宋体" w:cs="Times New Roman"/>
      <w:b/>
      <w:bCs/>
      <w:kern w:val="2"/>
      <w:sz w:val="32"/>
      <w:szCs w:val="32"/>
    </w:rPr>
  </w:style>
  <w:style w:type="character" w:customStyle="1" w:styleId="29">
    <w:name w:val="标题 3 Char"/>
    <w:link w:val="5"/>
    <w:qFormat/>
    <w:uiPriority w:val="0"/>
    <w:rPr>
      <w:rFonts w:ascii="Times New Roman" w:hAnsi="Times New Roman" w:eastAsia="宋体" w:cs="Times New Roman"/>
      <w:b/>
      <w:bCs/>
      <w:kern w:val="2"/>
      <w:sz w:val="32"/>
      <w:szCs w:val="32"/>
    </w:rPr>
  </w:style>
  <w:style w:type="character" w:customStyle="1" w:styleId="30">
    <w:name w:val="文档结构图 Char"/>
    <w:link w:val="8"/>
    <w:qFormat/>
    <w:uiPriority w:val="0"/>
    <w:rPr>
      <w:kern w:val="2"/>
      <w:sz w:val="21"/>
      <w:shd w:val="clear" w:color="auto" w:fill="000080"/>
    </w:rPr>
  </w:style>
  <w:style w:type="character" w:customStyle="1" w:styleId="31">
    <w:name w:val="批注文字 Char"/>
    <w:link w:val="7"/>
    <w:qFormat/>
    <w:uiPriority w:val="0"/>
    <w:rPr>
      <w:kern w:val="2"/>
      <w:sz w:val="21"/>
    </w:rPr>
  </w:style>
  <w:style w:type="character" w:customStyle="1" w:styleId="32">
    <w:name w:val="正文文本 Char"/>
    <w:link w:val="9"/>
    <w:semiHidden/>
    <w:qFormat/>
    <w:uiPriority w:val="0"/>
    <w:rPr>
      <w:rFonts w:ascii="华文楷体" w:hAnsi="华文楷体" w:eastAsia="华文楷体" w:cs="华文楷体"/>
      <w:kern w:val="2"/>
      <w:lang w:eastAsia="en-US"/>
    </w:rPr>
  </w:style>
  <w:style w:type="character" w:customStyle="1" w:styleId="33">
    <w:name w:val="正文文本缩进 Char"/>
    <w:link w:val="10"/>
    <w:qFormat/>
    <w:uiPriority w:val="0"/>
    <w:rPr>
      <w:kern w:val="2"/>
      <w:sz w:val="24"/>
    </w:rPr>
  </w:style>
  <w:style w:type="character" w:customStyle="1" w:styleId="34">
    <w:name w:val="日期 Char"/>
    <w:link w:val="11"/>
    <w:semiHidden/>
    <w:qFormat/>
    <w:uiPriority w:val="99"/>
    <w:rPr>
      <w:rFonts w:ascii="等线" w:hAnsi="等线" w:eastAsia="等线"/>
      <w:kern w:val="2"/>
      <w:sz w:val="21"/>
      <w:szCs w:val="22"/>
    </w:rPr>
  </w:style>
  <w:style w:type="character" w:customStyle="1" w:styleId="35">
    <w:name w:val="正文文本缩进 2 Char1"/>
    <w:link w:val="12"/>
    <w:qFormat/>
    <w:uiPriority w:val="0"/>
    <w:rPr>
      <w:rFonts w:ascii="宋体" w:hAnsi="Times New Roman" w:eastAsia="宋体" w:cs="Times New Roman"/>
      <w:kern w:val="2"/>
      <w:sz w:val="24"/>
      <w:lang w:val="en-US" w:eastAsia="zh-CN" w:bidi="ar-SA"/>
    </w:rPr>
  </w:style>
  <w:style w:type="character" w:customStyle="1" w:styleId="36">
    <w:name w:val="批注框文本 Char"/>
    <w:link w:val="13"/>
    <w:qFormat/>
    <w:uiPriority w:val="0"/>
    <w:rPr>
      <w:kern w:val="2"/>
      <w:sz w:val="18"/>
      <w:szCs w:val="18"/>
    </w:rPr>
  </w:style>
  <w:style w:type="character" w:customStyle="1" w:styleId="37">
    <w:name w:val="页脚 Char"/>
    <w:link w:val="14"/>
    <w:qFormat/>
    <w:uiPriority w:val="0"/>
    <w:rPr>
      <w:rFonts w:ascii="Times New Roman" w:hAnsi="Times New Roman" w:eastAsia="宋体" w:cs="Times New Roman"/>
      <w:kern w:val="2"/>
      <w:sz w:val="18"/>
      <w:szCs w:val="18"/>
      <w:lang w:val="en-US" w:eastAsia="zh-CN" w:bidi="ar-SA"/>
    </w:rPr>
  </w:style>
  <w:style w:type="character" w:customStyle="1" w:styleId="38">
    <w:name w:val="页眉 Char"/>
    <w:link w:val="16"/>
    <w:qFormat/>
    <w:uiPriority w:val="0"/>
    <w:rPr>
      <w:rFonts w:ascii="Times New Roman" w:hAnsi="Times New Roman" w:eastAsia="宋体" w:cs="Times New Roman"/>
      <w:kern w:val="2"/>
      <w:sz w:val="18"/>
      <w:szCs w:val="18"/>
      <w:lang w:val="en-US" w:eastAsia="zh-CN" w:bidi="ar-SA"/>
    </w:rPr>
  </w:style>
  <w:style w:type="character" w:customStyle="1" w:styleId="39">
    <w:name w:val="批注主题 Char"/>
    <w:link w:val="6"/>
    <w:qFormat/>
    <w:uiPriority w:val="99"/>
    <w:rPr>
      <w:b/>
      <w:bCs/>
      <w:kern w:val="2"/>
      <w:sz w:val="21"/>
    </w:rPr>
  </w:style>
  <w:style w:type="character" w:customStyle="1" w:styleId="40">
    <w:name w:val="正文首行缩进 2 Char"/>
    <w:link w:val="15"/>
    <w:qFormat/>
    <w:uiPriority w:val="99"/>
  </w:style>
  <w:style w:type="character" w:customStyle="1" w:styleId="41">
    <w:name w:val="Char Char3"/>
    <w:qFormat/>
    <w:uiPriority w:val="0"/>
    <w:rPr>
      <w:rFonts w:ascii="宋体" w:hAnsi="Times New Roman" w:eastAsia="宋体" w:cs="Times New Roman"/>
      <w:kern w:val="2"/>
      <w:sz w:val="24"/>
      <w:lang w:val="en-US" w:eastAsia="zh-CN" w:bidi="ar-SA"/>
    </w:rPr>
  </w:style>
  <w:style w:type="character" w:customStyle="1" w:styleId="42">
    <w:name w:val="正文文本缩进 2 Char Char"/>
    <w:qFormat/>
    <w:uiPriority w:val="0"/>
    <w:rPr>
      <w:rFonts w:ascii="宋体" w:hAnsi="Times New Roman" w:eastAsia="宋体" w:cs="Times New Roman"/>
      <w:kern w:val="2"/>
      <w:sz w:val="24"/>
      <w:lang w:val="en-US" w:eastAsia="zh-CN" w:bidi="ar-SA"/>
    </w:rPr>
  </w:style>
  <w:style w:type="character" w:customStyle="1" w:styleId="43">
    <w:name w:val="font41"/>
    <w:qFormat/>
    <w:uiPriority w:val="0"/>
    <w:rPr>
      <w:rFonts w:hint="eastAsia" w:ascii="宋体" w:hAnsi="宋体" w:eastAsia="宋体" w:cs="宋体"/>
      <w:color w:val="000000"/>
      <w:sz w:val="18"/>
      <w:szCs w:val="18"/>
      <w:u w:val="none"/>
    </w:rPr>
  </w:style>
  <w:style w:type="character" w:customStyle="1" w:styleId="44">
    <w:name w:val="font11"/>
    <w:qFormat/>
    <w:uiPriority w:val="0"/>
    <w:rPr>
      <w:rFonts w:hint="eastAsia" w:ascii="宋体" w:hAnsi="宋体" w:eastAsia="宋体" w:cs="宋体"/>
      <w:b/>
      <w:bCs/>
      <w:color w:val="3D3D3D"/>
      <w:sz w:val="18"/>
      <w:szCs w:val="18"/>
      <w:u w:val="none"/>
    </w:rPr>
  </w:style>
  <w:style w:type="character" w:customStyle="1" w:styleId="45">
    <w:name w:val="Char Char1"/>
    <w:qFormat/>
    <w:uiPriority w:val="0"/>
    <w:rPr>
      <w:rFonts w:ascii="宋体" w:hAnsi="Times New Roman" w:eastAsia="宋体" w:cs="Times New Roman"/>
      <w:kern w:val="2"/>
      <w:sz w:val="24"/>
      <w:lang w:val="en-US" w:eastAsia="zh-CN" w:bidi="ar-SA"/>
    </w:rPr>
  </w:style>
  <w:style w:type="character" w:customStyle="1" w:styleId="46">
    <w:name w:val="正文文本缩进 2 Char"/>
    <w:qFormat/>
    <w:uiPriority w:val="0"/>
    <w:rPr>
      <w:rFonts w:ascii="宋体" w:hAnsi="Times New Roman" w:eastAsia="宋体" w:cs="Times New Roman"/>
      <w:kern w:val="2"/>
      <w:sz w:val="24"/>
      <w:lang w:val="en-US" w:eastAsia="zh-CN" w:bidi="ar-SA"/>
    </w:rPr>
  </w:style>
  <w:style w:type="character" w:customStyle="1" w:styleId="47">
    <w:name w:val="Body Text Indent 2 Char"/>
    <w:qFormat/>
    <w:uiPriority w:val="0"/>
    <w:rPr>
      <w:rFonts w:ascii="宋体" w:hAnsi="Times New Roman" w:eastAsia="宋体" w:cs="Times New Roman"/>
      <w:sz w:val="20"/>
    </w:rPr>
  </w:style>
  <w:style w:type="paragraph" w:customStyle="1" w:styleId="4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9">
    <w:name w:val="WPSOffice手动目录 1"/>
    <w:qFormat/>
    <w:uiPriority w:val="0"/>
    <w:rPr>
      <w:rFonts w:ascii="Times New Roman" w:hAnsi="Times New Roman" w:eastAsia="宋体" w:cs="Times New Roman"/>
      <w:lang w:val="en-US" w:eastAsia="zh-CN" w:bidi="ar-SA"/>
    </w:rPr>
  </w:style>
  <w:style w:type="paragraph" w:customStyle="1" w:styleId="50">
    <w:name w:val="_Style 49"/>
    <w:basedOn w:val="2"/>
    <w:next w:val="1"/>
    <w:qFormat/>
    <w:uiPriority w:val="39"/>
    <w:pPr>
      <w:keepNext/>
      <w:keepLines/>
      <w:spacing w:before="240" w:beforeAutospacing="0" w:after="0" w:afterAutospacing="0" w:line="259" w:lineRule="auto"/>
      <w:outlineLvl w:val="9"/>
    </w:pPr>
    <w:rPr>
      <w:rFonts w:ascii="等线 Light" w:hAnsi="等线 Light" w:eastAsia="等线 Light"/>
      <w:b w:val="0"/>
      <w:bCs w:val="0"/>
      <w:color w:val="2F5496"/>
      <w:kern w:val="0"/>
      <w:sz w:val="32"/>
      <w:szCs w:val="32"/>
      <w:lang w:val="en-US"/>
    </w:rPr>
  </w:style>
  <w:style w:type="paragraph" w:customStyle="1" w:styleId="51">
    <w:name w:val="列出段落1"/>
    <w:basedOn w:val="1"/>
    <w:qFormat/>
    <w:uiPriority w:val="0"/>
    <w:pPr>
      <w:ind w:firstLine="420" w:firstLineChars="200"/>
    </w:pPr>
    <w:rPr>
      <w:rFonts w:ascii="Calibri" w:hAnsi="Calibri"/>
      <w:szCs w:val="22"/>
    </w:rPr>
  </w:style>
  <w:style w:type="paragraph" w:customStyle="1" w:styleId="52">
    <w:name w:val="样式1"/>
    <w:basedOn w:val="1"/>
    <w:qFormat/>
    <w:uiPriority w:val="0"/>
    <w:pPr>
      <w:spacing w:beforeLines="50" w:afterLines="50" w:line="440" w:lineRule="exact"/>
      <w:ind w:left="482"/>
    </w:pPr>
    <w:rPr>
      <w:rFonts w:ascii="宋体"/>
      <w:sz w:val="24"/>
    </w:rPr>
  </w:style>
  <w:style w:type="paragraph" w:customStyle="1" w:styleId="53">
    <w:name w:val="_Style 52"/>
    <w:unhideWhenUsed/>
    <w:qFormat/>
    <w:uiPriority w:val="99"/>
    <w:rPr>
      <w:rFonts w:ascii="Times New Roman" w:hAnsi="Times New Roman" w:eastAsia="宋体" w:cs="Times New Roman"/>
      <w:kern w:val="2"/>
      <w:sz w:val="21"/>
      <w:lang w:val="en-US" w:eastAsia="zh-CN" w:bidi="ar-SA"/>
    </w:rPr>
  </w:style>
  <w:style w:type="paragraph" w:customStyle="1" w:styleId="54">
    <w:name w:val="List Paragraph"/>
    <w:basedOn w:val="1"/>
    <w:qFormat/>
    <w:uiPriority w:val="34"/>
    <w:pPr>
      <w:ind w:firstLine="420" w:firstLineChars="200"/>
    </w:pPr>
  </w:style>
  <w:style w:type="paragraph" w:customStyle="1" w:styleId="55">
    <w:name w:val="Table Text"/>
    <w:basedOn w:val="1"/>
    <w:semiHidden/>
    <w:qFormat/>
    <w:uiPriority w:val="0"/>
    <w:rPr>
      <w:rFonts w:ascii="华文楷体" w:hAnsi="华文楷体" w:eastAsia="华文楷体" w:cs="华文楷体"/>
      <w:sz w:val="18"/>
      <w:szCs w:val="18"/>
      <w:lang w:eastAsia="en-US"/>
    </w:rPr>
  </w:style>
  <w:style w:type="paragraph" w:customStyle="1" w:styleId="56">
    <w:name w:val="闻政页码"/>
    <w:qFormat/>
    <w:uiPriority w:val="6"/>
    <w:pPr>
      <w:jc w:val="center"/>
    </w:pPr>
    <w:rPr>
      <w:rFonts w:ascii="Times New Roman" w:hAnsi="Times New Roman" w:eastAsia="Times New Roman" w:cs="Times New Roman"/>
      <w:sz w:val="21"/>
      <w:szCs w:val="28"/>
      <w:lang w:val="en-US" w:eastAsia="zh-CN" w:bidi="ar-SA"/>
    </w:rPr>
  </w:style>
  <w:style w:type="paragraph" w:customStyle="1" w:styleId="57">
    <w:name w:val="样式4"/>
    <w:basedOn w:val="1"/>
    <w:qFormat/>
    <w:uiPriority w:val="0"/>
    <w:pPr>
      <w:tabs>
        <w:tab w:val="right" w:pos="9135"/>
      </w:tabs>
      <w:overflowPunct w:val="0"/>
      <w:topLinePunct/>
      <w:adjustRightInd w:val="0"/>
      <w:snapToGrid w:val="0"/>
      <w:spacing w:line="500" w:lineRule="exact"/>
      <w:ind w:firstLine="420" w:firstLineChars="200"/>
    </w:pPr>
    <w:rPr>
      <w:rFonts w:ascii="宋体"/>
      <w:szCs w:val="21"/>
    </w:rPr>
  </w:style>
  <w:style w:type="paragraph" w:customStyle="1" w:styleId="58">
    <w:name w:val="zw"/>
    <w:basedOn w:val="1"/>
    <w:qFormat/>
    <w:uiPriority w:val="0"/>
    <w:pPr>
      <w:adjustRightInd w:val="0"/>
      <w:spacing w:line="360" w:lineRule="auto"/>
      <w:ind w:firstLine="482"/>
      <w:textAlignment w:val="baseline"/>
    </w:pPr>
    <w:rPr>
      <w:rFonts w:ascii="Arial Narrow" w:hAnsi="Arial Narrow" w:eastAsia="楷体_GB2312"/>
      <w:kern w:val="0"/>
      <w:sz w:val="24"/>
    </w:rPr>
  </w:style>
  <w:style w:type="table" w:customStyle="1" w:styleId="59">
    <w:name w:val="Table Normal"/>
    <w:unhideWhenUsed/>
    <w:qFormat/>
    <w:uiPriority w:val="2"/>
    <w:tblPr>
      <w:tblLayout w:type="fixed"/>
      <w:tblCellMar>
        <w:top w:w="0" w:type="dxa"/>
        <w:left w:w="0" w:type="dxa"/>
        <w:bottom w:w="0" w:type="dxa"/>
        <w:right w:w="0" w:type="dxa"/>
      </w:tblCellMar>
    </w:tblPr>
  </w:style>
  <w:style w:type="character" w:customStyle="1" w:styleId="60">
    <w:name w:val="font171"/>
    <w:basedOn w:val="20"/>
    <w:qFormat/>
    <w:uiPriority w:val="0"/>
    <w:rPr>
      <w:rFonts w:ascii="方正小标宋_GBK" w:hAnsi="方正小标宋_GBK" w:eastAsia="方正小标宋_GBK" w:cs="方正小标宋_GBK"/>
      <w:color w:val="3D3D3D"/>
      <w:sz w:val="32"/>
      <w:szCs w:val="32"/>
      <w:u w:val="none"/>
    </w:rPr>
  </w:style>
  <w:style w:type="character" w:customStyle="1" w:styleId="61">
    <w:name w:val="font191"/>
    <w:basedOn w:val="20"/>
    <w:qFormat/>
    <w:uiPriority w:val="0"/>
    <w:rPr>
      <w:rFonts w:hint="default" w:ascii="楷体_GB2312" w:eastAsia="楷体_GB2312" w:cs="楷体_GB2312"/>
      <w:b/>
      <w:bCs/>
      <w:color w:val="3D3D3D"/>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G:\&#23457;&#35745;\2007&#24180;&#27169;&#29256;(&#39029;&#30473;)\2007&#24180;&#23457;&#35745;&#25253;&#21578;\&#23457;&#35745;&#26032;\&#23457;&#35745;&#25253;&#21578;&#65288;&#26080;&#20445;&#30041;&#24847;&#35265;&#65289;.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审计报告（无保留意见）.dot</Template>
  <Company>ZhenQing</Company>
  <Pages>17</Pages>
  <Words>508</Words>
  <Characters>554</Characters>
  <Lines>1062</Lines>
  <Paragraphs>299</Paragraphs>
  <ScaleCrop>false</ScaleCrop>
  <LinksUpToDate>false</LinksUpToDate>
  <CharactersWithSpaces>577</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2024-12-09T07:16:00Z</dcterms:created>
  <dc:creator>lenovo</dc:creator>
  <cp:lastModifiedBy>赵雨晨</cp:lastModifiedBy>
  <cp:lastPrinted>2022-07-29T05:00:00Z</cp:lastPrinted>
  <dcterms:modified xsi:type="dcterms:W3CDTF">2024-12-23T02:52:15Z</dcterms:modified>
  <dc:title>青岛振青会计师事务所有限公司</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y fmtid="{D5CDD505-2E9C-101B-9397-08002B2CF9AE}" pid="3" name="ICV">
    <vt:lpwstr>3B71F59D75AA430B926A6EC124A5260C_13</vt:lpwstr>
  </property>
</Properties>
</file>