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widowControl w:val="0"/>
        <w:wordWrap/>
        <w:adjustRightInd/>
        <w:spacing w:after="0" w:line="560" w:lineRule="exact"/>
        <w:ind w:left="0" w:leftChars="0" w:firstLine="0" w:firstLineChars="0"/>
        <w:jc w:val="center"/>
        <w:rPr>
          <w:rFonts w:ascii="Times New Roman" w:hAnsi="Times New Roman" w:eastAsia="微软雅黑"/>
          <w:color w:val="auto"/>
          <w:sz w:val="36"/>
          <w:szCs w:val="36"/>
          <w:highlight w:val="none"/>
        </w:rPr>
      </w:pPr>
    </w:p>
    <w:p>
      <w:pPr>
        <w:pStyle w:val="20"/>
        <w:widowControl w:val="0"/>
        <w:wordWrap/>
        <w:adjustRightInd/>
        <w:spacing w:after="0" w:line="560" w:lineRule="exact"/>
        <w:ind w:left="0" w:leftChars="0" w:firstLine="0" w:firstLineChars="0"/>
        <w:jc w:val="center"/>
        <w:rPr>
          <w:rFonts w:ascii="Times New Roman" w:hAnsi="Times New Roman" w:eastAsia="微软雅黑"/>
          <w:color w:val="auto"/>
          <w:sz w:val="36"/>
          <w:szCs w:val="36"/>
          <w:highlight w:val="none"/>
        </w:rPr>
      </w:pPr>
    </w:p>
    <w:p>
      <w:pPr>
        <w:pStyle w:val="20"/>
        <w:widowControl w:val="0"/>
        <w:wordWrap/>
        <w:adjustRightInd/>
        <w:spacing w:after="0" w:line="560" w:lineRule="exact"/>
        <w:ind w:left="0" w:leftChars="0" w:firstLine="0" w:firstLineChars="0"/>
        <w:jc w:val="center"/>
        <w:rPr>
          <w:rFonts w:ascii="Times New Roman" w:hAnsi="Times New Roman" w:eastAsia="微软雅黑"/>
          <w:color w:val="auto"/>
          <w:sz w:val="36"/>
          <w:szCs w:val="36"/>
          <w:highlight w:val="none"/>
        </w:rPr>
      </w:pPr>
    </w:p>
    <w:p>
      <w:pPr>
        <w:pStyle w:val="20"/>
        <w:widowControl w:val="0"/>
        <w:wordWrap/>
        <w:adjustRightInd/>
        <w:spacing w:after="0" w:line="560" w:lineRule="exact"/>
        <w:ind w:left="0" w:leftChars="0" w:firstLine="0" w:firstLineChars="0"/>
        <w:jc w:val="center"/>
        <w:rPr>
          <w:rFonts w:ascii="Times New Roman" w:hAnsi="Times New Roman" w:eastAsia="微软雅黑"/>
          <w:color w:val="auto"/>
          <w:sz w:val="36"/>
          <w:szCs w:val="36"/>
          <w:highlight w:val="none"/>
        </w:rPr>
      </w:pPr>
    </w:p>
    <w:p>
      <w:pPr>
        <w:pStyle w:val="20"/>
        <w:widowControl w:val="0"/>
        <w:wordWrap/>
        <w:snapToGrid w:val="0"/>
        <w:spacing w:after="0"/>
        <w:ind w:left="0" w:leftChars="0" w:firstLine="0" w:firstLineChars="0"/>
        <w:jc w:val="center"/>
        <w:rPr>
          <w:rFonts w:hint="eastAsia" w:ascii="方正小标宋_GBK" w:hAnsi="方正小标宋_GBK" w:eastAsia="方正小标宋_GBK" w:cs="方正小标宋_GBK"/>
          <w:b w:val="0"/>
          <w:bCs w:val="0"/>
          <w:color w:val="auto"/>
          <w:sz w:val="44"/>
          <w:szCs w:val="44"/>
          <w:highlight w:val="none"/>
          <w:lang w:val="en-US" w:eastAsia="zh-CN"/>
        </w:rPr>
      </w:pPr>
      <w:bookmarkStart w:id="0" w:name="_Toc4460"/>
      <w:bookmarkStart w:id="1" w:name="_Toc15391"/>
      <w:r>
        <w:rPr>
          <w:rFonts w:hint="eastAsia" w:ascii="方正小标宋_GBK" w:hAnsi="方正小标宋_GBK" w:eastAsia="方正小标宋_GBK" w:cs="方正小标宋_GBK"/>
          <w:b w:val="0"/>
          <w:bCs w:val="0"/>
          <w:color w:val="auto"/>
          <w:sz w:val="44"/>
          <w:szCs w:val="44"/>
          <w:highlight w:val="none"/>
          <w:lang w:val="en-US" w:eastAsia="zh-CN"/>
        </w:rPr>
        <w:t>2023年度促进金融资源聚集</w:t>
      </w:r>
    </w:p>
    <w:p>
      <w:pPr>
        <w:pStyle w:val="20"/>
        <w:widowControl w:val="0"/>
        <w:wordWrap/>
        <w:snapToGrid w:val="0"/>
        <w:spacing w:after="0"/>
        <w:ind w:left="0" w:leftChars="0" w:firstLine="0" w:firstLineChars="0"/>
        <w:jc w:val="center"/>
        <w:outlineLvl w:val="9"/>
        <w:rPr>
          <w:rFonts w:hint="eastAsia" w:ascii="方正小标宋_GBK" w:hAnsi="方正小标宋_GBK" w:eastAsia="方正小标宋_GBK" w:cs="方正小标宋_GBK"/>
          <w:b w:val="0"/>
          <w:bCs w:val="0"/>
          <w:color w:val="auto"/>
          <w:sz w:val="44"/>
          <w:szCs w:val="44"/>
          <w:highlight w:val="none"/>
          <w:lang w:val="en-US" w:eastAsia="zh-CN"/>
        </w:rPr>
      </w:pPr>
      <w:bookmarkStart w:id="2" w:name="_Toc1996"/>
      <w:bookmarkStart w:id="3" w:name="_Toc4125"/>
      <w:r>
        <w:rPr>
          <w:rFonts w:hint="eastAsia" w:ascii="方正小标宋_GBK" w:hAnsi="方正小标宋_GBK" w:eastAsia="方正小标宋_GBK" w:cs="方正小标宋_GBK"/>
          <w:b w:val="0"/>
          <w:bCs w:val="0"/>
          <w:color w:val="auto"/>
          <w:sz w:val="44"/>
          <w:szCs w:val="44"/>
          <w:highlight w:val="none"/>
          <w:lang w:val="en-US" w:eastAsia="zh-CN"/>
        </w:rPr>
        <w:t>政策财政绩效评价报告</w:t>
      </w:r>
      <w:bookmarkEnd w:id="0"/>
      <w:bookmarkEnd w:id="1"/>
      <w:bookmarkEnd w:id="2"/>
      <w:bookmarkEnd w:id="3"/>
    </w:p>
    <w:p>
      <w:pPr>
        <w:pStyle w:val="20"/>
        <w:widowControl w:val="0"/>
        <w:wordWrap/>
        <w:adjustRightInd/>
        <w:spacing w:after="0" w:line="560" w:lineRule="exact"/>
        <w:ind w:left="0" w:leftChars="0" w:firstLine="0" w:firstLineChars="0"/>
        <w:jc w:val="center"/>
        <w:rPr>
          <w:rFonts w:ascii="Times New Roman" w:hAnsi="Times New Roman" w:eastAsia="微软雅黑"/>
          <w:color w:val="auto"/>
          <w:sz w:val="40"/>
          <w:szCs w:val="40"/>
          <w:highlight w:val="none"/>
        </w:rPr>
      </w:pPr>
    </w:p>
    <w:p>
      <w:pPr>
        <w:pStyle w:val="20"/>
        <w:widowControl w:val="0"/>
        <w:wordWrap/>
        <w:adjustRightInd/>
        <w:spacing w:after="0" w:line="560" w:lineRule="exact"/>
        <w:ind w:left="0" w:leftChars="0" w:firstLine="0" w:firstLineChars="0"/>
        <w:jc w:val="center"/>
        <w:rPr>
          <w:rFonts w:ascii="Times New Roman" w:hAnsi="Times New Roman" w:eastAsia="微软雅黑"/>
          <w:color w:val="auto"/>
          <w:sz w:val="40"/>
          <w:szCs w:val="40"/>
          <w:highlight w:val="none"/>
        </w:rPr>
      </w:pPr>
    </w:p>
    <w:p>
      <w:pPr>
        <w:pStyle w:val="20"/>
        <w:widowControl w:val="0"/>
        <w:wordWrap/>
        <w:adjustRightInd/>
        <w:spacing w:after="0" w:line="560" w:lineRule="exact"/>
        <w:ind w:left="0" w:leftChars="0" w:firstLine="0" w:firstLineChars="0"/>
        <w:jc w:val="center"/>
        <w:rPr>
          <w:rFonts w:ascii="Times New Roman" w:hAnsi="Times New Roman" w:eastAsia="微软雅黑"/>
          <w:color w:val="auto"/>
          <w:sz w:val="40"/>
          <w:szCs w:val="40"/>
          <w:highlight w:val="none"/>
        </w:rPr>
      </w:pPr>
    </w:p>
    <w:p>
      <w:pPr>
        <w:pStyle w:val="20"/>
        <w:widowControl w:val="0"/>
        <w:wordWrap/>
        <w:adjustRightInd/>
        <w:spacing w:after="0" w:line="560" w:lineRule="exact"/>
        <w:ind w:left="0" w:leftChars="0" w:firstLine="0" w:firstLineChars="0"/>
        <w:jc w:val="center"/>
        <w:rPr>
          <w:rFonts w:ascii="Times New Roman" w:hAnsi="Times New Roman" w:eastAsia="微软雅黑"/>
          <w:color w:val="auto"/>
          <w:sz w:val="40"/>
          <w:szCs w:val="40"/>
          <w:highlight w:val="none"/>
        </w:rPr>
      </w:pPr>
    </w:p>
    <w:p>
      <w:pPr>
        <w:pStyle w:val="20"/>
        <w:widowControl w:val="0"/>
        <w:wordWrap/>
        <w:adjustRightInd/>
        <w:spacing w:after="0" w:line="560" w:lineRule="exact"/>
        <w:ind w:left="0" w:leftChars="0" w:firstLine="0" w:firstLineChars="0"/>
        <w:jc w:val="center"/>
        <w:rPr>
          <w:rFonts w:ascii="Times New Roman" w:hAnsi="Times New Roman" w:eastAsia="微软雅黑"/>
          <w:color w:val="auto"/>
          <w:sz w:val="40"/>
          <w:szCs w:val="40"/>
          <w:highlight w:val="none"/>
        </w:rPr>
      </w:pPr>
    </w:p>
    <w:p>
      <w:pPr>
        <w:pStyle w:val="20"/>
        <w:widowControl w:val="0"/>
        <w:wordWrap/>
        <w:adjustRightInd/>
        <w:spacing w:after="0" w:line="560" w:lineRule="exact"/>
        <w:ind w:left="0" w:leftChars="0" w:firstLine="0" w:firstLineChars="0"/>
        <w:jc w:val="center"/>
        <w:rPr>
          <w:rFonts w:ascii="Times New Roman" w:hAnsi="Times New Roman" w:eastAsia="微软雅黑"/>
          <w:color w:val="auto"/>
          <w:sz w:val="40"/>
          <w:szCs w:val="40"/>
          <w:highlight w:val="none"/>
        </w:rPr>
      </w:pPr>
    </w:p>
    <w:p>
      <w:pPr>
        <w:pStyle w:val="20"/>
        <w:widowControl w:val="0"/>
        <w:wordWrap/>
        <w:adjustRightInd/>
        <w:spacing w:after="0" w:line="560" w:lineRule="exact"/>
        <w:ind w:left="0" w:leftChars="0" w:firstLine="0" w:firstLineChars="0"/>
        <w:jc w:val="center"/>
        <w:rPr>
          <w:rFonts w:ascii="Times New Roman" w:hAnsi="Times New Roman" w:eastAsia="微软雅黑"/>
          <w:color w:val="auto"/>
          <w:sz w:val="40"/>
          <w:szCs w:val="40"/>
          <w:highlight w:val="none"/>
        </w:rPr>
      </w:pPr>
    </w:p>
    <w:p>
      <w:pPr>
        <w:pStyle w:val="20"/>
        <w:widowControl w:val="0"/>
        <w:wordWrap/>
        <w:adjustRightInd/>
        <w:spacing w:after="0" w:line="560" w:lineRule="exact"/>
        <w:ind w:left="0" w:leftChars="0" w:firstLine="0" w:firstLineChars="0"/>
        <w:jc w:val="center"/>
        <w:rPr>
          <w:rFonts w:ascii="Times New Roman" w:hAnsi="Times New Roman" w:eastAsia="微软雅黑"/>
          <w:color w:val="auto"/>
          <w:sz w:val="40"/>
          <w:szCs w:val="40"/>
          <w:highlight w:val="none"/>
        </w:rPr>
      </w:pPr>
    </w:p>
    <w:p>
      <w:pPr>
        <w:pStyle w:val="20"/>
        <w:widowControl w:val="0"/>
        <w:wordWrap/>
        <w:adjustRightInd/>
        <w:spacing w:after="0" w:line="560" w:lineRule="exact"/>
        <w:ind w:left="0" w:leftChars="0" w:firstLine="0" w:firstLineChars="0"/>
        <w:jc w:val="center"/>
        <w:rPr>
          <w:rFonts w:ascii="Times New Roman" w:hAnsi="Times New Roman" w:eastAsia="微软雅黑"/>
          <w:color w:val="auto"/>
          <w:sz w:val="40"/>
          <w:szCs w:val="40"/>
          <w:highlight w:val="none"/>
        </w:rPr>
      </w:pPr>
    </w:p>
    <w:p>
      <w:pPr>
        <w:pStyle w:val="20"/>
        <w:widowControl w:val="0"/>
        <w:wordWrap/>
        <w:adjustRightInd/>
        <w:spacing w:after="0" w:line="560" w:lineRule="exact"/>
        <w:ind w:left="0" w:leftChars="0" w:firstLine="0" w:firstLineChars="0"/>
        <w:jc w:val="center"/>
        <w:rPr>
          <w:rFonts w:ascii="Times New Roman" w:hAnsi="Times New Roman" w:eastAsia="微软雅黑"/>
          <w:color w:val="auto"/>
          <w:sz w:val="40"/>
          <w:szCs w:val="40"/>
          <w:highlight w:val="none"/>
        </w:rPr>
      </w:pPr>
    </w:p>
    <w:p>
      <w:pPr>
        <w:spacing w:before="120" w:after="120"/>
        <w:rPr>
          <w:rFonts w:hint="default" w:ascii="黑体" w:hAnsi="黑体" w:eastAsia="黑体"/>
          <w:color w:val="auto"/>
          <w:spacing w:val="-23"/>
          <w:sz w:val="32"/>
          <w:szCs w:val="32"/>
          <w:highlight w:val="none"/>
          <w:lang w:val="en-US" w:eastAsia="zh-CN"/>
        </w:rPr>
      </w:pPr>
      <w:r>
        <w:rPr>
          <w:rFonts w:hint="eastAsia" w:ascii="黑体" w:hAnsi="黑体" w:eastAsia="黑体" w:cs="文星简黑体"/>
          <w:color w:val="auto"/>
          <w:sz w:val="32"/>
          <w:szCs w:val="32"/>
          <w:highlight w:val="none"/>
        </w:rPr>
        <w:t xml:space="preserve">    评价单位</w:t>
      </w:r>
      <w:r>
        <w:rPr>
          <w:rFonts w:hint="eastAsia" w:ascii="黑体" w:hAnsi="黑体" w:eastAsia="黑体" w:cs="文星简黑体"/>
          <w:color w:val="auto"/>
          <w:kern w:val="0"/>
          <w:sz w:val="32"/>
          <w:szCs w:val="32"/>
          <w:highlight w:val="none"/>
        </w:rPr>
        <w:t>：</w:t>
      </w:r>
      <w:r>
        <w:rPr>
          <w:rFonts w:hint="eastAsia" w:ascii="黑体" w:hAnsi="黑体" w:eastAsia="黑体" w:cs="文星简黑体"/>
          <w:color w:val="auto"/>
          <w:kern w:val="0"/>
          <w:sz w:val="32"/>
          <w:szCs w:val="32"/>
          <w:highlight w:val="none"/>
          <w:lang w:val="en-US" w:eastAsia="zh-CN"/>
        </w:rPr>
        <w:t>青岛市财政事务服务中心</w:t>
      </w:r>
    </w:p>
    <w:p>
      <w:pPr>
        <w:spacing w:before="120" w:after="120"/>
        <w:ind w:left="640" w:hanging="640"/>
        <w:jc w:val="left"/>
        <w:rPr>
          <w:rFonts w:hint="default" w:ascii="黑体" w:hAnsi="黑体" w:eastAsia="黑体"/>
          <w:color w:val="auto"/>
          <w:sz w:val="32"/>
          <w:szCs w:val="32"/>
          <w:highlight w:val="none"/>
          <w:lang w:val="en-US" w:eastAsia="zh-CN"/>
        </w:rPr>
      </w:pPr>
      <w:r>
        <w:rPr>
          <w:rFonts w:hint="eastAsia" w:ascii="黑体" w:hAnsi="黑体" w:eastAsia="黑体" w:cs="文星简黑体"/>
          <w:color w:val="auto"/>
          <w:sz w:val="32"/>
          <w:szCs w:val="32"/>
          <w:highlight w:val="none"/>
        </w:rPr>
        <w:t xml:space="preserve">    </w:t>
      </w:r>
      <w:r>
        <w:rPr>
          <w:rFonts w:hint="eastAsia" w:ascii="黑体" w:hAnsi="黑体" w:eastAsia="黑体" w:cs="文星简黑体"/>
          <w:color w:val="auto"/>
          <w:sz w:val="32"/>
          <w:szCs w:val="32"/>
          <w:highlight w:val="none"/>
          <w:lang w:eastAsia="zh-CN"/>
        </w:rPr>
        <w:t>被</w:t>
      </w:r>
      <w:r>
        <w:rPr>
          <w:rFonts w:hint="eastAsia" w:ascii="黑体" w:hAnsi="黑体" w:eastAsia="黑体" w:cs="文星简黑体"/>
          <w:color w:val="auto"/>
          <w:sz w:val="32"/>
          <w:szCs w:val="32"/>
          <w:highlight w:val="none"/>
        </w:rPr>
        <w:t>评价单位：</w:t>
      </w:r>
      <w:r>
        <w:rPr>
          <w:rFonts w:hint="eastAsia" w:ascii="黑体" w:hAnsi="黑体" w:eastAsia="黑体" w:cs="文星简黑体"/>
          <w:color w:val="auto"/>
          <w:sz w:val="32"/>
          <w:szCs w:val="32"/>
          <w:highlight w:val="none"/>
          <w:lang w:val="en-US" w:eastAsia="zh-CN"/>
        </w:rPr>
        <w:t>中共青岛市委金融委员会办公室</w:t>
      </w:r>
    </w:p>
    <w:p>
      <w:pPr>
        <w:rPr>
          <w:rFonts w:hint="eastAsia" w:ascii="方正小标宋_GBK" w:hAnsi="方正小标宋_GBK" w:eastAsia="方正小标宋_GBK" w:cs="方正小标宋_GBK"/>
          <w:color w:val="auto"/>
          <w:spacing w:val="-6"/>
          <w:sz w:val="44"/>
          <w:szCs w:val="44"/>
          <w:highlight w:val="none"/>
          <w:lang w:val="en-US" w:eastAsia="zh-CN"/>
        </w:rPr>
      </w:pPr>
      <w:r>
        <w:rPr>
          <w:rFonts w:hint="eastAsia" w:ascii="方正小标宋_GBK" w:hAnsi="方正小标宋_GBK" w:eastAsia="方正小标宋_GBK" w:cs="方正小标宋_GBK"/>
          <w:color w:val="auto"/>
          <w:spacing w:val="-6"/>
          <w:sz w:val="44"/>
          <w:szCs w:val="44"/>
          <w:highlight w:val="none"/>
          <w:lang w:val="en-US" w:eastAsia="zh-CN"/>
        </w:rPr>
        <w:br w:type="page"/>
      </w:r>
    </w:p>
    <w:p>
      <w:pPr>
        <w:keepNext w:val="0"/>
        <w:keepLines w:val="0"/>
        <w:pageBreakBefore w:val="0"/>
        <w:widowControl/>
        <w:kinsoku/>
        <w:wordWrap/>
        <w:overflowPunct/>
        <w:topLinePunct w:val="0"/>
        <w:autoSpaceDE/>
        <w:autoSpaceDN/>
        <w:bidi w:val="0"/>
        <w:adjustRightInd w:val="0"/>
        <w:snapToGrid w:val="0"/>
        <w:spacing w:after="157" w:afterLines="50" w:line="560" w:lineRule="exact"/>
        <w:ind w:left="879" w:hanging="879"/>
        <w:jc w:val="center"/>
        <w:textAlignment w:val="auto"/>
        <w:rPr>
          <w:rFonts w:hint="eastAsia" w:ascii="方正小标宋_GBK" w:hAnsi="方正小标宋_GBK" w:eastAsia="方正小标宋_GBK" w:cs="方正小标宋_GBK"/>
          <w:color w:val="auto"/>
          <w:spacing w:val="-6"/>
          <w:sz w:val="44"/>
          <w:szCs w:val="44"/>
          <w:highlight w:val="none"/>
          <w:lang w:val="en-US" w:eastAsia="zh-CN"/>
        </w:rPr>
      </w:pPr>
      <w:r>
        <w:rPr>
          <w:rFonts w:hint="eastAsia" w:ascii="方正小标宋_GBK" w:hAnsi="方正小标宋_GBK" w:eastAsia="方正小标宋_GBK" w:cs="方正小标宋_GBK"/>
          <w:color w:val="auto"/>
          <w:spacing w:val="-6"/>
          <w:sz w:val="44"/>
          <w:szCs w:val="44"/>
          <w:highlight w:val="none"/>
          <w:lang w:val="en-US" w:eastAsia="zh-CN"/>
        </w:rPr>
        <w:t>2023年度促进金融资源聚集</w:t>
      </w:r>
    </w:p>
    <w:p>
      <w:pPr>
        <w:keepNext w:val="0"/>
        <w:keepLines w:val="0"/>
        <w:pageBreakBefore w:val="0"/>
        <w:widowControl/>
        <w:kinsoku/>
        <w:wordWrap/>
        <w:overflowPunct/>
        <w:topLinePunct w:val="0"/>
        <w:autoSpaceDE/>
        <w:autoSpaceDN/>
        <w:bidi w:val="0"/>
        <w:adjustRightInd w:val="0"/>
        <w:snapToGrid w:val="0"/>
        <w:spacing w:after="157" w:afterLines="50" w:line="560" w:lineRule="exact"/>
        <w:ind w:left="879" w:hanging="879"/>
        <w:jc w:val="center"/>
        <w:textAlignment w:val="auto"/>
        <w:outlineLvl w:val="9"/>
        <w:rPr>
          <w:rFonts w:hint="eastAsia" w:ascii="方正小标宋_GBK" w:hAnsi="宋体" w:eastAsia="方正小标宋_GBK" w:cs="Times New Roman"/>
          <w:b w:val="0"/>
          <w:bCs/>
          <w:color w:val="auto"/>
          <w:sz w:val="44"/>
          <w:szCs w:val="44"/>
          <w:highlight w:val="none"/>
        </w:rPr>
      </w:pPr>
      <w:bookmarkStart w:id="4" w:name="_Toc22307"/>
      <w:bookmarkStart w:id="5" w:name="_Toc409"/>
      <w:r>
        <w:rPr>
          <w:rFonts w:hint="eastAsia" w:ascii="方正小标宋_GBK" w:hAnsi="宋体" w:eastAsia="方正小标宋_GBK" w:cs="Times New Roman"/>
          <w:b w:val="0"/>
          <w:bCs/>
          <w:color w:val="auto"/>
          <w:sz w:val="44"/>
          <w:szCs w:val="44"/>
          <w:highlight w:val="none"/>
          <w:lang w:eastAsia="zh-CN"/>
        </w:rPr>
        <w:t>政策财政</w:t>
      </w:r>
      <w:r>
        <w:rPr>
          <w:rFonts w:hint="eastAsia" w:ascii="方正小标宋_GBK" w:hAnsi="宋体" w:eastAsia="方正小标宋_GBK" w:cs="Times New Roman"/>
          <w:b w:val="0"/>
          <w:bCs/>
          <w:color w:val="auto"/>
          <w:sz w:val="44"/>
          <w:szCs w:val="44"/>
          <w:highlight w:val="none"/>
        </w:rPr>
        <w:t>绩效评价总览表</w:t>
      </w:r>
      <w:bookmarkEnd w:id="4"/>
      <w:bookmarkEnd w:id="5"/>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0"/>
        <w:gridCol w:w="752"/>
        <w:gridCol w:w="1280"/>
        <w:gridCol w:w="138"/>
        <w:gridCol w:w="1437"/>
        <w:gridCol w:w="733"/>
        <w:gridCol w:w="664"/>
        <w:gridCol w:w="1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680" w:type="dxa"/>
            <w:gridSpan w:val="8"/>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一、</w:t>
            </w:r>
            <w:r>
              <w:rPr>
                <w:rFonts w:hint="eastAsia" w:ascii="宋体" w:hAnsi="宋体" w:eastAsia="宋体" w:cs="宋体"/>
                <w:b/>
                <w:bCs/>
                <w:color w:val="auto"/>
                <w:sz w:val="21"/>
                <w:szCs w:val="21"/>
                <w:highlight w:val="none"/>
                <w:lang w:eastAsia="zh-CN"/>
              </w:rPr>
              <w:t>政策</w:t>
            </w:r>
            <w:r>
              <w:rPr>
                <w:rFonts w:hint="eastAsia" w:ascii="宋体" w:hAnsi="宋体" w:eastAsia="宋体" w:cs="宋体"/>
                <w:b/>
                <w:bCs/>
                <w:color w:val="auto"/>
                <w:sz w:val="21"/>
                <w:szCs w:val="21"/>
                <w:highlight w:val="none"/>
              </w:rPr>
              <w:t>预算安排及使用情况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22" w:type="dxa"/>
            <w:gridSpan w:val="2"/>
            <w:noWrap w:val="0"/>
            <w:vAlign w:val="center"/>
          </w:tcPr>
          <w:p>
            <w:pPr>
              <w:keepNext w:val="0"/>
              <w:keepLines w:val="0"/>
              <w:pageBreakBefore w:val="0"/>
              <w:widowControl/>
              <w:kinsoku/>
              <w:wordWrap/>
              <w:overflowPunct/>
              <w:topLinePunct w:val="0"/>
              <w:autoSpaceDE/>
              <w:autoSpaceDN/>
              <w:bidi w:val="0"/>
              <w:adjustRightInd w:val="0"/>
              <w:snapToGrid w:val="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政策名称：</w:t>
            </w:r>
            <w:r>
              <w:rPr>
                <w:rFonts w:hint="eastAsia" w:cs="宋体"/>
                <w:color w:val="auto"/>
                <w:sz w:val="21"/>
                <w:szCs w:val="21"/>
                <w:highlight w:val="none"/>
                <w:lang w:val="en-US" w:eastAsia="zh-CN"/>
              </w:rPr>
              <w:t>2023年度</w:t>
            </w:r>
            <w:r>
              <w:rPr>
                <w:rFonts w:hint="eastAsia" w:ascii="宋体" w:hAnsi="宋体" w:eastAsia="宋体" w:cs="宋体"/>
                <w:color w:val="auto"/>
                <w:sz w:val="21"/>
                <w:szCs w:val="21"/>
                <w:highlight w:val="none"/>
                <w:lang w:eastAsia="zh-CN"/>
              </w:rPr>
              <w:t>促进金融资源聚集</w:t>
            </w:r>
          </w:p>
        </w:tc>
        <w:tc>
          <w:tcPr>
            <w:tcW w:w="2855" w:type="dxa"/>
            <w:gridSpan w:val="3"/>
            <w:noWrap w:val="0"/>
            <w:vAlign w:val="center"/>
          </w:tcPr>
          <w:p>
            <w:pPr>
              <w:keepNext w:val="0"/>
              <w:keepLines w:val="0"/>
              <w:pageBreakBefore w:val="0"/>
              <w:widowControl/>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主管部门：</w:t>
            </w:r>
            <w:r>
              <w:rPr>
                <w:rFonts w:hint="eastAsia" w:cs="宋体"/>
                <w:color w:val="auto"/>
                <w:sz w:val="21"/>
                <w:szCs w:val="21"/>
                <w:highlight w:val="none"/>
                <w:lang w:val="en-US" w:eastAsia="zh-CN"/>
              </w:rPr>
              <w:t>中共青岛市委金融委员会办公室</w:t>
            </w:r>
          </w:p>
        </w:tc>
        <w:tc>
          <w:tcPr>
            <w:tcW w:w="2903" w:type="dxa"/>
            <w:gridSpan w:val="3"/>
            <w:noWrap w:val="0"/>
            <w:vAlign w:val="center"/>
          </w:tcPr>
          <w:p>
            <w:pPr>
              <w:keepNext w:val="0"/>
              <w:keepLines w:val="0"/>
              <w:pageBreakBefore w:val="0"/>
              <w:widowControl/>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实施单位：</w:t>
            </w:r>
            <w:r>
              <w:rPr>
                <w:rFonts w:hint="eastAsia" w:cs="宋体"/>
                <w:color w:val="auto"/>
                <w:sz w:val="21"/>
                <w:szCs w:val="21"/>
                <w:highlight w:val="none"/>
                <w:lang w:val="en-US" w:eastAsia="zh-CN"/>
              </w:rPr>
              <w:t>中共青岛市委金融委员会办公室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22" w:type="dxa"/>
            <w:gridSpan w:val="2"/>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宋体" w:hAnsi="宋体" w:eastAsia="宋体" w:cs="宋体"/>
                <w:color w:val="auto"/>
                <w:sz w:val="21"/>
                <w:szCs w:val="21"/>
                <w:highlight w:val="none"/>
                <w:lang w:val="en-US" w:eastAsia="zh-CN"/>
              </w:rPr>
            </w:pPr>
            <w:r>
              <w:rPr>
                <w:rFonts w:hint="eastAsia" w:cs="宋体"/>
                <w:color w:val="auto"/>
                <w:sz w:val="21"/>
                <w:szCs w:val="21"/>
                <w:highlight w:val="none"/>
                <w:lang w:val="en-US" w:eastAsia="zh-CN"/>
              </w:rPr>
              <w:t>市级</w:t>
            </w:r>
            <w:r>
              <w:rPr>
                <w:rFonts w:hint="eastAsia" w:ascii="宋体" w:hAnsi="宋体" w:eastAsia="宋体" w:cs="宋体"/>
                <w:color w:val="auto"/>
                <w:sz w:val="21"/>
                <w:szCs w:val="21"/>
                <w:highlight w:val="none"/>
                <w:lang w:val="en-US" w:eastAsia="zh-CN"/>
              </w:rPr>
              <w:t>预算安排</w:t>
            </w:r>
            <w:r>
              <w:rPr>
                <w:rFonts w:hint="eastAsia" w:cs="宋体"/>
                <w:color w:val="auto"/>
                <w:sz w:val="21"/>
                <w:szCs w:val="21"/>
                <w:highlight w:val="none"/>
                <w:lang w:val="en-US" w:eastAsia="zh-CN"/>
              </w:rPr>
              <w:t>（万元）</w:t>
            </w:r>
          </w:p>
        </w:tc>
        <w:tc>
          <w:tcPr>
            <w:tcW w:w="1280" w:type="dxa"/>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年初预算数</w:t>
            </w:r>
          </w:p>
        </w:tc>
        <w:tc>
          <w:tcPr>
            <w:tcW w:w="1575" w:type="dxa"/>
            <w:gridSpan w:val="2"/>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调整后预算数</w:t>
            </w:r>
          </w:p>
        </w:tc>
        <w:tc>
          <w:tcPr>
            <w:tcW w:w="1397" w:type="dxa"/>
            <w:gridSpan w:val="2"/>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预算执行数</w:t>
            </w:r>
          </w:p>
        </w:tc>
        <w:tc>
          <w:tcPr>
            <w:tcW w:w="1506" w:type="dxa"/>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预算执行率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22" w:type="dxa"/>
            <w:gridSpan w:val="2"/>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2023年度</w:t>
            </w:r>
          </w:p>
        </w:tc>
        <w:tc>
          <w:tcPr>
            <w:tcW w:w="1280" w:type="dxa"/>
            <w:noWrap w:val="0"/>
            <w:vAlign w:val="center"/>
          </w:tcPr>
          <w:p>
            <w:pPr>
              <w:keepNext w:val="0"/>
              <w:keepLines w:val="0"/>
              <w:pageBreakBefore w:val="0"/>
              <w:widowControl/>
              <w:kinsoku/>
              <w:wordWrap/>
              <w:overflowPunct/>
              <w:topLinePunct w:val="0"/>
              <w:autoSpaceDE/>
              <w:autoSpaceDN/>
              <w:bidi w:val="0"/>
              <w:adjustRightInd w:val="0"/>
              <w:snapToGrid w:val="0"/>
              <w:jc w:val="righ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3,29</w:t>
            </w:r>
            <w:r>
              <w:rPr>
                <w:rFonts w:hint="eastAsia"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w:t>
            </w:r>
            <w:r>
              <w:rPr>
                <w:rFonts w:hint="eastAsia" w:cs="宋体"/>
                <w:color w:val="auto"/>
                <w:sz w:val="21"/>
                <w:szCs w:val="21"/>
                <w:highlight w:val="none"/>
                <w:lang w:val="en-US" w:eastAsia="zh-CN"/>
              </w:rPr>
              <w:t>90</w:t>
            </w:r>
            <w:r>
              <w:rPr>
                <w:rFonts w:hint="eastAsia" w:ascii="宋体" w:hAnsi="宋体" w:eastAsia="宋体" w:cs="宋体"/>
                <w:color w:val="auto"/>
                <w:sz w:val="21"/>
                <w:szCs w:val="21"/>
                <w:highlight w:val="none"/>
                <w:lang w:val="en-US" w:eastAsia="zh-CN"/>
              </w:rPr>
              <w:t xml:space="preserve"> </w:t>
            </w:r>
          </w:p>
        </w:tc>
        <w:tc>
          <w:tcPr>
            <w:tcW w:w="1575" w:type="dxa"/>
            <w:gridSpan w:val="2"/>
            <w:noWrap w:val="0"/>
            <w:vAlign w:val="center"/>
          </w:tcPr>
          <w:p>
            <w:pPr>
              <w:keepNext w:val="0"/>
              <w:keepLines w:val="0"/>
              <w:pageBreakBefore w:val="0"/>
              <w:widowControl/>
              <w:kinsoku/>
              <w:wordWrap/>
              <w:overflowPunct/>
              <w:topLinePunct w:val="0"/>
              <w:autoSpaceDE/>
              <w:autoSpaceDN/>
              <w:bidi w:val="0"/>
              <w:adjustRightInd w:val="0"/>
              <w:snapToGrid w:val="0"/>
              <w:jc w:val="right"/>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3,294.</w:t>
            </w:r>
            <w:r>
              <w:rPr>
                <w:rFonts w:hint="eastAsia" w:cs="宋体"/>
                <w:color w:val="auto"/>
                <w:sz w:val="21"/>
                <w:szCs w:val="21"/>
                <w:highlight w:val="none"/>
                <w:lang w:val="en-US" w:eastAsia="zh-CN"/>
              </w:rPr>
              <w:t>90</w:t>
            </w:r>
          </w:p>
        </w:tc>
        <w:tc>
          <w:tcPr>
            <w:tcW w:w="1397" w:type="dxa"/>
            <w:gridSpan w:val="2"/>
            <w:noWrap w:val="0"/>
            <w:vAlign w:val="center"/>
          </w:tcPr>
          <w:p>
            <w:pPr>
              <w:keepNext w:val="0"/>
              <w:keepLines w:val="0"/>
              <w:pageBreakBefore w:val="0"/>
              <w:widowControl/>
              <w:kinsoku/>
              <w:wordWrap/>
              <w:overflowPunct/>
              <w:topLinePunct w:val="0"/>
              <w:autoSpaceDE/>
              <w:autoSpaceDN/>
              <w:bidi w:val="0"/>
              <w:adjustRightInd w:val="0"/>
              <w:snapToGrid w:val="0"/>
              <w:jc w:val="righ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3,169.89</w:t>
            </w:r>
          </w:p>
        </w:tc>
        <w:tc>
          <w:tcPr>
            <w:tcW w:w="1506" w:type="dxa"/>
            <w:noWrap w:val="0"/>
            <w:vAlign w:val="center"/>
          </w:tcPr>
          <w:p>
            <w:pPr>
              <w:keepNext w:val="0"/>
              <w:keepLines w:val="0"/>
              <w:pageBreakBefore w:val="0"/>
              <w:widowControl/>
              <w:kinsoku/>
              <w:wordWrap/>
              <w:overflowPunct/>
              <w:topLinePunct w:val="0"/>
              <w:autoSpaceDE/>
              <w:autoSpaceDN/>
              <w:bidi w:val="0"/>
              <w:adjustRightInd w:val="0"/>
              <w:snapToGrid w:val="0"/>
              <w:jc w:val="right"/>
              <w:textAlignment w:val="auto"/>
              <w:rPr>
                <w:rFonts w:hint="eastAsia" w:ascii="宋体" w:hAnsi="宋体" w:eastAsia="宋体" w:cs="宋体"/>
                <w:color w:val="auto"/>
                <w:sz w:val="21"/>
                <w:szCs w:val="21"/>
                <w:highlight w:val="none"/>
                <w:lang w:val="en-US" w:eastAsia="zh-CN"/>
              </w:rPr>
            </w:pPr>
            <w:r>
              <w:rPr>
                <w:rFonts w:hint="eastAsia" w:cs="宋体"/>
                <w:color w:val="auto"/>
                <w:sz w:val="21"/>
                <w:szCs w:val="21"/>
                <w:highlight w:val="none"/>
                <w:lang w:val="en-US" w:eastAsia="zh-CN"/>
              </w:rPr>
              <w:t>96.21</w:t>
            </w:r>
            <w:r>
              <w:rPr>
                <w:rFonts w:hint="eastAsia" w:ascii="宋体" w:hAnsi="宋体" w:eastAsia="宋体" w:cs="宋体"/>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680" w:type="dxa"/>
            <w:gridSpan w:val="8"/>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二、</w:t>
            </w:r>
            <w:r>
              <w:rPr>
                <w:rFonts w:hint="eastAsia" w:ascii="宋体" w:hAnsi="宋体" w:eastAsia="宋体" w:cs="宋体"/>
                <w:b/>
                <w:bCs/>
                <w:color w:val="auto"/>
                <w:sz w:val="21"/>
                <w:szCs w:val="21"/>
                <w:highlight w:val="none"/>
                <w:lang w:eastAsia="zh-CN"/>
              </w:rPr>
              <w:t>政策</w:t>
            </w:r>
            <w:r>
              <w:rPr>
                <w:rFonts w:hint="eastAsia" w:ascii="宋体" w:hAnsi="宋体" w:eastAsia="宋体" w:cs="宋体"/>
                <w:b/>
                <w:bCs/>
                <w:color w:val="auto"/>
                <w:sz w:val="21"/>
                <w:szCs w:val="21"/>
                <w:highlight w:val="none"/>
              </w:rPr>
              <w:t>绩效目标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9" w:hRule="atLeast"/>
          <w:jc w:val="center"/>
        </w:trPr>
        <w:tc>
          <w:tcPr>
            <w:tcW w:w="8680" w:type="dxa"/>
            <w:gridSpan w:val="8"/>
            <w:noWrap w:val="0"/>
            <w:vAlign w:val="center"/>
          </w:tcPr>
          <w:p>
            <w:pPr>
              <w:keepNext w:val="0"/>
              <w:keepLines w:val="0"/>
              <w:pageBreakBefore w:val="0"/>
              <w:widowControl/>
              <w:numPr>
                <w:ilvl w:val="0"/>
                <w:numId w:val="0"/>
              </w:numPr>
              <w:kinsoku/>
              <w:wordWrap/>
              <w:overflowPunct/>
              <w:topLinePunct w:val="0"/>
              <w:autoSpaceDE/>
              <w:autoSpaceDN/>
              <w:bidi w:val="0"/>
              <w:adjustRightInd w:val="0"/>
              <w:snapToGrid w:val="0"/>
              <w:ind w:firstLine="420" w:firstLineChars="20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（一）</w:t>
            </w:r>
            <w:r>
              <w:rPr>
                <w:rFonts w:hint="eastAsia" w:ascii="宋体" w:hAnsi="宋体" w:eastAsia="宋体" w:cs="宋体"/>
                <w:b w:val="0"/>
                <w:bCs w:val="0"/>
                <w:color w:val="auto"/>
                <w:sz w:val="21"/>
                <w:szCs w:val="21"/>
                <w:highlight w:val="none"/>
                <w:lang w:eastAsia="zh-CN"/>
              </w:rPr>
              <w:t>项目年度绩效目标</w:t>
            </w:r>
          </w:p>
          <w:p>
            <w:pPr>
              <w:keepNext w:val="0"/>
              <w:keepLines w:val="0"/>
              <w:pageBreakBefore w:val="0"/>
              <w:widowControl/>
              <w:numPr>
                <w:ilvl w:val="0"/>
                <w:numId w:val="0"/>
              </w:numPr>
              <w:kinsoku/>
              <w:wordWrap/>
              <w:overflowPunct/>
              <w:topLinePunct w:val="0"/>
              <w:autoSpaceDE/>
              <w:autoSpaceDN/>
              <w:bidi w:val="0"/>
              <w:adjustRightInd w:val="0"/>
              <w:snapToGrid w:val="0"/>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default" w:ascii="宋体" w:hAnsi="宋体" w:eastAsia="宋体" w:cs="宋体"/>
                <w:b w:val="0"/>
                <w:bCs w:val="0"/>
                <w:color w:val="auto"/>
                <w:sz w:val="21"/>
                <w:szCs w:val="21"/>
                <w:highlight w:val="none"/>
                <w:lang w:val="en-US" w:eastAsia="zh-CN"/>
              </w:rPr>
              <w:t>通过新设立或新引进法人金融机构等奖补</w:t>
            </w:r>
            <w:r>
              <w:rPr>
                <w:rFonts w:hint="eastAsia" w:ascii="宋体" w:hAnsi="宋体" w:eastAsia="宋体" w:cs="宋体"/>
                <w:b w:val="0"/>
                <w:bCs w:val="0"/>
                <w:color w:val="auto"/>
                <w:sz w:val="21"/>
                <w:szCs w:val="21"/>
                <w:highlight w:val="none"/>
                <w:lang w:val="en-US" w:eastAsia="zh-CN"/>
              </w:rPr>
              <w:t>资金用于奖励</w:t>
            </w:r>
            <w:r>
              <w:rPr>
                <w:rFonts w:hint="default" w:ascii="宋体" w:hAnsi="宋体" w:eastAsia="宋体" w:cs="宋体"/>
                <w:b w:val="0"/>
                <w:bCs w:val="0"/>
                <w:color w:val="auto"/>
                <w:sz w:val="21"/>
                <w:szCs w:val="21"/>
                <w:highlight w:val="none"/>
                <w:lang w:val="en-US" w:eastAsia="zh-CN"/>
              </w:rPr>
              <w:t>新引进或者新设立的持牌金融机构或分支机构及项目,</w:t>
            </w:r>
            <w:r>
              <w:rPr>
                <w:rFonts w:hint="eastAsia" w:ascii="宋体" w:hAnsi="宋体" w:eastAsia="宋体" w:cs="宋体"/>
                <w:b w:val="0"/>
                <w:bCs w:val="0"/>
                <w:color w:val="auto"/>
                <w:sz w:val="21"/>
                <w:szCs w:val="21"/>
                <w:highlight w:val="none"/>
                <w:lang w:val="en-US" w:eastAsia="zh-CN"/>
              </w:rPr>
              <w:t>进一步</w:t>
            </w:r>
            <w:r>
              <w:rPr>
                <w:rFonts w:hint="default" w:ascii="宋体" w:hAnsi="宋体" w:eastAsia="宋体" w:cs="宋体"/>
                <w:b w:val="0"/>
                <w:bCs w:val="0"/>
                <w:color w:val="auto"/>
                <w:sz w:val="21"/>
                <w:szCs w:val="21"/>
                <w:highlight w:val="none"/>
                <w:lang w:val="en-US" w:eastAsia="zh-CN"/>
              </w:rPr>
              <w:t>聚集优质金融资源,助力</w:t>
            </w:r>
            <w:r>
              <w:rPr>
                <w:rFonts w:hint="eastAsia" w:ascii="宋体" w:hAnsi="宋体" w:eastAsia="宋体" w:cs="宋体"/>
                <w:b w:val="0"/>
                <w:bCs w:val="0"/>
                <w:color w:val="auto"/>
                <w:sz w:val="21"/>
                <w:szCs w:val="21"/>
                <w:highlight w:val="none"/>
                <w:lang w:val="en-US" w:eastAsia="zh-CN"/>
              </w:rPr>
              <w:t>建设国际财富管理中心、全球创投风投中心、未来金融科技中心和现代化国际航运贸易金融创新中心目标，推动青岛金融业实现高质量发展。</w:t>
            </w:r>
          </w:p>
          <w:p>
            <w:pPr>
              <w:keepNext w:val="0"/>
              <w:keepLines w:val="0"/>
              <w:pageBreakBefore w:val="0"/>
              <w:widowControl/>
              <w:numPr>
                <w:ilvl w:val="0"/>
                <w:numId w:val="0"/>
              </w:numPr>
              <w:kinsoku/>
              <w:wordWrap/>
              <w:overflowPunct/>
              <w:topLinePunct w:val="0"/>
              <w:autoSpaceDE/>
              <w:autoSpaceDN/>
              <w:bidi w:val="0"/>
              <w:adjustRightInd w:val="0"/>
              <w:snapToGrid w:val="0"/>
              <w:ind w:firstLine="420" w:firstLineChars="20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（二）</w:t>
            </w:r>
            <w:r>
              <w:rPr>
                <w:rFonts w:hint="eastAsia" w:ascii="宋体" w:hAnsi="宋体" w:eastAsia="宋体" w:cs="宋体"/>
                <w:b w:val="0"/>
                <w:bCs w:val="0"/>
                <w:color w:val="auto"/>
                <w:sz w:val="21"/>
                <w:szCs w:val="21"/>
                <w:highlight w:val="none"/>
                <w:lang w:eastAsia="zh-CN"/>
              </w:rPr>
              <w:t>主要指标</w:t>
            </w:r>
          </w:p>
          <w:p>
            <w:pPr>
              <w:keepNext w:val="0"/>
              <w:keepLines w:val="0"/>
              <w:pageBreakBefore w:val="0"/>
              <w:widowControl/>
              <w:numPr>
                <w:ilvl w:val="0"/>
                <w:numId w:val="0"/>
              </w:numPr>
              <w:kinsoku/>
              <w:wordWrap/>
              <w:overflowPunct/>
              <w:topLinePunct w:val="0"/>
              <w:autoSpaceDE/>
              <w:autoSpaceDN/>
              <w:bidi w:val="0"/>
              <w:adjustRightInd w:val="0"/>
              <w:snapToGrid w:val="0"/>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新设立或新引进的金融机构</w:t>
            </w:r>
            <w:r>
              <w:rPr>
                <w:rFonts w:hint="eastAsia" w:cs="宋体"/>
                <w:b w:val="0"/>
                <w:bCs w:val="0"/>
                <w:color w:val="auto"/>
                <w:sz w:val="21"/>
                <w:szCs w:val="21"/>
                <w:highlight w:val="none"/>
                <w:lang w:val="en-US" w:eastAsia="zh-CN"/>
              </w:rPr>
              <w:t>等补助资金，</w:t>
            </w:r>
            <w:r>
              <w:rPr>
                <w:rFonts w:hint="eastAsia" w:ascii="宋体" w:hAnsi="宋体" w:eastAsia="宋体" w:cs="宋体"/>
                <w:b w:val="0"/>
                <w:bCs w:val="0"/>
                <w:color w:val="auto"/>
                <w:sz w:val="21"/>
                <w:szCs w:val="21"/>
                <w:highlight w:val="none"/>
                <w:lang w:val="en-US" w:eastAsia="zh-CN"/>
              </w:rPr>
              <w:t>补助机构数量10家，</w:t>
            </w:r>
            <w:r>
              <w:rPr>
                <w:rFonts w:hint="eastAsia" w:cs="宋体"/>
                <w:b w:val="0"/>
                <w:bCs w:val="0"/>
                <w:color w:val="auto"/>
                <w:sz w:val="21"/>
                <w:szCs w:val="21"/>
                <w:highlight w:val="none"/>
                <w:lang w:val="en-US" w:eastAsia="zh-CN"/>
              </w:rPr>
              <w:t>补助</w:t>
            </w:r>
            <w:r>
              <w:rPr>
                <w:rFonts w:hint="eastAsia" w:ascii="宋体" w:hAnsi="宋体" w:eastAsia="宋体" w:cs="宋体"/>
                <w:b w:val="0"/>
                <w:bCs w:val="0"/>
                <w:color w:val="auto"/>
                <w:sz w:val="21"/>
                <w:szCs w:val="21"/>
                <w:highlight w:val="none"/>
                <w:lang w:val="en-US" w:eastAsia="zh-CN"/>
              </w:rPr>
              <w:t>机构新增注册资本总额≥20亿元</w:t>
            </w:r>
            <w:r>
              <w:rPr>
                <w:rFonts w:hint="eastAsia"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现有法人金融机构增资</w:t>
            </w:r>
            <w:r>
              <w:rPr>
                <w:rFonts w:hint="eastAsia" w:cs="宋体"/>
                <w:b w:val="0"/>
                <w:bCs w:val="0"/>
                <w:color w:val="auto"/>
                <w:sz w:val="21"/>
                <w:szCs w:val="21"/>
                <w:highlight w:val="none"/>
                <w:lang w:val="en-US" w:eastAsia="zh-CN"/>
              </w:rPr>
              <w:t>补助</w:t>
            </w:r>
            <w:r>
              <w:rPr>
                <w:rFonts w:hint="eastAsia" w:ascii="宋体" w:hAnsi="宋体" w:eastAsia="宋体" w:cs="宋体"/>
                <w:b w:val="0"/>
                <w:bCs w:val="0"/>
                <w:color w:val="auto"/>
                <w:sz w:val="21"/>
                <w:szCs w:val="21"/>
                <w:highlight w:val="none"/>
                <w:lang w:val="en-US" w:eastAsia="zh-CN"/>
              </w:rPr>
              <w:t>资金，补助机构数量7家，</w:t>
            </w:r>
            <w:r>
              <w:rPr>
                <w:rFonts w:hint="eastAsia" w:cs="宋体"/>
                <w:b w:val="0"/>
                <w:bCs w:val="0"/>
                <w:color w:val="auto"/>
                <w:sz w:val="21"/>
                <w:szCs w:val="21"/>
                <w:highlight w:val="none"/>
                <w:lang w:val="en-US" w:eastAsia="zh-CN"/>
              </w:rPr>
              <w:t>补助</w:t>
            </w:r>
            <w:r>
              <w:rPr>
                <w:rFonts w:hint="eastAsia" w:ascii="宋体" w:hAnsi="宋体" w:eastAsia="宋体" w:cs="宋体"/>
                <w:b w:val="0"/>
                <w:bCs w:val="0"/>
                <w:color w:val="auto"/>
                <w:sz w:val="21"/>
                <w:szCs w:val="21"/>
                <w:highlight w:val="none"/>
                <w:lang w:val="en-US" w:eastAsia="zh-CN"/>
              </w:rPr>
              <w:t>机构新增注册资本总额≥40亿元。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680" w:type="dxa"/>
            <w:gridSpan w:val="8"/>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三、</w:t>
            </w:r>
            <w:r>
              <w:rPr>
                <w:rFonts w:hint="eastAsia" w:ascii="宋体" w:hAnsi="宋体" w:eastAsia="宋体" w:cs="宋体"/>
                <w:b/>
                <w:bCs/>
                <w:color w:val="auto"/>
                <w:sz w:val="21"/>
                <w:szCs w:val="21"/>
                <w:highlight w:val="none"/>
                <w:lang w:eastAsia="zh-CN"/>
              </w:rPr>
              <w:t>实施</w:t>
            </w:r>
            <w:r>
              <w:rPr>
                <w:rFonts w:hint="eastAsia" w:ascii="宋体" w:hAnsi="宋体" w:eastAsia="宋体" w:cs="宋体"/>
                <w:b/>
                <w:bCs/>
                <w:color w:val="auto"/>
                <w:sz w:val="21"/>
                <w:szCs w:val="21"/>
                <w:highlight w:val="none"/>
              </w:rPr>
              <w:t>成效</w:t>
            </w:r>
            <w:r>
              <w:rPr>
                <w:rFonts w:hint="eastAsia" w:ascii="宋体" w:hAnsi="宋体" w:eastAsia="宋体" w:cs="宋体"/>
                <w:b/>
                <w:bCs/>
                <w:color w:val="auto"/>
                <w:sz w:val="21"/>
                <w:szCs w:val="21"/>
                <w:highlight w:val="none"/>
                <w:lang w:eastAsia="zh-CN"/>
              </w:rPr>
              <w:t>主要经验做法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9" w:hRule="atLeast"/>
          <w:jc w:val="center"/>
        </w:trPr>
        <w:tc>
          <w:tcPr>
            <w:tcW w:w="8680" w:type="dxa"/>
            <w:gridSpan w:val="8"/>
            <w:noWrap w:val="0"/>
            <w:vAlign w:val="center"/>
          </w:tcPr>
          <w:p>
            <w:pPr>
              <w:keepNext w:val="0"/>
              <w:keepLines w:val="0"/>
              <w:pageBreakBefore w:val="0"/>
              <w:widowControl/>
              <w:numPr>
                <w:ilvl w:val="0"/>
                <w:numId w:val="0"/>
              </w:numPr>
              <w:kinsoku/>
              <w:wordWrap/>
              <w:overflowPunct/>
              <w:topLinePunct w:val="0"/>
              <w:autoSpaceDE/>
              <w:autoSpaceDN/>
              <w:bidi w:val="0"/>
              <w:adjustRightInd w:val="0"/>
              <w:snapToGrid w:val="0"/>
              <w:ind w:firstLine="420" w:firstLineChars="200"/>
              <w:textAlignment w:val="auto"/>
              <w:rPr>
                <w:rFonts w:hint="eastAsia" w:cs="宋体"/>
                <w:color w:val="auto"/>
                <w:sz w:val="21"/>
                <w:szCs w:val="21"/>
                <w:highlight w:val="none"/>
                <w:shd w:val="clear"/>
                <w:lang w:val="en-US" w:eastAsia="zh-CN"/>
              </w:rPr>
            </w:pPr>
            <w:r>
              <w:rPr>
                <w:rFonts w:hint="eastAsia" w:cs="宋体"/>
                <w:color w:val="auto"/>
                <w:sz w:val="21"/>
                <w:szCs w:val="21"/>
                <w:highlight w:val="none"/>
                <w:shd w:val="clear"/>
                <w:lang w:val="en-US" w:eastAsia="zh-CN"/>
              </w:rPr>
              <w:t>根据《关于印发青岛市支持金融业高质量发展政策措施的通知》</w:t>
            </w:r>
            <w:r>
              <w:rPr>
                <w:rFonts w:hint="eastAsia" w:ascii="宋体" w:eastAsia="宋体"/>
                <w:color w:val="auto"/>
                <w:sz w:val="21"/>
                <w:szCs w:val="21"/>
                <w:highlight w:val="none"/>
                <w:lang w:val="en-US" w:eastAsia="zh-CN"/>
              </w:rPr>
              <w:t>（青政办发〔2021〕9 号）</w:t>
            </w:r>
            <w:r>
              <w:rPr>
                <w:rFonts w:hint="eastAsia" w:cs="宋体"/>
                <w:color w:val="auto"/>
                <w:sz w:val="21"/>
                <w:szCs w:val="21"/>
                <w:highlight w:val="none"/>
                <w:shd w:val="clear"/>
                <w:lang w:val="en-US" w:eastAsia="zh-CN"/>
              </w:rPr>
              <w:t>组织开展2021-2022年聚集金融资源补助资金申报工作，确定奖励10家新设立或新引进的金融机构奖补资金2460万元，奖励7家增资的现有法人金融机构奖补资金834.89万元。受奖补的10家新设立或新引进的金融机构2022年从业人员为201人，2023年从业人员为225人，进一步带动我市金融业就业数量。受奖补的7家现有法人金融机构实现增资82.17亿元，我市法人金融机构进一步做优做强。17家受奖补机构2022年实现全口径税收16.06亿元，地方级税收7.81亿元，为青岛市地方经济发展作出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680" w:type="dxa"/>
            <w:gridSpan w:val="8"/>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四、主要问题及有关建议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2" w:hRule="atLeast"/>
          <w:jc w:val="center"/>
        </w:trPr>
        <w:tc>
          <w:tcPr>
            <w:tcW w:w="8680" w:type="dxa"/>
            <w:gridSpan w:val="8"/>
            <w:noWrap w:val="0"/>
            <w:vAlign w:val="center"/>
          </w:tcPr>
          <w:p>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cs="宋体"/>
                <w:color w:val="auto"/>
                <w:sz w:val="21"/>
                <w:szCs w:val="21"/>
                <w:highlight w:val="none"/>
                <w:lang w:val="en-US" w:eastAsia="zh-CN"/>
              </w:rPr>
            </w:pPr>
            <w:r>
              <w:rPr>
                <w:rFonts w:hint="eastAsia" w:cs="宋体"/>
                <w:color w:val="auto"/>
                <w:sz w:val="21"/>
                <w:szCs w:val="21"/>
                <w:highlight w:val="none"/>
                <w:lang w:val="en-US" w:eastAsia="zh-CN"/>
              </w:rPr>
              <w:t>（一）主要问题</w:t>
            </w:r>
          </w:p>
          <w:p>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cs="宋体"/>
                <w:color w:val="auto"/>
                <w:sz w:val="21"/>
                <w:szCs w:val="21"/>
                <w:highlight w:val="none"/>
                <w:lang w:val="en-US" w:eastAsia="zh-CN"/>
              </w:rPr>
            </w:pPr>
            <w:r>
              <w:rPr>
                <w:rFonts w:hint="eastAsia" w:cs="宋体"/>
                <w:color w:val="auto"/>
                <w:sz w:val="21"/>
                <w:szCs w:val="21"/>
                <w:highlight w:val="none"/>
                <w:lang w:val="en-US" w:eastAsia="zh-CN"/>
              </w:rPr>
              <w:t>1.业务管理方面，2023年度市级补助资金拨付到区市，但个别区市未将资金及时支付给补助机构。按区市反映2023年应发放补助资金3,294.89万元用于补助2021-2022年符合条件的金融机构，已发放3,169.89万元，未发放 125.00万元。其中，2023年8月31日前实际发放250.00万元，占比7.59%，所属区市为市南区；2023年8月31日至2024年7月19日实际发放2,919.89万元，占比88.62%，所属区市为崂山区；截至2024年9月30日，未发放 125.00万元，占比3.79%，所属区市为李沧区。</w:t>
            </w:r>
          </w:p>
          <w:p>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cs="宋体"/>
                <w:color w:val="auto"/>
                <w:sz w:val="21"/>
                <w:szCs w:val="21"/>
                <w:highlight w:val="none"/>
                <w:lang w:val="en-US" w:eastAsia="zh-CN"/>
              </w:rPr>
            </w:pPr>
            <w:r>
              <w:rPr>
                <w:rFonts w:hint="eastAsia" w:cs="宋体"/>
                <w:color w:val="auto"/>
                <w:sz w:val="21"/>
                <w:szCs w:val="21"/>
                <w:highlight w:val="none"/>
                <w:lang w:val="en-US" w:eastAsia="zh-CN"/>
              </w:rPr>
              <w:t>2.政策制定方面，本政策属于给予特定经营者补贴类政策，单纯依靠补贴政策可能导致企业和城市市场机制和行业发展的不可持续，降低市场的竞争度。</w:t>
            </w:r>
            <w:r>
              <w:rPr>
                <w:rFonts w:hint="default" w:cs="宋体"/>
                <w:color w:val="auto"/>
                <w:sz w:val="21"/>
                <w:szCs w:val="21"/>
                <w:highlight w:val="none"/>
                <w:lang w:val="en-US" w:eastAsia="zh-CN"/>
              </w:rPr>
              <w:t>金融机构选择落地何处，需要考虑城市的综合实力，包括经济实力、资本市场活跃度、金融机构聚集度以及营商环境等要素</w:t>
            </w:r>
            <w:r>
              <w:rPr>
                <w:rFonts w:hint="eastAsia" w:cs="宋体"/>
                <w:color w:val="auto"/>
                <w:sz w:val="21"/>
                <w:szCs w:val="21"/>
                <w:highlight w:val="none"/>
                <w:lang w:val="en-US" w:eastAsia="zh-CN"/>
              </w:rPr>
              <w:t>，因此</w:t>
            </w:r>
            <w:r>
              <w:rPr>
                <w:rFonts w:hint="default" w:cs="宋体"/>
                <w:color w:val="auto"/>
                <w:sz w:val="21"/>
                <w:szCs w:val="21"/>
                <w:highlight w:val="none"/>
                <w:lang w:val="en-US" w:eastAsia="zh-CN"/>
              </w:rPr>
              <w:t>提升城市综合实力、优化营商环境是吸引金融机构落户的关键因素</w:t>
            </w:r>
            <w:r>
              <w:rPr>
                <w:rFonts w:hint="eastAsia" w:cs="宋体"/>
                <w:color w:val="auto"/>
                <w:sz w:val="21"/>
                <w:szCs w:val="21"/>
                <w:highlight w:val="none"/>
                <w:lang w:val="en-US" w:eastAsia="zh-CN"/>
              </w:rPr>
              <w:t>。通过对标其他先进城市的金融政策，本政策有较大的调整空间。</w:t>
            </w:r>
          </w:p>
          <w:p>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default" w:cs="宋体"/>
                <w:color w:val="auto"/>
                <w:sz w:val="21"/>
                <w:szCs w:val="21"/>
                <w:highlight w:val="none"/>
                <w:lang w:val="en-US" w:eastAsia="zh-CN"/>
              </w:rPr>
            </w:pPr>
            <w:r>
              <w:rPr>
                <w:rFonts w:hint="eastAsia" w:cs="宋体"/>
                <w:color w:val="auto"/>
                <w:sz w:val="21"/>
                <w:szCs w:val="21"/>
                <w:highlight w:val="none"/>
                <w:lang w:val="en-US" w:eastAsia="zh-CN"/>
              </w:rPr>
              <w:t>3.资金管理方面，《实施细则》有待进一步优化。一是申报审核流程、资金拨付流程没有制定时间节点，不利于有效控制审核进度；二是资金拨付流程，市地方金融监管局向市财政局提报拨付申请，市财政局将资金拨付给区市财政局，区市财政局会同区市补助一起发放给受补助机构。这种资金拨付流程涉及部门多，责任不明确，不利于监管补助资金实际到位情况。</w:t>
            </w:r>
          </w:p>
          <w:p>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cs="宋体"/>
                <w:color w:val="auto"/>
                <w:sz w:val="21"/>
                <w:szCs w:val="21"/>
                <w:highlight w:val="none"/>
                <w:lang w:val="en-US" w:eastAsia="zh-CN"/>
              </w:rPr>
            </w:pPr>
            <w:r>
              <w:rPr>
                <w:rFonts w:hint="eastAsia" w:cs="宋体"/>
                <w:color w:val="auto"/>
                <w:sz w:val="21"/>
                <w:szCs w:val="21"/>
                <w:highlight w:val="none"/>
                <w:lang w:val="en-US" w:eastAsia="zh-CN"/>
              </w:rPr>
              <w:t>4.绩效评价方面，围绕政策目标设置的绩效指标偏低。本项目年度目标主要指标为新设立或新引进的金融机构等补助资金，补助机构新增注册资本总额≥20亿元，带动就业数量≥100人；现有法人金融机构增资补助资金，补助机构新增注册资本总额≥40亿元，金融机构税收贡献≥1亿元。本项目实际实施成效为受奖补的10家新设立或新引进的金融机构2022年从业人员为201人，2023年从业人员为225人；受奖补的7家现有法人金融机构实现增资82.17亿元；17家受奖补机构2022年实现全口径税收16.06亿元，地方级税收7.81亿元，实际完成值远高于年初设定的绩效指标。</w:t>
            </w:r>
          </w:p>
          <w:p>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cs="宋体"/>
                <w:color w:val="auto"/>
                <w:sz w:val="21"/>
                <w:szCs w:val="21"/>
                <w:highlight w:val="none"/>
                <w:lang w:val="en-US" w:eastAsia="zh-CN"/>
              </w:rPr>
            </w:pPr>
            <w:r>
              <w:rPr>
                <w:rFonts w:hint="eastAsia" w:cs="宋体"/>
                <w:color w:val="auto"/>
                <w:sz w:val="21"/>
                <w:szCs w:val="21"/>
                <w:highlight w:val="none"/>
                <w:lang w:val="en-US" w:eastAsia="zh-CN"/>
              </w:rPr>
              <w:t>5.政策产出方面，落户青岛的金融机构以分支机构为主，部分金融机构实力排名相对靠后，地方金融机构综合实力仍然不强。根据中国期货业协会发布的2023年度期货公司分类评级，AA级共22家，A级共33家，BBB级共42家，BB级共34家，2023年补助的金融机构分支机构如中州期货、和融期货、华创期货评级为BB级，评级较低、排名靠后。</w:t>
            </w:r>
          </w:p>
          <w:p>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cs="宋体"/>
                <w:color w:val="auto"/>
                <w:sz w:val="21"/>
                <w:szCs w:val="21"/>
                <w:highlight w:val="none"/>
                <w:lang w:val="en-US" w:eastAsia="zh-CN"/>
              </w:rPr>
            </w:pPr>
            <w:r>
              <w:rPr>
                <w:rFonts w:hint="eastAsia" w:cs="宋体"/>
                <w:color w:val="auto"/>
                <w:sz w:val="21"/>
                <w:szCs w:val="21"/>
                <w:highlight w:val="none"/>
                <w:lang w:val="en-US" w:eastAsia="zh-CN"/>
              </w:rPr>
              <w:t>（二）有关建议</w:t>
            </w:r>
          </w:p>
          <w:p>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cs="宋体"/>
                <w:color w:val="auto"/>
                <w:sz w:val="21"/>
                <w:szCs w:val="21"/>
                <w:highlight w:val="none"/>
                <w:lang w:val="en-US" w:eastAsia="zh-CN"/>
              </w:rPr>
            </w:pPr>
            <w:r>
              <w:rPr>
                <w:rFonts w:hint="eastAsia" w:cs="宋体"/>
                <w:color w:val="auto"/>
                <w:sz w:val="21"/>
                <w:szCs w:val="21"/>
                <w:highlight w:val="none"/>
                <w:lang w:val="en-US" w:eastAsia="zh-CN"/>
              </w:rPr>
              <w:t>1.建议进一步完善政策制订相关流程，提高业务管理水平。严格执行实施细则对资金分配和拨付、部门职责等方面的规定，保证财政资金及时支付给受补助机构，提高财政资金的使用效率。</w:t>
            </w:r>
          </w:p>
          <w:p>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cs="宋体"/>
                <w:color w:val="auto"/>
                <w:sz w:val="21"/>
                <w:szCs w:val="21"/>
                <w:highlight w:val="none"/>
                <w:lang w:val="en-US" w:eastAsia="zh-CN"/>
              </w:rPr>
            </w:pPr>
            <w:r>
              <w:rPr>
                <w:rFonts w:hint="eastAsia" w:cs="宋体"/>
                <w:color w:val="auto"/>
                <w:sz w:val="21"/>
                <w:szCs w:val="21"/>
                <w:highlight w:val="none"/>
                <w:lang w:val="en-US" w:eastAsia="zh-CN"/>
              </w:rPr>
              <w:t>2.建议进一步优化政策措施。学习其他城市政策优秀经验，进行预算编制工作时，综合统筹考虑地区经济发展水平、宏观经济运行情况、行业最新发展情况以及政府财力保障情况，结合部门年度重点工作任务，开拓新思路新方法，大力支持金融聚集相关产业发展，加大人才引进力度，提高政府服务水平，利用大数据分析系统建立起完善的补助资金分析测算</w:t>
            </w:r>
            <w:r>
              <w:rPr>
                <w:rFonts w:hint="default" w:cs="宋体"/>
                <w:color w:val="auto"/>
                <w:sz w:val="21"/>
                <w:szCs w:val="21"/>
                <w:highlight w:val="none"/>
                <w:lang w:val="en-US" w:eastAsia="zh-CN"/>
              </w:rPr>
              <w:t>路径</w:t>
            </w:r>
            <w:r>
              <w:rPr>
                <w:rFonts w:hint="eastAsia" w:cs="宋体"/>
                <w:color w:val="auto"/>
                <w:sz w:val="21"/>
                <w:szCs w:val="21"/>
                <w:highlight w:val="none"/>
                <w:lang w:val="en-US" w:eastAsia="zh-CN"/>
              </w:rPr>
              <w:t>，有针对性地开展研究，科学合理设置补助标准，提升预算编制的预见性、准确性、完整性和科学性，提高预算编制水平，合理安排下年度预算，推动青岛金融业实现高质量发展。</w:t>
            </w:r>
          </w:p>
          <w:p>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cs="宋体"/>
                <w:color w:val="auto"/>
                <w:sz w:val="21"/>
                <w:szCs w:val="21"/>
                <w:highlight w:val="none"/>
                <w:lang w:val="en-US" w:eastAsia="zh-CN"/>
              </w:rPr>
            </w:pPr>
            <w:r>
              <w:rPr>
                <w:rFonts w:hint="eastAsia" w:cs="宋体"/>
                <w:color w:val="auto"/>
                <w:sz w:val="21"/>
                <w:szCs w:val="21"/>
                <w:highlight w:val="none"/>
                <w:lang w:val="en-US" w:eastAsia="zh-CN"/>
              </w:rPr>
              <w:t>3.建议进一步完善实施细则加强资金管理。一是申报审核流程、资金拨付流程应制定时间节点，有效控制审核进度；二是优化资金拨付流程，明确监管责任，保证政策的有效实施。</w:t>
            </w:r>
          </w:p>
          <w:p>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cs="宋体"/>
                <w:color w:val="auto"/>
                <w:sz w:val="21"/>
                <w:szCs w:val="21"/>
                <w:highlight w:val="none"/>
                <w:lang w:val="en-US" w:eastAsia="zh-CN"/>
              </w:rPr>
            </w:pPr>
            <w:r>
              <w:rPr>
                <w:rFonts w:hint="eastAsia" w:cs="宋体"/>
                <w:color w:val="auto"/>
                <w:sz w:val="21"/>
                <w:szCs w:val="21"/>
                <w:highlight w:val="none"/>
                <w:lang w:val="en-US" w:eastAsia="zh-CN"/>
              </w:rPr>
              <w:t>4.建议加强绩效管理工作。充分认识绩效评价工作的重要性，树立绩效理念，在厘清绩效目标与指标内涵的基础上，制定符合项目特点、可衡量、可考核的效益指标，提高项目绩效目标的科学性、全面性和可评价性。</w:t>
            </w:r>
          </w:p>
          <w:p>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cs="宋体"/>
                <w:color w:val="auto"/>
                <w:sz w:val="21"/>
                <w:szCs w:val="21"/>
                <w:highlight w:val="none"/>
                <w:lang w:val="en-US" w:eastAsia="zh-CN"/>
              </w:rPr>
            </w:pPr>
            <w:r>
              <w:rPr>
                <w:rFonts w:hint="eastAsia" w:cs="宋体"/>
                <w:color w:val="auto"/>
                <w:sz w:val="21"/>
                <w:szCs w:val="21"/>
                <w:highlight w:val="none"/>
                <w:lang w:val="en-US" w:eastAsia="zh-CN"/>
              </w:rPr>
              <w:t>5.建议加强金融扶持政策梳理整合，以金融业提质增效为目标，更好的发挥金融发展对青岛市经济的带动效果。梳理整合优化现有金融产业补助政策，参考监管机构的监管评级或行业协会的行业评级，结合青岛市金融发展环境以及新增金融机构情况，综合考虑金融机构的业务拓展广度和深度、市场准入、业务资质、创新试点等，在引进高端金融机构方面加大力度，提升政策效能，更好的完成政策目标。</w:t>
            </w:r>
          </w:p>
          <w:p>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default" w:cs="宋体"/>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680" w:type="dxa"/>
            <w:gridSpan w:val="8"/>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五、评价得分和等级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7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一级指标</w:t>
            </w:r>
          </w:p>
        </w:tc>
        <w:tc>
          <w:tcPr>
            <w:tcW w:w="2170" w:type="dxa"/>
            <w:gridSpan w:val="3"/>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w:t>
            </w:r>
          </w:p>
        </w:tc>
        <w:tc>
          <w:tcPr>
            <w:tcW w:w="2170" w:type="dxa"/>
            <w:gridSpan w:val="2"/>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得分</w:t>
            </w:r>
          </w:p>
        </w:tc>
        <w:tc>
          <w:tcPr>
            <w:tcW w:w="2170" w:type="dxa"/>
            <w:gridSpan w:val="2"/>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217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政策制定</w:t>
            </w:r>
          </w:p>
        </w:tc>
        <w:tc>
          <w:tcPr>
            <w:tcW w:w="2170" w:type="dxa"/>
            <w:gridSpan w:val="3"/>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w:t>
            </w:r>
          </w:p>
        </w:tc>
        <w:tc>
          <w:tcPr>
            <w:tcW w:w="2170" w:type="dxa"/>
            <w:gridSpan w:val="2"/>
            <w:shd w:val="clear" w:color="auto" w:fill="auto"/>
            <w:noWrap w:val="0"/>
            <w:vAlign w:val="center"/>
          </w:tcPr>
          <w:p>
            <w:pPr>
              <w:keepNext w:val="0"/>
              <w:keepLines w:val="0"/>
              <w:widowControl/>
              <w:suppressLineNumbers w:val="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18</w:t>
            </w:r>
          </w:p>
        </w:tc>
        <w:tc>
          <w:tcPr>
            <w:tcW w:w="2170" w:type="dxa"/>
            <w:gridSpan w:val="2"/>
            <w:shd w:val="clear" w:color="auto" w:fill="auto"/>
            <w:noWrap w:val="0"/>
            <w:vAlign w:val="center"/>
          </w:tcPr>
          <w:p>
            <w:pPr>
              <w:keepNext w:val="0"/>
              <w:keepLines w:val="0"/>
              <w:widowControl/>
              <w:suppressLineNumbers w:val="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7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政策实施</w:t>
            </w:r>
          </w:p>
        </w:tc>
        <w:tc>
          <w:tcPr>
            <w:tcW w:w="2170" w:type="dxa"/>
            <w:gridSpan w:val="3"/>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w:t>
            </w:r>
          </w:p>
        </w:tc>
        <w:tc>
          <w:tcPr>
            <w:tcW w:w="2170" w:type="dxa"/>
            <w:gridSpan w:val="2"/>
            <w:shd w:val="clear" w:color="auto" w:fill="auto"/>
            <w:noWrap w:val="0"/>
            <w:vAlign w:val="center"/>
          </w:tcPr>
          <w:p>
            <w:pPr>
              <w:keepNext w:val="0"/>
              <w:keepLines w:val="0"/>
              <w:widowControl/>
              <w:suppressLineNumbers w:val="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16.39</w:t>
            </w:r>
          </w:p>
        </w:tc>
        <w:tc>
          <w:tcPr>
            <w:tcW w:w="2170" w:type="dxa"/>
            <w:gridSpan w:val="2"/>
            <w:shd w:val="clear" w:color="auto" w:fill="auto"/>
            <w:noWrap w:val="0"/>
            <w:vAlign w:val="center"/>
          </w:tcPr>
          <w:p>
            <w:pPr>
              <w:keepNext w:val="0"/>
              <w:keepLines w:val="0"/>
              <w:widowControl/>
              <w:suppressLineNumbers w:val="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81.95%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7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政策效果</w:t>
            </w:r>
          </w:p>
        </w:tc>
        <w:tc>
          <w:tcPr>
            <w:tcW w:w="2170" w:type="dxa"/>
            <w:gridSpan w:val="3"/>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60</w:t>
            </w:r>
          </w:p>
        </w:tc>
        <w:tc>
          <w:tcPr>
            <w:tcW w:w="2170" w:type="dxa"/>
            <w:gridSpan w:val="2"/>
            <w:shd w:val="clear" w:color="auto" w:fill="auto"/>
            <w:noWrap w:val="0"/>
            <w:vAlign w:val="center"/>
          </w:tcPr>
          <w:p>
            <w:pPr>
              <w:keepNext w:val="0"/>
              <w:keepLines w:val="0"/>
              <w:widowControl/>
              <w:suppressLineNumbers w:val="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55.5</w:t>
            </w:r>
          </w:p>
        </w:tc>
        <w:tc>
          <w:tcPr>
            <w:tcW w:w="2170" w:type="dxa"/>
            <w:gridSpan w:val="2"/>
            <w:shd w:val="clear" w:color="auto" w:fill="auto"/>
            <w:noWrap w:val="0"/>
            <w:vAlign w:val="center"/>
          </w:tcPr>
          <w:p>
            <w:pPr>
              <w:keepNext w:val="0"/>
              <w:keepLines w:val="0"/>
              <w:widowControl/>
              <w:suppressLineNumbers w:val="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92.50%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7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合计</w:t>
            </w:r>
          </w:p>
        </w:tc>
        <w:tc>
          <w:tcPr>
            <w:tcW w:w="2170" w:type="dxa"/>
            <w:gridSpan w:val="3"/>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100</w:t>
            </w:r>
          </w:p>
        </w:tc>
        <w:tc>
          <w:tcPr>
            <w:tcW w:w="2170" w:type="dxa"/>
            <w:gridSpan w:val="2"/>
            <w:shd w:val="clear" w:color="auto" w:fill="auto"/>
            <w:noWrap w:val="0"/>
            <w:vAlign w:val="center"/>
          </w:tcPr>
          <w:p>
            <w:pPr>
              <w:keepNext w:val="0"/>
              <w:keepLines w:val="0"/>
              <w:widowControl/>
              <w:suppressLineNumbers w:val="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89.89</w:t>
            </w:r>
          </w:p>
        </w:tc>
        <w:tc>
          <w:tcPr>
            <w:tcW w:w="2170" w:type="dxa"/>
            <w:gridSpan w:val="2"/>
            <w:shd w:val="clear" w:color="auto" w:fill="auto"/>
            <w:noWrap w:val="0"/>
            <w:vAlign w:val="center"/>
          </w:tcPr>
          <w:p>
            <w:pPr>
              <w:keepNext w:val="0"/>
              <w:keepLines w:val="0"/>
              <w:widowControl/>
              <w:suppressLineNumbers w:val="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89.89%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680" w:type="dxa"/>
            <w:gridSpan w:val="8"/>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rPr>
              <w:t>评价得分：</w:t>
            </w:r>
            <w:r>
              <w:rPr>
                <w:rFonts w:hint="eastAsia" w:cs="宋体"/>
                <w:b w:val="0"/>
                <w:bCs w:val="0"/>
                <w:color w:val="auto"/>
                <w:sz w:val="21"/>
                <w:szCs w:val="21"/>
                <w:highlight w:val="none"/>
                <w:lang w:val="en-US" w:eastAsia="zh-CN"/>
              </w:rPr>
              <w:t>89.89</w:t>
            </w:r>
            <w:r>
              <w:rPr>
                <w:rFonts w:hint="eastAsia" w:ascii="宋体" w:hAnsi="宋体" w:eastAsia="宋体" w:cs="宋体"/>
                <w:b w:val="0"/>
                <w:bCs w:val="0"/>
                <w:color w:val="auto"/>
                <w:sz w:val="21"/>
                <w:szCs w:val="21"/>
                <w:highlight w:val="none"/>
              </w:rPr>
              <w:t xml:space="preserve">       评价等级结果：</w:t>
            </w:r>
            <w:r>
              <w:rPr>
                <w:rFonts w:hint="eastAsia" w:cs="宋体"/>
                <w:b w:val="0"/>
                <w:bCs w:val="0"/>
                <w:color w:val="auto"/>
                <w:sz w:val="21"/>
                <w:szCs w:val="21"/>
                <w:highlight w:val="none"/>
                <w:lang w:val="en-US" w:eastAsia="zh-CN"/>
              </w:rPr>
              <w:t>良</w:t>
            </w:r>
          </w:p>
        </w:tc>
      </w:tr>
    </w:tbl>
    <w:p>
      <w:pPr>
        <w:rPr>
          <w:rFonts w:hint="eastAsia" w:ascii="黑体" w:hAnsi="黑体" w:eastAsia="黑体" w:cs="黑体"/>
          <w:b w:val="0"/>
          <w:bCs w:val="0"/>
          <w:color w:val="auto"/>
          <w:sz w:val="40"/>
          <w:szCs w:val="40"/>
          <w:highlight w:val="none"/>
          <w:lang w:val="en-US" w:eastAsia="zh-CN"/>
        </w:rPr>
      </w:pPr>
      <w:r>
        <w:rPr>
          <w:rFonts w:hint="eastAsia" w:ascii="黑体" w:hAnsi="黑体" w:eastAsia="黑体" w:cs="黑体"/>
          <w:b w:val="0"/>
          <w:bCs w:val="0"/>
          <w:color w:val="auto"/>
          <w:sz w:val="40"/>
          <w:szCs w:val="40"/>
          <w:highlight w:val="none"/>
          <w:lang w:val="en-US" w:eastAsia="zh-CN"/>
        </w:rPr>
        <w:br w:type="page"/>
      </w:r>
    </w:p>
    <w:p>
      <w:pPr>
        <w:pStyle w:val="13"/>
        <w:keepNext w:val="0"/>
        <w:keepLines w:val="0"/>
        <w:pageBreakBefore w:val="0"/>
        <w:widowControl w:val="0"/>
        <w:tabs>
          <w:tab w:val="right" w:leader="dot" w:pos="8844"/>
        </w:tabs>
        <w:kinsoku/>
        <w:wordWrap/>
        <w:overflowPunct/>
        <w:topLinePunct w:val="0"/>
        <w:autoSpaceDE/>
        <w:autoSpaceDN/>
        <w:bidi w:val="0"/>
        <w:adjustRightInd w:val="0"/>
        <w:snapToGrid w:val="0"/>
        <w:jc w:val="center"/>
        <w:textAlignment w:val="auto"/>
        <w:rPr>
          <w:rFonts w:hint="eastAsia" w:ascii="黑体" w:hAnsi="黑体" w:eastAsia="黑体" w:cs="黑体"/>
          <w:b w:val="0"/>
          <w:bCs w:val="0"/>
          <w:color w:val="auto"/>
          <w:sz w:val="40"/>
          <w:szCs w:val="40"/>
          <w:highlight w:val="none"/>
          <w:lang w:val="en-US" w:eastAsia="zh-CN"/>
        </w:rPr>
      </w:pPr>
      <w:r>
        <w:rPr>
          <w:rFonts w:hint="eastAsia" w:ascii="方正小标宋_GBK" w:hAnsi="方正小标宋_GBK" w:eastAsia="方正小标宋_GBK" w:cs="方正小标宋_GBK"/>
          <w:color w:val="auto"/>
          <w:spacing w:val="-6"/>
          <w:kern w:val="0"/>
          <w:sz w:val="44"/>
          <w:szCs w:val="44"/>
          <w:highlight w:val="none"/>
          <w:lang w:val="en-US" w:eastAsia="zh-CN" w:bidi="ar-SA"/>
        </w:rPr>
        <w:t>目  录</w:t>
      </w:r>
    </w:p>
    <w:sdt>
      <w:sdtPr>
        <w:rPr>
          <w:rFonts w:ascii="宋体" w:hAnsi="宋体" w:eastAsia="宋体" w:cs="宋体"/>
          <w:sz w:val="21"/>
          <w:szCs w:val="24"/>
          <w:highlight w:val="none"/>
          <w:lang w:val="en-US" w:eastAsia="zh-CN" w:bidi="ar-SA"/>
        </w:rPr>
        <w:id w:val="147471947"/>
        <w15:color w:val="DBDBDB"/>
        <w:docPartObj>
          <w:docPartGallery w:val="Table of Contents"/>
          <w:docPartUnique/>
        </w:docPartObj>
      </w:sdtPr>
      <w:sdtEndPr>
        <w:rPr>
          <w:rFonts w:hint="eastAsia" w:ascii="宋体" w:hAnsi="宋体" w:eastAsia="宋体" w:cs="宋体"/>
          <w:b/>
          <w:sz w:val="24"/>
          <w:szCs w:val="24"/>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13"/>
            <w:tabs>
              <w:tab w:val="right" w:leader="dot" w:pos="8902"/>
            </w:tabs>
            <w:rPr>
              <w:highlight w:val="none"/>
            </w:rPr>
          </w:pPr>
          <w:r>
            <w:rPr>
              <w:rFonts w:hint="eastAsia"/>
              <w:highlight w:val="none"/>
              <w:lang w:val="en-US" w:eastAsia="zh-CN"/>
            </w:rPr>
            <w:fldChar w:fldCharType="begin"/>
          </w:r>
          <w:r>
            <w:rPr>
              <w:rFonts w:hint="eastAsia"/>
              <w:highlight w:val="none"/>
              <w:lang w:val="en-US" w:eastAsia="zh-CN"/>
            </w:rPr>
            <w:instrText xml:space="preserve">TOC \o "1-2" \h \u </w:instrText>
          </w:r>
          <w:r>
            <w:rPr>
              <w:rFonts w:hint="eastAsia"/>
              <w:highlight w:val="none"/>
              <w:lang w:val="en-US" w:eastAsia="zh-CN"/>
            </w:rPr>
            <w:fldChar w:fldCharType="separate"/>
          </w:r>
        </w:p>
        <w:p>
          <w:pPr>
            <w:pStyle w:val="13"/>
            <w:tabs>
              <w:tab w:val="right" w:leader="dot" w:pos="8902"/>
            </w:tabs>
            <w:rPr>
              <w:sz w:val="32"/>
              <w:szCs w:val="32"/>
              <w:highlight w:val="none"/>
            </w:rPr>
          </w:pPr>
          <w:r>
            <w:rPr>
              <w:rFonts w:hint="eastAsia"/>
              <w:sz w:val="32"/>
              <w:szCs w:val="32"/>
              <w:highlight w:val="none"/>
              <w:lang w:val="en-US" w:eastAsia="zh-CN"/>
            </w:rPr>
            <w:fldChar w:fldCharType="begin"/>
          </w:r>
          <w:r>
            <w:rPr>
              <w:rFonts w:hint="eastAsia"/>
              <w:sz w:val="32"/>
              <w:szCs w:val="32"/>
              <w:highlight w:val="none"/>
              <w:lang w:val="en-US" w:eastAsia="zh-CN"/>
            </w:rPr>
            <w:instrText xml:space="preserve"> HYPERLINK \l _Toc11395 </w:instrText>
          </w:r>
          <w:r>
            <w:rPr>
              <w:rFonts w:hint="eastAsia"/>
              <w:sz w:val="32"/>
              <w:szCs w:val="32"/>
              <w:highlight w:val="none"/>
              <w:lang w:val="en-US" w:eastAsia="zh-CN"/>
            </w:rPr>
            <w:fldChar w:fldCharType="separate"/>
          </w:r>
          <w:r>
            <w:rPr>
              <w:rFonts w:hint="eastAsia" w:ascii="Times New Roman" w:hAnsi="Times New Roman" w:eastAsia="黑体" w:cs="Times New Roman"/>
              <w:sz w:val="32"/>
              <w:szCs w:val="32"/>
              <w:highlight w:val="none"/>
            </w:rPr>
            <w:t>一</w:t>
          </w:r>
          <w:r>
            <w:rPr>
              <w:rFonts w:ascii="Times New Roman" w:hAnsi="Times New Roman" w:eastAsia="黑体" w:cs="Times New Roman"/>
              <w:sz w:val="32"/>
              <w:szCs w:val="32"/>
              <w:highlight w:val="none"/>
            </w:rPr>
            <w:t>、</w:t>
          </w:r>
          <w:r>
            <w:rPr>
              <w:rFonts w:hint="eastAsia" w:ascii="Times New Roman" w:hAnsi="Times New Roman" w:eastAsia="黑体" w:cs="Times New Roman"/>
              <w:sz w:val="32"/>
              <w:szCs w:val="32"/>
              <w:highlight w:val="none"/>
            </w:rPr>
            <w:t>政策概况</w:t>
          </w:r>
          <w:r>
            <w:rPr>
              <w:sz w:val="32"/>
              <w:szCs w:val="32"/>
              <w:highlight w:val="none"/>
            </w:rPr>
            <w:tab/>
          </w:r>
          <w:r>
            <w:rPr>
              <w:sz w:val="32"/>
              <w:szCs w:val="32"/>
              <w:highlight w:val="none"/>
            </w:rPr>
            <w:fldChar w:fldCharType="begin"/>
          </w:r>
          <w:r>
            <w:rPr>
              <w:sz w:val="32"/>
              <w:szCs w:val="32"/>
              <w:highlight w:val="none"/>
            </w:rPr>
            <w:instrText xml:space="preserve"> PAGEREF _Toc11395 \h </w:instrText>
          </w:r>
          <w:r>
            <w:rPr>
              <w:sz w:val="32"/>
              <w:szCs w:val="32"/>
              <w:highlight w:val="none"/>
            </w:rPr>
            <w:fldChar w:fldCharType="separate"/>
          </w:r>
          <w:r>
            <w:rPr>
              <w:sz w:val="32"/>
              <w:szCs w:val="32"/>
              <w:highlight w:val="none"/>
            </w:rPr>
            <w:t>5</w:t>
          </w:r>
          <w:r>
            <w:rPr>
              <w:sz w:val="32"/>
              <w:szCs w:val="32"/>
              <w:highlight w:val="none"/>
            </w:rPr>
            <w:fldChar w:fldCharType="end"/>
          </w:r>
          <w:r>
            <w:rPr>
              <w:rFonts w:hint="eastAsia"/>
              <w:sz w:val="32"/>
              <w:szCs w:val="32"/>
              <w:highlight w:val="none"/>
              <w:lang w:val="en-US" w:eastAsia="zh-CN"/>
            </w:rPr>
            <w:fldChar w:fldCharType="end"/>
          </w:r>
        </w:p>
        <w:p>
          <w:pPr>
            <w:pStyle w:val="16"/>
            <w:tabs>
              <w:tab w:val="right" w:leader="dot" w:pos="8902"/>
            </w:tabs>
            <w:rPr>
              <w:sz w:val="32"/>
              <w:szCs w:val="32"/>
              <w:highlight w:val="none"/>
            </w:rPr>
          </w:pPr>
          <w:r>
            <w:rPr>
              <w:rFonts w:hint="eastAsia"/>
              <w:sz w:val="32"/>
              <w:szCs w:val="32"/>
              <w:highlight w:val="none"/>
              <w:lang w:val="en-US" w:eastAsia="zh-CN"/>
            </w:rPr>
            <w:fldChar w:fldCharType="begin"/>
          </w:r>
          <w:r>
            <w:rPr>
              <w:rFonts w:hint="eastAsia"/>
              <w:sz w:val="32"/>
              <w:szCs w:val="32"/>
              <w:highlight w:val="none"/>
              <w:lang w:val="en-US" w:eastAsia="zh-CN"/>
            </w:rPr>
            <w:instrText xml:space="preserve"> HYPERLINK \l _Toc16758 </w:instrText>
          </w:r>
          <w:r>
            <w:rPr>
              <w:rFonts w:hint="eastAsia"/>
              <w:sz w:val="32"/>
              <w:szCs w:val="32"/>
              <w:highlight w:val="none"/>
              <w:lang w:val="en-US" w:eastAsia="zh-CN"/>
            </w:rPr>
            <w:fldChar w:fldCharType="separate"/>
          </w:r>
          <w:r>
            <w:rPr>
              <w:rFonts w:hint="eastAsia" w:ascii="楷体_GB2312" w:hAnsi="楷体_GB2312" w:eastAsia="楷体_GB2312" w:cs="楷体_GB2312"/>
              <w:sz w:val="32"/>
              <w:szCs w:val="32"/>
              <w:highlight w:val="none"/>
            </w:rPr>
            <w:t>（一）政策基本情况</w:t>
          </w:r>
          <w:r>
            <w:rPr>
              <w:sz w:val="32"/>
              <w:szCs w:val="32"/>
              <w:highlight w:val="none"/>
            </w:rPr>
            <w:tab/>
          </w:r>
          <w:r>
            <w:rPr>
              <w:sz w:val="32"/>
              <w:szCs w:val="32"/>
              <w:highlight w:val="none"/>
            </w:rPr>
            <w:fldChar w:fldCharType="begin"/>
          </w:r>
          <w:r>
            <w:rPr>
              <w:sz w:val="32"/>
              <w:szCs w:val="32"/>
              <w:highlight w:val="none"/>
            </w:rPr>
            <w:instrText xml:space="preserve"> PAGEREF _Toc16758 \h </w:instrText>
          </w:r>
          <w:r>
            <w:rPr>
              <w:sz w:val="32"/>
              <w:szCs w:val="32"/>
              <w:highlight w:val="none"/>
            </w:rPr>
            <w:fldChar w:fldCharType="separate"/>
          </w:r>
          <w:r>
            <w:rPr>
              <w:sz w:val="32"/>
              <w:szCs w:val="32"/>
              <w:highlight w:val="none"/>
            </w:rPr>
            <w:t>5</w:t>
          </w:r>
          <w:r>
            <w:rPr>
              <w:sz w:val="32"/>
              <w:szCs w:val="32"/>
              <w:highlight w:val="none"/>
            </w:rPr>
            <w:fldChar w:fldCharType="end"/>
          </w:r>
          <w:r>
            <w:rPr>
              <w:rFonts w:hint="eastAsia"/>
              <w:sz w:val="32"/>
              <w:szCs w:val="32"/>
              <w:highlight w:val="none"/>
              <w:lang w:val="en-US" w:eastAsia="zh-CN"/>
            </w:rPr>
            <w:fldChar w:fldCharType="end"/>
          </w:r>
        </w:p>
        <w:p>
          <w:pPr>
            <w:pStyle w:val="16"/>
            <w:tabs>
              <w:tab w:val="right" w:leader="dot" w:pos="8902"/>
            </w:tabs>
            <w:rPr>
              <w:sz w:val="32"/>
              <w:szCs w:val="32"/>
              <w:highlight w:val="none"/>
            </w:rPr>
          </w:pPr>
          <w:r>
            <w:rPr>
              <w:rFonts w:hint="eastAsia"/>
              <w:sz w:val="32"/>
              <w:szCs w:val="32"/>
              <w:highlight w:val="none"/>
              <w:lang w:val="en-US" w:eastAsia="zh-CN"/>
            </w:rPr>
            <w:fldChar w:fldCharType="begin"/>
          </w:r>
          <w:r>
            <w:rPr>
              <w:rFonts w:hint="eastAsia"/>
              <w:sz w:val="32"/>
              <w:szCs w:val="32"/>
              <w:highlight w:val="none"/>
              <w:lang w:val="en-US" w:eastAsia="zh-CN"/>
            </w:rPr>
            <w:instrText xml:space="preserve"> HYPERLINK \l _Toc17371 </w:instrText>
          </w:r>
          <w:r>
            <w:rPr>
              <w:rFonts w:hint="eastAsia"/>
              <w:sz w:val="32"/>
              <w:szCs w:val="32"/>
              <w:highlight w:val="none"/>
              <w:lang w:val="en-US" w:eastAsia="zh-CN"/>
            </w:rPr>
            <w:fldChar w:fldCharType="separate"/>
          </w:r>
          <w:r>
            <w:rPr>
              <w:rFonts w:hint="eastAsia" w:ascii="楷体_GB2312" w:hAnsi="楷体_GB2312" w:eastAsia="楷体_GB2312" w:cs="楷体_GB2312"/>
              <w:sz w:val="32"/>
              <w:szCs w:val="32"/>
              <w:highlight w:val="none"/>
              <w:lang w:val="en-US" w:eastAsia="zh-CN"/>
            </w:rPr>
            <w:t>（二）组织管理情况</w:t>
          </w:r>
          <w:r>
            <w:rPr>
              <w:sz w:val="32"/>
              <w:szCs w:val="32"/>
              <w:highlight w:val="none"/>
            </w:rPr>
            <w:tab/>
          </w:r>
          <w:r>
            <w:rPr>
              <w:sz w:val="32"/>
              <w:szCs w:val="32"/>
              <w:highlight w:val="none"/>
            </w:rPr>
            <w:fldChar w:fldCharType="begin"/>
          </w:r>
          <w:r>
            <w:rPr>
              <w:sz w:val="32"/>
              <w:szCs w:val="32"/>
              <w:highlight w:val="none"/>
            </w:rPr>
            <w:instrText xml:space="preserve"> PAGEREF _Toc17371 \h </w:instrText>
          </w:r>
          <w:r>
            <w:rPr>
              <w:sz w:val="32"/>
              <w:szCs w:val="32"/>
              <w:highlight w:val="none"/>
            </w:rPr>
            <w:fldChar w:fldCharType="separate"/>
          </w:r>
          <w:r>
            <w:rPr>
              <w:sz w:val="32"/>
              <w:szCs w:val="32"/>
              <w:highlight w:val="none"/>
            </w:rPr>
            <w:t>6</w:t>
          </w:r>
          <w:r>
            <w:rPr>
              <w:sz w:val="32"/>
              <w:szCs w:val="32"/>
              <w:highlight w:val="none"/>
            </w:rPr>
            <w:fldChar w:fldCharType="end"/>
          </w:r>
          <w:r>
            <w:rPr>
              <w:rFonts w:hint="eastAsia"/>
              <w:sz w:val="32"/>
              <w:szCs w:val="32"/>
              <w:highlight w:val="none"/>
              <w:lang w:val="en-US" w:eastAsia="zh-CN"/>
            </w:rPr>
            <w:fldChar w:fldCharType="end"/>
          </w:r>
        </w:p>
        <w:p>
          <w:pPr>
            <w:pStyle w:val="16"/>
            <w:tabs>
              <w:tab w:val="right" w:leader="dot" w:pos="8902"/>
            </w:tabs>
            <w:rPr>
              <w:sz w:val="32"/>
              <w:szCs w:val="32"/>
              <w:highlight w:val="none"/>
            </w:rPr>
          </w:pPr>
          <w:r>
            <w:rPr>
              <w:rFonts w:hint="eastAsia"/>
              <w:sz w:val="32"/>
              <w:szCs w:val="32"/>
              <w:highlight w:val="none"/>
              <w:lang w:val="en-US" w:eastAsia="zh-CN"/>
            </w:rPr>
            <w:fldChar w:fldCharType="begin"/>
          </w:r>
          <w:r>
            <w:rPr>
              <w:rFonts w:hint="eastAsia"/>
              <w:sz w:val="32"/>
              <w:szCs w:val="32"/>
              <w:highlight w:val="none"/>
              <w:lang w:val="en-US" w:eastAsia="zh-CN"/>
            </w:rPr>
            <w:instrText xml:space="preserve"> HYPERLINK \l _Toc10849 </w:instrText>
          </w:r>
          <w:r>
            <w:rPr>
              <w:rFonts w:hint="eastAsia"/>
              <w:sz w:val="32"/>
              <w:szCs w:val="32"/>
              <w:highlight w:val="none"/>
              <w:lang w:val="en-US" w:eastAsia="zh-CN"/>
            </w:rPr>
            <w:fldChar w:fldCharType="separate"/>
          </w:r>
          <w:r>
            <w:rPr>
              <w:rFonts w:hint="eastAsia" w:ascii="楷体_GB2312" w:hAnsi="楷体_GB2312" w:eastAsia="楷体_GB2312" w:cs="楷体_GB2312"/>
              <w:sz w:val="32"/>
              <w:szCs w:val="32"/>
              <w:highlight w:val="none"/>
            </w:rPr>
            <w:t>（</w:t>
          </w:r>
          <w:r>
            <w:rPr>
              <w:rFonts w:hint="eastAsia" w:ascii="楷体_GB2312" w:hAnsi="楷体_GB2312" w:eastAsia="楷体_GB2312" w:cs="楷体_GB2312"/>
              <w:sz w:val="32"/>
              <w:szCs w:val="32"/>
              <w:highlight w:val="none"/>
              <w:lang w:val="en-US" w:eastAsia="zh-CN"/>
            </w:rPr>
            <w:t>三</w:t>
          </w:r>
          <w:r>
            <w:rPr>
              <w:rFonts w:hint="eastAsia" w:ascii="楷体_GB2312" w:hAnsi="楷体_GB2312" w:eastAsia="楷体_GB2312" w:cs="楷体_GB2312"/>
              <w:sz w:val="32"/>
              <w:szCs w:val="32"/>
              <w:highlight w:val="none"/>
            </w:rPr>
            <w:t>）资金投入及分配情况</w:t>
          </w:r>
          <w:r>
            <w:rPr>
              <w:sz w:val="32"/>
              <w:szCs w:val="32"/>
              <w:highlight w:val="none"/>
            </w:rPr>
            <w:tab/>
          </w:r>
          <w:r>
            <w:rPr>
              <w:sz w:val="32"/>
              <w:szCs w:val="32"/>
              <w:highlight w:val="none"/>
            </w:rPr>
            <w:fldChar w:fldCharType="begin"/>
          </w:r>
          <w:r>
            <w:rPr>
              <w:sz w:val="32"/>
              <w:szCs w:val="32"/>
              <w:highlight w:val="none"/>
            </w:rPr>
            <w:instrText xml:space="preserve"> PAGEREF _Toc10849 \h </w:instrText>
          </w:r>
          <w:r>
            <w:rPr>
              <w:sz w:val="32"/>
              <w:szCs w:val="32"/>
              <w:highlight w:val="none"/>
            </w:rPr>
            <w:fldChar w:fldCharType="separate"/>
          </w:r>
          <w:r>
            <w:rPr>
              <w:sz w:val="32"/>
              <w:szCs w:val="32"/>
              <w:highlight w:val="none"/>
            </w:rPr>
            <w:t>8</w:t>
          </w:r>
          <w:r>
            <w:rPr>
              <w:sz w:val="32"/>
              <w:szCs w:val="32"/>
              <w:highlight w:val="none"/>
            </w:rPr>
            <w:fldChar w:fldCharType="end"/>
          </w:r>
          <w:r>
            <w:rPr>
              <w:rFonts w:hint="eastAsia"/>
              <w:sz w:val="32"/>
              <w:szCs w:val="32"/>
              <w:highlight w:val="none"/>
              <w:lang w:val="en-US" w:eastAsia="zh-CN"/>
            </w:rPr>
            <w:fldChar w:fldCharType="end"/>
          </w:r>
        </w:p>
        <w:p>
          <w:pPr>
            <w:pStyle w:val="16"/>
            <w:tabs>
              <w:tab w:val="right" w:leader="dot" w:pos="8902"/>
            </w:tabs>
            <w:rPr>
              <w:sz w:val="32"/>
              <w:szCs w:val="32"/>
              <w:highlight w:val="none"/>
            </w:rPr>
          </w:pPr>
          <w:r>
            <w:rPr>
              <w:rFonts w:hint="eastAsia"/>
              <w:sz w:val="32"/>
              <w:szCs w:val="32"/>
              <w:highlight w:val="none"/>
              <w:lang w:val="en-US" w:eastAsia="zh-CN"/>
            </w:rPr>
            <w:fldChar w:fldCharType="begin"/>
          </w:r>
          <w:r>
            <w:rPr>
              <w:rFonts w:hint="eastAsia"/>
              <w:sz w:val="32"/>
              <w:szCs w:val="32"/>
              <w:highlight w:val="none"/>
              <w:lang w:val="en-US" w:eastAsia="zh-CN"/>
            </w:rPr>
            <w:instrText xml:space="preserve"> HYPERLINK \l _Toc22874 </w:instrText>
          </w:r>
          <w:r>
            <w:rPr>
              <w:rFonts w:hint="eastAsia"/>
              <w:sz w:val="32"/>
              <w:szCs w:val="32"/>
              <w:highlight w:val="none"/>
              <w:lang w:val="en-US" w:eastAsia="zh-CN"/>
            </w:rPr>
            <w:fldChar w:fldCharType="separate"/>
          </w:r>
          <w:r>
            <w:rPr>
              <w:rFonts w:hint="eastAsia" w:ascii="楷体_GB2312" w:hAnsi="楷体_GB2312" w:eastAsia="楷体_GB2312" w:cs="楷体_GB2312"/>
              <w:sz w:val="32"/>
              <w:szCs w:val="32"/>
              <w:highlight w:val="none"/>
              <w:lang w:val="en-US" w:eastAsia="zh-CN"/>
            </w:rPr>
            <w:t>（四）政策绩效目标</w:t>
          </w:r>
          <w:r>
            <w:rPr>
              <w:sz w:val="32"/>
              <w:szCs w:val="32"/>
              <w:highlight w:val="none"/>
            </w:rPr>
            <w:tab/>
          </w:r>
          <w:r>
            <w:rPr>
              <w:sz w:val="32"/>
              <w:szCs w:val="32"/>
              <w:highlight w:val="none"/>
            </w:rPr>
            <w:fldChar w:fldCharType="begin"/>
          </w:r>
          <w:r>
            <w:rPr>
              <w:sz w:val="32"/>
              <w:szCs w:val="32"/>
              <w:highlight w:val="none"/>
            </w:rPr>
            <w:instrText xml:space="preserve"> PAGEREF _Toc22874 \h </w:instrText>
          </w:r>
          <w:r>
            <w:rPr>
              <w:sz w:val="32"/>
              <w:szCs w:val="32"/>
              <w:highlight w:val="none"/>
            </w:rPr>
            <w:fldChar w:fldCharType="separate"/>
          </w:r>
          <w:r>
            <w:rPr>
              <w:sz w:val="32"/>
              <w:szCs w:val="32"/>
              <w:highlight w:val="none"/>
            </w:rPr>
            <w:t>9</w:t>
          </w:r>
          <w:r>
            <w:rPr>
              <w:sz w:val="32"/>
              <w:szCs w:val="32"/>
              <w:highlight w:val="none"/>
            </w:rPr>
            <w:fldChar w:fldCharType="end"/>
          </w:r>
          <w:r>
            <w:rPr>
              <w:rFonts w:hint="eastAsia"/>
              <w:sz w:val="32"/>
              <w:szCs w:val="32"/>
              <w:highlight w:val="none"/>
              <w:lang w:val="en-US" w:eastAsia="zh-CN"/>
            </w:rPr>
            <w:fldChar w:fldCharType="end"/>
          </w:r>
        </w:p>
        <w:p>
          <w:pPr>
            <w:pStyle w:val="13"/>
            <w:tabs>
              <w:tab w:val="right" w:leader="dot" w:pos="8902"/>
            </w:tabs>
            <w:rPr>
              <w:sz w:val="32"/>
              <w:szCs w:val="32"/>
              <w:highlight w:val="none"/>
            </w:rPr>
          </w:pPr>
          <w:r>
            <w:rPr>
              <w:rFonts w:hint="eastAsia"/>
              <w:sz w:val="32"/>
              <w:szCs w:val="32"/>
              <w:highlight w:val="none"/>
              <w:lang w:val="en-US" w:eastAsia="zh-CN"/>
            </w:rPr>
            <w:fldChar w:fldCharType="begin"/>
          </w:r>
          <w:r>
            <w:rPr>
              <w:rFonts w:hint="eastAsia"/>
              <w:sz w:val="32"/>
              <w:szCs w:val="32"/>
              <w:highlight w:val="none"/>
              <w:lang w:val="en-US" w:eastAsia="zh-CN"/>
            </w:rPr>
            <w:instrText xml:space="preserve"> HYPERLINK \l _Toc25023 </w:instrText>
          </w:r>
          <w:r>
            <w:rPr>
              <w:rFonts w:hint="eastAsia"/>
              <w:sz w:val="32"/>
              <w:szCs w:val="32"/>
              <w:highlight w:val="none"/>
              <w:lang w:val="en-US" w:eastAsia="zh-CN"/>
            </w:rPr>
            <w:fldChar w:fldCharType="separate"/>
          </w:r>
          <w:r>
            <w:rPr>
              <w:rFonts w:hint="eastAsia" w:ascii="Times New Roman" w:hAnsi="Times New Roman" w:eastAsia="黑体" w:cs="Times New Roman"/>
              <w:sz w:val="32"/>
              <w:szCs w:val="32"/>
              <w:highlight w:val="none"/>
            </w:rPr>
            <w:t>二、</w:t>
          </w:r>
          <w:r>
            <w:rPr>
              <w:rFonts w:hint="eastAsia" w:ascii="Times New Roman" w:hAnsi="Times New Roman" w:eastAsia="黑体" w:cs="Times New Roman"/>
              <w:sz w:val="32"/>
              <w:szCs w:val="32"/>
              <w:highlight w:val="none"/>
              <w:lang w:val="en-US" w:eastAsia="zh-CN"/>
            </w:rPr>
            <w:t>绩效</w:t>
          </w:r>
          <w:r>
            <w:rPr>
              <w:rFonts w:hint="eastAsia" w:ascii="Times New Roman" w:hAnsi="Times New Roman" w:eastAsia="黑体" w:cs="Times New Roman"/>
              <w:sz w:val="32"/>
              <w:szCs w:val="32"/>
              <w:highlight w:val="none"/>
            </w:rPr>
            <w:t>评价工作</w:t>
          </w:r>
          <w:r>
            <w:rPr>
              <w:rFonts w:hint="eastAsia" w:ascii="Times New Roman" w:hAnsi="Times New Roman" w:eastAsia="黑体" w:cs="Times New Roman"/>
              <w:sz w:val="32"/>
              <w:szCs w:val="32"/>
              <w:highlight w:val="none"/>
              <w:lang w:val="en-US" w:eastAsia="zh-CN"/>
            </w:rPr>
            <w:t>开展</w:t>
          </w:r>
          <w:r>
            <w:rPr>
              <w:rFonts w:hint="eastAsia" w:ascii="Times New Roman" w:hAnsi="Times New Roman" w:eastAsia="黑体" w:cs="Times New Roman"/>
              <w:sz w:val="32"/>
              <w:szCs w:val="32"/>
              <w:highlight w:val="none"/>
            </w:rPr>
            <w:t>情况</w:t>
          </w:r>
          <w:r>
            <w:rPr>
              <w:sz w:val="32"/>
              <w:szCs w:val="32"/>
              <w:highlight w:val="none"/>
            </w:rPr>
            <w:tab/>
          </w:r>
          <w:r>
            <w:rPr>
              <w:sz w:val="32"/>
              <w:szCs w:val="32"/>
              <w:highlight w:val="none"/>
            </w:rPr>
            <w:fldChar w:fldCharType="begin"/>
          </w:r>
          <w:r>
            <w:rPr>
              <w:sz w:val="32"/>
              <w:szCs w:val="32"/>
              <w:highlight w:val="none"/>
            </w:rPr>
            <w:instrText xml:space="preserve"> PAGEREF _Toc25023 \h </w:instrText>
          </w:r>
          <w:r>
            <w:rPr>
              <w:sz w:val="32"/>
              <w:szCs w:val="32"/>
              <w:highlight w:val="none"/>
            </w:rPr>
            <w:fldChar w:fldCharType="separate"/>
          </w:r>
          <w:r>
            <w:rPr>
              <w:sz w:val="32"/>
              <w:szCs w:val="32"/>
              <w:highlight w:val="none"/>
            </w:rPr>
            <w:t>10</w:t>
          </w:r>
          <w:r>
            <w:rPr>
              <w:sz w:val="32"/>
              <w:szCs w:val="32"/>
              <w:highlight w:val="none"/>
            </w:rPr>
            <w:fldChar w:fldCharType="end"/>
          </w:r>
          <w:r>
            <w:rPr>
              <w:rFonts w:hint="eastAsia"/>
              <w:sz w:val="32"/>
              <w:szCs w:val="32"/>
              <w:highlight w:val="none"/>
              <w:lang w:val="en-US" w:eastAsia="zh-CN"/>
            </w:rPr>
            <w:fldChar w:fldCharType="end"/>
          </w:r>
        </w:p>
        <w:p>
          <w:pPr>
            <w:pStyle w:val="16"/>
            <w:tabs>
              <w:tab w:val="right" w:leader="dot" w:pos="8902"/>
            </w:tabs>
            <w:rPr>
              <w:sz w:val="32"/>
              <w:szCs w:val="32"/>
              <w:highlight w:val="none"/>
            </w:rPr>
          </w:pPr>
          <w:r>
            <w:rPr>
              <w:rFonts w:hint="eastAsia"/>
              <w:sz w:val="32"/>
              <w:szCs w:val="32"/>
              <w:highlight w:val="none"/>
              <w:lang w:val="en-US" w:eastAsia="zh-CN"/>
            </w:rPr>
            <w:fldChar w:fldCharType="begin"/>
          </w:r>
          <w:r>
            <w:rPr>
              <w:rFonts w:hint="eastAsia"/>
              <w:sz w:val="32"/>
              <w:szCs w:val="32"/>
              <w:highlight w:val="none"/>
              <w:lang w:val="en-US" w:eastAsia="zh-CN"/>
            </w:rPr>
            <w:instrText xml:space="preserve"> HYPERLINK \l _Toc4558 </w:instrText>
          </w:r>
          <w:r>
            <w:rPr>
              <w:rFonts w:hint="eastAsia"/>
              <w:sz w:val="32"/>
              <w:szCs w:val="32"/>
              <w:highlight w:val="none"/>
              <w:lang w:val="en-US" w:eastAsia="zh-CN"/>
            </w:rPr>
            <w:fldChar w:fldCharType="separate"/>
          </w:r>
          <w:r>
            <w:rPr>
              <w:rFonts w:hint="eastAsia" w:ascii="楷体_GB2312" w:hAnsi="楷体_GB2312" w:eastAsia="楷体_GB2312" w:cs="楷体_GB2312"/>
              <w:sz w:val="32"/>
              <w:szCs w:val="32"/>
              <w:highlight w:val="none"/>
              <w:lang w:val="en-US" w:eastAsia="zh-CN"/>
            </w:rPr>
            <w:t>（一）绩效评价目的、对象和范围</w:t>
          </w:r>
          <w:r>
            <w:rPr>
              <w:sz w:val="32"/>
              <w:szCs w:val="32"/>
              <w:highlight w:val="none"/>
            </w:rPr>
            <w:tab/>
          </w:r>
          <w:r>
            <w:rPr>
              <w:sz w:val="32"/>
              <w:szCs w:val="32"/>
              <w:highlight w:val="none"/>
            </w:rPr>
            <w:fldChar w:fldCharType="begin"/>
          </w:r>
          <w:r>
            <w:rPr>
              <w:sz w:val="32"/>
              <w:szCs w:val="32"/>
              <w:highlight w:val="none"/>
            </w:rPr>
            <w:instrText xml:space="preserve"> PAGEREF _Toc4558 \h </w:instrText>
          </w:r>
          <w:r>
            <w:rPr>
              <w:sz w:val="32"/>
              <w:szCs w:val="32"/>
              <w:highlight w:val="none"/>
            </w:rPr>
            <w:fldChar w:fldCharType="separate"/>
          </w:r>
          <w:r>
            <w:rPr>
              <w:sz w:val="32"/>
              <w:szCs w:val="32"/>
              <w:highlight w:val="none"/>
            </w:rPr>
            <w:t>10</w:t>
          </w:r>
          <w:r>
            <w:rPr>
              <w:sz w:val="32"/>
              <w:szCs w:val="32"/>
              <w:highlight w:val="none"/>
            </w:rPr>
            <w:fldChar w:fldCharType="end"/>
          </w:r>
          <w:r>
            <w:rPr>
              <w:rFonts w:hint="eastAsia"/>
              <w:sz w:val="32"/>
              <w:szCs w:val="32"/>
              <w:highlight w:val="none"/>
              <w:lang w:val="en-US" w:eastAsia="zh-CN"/>
            </w:rPr>
            <w:fldChar w:fldCharType="end"/>
          </w:r>
        </w:p>
        <w:p>
          <w:pPr>
            <w:pStyle w:val="16"/>
            <w:tabs>
              <w:tab w:val="right" w:leader="dot" w:pos="8902"/>
            </w:tabs>
            <w:rPr>
              <w:sz w:val="32"/>
              <w:szCs w:val="32"/>
              <w:highlight w:val="none"/>
            </w:rPr>
          </w:pPr>
          <w:r>
            <w:rPr>
              <w:rFonts w:hint="eastAsia"/>
              <w:sz w:val="32"/>
              <w:szCs w:val="32"/>
              <w:highlight w:val="none"/>
              <w:lang w:val="en-US" w:eastAsia="zh-CN"/>
            </w:rPr>
            <w:fldChar w:fldCharType="begin"/>
          </w:r>
          <w:r>
            <w:rPr>
              <w:rFonts w:hint="eastAsia"/>
              <w:sz w:val="32"/>
              <w:szCs w:val="32"/>
              <w:highlight w:val="none"/>
              <w:lang w:val="en-US" w:eastAsia="zh-CN"/>
            </w:rPr>
            <w:instrText xml:space="preserve"> HYPERLINK \l _Toc19030 </w:instrText>
          </w:r>
          <w:r>
            <w:rPr>
              <w:rFonts w:hint="eastAsia"/>
              <w:sz w:val="32"/>
              <w:szCs w:val="32"/>
              <w:highlight w:val="none"/>
              <w:lang w:val="en-US" w:eastAsia="zh-CN"/>
            </w:rPr>
            <w:fldChar w:fldCharType="separate"/>
          </w:r>
          <w:r>
            <w:rPr>
              <w:rFonts w:hint="eastAsia" w:ascii="楷体_GB2312" w:hAnsi="楷体_GB2312" w:eastAsia="楷体_GB2312" w:cs="楷体_GB2312"/>
              <w:sz w:val="32"/>
              <w:szCs w:val="32"/>
              <w:highlight w:val="none"/>
              <w:lang w:val="en-US" w:eastAsia="zh-CN"/>
            </w:rPr>
            <w:t>（二）评价思路、评价重点、评价指标体系和评价标准</w:t>
          </w:r>
          <w:r>
            <w:rPr>
              <w:sz w:val="32"/>
              <w:szCs w:val="32"/>
              <w:highlight w:val="none"/>
            </w:rPr>
            <w:tab/>
          </w:r>
          <w:r>
            <w:rPr>
              <w:sz w:val="32"/>
              <w:szCs w:val="32"/>
              <w:highlight w:val="none"/>
            </w:rPr>
            <w:fldChar w:fldCharType="begin"/>
          </w:r>
          <w:r>
            <w:rPr>
              <w:sz w:val="32"/>
              <w:szCs w:val="32"/>
              <w:highlight w:val="none"/>
            </w:rPr>
            <w:instrText xml:space="preserve"> PAGEREF _Toc19030 \h </w:instrText>
          </w:r>
          <w:r>
            <w:rPr>
              <w:sz w:val="32"/>
              <w:szCs w:val="32"/>
              <w:highlight w:val="none"/>
            </w:rPr>
            <w:fldChar w:fldCharType="separate"/>
          </w:r>
          <w:r>
            <w:rPr>
              <w:sz w:val="32"/>
              <w:szCs w:val="32"/>
              <w:highlight w:val="none"/>
            </w:rPr>
            <w:t>10</w:t>
          </w:r>
          <w:r>
            <w:rPr>
              <w:sz w:val="32"/>
              <w:szCs w:val="32"/>
              <w:highlight w:val="none"/>
            </w:rPr>
            <w:fldChar w:fldCharType="end"/>
          </w:r>
          <w:r>
            <w:rPr>
              <w:rFonts w:hint="eastAsia"/>
              <w:sz w:val="32"/>
              <w:szCs w:val="32"/>
              <w:highlight w:val="none"/>
              <w:lang w:val="en-US" w:eastAsia="zh-CN"/>
            </w:rPr>
            <w:fldChar w:fldCharType="end"/>
          </w:r>
        </w:p>
        <w:p>
          <w:pPr>
            <w:pStyle w:val="16"/>
            <w:tabs>
              <w:tab w:val="right" w:leader="dot" w:pos="8902"/>
            </w:tabs>
            <w:rPr>
              <w:sz w:val="32"/>
              <w:szCs w:val="32"/>
              <w:highlight w:val="none"/>
            </w:rPr>
          </w:pPr>
          <w:r>
            <w:rPr>
              <w:rFonts w:hint="eastAsia"/>
              <w:sz w:val="32"/>
              <w:szCs w:val="32"/>
              <w:highlight w:val="none"/>
              <w:lang w:val="en-US" w:eastAsia="zh-CN"/>
            </w:rPr>
            <w:fldChar w:fldCharType="begin"/>
          </w:r>
          <w:r>
            <w:rPr>
              <w:rFonts w:hint="eastAsia"/>
              <w:sz w:val="32"/>
              <w:szCs w:val="32"/>
              <w:highlight w:val="none"/>
              <w:lang w:val="en-US" w:eastAsia="zh-CN"/>
            </w:rPr>
            <w:instrText xml:space="preserve"> HYPERLINK \l _Toc6479 </w:instrText>
          </w:r>
          <w:r>
            <w:rPr>
              <w:rFonts w:hint="eastAsia"/>
              <w:sz w:val="32"/>
              <w:szCs w:val="32"/>
              <w:highlight w:val="none"/>
              <w:lang w:val="en-US" w:eastAsia="zh-CN"/>
            </w:rPr>
            <w:fldChar w:fldCharType="separate"/>
          </w:r>
          <w:r>
            <w:rPr>
              <w:rFonts w:hint="eastAsia" w:ascii="楷体_GB2312" w:hAnsi="楷体_GB2312" w:eastAsia="楷体_GB2312" w:cs="楷体_GB2312"/>
              <w:sz w:val="32"/>
              <w:szCs w:val="32"/>
              <w:highlight w:val="none"/>
              <w:lang w:val="en-US" w:eastAsia="zh-CN"/>
            </w:rPr>
            <w:t>（三）评价组织实施与评价方法</w:t>
          </w:r>
          <w:r>
            <w:rPr>
              <w:sz w:val="32"/>
              <w:szCs w:val="32"/>
              <w:highlight w:val="none"/>
            </w:rPr>
            <w:tab/>
          </w:r>
          <w:r>
            <w:rPr>
              <w:sz w:val="32"/>
              <w:szCs w:val="32"/>
              <w:highlight w:val="none"/>
            </w:rPr>
            <w:fldChar w:fldCharType="begin"/>
          </w:r>
          <w:r>
            <w:rPr>
              <w:sz w:val="32"/>
              <w:szCs w:val="32"/>
              <w:highlight w:val="none"/>
            </w:rPr>
            <w:instrText xml:space="preserve"> PAGEREF _Toc6479 \h </w:instrText>
          </w:r>
          <w:r>
            <w:rPr>
              <w:sz w:val="32"/>
              <w:szCs w:val="32"/>
              <w:highlight w:val="none"/>
            </w:rPr>
            <w:fldChar w:fldCharType="separate"/>
          </w:r>
          <w:r>
            <w:rPr>
              <w:sz w:val="32"/>
              <w:szCs w:val="32"/>
              <w:highlight w:val="none"/>
            </w:rPr>
            <w:t>11</w:t>
          </w:r>
          <w:r>
            <w:rPr>
              <w:sz w:val="32"/>
              <w:szCs w:val="32"/>
              <w:highlight w:val="none"/>
            </w:rPr>
            <w:fldChar w:fldCharType="end"/>
          </w:r>
          <w:r>
            <w:rPr>
              <w:rFonts w:hint="eastAsia"/>
              <w:sz w:val="32"/>
              <w:szCs w:val="32"/>
              <w:highlight w:val="none"/>
              <w:lang w:val="en-US" w:eastAsia="zh-CN"/>
            </w:rPr>
            <w:fldChar w:fldCharType="end"/>
          </w:r>
        </w:p>
        <w:p>
          <w:pPr>
            <w:pStyle w:val="13"/>
            <w:tabs>
              <w:tab w:val="right" w:leader="dot" w:pos="8902"/>
            </w:tabs>
            <w:rPr>
              <w:sz w:val="32"/>
              <w:szCs w:val="32"/>
              <w:highlight w:val="none"/>
            </w:rPr>
          </w:pPr>
          <w:r>
            <w:rPr>
              <w:rFonts w:hint="eastAsia"/>
              <w:sz w:val="32"/>
              <w:szCs w:val="32"/>
              <w:highlight w:val="none"/>
              <w:lang w:val="en-US" w:eastAsia="zh-CN"/>
            </w:rPr>
            <w:fldChar w:fldCharType="begin"/>
          </w:r>
          <w:r>
            <w:rPr>
              <w:rFonts w:hint="eastAsia"/>
              <w:sz w:val="32"/>
              <w:szCs w:val="32"/>
              <w:highlight w:val="none"/>
              <w:lang w:val="en-US" w:eastAsia="zh-CN"/>
            </w:rPr>
            <w:instrText xml:space="preserve"> HYPERLINK \l _Toc2721 </w:instrText>
          </w:r>
          <w:r>
            <w:rPr>
              <w:rFonts w:hint="eastAsia"/>
              <w:sz w:val="32"/>
              <w:szCs w:val="32"/>
              <w:highlight w:val="none"/>
              <w:lang w:val="en-US" w:eastAsia="zh-CN"/>
            </w:rPr>
            <w:fldChar w:fldCharType="separate"/>
          </w:r>
          <w:r>
            <w:rPr>
              <w:rFonts w:hint="eastAsia" w:ascii="Times New Roman" w:hAnsi="Times New Roman" w:eastAsia="黑体" w:cs="Times New Roman"/>
              <w:sz w:val="32"/>
              <w:szCs w:val="32"/>
              <w:highlight w:val="none"/>
            </w:rPr>
            <w:t>三、</w:t>
          </w:r>
          <w:r>
            <w:rPr>
              <w:rFonts w:hint="eastAsia" w:ascii="Times New Roman" w:hAnsi="Times New Roman" w:eastAsia="黑体" w:cs="Times New Roman"/>
              <w:sz w:val="32"/>
              <w:szCs w:val="32"/>
              <w:highlight w:val="none"/>
              <w:lang w:val="en-US" w:eastAsia="zh-CN"/>
            </w:rPr>
            <w:t>评价结论及指标分析</w:t>
          </w:r>
          <w:r>
            <w:rPr>
              <w:sz w:val="32"/>
              <w:szCs w:val="32"/>
              <w:highlight w:val="none"/>
            </w:rPr>
            <w:tab/>
          </w:r>
          <w:r>
            <w:rPr>
              <w:sz w:val="32"/>
              <w:szCs w:val="32"/>
              <w:highlight w:val="none"/>
            </w:rPr>
            <w:fldChar w:fldCharType="begin"/>
          </w:r>
          <w:r>
            <w:rPr>
              <w:sz w:val="32"/>
              <w:szCs w:val="32"/>
              <w:highlight w:val="none"/>
            </w:rPr>
            <w:instrText xml:space="preserve"> PAGEREF _Toc2721 \h </w:instrText>
          </w:r>
          <w:r>
            <w:rPr>
              <w:sz w:val="32"/>
              <w:szCs w:val="32"/>
              <w:highlight w:val="none"/>
            </w:rPr>
            <w:fldChar w:fldCharType="separate"/>
          </w:r>
          <w:r>
            <w:rPr>
              <w:sz w:val="32"/>
              <w:szCs w:val="32"/>
              <w:highlight w:val="none"/>
            </w:rPr>
            <w:t>11</w:t>
          </w:r>
          <w:r>
            <w:rPr>
              <w:sz w:val="32"/>
              <w:szCs w:val="32"/>
              <w:highlight w:val="none"/>
            </w:rPr>
            <w:fldChar w:fldCharType="end"/>
          </w:r>
          <w:r>
            <w:rPr>
              <w:rFonts w:hint="eastAsia"/>
              <w:sz w:val="32"/>
              <w:szCs w:val="32"/>
              <w:highlight w:val="none"/>
              <w:lang w:val="en-US" w:eastAsia="zh-CN"/>
            </w:rPr>
            <w:fldChar w:fldCharType="end"/>
          </w:r>
        </w:p>
        <w:p>
          <w:pPr>
            <w:pStyle w:val="16"/>
            <w:tabs>
              <w:tab w:val="right" w:leader="dot" w:pos="8902"/>
            </w:tabs>
            <w:rPr>
              <w:sz w:val="32"/>
              <w:szCs w:val="32"/>
              <w:highlight w:val="none"/>
            </w:rPr>
          </w:pPr>
          <w:r>
            <w:rPr>
              <w:rFonts w:hint="eastAsia"/>
              <w:sz w:val="32"/>
              <w:szCs w:val="32"/>
              <w:highlight w:val="none"/>
              <w:lang w:val="en-US" w:eastAsia="zh-CN"/>
            </w:rPr>
            <w:fldChar w:fldCharType="begin"/>
          </w:r>
          <w:r>
            <w:rPr>
              <w:rFonts w:hint="eastAsia"/>
              <w:sz w:val="32"/>
              <w:szCs w:val="32"/>
              <w:highlight w:val="none"/>
              <w:lang w:val="en-US" w:eastAsia="zh-CN"/>
            </w:rPr>
            <w:instrText xml:space="preserve"> HYPERLINK \l _Toc1063 </w:instrText>
          </w:r>
          <w:r>
            <w:rPr>
              <w:rFonts w:hint="eastAsia"/>
              <w:sz w:val="32"/>
              <w:szCs w:val="32"/>
              <w:highlight w:val="none"/>
              <w:lang w:val="en-US" w:eastAsia="zh-CN"/>
            </w:rPr>
            <w:fldChar w:fldCharType="separate"/>
          </w:r>
          <w:r>
            <w:rPr>
              <w:rFonts w:hint="eastAsia" w:ascii="楷体_GB2312" w:hAnsi="楷体_GB2312" w:eastAsia="楷体_GB2312" w:cs="楷体_GB2312"/>
              <w:sz w:val="32"/>
              <w:szCs w:val="32"/>
              <w:highlight w:val="none"/>
              <w:lang w:val="en-US" w:eastAsia="zh-CN"/>
            </w:rPr>
            <w:t>（一）</w:t>
          </w:r>
          <w:r>
            <w:rPr>
              <w:rFonts w:hint="eastAsia" w:ascii="楷体_GB2312" w:hAnsi="楷体_GB2312" w:eastAsia="楷体_GB2312" w:cs="楷体_GB2312"/>
              <w:sz w:val="32"/>
              <w:szCs w:val="32"/>
              <w:highlight w:val="none"/>
            </w:rPr>
            <w:t>政策制定</w:t>
          </w:r>
          <w:r>
            <w:rPr>
              <w:sz w:val="32"/>
              <w:szCs w:val="32"/>
              <w:highlight w:val="none"/>
            </w:rPr>
            <w:tab/>
          </w:r>
          <w:r>
            <w:rPr>
              <w:sz w:val="32"/>
              <w:szCs w:val="32"/>
              <w:highlight w:val="none"/>
            </w:rPr>
            <w:fldChar w:fldCharType="begin"/>
          </w:r>
          <w:r>
            <w:rPr>
              <w:sz w:val="32"/>
              <w:szCs w:val="32"/>
              <w:highlight w:val="none"/>
            </w:rPr>
            <w:instrText xml:space="preserve"> PAGEREF _Toc1063 \h </w:instrText>
          </w:r>
          <w:r>
            <w:rPr>
              <w:sz w:val="32"/>
              <w:szCs w:val="32"/>
              <w:highlight w:val="none"/>
            </w:rPr>
            <w:fldChar w:fldCharType="separate"/>
          </w:r>
          <w:r>
            <w:rPr>
              <w:sz w:val="32"/>
              <w:szCs w:val="32"/>
              <w:highlight w:val="none"/>
            </w:rPr>
            <w:t>12</w:t>
          </w:r>
          <w:r>
            <w:rPr>
              <w:sz w:val="32"/>
              <w:szCs w:val="32"/>
              <w:highlight w:val="none"/>
            </w:rPr>
            <w:fldChar w:fldCharType="end"/>
          </w:r>
          <w:r>
            <w:rPr>
              <w:rFonts w:hint="eastAsia"/>
              <w:sz w:val="32"/>
              <w:szCs w:val="32"/>
              <w:highlight w:val="none"/>
              <w:lang w:val="en-US" w:eastAsia="zh-CN"/>
            </w:rPr>
            <w:fldChar w:fldCharType="end"/>
          </w:r>
        </w:p>
        <w:p>
          <w:pPr>
            <w:pStyle w:val="16"/>
            <w:tabs>
              <w:tab w:val="right" w:leader="dot" w:pos="8902"/>
            </w:tabs>
            <w:rPr>
              <w:sz w:val="32"/>
              <w:szCs w:val="32"/>
              <w:highlight w:val="none"/>
            </w:rPr>
          </w:pPr>
          <w:r>
            <w:rPr>
              <w:rFonts w:hint="eastAsia"/>
              <w:sz w:val="32"/>
              <w:szCs w:val="32"/>
              <w:highlight w:val="none"/>
              <w:lang w:val="en-US" w:eastAsia="zh-CN"/>
            </w:rPr>
            <w:fldChar w:fldCharType="begin"/>
          </w:r>
          <w:r>
            <w:rPr>
              <w:rFonts w:hint="eastAsia"/>
              <w:sz w:val="32"/>
              <w:szCs w:val="32"/>
              <w:highlight w:val="none"/>
              <w:lang w:val="en-US" w:eastAsia="zh-CN"/>
            </w:rPr>
            <w:instrText xml:space="preserve"> HYPERLINK \l _Toc13971 </w:instrText>
          </w:r>
          <w:r>
            <w:rPr>
              <w:rFonts w:hint="eastAsia"/>
              <w:sz w:val="32"/>
              <w:szCs w:val="32"/>
              <w:highlight w:val="none"/>
              <w:lang w:val="en-US" w:eastAsia="zh-CN"/>
            </w:rPr>
            <w:fldChar w:fldCharType="separate"/>
          </w:r>
          <w:r>
            <w:rPr>
              <w:rFonts w:hint="eastAsia" w:ascii="楷体_GB2312" w:hAnsi="楷体_GB2312" w:eastAsia="楷体_GB2312" w:cs="楷体_GB2312"/>
              <w:sz w:val="32"/>
              <w:szCs w:val="32"/>
              <w:highlight w:val="none"/>
              <w:lang w:val="en-US" w:eastAsia="zh-CN"/>
            </w:rPr>
            <w:t>（二）</w:t>
          </w:r>
          <w:r>
            <w:rPr>
              <w:rFonts w:hint="eastAsia" w:ascii="楷体_GB2312" w:hAnsi="楷体_GB2312" w:eastAsia="楷体_GB2312" w:cs="楷体_GB2312"/>
              <w:sz w:val="32"/>
              <w:szCs w:val="32"/>
              <w:highlight w:val="none"/>
            </w:rPr>
            <w:t>政策实施</w:t>
          </w:r>
          <w:r>
            <w:rPr>
              <w:sz w:val="32"/>
              <w:szCs w:val="32"/>
              <w:highlight w:val="none"/>
            </w:rPr>
            <w:tab/>
          </w:r>
          <w:r>
            <w:rPr>
              <w:sz w:val="32"/>
              <w:szCs w:val="32"/>
              <w:highlight w:val="none"/>
            </w:rPr>
            <w:fldChar w:fldCharType="begin"/>
          </w:r>
          <w:r>
            <w:rPr>
              <w:sz w:val="32"/>
              <w:szCs w:val="32"/>
              <w:highlight w:val="none"/>
            </w:rPr>
            <w:instrText xml:space="preserve"> PAGEREF _Toc13971 \h </w:instrText>
          </w:r>
          <w:r>
            <w:rPr>
              <w:sz w:val="32"/>
              <w:szCs w:val="32"/>
              <w:highlight w:val="none"/>
            </w:rPr>
            <w:fldChar w:fldCharType="separate"/>
          </w:r>
          <w:r>
            <w:rPr>
              <w:sz w:val="32"/>
              <w:szCs w:val="32"/>
              <w:highlight w:val="none"/>
            </w:rPr>
            <w:t>13</w:t>
          </w:r>
          <w:r>
            <w:rPr>
              <w:sz w:val="32"/>
              <w:szCs w:val="32"/>
              <w:highlight w:val="none"/>
            </w:rPr>
            <w:fldChar w:fldCharType="end"/>
          </w:r>
          <w:r>
            <w:rPr>
              <w:rFonts w:hint="eastAsia"/>
              <w:sz w:val="32"/>
              <w:szCs w:val="32"/>
              <w:highlight w:val="none"/>
              <w:lang w:val="en-US" w:eastAsia="zh-CN"/>
            </w:rPr>
            <w:fldChar w:fldCharType="end"/>
          </w:r>
        </w:p>
        <w:p>
          <w:pPr>
            <w:pStyle w:val="16"/>
            <w:tabs>
              <w:tab w:val="right" w:leader="dot" w:pos="8902"/>
            </w:tabs>
            <w:rPr>
              <w:sz w:val="32"/>
              <w:szCs w:val="32"/>
              <w:highlight w:val="none"/>
            </w:rPr>
          </w:pPr>
          <w:r>
            <w:rPr>
              <w:rFonts w:hint="eastAsia"/>
              <w:sz w:val="32"/>
              <w:szCs w:val="32"/>
              <w:highlight w:val="none"/>
              <w:lang w:val="en-US" w:eastAsia="zh-CN"/>
            </w:rPr>
            <w:fldChar w:fldCharType="begin"/>
          </w:r>
          <w:r>
            <w:rPr>
              <w:rFonts w:hint="eastAsia"/>
              <w:sz w:val="32"/>
              <w:szCs w:val="32"/>
              <w:highlight w:val="none"/>
              <w:lang w:val="en-US" w:eastAsia="zh-CN"/>
            </w:rPr>
            <w:instrText xml:space="preserve"> HYPERLINK \l _Toc27653 </w:instrText>
          </w:r>
          <w:r>
            <w:rPr>
              <w:rFonts w:hint="eastAsia"/>
              <w:sz w:val="32"/>
              <w:szCs w:val="32"/>
              <w:highlight w:val="none"/>
              <w:lang w:val="en-US" w:eastAsia="zh-CN"/>
            </w:rPr>
            <w:fldChar w:fldCharType="separate"/>
          </w:r>
          <w:r>
            <w:rPr>
              <w:rFonts w:hint="eastAsia" w:ascii="楷体_GB2312" w:hAnsi="楷体_GB2312" w:eastAsia="楷体_GB2312" w:cs="楷体_GB2312"/>
              <w:sz w:val="32"/>
              <w:szCs w:val="32"/>
              <w:highlight w:val="none"/>
              <w:lang w:val="en-US" w:eastAsia="zh-CN"/>
            </w:rPr>
            <w:t>（三）</w:t>
          </w:r>
          <w:r>
            <w:rPr>
              <w:rFonts w:hint="eastAsia" w:ascii="楷体_GB2312" w:hAnsi="楷体_GB2312" w:eastAsia="楷体_GB2312" w:cs="楷体_GB2312"/>
              <w:sz w:val="32"/>
              <w:szCs w:val="32"/>
              <w:highlight w:val="none"/>
            </w:rPr>
            <w:t>政策效果</w:t>
          </w:r>
          <w:r>
            <w:rPr>
              <w:sz w:val="32"/>
              <w:szCs w:val="32"/>
              <w:highlight w:val="none"/>
            </w:rPr>
            <w:tab/>
          </w:r>
          <w:r>
            <w:rPr>
              <w:sz w:val="32"/>
              <w:szCs w:val="32"/>
              <w:highlight w:val="none"/>
            </w:rPr>
            <w:fldChar w:fldCharType="begin"/>
          </w:r>
          <w:r>
            <w:rPr>
              <w:sz w:val="32"/>
              <w:szCs w:val="32"/>
              <w:highlight w:val="none"/>
            </w:rPr>
            <w:instrText xml:space="preserve"> PAGEREF _Toc27653 \h </w:instrText>
          </w:r>
          <w:r>
            <w:rPr>
              <w:sz w:val="32"/>
              <w:szCs w:val="32"/>
              <w:highlight w:val="none"/>
            </w:rPr>
            <w:fldChar w:fldCharType="separate"/>
          </w:r>
          <w:r>
            <w:rPr>
              <w:sz w:val="32"/>
              <w:szCs w:val="32"/>
              <w:highlight w:val="none"/>
            </w:rPr>
            <w:t>14</w:t>
          </w:r>
          <w:r>
            <w:rPr>
              <w:sz w:val="32"/>
              <w:szCs w:val="32"/>
              <w:highlight w:val="none"/>
            </w:rPr>
            <w:fldChar w:fldCharType="end"/>
          </w:r>
          <w:r>
            <w:rPr>
              <w:rFonts w:hint="eastAsia"/>
              <w:sz w:val="32"/>
              <w:szCs w:val="32"/>
              <w:highlight w:val="none"/>
              <w:lang w:val="en-US" w:eastAsia="zh-CN"/>
            </w:rPr>
            <w:fldChar w:fldCharType="end"/>
          </w:r>
        </w:p>
        <w:p>
          <w:pPr>
            <w:pStyle w:val="13"/>
            <w:tabs>
              <w:tab w:val="right" w:leader="dot" w:pos="8902"/>
            </w:tabs>
            <w:rPr>
              <w:sz w:val="32"/>
              <w:szCs w:val="32"/>
              <w:highlight w:val="none"/>
            </w:rPr>
          </w:pPr>
          <w:r>
            <w:rPr>
              <w:rFonts w:hint="eastAsia"/>
              <w:sz w:val="32"/>
              <w:szCs w:val="32"/>
              <w:highlight w:val="none"/>
              <w:lang w:val="en-US" w:eastAsia="zh-CN"/>
            </w:rPr>
            <w:fldChar w:fldCharType="begin"/>
          </w:r>
          <w:r>
            <w:rPr>
              <w:rFonts w:hint="eastAsia"/>
              <w:sz w:val="32"/>
              <w:szCs w:val="32"/>
              <w:highlight w:val="none"/>
              <w:lang w:val="en-US" w:eastAsia="zh-CN"/>
            </w:rPr>
            <w:instrText xml:space="preserve"> HYPERLINK \l _Toc10370 </w:instrText>
          </w:r>
          <w:r>
            <w:rPr>
              <w:rFonts w:hint="eastAsia"/>
              <w:sz w:val="32"/>
              <w:szCs w:val="32"/>
              <w:highlight w:val="none"/>
              <w:lang w:val="en-US" w:eastAsia="zh-CN"/>
            </w:rPr>
            <w:fldChar w:fldCharType="separate"/>
          </w:r>
          <w:r>
            <w:rPr>
              <w:rFonts w:hint="eastAsia" w:ascii="Times New Roman" w:hAnsi="Times New Roman" w:eastAsia="黑体" w:cs="Times New Roman"/>
              <w:sz w:val="32"/>
              <w:szCs w:val="32"/>
              <w:highlight w:val="none"/>
              <w:lang w:val="en-US" w:eastAsia="zh-CN"/>
            </w:rPr>
            <w:t>四、成本绩效分析</w:t>
          </w:r>
          <w:r>
            <w:rPr>
              <w:sz w:val="32"/>
              <w:szCs w:val="32"/>
              <w:highlight w:val="none"/>
            </w:rPr>
            <w:tab/>
          </w:r>
          <w:r>
            <w:rPr>
              <w:sz w:val="32"/>
              <w:szCs w:val="32"/>
              <w:highlight w:val="none"/>
            </w:rPr>
            <w:fldChar w:fldCharType="begin"/>
          </w:r>
          <w:r>
            <w:rPr>
              <w:sz w:val="32"/>
              <w:szCs w:val="32"/>
              <w:highlight w:val="none"/>
            </w:rPr>
            <w:instrText xml:space="preserve"> PAGEREF _Toc10370 \h </w:instrText>
          </w:r>
          <w:r>
            <w:rPr>
              <w:sz w:val="32"/>
              <w:szCs w:val="32"/>
              <w:highlight w:val="none"/>
            </w:rPr>
            <w:fldChar w:fldCharType="separate"/>
          </w:r>
          <w:r>
            <w:rPr>
              <w:sz w:val="32"/>
              <w:szCs w:val="32"/>
              <w:highlight w:val="none"/>
            </w:rPr>
            <w:t>16</w:t>
          </w:r>
          <w:r>
            <w:rPr>
              <w:sz w:val="32"/>
              <w:szCs w:val="32"/>
              <w:highlight w:val="none"/>
            </w:rPr>
            <w:fldChar w:fldCharType="end"/>
          </w:r>
          <w:r>
            <w:rPr>
              <w:rFonts w:hint="eastAsia"/>
              <w:sz w:val="32"/>
              <w:szCs w:val="32"/>
              <w:highlight w:val="none"/>
              <w:lang w:val="en-US" w:eastAsia="zh-CN"/>
            </w:rPr>
            <w:fldChar w:fldCharType="end"/>
          </w:r>
        </w:p>
        <w:p>
          <w:pPr>
            <w:pStyle w:val="13"/>
            <w:tabs>
              <w:tab w:val="right" w:leader="dot" w:pos="8902"/>
            </w:tabs>
            <w:rPr>
              <w:sz w:val="32"/>
              <w:szCs w:val="32"/>
              <w:highlight w:val="none"/>
            </w:rPr>
          </w:pPr>
          <w:r>
            <w:rPr>
              <w:rFonts w:hint="eastAsia"/>
              <w:sz w:val="32"/>
              <w:szCs w:val="32"/>
              <w:highlight w:val="none"/>
              <w:lang w:val="en-US" w:eastAsia="zh-CN"/>
            </w:rPr>
            <w:fldChar w:fldCharType="begin"/>
          </w:r>
          <w:r>
            <w:rPr>
              <w:rFonts w:hint="eastAsia"/>
              <w:sz w:val="32"/>
              <w:szCs w:val="32"/>
              <w:highlight w:val="none"/>
              <w:lang w:val="en-US" w:eastAsia="zh-CN"/>
            </w:rPr>
            <w:instrText xml:space="preserve"> HYPERLINK \l _Toc21438 </w:instrText>
          </w:r>
          <w:r>
            <w:rPr>
              <w:rFonts w:hint="eastAsia"/>
              <w:sz w:val="32"/>
              <w:szCs w:val="32"/>
              <w:highlight w:val="none"/>
              <w:lang w:val="en-US" w:eastAsia="zh-CN"/>
            </w:rPr>
            <w:fldChar w:fldCharType="separate"/>
          </w:r>
          <w:r>
            <w:rPr>
              <w:rFonts w:hint="eastAsia" w:ascii="Times New Roman" w:hAnsi="Times New Roman" w:eastAsia="黑体" w:cs="Times New Roman"/>
              <w:sz w:val="32"/>
              <w:szCs w:val="32"/>
              <w:highlight w:val="none"/>
              <w:lang w:val="en-US" w:eastAsia="zh-CN"/>
            </w:rPr>
            <w:t>五、政策实施成效和主要经验和做法</w:t>
          </w:r>
          <w:r>
            <w:rPr>
              <w:sz w:val="32"/>
              <w:szCs w:val="32"/>
              <w:highlight w:val="none"/>
            </w:rPr>
            <w:tab/>
          </w:r>
          <w:r>
            <w:rPr>
              <w:sz w:val="32"/>
              <w:szCs w:val="32"/>
              <w:highlight w:val="none"/>
            </w:rPr>
            <w:fldChar w:fldCharType="begin"/>
          </w:r>
          <w:r>
            <w:rPr>
              <w:sz w:val="32"/>
              <w:szCs w:val="32"/>
              <w:highlight w:val="none"/>
            </w:rPr>
            <w:instrText xml:space="preserve"> PAGEREF _Toc21438 \h </w:instrText>
          </w:r>
          <w:r>
            <w:rPr>
              <w:sz w:val="32"/>
              <w:szCs w:val="32"/>
              <w:highlight w:val="none"/>
            </w:rPr>
            <w:fldChar w:fldCharType="separate"/>
          </w:r>
          <w:r>
            <w:rPr>
              <w:sz w:val="32"/>
              <w:szCs w:val="32"/>
              <w:highlight w:val="none"/>
            </w:rPr>
            <w:t>17</w:t>
          </w:r>
          <w:r>
            <w:rPr>
              <w:sz w:val="32"/>
              <w:szCs w:val="32"/>
              <w:highlight w:val="none"/>
            </w:rPr>
            <w:fldChar w:fldCharType="end"/>
          </w:r>
          <w:r>
            <w:rPr>
              <w:rFonts w:hint="eastAsia"/>
              <w:sz w:val="32"/>
              <w:szCs w:val="32"/>
              <w:highlight w:val="none"/>
              <w:lang w:val="en-US" w:eastAsia="zh-CN"/>
            </w:rPr>
            <w:fldChar w:fldCharType="end"/>
          </w:r>
        </w:p>
        <w:p>
          <w:pPr>
            <w:pStyle w:val="13"/>
            <w:tabs>
              <w:tab w:val="right" w:leader="dot" w:pos="8902"/>
            </w:tabs>
            <w:rPr>
              <w:sz w:val="32"/>
              <w:szCs w:val="32"/>
              <w:highlight w:val="none"/>
            </w:rPr>
          </w:pPr>
          <w:r>
            <w:rPr>
              <w:rFonts w:hint="eastAsia"/>
              <w:sz w:val="32"/>
              <w:szCs w:val="32"/>
              <w:highlight w:val="none"/>
              <w:lang w:val="en-US" w:eastAsia="zh-CN"/>
            </w:rPr>
            <w:fldChar w:fldCharType="begin"/>
          </w:r>
          <w:r>
            <w:rPr>
              <w:rFonts w:hint="eastAsia"/>
              <w:sz w:val="32"/>
              <w:szCs w:val="32"/>
              <w:highlight w:val="none"/>
              <w:lang w:val="en-US" w:eastAsia="zh-CN"/>
            </w:rPr>
            <w:instrText xml:space="preserve"> HYPERLINK \l _Toc2656 </w:instrText>
          </w:r>
          <w:r>
            <w:rPr>
              <w:rFonts w:hint="eastAsia"/>
              <w:sz w:val="32"/>
              <w:szCs w:val="32"/>
              <w:highlight w:val="none"/>
              <w:lang w:val="en-US" w:eastAsia="zh-CN"/>
            </w:rPr>
            <w:fldChar w:fldCharType="separate"/>
          </w:r>
          <w:r>
            <w:rPr>
              <w:rFonts w:hint="eastAsia" w:ascii="Times New Roman" w:hAnsi="Times New Roman" w:eastAsia="黑体" w:cs="Times New Roman"/>
              <w:sz w:val="32"/>
              <w:szCs w:val="32"/>
              <w:highlight w:val="none"/>
              <w:lang w:val="en-US" w:eastAsia="zh-CN"/>
            </w:rPr>
            <w:t>六、存在问题及原因分析</w:t>
          </w:r>
          <w:r>
            <w:rPr>
              <w:sz w:val="32"/>
              <w:szCs w:val="32"/>
              <w:highlight w:val="none"/>
            </w:rPr>
            <w:tab/>
          </w:r>
          <w:r>
            <w:rPr>
              <w:sz w:val="32"/>
              <w:szCs w:val="32"/>
              <w:highlight w:val="none"/>
            </w:rPr>
            <w:fldChar w:fldCharType="begin"/>
          </w:r>
          <w:r>
            <w:rPr>
              <w:sz w:val="32"/>
              <w:szCs w:val="32"/>
              <w:highlight w:val="none"/>
            </w:rPr>
            <w:instrText xml:space="preserve"> PAGEREF _Toc2656 \h </w:instrText>
          </w:r>
          <w:r>
            <w:rPr>
              <w:sz w:val="32"/>
              <w:szCs w:val="32"/>
              <w:highlight w:val="none"/>
            </w:rPr>
            <w:fldChar w:fldCharType="separate"/>
          </w:r>
          <w:r>
            <w:rPr>
              <w:sz w:val="32"/>
              <w:szCs w:val="32"/>
              <w:highlight w:val="none"/>
            </w:rPr>
            <w:t>17</w:t>
          </w:r>
          <w:r>
            <w:rPr>
              <w:sz w:val="32"/>
              <w:szCs w:val="32"/>
              <w:highlight w:val="none"/>
            </w:rPr>
            <w:fldChar w:fldCharType="end"/>
          </w:r>
          <w:r>
            <w:rPr>
              <w:rFonts w:hint="eastAsia"/>
              <w:sz w:val="32"/>
              <w:szCs w:val="32"/>
              <w:highlight w:val="none"/>
              <w:lang w:val="en-US" w:eastAsia="zh-CN"/>
            </w:rPr>
            <w:fldChar w:fldCharType="end"/>
          </w:r>
        </w:p>
        <w:p>
          <w:pPr>
            <w:pStyle w:val="13"/>
            <w:tabs>
              <w:tab w:val="right" w:leader="dot" w:pos="8902"/>
            </w:tabs>
            <w:rPr>
              <w:sz w:val="32"/>
              <w:szCs w:val="32"/>
              <w:highlight w:val="none"/>
            </w:rPr>
          </w:pPr>
          <w:r>
            <w:rPr>
              <w:rFonts w:hint="eastAsia"/>
              <w:sz w:val="32"/>
              <w:szCs w:val="32"/>
              <w:highlight w:val="none"/>
              <w:lang w:val="en-US" w:eastAsia="zh-CN"/>
            </w:rPr>
            <w:fldChar w:fldCharType="begin"/>
          </w:r>
          <w:r>
            <w:rPr>
              <w:rFonts w:hint="eastAsia"/>
              <w:sz w:val="32"/>
              <w:szCs w:val="32"/>
              <w:highlight w:val="none"/>
              <w:lang w:val="en-US" w:eastAsia="zh-CN"/>
            </w:rPr>
            <w:instrText xml:space="preserve"> HYPERLINK \l _Toc28203 </w:instrText>
          </w:r>
          <w:r>
            <w:rPr>
              <w:rFonts w:hint="eastAsia"/>
              <w:sz w:val="32"/>
              <w:szCs w:val="32"/>
              <w:highlight w:val="none"/>
              <w:lang w:val="en-US" w:eastAsia="zh-CN"/>
            </w:rPr>
            <w:fldChar w:fldCharType="separate"/>
          </w:r>
          <w:r>
            <w:rPr>
              <w:rFonts w:hint="eastAsia" w:ascii="Times New Roman" w:hAnsi="Times New Roman" w:eastAsia="黑体" w:cs="Times New Roman"/>
              <w:sz w:val="32"/>
              <w:szCs w:val="32"/>
              <w:highlight w:val="none"/>
              <w:lang w:val="en-US" w:eastAsia="zh-CN"/>
            </w:rPr>
            <w:t>七</w:t>
          </w:r>
          <w:r>
            <w:rPr>
              <w:rFonts w:hint="eastAsia" w:ascii="Times New Roman" w:hAnsi="Times New Roman" w:eastAsia="黑体" w:cs="Times New Roman"/>
              <w:sz w:val="32"/>
              <w:szCs w:val="32"/>
              <w:highlight w:val="none"/>
            </w:rPr>
            <w:t>、</w:t>
          </w:r>
          <w:r>
            <w:rPr>
              <w:rFonts w:hint="eastAsia" w:ascii="Times New Roman" w:hAnsi="Times New Roman" w:eastAsia="黑体" w:cs="Times New Roman"/>
              <w:sz w:val="32"/>
              <w:szCs w:val="32"/>
              <w:highlight w:val="none"/>
              <w:lang w:val="en-US" w:eastAsia="zh-CN"/>
            </w:rPr>
            <w:t>相关</w:t>
          </w:r>
          <w:r>
            <w:rPr>
              <w:rFonts w:hint="eastAsia" w:ascii="Times New Roman" w:hAnsi="Times New Roman" w:eastAsia="黑体" w:cs="Times New Roman"/>
              <w:sz w:val="32"/>
              <w:szCs w:val="32"/>
              <w:highlight w:val="none"/>
            </w:rPr>
            <w:t>建议</w:t>
          </w:r>
          <w:r>
            <w:rPr>
              <w:sz w:val="32"/>
              <w:szCs w:val="32"/>
              <w:highlight w:val="none"/>
            </w:rPr>
            <w:tab/>
          </w:r>
          <w:r>
            <w:rPr>
              <w:sz w:val="32"/>
              <w:szCs w:val="32"/>
              <w:highlight w:val="none"/>
            </w:rPr>
            <w:fldChar w:fldCharType="begin"/>
          </w:r>
          <w:r>
            <w:rPr>
              <w:sz w:val="32"/>
              <w:szCs w:val="32"/>
              <w:highlight w:val="none"/>
            </w:rPr>
            <w:instrText xml:space="preserve"> PAGEREF _Toc28203 \h </w:instrText>
          </w:r>
          <w:r>
            <w:rPr>
              <w:sz w:val="32"/>
              <w:szCs w:val="32"/>
              <w:highlight w:val="none"/>
            </w:rPr>
            <w:fldChar w:fldCharType="separate"/>
          </w:r>
          <w:r>
            <w:rPr>
              <w:sz w:val="32"/>
              <w:szCs w:val="32"/>
              <w:highlight w:val="none"/>
            </w:rPr>
            <w:t>19</w:t>
          </w:r>
          <w:r>
            <w:rPr>
              <w:sz w:val="32"/>
              <w:szCs w:val="32"/>
              <w:highlight w:val="none"/>
            </w:rPr>
            <w:fldChar w:fldCharType="end"/>
          </w:r>
          <w:r>
            <w:rPr>
              <w:rFonts w:hint="eastAsia"/>
              <w:sz w:val="32"/>
              <w:szCs w:val="32"/>
              <w:highlight w:val="none"/>
              <w:lang w:val="en-US" w:eastAsia="zh-CN"/>
            </w:rPr>
            <w:fldChar w:fldCharType="end"/>
          </w:r>
        </w:p>
        <w:p>
          <w:pPr>
            <w:rPr>
              <w:rFonts w:hint="eastAsia" w:ascii="宋体" w:hAnsi="宋体" w:eastAsia="宋体" w:cs="宋体"/>
              <w:b/>
              <w:sz w:val="24"/>
              <w:szCs w:val="24"/>
              <w:highlight w:val="none"/>
              <w:lang w:val="en-US" w:eastAsia="zh-CN" w:bidi="ar-SA"/>
            </w:rPr>
          </w:pPr>
          <w:r>
            <w:rPr>
              <w:rFonts w:hint="eastAsia"/>
              <w:highlight w:val="none"/>
              <w:lang w:val="en-US" w:eastAsia="zh-CN"/>
            </w:rPr>
            <w:fldChar w:fldCharType="end"/>
          </w:r>
        </w:p>
      </w:sdtContent>
    </w:sdt>
    <w:p>
      <w:pPr>
        <w:rPr>
          <w:rFonts w:hint="eastAsia" w:ascii="宋体" w:hAnsi="宋体" w:eastAsia="宋体" w:cs="宋体"/>
          <w:b/>
          <w:sz w:val="24"/>
          <w:szCs w:val="24"/>
          <w:highlight w:val="none"/>
          <w:lang w:val="en-US" w:eastAsia="zh-CN" w:bidi="ar-SA"/>
        </w:rPr>
      </w:pPr>
    </w:p>
    <w:p>
      <w:pPr>
        <w:rPr>
          <w:rFonts w:hint="eastAsia"/>
          <w:color w:val="auto"/>
          <w:highlight w:val="none"/>
          <w:lang w:val="en-US" w:eastAsia="zh-CN"/>
        </w:rPr>
      </w:pPr>
    </w:p>
    <w:p>
      <w:pPr>
        <w:rPr>
          <w:rFonts w:hint="eastAsia" w:ascii="方正小标宋_GBK" w:hAnsi="方正小标宋_GBK" w:eastAsia="方正小标宋_GBK" w:cs="方正小标宋_GBK"/>
          <w:color w:val="auto"/>
          <w:spacing w:val="-11"/>
          <w:kern w:val="0"/>
          <w:sz w:val="44"/>
          <w:szCs w:val="44"/>
          <w:highlight w:val="none"/>
          <w:lang w:val="en-US" w:eastAsia="zh-CN"/>
        </w:rPr>
      </w:pPr>
      <w:bookmarkStart w:id="6" w:name="_Toc16059"/>
      <w:bookmarkStart w:id="7" w:name="_Toc5586"/>
      <w:bookmarkStart w:id="8" w:name="_Toc1446433150"/>
      <w:bookmarkStart w:id="9" w:name="_Toc2092738813"/>
      <w:bookmarkStart w:id="10" w:name="_Toc619980307"/>
      <w:bookmarkStart w:id="11" w:name="_Toc18489"/>
      <w:bookmarkStart w:id="12" w:name="_Toc1426330646"/>
      <w:r>
        <w:rPr>
          <w:rFonts w:hint="eastAsia" w:ascii="方正小标宋_GBK" w:hAnsi="方正小标宋_GBK" w:eastAsia="方正小标宋_GBK" w:cs="方正小标宋_GBK"/>
          <w:color w:val="auto"/>
          <w:spacing w:val="-11"/>
          <w:kern w:val="0"/>
          <w:sz w:val="44"/>
          <w:szCs w:val="44"/>
          <w:highlight w:val="none"/>
          <w:lang w:val="en-US" w:eastAsia="zh-CN"/>
        </w:rPr>
        <w:br w:type="page"/>
      </w:r>
    </w:p>
    <w:p>
      <w:pPr>
        <w:pStyle w:val="13"/>
        <w:keepNext w:val="0"/>
        <w:keepLines w:val="0"/>
        <w:pageBreakBefore w:val="0"/>
        <w:widowControl w:val="0"/>
        <w:tabs>
          <w:tab w:val="right" w:leader="dot" w:pos="8845"/>
        </w:tabs>
        <w:kinsoku/>
        <w:wordWrap/>
        <w:topLinePunct w:val="0"/>
        <w:bidi w:val="0"/>
        <w:adjustRightInd w:val="0"/>
        <w:snapToGrid w:val="0"/>
        <w:spacing w:line="560" w:lineRule="exact"/>
        <w:jc w:val="center"/>
        <w:outlineLvl w:val="9"/>
        <w:rPr>
          <w:rFonts w:hint="eastAsia" w:ascii="方正小标宋_GBK" w:hAnsi="方正小标宋_GBK" w:eastAsia="方正小标宋_GBK" w:cs="方正小标宋_GBK"/>
          <w:b w:val="0"/>
          <w:bCs w:val="0"/>
          <w:color w:val="auto"/>
          <w:spacing w:val="-11"/>
          <w:kern w:val="0"/>
          <w:sz w:val="44"/>
          <w:szCs w:val="44"/>
          <w:highlight w:val="none"/>
          <w:lang w:val="en-US" w:eastAsia="zh-CN" w:bidi="ar-SA"/>
        </w:rPr>
      </w:pPr>
      <w:r>
        <w:rPr>
          <w:rFonts w:hint="eastAsia" w:ascii="方正小标宋_GBK" w:hAnsi="方正小标宋_GBK" w:eastAsia="方正小标宋_GBK" w:cs="方正小标宋_GBK"/>
          <w:color w:val="auto"/>
          <w:spacing w:val="-11"/>
          <w:kern w:val="0"/>
          <w:sz w:val="44"/>
          <w:szCs w:val="44"/>
          <w:highlight w:val="none"/>
          <w:lang w:val="en-US" w:eastAsia="zh-CN"/>
        </w:rPr>
        <w:t>2023年度</w:t>
      </w:r>
      <w:r>
        <w:rPr>
          <w:rFonts w:hint="eastAsia" w:ascii="方正小标宋_GBK" w:hAnsi="方正小标宋_GBK" w:eastAsia="方正小标宋_GBK" w:cs="方正小标宋_GBK"/>
          <w:b w:val="0"/>
          <w:bCs w:val="0"/>
          <w:color w:val="auto"/>
          <w:spacing w:val="-11"/>
          <w:kern w:val="0"/>
          <w:sz w:val="44"/>
          <w:szCs w:val="44"/>
          <w:highlight w:val="none"/>
          <w:lang w:val="en-US" w:eastAsia="zh-CN" w:bidi="ar-SA"/>
        </w:rPr>
        <w:t>促进金融资源聚集</w:t>
      </w:r>
    </w:p>
    <w:p>
      <w:pPr>
        <w:pStyle w:val="20"/>
        <w:keepNext w:val="0"/>
        <w:keepLines w:val="0"/>
        <w:pageBreakBefore w:val="0"/>
        <w:widowControl w:val="0"/>
        <w:kinsoku/>
        <w:wordWrap/>
        <w:overflowPunct w:val="0"/>
        <w:topLinePunct w:val="0"/>
        <w:bidi w:val="0"/>
        <w:adjustRightInd w:val="0"/>
        <w:snapToGrid w:val="0"/>
        <w:spacing w:after="0" w:line="560" w:lineRule="exact"/>
        <w:ind w:left="0" w:leftChars="0" w:firstLine="0" w:firstLineChars="0"/>
        <w:jc w:val="center"/>
        <w:outlineLvl w:val="9"/>
        <w:rPr>
          <w:rFonts w:ascii="方正小标宋_GBK" w:hAnsi="方正小标宋_GBK" w:eastAsia="方正小标宋_GBK" w:cs="方正小标宋_GBK"/>
          <w:color w:val="auto"/>
          <w:sz w:val="44"/>
          <w:szCs w:val="44"/>
          <w:highlight w:val="none"/>
        </w:rPr>
      </w:pPr>
      <w:bookmarkStart w:id="13" w:name="_Toc23396"/>
      <w:bookmarkStart w:id="14" w:name="_Toc16063"/>
      <w:r>
        <w:rPr>
          <w:rFonts w:hint="eastAsia" w:ascii="方正小标宋_GBK" w:hAnsi="方正小标宋_GBK" w:eastAsia="方正小标宋_GBK" w:cs="方正小标宋_GBK"/>
          <w:color w:val="auto"/>
          <w:sz w:val="44"/>
          <w:szCs w:val="44"/>
          <w:highlight w:val="none"/>
        </w:rPr>
        <w:t>政策</w:t>
      </w:r>
      <w:r>
        <w:rPr>
          <w:rFonts w:hint="eastAsia" w:ascii="方正小标宋_GBK" w:hAnsi="方正小标宋_GBK" w:eastAsia="方正小标宋_GBK" w:cs="方正小标宋_GBK"/>
          <w:color w:val="auto"/>
          <w:sz w:val="44"/>
          <w:szCs w:val="44"/>
          <w:highlight w:val="none"/>
          <w:lang w:val="en-US" w:eastAsia="zh-CN"/>
        </w:rPr>
        <w:t>财政</w:t>
      </w:r>
      <w:r>
        <w:rPr>
          <w:rFonts w:hint="eastAsia" w:ascii="方正小标宋_GBK" w:hAnsi="方正小标宋_GBK" w:eastAsia="方正小标宋_GBK" w:cs="方正小标宋_GBK"/>
          <w:color w:val="auto"/>
          <w:sz w:val="44"/>
          <w:szCs w:val="44"/>
          <w:highlight w:val="none"/>
        </w:rPr>
        <w:t>绩效评价报告</w:t>
      </w:r>
      <w:bookmarkEnd w:id="6"/>
      <w:bookmarkEnd w:id="7"/>
      <w:bookmarkEnd w:id="8"/>
      <w:bookmarkEnd w:id="9"/>
      <w:bookmarkEnd w:id="10"/>
      <w:bookmarkEnd w:id="11"/>
      <w:bookmarkEnd w:id="12"/>
      <w:bookmarkEnd w:id="13"/>
      <w:bookmarkEnd w:id="14"/>
    </w:p>
    <w:p>
      <w:pPr>
        <w:keepNext w:val="0"/>
        <w:keepLines w:val="0"/>
        <w:pageBreakBefore w:val="0"/>
        <w:widowControl w:val="0"/>
        <w:suppressAutoHyphens/>
        <w:kinsoku/>
        <w:wordWrap/>
        <w:overflowPunct w:val="0"/>
        <w:topLinePunct w:val="0"/>
        <w:bidi w:val="0"/>
        <w:adjustRightInd w:val="0"/>
        <w:snapToGrid w:val="0"/>
        <w:spacing w:line="560" w:lineRule="exact"/>
        <w:ind w:firstLine="640" w:firstLineChars="200"/>
        <w:jc w:val="both"/>
        <w:outlineLvl w:val="9"/>
        <w:rPr>
          <w:rFonts w:ascii="Times New Roman" w:hAnsi="Times New Roman" w:eastAsia="黑体" w:cs="Times New Roman"/>
          <w:color w:val="auto"/>
          <w:sz w:val="32"/>
          <w:szCs w:val="32"/>
          <w:highlight w:val="none"/>
        </w:rPr>
      </w:pPr>
      <w:bookmarkStart w:id="15" w:name="_Toc9355"/>
      <w:bookmarkStart w:id="16" w:name="_Toc14856"/>
      <w:bookmarkStart w:id="17" w:name="_Toc687068010"/>
    </w:p>
    <w:p>
      <w:pPr>
        <w:keepNext w:val="0"/>
        <w:keepLines w:val="0"/>
        <w:pageBreakBefore w:val="0"/>
        <w:widowControl w:val="0"/>
        <w:suppressAutoHyphens/>
        <w:kinsoku/>
        <w:wordWrap/>
        <w:overflowPunct w:val="0"/>
        <w:topLinePunct w:val="0"/>
        <w:autoSpaceDE/>
        <w:autoSpaceDN/>
        <w:bidi w:val="0"/>
        <w:adjustRightInd w:val="0"/>
        <w:snapToGrid w:val="0"/>
        <w:spacing w:line="560" w:lineRule="exact"/>
        <w:ind w:firstLine="640" w:firstLineChars="200"/>
        <w:jc w:val="both"/>
        <w:textAlignment w:val="auto"/>
        <w:outlineLvl w:val="0"/>
        <w:rPr>
          <w:rFonts w:ascii="Times New Roman" w:hAnsi="Times New Roman" w:eastAsia="黑体" w:cs="Times New Roman"/>
          <w:color w:val="auto"/>
          <w:sz w:val="32"/>
          <w:szCs w:val="32"/>
          <w:highlight w:val="none"/>
        </w:rPr>
      </w:pPr>
      <w:bookmarkStart w:id="18" w:name="_Toc6551"/>
      <w:bookmarkStart w:id="19" w:name="_Toc2000"/>
      <w:bookmarkStart w:id="20" w:name="_Toc11395"/>
      <w:r>
        <w:rPr>
          <w:rFonts w:hint="eastAsia" w:ascii="Times New Roman" w:hAnsi="Times New Roman" w:eastAsia="黑体" w:cs="Times New Roman"/>
          <w:color w:val="auto"/>
          <w:sz w:val="32"/>
          <w:szCs w:val="32"/>
          <w:highlight w:val="none"/>
        </w:rPr>
        <w:t>一</w:t>
      </w:r>
      <w:r>
        <w:rPr>
          <w:rFonts w:ascii="Times New Roman" w:hAnsi="Times New Roman" w:eastAsia="黑体" w:cs="Times New Roman"/>
          <w:color w:val="auto"/>
          <w:sz w:val="32"/>
          <w:szCs w:val="32"/>
          <w:highlight w:val="none"/>
        </w:rPr>
        <w:t>、</w:t>
      </w:r>
      <w:bookmarkEnd w:id="15"/>
      <w:bookmarkEnd w:id="16"/>
      <w:bookmarkEnd w:id="17"/>
      <w:bookmarkStart w:id="21" w:name="_Toc6003"/>
      <w:bookmarkStart w:id="22" w:name="_Toc15639"/>
      <w:bookmarkStart w:id="23" w:name="_Toc12086"/>
      <w:bookmarkStart w:id="24" w:name="_Toc62673383"/>
      <w:bookmarkStart w:id="25" w:name="_Toc2344"/>
      <w:bookmarkStart w:id="26" w:name="_Toc532474151"/>
      <w:r>
        <w:rPr>
          <w:rFonts w:hint="eastAsia" w:ascii="Times New Roman" w:hAnsi="Times New Roman" w:eastAsia="黑体" w:cs="Times New Roman"/>
          <w:color w:val="auto"/>
          <w:sz w:val="32"/>
          <w:szCs w:val="32"/>
          <w:highlight w:val="none"/>
        </w:rPr>
        <w:t>政策概况</w:t>
      </w:r>
      <w:bookmarkEnd w:id="18"/>
      <w:bookmarkEnd w:id="19"/>
      <w:bookmarkEnd w:id="20"/>
    </w:p>
    <w:bookmarkEnd w:id="21"/>
    <w:bookmarkEnd w:id="22"/>
    <w:bookmarkEnd w:id="23"/>
    <w:bookmarkEnd w:id="24"/>
    <w:bookmarkEnd w:id="25"/>
    <w:bookmarkEnd w:id="26"/>
    <w:p>
      <w:pPr>
        <w:keepNext w:val="0"/>
        <w:keepLines w:val="0"/>
        <w:pageBreakBefore w:val="0"/>
        <w:widowControl w:val="0"/>
        <w:suppressAutoHyphens/>
        <w:kinsoku/>
        <w:wordWrap/>
        <w:overflowPunct w:val="0"/>
        <w:topLinePunct w:val="0"/>
        <w:autoSpaceDE/>
        <w:autoSpaceDN/>
        <w:bidi w:val="0"/>
        <w:adjustRightInd w:val="0"/>
        <w:snapToGrid w:val="0"/>
        <w:spacing w:line="560" w:lineRule="exact"/>
        <w:ind w:firstLine="640" w:firstLineChars="200"/>
        <w:jc w:val="both"/>
        <w:textAlignment w:val="auto"/>
        <w:outlineLvl w:val="1"/>
        <w:rPr>
          <w:rFonts w:ascii="楷体_GB2312" w:hAnsi="楷体_GB2312" w:eastAsia="楷体_GB2312" w:cs="楷体_GB2312"/>
          <w:color w:val="auto"/>
          <w:sz w:val="32"/>
          <w:szCs w:val="32"/>
          <w:highlight w:val="none"/>
        </w:rPr>
      </w:pPr>
      <w:bookmarkStart w:id="27" w:name="_Toc7540"/>
      <w:bookmarkStart w:id="28" w:name="_Toc8805"/>
      <w:bookmarkStart w:id="29" w:name="_Toc16758"/>
      <w:bookmarkStart w:id="30" w:name="_Toc15776"/>
      <w:r>
        <w:rPr>
          <w:rFonts w:hint="eastAsia" w:ascii="楷体_GB2312" w:hAnsi="楷体_GB2312" w:eastAsia="楷体_GB2312" w:cs="楷体_GB2312"/>
          <w:color w:val="auto"/>
          <w:sz w:val="32"/>
          <w:szCs w:val="32"/>
          <w:highlight w:val="none"/>
        </w:rPr>
        <w:t>（一）政策基本情况</w:t>
      </w:r>
      <w:bookmarkEnd w:id="27"/>
      <w:bookmarkEnd w:id="28"/>
      <w:bookmarkEnd w:id="29"/>
      <w:bookmarkEnd w:id="30"/>
    </w:p>
    <w:p>
      <w:pPr>
        <w:pStyle w:val="20"/>
        <w:keepNext w:val="0"/>
        <w:keepLines w:val="0"/>
        <w:pageBreakBefore w:val="0"/>
        <w:widowControl w:val="0"/>
        <w:kinsoku/>
        <w:wordWrap/>
        <w:overflowPunct w:val="0"/>
        <w:topLinePunct w:val="0"/>
        <w:bidi w:val="0"/>
        <w:adjustRightInd w:val="0"/>
        <w:snapToGrid w:val="0"/>
        <w:spacing w:after="0" w:line="560" w:lineRule="exact"/>
        <w:ind w:left="0" w:leftChars="0" w:firstLine="640"/>
        <w:outlineLvl w:val="9"/>
        <w:rPr>
          <w:rFonts w:hint="default" w:ascii="仿宋_GB2312" w:hAnsi="仿宋_GB2312" w:eastAsia="仿宋_GB2312" w:cs="仿宋_GB2312"/>
          <w:color w:val="auto"/>
          <w:sz w:val="32"/>
          <w:szCs w:val="32"/>
          <w:highlight w:val="none"/>
          <w:lang w:val="en-US" w:eastAsia="zh-CN"/>
        </w:rPr>
      </w:pPr>
      <w:bookmarkStart w:id="31" w:name="_Toc21719"/>
      <w:r>
        <w:rPr>
          <w:rFonts w:hint="eastAsia" w:ascii="仿宋_GB2312" w:hAnsi="仿宋_GB2312" w:eastAsia="仿宋_GB2312" w:cs="仿宋_GB2312"/>
          <w:color w:val="auto"/>
          <w:sz w:val="32"/>
          <w:szCs w:val="32"/>
          <w:highlight w:val="none"/>
          <w:lang w:val="en-US" w:eastAsia="zh-CN"/>
        </w:rPr>
        <w:t>为深化提升青岛市财富管理金融综合改革试验区发展，加快建设服务航运贸易的金融中心、面向国际的财富管理中心、全球创投风投中心和未来金融科技中心，根据《青岛市金融发展促进条例》《青岛市财富管理金融综合改革试验区总体方案》</w:t>
      </w:r>
      <w:r>
        <w:rPr>
          <w:rFonts w:hint="eastAsia" w:ascii="仿宋_GB2312" w:eastAsia="仿宋_GB2312"/>
          <w:color w:val="auto"/>
          <w:sz w:val="32"/>
          <w:szCs w:val="32"/>
          <w:highlight w:val="none"/>
          <w:lang w:eastAsia="zh-CN"/>
        </w:rPr>
        <w:t>（</w:t>
      </w:r>
      <w:r>
        <w:rPr>
          <w:rFonts w:hint="eastAsia" w:ascii="仿宋_GB2312" w:eastAsia="仿宋_GB2312" w:cs="仿宋_GB2312"/>
          <w:color w:val="auto"/>
          <w:sz w:val="32"/>
          <w:szCs w:val="32"/>
          <w:highlight w:val="none"/>
          <w:lang w:eastAsia="zh-CN"/>
        </w:rPr>
        <w:t>银</w:t>
      </w:r>
      <w:r>
        <w:rPr>
          <w:rFonts w:hint="eastAsia" w:ascii="仿宋_GB2312" w:eastAsia="仿宋_GB2312" w:cs="仿宋_GB2312"/>
          <w:color w:val="auto"/>
          <w:sz w:val="32"/>
          <w:szCs w:val="32"/>
          <w:highlight w:val="none"/>
        </w:rPr>
        <w:t>发〔201</w:t>
      </w:r>
      <w:r>
        <w:rPr>
          <w:rFonts w:hint="eastAsia" w:ascii="仿宋_GB2312" w:eastAsia="仿宋_GB2312" w:cs="仿宋_GB2312"/>
          <w:color w:val="auto"/>
          <w:sz w:val="32"/>
          <w:szCs w:val="32"/>
          <w:highlight w:val="none"/>
          <w:lang w:val="en-US" w:eastAsia="zh-CN"/>
        </w:rPr>
        <w:t>4</w:t>
      </w:r>
      <w:r>
        <w:rPr>
          <w:rFonts w:hint="eastAsia" w:ascii="仿宋_GB2312" w:eastAsia="仿宋_GB2312" w:cs="仿宋_GB2312"/>
          <w:color w:val="auto"/>
          <w:sz w:val="32"/>
          <w:szCs w:val="32"/>
          <w:highlight w:val="none"/>
        </w:rPr>
        <w:t>〕</w:t>
      </w:r>
      <w:r>
        <w:rPr>
          <w:rFonts w:hint="eastAsia" w:ascii="仿宋_GB2312" w:eastAsia="仿宋_GB2312" w:cs="仿宋_GB2312"/>
          <w:color w:val="auto"/>
          <w:sz w:val="32"/>
          <w:szCs w:val="32"/>
          <w:highlight w:val="none"/>
          <w:lang w:val="en-US" w:eastAsia="zh-CN"/>
        </w:rPr>
        <w:t>38</w:t>
      </w:r>
      <w:r>
        <w:rPr>
          <w:rFonts w:hint="eastAsia" w:ascii="仿宋_GB2312" w:eastAsia="仿宋_GB2312" w:cs="仿宋_GB2312"/>
          <w:color w:val="auto"/>
          <w:sz w:val="32"/>
          <w:szCs w:val="32"/>
          <w:highlight w:val="none"/>
        </w:rPr>
        <w:t>号</w:t>
      </w:r>
      <w:r>
        <w:rPr>
          <w:rFonts w:hint="eastAsia" w:asci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w:t>
      </w:r>
      <w:r>
        <w:rPr>
          <w:rFonts w:hint="eastAsia" w:ascii="仿宋_GB2312" w:eastAsia="仿宋_GB2312"/>
          <w:color w:val="auto"/>
          <w:sz w:val="32"/>
          <w:szCs w:val="32"/>
          <w:highlight w:val="none"/>
          <w:lang w:val="en-US" w:eastAsia="zh-CN"/>
        </w:rPr>
        <w:t>2021年5月27日，青岛市人民政府办公厅发布《关于印发青岛市支持金融业高质量发展政策措施的通知》（青政办发〔2021〕9 号）</w:t>
      </w:r>
      <w:r>
        <w:rPr>
          <w:rFonts w:hint="eastAsia" w:ascii="仿宋_GB2312" w:hAnsi="仿宋_GB2312" w:eastAsia="仿宋_GB2312" w:cs="仿宋_GB2312"/>
          <w:color w:val="auto"/>
          <w:sz w:val="32"/>
          <w:szCs w:val="32"/>
          <w:highlight w:val="none"/>
          <w:lang w:val="en-US" w:eastAsia="zh-CN"/>
        </w:rPr>
        <w:t>。政策措施分为六部分，分别为促进金融资源聚集、促进资本市场壮大、促进金融科技发展、促进金融创新实践、促进金融人才发展以及附则。建议实施研究提高聚焦金融相关补助标准</w:t>
      </w:r>
    </w:p>
    <w:p>
      <w:pPr>
        <w:pStyle w:val="20"/>
        <w:keepNext w:val="0"/>
        <w:keepLines w:val="0"/>
        <w:pageBreakBefore w:val="0"/>
        <w:widowControl w:val="0"/>
        <w:kinsoku/>
        <w:wordWrap/>
        <w:overflowPunct w:val="0"/>
        <w:topLinePunct w:val="0"/>
        <w:bidi w:val="0"/>
        <w:adjustRightInd w:val="0"/>
        <w:snapToGrid w:val="0"/>
        <w:spacing w:after="0" w:line="560" w:lineRule="exact"/>
        <w:ind w:left="0" w:leftChars="0" w:firstLine="640"/>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本次政策财政绩效评价内容为新设立或新引进的法人金融机构等补助资金、现有法人金融机构增资补助资金，具体政策如下：</w:t>
      </w:r>
    </w:p>
    <w:p>
      <w:pPr>
        <w:pStyle w:val="20"/>
        <w:keepNext w:val="0"/>
        <w:keepLines w:val="0"/>
        <w:pageBreakBefore w:val="0"/>
        <w:widowControl w:val="0"/>
        <w:kinsoku/>
        <w:wordWrap/>
        <w:overflowPunct w:val="0"/>
        <w:topLinePunct w:val="0"/>
        <w:bidi w:val="0"/>
        <w:adjustRightInd w:val="0"/>
        <w:snapToGrid w:val="0"/>
        <w:spacing w:after="0" w:line="560" w:lineRule="exact"/>
        <w:ind w:left="0" w:leftChars="0" w:firstLine="640"/>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1.对新设立或新引进的法人金融机构，给予以下补助：</w:t>
      </w:r>
    </w:p>
    <w:p>
      <w:pPr>
        <w:pStyle w:val="20"/>
        <w:keepNext w:val="0"/>
        <w:keepLines w:val="0"/>
        <w:pageBreakBefore w:val="0"/>
        <w:widowControl w:val="0"/>
        <w:kinsoku/>
        <w:wordWrap/>
        <w:overflowPunct w:val="0"/>
        <w:topLinePunct w:val="0"/>
        <w:bidi w:val="0"/>
        <w:adjustRightInd w:val="0"/>
        <w:snapToGrid w:val="0"/>
        <w:spacing w:after="0" w:line="560" w:lineRule="exact"/>
        <w:ind w:left="0" w:leftChars="0" w:firstLine="640"/>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（1）一次性补助。按照实缴注册资本的2%给予一次性补助，最高不超过1亿元。</w:t>
      </w:r>
    </w:p>
    <w:p>
      <w:pPr>
        <w:pStyle w:val="20"/>
        <w:keepNext w:val="0"/>
        <w:keepLines w:val="0"/>
        <w:pageBreakBefore w:val="0"/>
        <w:widowControl w:val="0"/>
        <w:kinsoku/>
        <w:wordWrap/>
        <w:overflowPunct w:val="0"/>
        <w:topLinePunct w:val="0"/>
        <w:bidi w:val="0"/>
        <w:adjustRightInd w:val="0"/>
        <w:snapToGrid w:val="0"/>
        <w:spacing w:after="0" w:line="560" w:lineRule="exact"/>
        <w:ind w:left="0" w:leftChars="0" w:firstLine="640"/>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（2）经济贡献补助。按照青岛市支持财源经济发展相关财政政策执行。</w:t>
      </w:r>
    </w:p>
    <w:p>
      <w:pPr>
        <w:pStyle w:val="20"/>
        <w:keepNext w:val="0"/>
        <w:keepLines w:val="0"/>
        <w:pageBreakBefore w:val="0"/>
        <w:widowControl w:val="0"/>
        <w:kinsoku/>
        <w:wordWrap/>
        <w:overflowPunct w:val="0"/>
        <w:topLinePunct w:val="0"/>
        <w:bidi w:val="0"/>
        <w:adjustRightInd w:val="0"/>
        <w:snapToGrid w:val="0"/>
        <w:spacing w:after="0" w:line="560" w:lineRule="exact"/>
        <w:ind w:left="0" w:leftChars="0" w:firstLine="640"/>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2.对新引进的金融机构分支机构，分别给予一次性补助：</w:t>
      </w:r>
    </w:p>
    <w:p>
      <w:pPr>
        <w:pStyle w:val="20"/>
        <w:keepNext w:val="0"/>
        <w:keepLines w:val="0"/>
        <w:pageBreakBefore w:val="0"/>
        <w:widowControl w:val="0"/>
        <w:kinsoku/>
        <w:wordWrap/>
        <w:overflowPunct w:val="0"/>
        <w:topLinePunct w:val="0"/>
        <w:bidi w:val="0"/>
        <w:adjustRightInd w:val="0"/>
        <w:snapToGrid w:val="0"/>
        <w:spacing w:after="0" w:line="560" w:lineRule="exact"/>
        <w:ind w:left="0" w:leftChars="0" w:firstLine="640"/>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对外资银行、中外合资银行、全国性大型商业银行一级分行，补助500万元；对城市商业银行、农村商业银行一级分行，补助300万元；对保险公司一级分公司，补助200万元；对证券公司一级分公司，补助100万元；对其他金融机构一级分公司，补助50万元。</w:t>
      </w:r>
    </w:p>
    <w:p>
      <w:pPr>
        <w:pStyle w:val="20"/>
        <w:keepNext w:val="0"/>
        <w:keepLines w:val="0"/>
        <w:pageBreakBefore w:val="0"/>
        <w:widowControl w:val="0"/>
        <w:kinsoku/>
        <w:wordWrap/>
        <w:overflowPunct w:val="0"/>
        <w:topLinePunct w:val="0"/>
        <w:bidi w:val="0"/>
        <w:adjustRightInd w:val="0"/>
        <w:snapToGrid w:val="0"/>
        <w:spacing w:after="0" w:line="560" w:lineRule="exact"/>
        <w:ind w:left="0" w:leftChars="0" w:firstLine="640"/>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对银行、保险公司在青设立的业务总部、职能总部、全国性运营管理中心或后台服务中心，补助300万元；对证券公司、期货公司及其他金融机构在青设立的业务总部、职能总部、全国性运营管理中心或后台服务中心，补助100万元。</w:t>
      </w:r>
    </w:p>
    <w:p>
      <w:pPr>
        <w:pStyle w:val="20"/>
        <w:keepNext w:val="0"/>
        <w:keepLines w:val="0"/>
        <w:pageBreakBefore w:val="0"/>
        <w:widowControl w:val="0"/>
        <w:kinsoku/>
        <w:wordWrap/>
        <w:overflowPunct w:val="0"/>
        <w:topLinePunct w:val="0"/>
        <w:bidi w:val="0"/>
        <w:adjustRightInd w:val="0"/>
        <w:snapToGrid w:val="0"/>
        <w:spacing w:after="0" w:line="560" w:lineRule="exact"/>
        <w:ind w:left="0" w:leftChars="0" w:firstLine="640"/>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3.我市现有法人金融机构增资的，按其新增资本扣除政府出资的0.5%，给予不超过300万元的一次性补助。</w:t>
      </w:r>
    </w:p>
    <w:p>
      <w:pPr>
        <w:pStyle w:val="18"/>
        <w:shd w:val="clear" w:color="auto" w:fill="FFFFFF"/>
        <w:spacing w:before="0" w:beforeAutospacing="0" w:after="0" w:afterAutospacing="0" w:line="560" w:lineRule="exact"/>
        <w:ind w:firstLine="640" w:firstLineChars="200"/>
        <w:jc w:val="both"/>
        <w:outlineLvl w:val="9"/>
        <w:rPr>
          <w:rFonts w:ascii="仿宋_GB2312" w:eastAsia="仿宋_GB2312"/>
          <w:sz w:val="32"/>
          <w:szCs w:val="32"/>
          <w:highlight w:val="none"/>
        </w:rPr>
      </w:pPr>
      <w:r>
        <w:rPr>
          <w:rFonts w:hint="eastAsia" w:ascii="仿宋_GB2312" w:eastAsia="仿宋_GB2312"/>
          <w:sz w:val="32"/>
          <w:szCs w:val="32"/>
          <w:highlight w:val="none"/>
          <w:lang w:val="en-US" w:eastAsia="zh-CN"/>
        </w:rPr>
        <w:t>办法里制定了相应的约束机制，如，</w:t>
      </w:r>
      <w:r>
        <w:rPr>
          <w:rFonts w:hint="eastAsia" w:ascii="仿宋_GB2312" w:eastAsia="仿宋_GB2312"/>
          <w:sz w:val="32"/>
          <w:szCs w:val="32"/>
          <w:highlight w:val="none"/>
        </w:rPr>
        <w:t>享受本政策的金融机构和市场机构，工商注册</w:t>
      </w:r>
      <w:r>
        <w:rPr>
          <w:rFonts w:hint="eastAsia" w:ascii="仿宋_GB2312" w:eastAsia="仿宋_GB2312"/>
          <w:color w:val="auto"/>
          <w:sz w:val="32"/>
          <w:szCs w:val="32"/>
          <w:highlight w:val="none"/>
        </w:rPr>
        <w:t>和税务关系均应在青岛，</w:t>
      </w:r>
      <w:r>
        <w:rPr>
          <w:rFonts w:hint="eastAsia" w:ascii="仿宋_GB2312" w:eastAsia="仿宋_GB2312"/>
          <w:sz w:val="32"/>
          <w:szCs w:val="32"/>
          <w:highlight w:val="none"/>
        </w:rPr>
        <w:t>应承诺10年内持续开展经营且不迁离青岛市，如迁离的，需全额退还享受的政策补助资金。对给青岛市金融生态环境造成重大不良影响的金融机构和市场机构，取消其享受本政策的资格。</w:t>
      </w:r>
    </w:p>
    <w:p>
      <w:pPr>
        <w:pStyle w:val="20"/>
        <w:keepNext w:val="0"/>
        <w:keepLines w:val="0"/>
        <w:pageBreakBefore w:val="0"/>
        <w:widowControl w:val="0"/>
        <w:kinsoku/>
        <w:wordWrap/>
        <w:overflowPunct w:val="0"/>
        <w:topLinePunct w:val="0"/>
        <w:bidi w:val="0"/>
        <w:adjustRightInd w:val="0"/>
        <w:snapToGrid w:val="0"/>
        <w:spacing w:after="0" w:line="560" w:lineRule="exact"/>
        <w:ind w:left="0" w:leftChars="0" w:firstLine="640"/>
        <w:outlineLvl w:val="9"/>
        <w:rPr>
          <w:rFonts w:hint="eastAsia" w:ascii="仿宋_GB2312" w:eastAsia="仿宋_GB2312"/>
          <w:sz w:val="32"/>
          <w:szCs w:val="32"/>
          <w:highlight w:val="none"/>
          <w:lang w:val="en-US" w:eastAsia="zh-CN"/>
        </w:rPr>
      </w:pPr>
      <w:r>
        <w:rPr>
          <w:rFonts w:hint="eastAsia" w:ascii="仿宋_GB2312" w:eastAsia="仿宋_GB2312"/>
          <w:sz w:val="32"/>
          <w:szCs w:val="32"/>
          <w:highlight w:val="none"/>
        </w:rPr>
        <w:t>政策措施的奖补时间与</w:t>
      </w:r>
      <w:r>
        <w:rPr>
          <w:rFonts w:hint="eastAsia" w:ascii="仿宋_GB2312" w:eastAsia="仿宋_GB2312"/>
          <w:color w:val="auto"/>
          <w:sz w:val="32"/>
          <w:szCs w:val="32"/>
          <w:highlight w:val="none"/>
        </w:rPr>
        <w:t>《青岛市人民政府办公厅印发关于进一步促进青岛市财富管理金融综合改革试验区发展政策措施的通知》（青政办发〔2018〕18号）</w:t>
      </w:r>
      <w:r>
        <w:rPr>
          <w:rFonts w:hint="eastAsia" w:ascii="仿宋_GB2312" w:eastAsia="仿宋_GB2312"/>
          <w:sz w:val="32"/>
          <w:szCs w:val="32"/>
          <w:highlight w:val="none"/>
        </w:rPr>
        <w:t>接续，有效期至2023年12月31日。</w:t>
      </w:r>
    </w:p>
    <w:p>
      <w:pPr>
        <w:keepNext w:val="0"/>
        <w:keepLines w:val="0"/>
        <w:pageBreakBefore w:val="0"/>
        <w:widowControl w:val="0"/>
        <w:suppressAutoHyphens/>
        <w:kinsoku/>
        <w:wordWrap/>
        <w:overflowPunct w:val="0"/>
        <w:topLinePunct w:val="0"/>
        <w:autoSpaceDE/>
        <w:autoSpaceDN/>
        <w:bidi w:val="0"/>
        <w:adjustRightInd w:val="0"/>
        <w:snapToGrid w:val="0"/>
        <w:spacing w:line="560" w:lineRule="exact"/>
        <w:ind w:firstLine="640" w:firstLineChars="200"/>
        <w:jc w:val="both"/>
        <w:textAlignment w:val="auto"/>
        <w:outlineLvl w:val="1"/>
        <w:rPr>
          <w:rFonts w:hint="default" w:ascii="楷体_GB2312" w:hAnsi="楷体_GB2312" w:eastAsia="楷体_GB2312" w:cs="楷体_GB2312"/>
          <w:color w:val="auto"/>
          <w:sz w:val="32"/>
          <w:szCs w:val="32"/>
          <w:highlight w:val="none"/>
          <w:lang w:val="en-US" w:eastAsia="zh-CN"/>
        </w:rPr>
      </w:pPr>
      <w:bookmarkStart w:id="32" w:name="_Toc1953"/>
      <w:bookmarkStart w:id="33" w:name="_Toc1821"/>
      <w:bookmarkStart w:id="34" w:name="_Toc17371"/>
      <w:r>
        <w:rPr>
          <w:rFonts w:hint="eastAsia" w:ascii="楷体_GB2312" w:hAnsi="楷体_GB2312" w:eastAsia="楷体_GB2312" w:cs="楷体_GB2312"/>
          <w:color w:val="auto"/>
          <w:sz w:val="32"/>
          <w:szCs w:val="32"/>
          <w:highlight w:val="none"/>
          <w:lang w:val="en-US" w:eastAsia="zh-CN"/>
        </w:rPr>
        <w:t>（二）组织管理情况</w:t>
      </w:r>
      <w:bookmarkEnd w:id="32"/>
      <w:bookmarkEnd w:id="33"/>
      <w:bookmarkEnd w:id="34"/>
    </w:p>
    <w:p>
      <w:pPr>
        <w:pStyle w:val="20"/>
        <w:keepNext w:val="0"/>
        <w:keepLines w:val="0"/>
        <w:pageBreakBefore w:val="0"/>
        <w:widowControl w:val="0"/>
        <w:kinsoku/>
        <w:wordWrap/>
        <w:overflowPunct w:val="0"/>
        <w:topLinePunct w:val="0"/>
        <w:bidi w:val="0"/>
        <w:adjustRightInd w:val="0"/>
        <w:snapToGrid w:val="0"/>
        <w:spacing w:after="0" w:line="560" w:lineRule="exact"/>
        <w:ind w:left="0" w:leftChars="0" w:firstLine="640"/>
        <w:outlineLvl w:val="9"/>
        <w:rPr>
          <w:rFonts w:hint="default" w:ascii="仿宋_GB2312" w:hAnsi="仿宋_GB2312" w:eastAsia="仿宋_GB2312" w:cs="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2021年6月22日，根据《关于印发青岛市支持金融业高质量发展政策措施的通知》（青政办发〔2021〕9 号），市地方金</w:t>
      </w:r>
      <w:r>
        <w:rPr>
          <w:rFonts w:hint="eastAsia" w:ascii="仿宋_GB2312" w:hAnsi="仿宋_GB2312" w:eastAsia="仿宋_GB2312" w:cs="仿宋_GB2312"/>
          <w:color w:val="auto"/>
          <w:sz w:val="32"/>
          <w:szCs w:val="32"/>
          <w:highlight w:val="none"/>
          <w:lang w:val="en-US" w:eastAsia="zh-CN"/>
        </w:rPr>
        <w:t>融监管局</w:t>
      </w:r>
      <w:r>
        <w:rPr>
          <w:rStyle w:val="29"/>
          <w:rFonts w:hint="eastAsia" w:ascii="仿宋_GB2312" w:hAnsi="仿宋_GB2312" w:eastAsia="仿宋_GB2312" w:cs="仿宋_GB2312"/>
          <w:color w:val="auto"/>
          <w:sz w:val="32"/>
          <w:szCs w:val="32"/>
          <w:highlight w:val="none"/>
          <w:lang w:val="en-US" w:eastAsia="zh-CN"/>
        </w:rPr>
        <w:footnoteReference w:id="0"/>
      </w:r>
      <w:r>
        <w:rPr>
          <w:rFonts w:hint="eastAsia" w:ascii="仿宋_GB2312" w:hAnsi="仿宋_GB2312" w:eastAsia="仿宋_GB2312" w:cs="仿宋_GB2312"/>
          <w:color w:val="auto"/>
          <w:sz w:val="32"/>
          <w:szCs w:val="32"/>
          <w:highlight w:val="none"/>
          <w:lang w:val="en-US" w:eastAsia="zh-CN"/>
        </w:rPr>
        <w:t>、市财政局共同研究制定了《青岛市支持金融业高质量发展政策措施实施细则》（青金监字〔2021〕168 号）。</w:t>
      </w:r>
    </w:p>
    <w:p>
      <w:pPr>
        <w:pStyle w:val="20"/>
        <w:keepNext w:val="0"/>
        <w:keepLines w:val="0"/>
        <w:pageBreakBefore w:val="0"/>
        <w:widowControl w:val="0"/>
        <w:kinsoku/>
        <w:wordWrap/>
        <w:overflowPunct w:val="0"/>
        <w:topLinePunct w:val="0"/>
        <w:bidi w:val="0"/>
        <w:adjustRightInd w:val="0"/>
        <w:snapToGrid w:val="0"/>
        <w:spacing w:after="0" w:line="560" w:lineRule="exact"/>
        <w:ind w:left="0" w:leftChars="0" w:firstLine="640"/>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2023年度青岛市地方金融监管局根据《实施细则》组织开展了2021-2022年聚集金融资源补助申报、审核等有关工作，补助项目分为3类：①新设立或新引进法人金融机构，②现有法人金融机构增资，③新引进的金融机构分支机构。相关细则如下：</w:t>
      </w:r>
    </w:p>
    <w:p>
      <w:pPr>
        <w:pStyle w:val="20"/>
        <w:keepNext w:val="0"/>
        <w:keepLines w:val="0"/>
        <w:pageBreakBefore w:val="0"/>
        <w:widowControl w:val="0"/>
        <w:kinsoku/>
        <w:wordWrap/>
        <w:overflowPunct w:val="0"/>
        <w:topLinePunct w:val="0"/>
        <w:bidi w:val="0"/>
        <w:adjustRightInd w:val="0"/>
        <w:snapToGrid w:val="0"/>
        <w:spacing w:after="0" w:line="560" w:lineRule="exact"/>
        <w:ind w:left="0" w:leftChars="0" w:firstLine="640"/>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1.申报时间</w:t>
      </w:r>
    </w:p>
    <w:p>
      <w:pPr>
        <w:pStyle w:val="20"/>
        <w:keepNext w:val="0"/>
        <w:keepLines w:val="0"/>
        <w:pageBreakBefore w:val="0"/>
        <w:widowControl w:val="0"/>
        <w:kinsoku/>
        <w:wordWrap/>
        <w:overflowPunct w:val="0"/>
        <w:topLinePunct w:val="0"/>
        <w:bidi w:val="0"/>
        <w:adjustRightInd w:val="0"/>
        <w:snapToGrid w:val="0"/>
        <w:spacing w:after="0" w:line="560" w:lineRule="exact"/>
        <w:ind w:left="0" w:leftChars="0" w:firstLine="640"/>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促进金融资源聚集所需补助资金按现行财政体制负担。每年9月30日至10月31日，申报上年度9月30日至本年度9月30日符合条件机构的补助资金。</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2.申报审核</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符合条件的金融机构通过所在区（市）金融主管部门申报。区（市）金融主管部门会同财政部门出具审核意见后，连同申报材料报送市地方金融监管局。市地方金融监管局征求驻青金融监管机构意见后出具审核意见。</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3.资金拨付</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市地方金融监管局向市财政局提报拨付申请，市财政局按规定进行资金拨付。</w:t>
      </w:r>
    </w:p>
    <w:p>
      <w:pPr>
        <w:keepNext w:val="0"/>
        <w:keepLines w:val="0"/>
        <w:pageBreakBefore w:val="0"/>
        <w:widowControl/>
        <w:suppressLineNumbers w:val="0"/>
        <w:kinsoku/>
        <w:wordWrap/>
        <w:overflowPunct/>
        <w:topLinePunct w:val="0"/>
        <w:autoSpaceDE/>
        <w:autoSpaceDN/>
        <w:bidi w:val="0"/>
        <w:ind w:firstLine="620" w:firstLineChars="200"/>
        <w:jc w:val="both"/>
        <w:textAlignment w:val="auto"/>
        <w:outlineLvl w:val="9"/>
        <w:rPr>
          <w:rFonts w:ascii="仿宋_GB2312" w:hAnsi="仿宋_GB2312" w:eastAsia="仿宋_GB2312" w:cs="仿宋_GB2312"/>
          <w:color w:val="000000"/>
          <w:kern w:val="0"/>
          <w:sz w:val="31"/>
          <w:szCs w:val="31"/>
          <w:highlight w:val="none"/>
          <w:lang w:val="en-US" w:eastAsia="zh-CN" w:bidi="ar"/>
        </w:rPr>
      </w:pPr>
      <w:r>
        <w:rPr>
          <w:rFonts w:ascii="仿宋_GB2312" w:hAnsi="仿宋_GB2312" w:eastAsia="仿宋_GB2312" w:cs="仿宋_GB2312"/>
          <w:color w:val="000000"/>
          <w:kern w:val="0"/>
          <w:sz w:val="31"/>
          <w:szCs w:val="31"/>
          <w:highlight w:val="none"/>
          <w:lang w:val="en-US" w:eastAsia="zh-CN" w:bidi="ar"/>
        </w:rPr>
        <w:t>市地方金融监管局会同市财政局负责对补助资金的使用情况进行跟踪管理和监督检查</w:t>
      </w:r>
      <w:r>
        <w:rPr>
          <w:rFonts w:hint="eastAsia" w:ascii="仿宋_GB2312" w:hAnsi="仿宋_GB2312" w:eastAsia="仿宋_GB2312" w:cs="仿宋_GB2312"/>
          <w:color w:val="000000"/>
          <w:kern w:val="0"/>
          <w:sz w:val="31"/>
          <w:szCs w:val="31"/>
          <w:highlight w:val="none"/>
          <w:lang w:val="en-US" w:eastAsia="zh-CN" w:bidi="ar"/>
        </w:rPr>
        <w:t>。</w:t>
      </w:r>
      <w:r>
        <w:rPr>
          <w:rFonts w:ascii="仿宋_GB2312" w:hAnsi="仿宋_GB2312" w:eastAsia="仿宋_GB2312" w:cs="仿宋_GB2312"/>
          <w:color w:val="000000"/>
          <w:kern w:val="0"/>
          <w:sz w:val="31"/>
          <w:szCs w:val="31"/>
          <w:highlight w:val="none"/>
          <w:lang w:val="en-US" w:eastAsia="zh-CN" w:bidi="ar"/>
        </w:rPr>
        <w:t>市地方金融监管局会同市财政局按照《中共青岛市委青岛市人民政府关于深化预算管理改革全面推进预算绩效管理的实施意见》（青发〔2019〕6 号）文件有关规定，定期对上述各项奖励和补助资金进行绩效评估和评价</w:t>
      </w:r>
      <w:bookmarkStart w:id="35" w:name="_Toc22548"/>
      <w:r>
        <w:rPr>
          <w:rFonts w:hint="eastAsia" w:ascii="仿宋_GB2312" w:hAnsi="仿宋_GB2312" w:eastAsia="仿宋_GB2312" w:cs="仿宋_GB2312"/>
          <w:color w:val="000000"/>
          <w:kern w:val="0"/>
          <w:sz w:val="31"/>
          <w:szCs w:val="31"/>
          <w:highlight w:val="none"/>
          <w:lang w:val="en-US" w:eastAsia="zh-CN" w:bidi="ar"/>
        </w:rPr>
        <w:t>。</w:t>
      </w:r>
    </w:p>
    <w:p>
      <w:pPr>
        <w:keepNext w:val="0"/>
        <w:keepLines w:val="0"/>
        <w:pageBreakBefore w:val="0"/>
        <w:widowControl w:val="0"/>
        <w:suppressAutoHyphens/>
        <w:kinsoku/>
        <w:wordWrap/>
        <w:overflowPunct w:val="0"/>
        <w:topLinePunct w:val="0"/>
        <w:autoSpaceDE/>
        <w:autoSpaceDN/>
        <w:bidi w:val="0"/>
        <w:adjustRightInd w:val="0"/>
        <w:snapToGrid w:val="0"/>
        <w:spacing w:line="560" w:lineRule="exact"/>
        <w:ind w:firstLine="640" w:firstLineChars="200"/>
        <w:jc w:val="both"/>
        <w:textAlignment w:val="auto"/>
        <w:outlineLvl w:val="1"/>
        <w:rPr>
          <w:rFonts w:hint="default" w:ascii="楷体_GB2312" w:hAnsi="楷体_GB2312" w:eastAsia="楷体_GB2312" w:cs="楷体_GB2312"/>
          <w:color w:val="auto"/>
          <w:sz w:val="32"/>
          <w:szCs w:val="32"/>
          <w:highlight w:val="none"/>
          <w:lang w:val="en-US" w:eastAsia="zh-CN"/>
        </w:rPr>
      </w:pPr>
      <w:bookmarkStart w:id="36" w:name="_Toc10849"/>
      <w:r>
        <w:rPr>
          <w:rFonts w:hint="eastAsia" w:ascii="楷体_GB2312" w:hAnsi="楷体_GB2312" w:eastAsia="楷体_GB2312" w:cs="楷体_GB2312"/>
          <w:color w:val="auto"/>
          <w:sz w:val="32"/>
          <w:szCs w:val="32"/>
          <w:highlight w:val="none"/>
        </w:rPr>
        <w:t>（</w:t>
      </w:r>
      <w:r>
        <w:rPr>
          <w:rFonts w:hint="eastAsia" w:ascii="楷体_GB2312" w:hAnsi="楷体_GB2312" w:eastAsia="楷体_GB2312" w:cs="楷体_GB2312"/>
          <w:color w:val="auto"/>
          <w:sz w:val="32"/>
          <w:szCs w:val="32"/>
          <w:highlight w:val="none"/>
          <w:lang w:val="en-US" w:eastAsia="zh-CN"/>
        </w:rPr>
        <w:t>三</w:t>
      </w:r>
      <w:r>
        <w:rPr>
          <w:rFonts w:hint="eastAsia" w:ascii="楷体_GB2312" w:hAnsi="楷体_GB2312" w:eastAsia="楷体_GB2312" w:cs="楷体_GB2312"/>
          <w:color w:val="auto"/>
          <w:sz w:val="32"/>
          <w:szCs w:val="32"/>
          <w:highlight w:val="none"/>
        </w:rPr>
        <w:t>）</w:t>
      </w:r>
      <w:bookmarkEnd w:id="31"/>
      <w:bookmarkEnd w:id="35"/>
      <w:r>
        <w:rPr>
          <w:rFonts w:hint="eastAsia" w:ascii="楷体_GB2312" w:hAnsi="楷体_GB2312" w:eastAsia="楷体_GB2312" w:cs="楷体_GB2312"/>
          <w:color w:val="auto"/>
          <w:sz w:val="32"/>
          <w:szCs w:val="32"/>
          <w:highlight w:val="none"/>
        </w:rPr>
        <w:t>资金投入及分配情况</w:t>
      </w:r>
      <w:bookmarkEnd w:id="36"/>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default" w:ascii="仿宋_GB2312" w:eastAsia="仿宋_GB2312"/>
          <w:color w:val="auto"/>
          <w:sz w:val="32"/>
          <w:szCs w:val="32"/>
          <w:highlight w:val="none"/>
          <w:lang w:val="en-US" w:eastAsia="zh-CN"/>
        </w:rPr>
      </w:pPr>
      <w:bookmarkStart w:id="37" w:name="_Toc30491"/>
      <w:r>
        <w:rPr>
          <w:rFonts w:hint="eastAsia" w:ascii="仿宋_GB2312" w:eastAsia="仿宋_GB2312"/>
          <w:color w:val="auto"/>
          <w:sz w:val="32"/>
          <w:szCs w:val="32"/>
          <w:highlight w:val="none"/>
          <w:lang w:val="en-US" w:eastAsia="zh-CN"/>
        </w:rPr>
        <w:t>2023年度聚集金融资源补助资金中新设立或新引进的金融机构等补助资金和现有法人金融机构增资补助资金涉及17家金融机构，本次绩效评价资金范围为市级财政承担金额。市级财政预算安排资金3,294.90万元，市级财政拨付资金3,294.89万元。2023年应发放补助资金3,294.89万元用于补助2021-2022年符合条件的金融机构，已发放3,169.89万元，未发放 125.00万元。其中，2023年8月31日前实际发放250.00万元，占比7.59%，所属区市为市南区；2023年8月31日至2024年7月19日实际发放2,919.89万元，占比88.62%，所属区市为崂山区；截至2024年9月30日，未发放 125.00万元，占比3.79%，所属区市为李沧区。实际执行资金（受补助机构实际收到）3,169.89万元，</w:t>
      </w:r>
      <w:r>
        <w:rPr>
          <w:rFonts w:hint="eastAsia" w:ascii="仿宋_GB2312" w:eastAsia="仿宋_GB2312"/>
          <w:strike w:val="0"/>
          <w:dstrike w:val="0"/>
          <w:color w:val="auto"/>
          <w:sz w:val="32"/>
          <w:szCs w:val="32"/>
          <w:highlight w:val="none"/>
          <w:lang w:val="en-US" w:eastAsia="zh-CN"/>
        </w:rPr>
        <w:t>预算</w:t>
      </w:r>
      <w:r>
        <w:rPr>
          <w:rFonts w:hint="eastAsia" w:ascii="仿宋_GB2312" w:eastAsia="仿宋_GB2312"/>
          <w:color w:val="auto"/>
          <w:sz w:val="32"/>
          <w:szCs w:val="32"/>
          <w:highlight w:val="none"/>
          <w:lang w:val="en-US" w:eastAsia="zh-CN"/>
        </w:rPr>
        <w:t>执行率96.21%。</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rPr>
        <w:t>表1-</w:t>
      </w:r>
      <w:r>
        <w:rPr>
          <w:rFonts w:hint="eastAsia" w:ascii="黑体" w:hAnsi="黑体" w:eastAsia="黑体" w:cs="黑体"/>
          <w:color w:val="auto"/>
          <w:sz w:val="28"/>
          <w:szCs w:val="28"/>
          <w:highlight w:val="none"/>
          <w:lang w:val="en-US" w:eastAsia="zh-CN"/>
        </w:rPr>
        <w:t>1</w:t>
      </w:r>
      <w:r>
        <w:rPr>
          <w:rFonts w:hint="eastAsia" w:ascii="黑体" w:hAnsi="黑体" w:eastAsia="黑体" w:cs="黑体"/>
          <w:color w:val="auto"/>
          <w:sz w:val="28"/>
          <w:szCs w:val="28"/>
          <w:highlight w:val="none"/>
        </w:rPr>
        <w:t xml:space="preserve"> </w:t>
      </w:r>
      <w:r>
        <w:rPr>
          <w:rFonts w:hint="eastAsia" w:ascii="黑体" w:hAnsi="黑体" w:eastAsia="黑体" w:cs="黑体"/>
          <w:color w:val="auto"/>
          <w:sz w:val="28"/>
          <w:szCs w:val="28"/>
          <w:highlight w:val="none"/>
          <w:lang w:val="en-US" w:eastAsia="zh-CN"/>
        </w:rPr>
        <w:t>补助资金预算、拨付及执行情况</w:t>
      </w:r>
    </w:p>
    <w:tbl>
      <w:tblPr>
        <w:tblStyle w:val="21"/>
        <w:tblW w:w="948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8"/>
        <w:gridCol w:w="471"/>
        <w:gridCol w:w="740"/>
        <w:gridCol w:w="825"/>
        <w:gridCol w:w="2914"/>
        <w:gridCol w:w="1168"/>
        <w:gridCol w:w="996"/>
        <w:gridCol w:w="815"/>
        <w:gridCol w:w="9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3"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b/>
                <w:bCs/>
                <w:i w:val="0"/>
                <w:iCs w:val="0"/>
                <w:color w:val="000000"/>
                <w:sz w:val="15"/>
                <w:szCs w:val="15"/>
                <w:highlight w:val="none"/>
                <w:u w:val="none"/>
              </w:rPr>
            </w:pPr>
            <w:r>
              <w:rPr>
                <w:rFonts w:hint="eastAsia" w:ascii="宋体" w:hAnsi="宋体" w:eastAsia="宋体" w:cs="宋体"/>
                <w:b/>
                <w:bCs/>
                <w:i w:val="0"/>
                <w:iCs w:val="0"/>
                <w:color w:val="000000"/>
                <w:kern w:val="0"/>
                <w:sz w:val="15"/>
                <w:szCs w:val="15"/>
                <w:highlight w:val="none"/>
                <w:u w:val="none"/>
                <w:lang w:val="en-US" w:eastAsia="zh-CN" w:bidi="ar"/>
              </w:rPr>
              <w:t>项目</w:t>
            </w: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b/>
                <w:bCs/>
                <w:i w:val="0"/>
                <w:iCs w:val="0"/>
                <w:color w:val="000000"/>
                <w:sz w:val="15"/>
                <w:szCs w:val="15"/>
                <w:highlight w:val="none"/>
                <w:u w:val="none"/>
              </w:rPr>
            </w:pPr>
            <w:r>
              <w:rPr>
                <w:rFonts w:hint="eastAsia" w:ascii="宋体" w:hAnsi="宋体" w:eastAsia="宋体" w:cs="宋体"/>
                <w:b/>
                <w:bCs/>
                <w:i w:val="0"/>
                <w:iCs w:val="0"/>
                <w:color w:val="000000"/>
                <w:kern w:val="0"/>
                <w:sz w:val="15"/>
                <w:szCs w:val="15"/>
                <w:highlight w:val="none"/>
                <w:u w:val="none"/>
                <w:lang w:val="en-US" w:eastAsia="zh-CN" w:bidi="ar"/>
              </w:rPr>
              <w:t>序号</w:t>
            </w:r>
          </w:p>
        </w:tc>
        <w:tc>
          <w:tcPr>
            <w:tcW w:w="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b/>
                <w:bCs/>
                <w:i w:val="0"/>
                <w:iCs w:val="0"/>
                <w:color w:val="000000"/>
                <w:sz w:val="15"/>
                <w:szCs w:val="15"/>
                <w:highlight w:val="none"/>
                <w:u w:val="none"/>
              </w:rPr>
            </w:pPr>
            <w:r>
              <w:rPr>
                <w:rFonts w:hint="eastAsia" w:ascii="宋体" w:hAnsi="宋体" w:eastAsia="宋体" w:cs="宋体"/>
                <w:b/>
                <w:bCs/>
                <w:i w:val="0"/>
                <w:iCs w:val="0"/>
                <w:color w:val="000000"/>
                <w:kern w:val="0"/>
                <w:sz w:val="15"/>
                <w:szCs w:val="15"/>
                <w:highlight w:val="none"/>
                <w:u w:val="none"/>
                <w:lang w:val="en-US" w:eastAsia="zh-CN" w:bidi="ar"/>
              </w:rPr>
              <w:t>所在区（市）</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宋体" w:hAnsi="宋体" w:eastAsia="宋体" w:cs="宋体"/>
                <w:b/>
                <w:bCs/>
                <w:i w:val="0"/>
                <w:iCs w:val="0"/>
                <w:color w:val="000000"/>
                <w:sz w:val="15"/>
                <w:szCs w:val="15"/>
                <w:highlight w:val="none"/>
                <w:u w:val="none"/>
              </w:rPr>
            </w:pPr>
            <w:r>
              <w:rPr>
                <w:rFonts w:hint="eastAsia" w:ascii="宋体" w:hAnsi="宋体" w:eastAsia="宋体" w:cs="宋体"/>
                <w:b/>
                <w:bCs/>
                <w:i w:val="0"/>
                <w:iCs w:val="0"/>
                <w:color w:val="000000"/>
                <w:kern w:val="0"/>
                <w:sz w:val="15"/>
                <w:szCs w:val="15"/>
                <w:highlight w:val="none"/>
                <w:u w:val="none"/>
                <w:lang w:val="en-US" w:eastAsia="zh-CN" w:bidi="ar"/>
              </w:rPr>
              <w:t>预算金额（万元）</w:t>
            </w:r>
          </w:p>
        </w:tc>
        <w:tc>
          <w:tcPr>
            <w:tcW w:w="2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宋体" w:hAnsi="宋体" w:eastAsia="宋体" w:cs="宋体"/>
                <w:b/>
                <w:bCs/>
                <w:i w:val="0"/>
                <w:iCs w:val="0"/>
                <w:color w:val="000000"/>
                <w:sz w:val="15"/>
                <w:szCs w:val="15"/>
                <w:highlight w:val="none"/>
                <w:u w:val="none"/>
              </w:rPr>
            </w:pPr>
            <w:r>
              <w:rPr>
                <w:rFonts w:hint="eastAsia" w:ascii="宋体" w:hAnsi="宋体" w:eastAsia="宋体" w:cs="宋体"/>
                <w:b/>
                <w:bCs/>
                <w:i w:val="0"/>
                <w:iCs w:val="0"/>
                <w:color w:val="000000"/>
                <w:kern w:val="0"/>
                <w:sz w:val="15"/>
                <w:szCs w:val="15"/>
                <w:highlight w:val="none"/>
                <w:u w:val="none"/>
                <w:lang w:val="en-US" w:eastAsia="zh-CN" w:bidi="ar"/>
              </w:rPr>
              <w:t>补助机构</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宋体" w:hAnsi="宋体" w:eastAsia="宋体" w:cs="宋体"/>
                <w:b/>
                <w:bCs/>
                <w:i w:val="0"/>
                <w:iCs w:val="0"/>
                <w:color w:val="auto"/>
                <w:sz w:val="15"/>
                <w:szCs w:val="15"/>
                <w:highlight w:val="none"/>
                <w:u w:val="none"/>
              </w:rPr>
            </w:pPr>
            <w:r>
              <w:rPr>
                <w:rFonts w:hint="eastAsia" w:ascii="宋体" w:hAnsi="宋体" w:eastAsia="宋体" w:cs="宋体"/>
                <w:b/>
                <w:bCs/>
                <w:i w:val="0"/>
                <w:iCs w:val="0"/>
                <w:color w:val="auto"/>
                <w:kern w:val="0"/>
                <w:sz w:val="15"/>
                <w:szCs w:val="15"/>
                <w:highlight w:val="none"/>
                <w:u w:val="none"/>
                <w:lang w:val="en-US" w:eastAsia="zh-CN" w:bidi="ar"/>
              </w:rPr>
              <w:t>市级财政拨付资金（万元）</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宋体" w:hAnsi="宋体" w:eastAsia="宋体" w:cs="宋体"/>
                <w:b/>
                <w:bCs/>
                <w:i w:val="0"/>
                <w:iCs w:val="0"/>
                <w:color w:val="000000"/>
                <w:sz w:val="15"/>
                <w:szCs w:val="15"/>
                <w:highlight w:val="none"/>
                <w:u w:val="none"/>
              </w:rPr>
            </w:pPr>
            <w:r>
              <w:rPr>
                <w:rFonts w:hint="eastAsia" w:ascii="宋体" w:hAnsi="宋体" w:eastAsia="宋体" w:cs="宋体"/>
                <w:b/>
                <w:bCs/>
                <w:i w:val="0"/>
                <w:iCs w:val="0"/>
                <w:color w:val="000000"/>
                <w:kern w:val="0"/>
                <w:sz w:val="15"/>
                <w:szCs w:val="15"/>
                <w:highlight w:val="none"/>
                <w:u w:val="none"/>
                <w:lang w:val="en-US" w:eastAsia="zh-CN" w:bidi="ar"/>
              </w:rPr>
              <w:t>实际执行金额（万元）</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宋体" w:hAnsi="宋体" w:eastAsia="宋体" w:cs="宋体"/>
                <w:b/>
                <w:bCs/>
                <w:i w:val="0"/>
                <w:iCs w:val="0"/>
                <w:color w:val="000000"/>
                <w:sz w:val="15"/>
                <w:szCs w:val="15"/>
                <w:highlight w:val="none"/>
                <w:u w:val="none"/>
              </w:rPr>
            </w:pPr>
            <w:r>
              <w:rPr>
                <w:rFonts w:hint="eastAsia" w:ascii="宋体" w:hAnsi="宋体" w:eastAsia="宋体" w:cs="宋体"/>
                <w:b/>
                <w:bCs/>
                <w:i w:val="0"/>
                <w:iCs w:val="0"/>
                <w:color w:val="000000"/>
                <w:kern w:val="0"/>
                <w:sz w:val="15"/>
                <w:szCs w:val="15"/>
                <w:highlight w:val="none"/>
                <w:u w:val="none"/>
                <w:lang w:val="en-US" w:eastAsia="zh-CN" w:bidi="ar"/>
              </w:rPr>
              <w:t>预算执行率</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宋体" w:hAnsi="宋体" w:eastAsia="宋体" w:cs="宋体"/>
                <w:b/>
                <w:bCs/>
                <w:i w:val="0"/>
                <w:iCs w:val="0"/>
                <w:color w:val="000000"/>
                <w:kern w:val="0"/>
                <w:sz w:val="15"/>
                <w:szCs w:val="15"/>
                <w:highlight w:val="none"/>
                <w:u w:val="none"/>
                <w:lang w:val="en-US" w:eastAsia="zh-CN" w:bidi="ar"/>
              </w:rPr>
            </w:pPr>
            <w:r>
              <w:rPr>
                <w:rFonts w:hint="eastAsia" w:ascii="宋体" w:hAnsi="宋体" w:eastAsia="宋体" w:cs="宋体"/>
                <w:b/>
                <w:bCs/>
                <w:i w:val="0"/>
                <w:iCs w:val="0"/>
                <w:color w:val="000000"/>
                <w:kern w:val="0"/>
                <w:sz w:val="15"/>
                <w:szCs w:val="15"/>
                <w:highlight w:val="none"/>
                <w:u w:val="none"/>
                <w:lang w:val="en-US" w:eastAsia="zh-CN" w:bidi="ar"/>
              </w:rPr>
              <w:t>实际到位时间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5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新设立或新引进的金融机构等补助资金</w:t>
            </w: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1</w:t>
            </w:r>
          </w:p>
        </w:tc>
        <w:tc>
          <w:tcPr>
            <w:tcW w:w="74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市南区</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 xml:space="preserve"> 225.00 </w:t>
            </w:r>
          </w:p>
        </w:tc>
        <w:tc>
          <w:tcPr>
            <w:tcW w:w="2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英大泰和人寿保险股份有限公司青岛分公司</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outlineLvl w:val="9"/>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color w:val="auto"/>
                <w:kern w:val="0"/>
                <w:sz w:val="15"/>
                <w:szCs w:val="15"/>
                <w:highlight w:val="none"/>
                <w:u w:val="none"/>
                <w:lang w:val="en-US" w:eastAsia="zh-CN" w:bidi="ar"/>
              </w:rPr>
              <w:t xml:space="preserve"> 100.00 </w:t>
            </w:r>
          </w:p>
        </w:tc>
        <w:tc>
          <w:tcPr>
            <w:tcW w:w="99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 xml:space="preserve"> 225.00 </w:t>
            </w:r>
          </w:p>
        </w:tc>
        <w:tc>
          <w:tcPr>
            <w:tcW w:w="8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100.00%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2023/6/28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宋体" w:hAnsi="宋体" w:eastAsia="宋体" w:cs="宋体"/>
                <w:i w:val="0"/>
                <w:iCs w:val="0"/>
                <w:color w:val="000000"/>
                <w:sz w:val="15"/>
                <w:szCs w:val="15"/>
                <w:highlight w:val="none"/>
                <w:u w:val="none"/>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2</w:t>
            </w:r>
          </w:p>
        </w:tc>
        <w:tc>
          <w:tcPr>
            <w:tcW w:w="7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2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中信保诚人寿保险有限公司青岛分公司</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outlineLvl w:val="9"/>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color w:val="auto"/>
                <w:kern w:val="0"/>
                <w:sz w:val="15"/>
                <w:szCs w:val="15"/>
                <w:highlight w:val="none"/>
                <w:u w:val="none"/>
                <w:lang w:val="en-US" w:eastAsia="zh-CN" w:bidi="ar"/>
              </w:rPr>
              <w:t xml:space="preserve"> 100.00 </w:t>
            </w: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outlineLvl w:val="9"/>
              <w:rPr>
                <w:rFonts w:hint="eastAsia" w:ascii="宋体" w:hAnsi="宋体" w:eastAsia="宋体" w:cs="宋体"/>
                <w:i w:val="0"/>
                <w:iCs w:val="0"/>
                <w:color w:val="000000"/>
                <w:sz w:val="15"/>
                <w:szCs w:val="15"/>
                <w:highlight w:val="none"/>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2023/6/28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宋体" w:hAnsi="宋体" w:eastAsia="宋体" w:cs="宋体"/>
                <w:i w:val="0"/>
                <w:iCs w:val="0"/>
                <w:color w:val="000000"/>
                <w:sz w:val="15"/>
                <w:szCs w:val="15"/>
                <w:highlight w:val="none"/>
                <w:u w:val="none"/>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3</w:t>
            </w:r>
          </w:p>
        </w:tc>
        <w:tc>
          <w:tcPr>
            <w:tcW w:w="7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2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中州期货有限公司青岛分公司</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outlineLvl w:val="9"/>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color w:val="auto"/>
                <w:kern w:val="0"/>
                <w:sz w:val="15"/>
                <w:szCs w:val="15"/>
                <w:highlight w:val="none"/>
                <w:u w:val="none"/>
                <w:lang w:val="en-US" w:eastAsia="zh-CN" w:bidi="ar"/>
              </w:rPr>
              <w:t xml:space="preserve"> 25.00 </w:t>
            </w: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outlineLvl w:val="9"/>
              <w:rPr>
                <w:rFonts w:hint="eastAsia" w:ascii="宋体" w:hAnsi="宋体" w:eastAsia="宋体" w:cs="宋体"/>
                <w:i w:val="0"/>
                <w:iCs w:val="0"/>
                <w:color w:val="000000"/>
                <w:sz w:val="15"/>
                <w:szCs w:val="15"/>
                <w:highlight w:val="none"/>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2023/6/28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宋体" w:hAnsi="宋体" w:eastAsia="宋体" w:cs="宋体"/>
                <w:i w:val="0"/>
                <w:iCs w:val="0"/>
                <w:color w:val="000000"/>
                <w:sz w:val="15"/>
                <w:szCs w:val="15"/>
                <w:highlight w:val="none"/>
                <w:u w:val="none"/>
              </w:rPr>
            </w:pP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小计</w:t>
            </w: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2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outlineLvl w:val="9"/>
              <w:rPr>
                <w:rFonts w:hint="eastAsia" w:ascii="宋体" w:hAnsi="宋体" w:eastAsia="宋体" w:cs="宋体"/>
                <w:i w:val="0"/>
                <w:iCs w:val="0"/>
                <w:color w:val="000000"/>
                <w:sz w:val="15"/>
                <w:szCs w:val="15"/>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outlineLvl w:val="9"/>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color w:val="auto"/>
                <w:kern w:val="0"/>
                <w:sz w:val="15"/>
                <w:szCs w:val="15"/>
                <w:highlight w:val="none"/>
                <w:u w:val="none"/>
                <w:lang w:val="en-US" w:eastAsia="zh-CN" w:bidi="ar"/>
              </w:rPr>
              <w:t xml:space="preserve"> 225.00 </w:t>
            </w: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outlineLvl w:val="9"/>
              <w:rPr>
                <w:rFonts w:hint="eastAsia" w:ascii="宋体" w:hAnsi="宋体" w:eastAsia="宋体" w:cs="宋体"/>
                <w:i w:val="0"/>
                <w:iCs w:val="0"/>
                <w:color w:val="000000"/>
                <w:sz w:val="15"/>
                <w:szCs w:val="15"/>
                <w:highlight w:val="none"/>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宋体" w:hAnsi="宋体" w:eastAsia="宋体" w:cs="宋体"/>
                <w:i w:val="0"/>
                <w:iCs w:val="0"/>
                <w:color w:val="000000"/>
                <w:sz w:val="15"/>
                <w:szCs w:val="15"/>
                <w:highlight w:val="none"/>
                <w:u w:val="none"/>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4</w:t>
            </w:r>
          </w:p>
        </w:tc>
        <w:tc>
          <w:tcPr>
            <w:tcW w:w="74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崂山区</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 xml:space="preserve"> 2,235.00 </w:t>
            </w:r>
          </w:p>
        </w:tc>
        <w:tc>
          <w:tcPr>
            <w:tcW w:w="2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恒丰理财有限责任公司</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outlineLvl w:val="9"/>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color w:val="auto"/>
                <w:kern w:val="0"/>
                <w:sz w:val="15"/>
                <w:szCs w:val="15"/>
                <w:highlight w:val="none"/>
                <w:u w:val="none"/>
                <w:lang w:val="en-US" w:eastAsia="zh-CN" w:bidi="ar"/>
              </w:rPr>
              <w:t xml:space="preserve"> 2,000.00 </w:t>
            </w:r>
          </w:p>
        </w:tc>
        <w:tc>
          <w:tcPr>
            <w:tcW w:w="99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 xml:space="preserve"> 2,235.00 </w:t>
            </w:r>
          </w:p>
        </w:tc>
        <w:tc>
          <w:tcPr>
            <w:tcW w:w="8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100.00%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2024/7/15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宋体" w:hAnsi="宋体" w:eastAsia="宋体" w:cs="宋体"/>
                <w:i w:val="0"/>
                <w:iCs w:val="0"/>
                <w:color w:val="000000"/>
                <w:sz w:val="15"/>
                <w:szCs w:val="15"/>
                <w:highlight w:val="none"/>
                <w:u w:val="none"/>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5</w:t>
            </w:r>
          </w:p>
        </w:tc>
        <w:tc>
          <w:tcPr>
            <w:tcW w:w="7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2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交银人寿保险有限公司青岛分公司</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outlineLvl w:val="9"/>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color w:val="auto"/>
                <w:kern w:val="0"/>
                <w:sz w:val="15"/>
                <w:szCs w:val="15"/>
                <w:highlight w:val="none"/>
                <w:u w:val="none"/>
                <w:lang w:val="en-US" w:eastAsia="zh-CN" w:bidi="ar"/>
              </w:rPr>
              <w:t xml:space="preserve"> 100.00 </w:t>
            </w: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outlineLvl w:val="9"/>
              <w:rPr>
                <w:rFonts w:hint="eastAsia" w:ascii="宋体" w:hAnsi="宋体" w:eastAsia="宋体" w:cs="宋体"/>
                <w:i w:val="0"/>
                <w:iCs w:val="0"/>
                <w:color w:val="000000"/>
                <w:sz w:val="15"/>
                <w:szCs w:val="15"/>
                <w:highlight w:val="none"/>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2024/7/15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宋体" w:hAnsi="宋体" w:eastAsia="宋体" w:cs="宋体"/>
                <w:i w:val="0"/>
                <w:iCs w:val="0"/>
                <w:color w:val="000000"/>
                <w:sz w:val="15"/>
                <w:szCs w:val="15"/>
                <w:highlight w:val="none"/>
                <w:u w:val="none"/>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6</w:t>
            </w:r>
          </w:p>
        </w:tc>
        <w:tc>
          <w:tcPr>
            <w:tcW w:w="7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2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华福证券有限责任公司青岛分公司</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outlineLvl w:val="9"/>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color w:val="auto"/>
                <w:kern w:val="0"/>
                <w:sz w:val="15"/>
                <w:szCs w:val="15"/>
                <w:highlight w:val="none"/>
                <w:u w:val="none"/>
                <w:lang w:val="en-US" w:eastAsia="zh-CN" w:bidi="ar"/>
              </w:rPr>
              <w:t xml:space="preserve"> 50.00 </w:t>
            </w: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outlineLvl w:val="9"/>
              <w:rPr>
                <w:rFonts w:hint="eastAsia" w:ascii="宋体" w:hAnsi="宋体" w:eastAsia="宋体" w:cs="宋体"/>
                <w:i w:val="0"/>
                <w:iCs w:val="0"/>
                <w:color w:val="000000"/>
                <w:sz w:val="15"/>
                <w:szCs w:val="15"/>
                <w:highlight w:val="none"/>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2024/7/15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宋体" w:hAnsi="宋体" w:eastAsia="宋体" w:cs="宋体"/>
                <w:i w:val="0"/>
                <w:iCs w:val="0"/>
                <w:color w:val="000000"/>
                <w:sz w:val="15"/>
                <w:szCs w:val="15"/>
                <w:highlight w:val="none"/>
                <w:u w:val="none"/>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7</w:t>
            </w:r>
          </w:p>
        </w:tc>
        <w:tc>
          <w:tcPr>
            <w:tcW w:w="7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2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宁证期货有限责任公司青岛分公司</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outlineLvl w:val="9"/>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color w:val="auto"/>
                <w:kern w:val="0"/>
                <w:sz w:val="15"/>
                <w:szCs w:val="15"/>
                <w:highlight w:val="none"/>
                <w:u w:val="none"/>
                <w:lang w:val="en-US" w:eastAsia="zh-CN" w:bidi="ar"/>
              </w:rPr>
              <w:t xml:space="preserve"> 25.00 </w:t>
            </w: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outlineLvl w:val="9"/>
              <w:rPr>
                <w:rFonts w:hint="eastAsia" w:ascii="宋体" w:hAnsi="宋体" w:eastAsia="宋体" w:cs="宋体"/>
                <w:i w:val="0"/>
                <w:iCs w:val="0"/>
                <w:color w:val="000000"/>
                <w:sz w:val="15"/>
                <w:szCs w:val="15"/>
                <w:highlight w:val="none"/>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2024/7/15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宋体" w:hAnsi="宋体" w:eastAsia="宋体" w:cs="宋体"/>
                <w:i w:val="0"/>
                <w:iCs w:val="0"/>
                <w:color w:val="000000"/>
                <w:sz w:val="15"/>
                <w:szCs w:val="15"/>
                <w:highlight w:val="none"/>
                <w:u w:val="none"/>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8</w:t>
            </w:r>
          </w:p>
        </w:tc>
        <w:tc>
          <w:tcPr>
            <w:tcW w:w="7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2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和融期货有限责任公司青岛分公司</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outlineLvl w:val="9"/>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color w:val="auto"/>
                <w:kern w:val="0"/>
                <w:sz w:val="15"/>
                <w:szCs w:val="15"/>
                <w:highlight w:val="none"/>
                <w:u w:val="none"/>
                <w:lang w:val="en-US" w:eastAsia="zh-CN" w:bidi="ar"/>
              </w:rPr>
              <w:t xml:space="preserve"> 25.00 </w:t>
            </w: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outlineLvl w:val="9"/>
              <w:rPr>
                <w:rFonts w:hint="eastAsia" w:ascii="宋体" w:hAnsi="宋体" w:eastAsia="宋体" w:cs="宋体"/>
                <w:i w:val="0"/>
                <w:iCs w:val="0"/>
                <w:color w:val="000000"/>
                <w:sz w:val="15"/>
                <w:szCs w:val="15"/>
                <w:highlight w:val="none"/>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2024/7/15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宋体" w:hAnsi="宋体" w:eastAsia="宋体" w:cs="宋体"/>
                <w:i w:val="0"/>
                <w:iCs w:val="0"/>
                <w:color w:val="000000"/>
                <w:sz w:val="15"/>
                <w:szCs w:val="15"/>
                <w:highlight w:val="none"/>
                <w:u w:val="none"/>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9</w:t>
            </w:r>
          </w:p>
        </w:tc>
        <w:tc>
          <w:tcPr>
            <w:tcW w:w="7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2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华创期货有限责任公司山东分公司</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outlineLvl w:val="9"/>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color w:val="auto"/>
                <w:kern w:val="0"/>
                <w:sz w:val="15"/>
                <w:szCs w:val="15"/>
                <w:highlight w:val="none"/>
                <w:u w:val="none"/>
                <w:lang w:val="en-US" w:eastAsia="zh-CN" w:bidi="ar"/>
              </w:rPr>
              <w:t xml:space="preserve"> 25.00 </w:t>
            </w: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outlineLvl w:val="9"/>
              <w:rPr>
                <w:rFonts w:hint="eastAsia" w:ascii="宋体" w:hAnsi="宋体" w:eastAsia="宋体" w:cs="宋体"/>
                <w:i w:val="0"/>
                <w:iCs w:val="0"/>
                <w:color w:val="000000"/>
                <w:sz w:val="15"/>
                <w:szCs w:val="15"/>
                <w:highlight w:val="none"/>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2024/7/15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宋体" w:hAnsi="宋体" w:eastAsia="宋体" w:cs="宋体"/>
                <w:i w:val="0"/>
                <w:iCs w:val="0"/>
                <w:color w:val="000000"/>
                <w:sz w:val="15"/>
                <w:szCs w:val="15"/>
                <w:highlight w:val="none"/>
                <w:u w:val="none"/>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10</w:t>
            </w:r>
          </w:p>
        </w:tc>
        <w:tc>
          <w:tcPr>
            <w:tcW w:w="7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2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金瑞期货股份有限公司青岛分公司（金家岭）</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outlineLvl w:val="9"/>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color w:val="auto"/>
                <w:kern w:val="0"/>
                <w:sz w:val="15"/>
                <w:szCs w:val="15"/>
                <w:highlight w:val="none"/>
                <w:u w:val="none"/>
                <w:lang w:val="en-US" w:eastAsia="zh-CN" w:bidi="ar"/>
              </w:rPr>
              <w:t xml:space="preserve"> 10.00 </w:t>
            </w: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outlineLvl w:val="9"/>
              <w:rPr>
                <w:rFonts w:hint="eastAsia" w:ascii="宋体" w:hAnsi="宋体" w:eastAsia="宋体" w:cs="宋体"/>
                <w:i w:val="0"/>
                <w:iCs w:val="0"/>
                <w:color w:val="000000"/>
                <w:sz w:val="15"/>
                <w:szCs w:val="15"/>
                <w:highlight w:val="none"/>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2024/7/19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宋体" w:hAnsi="宋体" w:eastAsia="宋体" w:cs="宋体"/>
                <w:i w:val="0"/>
                <w:iCs w:val="0"/>
                <w:color w:val="000000"/>
                <w:sz w:val="15"/>
                <w:szCs w:val="15"/>
                <w:highlight w:val="none"/>
                <w:u w:val="none"/>
              </w:rPr>
            </w:pP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小计</w:t>
            </w: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2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outlineLvl w:val="9"/>
              <w:rPr>
                <w:rFonts w:hint="eastAsia" w:ascii="宋体" w:hAnsi="宋体" w:eastAsia="宋体" w:cs="宋体"/>
                <w:i w:val="0"/>
                <w:iCs w:val="0"/>
                <w:color w:val="000000"/>
                <w:sz w:val="15"/>
                <w:szCs w:val="15"/>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outlineLvl w:val="9"/>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color w:val="auto"/>
                <w:kern w:val="0"/>
                <w:sz w:val="15"/>
                <w:szCs w:val="15"/>
                <w:highlight w:val="none"/>
                <w:u w:val="none"/>
                <w:lang w:val="en-US" w:eastAsia="zh-CN" w:bidi="ar"/>
              </w:rPr>
              <w:t xml:space="preserve"> 2,235.00 </w:t>
            </w: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outlineLvl w:val="9"/>
              <w:rPr>
                <w:rFonts w:hint="eastAsia" w:ascii="宋体" w:hAnsi="宋体" w:eastAsia="宋体" w:cs="宋体"/>
                <w:i w:val="0"/>
                <w:iCs w:val="0"/>
                <w:color w:val="000000"/>
                <w:sz w:val="15"/>
                <w:szCs w:val="15"/>
                <w:highlight w:val="none"/>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5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现有法人金融机构增资补助资金</w:t>
            </w: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11</w:t>
            </w:r>
          </w:p>
        </w:tc>
        <w:tc>
          <w:tcPr>
            <w:tcW w:w="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市南区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 xml:space="preserve"> 25.00 </w:t>
            </w:r>
          </w:p>
        </w:tc>
        <w:tc>
          <w:tcPr>
            <w:tcW w:w="2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青岛意才基金销售有限公司</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outlineLvl w:val="9"/>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color w:val="auto"/>
                <w:kern w:val="0"/>
                <w:sz w:val="15"/>
                <w:szCs w:val="15"/>
                <w:highlight w:val="none"/>
                <w:u w:val="none"/>
                <w:lang w:val="en-US" w:eastAsia="zh-CN" w:bidi="ar"/>
              </w:rPr>
              <w:t xml:space="preserve"> 25.00 </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 xml:space="preserve"> 25.00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100.00%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2023/6/28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宋体" w:hAnsi="宋体" w:eastAsia="宋体" w:cs="宋体"/>
                <w:i w:val="0"/>
                <w:iCs w:val="0"/>
                <w:color w:val="000000"/>
                <w:sz w:val="15"/>
                <w:szCs w:val="15"/>
                <w:highlight w:val="none"/>
                <w:u w:val="none"/>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12</w:t>
            </w:r>
          </w:p>
        </w:tc>
        <w:tc>
          <w:tcPr>
            <w:tcW w:w="74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崂山区</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 xml:space="preserve"> 684.90 </w:t>
            </w:r>
          </w:p>
        </w:tc>
        <w:tc>
          <w:tcPr>
            <w:tcW w:w="2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陆家嘴国际信托有限公司</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outlineLvl w:val="9"/>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color w:val="auto"/>
                <w:kern w:val="0"/>
                <w:sz w:val="15"/>
                <w:szCs w:val="15"/>
                <w:highlight w:val="none"/>
                <w:u w:val="none"/>
                <w:lang w:val="en-US" w:eastAsia="zh-CN" w:bidi="ar"/>
              </w:rPr>
              <w:t xml:space="preserve"> 150.00 </w:t>
            </w:r>
          </w:p>
        </w:tc>
        <w:tc>
          <w:tcPr>
            <w:tcW w:w="99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 xml:space="preserve"> 684.89 </w:t>
            </w:r>
          </w:p>
        </w:tc>
        <w:tc>
          <w:tcPr>
            <w:tcW w:w="8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100.00%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2024/7/15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宋体" w:hAnsi="宋体" w:eastAsia="宋体" w:cs="宋体"/>
                <w:i w:val="0"/>
                <w:iCs w:val="0"/>
                <w:color w:val="000000"/>
                <w:sz w:val="15"/>
                <w:szCs w:val="15"/>
                <w:highlight w:val="none"/>
                <w:u w:val="none"/>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13</w:t>
            </w:r>
          </w:p>
        </w:tc>
        <w:tc>
          <w:tcPr>
            <w:tcW w:w="7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2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联储证券有限责任公司</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outlineLvl w:val="9"/>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color w:val="auto"/>
                <w:kern w:val="0"/>
                <w:sz w:val="15"/>
                <w:szCs w:val="15"/>
                <w:highlight w:val="none"/>
                <w:u w:val="none"/>
                <w:lang w:val="en-US" w:eastAsia="zh-CN" w:bidi="ar"/>
              </w:rPr>
              <w:t xml:space="preserve"> 150.00 </w:t>
            </w: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outlineLvl w:val="9"/>
              <w:rPr>
                <w:rFonts w:hint="eastAsia" w:ascii="宋体" w:hAnsi="宋体" w:eastAsia="宋体" w:cs="宋体"/>
                <w:i w:val="0"/>
                <w:iCs w:val="0"/>
                <w:color w:val="000000"/>
                <w:sz w:val="15"/>
                <w:szCs w:val="15"/>
                <w:highlight w:val="none"/>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2024/7/15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宋体" w:hAnsi="宋体" w:eastAsia="宋体" w:cs="宋体"/>
                <w:i w:val="0"/>
                <w:iCs w:val="0"/>
                <w:color w:val="000000"/>
                <w:sz w:val="15"/>
                <w:szCs w:val="15"/>
                <w:highlight w:val="none"/>
                <w:u w:val="none"/>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14</w:t>
            </w:r>
          </w:p>
        </w:tc>
        <w:tc>
          <w:tcPr>
            <w:tcW w:w="7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2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青岛银行股份有限公司</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outlineLvl w:val="9"/>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color w:val="auto"/>
                <w:kern w:val="0"/>
                <w:sz w:val="15"/>
                <w:szCs w:val="15"/>
                <w:highlight w:val="none"/>
                <w:u w:val="none"/>
                <w:lang w:val="en-US" w:eastAsia="zh-CN" w:bidi="ar"/>
              </w:rPr>
              <w:t xml:space="preserve"> 150.00 </w:t>
            </w: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outlineLvl w:val="9"/>
              <w:rPr>
                <w:rFonts w:hint="eastAsia" w:ascii="宋体" w:hAnsi="宋体" w:eastAsia="宋体" w:cs="宋体"/>
                <w:i w:val="0"/>
                <w:iCs w:val="0"/>
                <w:color w:val="000000"/>
                <w:sz w:val="15"/>
                <w:szCs w:val="15"/>
                <w:highlight w:val="none"/>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2024/7/15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宋体" w:hAnsi="宋体" w:eastAsia="宋体" w:cs="宋体"/>
                <w:i w:val="0"/>
                <w:iCs w:val="0"/>
                <w:color w:val="000000"/>
                <w:sz w:val="15"/>
                <w:szCs w:val="15"/>
                <w:highlight w:val="none"/>
                <w:u w:val="none"/>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15</w:t>
            </w:r>
          </w:p>
        </w:tc>
        <w:tc>
          <w:tcPr>
            <w:tcW w:w="7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2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海尔消费金融有限公司</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outlineLvl w:val="9"/>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color w:val="auto"/>
                <w:kern w:val="0"/>
                <w:sz w:val="15"/>
                <w:szCs w:val="15"/>
                <w:highlight w:val="none"/>
                <w:u w:val="none"/>
                <w:lang w:val="en-US" w:eastAsia="zh-CN" w:bidi="ar"/>
              </w:rPr>
              <w:t xml:space="preserve"> 125.00 </w:t>
            </w: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outlineLvl w:val="9"/>
              <w:rPr>
                <w:rFonts w:hint="eastAsia" w:ascii="宋体" w:hAnsi="宋体" w:eastAsia="宋体" w:cs="宋体"/>
                <w:i w:val="0"/>
                <w:iCs w:val="0"/>
                <w:color w:val="000000"/>
                <w:sz w:val="15"/>
                <w:szCs w:val="15"/>
                <w:highlight w:val="none"/>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lang w:val="en-US"/>
              </w:rPr>
            </w:pPr>
            <w:r>
              <w:rPr>
                <w:rFonts w:hint="eastAsia" w:ascii="宋体" w:hAnsi="宋体" w:eastAsia="宋体" w:cs="宋体"/>
                <w:i w:val="0"/>
                <w:iCs w:val="0"/>
                <w:color w:val="000000"/>
                <w:kern w:val="0"/>
                <w:sz w:val="15"/>
                <w:szCs w:val="15"/>
                <w:highlight w:val="none"/>
                <w:u w:val="none"/>
                <w:lang w:val="en-US" w:eastAsia="zh-CN" w:bidi="ar"/>
              </w:rPr>
              <w:t>2024/6/28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宋体" w:hAnsi="宋体" w:eastAsia="宋体" w:cs="宋体"/>
                <w:i w:val="0"/>
                <w:iCs w:val="0"/>
                <w:color w:val="000000"/>
                <w:sz w:val="15"/>
                <w:szCs w:val="15"/>
                <w:highlight w:val="none"/>
                <w:u w:val="none"/>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16</w:t>
            </w:r>
          </w:p>
        </w:tc>
        <w:tc>
          <w:tcPr>
            <w:tcW w:w="7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2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中路财产保险股份有限公司</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outlineLvl w:val="9"/>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color w:val="auto"/>
                <w:kern w:val="0"/>
                <w:sz w:val="15"/>
                <w:szCs w:val="15"/>
                <w:highlight w:val="none"/>
                <w:u w:val="none"/>
                <w:lang w:val="en-US" w:eastAsia="zh-CN" w:bidi="ar"/>
              </w:rPr>
              <w:t xml:space="preserve"> 109.89 </w:t>
            </w: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outlineLvl w:val="9"/>
              <w:rPr>
                <w:rFonts w:hint="eastAsia" w:ascii="宋体" w:hAnsi="宋体" w:eastAsia="宋体" w:cs="宋体"/>
                <w:i w:val="0"/>
                <w:iCs w:val="0"/>
                <w:color w:val="000000"/>
                <w:sz w:val="15"/>
                <w:szCs w:val="15"/>
                <w:highlight w:val="none"/>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lang w:val="en-US"/>
              </w:rPr>
            </w:pPr>
            <w:r>
              <w:rPr>
                <w:rFonts w:hint="eastAsia" w:ascii="宋体" w:hAnsi="宋体" w:eastAsia="宋体" w:cs="宋体"/>
                <w:i w:val="0"/>
                <w:iCs w:val="0"/>
                <w:color w:val="000000"/>
                <w:kern w:val="0"/>
                <w:sz w:val="15"/>
                <w:szCs w:val="15"/>
                <w:highlight w:val="none"/>
                <w:u w:val="none"/>
                <w:lang w:val="en-US" w:eastAsia="zh-CN" w:bidi="ar"/>
              </w:rPr>
              <w:t>2023/11/28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宋体" w:hAnsi="宋体" w:eastAsia="宋体" w:cs="宋体"/>
                <w:i w:val="0"/>
                <w:iCs w:val="0"/>
                <w:color w:val="000000"/>
                <w:sz w:val="15"/>
                <w:szCs w:val="15"/>
                <w:highlight w:val="none"/>
                <w:u w:val="none"/>
              </w:rPr>
            </w:pP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小计</w:t>
            </w: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2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outlineLvl w:val="9"/>
              <w:rPr>
                <w:rFonts w:hint="eastAsia" w:ascii="宋体" w:hAnsi="宋体" w:eastAsia="宋体" w:cs="宋体"/>
                <w:i w:val="0"/>
                <w:iCs w:val="0"/>
                <w:color w:val="000000"/>
                <w:sz w:val="15"/>
                <w:szCs w:val="15"/>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outlineLvl w:val="9"/>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color w:val="auto"/>
                <w:kern w:val="0"/>
                <w:sz w:val="15"/>
                <w:szCs w:val="15"/>
                <w:highlight w:val="none"/>
                <w:u w:val="none"/>
                <w:lang w:val="en-US" w:eastAsia="zh-CN" w:bidi="ar"/>
              </w:rPr>
              <w:t xml:space="preserve"> 684.89 </w:t>
            </w: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outlineLvl w:val="9"/>
              <w:rPr>
                <w:rFonts w:hint="eastAsia" w:ascii="宋体" w:hAnsi="宋体" w:eastAsia="宋体" w:cs="宋体"/>
                <w:i w:val="0"/>
                <w:iCs w:val="0"/>
                <w:color w:val="000000"/>
                <w:sz w:val="15"/>
                <w:szCs w:val="15"/>
                <w:highlight w:val="none"/>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宋体" w:hAnsi="宋体" w:eastAsia="宋体" w:cs="宋体"/>
                <w:i w:val="0"/>
                <w:iCs w:val="0"/>
                <w:color w:val="000000"/>
                <w:sz w:val="15"/>
                <w:szCs w:val="15"/>
                <w:highlight w:val="none"/>
                <w:u w:val="none"/>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17</w:t>
            </w:r>
          </w:p>
        </w:tc>
        <w:tc>
          <w:tcPr>
            <w:tcW w:w="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李沧区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 xml:space="preserve"> 125.00 </w:t>
            </w:r>
          </w:p>
        </w:tc>
        <w:tc>
          <w:tcPr>
            <w:tcW w:w="2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青岛联储创新投资有限公司</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outlineLvl w:val="9"/>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color w:val="auto"/>
                <w:kern w:val="0"/>
                <w:sz w:val="15"/>
                <w:szCs w:val="15"/>
                <w:highlight w:val="none"/>
                <w:u w:val="none"/>
                <w:lang w:val="en-US" w:eastAsia="zh-CN" w:bidi="ar"/>
              </w:rPr>
              <w:t xml:space="preserve"> 125.00 </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 xml:space="preserve"> -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0.00%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未发放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7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b/>
                <w:bCs/>
                <w:i w:val="0"/>
                <w:iCs w:val="0"/>
                <w:color w:val="000000"/>
                <w:kern w:val="0"/>
                <w:sz w:val="15"/>
                <w:szCs w:val="15"/>
                <w:highlight w:val="none"/>
                <w:u w:val="none"/>
                <w:lang w:val="en-US" w:eastAsia="zh-CN" w:bidi="ar"/>
              </w:rPr>
              <w:t>合计</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b/>
                <w:bCs/>
                <w:i w:val="0"/>
                <w:iCs w:val="0"/>
                <w:color w:val="000000"/>
                <w:sz w:val="15"/>
                <w:szCs w:val="15"/>
                <w:highlight w:val="none"/>
                <w:u w:val="none"/>
              </w:rPr>
            </w:pPr>
            <w:r>
              <w:rPr>
                <w:rFonts w:hint="eastAsia" w:ascii="宋体" w:hAnsi="宋体" w:eastAsia="宋体" w:cs="宋体"/>
                <w:b/>
                <w:bCs/>
                <w:i w:val="0"/>
                <w:iCs w:val="0"/>
                <w:color w:val="000000"/>
                <w:kern w:val="0"/>
                <w:sz w:val="15"/>
                <w:szCs w:val="15"/>
                <w:highlight w:val="none"/>
                <w:u w:val="none"/>
                <w:lang w:val="en-US" w:eastAsia="zh-CN" w:bidi="ar"/>
              </w:rPr>
              <w:t xml:space="preserve">3,294.90 </w:t>
            </w:r>
          </w:p>
        </w:tc>
        <w:tc>
          <w:tcPr>
            <w:tcW w:w="2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outlineLvl w:val="9"/>
              <w:rPr>
                <w:rFonts w:hint="eastAsia" w:ascii="宋体" w:hAnsi="宋体" w:eastAsia="宋体" w:cs="宋体"/>
                <w:i w:val="0"/>
                <w:iCs w:val="0"/>
                <w:color w:val="000000"/>
                <w:sz w:val="15"/>
                <w:szCs w:val="15"/>
                <w:highlight w:val="none"/>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outlineLvl w:val="9"/>
              <w:rPr>
                <w:rFonts w:hint="eastAsia" w:ascii="宋体" w:hAnsi="宋体" w:eastAsia="宋体" w:cs="宋体"/>
                <w:b/>
                <w:bCs/>
                <w:i w:val="0"/>
                <w:iCs w:val="0"/>
                <w:color w:val="auto"/>
                <w:sz w:val="15"/>
                <w:szCs w:val="15"/>
                <w:highlight w:val="none"/>
                <w:u w:val="none"/>
              </w:rPr>
            </w:pPr>
            <w:r>
              <w:rPr>
                <w:rFonts w:hint="eastAsia" w:ascii="宋体" w:hAnsi="宋体" w:eastAsia="宋体" w:cs="宋体"/>
                <w:b/>
                <w:bCs/>
                <w:i w:val="0"/>
                <w:iCs w:val="0"/>
                <w:color w:val="auto"/>
                <w:kern w:val="0"/>
                <w:sz w:val="15"/>
                <w:szCs w:val="15"/>
                <w:highlight w:val="none"/>
                <w:u w:val="none"/>
                <w:lang w:val="en-US" w:eastAsia="zh-CN" w:bidi="ar"/>
              </w:rPr>
              <w:t xml:space="preserve"> 3,294.89 </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outlineLvl w:val="9"/>
              <w:rPr>
                <w:rFonts w:hint="eastAsia" w:ascii="宋体" w:hAnsi="宋体" w:eastAsia="宋体" w:cs="宋体"/>
                <w:b/>
                <w:bCs/>
                <w:i w:val="0"/>
                <w:iCs w:val="0"/>
                <w:color w:val="000000"/>
                <w:sz w:val="15"/>
                <w:szCs w:val="15"/>
                <w:highlight w:val="none"/>
                <w:u w:val="none"/>
              </w:rPr>
            </w:pPr>
            <w:r>
              <w:rPr>
                <w:rFonts w:hint="eastAsia" w:ascii="宋体" w:hAnsi="宋体" w:eastAsia="宋体" w:cs="宋体"/>
                <w:b/>
                <w:bCs/>
                <w:i w:val="0"/>
                <w:iCs w:val="0"/>
                <w:color w:val="000000"/>
                <w:kern w:val="0"/>
                <w:sz w:val="15"/>
                <w:szCs w:val="15"/>
                <w:highlight w:val="none"/>
                <w:u w:val="none"/>
                <w:lang w:val="en-US" w:eastAsia="zh-CN" w:bidi="ar"/>
              </w:rPr>
              <w:t xml:space="preserve"> 3,169.89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outlineLvl w:val="9"/>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kern w:val="0"/>
                <w:sz w:val="15"/>
                <w:szCs w:val="15"/>
                <w:highlight w:val="none"/>
                <w:u w:val="none"/>
                <w:lang w:val="en-US" w:eastAsia="zh-CN" w:bidi="ar"/>
              </w:rPr>
              <w:t>96.21%</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outlineLvl w:val="9"/>
              <w:rPr>
                <w:rFonts w:hint="eastAsia" w:ascii="宋体" w:hAnsi="宋体" w:eastAsia="宋体" w:cs="宋体"/>
                <w:i w:val="0"/>
                <w:iCs w:val="0"/>
                <w:color w:val="000000"/>
                <w:kern w:val="0"/>
                <w:sz w:val="15"/>
                <w:szCs w:val="15"/>
                <w:highlight w:val="none"/>
                <w:u w:val="none"/>
                <w:lang w:val="en-US" w:eastAsia="zh-CN" w:bidi="ar"/>
              </w:rPr>
            </w:pPr>
          </w:p>
        </w:tc>
      </w:tr>
      <w:bookmarkEnd w:id="37"/>
    </w:tbl>
    <w:p>
      <w:pPr>
        <w:keepNext w:val="0"/>
        <w:keepLines w:val="0"/>
        <w:pageBreakBefore w:val="0"/>
        <w:widowControl w:val="0"/>
        <w:suppressAutoHyphens/>
        <w:kinsoku/>
        <w:wordWrap/>
        <w:overflowPunct w:val="0"/>
        <w:topLinePunct w:val="0"/>
        <w:autoSpaceDE/>
        <w:autoSpaceDN/>
        <w:bidi w:val="0"/>
        <w:adjustRightInd w:val="0"/>
        <w:snapToGrid w:val="0"/>
        <w:spacing w:line="560" w:lineRule="exact"/>
        <w:ind w:firstLine="640" w:firstLineChars="200"/>
        <w:jc w:val="both"/>
        <w:textAlignment w:val="auto"/>
        <w:outlineLvl w:val="1"/>
        <w:rPr>
          <w:rFonts w:hint="eastAsia" w:ascii="楷体_GB2312" w:hAnsi="楷体_GB2312" w:eastAsia="楷体_GB2312" w:cs="楷体_GB2312"/>
          <w:color w:val="auto"/>
          <w:sz w:val="32"/>
          <w:szCs w:val="32"/>
          <w:highlight w:val="none"/>
          <w:lang w:val="en-US" w:eastAsia="zh-CN"/>
        </w:rPr>
      </w:pPr>
      <w:bookmarkStart w:id="38" w:name="_Toc12874"/>
      <w:bookmarkStart w:id="39" w:name="_Toc22874"/>
      <w:bookmarkStart w:id="40" w:name="_Toc7401"/>
      <w:bookmarkStart w:id="41" w:name="_Toc20169"/>
      <w:bookmarkStart w:id="42" w:name="_Toc25334"/>
      <w:bookmarkStart w:id="43" w:name="_Toc24694"/>
      <w:bookmarkStart w:id="44" w:name="_Toc916721629"/>
      <w:bookmarkStart w:id="45" w:name="_Toc9907"/>
      <w:bookmarkStart w:id="46" w:name="_Toc10692"/>
      <w:bookmarkStart w:id="47" w:name="_Toc28014"/>
      <w:r>
        <w:rPr>
          <w:rFonts w:hint="eastAsia" w:ascii="楷体_GB2312" w:hAnsi="楷体_GB2312" w:eastAsia="楷体_GB2312" w:cs="楷体_GB2312"/>
          <w:color w:val="auto"/>
          <w:sz w:val="32"/>
          <w:szCs w:val="32"/>
          <w:highlight w:val="none"/>
          <w:lang w:val="en-US" w:eastAsia="zh-CN"/>
        </w:rPr>
        <w:t>（四）政策绩效目标</w:t>
      </w:r>
      <w:bookmarkEnd w:id="38"/>
      <w:bookmarkEnd w:id="39"/>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1.总体目标</w:t>
      </w:r>
    </w:p>
    <w:p>
      <w:pPr>
        <w:spacing w:line="560" w:lineRule="exact"/>
        <w:ind w:firstLine="640" w:firstLineChars="200"/>
        <w:outlineLvl w:val="9"/>
        <w:rPr>
          <w:rFonts w:hint="eastAsia" w:ascii="仿宋_GB2312" w:eastAsia="仿宋_GB2312"/>
          <w:bCs/>
          <w:color w:val="000000"/>
          <w:sz w:val="32"/>
          <w:szCs w:val="32"/>
          <w:highlight w:val="none"/>
        </w:rPr>
      </w:pPr>
      <w:r>
        <w:rPr>
          <w:rFonts w:hint="eastAsia" w:ascii="仿宋_GB2312" w:eastAsia="仿宋_GB2312"/>
          <w:bCs/>
          <w:color w:val="000000"/>
          <w:sz w:val="32"/>
          <w:szCs w:val="32"/>
          <w:highlight w:val="none"/>
        </w:rPr>
        <w:t>通过设立</w:t>
      </w:r>
      <w:r>
        <w:rPr>
          <w:rFonts w:hint="default" w:ascii="仿宋_GB2312" w:eastAsia="仿宋_GB2312"/>
          <w:bCs/>
          <w:color w:val="000000"/>
          <w:sz w:val="32"/>
          <w:szCs w:val="32"/>
          <w:highlight w:val="none"/>
        </w:rPr>
        <w:t>促进金融资源聚集补助</w:t>
      </w:r>
      <w:r>
        <w:rPr>
          <w:rFonts w:hint="eastAsia" w:ascii="仿宋_GB2312" w:eastAsia="仿宋_GB2312"/>
          <w:bCs/>
          <w:color w:val="000000"/>
          <w:sz w:val="32"/>
          <w:szCs w:val="32"/>
          <w:highlight w:val="none"/>
        </w:rPr>
        <w:t>资金，进一步调动驻青金融监管机构及其他各类金融机构和广大金融工作者的积极性，激发全市金融创新活力，推动形成一批</w:t>
      </w:r>
      <w:r>
        <w:rPr>
          <w:rFonts w:hint="default" w:ascii="仿宋_GB2312" w:eastAsia="仿宋_GB2312"/>
          <w:bCs/>
          <w:color w:val="000000"/>
          <w:sz w:val="32"/>
          <w:szCs w:val="32"/>
          <w:highlight w:val="none"/>
        </w:rPr>
        <w:t>金融招商</w:t>
      </w:r>
      <w:r>
        <w:rPr>
          <w:rFonts w:hint="eastAsia" w:ascii="仿宋_GB2312" w:eastAsia="仿宋_GB2312"/>
          <w:bCs/>
          <w:color w:val="000000"/>
          <w:sz w:val="32"/>
          <w:szCs w:val="32"/>
          <w:highlight w:val="none"/>
        </w:rPr>
        <w:t>创新成果，引领青岛市金融行业深化改革和发展转型，助推青岛市财富管理金融综合改革试验区建设。</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2.年度绩效目标</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eastAsia="仿宋_GB2312"/>
          <w:bCs/>
          <w:color w:val="000000"/>
          <w:sz w:val="32"/>
          <w:szCs w:val="32"/>
          <w:highlight w:val="none"/>
        </w:rPr>
      </w:pPr>
      <w:bookmarkStart w:id="48" w:name="_Toc6017"/>
      <w:r>
        <w:rPr>
          <w:rFonts w:hint="default" w:ascii="仿宋_GB2312" w:eastAsia="仿宋_GB2312"/>
          <w:b w:val="0"/>
          <w:bCs/>
          <w:color w:val="000000"/>
          <w:sz w:val="32"/>
          <w:szCs w:val="32"/>
          <w:highlight w:val="none"/>
        </w:rPr>
        <w:t>通过</w:t>
      </w:r>
      <w:r>
        <w:rPr>
          <w:rFonts w:hint="default" w:ascii="仿宋_GB2312" w:eastAsia="仿宋_GB2312"/>
          <w:bCs/>
          <w:color w:val="000000"/>
          <w:sz w:val="32"/>
          <w:szCs w:val="32"/>
          <w:highlight w:val="none"/>
        </w:rPr>
        <w:t>新设立或新引进法人金融机构等奖补</w:t>
      </w:r>
      <w:r>
        <w:rPr>
          <w:rFonts w:hint="eastAsia" w:ascii="仿宋_GB2312" w:eastAsia="仿宋_GB2312"/>
          <w:bCs/>
          <w:color w:val="000000"/>
          <w:sz w:val="32"/>
          <w:szCs w:val="32"/>
          <w:highlight w:val="none"/>
        </w:rPr>
        <w:t>资金用于奖励</w:t>
      </w:r>
      <w:r>
        <w:rPr>
          <w:rFonts w:hint="default" w:ascii="仿宋_GB2312" w:eastAsia="仿宋_GB2312"/>
          <w:bCs/>
          <w:color w:val="000000"/>
          <w:sz w:val="32"/>
          <w:szCs w:val="32"/>
          <w:highlight w:val="none"/>
        </w:rPr>
        <w:t>新引进或者新设立的持牌金融机构或分支机构及项目,</w:t>
      </w:r>
      <w:r>
        <w:rPr>
          <w:rFonts w:hint="eastAsia" w:ascii="仿宋_GB2312" w:eastAsia="仿宋_GB2312"/>
          <w:bCs/>
          <w:color w:val="000000"/>
          <w:sz w:val="32"/>
          <w:szCs w:val="32"/>
          <w:highlight w:val="none"/>
        </w:rPr>
        <w:t>进一步</w:t>
      </w:r>
      <w:r>
        <w:rPr>
          <w:rFonts w:hint="default" w:ascii="仿宋_GB2312" w:eastAsia="仿宋_GB2312"/>
          <w:bCs/>
          <w:color w:val="000000"/>
          <w:sz w:val="32"/>
          <w:szCs w:val="32"/>
          <w:highlight w:val="none"/>
        </w:rPr>
        <w:t>聚集优质金融资源,助力</w:t>
      </w:r>
      <w:r>
        <w:rPr>
          <w:rFonts w:hint="eastAsia" w:ascii="仿宋_GB2312" w:eastAsia="仿宋_GB2312"/>
          <w:bCs/>
          <w:color w:val="000000"/>
          <w:sz w:val="32"/>
          <w:szCs w:val="32"/>
          <w:highlight w:val="none"/>
        </w:rPr>
        <w:t>建设国际财富管理中心、全球创投风投中心、未来金融科技中心和现代化国际航运贸易金融创新中心目标，推动青岛金融业实现高质量发展。</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default" w:ascii="仿宋_GB2312" w:eastAsia="仿宋_GB2312"/>
          <w:bCs/>
          <w:color w:val="000000"/>
          <w:sz w:val="32"/>
          <w:szCs w:val="32"/>
          <w:highlight w:val="none"/>
          <w:lang w:val="en-US" w:eastAsia="zh-CN"/>
        </w:rPr>
      </w:pPr>
      <w:r>
        <w:rPr>
          <w:rFonts w:hint="eastAsia" w:ascii="仿宋_GB2312" w:eastAsia="仿宋_GB2312"/>
          <w:bCs/>
          <w:color w:val="000000"/>
          <w:sz w:val="32"/>
          <w:szCs w:val="32"/>
          <w:highlight w:val="none"/>
        </w:rPr>
        <w:t>新设立或新引进的金融机构等补助资金，补助机构数量10家，补助机构新增注册资本总额≥20亿元；现有法人金融机构增资补助资金，补助机构数量7家，补助机构新增注册资本总额≥40亿元。</w:t>
      </w:r>
    </w:p>
    <w:p>
      <w:pPr>
        <w:keepNext w:val="0"/>
        <w:keepLines w:val="0"/>
        <w:pageBreakBefore w:val="0"/>
        <w:widowControl w:val="0"/>
        <w:suppressAutoHyphens/>
        <w:kinsoku/>
        <w:wordWrap/>
        <w:overflowPunct w:val="0"/>
        <w:topLinePunct w:val="0"/>
        <w:autoSpaceDE/>
        <w:autoSpaceDN/>
        <w:bidi w:val="0"/>
        <w:adjustRightInd w:val="0"/>
        <w:snapToGrid w:val="0"/>
        <w:spacing w:line="560" w:lineRule="exact"/>
        <w:ind w:firstLine="640" w:firstLineChars="200"/>
        <w:jc w:val="both"/>
        <w:textAlignment w:val="auto"/>
        <w:outlineLvl w:val="0"/>
        <w:rPr>
          <w:rFonts w:hint="eastAsia" w:ascii="Times New Roman" w:hAnsi="Times New Roman" w:eastAsia="黑体" w:cs="Times New Roman"/>
          <w:color w:val="auto"/>
          <w:sz w:val="32"/>
          <w:szCs w:val="32"/>
          <w:highlight w:val="none"/>
        </w:rPr>
      </w:pPr>
      <w:bookmarkStart w:id="49" w:name="_Toc25023"/>
      <w:r>
        <w:rPr>
          <w:rFonts w:hint="eastAsia" w:ascii="Times New Roman" w:hAnsi="Times New Roman" w:eastAsia="黑体" w:cs="Times New Roman"/>
          <w:color w:val="auto"/>
          <w:sz w:val="32"/>
          <w:szCs w:val="32"/>
          <w:highlight w:val="none"/>
        </w:rPr>
        <w:t>二、</w:t>
      </w:r>
      <w:r>
        <w:rPr>
          <w:rFonts w:hint="eastAsia" w:ascii="Times New Roman" w:hAnsi="Times New Roman" w:eastAsia="黑体" w:cs="Times New Roman"/>
          <w:color w:val="auto"/>
          <w:sz w:val="32"/>
          <w:szCs w:val="32"/>
          <w:highlight w:val="none"/>
          <w:lang w:val="en-US" w:eastAsia="zh-CN"/>
        </w:rPr>
        <w:t>绩效</w:t>
      </w:r>
      <w:r>
        <w:rPr>
          <w:rFonts w:hint="eastAsia" w:ascii="Times New Roman" w:hAnsi="Times New Roman" w:eastAsia="黑体" w:cs="Times New Roman"/>
          <w:color w:val="auto"/>
          <w:sz w:val="32"/>
          <w:szCs w:val="32"/>
          <w:highlight w:val="none"/>
        </w:rPr>
        <w:t>评价工作</w:t>
      </w:r>
      <w:r>
        <w:rPr>
          <w:rFonts w:hint="eastAsia" w:ascii="Times New Roman" w:hAnsi="Times New Roman" w:eastAsia="黑体" w:cs="Times New Roman"/>
          <w:color w:val="auto"/>
          <w:sz w:val="32"/>
          <w:szCs w:val="32"/>
          <w:highlight w:val="none"/>
          <w:lang w:val="en-US" w:eastAsia="zh-CN"/>
        </w:rPr>
        <w:t>开展</w:t>
      </w:r>
      <w:r>
        <w:rPr>
          <w:rFonts w:hint="eastAsia" w:ascii="Times New Roman" w:hAnsi="Times New Roman" w:eastAsia="黑体" w:cs="Times New Roman"/>
          <w:color w:val="auto"/>
          <w:sz w:val="32"/>
          <w:szCs w:val="32"/>
          <w:highlight w:val="none"/>
        </w:rPr>
        <w:t>情况</w:t>
      </w:r>
      <w:bookmarkEnd w:id="40"/>
      <w:bookmarkEnd w:id="41"/>
      <w:bookmarkEnd w:id="42"/>
      <w:bookmarkEnd w:id="43"/>
      <w:bookmarkEnd w:id="44"/>
      <w:bookmarkEnd w:id="45"/>
      <w:bookmarkEnd w:id="48"/>
      <w:bookmarkEnd w:id="49"/>
    </w:p>
    <w:p>
      <w:pPr>
        <w:keepNext w:val="0"/>
        <w:keepLines w:val="0"/>
        <w:pageBreakBefore w:val="0"/>
        <w:widowControl w:val="0"/>
        <w:suppressAutoHyphens/>
        <w:kinsoku/>
        <w:wordWrap/>
        <w:overflowPunct w:val="0"/>
        <w:topLinePunct w:val="0"/>
        <w:autoSpaceDE/>
        <w:autoSpaceDN/>
        <w:bidi w:val="0"/>
        <w:adjustRightInd w:val="0"/>
        <w:snapToGrid w:val="0"/>
        <w:spacing w:line="560" w:lineRule="exact"/>
        <w:ind w:firstLine="640" w:firstLineChars="200"/>
        <w:jc w:val="both"/>
        <w:textAlignment w:val="auto"/>
        <w:outlineLvl w:val="1"/>
        <w:rPr>
          <w:rFonts w:hint="eastAsia" w:ascii="楷体_GB2312" w:hAnsi="楷体_GB2312" w:eastAsia="楷体_GB2312" w:cs="楷体_GB2312"/>
          <w:color w:val="auto"/>
          <w:sz w:val="32"/>
          <w:szCs w:val="32"/>
          <w:highlight w:val="none"/>
          <w:lang w:val="en-US" w:eastAsia="zh-CN"/>
        </w:rPr>
      </w:pPr>
      <w:bookmarkStart w:id="50" w:name="_Toc31398"/>
      <w:bookmarkStart w:id="51" w:name="_Toc4558"/>
      <w:bookmarkStart w:id="52" w:name="_Toc15042"/>
      <w:bookmarkStart w:id="53" w:name="_Toc9728"/>
      <w:bookmarkStart w:id="54" w:name="_Toc6071"/>
      <w:bookmarkStart w:id="55" w:name="_Toc10707"/>
      <w:bookmarkStart w:id="56" w:name="_Toc62673393"/>
      <w:bookmarkStart w:id="57" w:name="_Toc24575"/>
      <w:bookmarkStart w:id="58" w:name="_Toc30402"/>
      <w:bookmarkStart w:id="59" w:name="_Toc27090"/>
      <w:bookmarkStart w:id="60" w:name="_Toc1628465867"/>
      <w:r>
        <w:rPr>
          <w:rFonts w:hint="eastAsia" w:ascii="楷体_GB2312" w:hAnsi="楷体_GB2312" w:eastAsia="楷体_GB2312" w:cs="楷体_GB2312"/>
          <w:color w:val="auto"/>
          <w:sz w:val="32"/>
          <w:szCs w:val="32"/>
          <w:highlight w:val="none"/>
          <w:lang w:val="en-US" w:eastAsia="zh-CN"/>
        </w:rPr>
        <w:t>（一）绩效评价目的、对象和范围</w:t>
      </w:r>
      <w:bookmarkEnd w:id="50"/>
      <w:bookmarkEnd w:id="51"/>
      <w:bookmarkEnd w:id="52"/>
      <w:bookmarkEnd w:id="53"/>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9"/>
        <w:rPr>
          <w:rFonts w:hint="eastAsia" w:ascii="仿宋_GB2312" w:eastAsia="仿宋_GB2312"/>
          <w:b w:val="0"/>
          <w:bCs w:val="0"/>
          <w:color w:val="auto"/>
          <w:sz w:val="32"/>
          <w:szCs w:val="32"/>
          <w:highlight w:val="none"/>
          <w:lang w:val="en-US" w:eastAsia="zh-CN"/>
        </w:rPr>
      </w:pPr>
      <w:r>
        <w:rPr>
          <w:rFonts w:hint="eastAsia" w:ascii="仿宋_GB2312" w:eastAsia="仿宋_GB2312"/>
          <w:b/>
          <w:bCs/>
          <w:color w:val="auto"/>
          <w:sz w:val="32"/>
          <w:szCs w:val="32"/>
          <w:highlight w:val="none"/>
          <w:lang w:val="en-US" w:eastAsia="zh-CN"/>
        </w:rPr>
        <w:t>1.评价目的。</w:t>
      </w:r>
      <w:r>
        <w:rPr>
          <w:rFonts w:hint="eastAsia" w:ascii="仿宋_GB2312" w:eastAsia="仿宋_GB2312"/>
          <w:b w:val="0"/>
          <w:bCs w:val="0"/>
          <w:color w:val="auto"/>
          <w:sz w:val="32"/>
          <w:szCs w:val="32"/>
          <w:highlight w:val="none"/>
          <w:lang w:val="en-US" w:eastAsia="zh-CN"/>
        </w:rPr>
        <w:t>围绕政策制定、政策实施、政策效果三个方面对促进金融资源聚集政策进行综合评价，全面了解资金使用绩效。</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9"/>
        <w:rPr>
          <w:rFonts w:ascii="仿宋_GB2312" w:eastAsia="仿宋_GB2312"/>
          <w:color w:val="auto"/>
          <w:sz w:val="32"/>
          <w:szCs w:val="32"/>
          <w:highlight w:val="none"/>
        </w:rPr>
      </w:pPr>
      <w:r>
        <w:rPr>
          <w:rFonts w:hint="eastAsia" w:ascii="仿宋_GB2312" w:eastAsia="仿宋_GB2312"/>
          <w:b/>
          <w:bCs/>
          <w:color w:val="auto"/>
          <w:sz w:val="32"/>
          <w:szCs w:val="32"/>
          <w:highlight w:val="none"/>
          <w:lang w:val="en-US" w:eastAsia="zh-CN"/>
        </w:rPr>
        <w:t>2.评价对象。</w:t>
      </w:r>
      <w:r>
        <w:rPr>
          <w:rFonts w:hint="eastAsia" w:ascii="仿宋_GB2312" w:eastAsia="仿宋_GB2312"/>
          <w:b w:val="0"/>
          <w:bCs w:val="0"/>
          <w:color w:val="auto"/>
          <w:sz w:val="32"/>
          <w:szCs w:val="32"/>
          <w:highlight w:val="none"/>
          <w:lang w:val="en-US" w:eastAsia="zh-CN"/>
        </w:rPr>
        <w:t>促进金融资源聚集政策</w:t>
      </w:r>
      <w:r>
        <w:rPr>
          <w:rFonts w:hint="eastAsia" w:ascii="仿宋_GB2312" w:eastAsia="仿宋_GB2312"/>
          <w:color w:val="auto"/>
          <w:sz w:val="32"/>
          <w:szCs w:val="32"/>
          <w:highlight w:val="none"/>
        </w:rPr>
        <w:t>。</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b/>
          <w:bCs/>
          <w:color w:val="auto"/>
          <w:sz w:val="32"/>
          <w:szCs w:val="32"/>
          <w:highlight w:val="none"/>
          <w:lang w:val="en-US" w:eastAsia="zh-CN"/>
        </w:rPr>
        <w:t>3.评价范围。</w:t>
      </w:r>
      <w:r>
        <w:rPr>
          <w:rFonts w:hint="eastAsia" w:ascii="仿宋_GB2312" w:eastAsia="仿宋_GB2312"/>
          <w:color w:val="auto"/>
          <w:sz w:val="32"/>
          <w:szCs w:val="32"/>
          <w:highlight w:val="none"/>
          <w:lang w:val="en-US" w:eastAsia="zh-CN"/>
        </w:rPr>
        <w:t>评价对象涉及的政策制定、实施管理及效果，现场评价覆盖项目单位青岛市金融监督管理局，项目预算覆盖率100%，社会调查覆盖评价政策受益对象。</w:t>
      </w:r>
    </w:p>
    <w:p>
      <w:pPr>
        <w:keepNext w:val="0"/>
        <w:keepLines w:val="0"/>
        <w:pageBreakBefore w:val="0"/>
        <w:widowControl w:val="0"/>
        <w:suppressAutoHyphens/>
        <w:kinsoku/>
        <w:wordWrap/>
        <w:overflowPunct w:val="0"/>
        <w:topLinePunct w:val="0"/>
        <w:autoSpaceDE/>
        <w:autoSpaceDN/>
        <w:bidi w:val="0"/>
        <w:adjustRightInd w:val="0"/>
        <w:snapToGrid w:val="0"/>
        <w:spacing w:line="560" w:lineRule="exact"/>
        <w:ind w:firstLine="640" w:firstLineChars="200"/>
        <w:jc w:val="both"/>
        <w:textAlignment w:val="auto"/>
        <w:outlineLvl w:val="1"/>
        <w:rPr>
          <w:rFonts w:hint="default" w:ascii="楷体_GB2312" w:hAnsi="楷体_GB2312" w:eastAsia="楷体_GB2312" w:cs="楷体_GB2312"/>
          <w:color w:val="auto"/>
          <w:sz w:val="32"/>
          <w:szCs w:val="32"/>
          <w:highlight w:val="none"/>
          <w:lang w:val="en-US" w:eastAsia="zh-CN"/>
        </w:rPr>
      </w:pPr>
      <w:bookmarkStart w:id="61" w:name="_Toc19030"/>
      <w:bookmarkStart w:id="62" w:name="_Toc3327"/>
      <w:r>
        <w:rPr>
          <w:rFonts w:hint="eastAsia" w:ascii="楷体_GB2312" w:hAnsi="楷体_GB2312" w:eastAsia="楷体_GB2312" w:cs="楷体_GB2312"/>
          <w:color w:val="auto"/>
          <w:sz w:val="32"/>
          <w:szCs w:val="32"/>
          <w:highlight w:val="none"/>
          <w:lang w:val="en-US" w:eastAsia="zh-CN"/>
        </w:rPr>
        <w:t>（二）评价思路、评价重点、评价指标体系和评价标准</w:t>
      </w:r>
      <w:bookmarkEnd w:id="61"/>
      <w:bookmarkEnd w:id="62"/>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b/>
          <w:bCs/>
          <w:color w:val="auto"/>
          <w:sz w:val="32"/>
          <w:szCs w:val="32"/>
          <w:highlight w:val="none"/>
          <w:lang w:val="en-US" w:eastAsia="zh-CN"/>
        </w:rPr>
        <w:t>1.评价思路。</w:t>
      </w:r>
      <w:r>
        <w:rPr>
          <w:rFonts w:hint="eastAsia" w:ascii="仿宋_GB2312" w:eastAsia="仿宋_GB2312"/>
          <w:color w:val="auto"/>
          <w:sz w:val="32"/>
          <w:szCs w:val="32"/>
          <w:highlight w:val="none"/>
          <w:lang w:val="en-US" w:eastAsia="zh-CN"/>
        </w:rPr>
        <w:t>通过对影响</w:t>
      </w:r>
      <w:r>
        <w:rPr>
          <w:rFonts w:hint="eastAsia" w:ascii="仿宋_GB2312" w:hAnsi="Times New Roman" w:eastAsia="仿宋_GB2312" w:cs="Times New Roman"/>
          <w:color w:val="auto"/>
          <w:sz w:val="32"/>
          <w:szCs w:val="32"/>
          <w:highlight w:val="none"/>
          <w:lang w:val="en-US" w:eastAsia="zh-CN"/>
        </w:rPr>
        <w:t>政策制定和实施的</w:t>
      </w:r>
      <w:r>
        <w:rPr>
          <w:rFonts w:hint="eastAsia" w:ascii="仿宋_GB2312" w:eastAsia="仿宋_GB2312"/>
          <w:color w:val="auto"/>
          <w:sz w:val="32"/>
          <w:szCs w:val="32"/>
          <w:highlight w:val="none"/>
          <w:lang w:val="en-US" w:eastAsia="zh-CN"/>
        </w:rPr>
        <w:t>条件和因素进行分析，制定绩效评价指标体系和具体评价方案，系统评价政策运行产生的结果和效应，提出改进政策执行和管理的建议。</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9"/>
        <w:rPr>
          <w:rFonts w:hint="eastAsia" w:ascii="仿宋_GB2312" w:eastAsia="仿宋_GB2312"/>
          <w:b w:val="0"/>
          <w:bCs w:val="0"/>
          <w:color w:val="auto"/>
          <w:sz w:val="32"/>
          <w:szCs w:val="32"/>
          <w:highlight w:val="none"/>
          <w:lang w:val="en-US" w:eastAsia="zh-CN"/>
        </w:rPr>
      </w:pPr>
      <w:r>
        <w:rPr>
          <w:rFonts w:hint="eastAsia" w:ascii="仿宋_GB2312" w:eastAsia="仿宋_GB2312"/>
          <w:b/>
          <w:bCs/>
          <w:color w:val="auto"/>
          <w:sz w:val="32"/>
          <w:szCs w:val="32"/>
          <w:highlight w:val="none"/>
          <w:lang w:val="en-US" w:eastAsia="zh-CN"/>
        </w:rPr>
        <w:t>2.评价重点。一是</w:t>
      </w:r>
      <w:r>
        <w:rPr>
          <w:rFonts w:hint="eastAsia" w:ascii="仿宋_GB2312" w:eastAsia="仿宋_GB2312"/>
          <w:b w:val="0"/>
          <w:bCs w:val="0"/>
          <w:color w:val="auto"/>
          <w:sz w:val="32"/>
          <w:szCs w:val="32"/>
          <w:highlight w:val="none"/>
          <w:lang w:val="en-US" w:eastAsia="zh-CN"/>
        </w:rPr>
        <w:t>促进金融资源聚集政策作为支持金融业发展政策，发放时机选择及有效期限是否合理、准确；</w:t>
      </w:r>
      <w:r>
        <w:rPr>
          <w:rFonts w:hint="eastAsia" w:ascii="仿宋_GB2312" w:eastAsia="仿宋_GB2312"/>
          <w:b/>
          <w:bCs/>
          <w:color w:val="auto"/>
          <w:sz w:val="32"/>
          <w:szCs w:val="32"/>
          <w:highlight w:val="none"/>
          <w:lang w:val="en-US" w:eastAsia="zh-CN"/>
        </w:rPr>
        <w:t>二是</w:t>
      </w:r>
      <w:r>
        <w:rPr>
          <w:rFonts w:hint="eastAsia" w:ascii="仿宋_GB2312" w:eastAsia="仿宋_GB2312"/>
          <w:b w:val="0"/>
          <w:bCs w:val="0"/>
          <w:color w:val="auto"/>
          <w:sz w:val="32"/>
          <w:szCs w:val="32"/>
          <w:highlight w:val="none"/>
          <w:lang w:val="en-US" w:eastAsia="zh-CN"/>
        </w:rPr>
        <w:t>确定补助额度考虑的因素，是否精准适度;</w:t>
      </w:r>
      <w:r>
        <w:rPr>
          <w:rFonts w:hint="eastAsia" w:ascii="仿宋_GB2312" w:eastAsia="仿宋_GB2312"/>
          <w:b/>
          <w:bCs/>
          <w:color w:val="auto"/>
          <w:sz w:val="32"/>
          <w:szCs w:val="32"/>
          <w:highlight w:val="none"/>
          <w:lang w:val="en-US" w:eastAsia="zh-CN"/>
        </w:rPr>
        <w:t>三是</w:t>
      </w:r>
      <w:r>
        <w:rPr>
          <w:rFonts w:hint="eastAsia" w:ascii="仿宋_GB2312" w:eastAsia="仿宋_GB2312"/>
          <w:b w:val="0"/>
          <w:bCs w:val="0"/>
          <w:color w:val="auto"/>
          <w:sz w:val="32"/>
          <w:szCs w:val="32"/>
          <w:highlight w:val="none"/>
          <w:lang w:val="en-US" w:eastAsia="zh-CN"/>
        </w:rPr>
        <w:t>补助政策的申请资料和办理流程是否规范、严谨;</w:t>
      </w:r>
      <w:r>
        <w:rPr>
          <w:rFonts w:hint="eastAsia" w:ascii="仿宋_GB2312" w:eastAsia="仿宋_GB2312"/>
          <w:b/>
          <w:bCs/>
          <w:color w:val="auto"/>
          <w:sz w:val="32"/>
          <w:szCs w:val="32"/>
          <w:highlight w:val="none"/>
          <w:lang w:val="en-US" w:eastAsia="zh-CN"/>
        </w:rPr>
        <w:t>四是</w:t>
      </w:r>
      <w:r>
        <w:rPr>
          <w:rFonts w:hint="eastAsia" w:ascii="仿宋_GB2312" w:eastAsia="仿宋_GB2312"/>
          <w:b w:val="0"/>
          <w:bCs w:val="0"/>
          <w:color w:val="auto"/>
          <w:sz w:val="32"/>
          <w:szCs w:val="32"/>
          <w:highlight w:val="none"/>
          <w:lang w:val="en-US" w:eastAsia="zh-CN"/>
        </w:rPr>
        <w:t>补助政策促进金融资源聚集作用。</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9"/>
        <w:rPr>
          <w:rFonts w:hint="eastAsia" w:ascii="仿宋_GB2312" w:eastAsia="仿宋_GB2312"/>
          <w:color w:val="auto"/>
          <w:sz w:val="32"/>
          <w:szCs w:val="32"/>
          <w:highlight w:val="none"/>
          <w:lang w:val="en-US" w:eastAsia="zh-CN"/>
        </w:rPr>
      </w:pPr>
      <w:bookmarkStart w:id="63" w:name="_Toc30534"/>
      <w:bookmarkStart w:id="64" w:name="_Toc25209"/>
      <w:r>
        <w:rPr>
          <w:rFonts w:hint="eastAsia" w:ascii="仿宋_GB2312" w:eastAsia="仿宋_GB2312"/>
          <w:b/>
          <w:bCs/>
          <w:color w:val="auto"/>
          <w:sz w:val="32"/>
          <w:szCs w:val="32"/>
          <w:highlight w:val="none"/>
          <w:lang w:val="en-US" w:eastAsia="zh-CN"/>
        </w:rPr>
        <w:t>3.评价指标体系和评价标准。</w:t>
      </w:r>
      <w:r>
        <w:rPr>
          <w:rFonts w:hint="eastAsia" w:ascii="仿宋_GB2312" w:eastAsia="仿宋_GB2312"/>
          <w:color w:val="auto"/>
          <w:sz w:val="32"/>
          <w:szCs w:val="32"/>
          <w:highlight w:val="none"/>
          <w:lang w:val="en-US" w:eastAsia="zh-CN"/>
        </w:rPr>
        <w:t>从政策制定、政策实施、政策效果3个维度制定绩效评价指标体系，通过权重设计聚焦于政策实施效果，主要采用资料核查、社会调查的方式进行证据收集。</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（1）政策制定情况（20分）。包括政策设立、政策目标和资金安排3个二级指标，重点关注政策前期论证是否充分、绩效目标设置是否科学合理；补助额度是否科学、合理、精准适度。</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（2）政策实施情况（20分）。包括资金管理和保障机制2个二级指标，重点关注资金保障及执行，实施过程监管制度及政策实施存在的风险。</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eastAsia="仿宋_GB2312" w:cs="Times New Roman"/>
          <w:color w:val="auto"/>
          <w:sz w:val="32"/>
          <w:szCs w:val="32"/>
          <w:highlight w:val="none"/>
          <w:lang w:val="en-US" w:eastAsia="zh-CN"/>
        </w:rPr>
      </w:pPr>
      <w:r>
        <w:rPr>
          <w:rFonts w:hint="eastAsia" w:ascii="仿宋_GB2312" w:eastAsia="仿宋_GB2312"/>
          <w:color w:val="auto"/>
          <w:sz w:val="32"/>
          <w:szCs w:val="32"/>
          <w:highlight w:val="none"/>
          <w:lang w:val="en-US" w:eastAsia="zh-CN"/>
        </w:rPr>
        <w:t>（3）</w:t>
      </w:r>
      <w:r>
        <w:rPr>
          <w:rFonts w:hint="eastAsia" w:ascii="仿宋_GB2312" w:hAnsi="Times New Roman" w:eastAsia="仿宋_GB2312" w:cs="Times New Roman"/>
          <w:color w:val="auto"/>
          <w:sz w:val="32"/>
          <w:szCs w:val="32"/>
          <w:highlight w:val="none"/>
          <w:lang w:val="en-US" w:eastAsia="zh-CN"/>
        </w:rPr>
        <w:t>政策效果情况</w:t>
      </w:r>
      <w:r>
        <w:rPr>
          <w:rFonts w:hint="eastAsia" w:ascii="仿宋_GB2312" w:eastAsia="仿宋_GB2312"/>
          <w:color w:val="auto"/>
          <w:sz w:val="32"/>
          <w:szCs w:val="32"/>
          <w:highlight w:val="none"/>
          <w:lang w:val="en-US" w:eastAsia="zh-CN"/>
        </w:rPr>
        <w:t>（60分）</w:t>
      </w:r>
      <w:r>
        <w:rPr>
          <w:rFonts w:hint="eastAsia" w:ascii="仿宋_GB2312" w:hAnsi="Times New Roman" w:eastAsia="仿宋_GB2312" w:cs="Times New Roman"/>
          <w:color w:val="auto"/>
          <w:sz w:val="32"/>
          <w:szCs w:val="32"/>
          <w:highlight w:val="none"/>
          <w:lang w:val="en-US" w:eastAsia="zh-CN"/>
        </w:rPr>
        <w:t>。</w:t>
      </w:r>
      <w:r>
        <w:rPr>
          <w:rFonts w:hint="eastAsia" w:ascii="仿宋_GB2312" w:eastAsia="仿宋_GB2312" w:cs="Times New Roman"/>
          <w:color w:val="auto"/>
          <w:sz w:val="32"/>
          <w:szCs w:val="32"/>
          <w:highlight w:val="none"/>
          <w:lang w:val="en-US" w:eastAsia="zh-CN"/>
        </w:rPr>
        <w:t>包括政策产出数量、质量、时效及成本控制、经济效益、社会效益、可持续影响和服务对象满意度8个二级指标，重点关注补助政策正向作用发挥情况,核实补助政策带动发展实效，发现政策实施管理中存在问题，并收集补助对象的有效建议。</w:t>
      </w:r>
    </w:p>
    <w:bookmarkEnd w:id="63"/>
    <w:bookmarkEnd w:id="64"/>
    <w:p>
      <w:pPr>
        <w:keepNext w:val="0"/>
        <w:keepLines w:val="0"/>
        <w:pageBreakBefore w:val="0"/>
        <w:widowControl w:val="0"/>
        <w:suppressAutoHyphens/>
        <w:kinsoku/>
        <w:wordWrap/>
        <w:overflowPunct w:val="0"/>
        <w:topLinePunct w:val="0"/>
        <w:autoSpaceDE/>
        <w:autoSpaceDN/>
        <w:bidi w:val="0"/>
        <w:adjustRightInd w:val="0"/>
        <w:snapToGrid w:val="0"/>
        <w:spacing w:line="560" w:lineRule="exact"/>
        <w:ind w:firstLine="640" w:firstLineChars="200"/>
        <w:jc w:val="both"/>
        <w:textAlignment w:val="auto"/>
        <w:outlineLvl w:val="1"/>
        <w:rPr>
          <w:rFonts w:hint="eastAsia" w:ascii="楷体_GB2312" w:hAnsi="楷体_GB2312" w:eastAsia="楷体_GB2312" w:cs="楷体_GB2312"/>
          <w:color w:val="auto"/>
          <w:sz w:val="32"/>
          <w:szCs w:val="32"/>
          <w:highlight w:val="none"/>
          <w:lang w:val="en-US" w:eastAsia="zh-CN"/>
        </w:rPr>
      </w:pPr>
      <w:bookmarkStart w:id="65" w:name="_Toc6479"/>
      <w:bookmarkStart w:id="66" w:name="_Toc27551"/>
      <w:bookmarkStart w:id="67" w:name="_Toc1083"/>
      <w:bookmarkStart w:id="68" w:name="_Toc25433"/>
      <w:bookmarkStart w:id="69" w:name="_Hlk40706677"/>
      <w:r>
        <w:rPr>
          <w:rFonts w:hint="eastAsia" w:ascii="楷体_GB2312" w:hAnsi="楷体_GB2312" w:eastAsia="楷体_GB2312" w:cs="楷体_GB2312"/>
          <w:color w:val="auto"/>
          <w:sz w:val="32"/>
          <w:szCs w:val="32"/>
          <w:highlight w:val="none"/>
          <w:lang w:val="en-US" w:eastAsia="zh-CN"/>
        </w:rPr>
        <w:t>（三）评价组织实施与评价方法</w:t>
      </w:r>
      <w:bookmarkEnd w:id="65"/>
      <w:bookmarkEnd w:id="66"/>
      <w:bookmarkEnd w:id="67"/>
      <w:bookmarkEnd w:id="68"/>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9"/>
        <w:rPr>
          <w:rFonts w:hint="eastAsia" w:ascii="仿宋_GB2312" w:eastAsia="仿宋_GB2312" w:cs="宋体"/>
          <w:b/>
          <w:bCs/>
          <w:color w:val="auto"/>
          <w:sz w:val="32"/>
          <w:szCs w:val="32"/>
          <w:highlight w:val="none"/>
          <w:lang w:val="en-US" w:eastAsia="zh-CN"/>
        </w:rPr>
      </w:pPr>
      <w:r>
        <w:rPr>
          <w:rFonts w:hint="eastAsia" w:ascii="仿宋_GB2312" w:eastAsia="仿宋_GB2312" w:cs="宋体"/>
          <w:b/>
          <w:bCs/>
          <w:color w:val="auto"/>
          <w:sz w:val="32"/>
          <w:szCs w:val="32"/>
          <w:highlight w:val="none"/>
          <w:lang w:val="en-US" w:eastAsia="zh-CN"/>
        </w:rPr>
        <w:t>1.评价组织实施</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eastAsia="仿宋_GB2312" w:cs="宋体"/>
          <w:b w:val="0"/>
          <w:bCs w:val="0"/>
          <w:color w:val="auto"/>
          <w:sz w:val="32"/>
          <w:szCs w:val="32"/>
          <w:highlight w:val="none"/>
          <w:lang w:val="en-US" w:eastAsia="zh-CN"/>
        </w:rPr>
      </w:pPr>
      <w:r>
        <w:rPr>
          <w:rFonts w:hint="eastAsia" w:ascii="仿宋_GB2312" w:eastAsia="仿宋_GB2312" w:cs="宋体"/>
          <w:b w:val="0"/>
          <w:bCs w:val="0"/>
          <w:color w:val="auto"/>
          <w:sz w:val="32"/>
          <w:szCs w:val="32"/>
          <w:highlight w:val="none"/>
          <w:lang w:val="en-US" w:eastAsia="zh-CN"/>
        </w:rPr>
        <w:t>（1）前期准备。成立评价工作组，梳理</w:t>
      </w:r>
      <w:r>
        <w:rPr>
          <w:rFonts w:hint="eastAsia" w:ascii="仿宋_GB2312" w:eastAsia="仿宋_GB2312"/>
          <w:b w:val="0"/>
          <w:bCs w:val="0"/>
          <w:color w:val="auto"/>
          <w:sz w:val="32"/>
          <w:szCs w:val="32"/>
          <w:highlight w:val="none"/>
          <w:lang w:val="en-US" w:eastAsia="zh-CN"/>
        </w:rPr>
        <w:t>促进金融资源聚集</w:t>
      </w:r>
      <w:r>
        <w:rPr>
          <w:rFonts w:hint="eastAsia" w:ascii="仿宋_GB2312" w:eastAsia="仿宋_GB2312" w:cs="宋体"/>
          <w:b w:val="0"/>
          <w:bCs w:val="0"/>
          <w:color w:val="auto"/>
          <w:sz w:val="32"/>
          <w:szCs w:val="32"/>
          <w:highlight w:val="none"/>
          <w:lang w:val="en-US" w:eastAsia="zh-CN"/>
        </w:rPr>
        <w:t>政策，</w:t>
      </w:r>
      <w:r>
        <w:rPr>
          <w:rFonts w:hint="eastAsia" w:ascii="仿宋_GB2312" w:hAnsi="Times New Roman" w:eastAsia="仿宋_GB2312" w:cs="Times New Roman"/>
          <w:color w:val="auto"/>
          <w:kern w:val="0"/>
          <w:sz w:val="32"/>
          <w:szCs w:val="32"/>
          <w:highlight w:val="none"/>
          <w:u w:color="000000"/>
          <w:lang w:val="en-US" w:eastAsia="zh-CN"/>
        </w:rPr>
        <w:t>收集绩效评价信息，</w:t>
      </w:r>
      <w:r>
        <w:rPr>
          <w:rFonts w:hint="eastAsia" w:ascii="仿宋_GB2312" w:eastAsia="仿宋_GB2312" w:cs="宋体"/>
          <w:b w:val="0"/>
          <w:bCs w:val="0"/>
          <w:color w:val="auto"/>
          <w:sz w:val="32"/>
          <w:szCs w:val="32"/>
          <w:highlight w:val="none"/>
          <w:lang w:val="en-US" w:eastAsia="zh-CN"/>
        </w:rPr>
        <w:t>草拟绩效评价工作方案及评价指标体系。</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eastAsia="仿宋_GB2312" w:cs="宋体"/>
          <w:b w:val="0"/>
          <w:bCs w:val="0"/>
          <w:color w:val="auto"/>
          <w:sz w:val="32"/>
          <w:szCs w:val="32"/>
          <w:highlight w:val="none"/>
          <w:lang w:val="en-US" w:eastAsia="zh-CN"/>
        </w:rPr>
      </w:pPr>
      <w:r>
        <w:rPr>
          <w:rFonts w:hint="eastAsia" w:ascii="仿宋_GB2312" w:eastAsia="仿宋_GB2312" w:cs="宋体"/>
          <w:b w:val="0"/>
          <w:bCs w:val="0"/>
          <w:color w:val="auto"/>
          <w:sz w:val="32"/>
          <w:szCs w:val="32"/>
          <w:highlight w:val="none"/>
          <w:lang w:val="en-US" w:eastAsia="zh-CN"/>
        </w:rPr>
        <w:t>（2）组织实施。开展现场评价及社会调查，对政策前期论证、实施过程监管、补助资料审核情况、补助资金发放情况以及</w:t>
      </w:r>
      <w:r>
        <w:rPr>
          <w:rFonts w:hint="eastAsia" w:ascii="仿宋_GB2312" w:eastAsia="仿宋_GB2312"/>
          <w:color w:val="auto"/>
          <w:sz w:val="32"/>
          <w:szCs w:val="32"/>
          <w:highlight w:val="none"/>
          <w:lang w:val="en-US" w:eastAsia="zh-CN"/>
        </w:rPr>
        <w:t>促进金融资源聚集</w:t>
      </w:r>
      <w:r>
        <w:rPr>
          <w:rFonts w:hint="eastAsia" w:ascii="仿宋_GB2312" w:eastAsia="仿宋_GB2312" w:cs="Times New Roman"/>
          <w:color w:val="auto"/>
          <w:sz w:val="32"/>
          <w:szCs w:val="32"/>
          <w:highlight w:val="none"/>
          <w:lang w:val="en-US" w:eastAsia="zh-CN"/>
        </w:rPr>
        <w:t>、</w:t>
      </w:r>
      <w:r>
        <w:rPr>
          <w:rFonts w:hint="eastAsia" w:ascii="仿宋_GB2312" w:eastAsia="仿宋_GB2312"/>
          <w:color w:val="auto"/>
          <w:sz w:val="32"/>
          <w:szCs w:val="32"/>
          <w:highlight w:val="none"/>
          <w:lang w:val="en-US" w:eastAsia="zh-CN"/>
        </w:rPr>
        <w:t>青岛市金融业高质量发展</w:t>
      </w:r>
      <w:r>
        <w:rPr>
          <w:rFonts w:hint="eastAsia" w:ascii="仿宋_GB2312" w:eastAsia="仿宋_GB2312" w:cs="宋体"/>
          <w:b w:val="0"/>
          <w:bCs w:val="0"/>
          <w:color w:val="auto"/>
          <w:sz w:val="32"/>
          <w:szCs w:val="32"/>
          <w:highlight w:val="none"/>
          <w:lang w:val="en-US" w:eastAsia="zh-CN"/>
        </w:rPr>
        <w:t>实效情况进行核实，对掌握的信息资料进行分类整理和汇总分析，进行综合评价打分。</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eastAsia="仿宋_GB2312" w:cs="宋体"/>
          <w:b w:val="0"/>
          <w:bCs w:val="0"/>
          <w:color w:val="auto"/>
          <w:sz w:val="32"/>
          <w:szCs w:val="32"/>
          <w:highlight w:val="none"/>
          <w:lang w:val="en-US" w:eastAsia="zh-CN"/>
        </w:rPr>
      </w:pPr>
      <w:r>
        <w:rPr>
          <w:rFonts w:hint="eastAsia" w:ascii="仿宋_GB2312" w:eastAsia="仿宋_GB2312" w:cs="宋体"/>
          <w:b w:val="0"/>
          <w:bCs w:val="0"/>
          <w:color w:val="auto"/>
          <w:sz w:val="32"/>
          <w:szCs w:val="32"/>
          <w:highlight w:val="none"/>
          <w:lang w:val="en-US" w:eastAsia="zh-CN"/>
        </w:rPr>
        <w:t>（3）报告形成。撰写绩效评价报告，</w:t>
      </w:r>
      <w:r>
        <w:rPr>
          <w:rFonts w:hint="eastAsia" w:ascii="仿宋_GB2312" w:hAnsi="Times New Roman" w:eastAsia="仿宋_GB2312" w:cs="Times New Roman"/>
          <w:color w:val="auto"/>
          <w:kern w:val="0"/>
          <w:sz w:val="32"/>
          <w:szCs w:val="32"/>
          <w:highlight w:val="none"/>
          <w:u w:color="000000"/>
          <w:lang w:val="en-US" w:eastAsia="zh-CN"/>
        </w:rPr>
        <w:t>根据市财政局报告论证会反馈意见修改完善绩效评价报告，正式提交报告并归档。</w:t>
      </w:r>
    </w:p>
    <w:bookmarkEnd w:id="69"/>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9"/>
        <w:rPr>
          <w:rFonts w:hint="default" w:ascii="仿宋_GB2312" w:eastAsia="仿宋_GB2312"/>
          <w:b/>
          <w:bCs/>
          <w:color w:val="auto"/>
          <w:sz w:val="32"/>
          <w:szCs w:val="32"/>
          <w:highlight w:val="none"/>
          <w:lang w:val="en-US" w:eastAsia="zh-CN"/>
        </w:rPr>
      </w:pPr>
      <w:r>
        <w:rPr>
          <w:rFonts w:hint="eastAsia" w:ascii="仿宋_GB2312" w:eastAsia="仿宋_GB2312"/>
          <w:b/>
          <w:bCs/>
          <w:color w:val="auto"/>
          <w:sz w:val="32"/>
          <w:szCs w:val="32"/>
          <w:highlight w:val="none"/>
          <w:lang w:val="en-US" w:eastAsia="zh-CN"/>
        </w:rPr>
        <w:t>2.评价方法</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本次评价采用因素分析法、比较法、成本效益法、公众评判法等方法，对政策实施效果和继续实施的必要性进行评价论证。其中调查方式包括现场访谈和问卷调查，</w:t>
      </w:r>
      <w:r>
        <w:rPr>
          <w:rFonts w:hint="eastAsia" w:ascii="仿宋_GB2312" w:eastAsia="仿宋_GB2312"/>
          <w:b/>
          <w:bCs/>
          <w:color w:val="auto"/>
          <w:sz w:val="32"/>
          <w:szCs w:val="32"/>
          <w:highlight w:val="none"/>
          <w:lang w:val="en-US" w:eastAsia="zh-CN"/>
        </w:rPr>
        <w:t>一是</w:t>
      </w:r>
      <w:r>
        <w:rPr>
          <w:rFonts w:hint="eastAsia" w:ascii="仿宋_GB2312" w:eastAsia="仿宋_GB2312"/>
          <w:color w:val="auto"/>
          <w:sz w:val="32"/>
          <w:szCs w:val="32"/>
          <w:highlight w:val="none"/>
          <w:lang w:val="en-US" w:eastAsia="zh-CN"/>
        </w:rPr>
        <w:t>与市委金融办进行现场访谈；</w:t>
      </w:r>
      <w:r>
        <w:rPr>
          <w:rFonts w:hint="eastAsia" w:ascii="仿宋_GB2312" w:eastAsia="仿宋_GB2312"/>
          <w:b/>
          <w:bCs/>
          <w:color w:val="auto"/>
          <w:sz w:val="32"/>
          <w:szCs w:val="32"/>
          <w:highlight w:val="none"/>
          <w:lang w:val="en-US" w:eastAsia="zh-CN"/>
        </w:rPr>
        <w:t>二是</w:t>
      </w:r>
      <w:r>
        <w:rPr>
          <w:rFonts w:hint="eastAsia" w:ascii="仿宋_GB2312" w:eastAsia="仿宋_GB2312"/>
          <w:color w:val="auto"/>
          <w:sz w:val="32"/>
          <w:szCs w:val="32"/>
          <w:highlight w:val="none"/>
          <w:lang w:val="en-US" w:eastAsia="zh-CN"/>
        </w:rPr>
        <w:t>对补助对象开展调查，共收集有效问卷16份。</w:t>
      </w:r>
    </w:p>
    <w:p>
      <w:pPr>
        <w:keepNext w:val="0"/>
        <w:keepLines w:val="0"/>
        <w:pageBreakBefore w:val="0"/>
        <w:widowControl w:val="0"/>
        <w:suppressAutoHyphens/>
        <w:kinsoku/>
        <w:wordWrap/>
        <w:overflowPunct w:val="0"/>
        <w:topLinePunct w:val="0"/>
        <w:autoSpaceDE/>
        <w:autoSpaceDN/>
        <w:bidi w:val="0"/>
        <w:adjustRightInd w:val="0"/>
        <w:snapToGrid w:val="0"/>
        <w:spacing w:line="560" w:lineRule="exact"/>
        <w:ind w:firstLine="640" w:firstLineChars="200"/>
        <w:jc w:val="both"/>
        <w:textAlignment w:val="auto"/>
        <w:outlineLvl w:val="0"/>
        <w:rPr>
          <w:rFonts w:hint="eastAsia" w:ascii="Times New Roman" w:hAnsi="Times New Roman" w:eastAsia="黑体" w:cs="Times New Roman"/>
          <w:color w:val="auto"/>
          <w:sz w:val="32"/>
          <w:szCs w:val="32"/>
          <w:highlight w:val="none"/>
        </w:rPr>
      </w:pPr>
      <w:bookmarkStart w:id="70" w:name="_Toc2721"/>
      <w:bookmarkStart w:id="71" w:name="_Toc12004"/>
      <w:r>
        <w:rPr>
          <w:rFonts w:hint="eastAsia" w:ascii="Times New Roman" w:hAnsi="Times New Roman" w:eastAsia="黑体" w:cs="Times New Roman"/>
          <w:color w:val="auto"/>
          <w:sz w:val="32"/>
          <w:szCs w:val="32"/>
          <w:highlight w:val="none"/>
        </w:rPr>
        <w:t>三、</w:t>
      </w:r>
      <w:bookmarkEnd w:id="54"/>
      <w:bookmarkEnd w:id="55"/>
      <w:bookmarkEnd w:id="56"/>
      <w:r>
        <w:rPr>
          <w:rFonts w:hint="eastAsia" w:ascii="Times New Roman" w:hAnsi="Times New Roman" w:eastAsia="黑体" w:cs="Times New Roman"/>
          <w:color w:val="auto"/>
          <w:sz w:val="32"/>
          <w:szCs w:val="32"/>
          <w:highlight w:val="none"/>
          <w:lang w:val="en-US" w:eastAsia="zh-CN"/>
        </w:rPr>
        <w:t>评价结论及指标分析</w:t>
      </w:r>
      <w:bookmarkEnd w:id="57"/>
      <w:bookmarkEnd w:id="58"/>
      <w:bookmarkEnd w:id="59"/>
      <w:bookmarkEnd w:id="60"/>
      <w:bookmarkEnd w:id="70"/>
      <w:bookmarkEnd w:id="71"/>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该项政策绩效评价得分89.89分，评价结果为“良”。该政策的实施符合党中央、国务院关于优化金融发展环境、推动金融业健康发展、发挥金融服务经济社会的作用的决策部署，经审核2023年共有17家金融机构符合补助条件，2023年应发放补助金额3,294.89万元，有效的促进了青岛市金融业高质量发展及金融资源聚集。</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但政策实施过程中也存在一些问题，如，2023年度市级补助资金拨付到区市，但个别区市没有及时将补助资金发放到补助单位；落户青岛的金融机构以分支机构为主，金融机构实力排名相对靠后，地方金融机构综合实力仍然不强。</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表2-1 绩效评价得分情况表</w:t>
      </w:r>
    </w:p>
    <w:bookmarkEnd w:id="46"/>
    <w:bookmarkEnd w:id="47"/>
    <w:tbl>
      <w:tblPr>
        <w:tblStyle w:val="2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8"/>
        <w:gridCol w:w="2278"/>
        <w:gridCol w:w="2278"/>
        <w:gridCol w:w="2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78" w:type="dxa"/>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outlineLvl w:val="9"/>
              <w:rPr>
                <w:rFonts w:hint="default" w:cs="宋体"/>
                <w:b/>
                <w:bCs/>
                <w:i w:val="0"/>
                <w:iCs w:val="0"/>
                <w:color w:val="auto"/>
                <w:kern w:val="0"/>
                <w:sz w:val="24"/>
                <w:szCs w:val="24"/>
                <w:highlight w:val="none"/>
                <w:u w:val="none"/>
                <w:lang w:val="en-US" w:eastAsia="zh-CN" w:bidi="ar"/>
              </w:rPr>
            </w:pPr>
            <w:bookmarkStart w:id="72" w:name="_Toc19303"/>
            <w:bookmarkStart w:id="73" w:name="_Toc9287"/>
            <w:bookmarkStart w:id="74" w:name="_Toc389989443"/>
            <w:bookmarkStart w:id="75" w:name="_Toc11279"/>
            <w:r>
              <w:rPr>
                <w:rFonts w:hint="eastAsia" w:cs="宋体"/>
                <w:b/>
                <w:bCs/>
                <w:i w:val="0"/>
                <w:iCs w:val="0"/>
                <w:color w:val="auto"/>
                <w:kern w:val="0"/>
                <w:sz w:val="24"/>
                <w:szCs w:val="24"/>
                <w:highlight w:val="none"/>
                <w:u w:val="none"/>
                <w:lang w:val="en-US" w:eastAsia="zh-CN" w:bidi="ar"/>
              </w:rPr>
              <w:t>指标</w:t>
            </w:r>
          </w:p>
        </w:tc>
        <w:tc>
          <w:tcPr>
            <w:tcW w:w="2278" w:type="dxa"/>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outlineLvl w:val="9"/>
              <w:rPr>
                <w:rFonts w:hint="default" w:cs="宋体"/>
                <w:b/>
                <w:bCs/>
                <w:i w:val="0"/>
                <w:iCs w:val="0"/>
                <w:color w:val="auto"/>
                <w:kern w:val="0"/>
                <w:sz w:val="24"/>
                <w:szCs w:val="24"/>
                <w:highlight w:val="none"/>
                <w:u w:val="none"/>
                <w:lang w:val="en-US" w:eastAsia="zh-CN" w:bidi="ar"/>
              </w:rPr>
            </w:pPr>
            <w:r>
              <w:rPr>
                <w:rFonts w:hint="eastAsia" w:cs="宋体"/>
                <w:b/>
                <w:bCs/>
                <w:i w:val="0"/>
                <w:iCs w:val="0"/>
                <w:color w:val="auto"/>
                <w:kern w:val="0"/>
                <w:sz w:val="24"/>
                <w:szCs w:val="24"/>
                <w:highlight w:val="none"/>
                <w:u w:val="none"/>
                <w:lang w:val="en-US" w:eastAsia="zh-CN" w:bidi="ar"/>
              </w:rPr>
              <w:t>分值</w:t>
            </w:r>
          </w:p>
        </w:tc>
        <w:tc>
          <w:tcPr>
            <w:tcW w:w="2278" w:type="dxa"/>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outlineLvl w:val="9"/>
              <w:rPr>
                <w:rFonts w:hint="default" w:cs="宋体"/>
                <w:b/>
                <w:bCs/>
                <w:i w:val="0"/>
                <w:iCs w:val="0"/>
                <w:color w:val="auto"/>
                <w:kern w:val="0"/>
                <w:sz w:val="24"/>
                <w:szCs w:val="24"/>
                <w:highlight w:val="none"/>
                <w:u w:val="none"/>
                <w:lang w:val="en-US" w:eastAsia="zh-CN" w:bidi="ar"/>
              </w:rPr>
            </w:pPr>
            <w:r>
              <w:rPr>
                <w:rFonts w:hint="eastAsia" w:cs="宋体"/>
                <w:b/>
                <w:bCs/>
                <w:i w:val="0"/>
                <w:iCs w:val="0"/>
                <w:color w:val="auto"/>
                <w:kern w:val="0"/>
                <w:sz w:val="24"/>
                <w:szCs w:val="24"/>
                <w:highlight w:val="none"/>
                <w:u w:val="none"/>
                <w:lang w:val="en-US" w:eastAsia="zh-CN" w:bidi="ar"/>
              </w:rPr>
              <w:t>得分</w:t>
            </w:r>
          </w:p>
        </w:tc>
        <w:tc>
          <w:tcPr>
            <w:tcW w:w="2279" w:type="dxa"/>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outlineLvl w:val="9"/>
              <w:rPr>
                <w:rFonts w:hint="default" w:cs="宋体"/>
                <w:b/>
                <w:bCs/>
                <w:i w:val="0"/>
                <w:iCs w:val="0"/>
                <w:color w:val="auto"/>
                <w:kern w:val="0"/>
                <w:sz w:val="24"/>
                <w:szCs w:val="24"/>
                <w:highlight w:val="none"/>
                <w:u w:val="none"/>
                <w:lang w:val="en-US" w:eastAsia="zh-CN" w:bidi="ar"/>
              </w:rPr>
            </w:pPr>
            <w:r>
              <w:rPr>
                <w:rFonts w:hint="eastAsia" w:cs="宋体"/>
                <w:b/>
                <w:bCs/>
                <w:i w:val="0"/>
                <w:iCs w:val="0"/>
                <w:color w:val="auto"/>
                <w:kern w:val="0"/>
                <w:sz w:val="24"/>
                <w:szCs w:val="24"/>
                <w:highlight w:val="none"/>
                <w:u w:val="none"/>
                <w:lang w:val="en-US" w:eastAsia="zh-CN" w:bidi="ar"/>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78" w:type="dxa"/>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outlineLvl w:val="9"/>
              <w:rPr>
                <w:rFonts w:hint="default" w:cs="宋体"/>
                <w:b w:val="0"/>
                <w:bCs w:val="0"/>
                <w:i w:val="0"/>
                <w:iCs w:val="0"/>
                <w:color w:val="auto"/>
                <w:kern w:val="0"/>
                <w:sz w:val="24"/>
                <w:szCs w:val="24"/>
                <w:highlight w:val="none"/>
                <w:u w:val="none"/>
                <w:lang w:val="en-US" w:eastAsia="zh-CN" w:bidi="ar"/>
              </w:rPr>
            </w:pPr>
            <w:r>
              <w:rPr>
                <w:rFonts w:hint="eastAsia" w:cs="宋体"/>
                <w:b w:val="0"/>
                <w:bCs w:val="0"/>
                <w:i w:val="0"/>
                <w:iCs w:val="0"/>
                <w:color w:val="auto"/>
                <w:kern w:val="0"/>
                <w:sz w:val="24"/>
                <w:szCs w:val="24"/>
                <w:highlight w:val="none"/>
                <w:u w:val="none"/>
                <w:lang w:val="en-US" w:eastAsia="zh-CN" w:bidi="ar"/>
              </w:rPr>
              <w:t>政策制定</w:t>
            </w:r>
          </w:p>
        </w:tc>
        <w:tc>
          <w:tcPr>
            <w:tcW w:w="2278" w:type="dxa"/>
            <w:vAlign w:val="center"/>
          </w:tcPr>
          <w:p>
            <w:pPr>
              <w:keepNext w:val="0"/>
              <w:keepLines w:val="0"/>
              <w:widowControl/>
              <w:suppressLineNumbers w:val="0"/>
              <w:jc w:val="center"/>
              <w:textAlignment w:val="center"/>
              <w:outlineLvl w:val="9"/>
              <w:rPr>
                <w:rFonts w:hint="default"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20</w:t>
            </w:r>
          </w:p>
        </w:tc>
        <w:tc>
          <w:tcPr>
            <w:tcW w:w="2278" w:type="dxa"/>
            <w:vAlign w:val="center"/>
          </w:tcPr>
          <w:p>
            <w:pPr>
              <w:keepNext w:val="0"/>
              <w:keepLines w:val="0"/>
              <w:widowControl/>
              <w:suppressLineNumbers w:val="0"/>
              <w:jc w:val="center"/>
              <w:textAlignment w:val="center"/>
              <w:rPr>
                <w:rFonts w:hint="default"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18</w:t>
            </w:r>
          </w:p>
        </w:tc>
        <w:tc>
          <w:tcPr>
            <w:tcW w:w="2279" w:type="dxa"/>
            <w:vAlign w:val="center"/>
          </w:tcPr>
          <w:p>
            <w:pPr>
              <w:keepNext w:val="0"/>
              <w:keepLines w:val="0"/>
              <w:widowControl/>
              <w:suppressLineNumbers w:val="0"/>
              <w:jc w:val="center"/>
              <w:textAlignment w:val="center"/>
              <w:rPr>
                <w:rFonts w:hint="default"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78" w:type="dxa"/>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outlineLvl w:val="9"/>
              <w:rPr>
                <w:rFonts w:hint="default" w:cs="宋体"/>
                <w:b w:val="0"/>
                <w:bCs w:val="0"/>
                <w:i w:val="0"/>
                <w:iCs w:val="0"/>
                <w:color w:val="auto"/>
                <w:kern w:val="0"/>
                <w:sz w:val="24"/>
                <w:szCs w:val="24"/>
                <w:highlight w:val="none"/>
                <w:u w:val="none"/>
                <w:lang w:val="en-US" w:eastAsia="zh-CN" w:bidi="ar"/>
              </w:rPr>
            </w:pPr>
            <w:r>
              <w:rPr>
                <w:rFonts w:hint="eastAsia" w:cs="宋体"/>
                <w:b w:val="0"/>
                <w:bCs w:val="0"/>
                <w:i w:val="0"/>
                <w:iCs w:val="0"/>
                <w:color w:val="auto"/>
                <w:kern w:val="0"/>
                <w:sz w:val="24"/>
                <w:szCs w:val="24"/>
                <w:highlight w:val="none"/>
                <w:u w:val="none"/>
                <w:lang w:val="en-US" w:eastAsia="zh-CN" w:bidi="ar"/>
              </w:rPr>
              <w:t>政策实施</w:t>
            </w:r>
          </w:p>
        </w:tc>
        <w:tc>
          <w:tcPr>
            <w:tcW w:w="2278" w:type="dxa"/>
            <w:vAlign w:val="center"/>
          </w:tcPr>
          <w:p>
            <w:pPr>
              <w:keepNext w:val="0"/>
              <w:keepLines w:val="0"/>
              <w:widowControl/>
              <w:suppressLineNumbers w:val="0"/>
              <w:jc w:val="center"/>
              <w:textAlignment w:val="center"/>
              <w:outlineLvl w:val="9"/>
              <w:rPr>
                <w:rFonts w:hint="default"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20</w:t>
            </w:r>
          </w:p>
        </w:tc>
        <w:tc>
          <w:tcPr>
            <w:tcW w:w="2278" w:type="dxa"/>
            <w:vAlign w:val="center"/>
          </w:tcPr>
          <w:p>
            <w:pPr>
              <w:keepNext w:val="0"/>
              <w:keepLines w:val="0"/>
              <w:widowControl/>
              <w:suppressLineNumbers w:val="0"/>
              <w:jc w:val="center"/>
              <w:textAlignment w:val="center"/>
              <w:rPr>
                <w:rFonts w:hint="default"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16.39</w:t>
            </w:r>
          </w:p>
        </w:tc>
        <w:tc>
          <w:tcPr>
            <w:tcW w:w="2279" w:type="dxa"/>
            <w:vAlign w:val="center"/>
          </w:tcPr>
          <w:p>
            <w:pPr>
              <w:keepNext w:val="0"/>
              <w:keepLines w:val="0"/>
              <w:widowControl/>
              <w:suppressLineNumbers w:val="0"/>
              <w:jc w:val="center"/>
              <w:textAlignment w:val="center"/>
              <w:rPr>
                <w:rFonts w:hint="default"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81.95%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78" w:type="dxa"/>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outlineLvl w:val="9"/>
              <w:rPr>
                <w:rFonts w:hint="default" w:cs="宋体"/>
                <w:b w:val="0"/>
                <w:bCs w:val="0"/>
                <w:i w:val="0"/>
                <w:iCs w:val="0"/>
                <w:color w:val="auto"/>
                <w:kern w:val="0"/>
                <w:sz w:val="24"/>
                <w:szCs w:val="24"/>
                <w:highlight w:val="none"/>
                <w:u w:val="none"/>
                <w:lang w:val="en-US" w:eastAsia="zh-CN" w:bidi="ar"/>
              </w:rPr>
            </w:pPr>
            <w:r>
              <w:rPr>
                <w:rFonts w:hint="eastAsia" w:cs="宋体"/>
                <w:b w:val="0"/>
                <w:bCs w:val="0"/>
                <w:i w:val="0"/>
                <w:iCs w:val="0"/>
                <w:color w:val="auto"/>
                <w:kern w:val="0"/>
                <w:sz w:val="24"/>
                <w:szCs w:val="24"/>
                <w:highlight w:val="none"/>
                <w:u w:val="none"/>
                <w:lang w:val="en-US" w:eastAsia="zh-CN" w:bidi="ar"/>
              </w:rPr>
              <w:t>政策效果</w:t>
            </w:r>
          </w:p>
        </w:tc>
        <w:tc>
          <w:tcPr>
            <w:tcW w:w="2278" w:type="dxa"/>
            <w:vAlign w:val="center"/>
          </w:tcPr>
          <w:p>
            <w:pPr>
              <w:keepNext w:val="0"/>
              <w:keepLines w:val="0"/>
              <w:widowControl/>
              <w:suppressLineNumbers w:val="0"/>
              <w:jc w:val="center"/>
              <w:textAlignment w:val="center"/>
              <w:outlineLvl w:val="9"/>
              <w:rPr>
                <w:rFonts w:hint="default"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60</w:t>
            </w:r>
          </w:p>
        </w:tc>
        <w:tc>
          <w:tcPr>
            <w:tcW w:w="2278" w:type="dxa"/>
            <w:vAlign w:val="center"/>
          </w:tcPr>
          <w:p>
            <w:pPr>
              <w:keepNext w:val="0"/>
              <w:keepLines w:val="0"/>
              <w:widowControl/>
              <w:suppressLineNumbers w:val="0"/>
              <w:jc w:val="center"/>
              <w:textAlignment w:val="center"/>
              <w:rPr>
                <w:rFonts w:hint="default"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55.5</w:t>
            </w:r>
          </w:p>
        </w:tc>
        <w:tc>
          <w:tcPr>
            <w:tcW w:w="2279" w:type="dxa"/>
            <w:vAlign w:val="center"/>
          </w:tcPr>
          <w:p>
            <w:pPr>
              <w:keepNext w:val="0"/>
              <w:keepLines w:val="0"/>
              <w:widowControl/>
              <w:suppressLineNumbers w:val="0"/>
              <w:jc w:val="center"/>
              <w:textAlignment w:val="center"/>
              <w:rPr>
                <w:rFonts w:hint="default"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92.50%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78" w:type="dxa"/>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outlineLvl w:val="9"/>
              <w:rPr>
                <w:rFonts w:hint="eastAsia" w:cs="宋体"/>
                <w:i w:val="0"/>
                <w:iCs w:val="0"/>
                <w:color w:val="auto"/>
                <w:kern w:val="0"/>
                <w:sz w:val="24"/>
                <w:szCs w:val="24"/>
                <w:highlight w:val="none"/>
                <w:u w:val="none"/>
                <w:lang w:val="en-US" w:eastAsia="zh-CN" w:bidi="ar"/>
              </w:rPr>
            </w:pPr>
            <w:r>
              <w:rPr>
                <w:rFonts w:hint="eastAsia" w:cs="宋体"/>
                <w:b/>
                <w:bCs/>
                <w:i w:val="0"/>
                <w:iCs w:val="0"/>
                <w:color w:val="auto"/>
                <w:kern w:val="0"/>
                <w:sz w:val="24"/>
                <w:szCs w:val="24"/>
                <w:highlight w:val="none"/>
                <w:u w:val="none"/>
                <w:lang w:val="en-US" w:eastAsia="zh-CN" w:bidi="ar"/>
              </w:rPr>
              <w:t>合计</w:t>
            </w:r>
          </w:p>
        </w:tc>
        <w:tc>
          <w:tcPr>
            <w:tcW w:w="2278" w:type="dxa"/>
            <w:vAlign w:val="center"/>
          </w:tcPr>
          <w:p>
            <w:pPr>
              <w:keepNext w:val="0"/>
              <w:keepLines w:val="0"/>
              <w:widowControl/>
              <w:suppressLineNumbers w:val="0"/>
              <w:jc w:val="center"/>
              <w:textAlignment w:val="center"/>
              <w:outlineLvl w:val="9"/>
              <w:rPr>
                <w:rFonts w:hint="default"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100</w:t>
            </w:r>
          </w:p>
        </w:tc>
        <w:tc>
          <w:tcPr>
            <w:tcW w:w="2278" w:type="dxa"/>
            <w:vAlign w:val="center"/>
          </w:tcPr>
          <w:p>
            <w:pPr>
              <w:keepNext w:val="0"/>
              <w:keepLines w:val="0"/>
              <w:widowControl/>
              <w:suppressLineNumbers w:val="0"/>
              <w:jc w:val="center"/>
              <w:textAlignment w:val="center"/>
              <w:rPr>
                <w:rFonts w:hint="default"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89.89</w:t>
            </w:r>
          </w:p>
        </w:tc>
        <w:tc>
          <w:tcPr>
            <w:tcW w:w="2279" w:type="dxa"/>
            <w:vAlign w:val="center"/>
          </w:tcPr>
          <w:p>
            <w:pPr>
              <w:keepNext w:val="0"/>
              <w:keepLines w:val="0"/>
              <w:widowControl/>
              <w:suppressLineNumbers w:val="0"/>
              <w:jc w:val="center"/>
              <w:textAlignment w:val="center"/>
              <w:rPr>
                <w:rFonts w:hint="default"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89.89%</w:t>
            </w:r>
          </w:p>
        </w:tc>
      </w:tr>
    </w:tbl>
    <w:p>
      <w:pPr>
        <w:keepNext w:val="0"/>
        <w:keepLines w:val="0"/>
        <w:pageBreakBefore w:val="0"/>
        <w:widowControl w:val="0"/>
        <w:suppressAutoHyphens/>
        <w:kinsoku/>
        <w:wordWrap/>
        <w:overflowPunct w:val="0"/>
        <w:topLinePunct w:val="0"/>
        <w:autoSpaceDE/>
        <w:autoSpaceDN/>
        <w:bidi w:val="0"/>
        <w:adjustRightInd w:val="0"/>
        <w:snapToGrid w:val="0"/>
        <w:spacing w:line="560" w:lineRule="exact"/>
        <w:ind w:left="0" w:leftChars="0" w:firstLine="640" w:firstLineChars="200"/>
        <w:jc w:val="both"/>
        <w:textAlignment w:val="auto"/>
        <w:outlineLvl w:val="1"/>
        <w:rPr>
          <w:rFonts w:hint="eastAsia" w:ascii="楷体_GB2312" w:hAnsi="楷体_GB2312" w:eastAsia="楷体_GB2312" w:cs="楷体_GB2312"/>
          <w:color w:val="auto"/>
          <w:sz w:val="32"/>
          <w:szCs w:val="32"/>
          <w:highlight w:val="none"/>
          <w:lang w:val="en-US" w:eastAsia="zh-CN"/>
        </w:rPr>
      </w:pPr>
      <w:bookmarkStart w:id="76" w:name="_Toc1063"/>
      <w:bookmarkStart w:id="77" w:name="_Toc12094"/>
      <w:r>
        <w:rPr>
          <w:rFonts w:hint="eastAsia" w:ascii="楷体_GB2312" w:hAnsi="楷体_GB2312" w:eastAsia="楷体_GB2312" w:cs="楷体_GB2312"/>
          <w:color w:val="auto"/>
          <w:sz w:val="32"/>
          <w:szCs w:val="32"/>
          <w:highlight w:val="none"/>
          <w:lang w:val="en-US" w:eastAsia="zh-CN"/>
        </w:rPr>
        <w:t>（一）</w:t>
      </w:r>
      <w:r>
        <w:rPr>
          <w:rFonts w:hint="eastAsia" w:ascii="楷体_GB2312" w:hAnsi="楷体_GB2312" w:eastAsia="楷体_GB2312" w:cs="楷体_GB2312"/>
          <w:color w:val="auto"/>
          <w:sz w:val="32"/>
          <w:szCs w:val="32"/>
          <w:highlight w:val="none"/>
        </w:rPr>
        <w:t>政策制定</w:t>
      </w:r>
      <w:bookmarkEnd w:id="76"/>
    </w:p>
    <w:p>
      <w:pPr>
        <w:pStyle w:val="30"/>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指标分值20分，得分18分，得分率90.00%。</w:t>
      </w:r>
    </w:p>
    <w:p>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政策设立，指标分值6分，得分6分。政策出台符合中央和山东省委、省政府、市委、市政府的相关规定，符合国民经济和社会发展规划、相关行业发展规划等。政策的补助条件、补助标准、办理流程、实施时间等政策内容设立经过必要的调研、专家论证、集体决策、事前评估等环节。</w:t>
      </w:r>
    </w:p>
    <w:p>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政策目标，指标分值6分，得分5分。政策所设定的长期绩效目标和年度绩效目标符合客观实际，年度政策绩效目标与实际工作内容具有相关性，与预算确定的资金量相匹配，但个别绩效指标与实际完成指标偏差较大，如，本项目年度目标主要指标为新设立或新引进的金融机构等补助资金，补助机构新增注册资本总额≥20亿元，带动就业数量≥100人；现有法人金融机构增资补助资金，补助机构新增注册资本总额≥40亿元，金融机构税收贡献≥1亿元。本项目实际实施成效为受奖补的10家新设立或新引进的金融机构2022年从业人员为201人，2023年从业人员为225人；受奖补的7家现有法人金融机构实现增资82.17亿元；17家受奖补机构2022年实现全口径税收16.06亿元，地方级税收7.81亿元，实际完成值远高于年初设定的绩效指标。目标值偏低，扣1分。</w:t>
      </w:r>
    </w:p>
    <w:p>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3.资金安排，指标分值8分，得分7分。政策资金分配与</w:t>
      </w:r>
      <w:r>
        <w:rPr>
          <w:rFonts w:hint="eastAsia" w:ascii="仿宋_GB2312" w:eastAsia="仿宋_GB2312"/>
          <w:b w:val="0"/>
          <w:bCs w:val="0"/>
          <w:color w:val="auto"/>
          <w:sz w:val="32"/>
          <w:szCs w:val="32"/>
          <w:highlight w:val="none"/>
          <w:lang w:val="en-US" w:eastAsia="zh-CN"/>
        </w:rPr>
        <w:t>促进金融资源聚集（对新设立或新引进的法人金融机构补助政策、新引进的金融机构分支机构补助政策、现有法人金融机构增资补助政策）</w:t>
      </w:r>
      <w:r>
        <w:rPr>
          <w:rFonts w:hint="eastAsia" w:ascii="仿宋_GB2312" w:eastAsia="仿宋_GB2312"/>
          <w:color w:val="auto"/>
          <w:sz w:val="32"/>
          <w:szCs w:val="32"/>
          <w:highlight w:val="none"/>
          <w:lang w:val="en-US" w:eastAsia="zh-CN"/>
        </w:rPr>
        <w:t>政策相适应，资金分配与实际相适应。补助标准的科学性不足，补助标准主要是与国内同级别城市的标准做横向对比而确定，缺少政策实施后财政投入与产出大数据分析，进行纵向比较，没有充分考虑对经济带动效果等因素，扣1分。</w:t>
      </w:r>
    </w:p>
    <w:p>
      <w:pPr>
        <w:keepNext w:val="0"/>
        <w:keepLines w:val="0"/>
        <w:pageBreakBefore w:val="0"/>
        <w:widowControl w:val="0"/>
        <w:suppressAutoHyphens/>
        <w:kinsoku/>
        <w:wordWrap/>
        <w:overflowPunct w:val="0"/>
        <w:topLinePunct w:val="0"/>
        <w:autoSpaceDE/>
        <w:autoSpaceDN/>
        <w:bidi w:val="0"/>
        <w:adjustRightInd w:val="0"/>
        <w:snapToGrid w:val="0"/>
        <w:spacing w:line="560" w:lineRule="exact"/>
        <w:ind w:left="0" w:leftChars="0" w:firstLine="640" w:firstLineChars="200"/>
        <w:jc w:val="both"/>
        <w:textAlignment w:val="auto"/>
        <w:outlineLvl w:val="1"/>
        <w:rPr>
          <w:rFonts w:hint="eastAsia" w:ascii="楷体_GB2312" w:hAnsi="楷体_GB2312" w:eastAsia="楷体_GB2312" w:cs="楷体_GB2312"/>
          <w:color w:val="auto"/>
          <w:sz w:val="32"/>
          <w:szCs w:val="32"/>
          <w:highlight w:val="none"/>
          <w:lang w:val="en-US" w:eastAsia="zh-CN"/>
        </w:rPr>
      </w:pPr>
      <w:bookmarkStart w:id="78" w:name="_Toc13971"/>
      <w:r>
        <w:rPr>
          <w:rFonts w:hint="eastAsia" w:ascii="楷体_GB2312" w:hAnsi="楷体_GB2312" w:eastAsia="楷体_GB2312" w:cs="楷体_GB2312"/>
          <w:color w:val="auto"/>
          <w:sz w:val="32"/>
          <w:szCs w:val="32"/>
          <w:highlight w:val="none"/>
          <w:lang w:val="en-US" w:eastAsia="zh-CN"/>
        </w:rPr>
        <w:t>（二）</w:t>
      </w:r>
      <w:r>
        <w:rPr>
          <w:rFonts w:hint="eastAsia" w:ascii="楷体_GB2312" w:hAnsi="楷体_GB2312" w:eastAsia="楷体_GB2312" w:cs="楷体_GB2312"/>
          <w:color w:val="auto"/>
          <w:sz w:val="32"/>
          <w:szCs w:val="32"/>
          <w:highlight w:val="none"/>
        </w:rPr>
        <w:t>政策实施</w:t>
      </w:r>
      <w:bookmarkEnd w:id="78"/>
    </w:p>
    <w:p>
      <w:pPr>
        <w:pStyle w:val="30"/>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指标分值20分，得分16.39分，得分率81.95%。</w:t>
      </w:r>
    </w:p>
    <w:p>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1.资金管理，指标分值10分，得分7.39分。市地方</w:t>
      </w:r>
      <w:bookmarkStart w:id="90" w:name="_GoBack"/>
      <w:bookmarkEnd w:id="90"/>
      <w:r>
        <w:rPr>
          <w:rFonts w:hint="eastAsia" w:ascii="仿宋_GB2312" w:eastAsia="仿宋_GB2312"/>
          <w:color w:val="auto"/>
          <w:sz w:val="32"/>
          <w:szCs w:val="32"/>
          <w:highlight w:val="none"/>
          <w:lang w:val="en-US" w:eastAsia="zh-CN"/>
        </w:rPr>
        <w:t>金融监管局按规定时间报送财政资金拨付申请，市财政局将资金拨付至区市，但个别区市没有在2023年度支付给受补助机构，资金没有足额落实到位，按评价标准扣1.5分；拨付到李沧区的市级资金至今未支付给受补助机构，存在截留现象，扣1分；资金预算3,294.90 万元，市级资金拨付到位3,294.89万元，实际执行3,169.89万元，预算执行率为96.21%，按评价标准扣0.11分，合计扣2.61分。</w:t>
      </w:r>
    </w:p>
    <w:p>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保障机制，指标分值10分，得分9分。根据政策市地方金融监管局、市财政局共同研究制定了《青岛市支持金融业高质量发展政策措施实施细则》（青金监字〔2021〕168号）、《青岛市金融业发展专项资金管理办法》（青财金〔2023〕47号），制度较为健全，但实施细则中没有设定审核流程各节点合理的工作时间，如，区市审核时间、市局审核时间、资金拨付到位时间，按评分标准扣1分。</w:t>
      </w:r>
    </w:p>
    <w:p>
      <w:pPr>
        <w:keepNext w:val="0"/>
        <w:keepLines w:val="0"/>
        <w:pageBreakBefore w:val="0"/>
        <w:widowControl w:val="0"/>
        <w:suppressAutoHyphens/>
        <w:kinsoku/>
        <w:wordWrap/>
        <w:overflowPunct w:val="0"/>
        <w:topLinePunct w:val="0"/>
        <w:autoSpaceDE/>
        <w:autoSpaceDN/>
        <w:bidi w:val="0"/>
        <w:adjustRightInd w:val="0"/>
        <w:snapToGrid w:val="0"/>
        <w:spacing w:line="560" w:lineRule="exact"/>
        <w:ind w:left="0" w:leftChars="0" w:firstLine="640" w:firstLineChars="200"/>
        <w:jc w:val="both"/>
        <w:textAlignment w:val="auto"/>
        <w:outlineLvl w:val="1"/>
        <w:rPr>
          <w:rFonts w:hint="eastAsia" w:ascii="楷体_GB2312" w:hAnsi="楷体_GB2312" w:eastAsia="楷体_GB2312" w:cs="楷体_GB2312"/>
          <w:color w:val="auto"/>
          <w:sz w:val="32"/>
          <w:szCs w:val="32"/>
          <w:highlight w:val="none"/>
          <w:lang w:val="en-US" w:eastAsia="zh-CN"/>
        </w:rPr>
      </w:pPr>
      <w:bookmarkStart w:id="79" w:name="_Toc27653"/>
      <w:r>
        <w:rPr>
          <w:rFonts w:hint="eastAsia" w:ascii="楷体_GB2312" w:hAnsi="楷体_GB2312" w:eastAsia="楷体_GB2312" w:cs="楷体_GB2312"/>
          <w:color w:val="auto"/>
          <w:sz w:val="32"/>
          <w:szCs w:val="32"/>
          <w:highlight w:val="none"/>
          <w:lang w:val="en-US" w:eastAsia="zh-CN"/>
        </w:rPr>
        <w:t>（三）</w:t>
      </w:r>
      <w:r>
        <w:rPr>
          <w:rFonts w:hint="eastAsia" w:ascii="楷体_GB2312" w:hAnsi="楷体_GB2312" w:eastAsia="楷体_GB2312" w:cs="楷体_GB2312"/>
          <w:color w:val="auto"/>
          <w:sz w:val="32"/>
          <w:szCs w:val="32"/>
          <w:highlight w:val="none"/>
        </w:rPr>
        <w:t>政策效果</w:t>
      </w:r>
      <w:bookmarkEnd w:id="79"/>
    </w:p>
    <w:p>
      <w:pPr>
        <w:pStyle w:val="30"/>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指标分值60分，得分55.5分，得分率92.50%。</w:t>
      </w:r>
    </w:p>
    <w:p>
      <w:pPr>
        <w:pStyle w:val="30"/>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1.数量指标，指标分值10分，得分10分。</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default" w:ascii="仿宋_GB2312" w:eastAsia="仿宋_GB2312" w:cs="宋体"/>
          <w:color w:val="auto"/>
          <w:sz w:val="32"/>
          <w:szCs w:val="32"/>
          <w:highlight w:val="none"/>
          <w:lang w:val="en-US" w:eastAsia="zh-CN"/>
        </w:rPr>
      </w:pPr>
      <w:r>
        <w:rPr>
          <w:rFonts w:hint="eastAsia" w:ascii="仿宋_GB2312" w:eastAsia="仿宋_GB2312"/>
          <w:color w:val="auto"/>
          <w:sz w:val="32"/>
          <w:szCs w:val="32"/>
          <w:highlight w:val="none"/>
          <w:lang w:val="en-US" w:eastAsia="zh-CN"/>
        </w:rPr>
        <w:t>根据2023年度绩效指标，新设立或新引进的金融机构等补助政策补助机构数量≤10家，补助机构新增注册资本总额≥20亿元，现有法人金融机构增资补助政策补助机构数量≤7家，补助机构新增注册资本总额≥40亿元。</w:t>
      </w:r>
      <w:r>
        <w:rPr>
          <w:rFonts w:hint="eastAsia" w:ascii="仿宋_GB2312" w:eastAsia="仿宋_GB2312" w:cs="宋体"/>
          <w:color w:val="auto"/>
          <w:sz w:val="32"/>
          <w:szCs w:val="32"/>
          <w:highlight w:val="none"/>
          <w:lang w:val="en-US" w:eastAsia="zh-CN"/>
        </w:rPr>
        <w:t>审核后分别为</w:t>
      </w:r>
      <w:r>
        <w:rPr>
          <w:rFonts w:hint="eastAsia" w:ascii="仿宋_GB2312" w:eastAsia="仿宋_GB2312"/>
          <w:color w:val="auto"/>
          <w:sz w:val="32"/>
          <w:szCs w:val="32"/>
          <w:highlight w:val="none"/>
          <w:lang w:val="en-US" w:eastAsia="zh-CN"/>
        </w:rPr>
        <w:t>补助机构数量为10家，补助机构新增注册资本总额达20亿元；补助机构数量7家，补助机构新增注册资本总额达40亿元，数量指标完成。</w:t>
      </w:r>
    </w:p>
    <w:p>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仿宋_GB2312" w:eastAsia="仿宋_GB2312"/>
          <w:color w:val="FF0000"/>
          <w:sz w:val="32"/>
          <w:szCs w:val="32"/>
          <w:highlight w:val="none"/>
          <w:lang w:val="en-US" w:eastAsia="zh-CN"/>
        </w:rPr>
      </w:pPr>
      <w:r>
        <w:rPr>
          <w:rFonts w:hint="eastAsia" w:ascii="仿宋_GB2312" w:eastAsia="仿宋_GB2312"/>
          <w:color w:val="auto"/>
          <w:sz w:val="32"/>
          <w:szCs w:val="32"/>
          <w:highlight w:val="none"/>
          <w:lang w:val="en-US" w:eastAsia="zh-CN"/>
        </w:rPr>
        <w:t>2.质量指标，指标分值5分，得分5分。</w:t>
      </w:r>
    </w:p>
    <w:p>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质量指标为政策符合度，考核项目单位是否按照《青岛市支持金融业高质量发展政策措施》（青政办发[2021]9号）等相关文件对申报企业及资料进行审核，确定补助机构及补助金额。经审核，项目单位执行过程清晰严密，2023年共有17家金融机构符合补助条件，2023年应发放补助金额3,294.89万元，补助机构的认定和补助金额的计算均符合政策规定。</w:t>
      </w:r>
    </w:p>
    <w:p>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3.时效指标，指标分值5分，得分2.5分。</w:t>
      </w:r>
    </w:p>
    <w:p>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已</w:t>
      </w:r>
      <w:r>
        <w:rPr>
          <w:rFonts w:hint="default" w:ascii="仿宋_GB2312" w:eastAsia="仿宋_GB2312"/>
          <w:color w:val="auto"/>
          <w:sz w:val="32"/>
          <w:szCs w:val="32"/>
          <w:highlight w:val="none"/>
          <w:lang w:val="en-US" w:eastAsia="zh-CN"/>
        </w:rPr>
        <w:t>按照</w:t>
      </w:r>
      <w:r>
        <w:rPr>
          <w:rFonts w:hint="eastAsia" w:ascii="仿宋_GB2312" w:eastAsia="仿宋_GB2312"/>
          <w:color w:val="auto"/>
          <w:sz w:val="32"/>
          <w:szCs w:val="32"/>
          <w:highlight w:val="none"/>
          <w:lang w:val="en-US" w:eastAsia="zh-CN"/>
        </w:rPr>
        <w:t>政策实施细则中的办理流程</w:t>
      </w:r>
      <w:r>
        <w:rPr>
          <w:rFonts w:hint="default" w:ascii="仿宋_GB2312" w:eastAsia="仿宋_GB2312"/>
          <w:color w:val="auto"/>
          <w:sz w:val="32"/>
          <w:szCs w:val="32"/>
          <w:highlight w:val="none"/>
          <w:lang w:val="en-US" w:eastAsia="zh-CN"/>
        </w:rPr>
        <w:t>对</w:t>
      </w:r>
      <w:r>
        <w:rPr>
          <w:rFonts w:hint="eastAsia" w:ascii="仿宋_GB2312" w:eastAsia="仿宋_GB2312"/>
          <w:color w:val="auto"/>
          <w:sz w:val="32"/>
          <w:szCs w:val="32"/>
          <w:highlight w:val="none"/>
          <w:lang w:val="en-US" w:eastAsia="zh-CN"/>
        </w:rPr>
        <w:t>申报资料完成审核，但审核资料中</w:t>
      </w:r>
      <w:r>
        <w:rPr>
          <w:rFonts w:hint="eastAsia" w:eastAsia="仿宋_GB2312"/>
          <w:sz w:val="32"/>
          <w:szCs w:val="32"/>
          <w:highlight w:val="none"/>
          <w:lang w:val="en-US" w:eastAsia="zh-CN"/>
        </w:rPr>
        <w:t>无审核单位意见的时间</w:t>
      </w:r>
      <w:r>
        <w:rPr>
          <w:rFonts w:hint="eastAsia" w:ascii="仿宋_GB2312" w:eastAsia="仿宋_GB2312"/>
          <w:color w:val="auto"/>
          <w:sz w:val="32"/>
          <w:szCs w:val="32"/>
          <w:highlight w:val="none"/>
          <w:lang w:val="en-US" w:eastAsia="zh-CN"/>
        </w:rPr>
        <w:t>，未关注补助资金发放及到位情况，补助资金发放时间未按照资金拨付通知执行，2023年度预算资金尚未执行完毕，监管不到位，扣2.5分</w:t>
      </w:r>
      <w:r>
        <w:rPr>
          <w:rFonts w:hint="default" w:ascii="仿宋_GB2312" w:eastAsia="仿宋_GB2312"/>
          <w:color w:val="auto"/>
          <w:sz w:val="32"/>
          <w:szCs w:val="32"/>
          <w:highlight w:val="none"/>
          <w:lang w:val="en-US" w:eastAsia="zh-CN"/>
        </w:rPr>
        <w:t>。</w:t>
      </w:r>
    </w:p>
    <w:p>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4.成本指标，指标分值5分，得分5分。</w:t>
      </w:r>
    </w:p>
    <w:p>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eastAsia="仿宋_GB2312"/>
          <w:color w:val="FF0000"/>
          <w:sz w:val="32"/>
          <w:szCs w:val="32"/>
          <w:highlight w:val="none"/>
          <w:lang w:val="en-US" w:eastAsia="zh-CN"/>
        </w:rPr>
      </w:pPr>
      <w:r>
        <w:rPr>
          <w:rFonts w:hint="eastAsia" w:ascii="仿宋_GB2312" w:eastAsia="仿宋_GB2312"/>
          <w:color w:val="auto"/>
          <w:sz w:val="32"/>
          <w:szCs w:val="32"/>
          <w:highlight w:val="none"/>
          <w:lang w:val="en-US" w:eastAsia="zh-CN"/>
        </w:rPr>
        <w:t>成本指标为补助资金额</w:t>
      </w:r>
      <w:r>
        <w:rPr>
          <w:rFonts w:hint="default" w:ascii="仿宋_GB2312" w:eastAsia="仿宋_GB2312"/>
          <w:color w:val="auto"/>
          <w:sz w:val="32"/>
          <w:szCs w:val="32"/>
          <w:highlight w:val="none"/>
          <w:lang w:eastAsia="zh-CN"/>
        </w:rPr>
        <w:t>，考核</w:t>
      </w:r>
      <w:r>
        <w:rPr>
          <w:rFonts w:hint="eastAsia" w:ascii="仿宋_GB2312" w:eastAsia="仿宋_GB2312"/>
          <w:color w:val="auto"/>
          <w:sz w:val="32"/>
          <w:szCs w:val="32"/>
          <w:highlight w:val="none"/>
          <w:lang w:val="en-US" w:eastAsia="zh-CN"/>
        </w:rPr>
        <w:t>核准补助资金是否超预算，2023年应发放补助金额为3,294.89 万元，预算金额3,294.90 万元，未超过预算金额。</w:t>
      </w:r>
    </w:p>
    <w:p>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仿宋_GB2312" w:eastAsia="仿宋_GB2312"/>
          <w:color w:val="FF0000"/>
          <w:sz w:val="32"/>
          <w:szCs w:val="32"/>
          <w:highlight w:val="none"/>
          <w:lang w:val="en-US" w:eastAsia="zh-CN"/>
        </w:rPr>
      </w:pPr>
      <w:r>
        <w:rPr>
          <w:rFonts w:hint="eastAsia" w:ascii="仿宋_GB2312" w:eastAsia="仿宋_GB2312"/>
          <w:color w:val="auto"/>
          <w:sz w:val="32"/>
          <w:szCs w:val="32"/>
          <w:highlight w:val="none"/>
          <w:lang w:val="en-US" w:eastAsia="zh-CN"/>
        </w:rPr>
        <w:t>5.经济效益，指标分值5分，得分5分。</w:t>
      </w:r>
    </w:p>
    <w:p>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反映政策对地区金融业税收收入的影响。根据《青岛年鉴》，2022年金融业实现税收225.3亿元，2023年金融业实现税收231.2亿元，税收增长率2.62%，按照评分标准，金融业实现税收增长率大于2%，得满分。</w:t>
      </w:r>
    </w:p>
    <w:p>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6.社会效益，指标分值10分，得分9分。</w:t>
      </w:r>
    </w:p>
    <w:p>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金融业增加值，根据《青岛年鉴》，2022年青岛市实现金融业增加值990.9亿元，增长6.9%，高于全市GDP增速3个百分点；金融业增加值占全市GDP的比重为6.6%。2023年金融业增加值达到1040.9亿元，同比增长6.5%，高于GDP增速0.6个百分点。金融业增加值增长高于GDP增速，按照评分标准得满分。</w:t>
      </w:r>
    </w:p>
    <w:p>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（2）政策知晓度，反映政策宣传效果。根据对受益群体问卷调查结果，认为宣传基本到位，但存在不够详细的现象 ，扣1分。</w:t>
      </w:r>
    </w:p>
    <w:p>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7.可持续性影响，指标分值5分，得分4分。</w:t>
      </w:r>
    </w:p>
    <w:p>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可持续影响</w:t>
      </w:r>
      <w:r>
        <w:rPr>
          <w:rFonts w:hint="default" w:ascii="仿宋_GB2312" w:eastAsia="仿宋_GB2312"/>
          <w:color w:val="auto"/>
          <w:sz w:val="32"/>
          <w:szCs w:val="32"/>
          <w:highlight w:val="none"/>
          <w:lang w:val="en-US" w:eastAsia="zh-CN"/>
        </w:rPr>
        <w:t>反映</w:t>
      </w:r>
      <w:r>
        <w:rPr>
          <w:rFonts w:hint="eastAsia" w:ascii="仿宋_GB2312" w:eastAsia="仿宋_GB2312"/>
          <w:color w:val="auto"/>
          <w:sz w:val="32"/>
          <w:szCs w:val="32"/>
          <w:highlight w:val="none"/>
          <w:lang w:val="en-US" w:eastAsia="zh-CN"/>
        </w:rPr>
        <w:t>补助</w:t>
      </w:r>
      <w:r>
        <w:rPr>
          <w:rFonts w:hint="default" w:ascii="仿宋_GB2312" w:eastAsia="仿宋_GB2312"/>
          <w:color w:val="auto"/>
          <w:sz w:val="32"/>
          <w:szCs w:val="32"/>
          <w:highlight w:val="none"/>
          <w:lang w:val="en-US" w:eastAsia="zh-CN"/>
        </w:rPr>
        <w:t>政策实施对青岛市金融业高质量发展</w:t>
      </w:r>
      <w:r>
        <w:rPr>
          <w:rFonts w:hint="eastAsia" w:ascii="仿宋_GB2312" w:eastAsia="仿宋_GB2312"/>
          <w:color w:val="auto"/>
          <w:sz w:val="32"/>
          <w:szCs w:val="32"/>
          <w:highlight w:val="none"/>
          <w:lang w:val="en-US" w:eastAsia="zh-CN"/>
        </w:rPr>
        <w:t>、</w:t>
      </w:r>
      <w:r>
        <w:rPr>
          <w:rFonts w:hint="default" w:ascii="仿宋_GB2312" w:eastAsia="仿宋_GB2312"/>
          <w:color w:val="auto"/>
          <w:sz w:val="32"/>
          <w:szCs w:val="32"/>
          <w:highlight w:val="none"/>
          <w:lang w:val="en-US" w:eastAsia="zh-CN"/>
        </w:rPr>
        <w:t>促进金融资源聚集</w:t>
      </w:r>
      <w:r>
        <w:rPr>
          <w:rFonts w:hint="eastAsia" w:ascii="仿宋_GB2312" w:eastAsia="仿宋_GB2312"/>
          <w:color w:val="auto"/>
          <w:sz w:val="32"/>
          <w:szCs w:val="32"/>
          <w:highlight w:val="none"/>
          <w:lang w:val="en-US" w:eastAsia="zh-CN"/>
        </w:rPr>
        <w:t>的长远</w:t>
      </w:r>
      <w:r>
        <w:rPr>
          <w:rFonts w:hint="default" w:ascii="仿宋_GB2312" w:eastAsia="仿宋_GB2312"/>
          <w:color w:val="auto"/>
          <w:sz w:val="32"/>
          <w:szCs w:val="32"/>
          <w:highlight w:val="none"/>
          <w:lang w:val="en-US" w:eastAsia="zh-CN"/>
        </w:rPr>
        <w:t>影响。</w:t>
      </w:r>
      <w:r>
        <w:rPr>
          <w:rFonts w:hint="eastAsia" w:ascii="仿宋_GB2312" w:eastAsia="仿宋_GB2312"/>
          <w:color w:val="auto"/>
          <w:sz w:val="32"/>
          <w:szCs w:val="32"/>
          <w:highlight w:val="none"/>
          <w:lang w:val="en-US" w:eastAsia="zh-CN"/>
        </w:rPr>
        <w:t>2021年至2023年落户青岛的金融机构以分支机构为主，金融机构实力排名相对靠后，地方金融机构综合实力仍然不强，如中州期货、和融期货、华创期货评级为BB级，评级较低、排名靠后，存在影响金融高质量发展可持续性的因素，扣1分。</w:t>
      </w:r>
    </w:p>
    <w:p>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8.服务对象满意度，指标分值15分，得分15分。</w:t>
      </w:r>
    </w:p>
    <w:p>
      <w:pPr>
        <w:keepNext w:val="0"/>
        <w:keepLines w:val="0"/>
        <w:pageBreakBefore w:val="0"/>
        <w:widowControl w:val="0"/>
        <w:suppressAutoHyphens/>
        <w:kinsoku/>
        <w:wordWrap/>
        <w:overflowPunct w:val="0"/>
        <w:topLinePunct w:val="0"/>
        <w:autoSpaceDE/>
        <w:autoSpaceDN/>
        <w:bidi w:val="0"/>
        <w:adjustRightInd w:val="0"/>
        <w:snapToGrid w:val="0"/>
        <w:spacing w:line="560" w:lineRule="exact"/>
        <w:ind w:left="0" w:leftChars="0" w:firstLine="640" w:firstLineChars="200"/>
        <w:jc w:val="both"/>
        <w:textAlignment w:val="auto"/>
        <w:outlineLvl w:val="9"/>
        <w:rPr>
          <w:rFonts w:hint="eastAsia" w:ascii="楷体_GB2312" w:hAnsi="楷体_GB2312" w:eastAsia="楷体_GB2312" w:cs="楷体_GB2312"/>
          <w:color w:val="auto"/>
          <w:sz w:val="32"/>
          <w:szCs w:val="32"/>
          <w:highlight w:val="none"/>
          <w:lang w:val="en-US" w:eastAsia="zh-CN"/>
        </w:rPr>
      </w:pPr>
      <w:r>
        <w:rPr>
          <w:rFonts w:hint="default" w:ascii="仿宋_GB2312" w:eastAsia="仿宋_GB2312"/>
          <w:color w:val="auto"/>
          <w:sz w:val="32"/>
          <w:szCs w:val="32"/>
          <w:highlight w:val="none"/>
          <w:lang w:val="en-US" w:eastAsia="zh-CN"/>
        </w:rPr>
        <w:t>反映</w:t>
      </w:r>
      <w:r>
        <w:rPr>
          <w:rFonts w:hint="eastAsia" w:ascii="仿宋_GB2312" w:eastAsia="仿宋_GB2312"/>
          <w:color w:val="auto"/>
          <w:sz w:val="32"/>
          <w:szCs w:val="32"/>
          <w:highlight w:val="none"/>
          <w:lang w:val="en-US" w:eastAsia="zh-CN"/>
        </w:rPr>
        <w:t>补助对象</w:t>
      </w:r>
      <w:r>
        <w:rPr>
          <w:rFonts w:hint="default" w:ascii="仿宋_GB2312" w:eastAsia="仿宋_GB2312"/>
          <w:color w:val="auto"/>
          <w:sz w:val="32"/>
          <w:szCs w:val="32"/>
          <w:highlight w:val="none"/>
          <w:lang w:val="en-US" w:eastAsia="zh-CN"/>
        </w:rPr>
        <w:t>对</w:t>
      </w:r>
      <w:r>
        <w:rPr>
          <w:rFonts w:hint="eastAsia" w:ascii="仿宋_GB2312" w:eastAsia="仿宋_GB2312"/>
          <w:color w:val="auto"/>
          <w:sz w:val="32"/>
          <w:szCs w:val="32"/>
          <w:highlight w:val="none"/>
          <w:lang w:val="en-US" w:eastAsia="zh-CN"/>
        </w:rPr>
        <w:t>补助</w:t>
      </w:r>
      <w:r>
        <w:rPr>
          <w:rFonts w:hint="default" w:ascii="仿宋_GB2312" w:eastAsia="仿宋_GB2312"/>
          <w:color w:val="auto"/>
          <w:sz w:val="32"/>
          <w:szCs w:val="32"/>
          <w:highlight w:val="none"/>
          <w:lang w:val="en-US" w:eastAsia="zh-CN"/>
        </w:rPr>
        <w:t>政策实施情况的满意程度。</w:t>
      </w:r>
      <w:r>
        <w:rPr>
          <w:rFonts w:hint="eastAsia" w:ascii="仿宋_GB2312" w:eastAsia="仿宋_GB2312"/>
          <w:color w:val="auto"/>
          <w:sz w:val="32"/>
          <w:szCs w:val="32"/>
          <w:highlight w:val="none"/>
          <w:lang w:val="en-US" w:eastAsia="zh-CN"/>
        </w:rPr>
        <w:t>根据调查问卷，补助企业的满意程度大于90%，得满分。</w:t>
      </w:r>
    </w:p>
    <w:bookmarkEnd w:id="72"/>
    <w:bookmarkEnd w:id="77"/>
    <w:p>
      <w:pPr>
        <w:keepNext w:val="0"/>
        <w:keepLines w:val="0"/>
        <w:pageBreakBefore w:val="0"/>
        <w:widowControl w:val="0"/>
        <w:numPr>
          <w:ilvl w:val="0"/>
          <w:numId w:val="1"/>
        </w:numPr>
        <w:suppressAutoHyphens/>
        <w:kinsoku/>
        <w:wordWrap/>
        <w:overflowPunct w:val="0"/>
        <w:topLinePunct w:val="0"/>
        <w:autoSpaceDE/>
        <w:autoSpaceDN/>
        <w:bidi w:val="0"/>
        <w:adjustRightInd w:val="0"/>
        <w:snapToGrid w:val="0"/>
        <w:spacing w:line="560" w:lineRule="exact"/>
        <w:ind w:left="0" w:leftChars="0" w:firstLine="640" w:firstLineChars="200"/>
        <w:jc w:val="both"/>
        <w:textAlignment w:val="auto"/>
        <w:outlineLvl w:val="0"/>
        <w:rPr>
          <w:rFonts w:hint="eastAsia" w:ascii="Times New Roman" w:hAnsi="Times New Roman" w:eastAsia="黑体" w:cs="Times New Roman"/>
          <w:color w:val="auto"/>
          <w:sz w:val="32"/>
          <w:szCs w:val="32"/>
          <w:highlight w:val="none"/>
          <w:lang w:val="en-US" w:eastAsia="zh-CN"/>
        </w:rPr>
      </w:pPr>
      <w:bookmarkStart w:id="80" w:name="_Toc11025"/>
      <w:bookmarkStart w:id="81" w:name="_Toc10370"/>
      <w:bookmarkStart w:id="82" w:name="_Toc26991"/>
      <w:r>
        <w:rPr>
          <w:rFonts w:hint="eastAsia" w:ascii="Times New Roman" w:hAnsi="Times New Roman" w:eastAsia="黑体" w:cs="Times New Roman"/>
          <w:color w:val="auto"/>
          <w:sz w:val="32"/>
          <w:szCs w:val="32"/>
          <w:highlight w:val="none"/>
          <w:lang w:val="en-US" w:eastAsia="zh-CN"/>
        </w:rPr>
        <w:t>成本绩效分析</w:t>
      </w:r>
      <w:bookmarkEnd w:id="80"/>
      <w:bookmarkEnd w:id="81"/>
    </w:p>
    <w:p>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楷体" w:hAnsi="楷体" w:eastAsia="楷体" w:cs="楷体"/>
          <w:color w:val="auto"/>
          <w:sz w:val="32"/>
          <w:szCs w:val="32"/>
          <w:highlight w:val="none"/>
          <w:lang w:val="en-US" w:eastAsia="zh-CN"/>
        </w:rPr>
      </w:pPr>
      <w:r>
        <w:rPr>
          <w:rFonts w:hint="eastAsia" w:ascii="楷体" w:hAnsi="楷体" w:eastAsia="楷体" w:cs="楷体"/>
          <w:color w:val="auto"/>
          <w:sz w:val="32"/>
          <w:szCs w:val="32"/>
          <w:highlight w:val="none"/>
          <w:lang w:val="en-US" w:eastAsia="zh-CN"/>
        </w:rPr>
        <w:t>（一）政策支出标准</w:t>
      </w:r>
    </w:p>
    <w:p>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仿宋_GB2312" w:eastAsia="仿宋_GB2312"/>
          <w:color w:val="auto"/>
          <w:sz w:val="32"/>
          <w:szCs w:val="32"/>
          <w:highlight w:val="none"/>
          <w:lang w:val="en-US" w:eastAsia="zh-CN"/>
        </w:rPr>
      </w:pPr>
      <w:r>
        <w:rPr>
          <w:rFonts w:hint="default" w:ascii="仿宋_GB2312" w:eastAsia="仿宋_GB2312"/>
          <w:color w:val="auto"/>
          <w:sz w:val="32"/>
          <w:szCs w:val="32"/>
          <w:highlight w:val="none"/>
          <w:lang w:val="en-US" w:eastAsia="zh-CN"/>
        </w:rPr>
        <w:t>2023年度市级财政预算金额3,294.90万元，实际拨付金额 3,294.89万元，实际执行到位3,169.89 万元，预算执行率96.21%。</w:t>
      </w:r>
    </w:p>
    <w:p>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楷体" w:hAnsi="楷体" w:eastAsia="楷体" w:cs="楷体"/>
          <w:color w:val="auto"/>
          <w:sz w:val="32"/>
          <w:szCs w:val="32"/>
          <w:highlight w:val="none"/>
          <w:lang w:val="en-US" w:eastAsia="zh-CN"/>
        </w:rPr>
      </w:pPr>
      <w:r>
        <w:rPr>
          <w:rFonts w:hint="eastAsia" w:ascii="楷体" w:hAnsi="楷体" w:eastAsia="楷体" w:cs="楷体"/>
          <w:color w:val="auto"/>
          <w:sz w:val="32"/>
          <w:szCs w:val="32"/>
          <w:highlight w:val="none"/>
          <w:lang w:val="en-US" w:eastAsia="zh-CN"/>
        </w:rPr>
        <w:t>（二）成本控制情况</w:t>
      </w:r>
    </w:p>
    <w:p>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仿宋_GB2312" w:eastAsia="仿宋_GB2312"/>
          <w:color w:val="auto"/>
          <w:sz w:val="32"/>
          <w:szCs w:val="32"/>
          <w:highlight w:val="none"/>
          <w:lang w:val="en-US" w:eastAsia="zh-CN"/>
        </w:rPr>
      </w:pPr>
      <w:r>
        <w:rPr>
          <w:rFonts w:hint="default" w:ascii="仿宋_GB2312" w:eastAsia="仿宋_GB2312"/>
          <w:color w:val="auto"/>
          <w:sz w:val="32"/>
          <w:szCs w:val="32"/>
          <w:highlight w:val="none"/>
          <w:lang w:val="en-US" w:eastAsia="zh-CN"/>
        </w:rPr>
        <w:t>2023年度青岛市地方金融监管局根据《实施细则》组织开展了2021-2022年聚集金融资源补助申报、审核等有关工作，符合条件的金融机构通过所在区（市）金融主管部门申报，区（市）金融主管部门会同财政部门出具审核意见后，连同申报材料报送市地方金融监管局。市地方金融监管局征求驻青金融监管机构意见后出具审核意见。</w:t>
      </w:r>
    </w:p>
    <w:p>
      <w:pPr>
        <w:pStyle w:val="30"/>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仿宋_GB2312" w:eastAsia="仿宋_GB2312"/>
          <w:color w:val="auto"/>
          <w:sz w:val="32"/>
          <w:szCs w:val="32"/>
          <w:highlight w:val="none"/>
          <w:lang w:val="en-US" w:eastAsia="zh-CN"/>
        </w:rPr>
      </w:pPr>
      <w:r>
        <w:rPr>
          <w:rFonts w:hint="default" w:ascii="仿宋_GB2312" w:eastAsia="仿宋_GB2312"/>
          <w:color w:val="auto"/>
          <w:sz w:val="32"/>
          <w:szCs w:val="32"/>
          <w:highlight w:val="none"/>
          <w:lang w:val="en-US" w:eastAsia="zh-CN"/>
        </w:rPr>
        <w:t>本次评价未发现补助金额有超标准、超范围的情况，2023年应发放补助金额为3,294.89万元，未超过预算金额。</w:t>
      </w:r>
    </w:p>
    <w:p>
      <w:pPr>
        <w:keepNext w:val="0"/>
        <w:keepLines w:val="0"/>
        <w:pageBreakBefore w:val="0"/>
        <w:widowControl w:val="0"/>
        <w:suppressAutoHyphens/>
        <w:kinsoku/>
        <w:wordWrap/>
        <w:overflowPunct w:val="0"/>
        <w:topLinePunct w:val="0"/>
        <w:autoSpaceDE/>
        <w:autoSpaceDN/>
        <w:bidi w:val="0"/>
        <w:adjustRightInd w:val="0"/>
        <w:snapToGrid w:val="0"/>
        <w:spacing w:line="560" w:lineRule="exact"/>
        <w:ind w:firstLine="640" w:firstLineChars="200"/>
        <w:jc w:val="both"/>
        <w:textAlignment w:val="auto"/>
        <w:outlineLvl w:val="0"/>
        <w:rPr>
          <w:rFonts w:hint="default" w:ascii="Times New Roman" w:hAnsi="Times New Roman" w:eastAsia="黑体" w:cs="Times New Roman"/>
          <w:color w:val="auto"/>
          <w:sz w:val="32"/>
          <w:szCs w:val="32"/>
          <w:highlight w:val="none"/>
          <w:lang w:val="en-US" w:eastAsia="zh-CN"/>
        </w:rPr>
      </w:pPr>
      <w:bookmarkStart w:id="83" w:name="_Toc21438"/>
      <w:bookmarkStart w:id="84" w:name="_Toc8711"/>
      <w:r>
        <w:rPr>
          <w:rFonts w:hint="eastAsia" w:ascii="Times New Roman" w:hAnsi="Times New Roman" w:eastAsia="黑体" w:cs="Times New Roman"/>
          <w:color w:val="auto"/>
          <w:sz w:val="32"/>
          <w:szCs w:val="32"/>
          <w:highlight w:val="none"/>
          <w:lang w:val="en-US" w:eastAsia="zh-CN"/>
        </w:rPr>
        <w:t>五、政策实施成效和主要经验和做法</w:t>
      </w:r>
      <w:bookmarkEnd w:id="83"/>
      <w:bookmarkEnd w:id="84"/>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eastAsia="仿宋_GB2312"/>
          <w:color w:val="auto"/>
          <w:sz w:val="32"/>
          <w:szCs w:val="32"/>
          <w:highlight w:val="none"/>
          <w:lang w:val="en-US" w:eastAsia="zh-CN"/>
        </w:rPr>
      </w:pPr>
      <w:bookmarkStart w:id="85" w:name="_Toc2006"/>
      <w:r>
        <w:rPr>
          <w:rFonts w:hint="eastAsia" w:ascii="仿宋_GB2312" w:eastAsia="仿宋_GB2312"/>
          <w:color w:val="auto"/>
          <w:sz w:val="32"/>
          <w:szCs w:val="32"/>
          <w:highlight w:val="none"/>
          <w:lang w:val="en-US" w:eastAsia="zh-CN"/>
        </w:rPr>
        <w:t>根据《关于印发青岛市支持金融业高质量发展政策措施的通知》（青政办发〔2021〕9 号）组织开展2021-2022年聚集金融资源补助资金申报工作，确定奖励10家新设立或新引进的金融机构奖补资金2460万元，奖励7家增资的现有法人金融机构奖补资金834.89万元。受奖补的10家新设立或新引进的金融机构2022年从业人员为201人，2023年从业人员为225人，进一步带动我市金融业就业数量。受奖补的7家现有法人金融机构实现增资82.17亿元，我市法人金融机构进一步做优做强。17家受奖补机构2022年实现全口径税收16.06亿元，地方级税收7.81亿元，为青岛市地方经济发展作出贡献。</w:t>
      </w:r>
    </w:p>
    <w:p>
      <w:pPr>
        <w:keepNext w:val="0"/>
        <w:keepLines w:val="0"/>
        <w:pageBreakBefore w:val="0"/>
        <w:widowControl w:val="0"/>
        <w:suppressAutoHyphens/>
        <w:kinsoku/>
        <w:wordWrap/>
        <w:overflowPunct w:val="0"/>
        <w:topLinePunct w:val="0"/>
        <w:autoSpaceDE/>
        <w:autoSpaceDN/>
        <w:bidi w:val="0"/>
        <w:adjustRightInd w:val="0"/>
        <w:snapToGrid w:val="0"/>
        <w:spacing w:line="560" w:lineRule="exact"/>
        <w:ind w:firstLine="640" w:firstLineChars="200"/>
        <w:jc w:val="both"/>
        <w:textAlignment w:val="auto"/>
        <w:outlineLvl w:val="0"/>
        <w:rPr>
          <w:rFonts w:hint="eastAsia" w:ascii="Times New Roman" w:hAnsi="Times New Roman" w:eastAsia="黑体" w:cs="Times New Roman"/>
          <w:color w:val="auto"/>
          <w:sz w:val="32"/>
          <w:szCs w:val="32"/>
          <w:highlight w:val="none"/>
          <w:lang w:val="en-US" w:eastAsia="zh-CN"/>
        </w:rPr>
      </w:pPr>
      <w:bookmarkStart w:id="86" w:name="_Toc2656"/>
      <w:r>
        <w:rPr>
          <w:rFonts w:hint="eastAsia" w:ascii="Times New Roman" w:hAnsi="Times New Roman" w:eastAsia="黑体" w:cs="Times New Roman"/>
          <w:color w:val="auto"/>
          <w:sz w:val="32"/>
          <w:szCs w:val="32"/>
          <w:highlight w:val="none"/>
          <w:lang w:val="en-US" w:eastAsia="zh-CN"/>
        </w:rPr>
        <w:t>六、存在问题及原因分析</w:t>
      </w:r>
      <w:bookmarkEnd w:id="73"/>
      <w:bookmarkEnd w:id="74"/>
      <w:bookmarkEnd w:id="75"/>
      <w:bookmarkEnd w:id="82"/>
      <w:bookmarkEnd w:id="85"/>
      <w:bookmarkEnd w:id="86"/>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楷体" w:hAnsi="楷体" w:eastAsia="楷体" w:cs="楷体"/>
          <w:color w:val="auto"/>
          <w:sz w:val="32"/>
          <w:szCs w:val="32"/>
          <w:highlight w:val="none"/>
          <w:lang w:val="en-US" w:eastAsia="zh-CN"/>
        </w:rPr>
      </w:pPr>
      <w:r>
        <w:rPr>
          <w:rFonts w:hint="eastAsia" w:ascii="楷体" w:hAnsi="楷体" w:eastAsia="楷体" w:cs="楷体"/>
          <w:color w:val="auto"/>
          <w:sz w:val="32"/>
          <w:szCs w:val="32"/>
          <w:highlight w:val="none"/>
          <w:lang w:val="en-US" w:eastAsia="zh-CN"/>
        </w:rPr>
        <w:t>（一）业务管理方面</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2023年度市级补助资金拨付到区市，但个别区市未将资金及时支付给补助机构。按区市反映2023年应发放补助资金3,294.89万元用于补助2021-2022年符合条件的金融机构，已发放3,169.89万元，未发放 125.00万元。其中，2023年8月31日前实际发放250.00万元，占比7.59%，所属区市为市南区；2023年8月31日至2024年7月19日实际发放2,919.89万元，占比88.62%，所属区市为崂山区；截至2024年9月30日，未发放 125.00万元，占比3.79%，所属区市为李沧区。</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楷体" w:hAnsi="楷体" w:eastAsia="楷体" w:cs="楷体"/>
          <w:color w:val="auto"/>
          <w:sz w:val="32"/>
          <w:szCs w:val="32"/>
          <w:highlight w:val="none"/>
          <w:lang w:val="en-US" w:eastAsia="zh-CN"/>
        </w:rPr>
      </w:pPr>
      <w:r>
        <w:rPr>
          <w:rFonts w:hint="eastAsia" w:ascii="楷体" w:hAnsi="楷体" w:eastAsia="楷体" w:cs="楷体"/>
          <w:color w:val="auto"/>
          <w:sz w:val="32"/>
          <w:szCs w:val="32"/>
          <w:highlight w:val="none"/>
          <w:lang w:val="en-US" w:eastAsia="zh-CN"/>
        </w:rPr>
        <w:t>（二）政策制定方面</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本政策属于给予特定经营者补贴类政策，单纯依靠补贴政策可能导致企业和城市市场机制和行业发展的不可持续，降低市场的竞争度。</w:t>
      </w:r>
      <w:r>
        <w:rPr>
          <w:rFonts w:hint="default" w:ascii="仿宋_GB2312" w:eastAsia="仿宋_GB2312"/>
          <w:color w:val="auto"/>
          <w:sz w:val="32"/>
          <w:szCs w:val="32"/>
          <w:highlight w:val="none"/>
          <w:lang w:val="en-US" w:eastAsia="zh-CN"/>
        </w:rPr>
        <w:t>金融机构选择落地何处，需要考虑城市的综合实力，包括经济实力、资本市场活跃度、金融机构聚集度以及营商环境等要素</w:t>
      </w:r>
      <w:r>
        <w:rPr>
          <w:rFonts w:hint="eastAsia" w:ascii="仿宋_GB2312" w:eastAsia="仿宋_GB2312"/>
          <w:color w:val="auto"/>
          <w:sz w:val="32"/>
          <w:szCs w:val="32"/>
          <w:highlight w:val="none"/>
          <w:lang w:val="en-US" w:eastAsia="zh-CN"/>
        </w:rPr>
        <w:t>，因此</w:t>
      </w:r>
      <w:r>
        <w:rPr>
          <w:rFonts w:hint="default" w:ascii="仿宋_GB2312" w:eastAsia="仿宋_GB2312"/>
          <w:color w:val="auto"/>
          <w:sz w:val="32"/>
          <w:szCs w:val="32"/>
          <w:highlight w:val="none"/>
          <w:lang w:val="en-US" w:eastAsia="zh-CN"/>
        </w:rPr>
        <w:t>提升城市综合实力、优化营商环境是吸引金融机构落户的关键因素</w:t>
      </w:r>
      <w:r>
        <w:rPr>
          <w:rFonts w:hint="eastAsia" w:ascii="仿宋_GB2312" w:eastAsia="仿宋_GB2312"/>
          <w:color w:val="auto"/>
          <w:sz w:val="32"/>
          <w:szCs w:val="32"/>
          <w:highlight w:val="none"/>
          <w:lang w:val="en-US" w:eastAsia="zh-CN"/>
        </w:rPr>
        <w:t xml:space="preserve">。通过对标其他先进城市的金融政策，本政策有较大的调整空间。     </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楷体" w:hAnsi="楷体" w:eastAsia="楷体" w:cs="楷体"/>
          <w:color w:val="auto"/>
          <w:sz w:val="32"/>
          <w:szCs w:val="32"/>
          <w:highlight w:val="none"/>
          <w:lang w:val="en-US" w:eastAsia="zh-CN"/>
        </w:rPr>
      </w:pPr>
      <w:r>
        <w:rPr>
          <w:rFonts w:hint="eastAsia" w:ascii="楷体" w:hAnsi="楷体" w:eastAsia="楷体" w:cs="楷体"/>
          <w:color w:val="auto"/>
          <w:sz w:val="32"/>
          <w:szCs w:val="32"/>
          <w:highlight w:val="none"/>
          <w:lang w:val="en-US" w:eastAsia="zh-CN"/>
        </w:rPr>
        <w:t>（三）资金管理方面</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实施细则》有待进一步优化。一是申报审核流程、资金拨付流程没有制定时间节点，不利于有效控制审核进度；二是资金拨付流程，市地方金融监管局向市财政局提报拨付申请，市财政局将资金拨付给区市财政局，区市财政局会同区市补助一起发放给受补助机构。这种资金拨付流程涉及部门多，责任不明确，不利于监管补助资金实际到位情况。</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楷体" w:hAnsi="楷体" w:eastAsia="楷体" w:cs="楷体"/>
          <w:color w:val="auto"/>
          <w:sz w:val="32"/>
          <w:szCs w:val="32"/>
          <w:highlight w:val="none"/>
          <w:lang w:val="en-US" w:eastAsia="zh-CN"/>
        </w:rPr>
      </w:pPr>
      <w:r>
        <w:rPr>
          <w:rFonts w:hint="eastAsia" w:ascii="楷体" w:hAnsi="楷体" w:eastAsia="楷体" w:cs="楷体"/>
          <w:color w:val="auto"/>
          <w:sz w:val="32"/>
          <w:szCs w:val="32"/>
          <w:highlight w:val="none"/>
          <w:lang w:val="en-US" w:eastAsia="zh-CN"/>
        </w:rPr>
        <w:t>（四）绩效评价方面</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围绕政策目标设置的绩效指标偏低。本项目年度目标主要指标为新设立或新引进的金融机构等补助资金，补助机构新增注册资本总额≥20亿元，带动就业数量≥100人；现有法人金融机构增资补助资金，补助机构新增注册资本总额≥40亿元，金融机构税收贡献≥1亿元。本项目实际实施成效为受奖补的10家新设立或新引进的金融机构2022年从业人员为201人，2023年从业人员为225人；受奖补的7家现有法人金融机构实现增资82.17亿元；17家受奖补机构2022年实现全口径税收16.06亿元，地方级税收7.81亿元，实际完成值远高于年初设定的绩效指标。</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楷体" w:hAnsi="楷体" w:eastAsia="楷体" w:cs="楷体"/>
          <w:color w:val="auto"/>
          <w:sz w:val="32"/>
          <w:szCs w:val="32"/>
          <w:highlight w:val="none"/>
          <w:lang w:val="en-US" w:eastAsia="zh-CN"/>
        </w:rPr>
      </w:pPr>
      <w:r>
        <w:rPr>
          <w:rFonts w:hint="eastAsia" w:ascii="楷体" w:hAnsi="楷体" w:eastAsia="楷体" w:cs="楷体"/>
          <w:color w:val="auto"/>
          <w:sz w:val="32"/>
          <w:szCs w:val="32"/>
          <w:highlight w:val="none"/>
          <w:lang w:val="en-US" w:eastAsia="zh-CN"/>
        </w:rPr>
        <w:t>（五）政策产出方面</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落户青岛的金融机构以分支机构为主，部分金融机构实力排名相对靠后，地方金融机构综合实力仍然不强。2023年度新引进金融机构及分支机构排名或评级如下：</w:t>
      </w:r>
    </w:p>
    <w:tbl>
      <w:tblPr>
        <w:tblStyle w:val="21"/>
        <w:tblW w:w="97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7"/>
        <w:gridCol w:w="3879"/>
        <w:gridCol w:w="1264"/>
        <w:gridCol w:w="40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7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序号</w:t>
            </w:r>
          </w:p>
        </w:tc>
        <w:tc>
          <w:tcPr>
            <w:tcW w:w="387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资金拨付对象</w:t>
            </w:r>
          </w:p>
        </w:tc>
        <w:tc>
          <w:tcPr>
            <w:tcW w:w="12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市级财政承担额</w:t>
            </w:r>
          </w:p>
        </w:tc>
        <w:tc>
          <w:tcPr>
            <w:tcW w:w="405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排名及评级情况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1"/>
                <w:szCs w:val="21"/>
                <w:highlight w:val="none"/>
                <w:u w:val="none"/>
              </w:rPr>
            </w:pPr>
          </w:p>
        </w:tc>
        <w:tc>
          <w:tcPr>
            <w:tcW w:w="387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1"/>
                <w:szCs w:val="21"/>
                <w:highlight w:val="none"/>
                <w:u w:val="none"/>
              </w:rPr>
            </w:pPr>
          </w:p>
        </w:tc>
        <w:tc>
          <w:tcPr>
            <w:tcW w:w="1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highlight w:val="none"/>
                <w:u w:val="none"/>
              </w:rPr>
            </w:pPr>
          </w:p>
        </w:tc>
        <w:tc>
          <w:tcPr>
            <w:tcW w:w="4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7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387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恒丰理财有限责任公司</w:t>
            </w:r>
          </w:p>
        </w:tc>
        <w:tc>
          <w:tcPr>
            <w:tcW w:w="12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2,000.00</w:t>
            </w:r>
          </w:p>
        </w:tc>
        <w:tc>
          <w:tcPr>
            <w:tcW w:w="405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2023年银行理财能力综合排行榜-全国性理财机构（共23家）第17位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1"/>
                <w:szCs w:val="21"/>
                <w:highlight w:val="none"/>
                <w:u w:val="none"/>
              </w:rPr>
            </w:pPr>
          </w:p>
        </w:tc>
        <w:tc>
          <w:tcPr>
            <w:tcW w:w="387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1"/>
                <w:szCs w:val="21"/>
                <w:highlight w:val="none"/>
                <w:u w:val="none"/>
              </w:rPr>
            </w:pPr>
          </w:p>
        </w:tc>
        <w:tc>
          <w:tcPr>
            <w:tcW w:w="1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highlight w:val="none"/>
                <w:u w:val="none"/>
              </w:rPr>
            </w:pPr>
          </w:p>
        </w:tc>
        <w:tc>
          <w:tcPr>
            <w:tcW w:w="40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38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交银人寿保险有限公司青岛分公司</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100.00</w:t>
            </w:r>
          </w:p>
        </w:tc>
        <w:tc>
          <w:tcPr>
            <w:tcW w:w="40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2023年寿险公司保险业务收入排名榜第26位（共76家）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38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英大泰和人寿保险股份有限公司青岛分公司</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100.00</w:t>
            </w:r>
          </w:p>
        </w:tc>
        <w:tc>
          <w:tcPr>
            <w:tcW w:w="40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2023年寿险公司保险业务收入排名榜第29位（共76家）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38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中信保诚人寿保险有限公司青岛分公司</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100.00</w:t>
            </w:r>
          </w:p>
        </w:tc>
        <w:tc>
          <w:tcPr>
            <w:tcW w:w="40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2023年寿险公司保险业务收入排名榜第17位（共76家）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38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华福证券有限责任公司青岛分公司</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50.00</w:t>
            </w:r>
          </w:p>
        </w:tc>
        <w:tc>
          <w:tcPr>
            <w:tcW w:w="40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2023年证券公司总资产排名约第40位（106家参与排名）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38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宁证期货有限责任公司青岛分公司</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25.00</w:t>
            </w:r>
          </w:p>
        </w:tc>
        <w:tc>
          <w:tcPr>
            <w:tcW w:w="40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期货公司评级BBB级</w:t>
            </w:r>
            <w:r>
              <w:rPr>
                <w:rFonts w:hint="eastAsia" w:ascii="宋体" w:hAnsi="宋体" w:eastAsia="宋体" w:cs="宋体"/>
                <w:i w:val="0"/>
                <w:iCs w:val="0"/>
                <w:color w:val="000000"/>
                <w:kern w:val="0"/>
                <w:sz w:val="21"/>
                <w:szCs w:val="21"/>
                <w:highlight w:val="none"/>
                <w:u w:val="none"/>
                <w:lang w:val="en-US" w:eastAsia="zh-CN" w:bidi="ar"/>
              </w:rPr>
              <w:br w:type="textWrapp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38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和融期货有限责任公司青岛分公司</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25.00</w:t>
            </w:r>
          </w:p>
        </w:tc>
        <w:tc>
          <w:tcPr>
            <w:tcW w:w="40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期货公司评级BB级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38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华创期货有限责任公司山东分公司</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25.00</w:t>
            </w:r>
          </w:p>
        </w:tc>
        <w:tc>
          <w:tcPr>
            <w:tcW w:w="40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期货公司评级BB级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38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金瑞期货股份有限公司青岛分公司</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10.00</w:t>
            </w:r>
          </w:p>
        </w:tc>
        <w:tc>
          <w:tcPr>
            <w:tcW w:w="40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期货公司评级A级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38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中州期货有限公司青岛分公司</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25.00</w:t>
            </w:r>
          </w:p>
        </w:tc>
        <w:tc>
          <w:tcPr>
            <w:tcW w:w="40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期货公司评级BB级</w:t>
            </w:r>
          </w:p>
        </w:tc>
      </w:tr>
    </w:tbl>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根据中国期货业协会发布的2023年度期货公司分类评级，AA级共22家，A级共33家，BBB级共42家，BB级共34家，2023年补助的金融机构分支机构如中州期货、和融期货、华创期货评级为BB级，评级较低、排名靠后。</w:t>
      </w:r>
    </w:p>
    <w:p>
      <w:pPr>
        <w:keepNext w:val="0"/>
        <w:keepLines w:val="0"/>
        <w:pageBreakBefore w:val="0"/>
        <w:widowControl w:val="0"/>
        <w:numPr>
          <w:ilvl w:val="0"/>
          <w:numId w:val="2"/>
        </w:numPr>
        <w:suppressAutoHyphens/>
        <w:kinsoku/>
        <w:wordWrap/>
        <w:overflowPunct w:val="0"/>
        <w:topLinePunct w:val="0"/>
        <w:autoSpaceDE/>
        <w:autoSpaceDN/>
        <w:bidi w:val="0"/>
        <w:adjustRightInd w:val="0"/>
        <w:snapToGrid w:val="0"/>
        <w:spacing w:line="560" w:lineRule="exact"/>
        <w:ind w:firstLine="640" w:firstLineChars="200"/>
        <w:jc w:val="both"/>
        <w:textAlignment w:val="auto"/>
        <w:outlineLvl w:val="0"/>
        <w:rPr>
          <w:rFonts w:hint="eastAsia" w:ascii="Times New Roman" w:hAnsi="Times New Roman" w:eastAsia="黑体" w:cs="Times New Roman"/>
          <w:color w:val="auto"/>
          <w:sz w:val="32"/>
          <w:szCs w:val="32"/>
          <w:highlight w:val="none"/>
        </w:rPr>
      </w:pPr>
      <w:bookmarkStart w:id="87" w:name="_Toc28203"/>
      <w:bookmarkStart w:id="88" w:name="_Toc27559"/>
      <w:bookmarkStart w:id="89" w:name="_Toc15942"/>
      <w:r>
        <w:rPr>
          <w:rFonts w:hint="eastAsia" w:ascii="Times New Roman" w:hAnsi="Times New Roman" w:eastAsia="黑体" w:cs="Times New Roman"/>
          <w:color w:val="auto"/>
          <w:sz w:val="32"/>
          <w:szCs w:val="32"/>
          <w:highlight w:val="none"/>
          <w:lang w:val="en-US" w:eastAsia="zh-CN"/>
        </w:rPr>
        <w:t>相关</w:t>
      </w:r>
      <w:r>
        <w:rPr>
          <w:rFonts w:hint="eastAsia" w:ascii="Times New Roman" w:hAnsi="Times New Roman" w:eastAsia="黑体" w:cs="Times New Roman"/>
          <w:color w:val="auto"/>
          <w:sz w:val="32"/>
          <w:szCs w:val="32"/>
          <w:highlight w:val="none"/>
        </w:rPr>
        <w:t>建议</w:t>
      </w:r>
      <w:bookmarkEnd w:id="87"/>
      <w:bookmarkEnd w:id="88"/>
      <w:bookmarkEnd w:id="89"/>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楷体" w:hAnsi="楷体" w:eastAsia="楷体" w:cs="楷体"/>
          <w:color w:val="auto"/>
          <w:sz w:val="32"/>
          <w:szCs w:val="32"/>
          <w:highlight w:val="none"/>
          <w:lang w:val="en-US" w:eastAsia="zh-CN"/>
        </w:rPr>
      </w:pPr>
      <w:r>
        <w:rPr>
          <w:rFonts w:hint="eastAsia" w:ascii="楷体" w:hAnsi="楷体" w:eastAsia="楷体" w:cs="楷体"/>
          <w:color w:val="auto"/>
          <w:sz w:val="32"/>
          <w:szCs w:val="32"/>
          <w:highlight w:val="none"/>
          <w:lang w:val="en-US" w:eastAsia="zh-CN"/>
        </w:rPr>
        <w:t>（一）建议进一步完善政策制订相关流程，提高业务管理水平</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严格执行实施细则对资金分配和拨付、部门职责等方面的规定，保证财政资金及时支付给受补助机构，提高财政资金的使用效率。</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楷体" w:hAnsi="楷体" w:eastAsia="楷体" w:cs="楷体"/>
          <w:color w:val="auto"/>
          <w:sz w:val="32"/>
          <w:szCs w:val="32"/>
          <w:highlight w:val="none"/>
          <w:lang w:val="en-US" w:eastAsia="zh-CN"/>
        </w:rPr>
      </w:pPr>
      <w:r>
        <w:rPr>
          <w:rFonts w:hint="eastAsia" w:ascii="楷体" w:hAnsi="楷体" w:eastAsia="楷体" w:cs="楷体"/>
          <w:color w:val="auto"/>
          <w:sz w:val="32"/>
          <w:szCs w:val="32"/>
          <w:highlight w:val="none"/>
          <w:lang w:val="en-US" w:eastAsia="zh-CN"/>
        </w:rPr>
        <w:t>（二）建议进一步优化政策措施</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建议进一步优化政策措施，学习其他城市政策优秀经验，进行预算编制工作时，综合统筹考虑地区经济发展水平、宏观经济运行情况、行业最新发展情况以及政府财力保障情况，结合部门年度重点工作任务，开拓新思路新方法，大力支持金融聚集相关产业发展，加大人才引进力度，提高政府服务水平，利用大数据分析系统建立起完善的补助资金分析测算</w:t>
      </w:r>
      <w:r>
        <w:rPr>
          <w:rFonts w:hint="default" w:ascii="仿宋_GB2312" w:eastAsia="仿宋_GB2312"/>
          <w:color w:val="auto"/>
          <w:sz w:val="32"/>
          <w:szCs w:val="32"/>
          <w:highlight w:val="none"/>
          <w:lang w:val="en-US" w:eastAsia="zh-CN"/>
        </w:rPr>
        <w:t>路径</w:t>
      </w:r>
      <w:r>
        <w:rPr>
          <w:rFonts w:hint="eastAsia" w:ascii="仿宋_GB2312" w:eastAsia="仿宋_GB2312"/>
          <w:color w:val="auto"/>
          <w:sz w:val="32"/>
          <w:szCs w:val="32"/>
          <w:highlight w:val="none"/>
          <w:lang w:val="en-US" w:eastAsia="zh-CN"/>
        </w:rPr>
        <w:t>，有针对性地开展研究，科学合理设置补助标准，提升预算编制的预见性、准确性、完整性和科学性，提高预算编制水平，合理安排下年度预算，推动青岛金融业实现高质量发展。</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楷体" w:hAnsi="楷体" w:eastAsia="楷体" w:cs="楷体"/>
          <w:color w:val="auto"/>
          <w:sz w:val="32"/>
          <w:szCs w:val="32"/>
          <w:highlight w:val="none"/>
          <w:lang w:val="en-US" w:eastAsia="zh-CN"/>
        </w:rPr>
      </w:pPr>
      <w:r>
        <w:rPr>
          <w:rFonts w:hint="eastAsia" w:ascii="仿宋_GB2312" w:eastAsia="仿宋_GB2312"/>
          <w:color w:val="auto"/>
          <w:sz w:val="32"/>
          <w:szCs w:val="32"/>
          <w:highlight w:val="none"/>
          <w:lang w:val="en-US" w:eastAsia="zh-CN"/>
        </w:rPr>
        <w:t>（</w:t>
      </w:r>
      <w:r>
        <w:rPr>
          <w:rFonts w:hint="eastAsia" w:ascii="楷体" w:hAnsi="楷体" w:eastAsia="楷体" w:cs="楷体"/>
          <w:color w:val="auto"/>
          <w:sz w:val="32"/>
          <w:szCs w:val="32"/>
          <w:highlight w:val="none"/>
          <w:lang w:val="en-US" w:eastAsia="zh-CN"/>
        </w:rPr>
        <w:t>三）建议进一步完善实施细则加强资金管理</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一是申报审核流程、资金拨付流程应制定时间节点，有效控制审核进度；二是优化资金拨付流程，明确监管责任，保证政策的有效实施。</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楷体" w:hAnsi="楷体" w:eastAsia="楷体" w:cs="楷体"/>
          <w:color w:val="auto"/>
          <w:sz w:val="32"/>
          <w:szCs w:val="32"/>
          <w:highlight w:val="none"/>
          <w:lang w:val="en-US" w:eastAsia="zh-CN"/>
        </w:rPr>
      </w:pPr>
      <w:r>
        <w:rPr>
          <w:rFonts w:hint="eastAsia" w:ascii="楷体" w:hAnsi="楷体" w:eastAsia="楷体" w:cs="楷体"/>
          <w:color w:val="auto"/>
          <w:sz w:val="32"/>
          <w:szCs w:val="32"/>
          <w:highlight w:val="none"/>
          <w:lang w:val="en-US" w:eastAsia="zh-CN"/>
        </w:rPr>
        <w:t>（四）建议加强绩效管理工作</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充分认识绩效评价工作的重要性，树立绩效理念，在厘清绩效目标与指标内涵的基础上，制定符合项目特点、可衡量、可考核的效益指标，提高项目绩效目标的科学性、全面性和可评价性。</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建议项目单位围绕实现聚集优质金融资源、推动金融业高质量发展的政策目标，设定相关、合理的数量、质量、效益等产出指标，全面深入的对政策绩效进行评价。</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楷体" w:hAnsi="楷体" w:eastAsia="楷体" w:cs="楷体"/>
          <w:color w:val="auto"/>
          <w:sz w:val="32"/>
          <w:szCs w:val="32"/>
          <w:highlight w:val="none"/>
          <w:lang w:val="en-US" w:eastAsia="zh-CN"/>
        </w:rPr>
      </w:pPr>
      <w:r>
        <w:rPr>
          <w:rFonts w:hint="eastAsia" w:ascii="楷体" w:hAnsi="楷体" w:eastAsia="楷体" w:cs="楷体"/>
          <w:color w:val="auto"/>
          <w:sz w:val="32"/>
          <w:szCs w:val="32"/>
          <w:highlight w:val="none"/>
          <w:lang w:val="en-US" w:eastAsia="zh-CN"/>
        </w:rPr>
        <w:t>（五）建议加强金融扶持政策梳理整合，以金融业提质增效为目标，更好的发挥金融发展对青岛市经济的带动效果</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 xml:space="preserve"> 梳理整合优化现有金融产业补助政策，参考监管机构的监管评级或行业协会的行业评级，结合青岛市金融发展环境以及新增金融机构情况，综合考虑金融机构的业务拓展广度和深度、市场准入、业务资质、创新试点等，在引进高端金融机构方面加大力度，提升政策效能，更好的完成政策目标。</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eastAsia="仿宋_GB2312"/>
          <w:color w:val="auto"/>
          <w:sz w:val="32"/>
          <w:szCs w:val="32"/>
          <w:highlight w:val="none"/>
          <w:lang w:val="en-US" w:eastAsia="zh-CN"/>
        </w:rPr>
      </w:pP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eastAsia="仿宋_GB2312"/>
          <w:color w:val="auto"/>
          <w:sz w:val="32"/>
          <w:szCs w:val="32"/>
          <w:highlight w:val="none"/>
          <w:lang w:val="en-US" w:eastAsia="zh-CN"/>
        </w:rPr>
      </w:pP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附件：1.绩效评价指标体系</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1600" w:firstLineChars="5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2.绩效评价打分表</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1600" w:firstLineChars="5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3.绩效评价问题建议清单</w:t>
      </w:r>
    </w:p>
    <w:p>
      <w:pPr>
        <w:pStyle w:val="30"/>
        <w:keepNext w:val="0"/>
        <w:keepLines w:val="0"/>
        <w:pageBreakBefore w:val="0"/>
        <w:widowControl w:val="0"/>
        <w:kinsoku/>
        <w:wordWrap/>
        <w:overflowPunct/>
        <w:topLinePunct w:val="0"/>
        <w:autoSpaceDE/>
        <w:autoSpaceDN/>
        <w:bidi w:val="0"/>
        <w:adjustRightInd w:val="0"/>
        <w:snapToGrid w:val="0"/>
        <w:spacing w:line="560" w:lineRule="exact"/>
        <w:ind w:firstLine="1600" w:firstLineChars="5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4.满意度调查问卷及统计分析报告</w:t>
      </w:r>
    </w:p>
    <w:p>
      <w:pPr>
        <w:pStyle w:val="64"/>
        <w:jc w:val="center"/>
        <w:outlineLvl w:val="9"/>
        <w:rPr>
          <w:rFonts w:hint="eastAsia" w:ascii="Times New Roman" w:hAnsi="Times New Roman" w:eastAsia="黑体" w:cs="Times New Roman"/>
          <w:bCs/>
          <w:color w:val="auto"/>
          <w:spacing w:val="-20"/>
          <w:kern w:val="44"/>
          <w:sz w:val="32"/>
          <w:szCs w:val="44"/>
          <w:highlight w:val="none"/>
          <w:lang w:val="en-US" w:eastAsia="zh-CN" w:bidi="ar-SA"/>
        </w:rPr>
      </w:pPr>
    </w:p>
    <w:sectPr>
      <w:footerReference r:id="rId4" w:type="default"/>
      <w:pgSz w:w="11906" w:h="16838"/>
      <w:pgMar w:top="1582" w:right="1502" w:bottom="1582" w:left="1502"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文星简黑体">
    <w:altName w:val="黑体"/>
    <w:panose1 w:val="00000000000000000000"/>
    <w:charset w:val="86"/>
    <w:family w:val="roman"/>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enter" w:pos="4422"/>
        <w:tab w:val="clear" w:pos="4153"/>
      </w:tabs>
      <w:spacing w:before="120"/>
      <w:rPr>
        <w:rFonts w:hint="default" w:eastAsia="仿宋"/>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default" w:ascii="Times New Roman" w:hAnsi="Times New Roman" w:cs="Times New Roman" w:eastAsiaTheme="minorEastAsia"/>
                              <w:sz w:val="18"/>
                              <w:szCs w:val="18"/>
                            </w:rPr>
                          </w:pPr>
                          <w:r>
                            <w:rPr>
                              <w:rFonts w:hint="default" w:ascii="Times New Roman" w:hAnsi="Times New Roman" w:cs="Times New Roman" w:eastAsiaTheme="minorEastAsia"/>
                              <w:sz w:val="18"/>
                              <w:szCs w:val="18"/>
                            </w:rPr>
                            <w:fldChar w:fldCharType="begin"/>
                          </w:r>
                          <w:r>
                            <w:rPr>
                              <w:rFonts w:hint="default" w:ascii="Times New Roman" w:hAnsi="Times New Roman" w:cs="Times New Roman" w:eastAsiaTheme="minorEastAsia"/>
                              <w:sz w:val="18"/>
                              <w:szCs w:val="18"/>
                            </w:rPr>
                            <w:instrText xml:space="preserve"> PAGE  \* MERGEFORMAT </w:instrText>
                          </w:r>
                          <w:r>
                            <w:rPr>
                              <w:rFonts w:hint="default" w:ascii="Times New Roman" w:hAnsi="Times New Roman" w:cs="Times New Roman" w:eastAsiaTheme="minorEastAsia"/>
                              <w:sz w:val="18"/>
                              <w:szCs w:val="18"/>
                            </w:rPr>
                            <w:fldChar w:fldCharType="separate"/>
                          </w:r>
                          <w:r>
                            <w:rPr>
                              <w:rFonts w:hint="default" w:ascii="Times New Roman" w:hAnsi="Times New Roman" w:cs="Times New Roman" w:eastAsiaTheme="minorEastAsia"/>
                              <w:sz w:val="18"/>
                              <w:szCs w:val="18"/>
                            </w:rPr>
                            <w:t>1</w:t>
                          </w:r>
                          <w:r>
                            <w:rPr>
                              <w:rFonts w:hint="default" w:ascii="Times New Roman" w:hAnsi="Times New Roman" w:cs="Times New Roman" w:eastAsiaTheme="minorEastAsia"/>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1"/>
                      <w:rPr>
                        <w:rFonts w:hint="default" w:ascii="Times New Roman" w:hAnsi="Times New Roman" w:cs="Times New Roman" w:eastAsiaTheme="minorEastAsia"/>
                        <w:sz w:val="18"/>
                        <w:szCs w:val="18"/>
                      </w:rPr>
                    </w:pPr>
                    <w:r>
                      <w:rPr>
                        <w:rFonts w:hint="default" w:ascii="Times New Roman" w:hAnsi="Times New Roman" w:cs="Times New Roman" w:eastAsiaTheme="minorEastAsia"/>
                        <w:sz w:val="18"/>
                        <w:szCs w:val="18"/>
                      </w:rPr>
                      <w:fldChar w:fldCharType="begin"/>
                    </w:r>
                    <w:r>
                      <w:rPr>
                        <w:rFonts w:hint="default" w:ascii="Times New Roman" w:hAnsi="Times New Roman" w:cs="Times New Roman" w:eastAsiaTheme="minorEastAsia"/>
                        <w:sz w:val="18"/>
                        <w:szCs w:val="18"/>
                      </w:rPr>
                      <w:instrText xml:space="preserve"> PAGE  \* MERGEFORMAT </w:instrText>
                    </w:r>
                    <w:r>
                      <w:rPr>
                        <w:rFonts w:hint="default" w:ascii="Times New Roman" w:hAnsi="Times New Roman" w:cs="Times New Roman" w:eastAsiaTheme="minorEastAsia"/>
                        <w:sz w:val="18"/>
                        <w:szCs w:val="18"/>
                      </w:rPr>
                      <w:fldChar w:fldCharType="separate"/>
                    </w:r>
                    <w:r>
                      <w:rPr>
                        <w:rFonts w:hint="default" w:ascii="Times New Roman" w:hAnsi="Times New Roman" w:cs="Times New Roman" w:eastAsiaTheme="minorEastAsia"/>
                        <w:sz w:val="18"/>
                        <w:szCs w:val="18"/>
                      </w:rPr>
                      <w:t>1</w:t>
                    </w:r>
                    <w:r>
                      <w:rPr>
                        <w:rFonts w:hint="default" w:ascii="Times New Roman" w:hAnsi="Times New Roman" w:cs="Times New Roman" w:eastAsiaTheme="minorEastAsia"/>
                        <w:sz w:val="18"/>
                        <w:szCs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14"/>
        <w:snapToGrid w:val="0"/>
        <w:rPr>
          <w:rFonts w:hint="default"/>
          <w:lang w:val="en-US"/>
        </w:rPr>
      </w:pPr>
      <w:r>
        <w:rPr>
          <w:rStyle w:val="29"/>
        </w:rPr>
        <w:footnoteRef/>
      </w:r>
      <w:r>
        <w:rPr>
          <w:rFonts w:hint="eastAsia" w:ascii="仿宋_GB2312" w:eastAsia="仿宋_GB2312"/>
          <w:color w:val="auto"/>
          <w:sz w:val="21"/>
          <w:szCs w:val="21"/>
          <w:highlight w:val="none"/>
          <w:lang w:val="en-US" w:eastAsia="zh-CN"/>
        </w:rPr>
        <w:t xml:space="preserve"> 《中共青岛市委 青岛市人民政府关于青岛市机构改革的实施意见》（青发〔2024〕1号）文件要求，组建市委金融委员会，市委金融委员会办公室主要承担市委金融委员会的日常工作，不再保留市地方金</w:t>
      </w:r>
      <w:r>
        <w:rPr>
          <w:rFonts w:hint="eastAsia" w:ascii="仿宋_GB2312" w:hAnsi="仿宋_GB2312" w:eastAsia="仿宋_GB2312" w:cs="仿宋_GB2312"/>
          <w:color w:val="auto"/>
          <w:sz w:val="21"/>
          <w:szCs w:val="21"/>
          <w:highlight w:val="none"/>
          <w:lang w:val="en-US" w:eastAsia="zh-CN"/>
        </w:rPr>
        <w:t>融监督管理局，本报告对2023</w:t>
      </w:r>
      <w:r>
        <w:rPr>
          <w:rFonts w:hint="eastAsia" w:ascii="仿宋_GB2312" w:eastAsia="仿宋_GB2312"/>
          <w:color w:val="auto"/>
          <w:sz w:val="21"/>
          <w:szCs w:val="21"/>
          <w:highlight w:val="none"/>
          <w:lang w:val="en-US" w:eastAsia="zh-CN"/>
        </w:rPr>
        <w:t>年</w:t>
      </w:r>
      <w:r>
        <w:rPr>
          <w:rFonts w:hint="default" w:ascii="仿宋_GB2312" w:eastAsia="仿宋_GB2312"/>
          <w:color w:val="auto"/>
          <w:sz w:val="21"/>
          <w:szCs w:val="21"/>
          <w:highlight w:val="none"/>
          <w:lang w:val="en-US" w:eastAsia="zh-CN"/>
        </w:rPr>
        <w:t>促进金融资源聚集</w:t>
      </w:r>
      <w:r>
        <w:rPr>
          <w:rFonts w:hint="eastAsia" w:ascii="仿宋_GB2312" w:eastAsia="仿宋_GB2312"/>
          <w:color w:val="auto"/>
          <w:sz w:val="21"/>
          <w:szCs w:val="21"/>
          <w:highlight w:val="none"/>
          <w:lang w:val="en-US" w:eastAsia="zh-CN"/>
        </w:rPr>
        <w:t>政策进行评价，故报告中部分表述仍采用市地方金</w:t>
      </w:r>
      <w:r>
        <w:rPr>
          <w:rFonts w:hint="eastAsia" w:ascii="仿宋_GB2312" w:hAnsi="仿宋_GB2312" w:eastAsia="仿宋_GB2312" w:cs="仿宋_GB2312"/>
          <w:color w:val="auto"/>
          <w:sz w:val="21"/>
          <w:szCs w:val="21"/>
          <w:highlight w:val="none"/>
          <w:lang w:val="en-US" w:eastAsia="zh-CN"/>
        </w:rPr>
        <w:t>融监督管理局。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B1D247"/>
    <w:multiLevelType w:val="singleLevel"/>
    <w:tmpl w:val="9CB1D247"/>
    <w:lvl w:ilvl="0" w:tentative="0">
      <w:start w:val="4"/>
      <w:numFmt w:val="chineseCounting"/>
      <w:suff w:val="nothing"/>
      <w:lvlText w:val="%1、"/>
      <w:lvlJc w:val="left"/>
      <w:rPr>
        <w:rFonts w:hint="eastAsia"/>
      </w:rPr>
    </w:lvl>
  </w:abstractNum>
  <w:abstractNum w:abstractNumId="1">
    <w:nsid w:val="FD8B34B7"/>
    <w:multiLevelType w:val="singleLevel"/>
    <w:tmpl w:val="FD8B34B7"/>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BjYTEzZDY1ZGMxNWIwNTEyOWViY2M3YTk3YzZlYTcifQ=="/>
  </w:docVars>
  <w:rsids>
    <w:rsidRoot w:val="00172A27"/>
    <w:rsid w:val="000018EE"/>
    <w:rsid w:val="00002C5F"/>
    <w:rsid w:val="00002DA1"/>
    <w:rsid w:val="00003A95"/>
    <w:rsid w:val="00005042"/>
    <w:rsid w:val="00005B41"/>
    <w:rsid w:val="000064F2"/>
    <w:rsid w:val="0000737F"/>
    <w:rsid w:val="00007457"/>
    <w:rsid w:val="00011A92"/>
    <w:rsid w:val="00011AF0"/>
    <w:rsid w:val="00011FF8"/>
    <w:rsid w:val="00012B98"/>
    <w:rsid w:val="000136B7"/>
    <w:rsid w:val="00014737"/>
    <w:rsid w:val="0001514E"/>
    <w:rsid w:val="00015FB3"/>
    <w:rsid w:val="00016FD6"/>
    <w:rsid w:val="0002289F"/>
    <w:rsid w:val="00023BC3"/>
    <w:rsid w:val="000245AF"/>
    <w:rsid w:val="00024B5D"/>
    <w:rsid w:val="00024FF9"/>
    <w:rsid w:val="00025698"/>
    <w:rsid w:val="00025C2F"/>
    <w:rsid w:val="00026692"/>
    <w:rsid w:val="00026ECF"/>
    <w:rsid w:val="00027F7B"/>
    <w:rsid w:val="0003042E"/>
    <w:rsid w:val="000324DF"/>
    <w:rsid w:val="00034139"/>
    <w:rsid w:val="00034A82"/>
    <w:rsid w:val="00034C36"/>
    <w:rsid w:val="0003597E"/>
    <w:rsid w:val="00035E9B"/>
    <w:rsid w:val="00036660"/>
    <w:rsid w:val="0004027F"/>
    <w:rsid w:val="00040D7F"/>
    <w:rsid w:val="00041487"/>
    <w:rsid w:val="00041968"/>
    <w:rsid w:val="00041BC6"/>
    <w:rsid w:val="000447FF"/>
    <w:rsid w:val="0004651C"/>
    <w:rsid w:val="00047DA7"/>
    <w:rsid w:val="000505F2"/>
    <w:rsid w:val="0005186B"/>
    <w:rsid w:val="00056A64"/>
    <w:rsid w:val="00056D8E"/>
    <w:rsid w:val="000620CA"/>
    <w:rsid w:val="00062677"/>
    <w:rsid w:val="00063794"/>
    <w:rsid w:val="000662C2"/>
    <w:rsid w:val="00070623"/>
    <w:rsid w:val="00071E3D"/>
    <w:rsid w:val="000723AC"/>
    <w:rsid w:val="00072ABB"/>
    <w:rsid w:val="00075EF9"/>
    <w:rsid w:val="000764C2"/>
    <w:rsid w:val="00077228"/>
    <w:rsid w:val="000801C3"/>
    <w:rsid w:val="000802E0"/>
    <w:rsid w:val="000804DF"/>
    <w:rsid w:val="00083685"/>
    <w:rsid w:val="00085BF9"/>
    <w:rsid w:val="00091C56"/>
    <w:rsid w:val="00091D2C"/>
    <w:rsid w:val="00094407"/>
    <w:rsid w:val="00094EED"/>
    <w:rsid w:val="00096A8E"/>
    <w:rsid w:val="00096E52"/>
    <w:rsid w:val="000A0558"/>
    <w:rsid w:val="000A06C2"/>
    <w:rsid w:val="000A166E"/>
    <w:rsid w:val="000A2401"/>
    <w:rsid w:val="000B01C1"/>
    <w:rsid w:val="000B0671"/>
    <w:rsid w:val="000B5290"/>
    <w:rsid w:val="000B631E"/>
    <w:rsid w:val="000B67B8"/>
    <w:rsid w:val="000B7FB3"/>
    <w:rsid w:val="000C0742"/>
    <w:rsid w:val="000C10AE"/>
    <w:rsid w:val="000C12F1"/>
    <w:rsid w:val="000C2069"/>
    <w:rsid w:val="000C27EE"/>
    <w:rsid w:val="000C2A99"/>
    <w:rsid w:val="000C3F41"/>
    <w:rsid w:val="000C4B59"/>
    <w:rsid w:val="000C5A21"/>
    <w:rsid w:val="000C7BFD"/>
    <w:rsid w:val="000D054D"/>
    <w:rsid w:val="000D3F7E"/>
    <w:rsid w:val="000D4F67"/>
    <w:rsid w:val="000D6CB9"/>
    <w:rsid w:val="000D7862"/>
    <w:rsid w:val="000E2CBA"/>
    <w:rsid w:val="000E5DEE"/>
    <w:rsid w:val="000E5EC1"/>
    <w:rsid w:val="000E6E3B"/>
    <w:rsid w:val="000F14CD"/>
    <w:rsid w:val="000F18A2"/>
    <w:rsid w:val="000F2102"/>
    <w:rsid w:val="000F222E"/>
    <w:rsid w:val="000F2E9A"/>
    <w:rsid w:val="000F70FC"/>
    <w:rsid w:val="001004B9"/>
    <w:rsid w:val="0010168D"/>
    <w:rsid w:val="00102682"/>
    <w:rsid w:val="00102AFF"/>
    <w:rsid w:val="00102E62"/>
    <w:rsid w:val="001038DC"/>
    <w:rsid w:val="00104600"/>
    <w:rsid w:val="00106366"/>
    <w:rsid w:val="001071F8"/>
    <w:rsid w:val="0010736B"/>
    <w:rsid w:val="001120D9"/>
    <w:rsid w:val="00112EBF"/>
    <w:rsid w:val="001162B6"/>
    <w:rsid w:val="00116BFD"/>
    <w:rsid w:val="001204C4"/>
    <w:rsid w:val="00125188"/>
    <w:rsid w:val="0012668B"/>
    <w:rsid w:val="00130177"/>
    <w:rsid w:val="001301CB"/>
    <w:rsid w:val="001307A4"/>
    <w:rsid w:val="0013283E"/>
    <w:rsid w:val="00132EA7"/>
    <w:rsid w:val="00133362"/>
    <w:rsid w:val="00133634"/>
    <w:rsid w:val="0013464A"/>
    <w:rsid w:val="00136501"/>
    <w:rsid w:val="00142C20"/>
    <w:rsid w:val="001536FD"/>
    <w:rsid w:val="001553F4"/>
    <w:rsid w:val="00155D03"/>
    <w:rsid w:val="001560DB"/>
    <w:rsid w:val="00156838"/>
    <w:rsid w:val="00157EEC"/>
    <w:rsid w:val="00160187"/>
    <w:rsid w:val="00161C52"/>
    <w:rsid w:val="00170661"/>
    <w:rsid w:val="00170BA4"/>
    <w:rsid w:val="00171DDD"/>
    <w:rsid w:val="001725F0"/>
    <w:rsid w:val="0017568C"/>
    <w:rsid w:val="00175E74"/>
    <w:rsid w:val="001764AF"/>
    <w:rsid w:val="00176E6E"/>
    <w:rsid w:val="001772EF"/>
    <w:rsid w:val="001814DA"/>
    <w:rsid w:val="001823F5"/>
    <w:rsid w:val="001834D6"/>
    <w:rsid w:val="00185688"/>
    <w:rsid w:val="00185DC2"/>
    <w:rsid w:val="00186309"/>
    <w:rsid w:val="00187D24"/>
    <w:rsid w:val="00191B51"/>
    <w:rsid w:val="00192548"/>
    <w:rsid w:val="00193BB2"/>
    <w:rsid w:val="001942CF"/>
    <w:rsid w:val="001952B3"/>
    <w:rsid w:val="001A0A00"/>
    <w:rsid w:val="001A1421"/>
    <w:rsid w:val="001A2DFD"/>
    <w:rsid w:val="001A4ADE"/>
    <w:rsid w:val="001A56F1"/>
    <w:rsid w:val="001A6522"/>
    <w:rsid w:val="001A6C40"/>
    <w:rsid w:val="001B07B0"/>
    <w:rsid w:val="001B14DC"/>
    <w:rsid w:val="001B474B"/>
    <w:rsid w:val="001B4FC1"/>
    <w:rsid w:val="001B6173"/>
    <w:rsid w:val="001C146C"/>
    <w:rsid w:val="001C22EB"/>
    <w:rsid w:val="001C28B9"/>
    <w:rsid w:val="001C2B07"/>
    <w:rsid w:val="001C6508"/>
    <w:rsid w:val="001C76E7"/>
    <w:rsid w:val="001D0F78"/>
    <w:rsid w:val="001D1AA5"/>
    <w:rsid w:val="001D333F"/>
    <w:rsid w:val="001D463B"/>
    <w:rsid w:val="001D5120"/>
    <w:rsid w:val="001D5206"/>
    <w:rsid w:val="001D530B"/>
    <w:rsid w:val="001D70D5"/>
    <w:rsid w:val="001E161D"/>
    <w:rsid w:val="001E2F0D"/>
    <w:rsid w:val="001E345A"/>
    <w:rsid w:val="001E3D8E"/>
    <w:rsid w:val="001E41D0"/>
    <w:rsid w:val="001E4AD2"/>
    <w:rsid w:val="001E662E"/>
    <w:rsid w:val="001E737E"/>
    <w:rsid w:val="001F20F3"/>
    <w:rsid w:val="001F2825"/>
    <w:rsid w:val="001F6EB3"/>
    <w:rsid w:val="00201E5C"/>
    <w:rsid w:val="0020206E"/>
    <w:rsid w:val="00202A2A"/>
    <w:rsid w:val="00202B6E"/>
    <w:rsid w:val="00204E0C"/>
    <w:rsid w:val="002054A1"/>
    <w:rsid w:val="002064F3"/>
    <w:rsid w:val="00206662"/>
    <w:rsid w:val="002137E5"/>
    <w:rsid w:val="00213DE2"/>
    <w:rsid w:val="002175A0"/>
    <w:rsid w:val="002175C3"/>
    <w:rsid w:val="0021770C"/>
    <w:rsid w:val="00220379"/>
    <w:rsid w:val="002205E2"/>
    <w:rsid w:val="00220780"/>
    <w:rsid w:val="00221024"/>
    <w:rsid w:val="00221AA1"/>
    <w:rsid w:val="00222E38"/>
    <w:rsid w:val="00223990"/>
    <w:rsid w:val="00226106"/>
    <w:rsid w:val="002262EA"/>
    <w:rsid w:val="00226656"/>
    <w:rsid w:val="0022760A"/>
    <w:rsid w:val="00233740"/>
    <w:rsid w:val="00233EBA"/>
    <w:rsid w:val="0023666D"/>
    <w:rsid w:val="0023746B"/>
    <w:rsid w:val="00241D88"/>
    <w:rsid w:val="00242DDC"/>
    <w:rsid w:val="0024491E"/>
    <w:rsid w:val="002464ED"/>
    <w:rsid w:val="002473AC"/>
    <w:rsid w:val="00247441"/>
    <w:rsid w:val="0025020B"/>
    <w:rsid w:val="002524DC"/>
    <w:rsid w:val="002543CE"/>
    <w:rsid w:val="002544E5"/>
    <w:rsid w:val="0025503F"/>
    <w:rsid w:val="00255474"/>
    <w:rsid w:val="00255EDC"/>
    <w:rsid w:val="00257519"/>
    <w:rsid w:val="00257CA5"/>
    <w:rsid w:val="00261FAC"/>
    <w:rsid w:val="00262056"/>
    <w:rsid w:val="002647AD"/>
    <w:rsid w:val="00265CAE"/>
    <w:rsid w:val="00267EF5"/>
    <w:rsid w:val="00271A45"/>
    <w:rsid w:val="00271AB2"/>
    <w:rsid w:val="0027255E"/>
    <w:rsid w:val="00273BC2"/>
    <w:rsid w:val="00274465"/>
    <w:rsid w:val="002803E2"/>
    <w:rsid w:val="002842D5"/>
    <w:rsid w:val="00284347"/>
    <w:rsid w:val="00284E07"/>
    <w:rsid w:val="002861CF"/>
    <w:rsid w:val="00286917"/>
    <w:rsid w:val="002870DA"/>
    <w:rsid w:val="00290728"/>
    <w:rsid w:val="0029093C"/>
    <w:rsid w:val="00290B3D"/>
    <w:rsid w:val="00292B78"/>
    <w:rsid w:val="002952A2"/>
    <w:rsid w:val="00297C12"/>
    <w:rsid w:val="002A03CE"/>
    <w:rsid w:val="002A2723"/>
    <w:rsid w:val="002A27AA"/>
    <w:rsid w:val="002A2948"/>
    <w:rsid w:val="002A2C8D"/>
    <w:rsid w:val="002B2EE3"/>
    <w:rsid w:val="002B4F3A"/>
    <w:rsid w:val="002B58CE"/>
    <w:rsid w:val="002B68E5"/>
    <w:rsid w:val="002C30FD"/>
    <w:rsid w:val="002C3F19"/>
    <w:rsid w:val="002C440B"/>
    <w:rsid w:val="002C5758"/>
    <w:rsid w:val="002C638E"/>
    <w:rsid w:val="002C6E58"/>
    <w:rsid w:val="002C71C1"/>
    <w:rsid w:val="002D0732"/>
    <w:rsid w:val="002D0C28"/>
    <w:rsid w:val="002D1FA1"/>
    <w:rsid w:val="002D30C8"/>
    <w:rsid w:val="002D33E5"/>
    <w:rsid w:val="002D61BC"/>
    <w:rsid w:val="002E087F"/>
    <w:rsid w:val="002E1C54"/>
    <w:rsid w:val="002E22B3"/>
    <w:rsid w:val="002E2614"/>
    <w:rsid w:val="002E33F3"/>
    <w:rsid w:val="002F1192"/>
    <w:rsid w:val="002F1BEA"/>
    <w:rsid w:val="002F1CED"/>
    <w:rsid w:val="002F28F2"/>
    <w:rsid w:val="002F351E"/>
    <w:rsid w:val="002F41B9"/>
    <w:rsid w:val="002F5674"/>
    <w:rsid w:val="002F7914"/>
    <w:rsid w:val="00301463"/>
    <w:rsid w:val="00302198"/>
    <w:rsid w:val="003025F1"/>
    <w:rsid w:val="00307A95"/>
    <w:rsid w:val="00310F60"/>
    <w:rsid w:val="00311AD8"/>
    <w:rsid w:val="00312455"/>
    <w:rsid w:val="00312CAB"/>
    <w:rsid w:val="00315375"/>
    <w:rsid w:val="00315C01"/>
    <w:rsid w:val="003161E2"/>
    <w:rsid w:val="0031638D"/>
    <w:rsid w:val="003223CA"/>
    <w:rsid w:val="00322DAD"/>
    <w:rsid w:val="00325121"/>
    <w:rsid w:val="00325B41"/>
    <w:rsid w:val="0032608B"/>
    <w:rsid w:val="00327096"/>
    <w:rsid w:val="003278B2"/>
    <w:rsid w:val="00330F47"/>
    <w:rsid w:val="0033155F"/>
    <w:rsid w:val="00331EE2"/>
    <w:rsid w:val="00332AAE"/>
    <w:rsid w:val="00332B7D"/>
    <w:rsid w:val="00334957"/>
    <w:rsid w:val="00337798"/>
    <w:rsid w:val="003404BB"/>
    <w:rsid w:val="00341C60"/>
    <w:rsid w:val="00341EEA"/>
    <w:rsid w:val="003422C7"/>
    <w:rsid w:val="00342A5E"/>
    <w:rsid w:val="0034316F"/>
    <w:rsid w:val="003441EF"/>
    <w:rsid w:val="003447C4"/>
    <w:rsid w:val="0034628B"/>
    <w:rsid w:val="00351620"/>
    <w:rsid w:val="003531E2"/>
    <w:rsid w:val="00355DE7"/>
    <w:rsid w:val="003572C0"/>
    <w:rsid w:val="003602AE"/>
    <w:rsid w:val="00360907"/>
    <w:rsid w:val="00360988"/>
    <w:rsid w:val="003617B2"/>
    <w:rsid w:val="00362458"/>
    <w:rsid w:val="003626B0"/>
    <w:rsid w:val="00363281"/>
    <w:rsid w:val="003635C0"/>
    <w:rsid w:val="00365124"/>
    <w:rsid w:val="00366A56"/>
    <w:rsid w:val="00380AEA"/>
    <w:rsid w:val="00381304"/>
    <w:rsid w:val="00382352"/>
    <w:rsid w:val="00384150"/>
    <w:rsid w:val="00386257"/>
    <w:rsid w:val="00390EFE"/>
    <w:rsid w:val="0039282F"/>
    <w:rsid w:val="00392EFD"/>
    <w:rsid w:val="00395FA7"/>
    <w:rsid w:val="003967A8"/>
    <w:rsid w:val="00397A51"/>
    <w:rsid w:val="003A09EA"/>
    <w:rsid w:val="003A0A32"/>
    <w:rsid w:val="003A35F0"/>
    <w:rsid w:val="003A7AA4"/>
    <w:rsid w:val="003A7B33"/>
    <w:rsid w:val="003A7BFE"/>
    <w:rsid w:val="003B037F"/>
    <w:rsid w:val="003B46D6"/>
    <w:rsid w:val="003B4FDA"/>
    <w:rsid w:val="003B7B3D"/>
    <w:rsid w:val="003C0422"/>
    <w:rsid w:val="003C06C5"/>
    <w:rsid w:val="003C1CF1"/>
    <w:rsid w:val="003C498E"/>
    <w:rsid w:val="003C7A77"/>
    <w:rsid w:val="003D1F53"/>
    <w:rsid w:val="003D35F2"/>
    <w:rsid w:val="003D73E6"/>
    <w:rsid w:val="003D7F4E"/>
    <w:rsid w:val="003E05FC"/>
    <w:rsid w:val="003E1A37"/>
    <w:rsid w:val="003E250A"/>
    <w:rsid w:val="003E3A6B"/>
    <w:rsid w:val="003E49FF"/>
    <w:rsid w:val="003E4DC1"/>
    <w:rsid w:val="003F2EA5"/>
    <w:rsid w:val="003F2EFF"/>
    <w:rsid w:val="003F3DB9"/>
    <w:rsid w:val="003F447E"/>
    <w:rsid w:val="003F5F2A"/>
    <w:rsid w:val="003F6851"/>
    <w:rsid w:val="00400B24"/>
    <w:rsid w:val="004033C9"/>
    <w:rsid w:val="004069A2"/>
    <w:rsid w:val="00410C94"/>
    <w:rsid w:val="004137C7"/>
    <w:rsid w:val="00414179"/>
    <w:rsid w:val="0041590F"/>
    <w:rsid w:val="00416C2B"/>
    <w:rsid w:val="004236E4"/>
    <w:rsid w:val="004238BC"/>
    <w:rsid w:val="00423DE1"/>
    <w:rsid w:val="00425147"/>
    <w:rsid w:val="00425C47"/>
    <w:rsid w:val="004271F0"/>
    <w:rsid w:val="0042722C"/>
    <w:rsid w:val="00427489"/>
    <w:rsid w:val="00430CE9"/>
    <w:rsid w:val="00430E32"/>
    <w:rsid w:val="004332A2"/>
    <w:rsid w:val="00433903"/>
    <w:rsid w:val="00433D64"/>
    <w:rsid w:val="00435381"/>
    <w:rsid w:val="00436A3A"/>
    <w:rsid w:val="00440D7F"/>
    <w:rsid w:val="0044109A"/>
    <w:rsid w:val="00441801"/>
    <w:rsid w:val="00441BD7"/>
    <w:rsid w:val="00443CE4"/>
    <w:rsid w:val="00443F80"/>
    <w:rsid w:val="004479FD"/>
    <w:rsid w:val="00447E37"/>
    <w:rsid w:val="00451AE0"/>
    <w:rsid w:val="00451B8E"/>
    <w:rsid w:val="004527FD"/>
    <w:rsid w:val="00455D47"/>
    <w:rsid w:val="004641CC"/>
    <w:rsid w:val="00464318"/>
    <w:rsid w:val="0046450F"/>
    <w:rsid w:val="004653C1"/>
    <w:rsid w:val="004659CD"/>
    <w:rsid w:val="00467328"/>
    <w:rsid w:val="00471595"/>
    <w:rsid w:val="004744A5"/>
    <w:rsid w:val="004768E9"/>
    <w:rsid w:val="00476A0E"/>
    <w:rsid w:val="00477F7A"/>
    <w:rsid w:val="00480684"/>
    <w:rsid w:val="004806E3"/>
    <w:rsid w:val="004819F4"/>
    <w:rsid w:val="00483FAE"/>
    <w:rsid w:val="00484381"/>
    <w:rsid w:val="00486875"/>
    <w:rsid w:val="00486FAC"/>
    <w:rsid w:val="00487068"/>
    <w:rsid w:val="004900F7"/>
    <w:rsid w:val="00491AA5"/>
    <w:rsid w:val="00493174"/>
    <w:rsid w:val="004944DC"/>
    <w:rsid w:val="004A1889"/>
    <w:rsid w:val="004A2146"/>
    <w:rsid w:val="004A2F60"/>
    <w:rsid w:val="004A3427"/>
    <w:rsid w:val="004A3439"/>
    <w:rsid w:val="004A411F"/>
    <w:rsid w:val="004B07D6"/>
    <w:rsid w:val="004B17F2"/>
    <w:rsid w:val="004B26CE"/>
    <w:rsid w:val="004B2B79"/>
    <w:rsid w:val="004B4994"/>
    <w:rsid w:val="004B55D0"/>
    <w:rsid w:val="004B6144"/>
    <w:rsid w:val="004B7728"/>
    <w:rsid w:val="004C159B"/>
    <w:rsid w:val="004C41F5"/>
    <w:rsid w:val="004C4757"/>
    <w:rsid w:val="004C4A1F"/>
    <w:rsid w:val="004C57B7"/>
    <w:rsid w:val="004D12B0"/>
    <w:rsid w:val="004D2AA0"/>
    <w:rsid w:val="004D472E"/>
    <w:rsid w:val="004D4F2A"/>
    <w:rsid w:val="004D53E5"/>
    <w:rsid w:val="004D57A3"/>
    <w:rsid w:val="004D5B6E"/>
    <w:rsid w:val="004D67E2"/>
    <w:rsid w:val="004E0E27"/>
    <w:rsid w:val="004E25C0"/>
    <w:rsid w:val="004E3305"/>
    <w:rsid w:val="004E5D11"/>
    <w:rsid w:val="004E7977"/>
    <w:rsid w:val="004F1691"/>
    <w:rsid w:val="004F1997"/>
    <w:rsid w:val="004F29F4"/>
    <w:rsid w:val="004F3182"/>
    <w:rsid w:val="004F6E01"/>
    <w:rsid w:val="004F7F82"/>
    <w:rsid w:val="005013F1"/>
    <w:rsid w:val="00501444"/>
    <w:rsid w:val="00501584"/>
    <w:rsid w:val="00502260"/>
    <w:rsid w:val="0050268A"/>
    <w:rsid w:val="00503B15"/>
    <w:rsid w:val="00504973"/>
    <w:rsid w:val="00504C7B"/>
    <w:rsid w:val="00504E10"/>
    <w:rsid w:val="00505312"/>
    <w:rsid w:val="005059D2"/>
    <w:rsid w:val="0050616E"/>
    <w:rsid w:val="00506CC0"/>
    <w:rsid w:val="00506ECD"/>
    <w:rsid w:val="00507647"/>
    <w:rsid w:val="00511074"/>
    <w:rsid w:val="00511621"/>
    <w:rsid w:val="0051172E"/>
    <w:rsid w:val="00513955"/>
    <w:rsid w:val="00515D5E"/>
    <w:rsid w:val="00516F1D"/>
    <w:rsid w:val="00517E01"/>
    <w:rsid w:val="00522204"/>
    <w:rsid w:val="00522D0C"/>
    <w:rsid w:val="00522E10"/>
    <w:rsid w:val="0052325D"/>
    <w:rsid w:val="00523303"/>
    <w:rsid w:val="00530745"/>
    <w:rsid w:val="0053116C"/>
    <w:rsid w:val="00531386"/>
    <w:rsid w:val="005319D6"/>
    <w:rsid w:val="005323AE"/>
    <w:rsid w:val="00532641"/>
    <w:rsid w:val="00533B95"/>
    <w:rsid w:val="005418D2"/>
    <w:rsid w:val="00542D79"/>
    <w:rsid w:val="0054429C"/>
    <w:rsid w:val="00544A41"/>
    <w:rsid w:val="005450CA"/>
    <w:rsid w:val="00546CE6"/>
    <w:rsid w:val="005513B8"/>
    <w:rsid w:val="00551AEB"/>
    <w:rsid w:val="00551BDA"/>
    <w:rsid w:val="00551F74"/>
    <w:rsid w:val="00552656"/>
    <w:rsid w:val="00552DC1"/>
    <w:rsid w:val="00553361"/>
    <w:rsid w:val="005548F3"/>
    <w:rsid w:val="0055799F"/>
    <w:rsid w:val="005579D6"/>
    <w:rsid w:val="00561DE1"/>
    <w:rsid w:val="005625F6"/>
    <w:rsid w:val="00562AAE"/>
    <w:rsid w:val="00562C1E"/>
    <w:rsid w:val="00563157"/>
    <w:rsid w:val="00563583"/>
    <w:rsid w:val="00564449"/>
    <w:rsid w:val="00565459"/>
    <w:rsid w:val="005655C6"/>
    <w:rsid w:val="005664F8"/>
    <w:rsid w:val="005672BD"/>
    <w:rsid w:val="00567AB5"/>
    <w:rsid w:val="00571335"/>
    <w:rsid w:val="00572C80"/>
    <w:rsid w:val="00575B59"/>
    <w:rsid w:val="00575DE2"/>
    <w:rsid w:val="005806C9"/>
    <w:rsid w:val="00580AD3"/>
    <w:rsid w:val="00583EC7"/>
    <w:rsid w:val="005851D2"/>
    <w:rsid w:val="005854E1"/>
    <w:rsid w:val="00585A48"/>
    <w:rsid w:val="00585F71"/>
    <w:rsid w:val="0058705D"/>
    <w:rsid w:val="00590DA1"/>
    <w:rsid w:val="00591208"/>
    <w:rsid w:val="005912E3"/>
    <w:rsid w:val="0059583D"/>
    <w:rsid w:val="00595EF5"/>
    <w:rsid w:val="005A0799"/>
    <w:rsid w:val="005A1C8D"/>
    <w:rsid w:val="005A261D"/>
    <w:rsid w:val="005A264C"/>
    <w:rsid w:val="005A2D0C"/>
    <w:rsid w:val="005A3322"/>
    <w:rsid w:val="005A3532"/>
    <w:rsid w:val="005A45C0"/>
    <w:rsid w:val="005A638E"/>
    <w:rsid w:val="005A63A4"/>
    <w:rsid w:val="005A6CAA"/>
    <w:rsid w:val="005A77F7"/>
    <w:rsid w:val="005B00D6"/>
    <w:rsid w:val="005B0B23"/>
    <w:rsid w:val="005B1B44"/>
    <w:rsid w:val="005B3F4B"/>
    <w:rsid w:val="005B5A4B"/>
    <w:rsid w:val="005B63A4"/>
    <w:rsid w:val="005B6880"/>
    <w:rsid w:val="005B72CD"/>
    <w:rsid w:val="005C113C"/>
    <w:rsid w:val="005C1718"/>
    <w:rsid w:val="005D06AB"/>
    <w:rsid w:val="005D0F53"/>
    <w:rsid w:val="005D3537"/>
    <w:rsid w:val="005D6DDA"/>
    <w:rsid w:val="005E13AB"/>
    <w:rsid w:val="005E2115"/>
    <w:rsid w:val="005E3A75"/>
    <w:rsid w:val="005E4855"/>
    <w:rsid w:val="005E4AA8"/>
    <w:rsid w:val="005E631B"/>
    <w:rsid w:val="005F21FB"/>
    <w:rsid w:val="005F29EA"/>
    <w:rsid w:val="005F3CCC"/>
    <w:rsid w:val="005F47B2"/>
    <w:rsid w:val="005F5EB2"/>
    <w:rsid w:val="005F65CD"/>
    <w:rsid w:val="005F67F7"/>
    <w:rsid w:val="005F7519"/>
    <w:rsid w:val="005F7FB4"/>
    <w:rsid w:val="00601087"/>
    <w:rsid w:val="00601941"/>
    <w:rsid w:val="00603EB7"/>
    <w:rsid w:val="00604990"/>
    <w:rsid w:val="00606A95"/>
    <w:rsid w:val="0060779E"/>
    <w:rsid w:val="006108B9"/>
    <w:rsid w:val="00612FF4"/>
    <w:rsid w:val="006133C5"/>
    <w:rsid w:val="0061562D"/>
    <w:rsid w:val="0061656D"/>
    <w:rsid w:val="0062004F"/>
    <w:rsid w:val="00624476"/>
    <w:rsid w:val="00625DA6"/>
    <w:rsid w:val="00626CAD"/>
    <w:rsid w:val="00630236"/>
    <w:rsid w:val="006309C4"/>
    <w:rsid w:val="00631C11"/>
    <w:rsid w:val="00635AC0"/>
    <w:rsid w:val="0064121F"/>
    <w:rsid w:val="00641E35"/>
    <w:rsid w:val="006437D9"/>
    <w:rsid w:val="00643F0E"/>
    <w:rsid w:val="00645A03"/>
    <w:rsid w:val="00647107"/>
    <w:rsid w:val="00651525"/>
    <w:rsid w:val="006531FE"/>
    <w:rsid w:val="00654B55"/>
    <w:rsid w:val="00655874"/>
    <w:rsid w:val="00655D12"/>
    <w:rsid w:val="0065635B"/>
    <w:rsid w:val="0066029D"/>
    <w:rsid w:val="006645C3"/>
    <w:rsid w:val="00664C8C"/>
    <w:rsid w:val="00665FE6"/>
    <w:rsid w:val="00666C48"/>
    <w:rsid w:val="006673AA"/>
    <w:rsid w:val="00671961"/>
    <w:rsid w:val="00672731"/>
    <w:rsid w:val="0067351F"/>
    <w:rsid w:val="00676B60"/>
    <w:rsid w:val="0067766B"/>
    <w:rsid w:val="00680139"/>
    <w:rsid w:val="00680BFB"/>
    <w:rsid w:val="00681162"/>
    <w:rsid w:val="00681822"/>
    <w:rsid w:val="00682F29"/>
    <w:rsid w:val="00683236"/>
    <w:rsid w:val="006845A3"/>
    <w:rsid w:val="006857FA"/>
    <w:rsid w:val="006859F4"/>
    <w:rsid w:val="006874A2"/>
    <w:rsid w:val="00690118"/>
    <w:rsid w:val="00690357"/>
    <w:rsid w:val="0069144B"/>
    <w:rsid w:val="006928EE"/>
    <w:rsid w:val="006930E6"/>
    <w:rsid w:val="006962F6"/>
    <w:rsid w:val="00696326"/>
    <w:rsid w:val="00696586"/>
    <w:rsid w:val="00697EC7"/>
    <w:rsid w:val="006A111A"/>
    <w:rsid w:val="006A21F1"/>
    <w:rsid w:val="006A2A29"/>
    <w:rsid w:val="006A2B6B"/>
    <w:rsid w:val="006A5C8F"/>
    <w:rsid w:val="006A63B0"/>
    <w:rsid w:val="006B1059"/>
    <w:rsid w:val="006B17BA"/>
    <w:rsid w:val="006B2F60"/>
    <w:rsid w:val="006B3A4D"/>
    <w:rsid w:val="006B3B59"/>
    <w:rsid w:val="006B3F2E"/>
    <w:rsid w:val="006C12E4"/>
    <w:rsid w:val="006C288F"/>
    <w:rsid w:val="006C2BC2"/>
    <w:rsid w:val="006C3465"/>
    <w:rsid w:val="006C36CC"/>
    <w:rsid w:val="006C4498"/>
    <w:rsid w:val="006C4A48"/>
    <w:rsid w:val="006C4B54"/>
    <w:rsid w:val="006C604B"/>
    <w:rsid w:val="006C66F5"/>
    <w:rsid w:val="006C7F42"/>
    <w:rsid w:val="006D0B57"/>
    <w:rsid w:val="006D1A45"/>
    <w:rsid w:val="006D2549"/>
    <w:rsid w:val="006D36C8"/>
    <w:rsid w:val="006D3A23"/>
    <w:rsid w:val="006D52CC"/>
    <w:rsid w:val="006D5A4D"/>
    <w:rsid w:val="006D7F09"/>
    <w:rsid w:val="006E23C7"/>
    <w:rsid w:val="006E2678"/>
    <w:rsid w:val="006E3C39"/>
    <w:rsid w:val="006E409D"/>
    <w:rsid w:val="006E448A"/>
    <w:rsid w:val="006E4D43"/>
    <w:rsid w:val="006E50D6"/>
    <w:rsid w:val="006E732E"/>
    <w:rsid w:val="006F0A97"/>
    <w:rsid w:val="006F1DC4"/>
    <w:rsid w:val="006F73D4"/>
    <w:rsid w:val="00700BCC"/>
    <w:rsid w:val="0070372C"/>
    <w:rsid w:val="00704227"/>
    <w:rsid w:val="007044E4"/>
    <w:rsid w:val="00705B0B"/>
    <w:rsid w:val="00707454"/>
    <w:rsid w:val="00710C96"/>
    <w:rsid w:val="00710E03"/>
    <w:rsid w:val="00711592"/>
    <w:rsid w:val="00712390"/>
    <w:rsid w:val="0071372A"/>
    <w:rsid w:val="0071382F"/>
    <w:rsid w:val="00714A8B"/>
    <w:rsid w:val="007150A9"/>
    <w:rsid w:val="00715919"/>
    <w:rsid w:val="00717BF1"/>
    <w:rsid w:val="00723830"/>
    <w:rsid w:val="00723FA0"/>
    <w:rsid w:val="00727C0C"/>
    <w:rsid w:val="00727C7A"/>
    <w:rsid w:val="007318EE"/>
    <w:rsid w:val="00731AD6"/>
    <w:rsid w:val="007344E8"/>
    <w:rsid w:val="007354BC"/>
    <w:rsid w:val="00736808"/>
    <w:rsid w:val="0073780F"/>
    <w:rsid w:val="007405A7"/>
    <w:rsid w:val="00740F27"/>
    <w:rsid w:val="00741DC6"/>
    <w:rsid w:val="007420A6"/>
    <w:rsid w:val="00743E77"/>
    <w:rsid w:val="00743EDE"/>
    <w:rsid w:val="0075291B"/>
    <w:rsid w:val="00753426"/>
    <w:rsid w:val="0075403E"/>
    <w:rsid w:val="007545D7"/>
    <w:rsid w:val="00754A86"/>
    <w:rsid w:val="00755F7F"/>
    <w:rsid w:val="0075633B"/>
    <w:rsid w:val="00756847"/>
    <w:rsid w:val="00756925"/>
    <w:rsid w:val="0075733D"/>
    <w:rsid w:val="00760DE3"/>
    <w:rsid w:val="00761264"/>
    <w:rsid w:val="00761479"/>
    <w:rsid w:val="00761A30"/>
    <w:rsid w:val="00762A6E"/>
    <w:rsid w:val="00766CD7"/>
    <w:rsid w:val="00770121"/>
    <w:rsid w:val="007711A9"/>
    <w:rsid w:val="00772B0E"/>
    <w:rsid w:val="007731F8"/>
    <w:rsid w:val="00775675"/>
    <w:rsid w:val="007756AB"/>
    <w:rsid w:val="007756F1"/>
    <w:rsid w:val="00776CB1"/>
    <w:rsid w:val="00782CDC"/>
    <w:rsid w:val="00784212"/>
    <w:rsid w:val="007843A6"/>
    <w:rsid w:val="00786BD2"/>
    <w:rsid w:val="00787D87"/>
    <w:rsid w:val="007904AD"/>
    <w:rsid w:val="00795590"/>
    <w:rsid w:val="007958FA"/>
    <w:rsid w:val="007A0216"/>
    <w:rsid w:val="007A229F"/>
    <w:rsid w:val="007A2590"/>
    <w:rsid w:val="007A296F"/>
    <w:rsid w:val="007A2A1C"/>
    <w:rsid w:val="007A35B0"/>
    <w:rsid w:val="007A77C7"/>
    <w:rsid w:val="007A78F4"/>
    <w:rsid w:val="007A7DD4"/>
    <w:rsid w:val="007B2020"/>
    <w:rsid w:val="007B3611"/>
    <w:rsid w:val="007B3A41"/>
    <w:rsid w:val="007B40A6"/>
    <w:rsid w:val="007B59FA"/>
    <w:rsid w:val="007B5CE6"/>
    <w:rsid w:val="007B5F08"/>
    <w:rsid w:val="007C03E9"/>
    <w:rsid w:val="007C08C6"/>
    <w:rsid w:val="007C0F4A"/>
    <w:rsid w:val="007C265E"/>
    <w:rsid w:val="007C2EB4"/>
    <w:rsid w:val="007C5050"/>
    <w:rsid w:val="007C5BD9"/>
    <w:rsid w:val="007C6E45"/>
    <w:rsid w:val="007D102E"/>
    <w:rsid w:val="007D47AB"/>
    <w:rsid w:val="007D5EA2"/>
    <w:rsid w:val="007D7683"/>
    <w:rsid w:val="007E02CB"/>
    <w:rsid w:val="007E0ADB"/>
    <w:rsid w:val="007E1698"/>
    <w:rsid w:val="007E2631"/>
    <w:rsid w:val="007E7300"/>
    <w:rsid w:val="007E7583"/>
    <w:rsid w:val="007E796F"/>
    <w:rsid w:val="007F2710"/>
    <w:rsid w:val="007F27E7"/>
    <w:rsid w:val="007F3B8D"/>
    <w:rsid w:val="007F3F0B"/>
    <w:rsid w:val="007F5A04"/>
    <w:rsid w:val="007F5BDE"/>
    <w:rsid w:val="007F6032"/>
    <w:rsid w:val="007F60F1"/>
    <w:rsid w:val="007F7EC3"/>
    <w:rsid w:val="00802AAC"/>
    <w:rsid w:val="00803218"/>
    <w:rsid w:val="008048E1"/>
    <w:rsid w:val="0081259A"/>
    <w:rsid w:val="00813D27"/>
    <w:rsid w:val="0081476D"/>
    <w:rsid w:val="0081593D"/>
    <w:rsid w:val="008166FA"/>
    <w:rsid w:val="00816CA2"/>
    <w:rsid w:val="00817B49"/>
    <w:rsid w:val="00820683"/>
    <w:rsid w:val="00820B92"/>
    <w:rsid w:val="0082102B"/>
    <w:rsid w:val="008224D7"/>
    <w:rsid w:val="00822575"/>
    <w:rsid w:val="00822689"/>
    <w:rsid w:val="008247FD"/>
    <w:rsid w:val="00825968"/>
    <w:rsid w:val="0082694E"/>
    <w:rsid w:val="00830B43"/>
    <w:rsid w:val="008313BF"/>
    <w:rsid w:val="00831AD4"/>
    <w:rsid w:val="00832526"/>
    <w:rsid w:val="00835188"/>
    <w:rsid w:val="00835B95"/>
    <w:rsid w:val="0083799C"/>
    <w:rsid w:val="0084253F"/>
    <w:rsid w:val="0084334B"/>
    <w:rsid w:val="00850019"/>
    <w:rsid w:val="00851823"/>
    <w:rsid w:val="0085232D"/>
    <w:rsid w:val="00853263"/>
    <w:rsid w:val="00853E38"/>
    <w:rsid w:val="008557D8"/>
    <w:rsid w:val="00856D9A"/>
    <w:rsid w:val="008575BE"/>
    <w:rsid w:val="00857BCB"/>
    <w:rsid w:val="0086029C"/>
    <w:rsid w:val="00860F44"/>
    <w:rsid w:val="00860F59"/>
    <w:rsid w:val="00863484"/>
    <w:rsid w:val="008644B2"/>
    <w:rsid w:val="00865166"/>
    <w:rsid w:val="00865E27"/>
    <w:rsid w:val="008661D9"/>
    <w:rsid w:val="00866F9F"/>
    <w:rsid w:val="00867E64"/>
    <w:rsid w:val="008725D3"/>
    <w:rsid w:val="008726B2"/>
    <w:rsid w:val="008732A9"/>
    <w:rsid w:val="00873787"/>
    <w:rsid w:val="008740B8"/>
    <w:rsid w:val="00874A01"/>
    <w:rsid w:val="00877A1A"/>
    <w:rsid w:val="008805C7"/>
    <w:rsid w:val="00881831"/>
    <w:rsid w:val="00883086"/>
    <w:rsid w:val="00883492"/>
    <w:rsid w:val="00883F49"/>
    <w:rsid w:val="008867FB"/>
    <w:rsid w:val="00890522"/>
    <w:rsid w:val="008915BE"/>
    <w:rsid w:val="008918DE"/>
    <w:rsid w:val="00892576"/>
    <w:rsid w:val="00892756"/>
    <w:rsid w:val="008927BA"/>
    <w:rsid w:val="008948B6"/>
    <w:rsid w:val="0089557B"/>
    <w:rsid w:val="00895D67"/>
    <w:rsid w:val="00896FAF"/>
    <w:rsid w:val="00897081"/>
    <w:rsid w:val="008977E3"/>
    <w:rsid w:val="00897F72"/>
    <w:rsid w:val="008A0F9A"/>
    <w:rsid w:val="008A14A8"/>
    <w:rsid w:val="008A1593"/>
    <w:rsid w:val="008A22F0"/>
    <w:rsid w:val="008A6909"/>
    <w:rsid w:val="008B2023"/>
    <w:rsid w:val="008B4ADF"/>
    <w:rsid w:val="008B4E6C"/>
    <w:rsid w:val="008B66FD"/>
    <w:rsid w:val="008B6FE6"/>
    <w:rsid w:val="008C00C3"/>
    <w:rsid w:val="008C0987"/>
    <w:rsid w:val="008C205B"/>
    <w:rsid w:val="008C25A6"/>
    <w:rsid w:val="008C5644"/>
    <w:rsid w:val="008C7C05"/>
    <w:rsid w:val="008D2B19"/>
    <w:rsid w:val="008D4526"/>
    <w:rsid w:val="008D4B88"/>
    <w:rsid w:val="008D6B13"/>
    <w:rsid w:val="008E134F"/>
    <w:rsid w:val="008E27F2"/>
    <w:rsid w:val="008E4810"/>
    <w:rsid w:val="008E51F1"/>
    <w:rsid w:val="008E5C9B"/>
    <w:rsid w:val="008E703E"/>
    <w:rsid w:val="008F0150"/>
    <w:rsid w:val="008F4E12"/>
    <w:rsid w:val="008F4EBA"/>
    <w:rsid w:val="008F6860"/>
    <w:rsid w:val="008F7613"/>
    <w:rsid w:val="00900F37"/>
    <w:rsid w:val="009014EA"/>
    <w:rsid w:val="0090270C"/>
    <w:rsid w:val="00902A59"/>
    <w:rsid w:val="00902C2A"/>
    <w:rsid w:val="00902FF4"/>
    <w:rsid w:val="0090355F"/>
    <w:rsid w:val="00904113"/>
    <w:rsid w:val="00904B95"/>
    <w:rsid w:val="0090595F"/>
    <w:rsid w:val="00907A8F"/>
    <w:rsid w:val="00907AD1"/>
    <w:rsid w:val="00910508"/>
    <w:rsid w:val="00910BDE"/>
    <w:rsid w:val="00911796"/>
    <w:rsid w:val="00912F34"/>
    <w:rsid w:val="009130B7"/>
    <w:rsid w:val="009130F8"/>
    <w:rsid w:val="00914F34"/>
    <w:rsid w:val="0091558D"/>
    <w:rsid w:val="00916FF1"/>
    <w:rsid w:val="00917771"/>
    <w:rsid w:val="0092003E"/>
    <w:rsid w:val="00922EDE"/>
    <w:rsid w:val="00923ABC"/>
    <w:rsid w:val="009322FC"/>
    <w:rsid w:val="0093321A"/>
    <w:rsid w:val="009353CB"/>
    <w:rsid w:val="00935FE7"/>
    <w:rsid w:val="00936667"/>
    <w:rsid w:val="00940798"/>
    <w:rsid w:val="00940B64"/>
    <w:rsid w:val="00940E77"/>
    <w:rsid w:val="00940FF1"/>
    <w:rsid w:val="00943FB9"/>
    <w:rsid w:val="0094420F"/>
    <w:rsid w:val="00947838"/>
    <w:rsid w:val="009509B4"/>
    <w:rsid w:val="00950FDF"/>
    <w:rsid w:val="00954F57"/>
    <w:rsid w:val="00956521"/>
    <w:rsid w:val="00956D10"/>
    <w:rsid w:val="00957069"/>
    <w:rsid w:val="00957EB4"/>
    <w:rsid w:val="009620C5"/>
    <w:rsid w:val="009625DC"/>
    <w:rsid w:val="00966133"/>
    <w:rsid w:val="00966B91"/>
    <w:rsid w:val="009704CB"/>
    <w:rsid w:val="009717A1"/>
    <w:rsid w:val="00975927"/>
    <w:rsid w:val="009768B6"/>
    <w:rsid w:val="009772F6"/>
    <w:rsid w:val="00980CCD"/>
    <w:rsid w:val="00982BB3"/>
    <w:rsid w:val="00986FEE"/>
    <w:rsid w:val="0099030A"/>
    <w:rsid w:val="009907F5"/>
    <w:rsid w:val="00991659"/>
    <w:rsid w:val="00993AF3"/>
    <w:rsid w:val="00993F30"/>
    <w:rsid w:val="00994502"/>
    <w:rsid w:val="009949A5"/>
    <w:rsid w:val="0099513C"/>
    <w:rsid w:val="00996F93"/>
    <w:rsid w:val="00997BBE"/>
    <w:rsid w:val="009A10E5"/>
    <w:rsid w:val="009A20D8"/>
    <w:rsid w:val="009A250F"/>
    <w:rsid w:val="009A4DE5"/>
    <w:rsid w:val="009A6E03"/>
    <w:rsid w:val="009A7736"/>
    <w:rsid w:val="009A7CD7"/>
    <w:rsid w:val="009B41A9"/>
    <w:rsid w:val="009B591E"/>
    <w:rsid w:val="009B5BBF"/>
    <w:rsid w:val="009B6741"/>
    <w:rsid w:val="009C10D8"/>
    <w:rsid w:val="009C15CF"/>
    <w:rsid w:val="009C3C13"/>
    <w:rsid w:val="009C4E88"/>
    <w:rsid w:val="009C5870"/>
    <w:rsid w:val="009C6414"/>
    <w:rsid w:val="009C6D31"/>
    <w:rsid w:val="009C78DB"/>
    <w:rsid w:val="009D1997"/>
    <w:rsid w:val="009D3D38"/>
    <w:rsid w:val="009D479F"/>
    <w:rsid w:val="009D49AC"/>
    <w:rsid w:val="009D5F02"/>
    <w:rsid w:val="009D68F4"/>
    <w:rsid w:val="009E12A5"/>
    <w:rsid w:val="009E2AE2"/>
    <w:rsid w:val="009E437A"/>
    <w:rsid w:val="009E5022"/>
    <w:rsid w:val="009E5FC4"/>
    <w:rsid w:val="009E60A5"/>
    <w:rsid w:val="009F0087"/>
    <w:rsid w:val="009F2458"/>
    <w:rsid w:val="009F2CED"/>
    <w:rsid w:val="009F4CC9"/>
    <w:rsid w:val="009F68D1"/>
    <w:rsid w:val="009F69D2"/>
    <w:rsid w:val="009F6EB7"/>
    <w:rsid w:val="009F7414"/>
    <w:rsid w:val="00A01DAC"/>
    <w:rsid w:val="00A02C71"/>
    <w:rsid w:val="00A03546"/>
    <w:rsid w:val="00A04416"/>
    <w:rsid w:val="00A06339"/>
    <w:rsid w:val="00A074D9"/>
    <w:rsid w:val="00A1083F"/>
    <w:rsid w:val="00A10A5A"/>
    <w:rsid w:val="00A1119D"/>
    <w:rsid w:val="00A11539"/>
    <w:rsid w:val="00A11F3E"/>
    <w:rsid w:val="00A124BB"/>
    <w:rsid w:val="00A13956"/>
    <w:rsid w:val="00A14CF5"/>
    <w:rsid w:val="00A14FB6"/>
    <w:rsid w:val="00A20E1C"/>
    <w:rsid w:val="00A211D6"/>
    <w:rsid w:val="00A212CC"/>
    <w:rsid w:val="00A21771"/>
    <w:rsid w:val="00A21A54"/>
    <w:rsid w:val="00A22263"/>
    <w:rsid w:val="00A22E51"/>
    <w:rsid w:val="00A234F5"/>
    <w:rsid w:val="00A23CA5"/>
    <w:rsid w:val="00A3118C"/>
    <w:rsid w:val="00A34127"/>
    <w:rsid w:val="00A3431C"/>
    <w:rsid w:val="00A36942"/>
    <w:rsid w:val="00A37566"/>
    <w:rsid w:val="00A4338B"/>
    <w:rsid w:val="00A44187"/>
    <w:rsid w:val="00A44576"/>
    <w:rsid w:val="00A45A1F"/>
    <w:rsid w:val="00A510FE"/>
    <w:rsid w:val="00A532F4"/>
    <w:rsid w:val="00A53B95"/>
    <w:rsid w:val="00A53D24"/>
    <w:rsid w:val="00A57865"/>
    <w:rsid w:val="00A61444"/>
    <w:rsid w:val="00A618E4"/>
    <w:rsid w:val="00A626EF"/>
    <w:rsid w:val="00A6330E"/>
    <w:rsid w:val="00A640FB"/>
    <w:rsid w:val="00A64ECB"/>
    <w:rsid w:val="00A65A32"/>
    <w:rsid w:val="00A67404"/>
    <w:rsid w:val="00A679E9"/>
    <w:rsid w:val="00A7202B"/>
    <w:rsid w:val="00A72F21"/>
    <w:rsid w:val="00A757D0"/>
    <w:rsid w:val="00A83EEB"/>
    <w:rsid w:val="00A84D4E"/>
    <w:rsid w:val="00A86440"/>
    <w:rsid w:val="00A878B7"/>
    <w:rsid w:val="00A918FD"/>
    <w:rsid w:val="00A924E6"/>
    <w:rsid w:val="00A92F85"/>
    <w:rsid w:val="00A93A84"/>
    <w:rsid w:val="00A948C6"/>
    <w:rsid w:val="00A977DE"/>
    <w:rsid w:val="00AA005B"/>
    <w:rsid w:val="00AA06AD"/>
    <w:rsid w:val="00AA1C9B"/>
    <w:rsid w:val="00AA1DA5"/>
    <w:rsid w:val="00AA307A"/>
    <w:rsid w:val="00AA4323"/>
    <w:rsid w:val="00AA5169"/>
    <w:rsid w:val="00AA5C41"/>
    <w:rsid w:val="00AA6FC6"/>
    <w:rsid w:val="00AB0810"/>
    <w:rsid w:val="00AB0C37"/>
    <w:rsid w:val="00AB51DA"/>
    <w:rsid w:val="00AB5920"/>
    <w:rsid w:val="00AB6AD8"/>
    <w:rsid w:val="00AC0E15"/>
    <w:rsid w:val="00AC58C6"/>
    <w:rsid w:val="00AC61AF"/>
    <w:rsid w:val="00AC61E0"/>
    <w:rsid w:val="00AC6359"/>
    <w:rsid w:val="00AC6773"/>
    <w:rsid w:val="00AC67BA"/>
    <w:rsid w:val="00AC7313"/>
    <w:rsid w:val="00AC7C54"/>
    <w:rsid w:val="00AC7F37"/>
    <w:rsid w:val="00AD000E"/>
    <w:rsid w:val="00AD3375"/>
    <w:rsid w:val="00AD3978"/>
    <w:rsid w:val="00AD47BC"/>
    <w:rsid w:val="00AE1100"/>
    <w:rsid w:val="00AE1E15"/>
    <w:rsid w:val="00AE281F"/>
    <w:rsid w:val="00AE4548"/>
    <w:rsid w:val="00AE60EC"/>
    <w:rsid w:val="00AE6E9E"/>
    <w:rsid w:val="00AE7F52"/>
    <w:rsid w:val="00AF187E"/>
    <w:rsid w:val="00AF1E90"/>
    <w:rsid w:val="00AF1EF3"/>
    <w:rsid w:val="00AF1F51"/>
    <w:rsid w:val="00AF380A"/>
    <w:rsid w:val="00AF564D"/>
    <w:rsid w:val="00B0198F"/>
    <w:rsid w:val="00B10451"/>
    <w:rsid w:val="00B104D2"/>
    <w:rsid w:val="00B10694"/>
    <w:rsid w:val="00B118BA"/>
    <w:rsid w:val="00B1398A"/>
    <w:rsid w:val="00B14659"/>
    <w:rsid w:val="00B17232"/>
    <w:rsid w:val="00B17F80"/>
    <w:rsid w:val="00B2000A"/>
    <w:rsid w:val="00B20A25"/>
    <w:rsid w:val="00B2241B"/>
    <w:rsid w:val="00B22F9B"/>
    <w:rsid w:val="00B263C2"/>
    <w:rsid w:val="00B277BA"/>
    <w:rsid w:val="00B304F3"/>
    <w:rsid w:val="00B3083B"/>
    <w:rsid w:val="00B33A12"/>
    <w:rsid w:val="00B35B0F"/>
    <w:rsid w:val="00B35E3A"/>
    <w:rsid w:val="00B360E4"/>
    <w:rsid w:val="00B372B1"/>
    <w:rsid w:val="00B408EC"/>
    <w:rsid w:val="00B41B1C"/>
    <w:rsid w:val="00B440DE"/>
    <w:rsid w:val="00B44C92"/>
    <w:rsid w:val="00B44D3F"/>
    <w:rsid w:val="00B450F5"/>
    <w:rsid w:val="00B45AC9"/>
    <w:rsid w:val="00B46BF3"/>
    <w:rsid w:val="00B5172E"/>
    <w:rsid w:val="00B52690"/>
    <w:rsid w:val="00B53A58"/>
    <w:rsid w:val="00B5486D"/>
    <w:rsid w:val="00B61D79"/>
    <w:rsid w:val="00B6356C"/>
    <w:rsid w:val="00B63DBA"/>
    <w:rsid w:val="00B6426C"/>
    <w:rsid w:val="00B64ECF"/>
    <w:rsid w:val="00B65239"/>
    <w:rsid w:val="00B654F3"/>
    <w:rsid w:val="00B65931"/>
    <w:rsid w:val="00B659E5"/>
    <w:rsid w:val="00B66880"/>
    <w:rsid w:val="00B66F34"/>
    <w:rsid w:val="00B67CB8"/>
    <w:rsid w:val="00B70D02"/>
    <w:rsid w:val="00B71BDE"/>
    <w:rsid w:val="00B72781"/>
    <w:rsid w:val="00B72C3A"/>
    <w:rsid w:val="00B74310"/>
    <w:rsid w:val="00B75601"/>
    <w:rsid w:val="00B75ED0"/>
    <w:rsid w:val="00B77504"/>
    <w:rsid w:val="00B775C6"/>
    <w:rsid w:val="00B81007"/>
    <w:rsid w:val="00B81BEC"/>
    <w:rsid w:val="00B844FC"/>
    <w:rsid w:val="00B84628"/>
    <w:rsid w:val="00B86417"/>
    <w:rsid w:val="00B87D52"/>
    <w:rsid w:val="00B91BB6"/>
    <w:rsid w:val="00B928E4"/>
    <w:rsid w:val="00B92BA4"/>
    <w:rsid w:val="00B93353"/>
    <w:rsid w:val="00B9371A"/>
    <w:rsid w:val="00B93CCB"/>
    <w:rsid w:val="00B94302"/>
    <w:rsid w:val="00B94B4E"/>
    <w:rsid w:val="00B96DD1"/>
    <w:rsid w:val="00B97DB8"/>
    <w:rsid w:val="00BA0C95"/>
    <w:rsid w:val="00BA44B3"/>
    <w:rsid w:val="00BA4F0B"/>
    <w:rsid w:val="00BB2AA5"/>
    <w:rsid w:val="00BB34EE"/>
    <w:rsid w:val="00BB3D84"/>
    <w:rsid w:val="00BB466D"/>
    <w:rsid w:val="00BB491C"/>
    <w:rsid w:val="00BB57AF"/>
    <w:rsid w:val="00BB6617"/>
    <w:rsid w:val="00BB6FA1"/>
    <w:rsid w:val="00BB7E45"/>
    <w:rsid w:val="00BC0F5C"/>
    <w:rsid w:val="00BC11B5"/>
    <w:rsid w:val="00BC1D56"/>
    <w:rsid w:val="00BC512F"/>
    <w:rsid w:val="00BC7E95"/>
    <w:rsid w:val="00BD30F6"/>
    <w:rsid w:val="00BD5CF1"/>
    <w:rsid w:val="00BD6B44"/>
    <w:rsid w:val="00BD7CAD"/>
    <w:rsid w:val="00BE12E0"/>
    <w:rsid w:val="00BE29B2"/>
    <w:rsid w:val="00BE2ADC"/>
    <w:rsid w:val="00BE329C"/>
    <w:rsid w:val="00BE54A1"/>
    <w:rsid w:val="00BE6227"/>
    <w:rsid w:val="00BE70BE"/>
    <w:rsid w:val="00BF0670"/>
    <w:rsid w:val="00BF0E73"/>
    <w:rsid w:val="00BF382C"/>
    <w:rsid w:val="00BF3835"/>
    <w:rsid w:val="00BF3D99"/>
    <w:rsid w:val="00BF5B4C"/>
    <w:rsid w:val="00BF626F"/>
    <w:rsid w:val="00BF6435"/>
    <w:rsid w:val="00BF7CDA"/>
    <w:rsid w:val="00BF7E8B"/>
    <w:rsid w:val="00C00DFB"/>
    <w:rsid w:val="00C010D2"/>
    <w:rsid w:val="00C0153A"/>
    <w:rsid w:val="00C05C2D"/>
    <w:rsid w:val="00C06B62"/>
    <w:rsid w:val="00C107A7"/>
    <w:rsid w:val="00C13F0B"/>
    <w:rsid w:val="00C151B8"/>
    <w:rsid w:val="00C15688"/>
    <w:rsid w:val="00C1572C"/>
    <w:rsid w:val="00C1799E"/>
    <w:rsid w:val="00C17B80"/>
    <w:rsid w:val="00C20AD9"/>
    <w:rsid w:val="00C225DC"/>
    <w:rsid w:val="00C22E61"/>
    <w:rsid w:val="00C23497"/>
    <w:rsid w:val="00C23901"/>
    <w:rsid w:val="00C2591C"/>
    <w:rsid w:val="00C26C4E"/>
    <w:rsid w:val="00C32583"/>
    <w:rsid w:val="00C32C5A"/>
    <w:rsid w:val="00C347B6"/>
    <w:rsid w:val="00C350D6"/>
    <w:rsid w:val="00C350DA"/>
    <w:rsid w:val="00C3628A"/>
    <w:rsid w:val="00C37109"/>
    <w:rsid w:val="00C37998"/>
    <w:rsid w:val="00C417CB"/>
    <w:rsid w:val="00C41810"/>
    <w:rsid w:val="00C4218A"/>
    <w:rsid w:val="00C436B3"/>
    <w:rsid w:val="00C441B6"/>
    <w:rsid w:val="00C457B3"/>
    <w:rsid w:val="00C46C11"/>
    <w:rsid w:val="00C46C78"/>
    <w:rsid w:val="00C52D26"/>
    <w:rsid w:val="00C54C72"/>
    <w:rsid w:val="00C558BB"/>
    <w:rsid w:val="00C57752"/>
    <w:rsid w:val="00C604E1"/>
    <w:rsid w:val="00C60C04"/>
    <w:rsid w:val="00C616B0"/>
    <w:rsid w:val="00C63849"/>
    <w:rsid w:val="00C646D9"/>
    <w:rsid w:val="00C65019"/>
    <w:rsid w:val="00C650FD"/>
    <w:rsid w:val="00C6692D"/>
    <w:rsid w:val="00C7004D"/>
    <w:rsid w:val="00C70357"/>
    <w:rsid w:val="00C7232F"/>
    <w:rsid w:val="00C72794"/>
    <w:rsid w:val="00C73D75"/>
    <w:rsid w:val="00C75946"/>
    <w:rsid w:val="00C76435"/>
    <w:rsid w:val="00C80BA9"/>
    <w:rsid w:val="00C8225A"/>
    <w:rsid w:val="00C83394"/>
    <w:rsid w:val="00C85522"/>
    <w:rsid w:val="00C924F7"/>
    <w:rsid w:val="00C92DE2"/>
    <w:rsid w:val="00C936DE"/>
    <w:rsid w:val="00C9597C"/>
    <w:rsid w:val="00C975C4"/>
    <w:rsid w:val="00C97C8F"/>
    <w:rsid w:val="00C97F8A"/>
    <w:rsid w:val="00CA0BD5"/>
    <w:rsid w:val="00CA4E33"/>
    <w:rsid w:val="00CA50A4"/>
    <w:rsid w:val="00CA5982"/>
    <w:rsid w:val="00CA688C"/>
    <w:rsid w:val="00CA6D37"/>
    <w:rsid w:val="00CB11A8"/>
    <w:rsid w:val="00CB14CE"/>
    <w:rsid w:val="00CB1EA4"/>
    <w:rsid w:val="00CB1FEA"/>
    <w:rsid w:val="00CB2675"/>
    <w:rsid w:val="00CB2BFB"/>
    <w:rsid w:val="00CB561C"/>
    <w:rsid w:val="00CB650D"/>
    <w:rsid w:val="00CB65B2"/>
    <w:rsid w:val="00CB6715"/>
    <w:rsid w:val="00CB72AF"/>
    <w:rsid w:val="00CB77B0"/>
    <w:rsid w:val="00CB77BE"/>
    <w:rsid w:val="00CC00CF"/>
    <w:rsid w:val="00CC1F79"/>
    <w:rsid w:val="00CC2040"/>
    <w:rsid w:val="00CC21D3"/>
    <w:rsid w:val="00CD192B"/>
    <w:rsid w:val="00CD1B70"/>
    <w:rsid w:val="00CD3757"/>
    <w:rsid w:val="00CD4A89"/>
    <w:rsid w:val="00CD78A3"/>
    <w:rsid w:val="00CE0F5D"/>
    <w:rsid w:val="00CE19B1"/>
    <w:rsid w:val="00CE19BE"/>
    <w:rsid w:val="00CE24CD"/>
    <w:rsid w:val="00CE35CA"/>
    <w:rsid w:val="00CE381A"/>
    <w:rsid w:val="00CE3DE2"/>
    <w:rsid w:val="00CE43C4"/>
    <w:rsid w:val="00CE5337"/>
    <w:rsid w:val="00CE54DE"/>
    <w:rsid w:val="00CE5FED"/>
    <w:rsid w:val="00CE6038"/>
    <w:rsid w:val="00CF00FB"/>
    <w:rsid w:val="00CF2A0E"/>
    <w:rsid w:val="00CF3A55"/>
    <w:rsid w:val="00CF4A9B"/>
    <w:rsid w:val="00CF686D"/>
    <w:rsid w:val="00CF7795"/>
    <w:rsid w:val="00D00EFB"/>
    <w:rsid w:val="00D027CC"/>
    <w:rsid w:val="00D02E6E"/>
    <w:rsid w:val="00D03985"/>
    <w:rsid w:val="00D05398"/>
    <w:rsid w:val="00D05BF0"/>
    <w:rsid w:val="00D05E83"/>
    <w:rsid w:val="00D0793C"/>
    <w:rsid w:val="00D07CB2"/>
    <w:rsid w:val="00D1014A"/>
    <w:rsid w:val="00D1278E"/>
    <w:rsid w:val="00D155D3"/>
    <w:rsid w:val="00D15616"/>
    <w:rsid w:val="00D1631D"/>
    <w:rsid w:val="00D16362"/>
    <w:rsid w:val="00D166C3"/>
    <w:rsid w:val="00D179B0"/>
    <w:rsid w:val="00D20A56"/>
    <w:rsid w:val="00D20B4D"/>
    <w:rsid w:val="00D219E6"/>
    <w:rsid w:val="00D22222"/>
    <w:rsid w:val="00D225F8"/>
    <w:rsid w:val="00D227D4"/>
    <w:rsid w:val="00D23815"/>
    <w:rsid w:val="00D2477D"/>
    <w:rsid w:val="00D24E3C"/>
    <w:rsid w:val="00D25300"/>
    <w:rsid w:val="00D2542F"/>
    <w:rsid w:val="00D26040"/>
    <w:rsid w:val="00D26368"/>
    <w:rsid w:val="00D26EC7"/>
    <w:rsid w:val="00D2709C"/>
    <w:rsid w:val="00D271D4"/>
    <w:rsid w:val="00D308CF"/>
    <w:rsid w:val="00D31CE6"/>
    <w:rsid w:val="00D327D7"/>
    <w:rsid w:val="00D32B43"/>
    <w:rsid w:val="00D32CBD"/>
    <w:rsid w:val="00D349DE"/>
    <w:rsid w:val="00D35246"/>
    <w:rsid w:val="00D35FD2"/>
    <w:rsid w:val="00D36520"/>
    <w:rsid w:val="00D368C4"/>
    <w:rsid w:val="00D378C7"/>
    <w:rsid w:val="00D400B0"/>
    <w:rsid w:val="00D40F85"/>
    <w:rsid w:val="00D432B0"/>
    <w:rsid w:val="00D4340E"/>
    <w:rsid w:val="00D437FA"/>
    <w:rsid w:val="00D438BE"/>
    <w:rsid w:val="00D4552B"/>
    <w:rsid w:val="00D458DD"/>
    <w:rsid w:val="00D45E3B"/>
    <w:rsid w:val="00D4642F"/>
    <w:rsid w:val="00D47EB2"/>
    <w:rsid w:val="00D5110F"/>
    <w:rsid w:val="00D54176"/>
    <w:rsid w:val="00D54F60"/>
    <w:rsid w:val="00D55FB1"/>
    <w:rsid w:val="00D61324"/>
    <w:rsid w:val="00D61849"/>
    <w:rsid w:val="00D64CD1"/>
    <w:rsid w:val="00D65990"/>
    <w:rsid w:val="00D65A20"/>
    <w:rsid w:val="00D66186"/>
    <w:rsid w:val="00D67152"/>
    <w:rsid w:val="00D6742B"/>
    <w:rsid w:val="00D67912"/>
    <w:rsid w:val="00D67F97"/>
    <w:rsid w:val="00D70128"/>
    <w:rsid w:val="00D715AF"/>
    <w:rsid w:val="00D71739"/>
    <w:rsid w:val="00D74C53"/>
    <w:rsid w:val="00D74CC9"/>
    <w:rsid w:val="00D7502F"/>
    <w:rsid w:val="00D75734"/>
    <w:rsid w:val="00D7680A"/>
    <w:rsid w:val="00D76E5D"/>
    <w:rsid w:val="00D8082F"/>
    <w:rsid w:val="00D816B0"/>
    <w:rsid w:val="00D81BE7"/>
    <w:rsid w:val="00D82239"/>
    <w:rsid w:val="00D83B20"/>
    <w:rsid w:val="00D84B9D"/>
    <w:rsid w:val="00D85BF1"/>
    <w:rsid w:val="00D85D92"/>
    <w:rsid w:val="00D863CB"/>
    <w:rsid w:val="00D9022B"/>
    <w:rsid w:val="00D92F87"/>
    <w:rsid w:val="00D965CC"/>
    <w:rsid w:val="00D971BA"/>
    <w:rsid w:val="00D9744D"/>
    <w:rsid w:val="00D97822"/>
    <w:rsid w:val="00DA1353"/>
    <w:rsid w:val="00DA1658"/>
    <w:rsid w:val="00DA2CC0"/>
    <w:rsid w:val="00DA2EFC"/>
    <w:rsid w:val="00DA31BC"/>
    <w:rsid w:val="00DA7146"/>
    <w:rsid w:val="00DA7AE0"/>
    <w:rsid w:val="00DB37B9"/>
    <w:rsid w:val="00DB3EE0"/>
    <w:rsid w:val="00DB50D9"/>
    <w:rsid w:val="00DC2EE4"/>
    <w:rsid w:val="00DC4D73"/>
    <w:rsid w:val="00DC6213"/>
    <w:rsid w:val="00DC64BE"/>
    <w:rsid w:val="00DC66D1"/>
    <w:rsid w:val="00DC701F"/>
    <w:rsid w:val="00DC79D1"/>
    <w:rsid w:val="00DD0AC0"/>
    <w:rsid w:val="00DD2FF4"/>
    <w:rsid w:val="00DD30AF"/>
    <w:rsid w:val="00DD341C"/>
    <w:rsid w:val="00DD3A97"/>
    <w:rsid w:val="00DD4B77"/>
    <w:rsid w:val="00DD56C8"/>
    <w:rsid w:val="00DD6D70"/>
    <w:rsid w:val="00DE0B8E"/>
    <w:rsid w:val="00DE1BE7"/>
    <w:rsid w:val="00DE27D5"/>
    <w:rsid w:val="00DE3424"/>
    <w:rsid w:val="00DE56BC"/>
    <w:rsid w:val="00DE78DE"/>
    <w:rsid w:val="00DF0963"/>
    <w:rsid w:val="00DF0B25"/>
    <w:rsid w:val="00DF189F"/>
    <w:rsid w:val="00DF3E24"/>
    <w:rsid w:val="00DF56E2"/>
    <w:rsid w:val="00DF68B5"/>
    <w:rsid w:val="00E01139"/>
    <w:rsid w:val="00E01305"/>
    <w:rsid w:val="00E0173C"/>
    <w:rsid w:val="00E02559"/>
    <w:rsid w:val="00E02FCE"/>
    <w:rsid w:val="00E0487C"/>
    <w:rsid w:val="00E059C2"/>
    <w:rsid w:val="00E05BB3"/>
    <w:rsid w:val="00E11092"/>
    <w:rsid w:val="00E1287B"/>
    <w:rsid w:val="00E14368"/>
    <w:rsid w:val="00E15D9D"/>
    <w:rsid w:val="00E1672C"/>
    <w:rsid w:val="00E168B4"/>
    <w:rsid w:val="00E17D61"/>
    <w:rsid w:val="00E30673"/>
    <w:rsid w:val="00E30CDA"/>
    <w:rsid w:val="00E32659"/>
    <w:rsid w:val="00E337B2"/>
    <w:rsid w:val="00E33A91"/>
    <w:rsid w:val="00E33CB9"/>
    <w:rsid w:val="00E3545E"/>
    <w:rsid w:val="00E358E1"/>
    <w:rsid w:val="00E40880"/>
    <w:rsid w:val="00E422CD"/>
    <w:rsid w:val="00E433F8"/>
    <w:rsid w:val="00E45804"/>
    <w:rsid w:val="00E46867"/>
    <w:rsid w:val="00E46CB7"/>
    <w:rsid w:val="00E475D4"/>
    <w:rsid w:val="00E53145"/>
    <w:rsid w:val="00E5361F"/>
    <w:rsid w:val="00E5424A"/>
    <w:rsid w:val="00E542D2"/>
    <w:rsid w:val="00E54540"/>
    <w:rsid w:val="00E5599D"/>
    <w:rsid w:val="00E55EAB"/>
    <w:rsid w:val="00E570EC"/>
    <w:rsid w:val="00E57906"/>
    <w:rsid w:val="00E60F5F"/>
    <w:rsid w:val="00E60F7E"/>
    <w:rsid w:val="00E6131C"/>
    <w:rsid w:val="00E63E03"/>
    <w:rsid w:val="00E63EB6"/>
    <w:rsid w:val="00E643F8"/>
    <w:rsid w:val="00E67E24"/>
    <w:rsid w:val="00E749FC"/>
    <w:rsid w:val="00E771E0"/>
    <w:rsid w:val="00E80CA9"/>
    <w:rsid w:val="00E80D23"/>
    <w:rsid w:val="00E81A01"/>
    <w:rsid w:val="00E845E2"/>
    <w:rsid w:val="00E87B30"/>
    <w:rsid w:val="00E9103D"/>
    <w:rsid w:val="00E913AF"/>
    <w:rsid w:val="00E92A5B"/>
    <w:rsid w:val="00E94C81"/>
    <w:rsid w:val="00E95001"/>
    <w:rsid w:val="00E97178"/>
    <w:rsid w:val="00EA011A"/>
    <w:rsid w:val="00EA1FA0"/>
    <w:rsid w:val="00EA238C"/>
    <w:rsid w:val="00EA3A4C"/>
    <w:rsid w:val="00EA59D9"/>
    <w:rsid w:val="00EA5DB1"/>
    <w:rsid w:val="00EA70D6"/>
    <w:rsid w:val="00EB1C89"/>
    <w:rsid w:val="00EB3240"/>
    <w:rsid w:val="00EB58F1"/>
    <w:rsid w:val="00EB5EB1"/>
    <w:rsid w:val="00EC05D7"/>
    <w:rsid w:val="00EC117E"/>
    <w:rsid w:val="00EC29EE"/>
    <w:rsid w:val="00EC34E6"/>
    <w:rsid w:val="00EC414A"/>
    <w:rsid w:val="00EC4CC3"/>
    <w:rsid w:val="00EC588B"/>
    <w:rsid w:val="00EC61E9"/>
    <w:rsid w:val="00EC69A1"/>
    <w:rsid w:val="00EC7AB3"/>
    <w:rsid w:val="00ED133B"/>
    <w:rsid w:val="00ED1603"/>
    <w:rsid w:val="00ED379B"/>
    <w:rsid w:val="00ED38C6"/>
    <w:rsid w:val="00ED3C46"/>
    <w:rsid w:val="00ED3F4D"/>
    <w:rsid w:val="00ED4418"/>
    <w:rsid w:val="00ED7284"/>
    <w:rsid w:val="00ED75C9"/>
    <w:rsid w:val="00EE0107"/>
    <w:rsid w:val="00EE1EB0"/>
    <w:rsid w:val="00EE290D"/>
    <w:rsid w:val="00EE2AD4"/>
    <w:rsid w:val="00EE58CE"/>
    <w:rsid w:val="00EE5C33"/>
    <w:rsid w:val="00EE6339"/>
    <w:rsid w:val="00EE7D44"/>
    <w:rsid w:val="00EF18BA"/>
    <w:rsid w:val="00EF22AE"/>
    <w:rsid w:val="00EF4173"/>
    <w:rsid w:val="00EF4C00"/>
    <w:rsid w:val="00EF527E"/>
    <w:rsid w:val="00EF70CD"/>
    <w:rsid w:val="00EF726E"/>
    <w:rsid w:val="00EF733F"/>
    <w:rsid w:val="00F01467"/>
    <w:rsid w:val="00F031B9"/>
    <w:rsid w:val="00F03AF9"/>
    <w:rsid w:val="00F03FC6"/>
    <w:rsid w:val="00F044F9"/>
    <w:rsid w:val="00F04DA3"/>
    <w:rsid w:val="00F0651A"/>
    <w:rsid w:val="00F07C35"/>
    <w:rsid w:val="00F11007"/>
    <w:rsid w:val="00F119A9"/>
    <w:rsid w:val="00F12828"/>
    <w:rsid w:val="00F13268"/>
    <w:rsid w:val="00F1344E"/>
    <w:rsid w:val="00F158A3"/>
    <w:rsid w:val="00F164E0"/>
    <w:rsid w:val="00F2126F"/>
    <w:rsid w:val="00F21305"/>
    <w:rsid w:val="00F21726"/>
    <w:rsid w:val="00F224F5"/>
    <w:rsid w:val="00F23A08"/>
    <w:rsid w:val="00F23CB7"/>
    <w:rsid w:val="00F265F7"/>
    <w:rsid w:val="00F26620"/>
    <w:rsid w:val="00F27678"/>
    <w:rsid w:val="00F27913"/>
    <w:rsid w:val="00F27B41"/>
    <w:rsid w:val="00F321E5"/>
    <w:rsid w:val="00F34A12"/>
    <w:rsid w:val="00F362E7"/>
    <w:rsid w:val="00F36B12"/>
    <w:rsid w:val="00F372FC"/>
    <w:rsid w:val="00F41234"/>
    <w:rsid w:val="00F41E2D"/>
    <w:rsid w:val="00F429FC"/>
    <w:rsid w:val="00F432A0"/>
    <w:rsid w:val="00F43474"/>
    <w:rsid w:val="00F454FA"/>
    <w:rsid w:val="00F46450"/>
    <w:rsid w:val="00F4662C"/>
    <w:rsid w:val="00F4751B"/>
    <w:rsid w:val="00F51353"/>
    <w:rsid w:val="00F546C2"/>
    <w:rsid w:val="00F56ADB"/>
    <w:rsid w:val="00F57713"/>
    <w:rsid w:val="00F57E41"/>
    <w:rsid w:val="00F60A0B"/>
    <w:rsid w:val="00F60F6B"/>
    <w:rsid w:val="00F61AD2"/>
    <w:rsid w:val="00F63590"/>
    <w:rsid w:val="00F6393B"/>
    <w:rsid w:val="00F63EF9"/>
    <w:rsid w:val="00F6420F"/>
    <w:rsid w:val="00F65FC8"/>
    <w:rsid w:val="00F677EA"/>
    <w:rsid w:val="00F7199F"/>
    <w:rsid w:val="00F74D07"/>
    <w:rsid w:val="00F754DE"/>
    <w:rsid w:val="00F766F1"/>
    <w:rsid w:val="00F80D43"/>
    <w:rsid w:val="00F82B2A"/>
    <w:rsid w:val="00F83D38"/>
    <w:rsid w:val="00F83DF9"/>
    <w:rsid w:val="00F84237"/>
    <w:rsid w:val="00F8457C"/>
    <w:rsid w:val="00F85663"/>
    <w:rsid w:val="00F85883"/>
    <w:rsid w:val="00F861EE"/>
    <w:rsid w:val="00F86A26"/>
    <w:rsid w:val="00F86F46"/>
    <w:rsid w:val="00F906F5"/>
    <w:rsid w:val="00F9102E"/>
    <w:rsid w:val="00F9428D"/>
    <w:rsid w:val="00F962DC"/>
    <w:rsid w:val="00F96B1C"/>
    <w:rsid w:val="00F97B19"/>
    <w:rsid w:val="00F97DB3"/>
    <w:rsid w:val="00FA0CF2"/>
    <w:rsid w:val="00FA3121"/>
    <w:rsid w:val="00FA4C63"/>
    <w:rsid w:val="00FA6B2B"/>
    <w:rsid w:val="00FA7A05"/>
    <w:rsid w:val="00FB2CB0"/>
    <w:rsid w:val="00FB628E"/>
    <w:rsid w:val="00FB6400"/>
    <w:rsid w:val="00FB7C56"/>
    <w:rsid w:val="00FB7EC7"/>
    <w:rsid w:val="00FC1294"/>
    <w:rsid w:val="00FC1B5C"/>
    <w:rsid w:val="00FC2D4B"/>
    <w:rsid w:val="00FC51C1"/>
    <w:rsid w:val="00FD04BB"/>
    <w:rsid w:val="00FD06EE"/>
    <w:rsid w:val="00FD0AF8"/>
    <w:rsid w:val="00FD2C7B"/>
    <w:rsid w:val="00FD2EE6"/>
    <w:rsid w:val="00FD2F99"/>
    <w:rsid w:val="00FD4A74"/>
    <w:rsid w:val="00FD537F"/>
    <w:rsid w:val="00FD7AFF"/>
    <w:rsid w:val="00FE44E8"/>
    <w:rsid w:val="00FE4F4F"/>
    <w:rsid w:val="00FE5B94"/>
    <w:rsid w:val="00FE7D63"/>
    <w:rsid w:val="00FF159A"/>
    <w:rsid w:val="00FF2D27"/>
    <w:rsid w:val="00FF413E"/>
    <w:rsid w:val="00FF7825"/>
    <w:rsid w:val="010D427B"/>
    <w:rsid w:val="0110248B"/>
    <w:rsid w:val="011624B1"/>
    <w:rsid w:val="01255120"/>
    <w:rsid w:val="01396E1E"/>
    <w:rsid w:val="01487A8D"/>
    <w:rsid w:val="01623771"/>
    <w:rsid w:val="0179546C"/>
    <w:rsid w:val="017B2F92"/>
    <w:rsid w:val="018E7169"/>
    <w:rsid w:val="01916C5A"/>
    <w:rsid w:val="01923392"/>
    <w:rsid w:val="0194674A"/>
    <w:rsid w:val="019D115B"/>
    <w:rsid w:val="019D55FE"/>
    <w:rsid w:val="01AE15BA"/>
    <w:rsid w:val="01C77A26"/>
    <w:rsid w:val="01E40F90"/>
    <w:rsid w:val="01E925F2"/>
    <w:rsid w:val="01EC3E90"/>
    <w:rsid w:val="01F80A87"/>
    <w:rsid w:val="020B45E7"/>
    <w:rsid w:val="022830CB"/>
    <w:rsid w:val="022A6766"/>
    <w:rsid w:val="022B42AE"/>
    <w:rsid w:val="022C0730"/>
    <w:rsid w:val="023D46EC"/>
    <w:rsid w:val="025B2DC4"/>
    <w:rsid w:val="026305F6"/>
    <w:rsid w:val="027F2CA3"/>
    <w:rsid w:val="0284231A"/>
    <w:rsid w:val="029167E5"/>
    <w:rsid w:val="0295277A"/>
    <w:rsid w:val="029D33DC"/>
    <w:rsid w:val="02CB7F49"/>
    <w:rsid w:val="02D106A5"/>
    <w:rsid w:val="02DD1A2B"/>
    <w:rsid w:val="02E27F7D"/>
    <w:rsid w:val="02FA438B"/>
    <w:rsid w:val="03085A64"/>
    <w:rsid w:val="03192A9C"/>
    <w:rsid w:val="03410C4B"/>
    <w:rsid w:val="034A3564"/>
    <w:rsid w:val="037C68DF"/>
    <w:rsid w:val="038A570F"/>
    <w:rsid w:val="03922815"/>
    <w:rsid w:val="03A3718D"/>
    <w:rsid w:val="03A4251B"/>
    <w:rsid w:val="03B60BF9"/>
    <w:rsid w:val="03C9092D"/>
    <w:rsid w:val="03D02016"/>
    <w:rsid w:val="03D03A1F"/>
    <w:rsid w:val="03EC0177"/>
    <w:rsid w:val="03F037EE"/>
    <w:rsid w:val="03FF2EAD"/>
    <w:rsid w:val="040653BD"/>
    <w:rsid w:val="042E253E"/>
    <w:rsid w:val="043F299D"/>
    <w:rsid w:val="0442248D"/>
    <w:rsid w:val="045711A0"/>
    <w:rsid w:val="047914A2"/>
    <w:rsid w:val="0481143B"/>
    <w:rsid w:val="04846602"/>
    <w:rsid w:val="04874344"/>
    <w:rsid w:val="04A24CDA"/>
    <w:rsid w:val="04AB6BC5"/>
    <w:rsid w:val="04BD6B42"/>
    <w:rsid w:val="04C0433E"/>
    <w:rsid w:val="04C9495C"/>
    <w:rsid w:val="04CD4A4D"/>
    <w:rsid w:val="04D07A99"/>
    <w:rsid w:val="04DB006D"/>
    <w:rsid w:val="04DC0C65"/>
    <w:rsid w:val="04DD3F64"/>
    <w:rsid w:val="04E23328"/>
    <w:rsid w:val="04E452F2"/>
    <w:rsid w:val="04EE6171"/>
    <w:rsid w:val="04F03521"/>
    <w:rsid w:val="04FF212C"/>
    <w:rsid w:val="050414F1"/>
    <w:rsid w:val="05080FE1"/>
    <w:rsid w:val="050909C1"/>
    <w:rsid w:val="050B1A7C"/>
    <w:rsid w:val="051200B1"/>
    <w:rsid w:val="051C4A8C"/>
    <w:rsid w:val="05477956"/>
    <w:rsid w:val="058368B9"/>
    <w:rsid w:val="05966074"/>
    <w:rsid w:val="05A957CD"/>
    <w:rsid w:val="05AF4F6B"/>
    <w:rsid w:val="05C8507D"/>
    <w:rsid w:val="05EF03F3"/>
    <w:rsid w:val="05F814A1"/>
    <w:rsid w:val="05FA5ACF"/>
    <w:rsid w:val="060F6837"/>
    <w:rsid w:val="06135229"/>
    <w:rsid w:val="061B724B"/>
    <w:rsid w:val="0620183A"/>
    <w:rsid w:val="062F259D"/>
    <w:rsid w:val="0636392C"/>
    <w:rsid w:val="06367DD0"/>
    <w:rsid w:val="065D535C"/>
    <w:rsid w:val="06677F89"/>
    <w:rsid w:val="066B7018"/>
    <w:rsid w:val="066E4E64"/>
    <w:rsid w:val="0676023C"/>
    <w:rsid w:val="067A4160"/>
    <w:rsid w:val="067D31FD"/>
    <w:rsid w:val="06824DC3"/>
    <w:rsid w:val="069F3BC7"/>
    <w:rsid w:val="06AC6E86"/>
    <w:rsid w:val="06B101E4"/>
    <w:rsid w:val="06BD2BEB"/>
    <w:rsid w:val="06C963C9"/>
    <w:rsid w:val="06CF24F0"/>
    <w:rsid w:val="06D21720"/>
    <w:rsid w:val="06D3485D"/>
    <w:rsid w:val="06E25862"/>
    <w:rsid w:val="06E90082"/>
    <w:rsid w:val="06F23CF7"/>
    <w:rsid w:val="06F7130D"/>
    <w:rsid w:val="06FF4665"/>
    <w:rsid w:val="07035F04"/>
    <w:rsid w:val="07181283"/>
    <w:rsid w:val="07195D48"/>
    <w:rsid w:val="0737795B"/>
    <w:rsid w:val="07481B68"/>
    <w:rsid w:val="074A1DA9"/>
    <w:rsid w:val="07585B24"/>
    <w:rsid w:val="07667338"/>
    <w:rsid w:val="076B1E27"/>
    <w:rsid w:val="077010BF"/>
    <w:rsid w:val="077E1A2E"/>
    <w:rsid w:val="07A019A5"/>
    <w:rsid w:val="07A64AE1"/>
    <w:rsid w:val="07A73637"/>
    <w:rsid w:val="07AD2313"/>
    <w:rsid w:val="07B23486"/>
    <w:rsid w:val="07BC4304"/>
    <w:rsid w:val="07BE007D"/>
    <w:rsid w:val="07BF4EA6"/>
    <w:rsid w:val="07D93108"/>
    <w:rsid w:val="07F014A4"/>
    <w:rsid w:val="07F37F25"/>
    <w:rsid w:val="07F46FC7"/>
    <w:rsid w:val="07F92E63"/>
    <w:rsid w:val="081C1410"/>
    <w:rsid w:val="081C4DA3"/>
    <w:rsid w:val="082F2D28"/>
    <w:rsid w:val="08393BA7"/>
    <w:rsid w:val="08640C24"/>
    <w:rsid w:val="08793FA4"/>
    <w:rsid w:val="087A534E"/>
    <w:rsid w:val="087F10B9"/>
    <w:rsid w:val="0891753F"/>
    <w:rsid w:val="089400FD"/>
    <w:rsid w:val="08AA1F35"/>
    <w:rsid w:val="08AF5C17"/>
    <w:rsid w:val="08C2594B"/>
    <w:rsid w:val="08DF64FD"/>
    <w:rsid w:val="08E908D7"/>
    <w:rsid w:val="08EB4EA1"/>
    <w:rsid w:val="090146C5"/>
    <w:rsid w:val="090349DF"/>
    <w:rsid w:val="09167A44"/>
    <w:rsid w:val="092959CA"/>
    <w:rsid w:val="0936340D"/>
    <w:rsid w:val="0946032A"/>
    <w:rsid w:val="09497E1A"/>
    <w:rsid w:val="094A3228"/>
    <w:rsid w:val="09935B64"/>
    <w:rsid w:val="09A204AA"/>
    <w:rsid w:val="09A46689"/>
    <w:rsid w:val="09AB4631"/>
    <w:rsid w:val="09C75A8B"/>
    <w:rsid w:val="09CD0A4B"/>
    <w:rsid w:val="09DA6CC4"/>
    <w:rsid w:val="09EC43CE"/>
    <w:rsid w:val="09F91840"/>
    <w:rsid w:val="0A165F4E"/>
    <w:rsid w:val="0A275D5F"/>
    <w:rsid w:val="0A4F320E"/>
    <w:rsid w:val="0A516F86"/>
    <w:rsid w:val="0A540824"/>
    <w:rsid w:val="0A5F4B72"/>
    <w:rsid w:val="0A650C83"/>
    <w:rsid w:val="0A682FE4"/>
    <w:rsid w:val="0A7377E3"/>
    <w:rsid w:val="0A7669ED"/>
    <w:rsid w:val="0A7809B7"/>
    <w:rsid w:val="0A7957DA"/>
    <w:rsid w:val="0A8C5F4A"/>
    <w:rsid w:val="0A8E1F88"/>
    <w:rsid w:val="0ABD461B"/>
    <w:rsid w:val="0AD017FF"/>
    <w:rsid w:val="0AF93A3B"/>
    <w:rsid w:val="0AFF4C34"/>
    <w:rsid w:val="0B1910BE"/>
    <w:rsid w:val="0B1D5A37"/>
    <w:rsid w:val="0B2621C1"/>
    <w:rsid w:val="0B291FD8"/>
    <w:rsid w:val="0B3568A8"/>
    <w:rsid w:val="0B425651"/>
    <w:rsid w:val="0B444D3D"/>
    <w:rsid w:val="0B470389"/>
    <w:rsid w:val="0B5A00BC"/>
    <w:rsid w:val="0B6D6042"/>
    <w:rsid w:val="0B770C6E"/>
    <w:rsid w:val="0B7F3FC7"/>
    <w:rsid w:val="0B9F1F73"/>
    <w:rsid w:val="0BAA1044"/>
    <w:rsid w:val="0BAB0918"/>
    <w:rsid w:val="0BB9448E"/>
    <w:rsid w:val="0BBA6DAD"/>
    <w:rsid w:val="0BBE7767"/>
    <w:rsid w:val="0BBEEE03"/>
    <w:rsid w:val="0BC32105"/>
    <w:rsid w:val="0BC67500"/>
    <w:rsid w:val="0BCB0FBA"/>
    <w:rsid w:val="0BD04822"/>
    <w:rsid w:val="0BD95485"/>
    <w:rsid w:val="0BDA3DD9"/>
    <w:rsid w:val="0BE36304"/>
    <w:rsid w:val="0BE7746A"/>
    <w:rsid w:val="0BFA2DB1"/>
    <w:rsid w:val="0C024886"/>
    <w:rsid w:val="0C0A7D34"/>
    <w:rsid w:val="0C2506CA"/>
    <w:rsid w:val="0C2D3A23"/>
    <w:rsid w:val="0C34090D"/>
    <w:rsid w:val="0C3720BF"/>
    <w:rsid w:val="0C4843B9"/>
    <w:rsid w:val="0C584518"/>
    <w:rsid w:val="0C6A432F"/>
    <w:rsid w:val="0C6F1945"/>
    <w:rsid w:val="0C994C14"/>
    <w:rsid w:val="0C9F68C2"/>
    <w:rsid w:val="0CBE5764"/>
    <w:rsid w:val="0CC06645"/>
    <w:rsid w:val="0CC73D61"/>
    <w:rsid w:val="0CDB6FDB"/>
    <w:rsid w:val="0CDD7D04"/>
    <w:rsid w:val="0CE95936"/>
    <w:rsid w:val="0CF63E15"/>
    <w:rsid w:val="0D003C67"/>
    <w:rsid w:val="0D0972BF"/>
    <w:rsid w:val="0D103128"/>
    <w:rsid w:val="0D162709"/>
    <w:rsid w:val="0D1B1ACD"/>
    <w:rsid w:val="0D1E4FBE"/>
    <w:rsid w:val="0D215336"/>
    <w:rsid w:val="0D246BD4"/>
    <w:rsid w:val="0D3122B2"/>
    <w:rsid w:val="0D441024"/>
    <w:rsid w:val="0D474670"/>
    <w:rsid w:val="0D7A4A46"/>
    <w:rsid w:val="0D8C45FE"/>
    <w:rsid w:val="0D8D29CB"/>
    <w:rsid w:val="0D8E229F"/>
    <w:rsid w:val="0D92278C"/>
    <w:rsid w:val="0D927FE1"/>
    <w:rsid w:val="0D984ECC"/>
    <w:rsid w:val="0D9C676A"/>
    <w:rsid w:val="0DAB2E51"/>
    <w:rsid w:val="0DB8731C"/>
    <w:rsid w:val="0DC7755F"/>
    <w:rsid w:val="0DE4231B"/>
    <w:rsid w:val="0DED47F0"/>
    <w:rsid w:val="0DF06AB6"/>
    <w:rsid w:val="0DF30354"/>
    <w:rsid w:val="0DF540CC"/>
    <w:rsid w:val="0E0240B7"/>
    <w:rsid w:val="0E147491"/>
    <w:rsid w:val="0E2826F4"/>
    <w:rsid w:val="0E286250"/>
    <w:rsid w:val="0E2D7D0A"/>
    <w:rsid w:val="0E460DCC"/>
    <w:rsid w:val="0E476571"/>
    <w:rsid w:val="0E481E5C"/>
    <w:rsid w:val="0E552DBD"/>
    <w:rsid w:val="0E63246E"/>
    <w:rsid w:val="0E663380"/>
    <w:rsid w:val="0E71409B"/>
    <w:rsid w:val="0E7A087C"/>
    <w:rsid w:val="0E8D69FB"/>
    <w:rsid w:val="0EA61755"/>
    <w:rsid w:val="0EAB793D"/>
    <w:rsid w:val="0EC00B7E"/>
    <w:rsid w:val="0ED63EFE"/>
    <w:rsid w:val="0EE16734"/>
    <w:rsid w:val="0EEF6D6E"/>
    <w:rsid w:val="0F0547E3"/>
    <w:rsid w:val="0F1D1B2D"/>
    <w:rsid w:val="0F1D6DF7"/>
    <w:rsid w:val="0F2640D3"/>
    <w:rsid w:val="0F2E5AE8"/>
    <w:rsid w:val="0F3B1FB3"/>
    <w:rsid w:val="0F423341"/>
    <w:rsid w:val="0F44530B"/>
    <w:rsid w:val="0F5C3E92"/>
    <w:rsid w:val="0F5D017B"/>
    <w:rsid w:val="0F6D12DA"/>
    <w:rsid w:val="0F7756E1"/>
    <w:rsid w:val="0F790C96"/>
    <w:rsid w:val="0F7D983A"/>
    <w:rsid w:val="0F862E63"/>
    <w:rsid w:val="0F890F70"/>
    <w:rsid w:val="0F977B31"/>
    <w:rsid w:val="0F9A317D"/>
    <w:rsid w:val="0FA7589A"/>
    <w:rsid w:val="0FE4264A"/>
    <w:rsid w:val="0FEA0D6C"/>
    <w:rsid w:val="0FED3546"/>
    <w:rsid w:val="0FEE5277"/>
    <w:rsid w:val="0FF6E065"/>
    <w:rsid w:val="101D790A"/>
    <w:rsid w:val="10254FCF"/>
    <w:rsid w:val="103E7FAD"/>
    <w:rsid w:val="104D01F0"/>
    <w:rsid w:val="105E064F"/>
    <w:rsid w:val="105F24A2"/>
    <w:rsid w:val="10670989"/>
    <w:rsid w:val="10726DC8"/>
    <w:rsid w:val="10736D7D"/>
    <w:rsid w:val="107F4121"/>
    <w:rsid w:val="108C14D0"/>
    <w:rsid w:val="10A32BD4"/>
    <w:rsid w:val="10AC3C68"/>
    <w:rsid w:val="10AE6139"/>
    <w:rsid w:val="10D9105C"/>
    <w:rsid w:val="112155B2"/>
    <w:rsid w:val="112E1DCF"/>
    <w:rsid w:val="11360C84"/>
    <w:rsid w:val="114333A1"/>
    <w:rsid w:val="115C4155"/>
    <w:rsid w:val="117143B2"/>
    <w:rsid w:val="11715268"/>
    <w:rsid w:val="118045F5"/>
    <w:rsid w:val="1194113E"/>
    <w:rsid w:val="119F2CCD"/>
    <w:rsid w:val="11AC7198"/>
    <w:rsid w:val="11B61DC5"/>
    <w:rsid w:val="11C75D80"/>
    <w:rsid w:val="11CE6E62"/>
    <w:rsid w:val="11DA3D05"/>
    <w:rsid w:val="11E332CA"/>
    <w:rsid w:val="11FA43A7"/>
    <w:rsid w:val="120211F9"/>
    <w:rsid w:val="120E7E53"/>
    <w:rsid w:val="1214273C"/>
    <w:rsid w:val="121D3BF2"/>
    <w:rsid w:val="122B3D6C"/>
    <w:rsid w:val="123258EF"/>
    <w:rsid w:val="12374CB3"/>
    <w:rsid w:val="124F2582"/>
    <w:rsid w:val="12525F91"/>
    <w:rsid w:val="12583C40"/>
    <w:rsid w:val="12624D01"/>
    <w:rsid w:val="12637679"/>
    <w:rsid w:val="1279351E"/>
    <w:rsid w:val="128769CE"/>
    <w:rsid w:val="12944A36"/>
    <w:rsid w:val="129D2991"/>
    <w:rsid w:val="12AF55D3"/>
    <w:rsid w:val="12BF6C3A"/>
    <w:rsid w:val="12CA1FCB"/>
    <w:rsid w:val="12D943DB"/>
    <w:rsid w:val="12DE2F6B"/>
    <w:rsid w:val="12E34E3B"/>
    <w:rsid w:val="12E82452"/>
    <w:rsid w:val="12F3385A"/>
    <w:rsid w:val="12F57DC2"/>
    <w:rsid w:val="130152C1"/>
    <w:rsid w:val="13053004"/>
    <w:rsid w:val="13076D7C"/>
    <w:rsid w:val="1323348A"/>
    <w:rsid w:val="13477178"/>
    <w:rsid w:val="134E49AB"/>
    <w:rsid w:val="13531FC1"/>
    <w:rsid w:val="13541895"/>
    <w:rsid w:val="13631AD8"/>
    <w:rsid w:val="136917E4"/>
    <w:rsid w:val="13734411"/>
    <w:rsid w:val="13743CE5"/>
    <w:rsid w:val="13903AF8"/>
    <w:rsid w:val="139A7BF0"/>
    <w:rsid w:val="13A13793"/>
    <w:rsid w:val="13A9398F"/>
    <w:rsid w:val="13B26139"/>
    <w:rsid w:val="13BB1914"/>
    <w:rsid w:val="13BC5DB8"/>
    <w:rsid w:val="13C702B9"/>
    <w:rsid w:val="13CB39B8"/>
    <w:rsid w:val="13E7095B"/>
    <w:rsid w:val="13FEC189"/>
    <w:rsid w:val="14117786"/>
    <w:rsid w:val="14145CBB"/>
    <w:rsid w:val="141F1EA3"/>
    <w:rsid w:val="14231504"/>
    <w:rsid w:val="142B5890"/>
    <w:rsid w:val="144B713C"/>
    <w:rsid w:val="144F52AB"/>
    <w:rsid w:val="14751785"/>
    <w:rsid w:val="14851A58"/>
    <w:rsid w:val="14893076"/>
    <w:rsid w:val="1494713B"/>
    <w:rsid w:val="149B1419"/>
    <w:rsid w:val="14AB3737"/>
    <w:rsid w:val="14BA25DD"/>
    <w:rsid w:val="14BC1DE8"/>
    <w:rsid w:val="14BC3B96"/>
    <w:rsid w:val="14BE16BC"/>
    <w:rsid w:val="14C34F24"/>
    <w:rsid w:val="14C668A1"/>
    <w:rsid w:val="14DC7147"/>
    <w:rsid w:val="14DF1632"/>
    <w:rsid w:val="14ED768B"/>
    <w:rsid w:val="14F450DE"/>
    <w:rsid w:val="15035D76"/>
    <w:rsid w:val="15115C90"/>
    <w:rsid w:val="15190FE8"/>
    <w:rsid w:val="15223963"/>
    <w:rsid w:val="15265387"/>
    <w:rsid w:val="152A4FA3"/>
    <w:rsid w:val="153236FE"/>
    <w:rsid w:val="153E0A4F"/>
    <w:rsid w:val="155C2C83"/>
    <w:rsid w:val="156009C5"/>
    <w:rsid w:val="15791A87"/>
    <w:rsid w:val="157D53FB"/>
    <w:rsid w:val="158875E1"/>
    <w:rsid w:val="15953D9D"/>
    <w:rsid w:val="159643E7"/>
    <w:rsid w:val="159B5EE6"/>
    <w:rsid w:val="15B933A1"/>
    <w:rsid w:val="15BA6327"/>
    <w:rsid w:val="15C251DC"/>
    <w:rsid w:val="15C93D3A"/>
    <w:rsid w:val="15CF7DB5"/>
    <w:rsid w:val="15D93C20"/>
    <w:rsid w:val="15DD5B72"/>
    <w:rsid w:val="15E433A4"/>
    <w:rsid w:val="15E72E94"/>
    <w:rsid w:val="15E91C66"/>
    <w:rsid w:val="15F95CAE"/>
    <w:rsid w:val="16077093"/>
    <w:rsid w:val="161012CC"/>
    <w:rsid w:val="16184DFC"/>
    <w:rsid w:val="162714E3"/>
    <w:rsid w:val="163B0AEA"/>
    <w:rsid w:val="1651030E"/>
    <w:rsid w:val="166E7071"/>
    <w:rsid w:val="167069E6"/>
    <w:rsid w:val="16930926"/>
    <w:rsid w:val="16976668"/>
    <w:rsid w:val="16B8213B"/>
    <w:rsid w:val="16BA4105"/>
    <w:rsid w:val="16BA5EB3"/>
    <w:rsid w:val="16D74971"/>
    <w:rsid w:val="16F14B29"/>
    <w:rsid w:val="16F40037"/>
    <w:rsid w:val="16F848EB"/>
    <w:rsid w:val="16FE3FF2"/>
    <w:rsid w:val="170045BA"/>
    <w:rsid w:val="171572ED"/>
    <w:rsid w:val="17263548"/>
    <w:rsid w:val="172A4DE7"/>
    <w:rsid w:val="173739A8"/>
    <w:rsid w:val="174F2A9F"/>
    <w:rsid w:val="177F5569"/>
    <w:rsid w:val="17935082"/>
    <w:rsid w:val="17C074F9"/>
    <w:rsid w:val="17D15A2D"/>
    <w:rsid w:val="17D15BAA"/>
    <w:rsid w:val="17D80CE7"/>
    <w:rsid w:val="17D83C35"/>
    <w:rsid w:val="17F174E9"/>
    <w:rsid w:val="180424EE"/>
    <w:rsid w:val="180725A6"/>
    <w:rsid w:val="181D2B9D"/>
    <w:rsid w:val="18206A76"/>
    <w:rsid w:val="183323C1"/>
    <w:rsid w:val="18371EB1"/>
    <w:rsid w:val="183D4FEE"/>
    <w:rsid w:val="18414ADE"/>
    <w:rsid w:val="18441ED8"/>
    <w:rsid w:val="18455C50"/>
    <w:rsid w:val="184620F4"/>
    <w:rsid w:val="185A5BA0"/>
    <w:rsid w:val="185C5BFE"/>
    <w:rsid w:val="18702CCD"/>
    <w:rsid w:val="18807DC6"/>
    <w:rsid w:val="18853501"/>
    <w:rsid w:val="188E66C6"/>
    <w:rsid w:val="18956BD8"/>
    <w:rsid w:val="189664AC"/>
    <w:rsid w:val="18A16464"/>
    <w:rsid w:val="18A24E51"/>
    <w:rsid w:val="18B84674"/>
    <w:rsid w:val="18C748B7"/>
    <w:rsid w:val="18CA6011"/>
    <w:rsid w:val="18D86AC4"/>
    <w:rsid w:val="18D92F68"/>
    <w:rsid w:val="18DA15E7"/>
    <w:rsid w:val="18E92A80"/>
    <w:rsid w:val="18EA7E1D"/>
    <w:rsid w:val="18EFBBCB"/>
    <w:rsid w:val="18F57676"/>
    <w:rsid w:val="190311F4"/>
    <w:rsid w:val="19193365"/>
    <w:rsid w:val="1921046B"/>
    <w:rsid w:val="19211F82"/>
    <w:rsid w:val="1928395A"/>
    <w:rsid w:val="192B3964"/>
    <w:rsid w:val="192F0DDA"/>
    <w:rsid w:val="193E101D"/>
    <w:rsid w:val="19410298"/>
    <w:rsid w:val="19483C4A"/>
    <w:rsid w:val="194A48BB"/>
    <w:rsid w:val="19540841"/>
    <w:rsid w:val="195645B9"/>
    <w:rsid w:val="19611E60"/>
    <w:rsid w:val="196842EC"/>
    <w:rsid w:val="196F567B"/>
    <w:rsid w:val="19871CEE"/>
    <w:rsid w:val="19AF5011"/>
    <w:rsid w:val="19DB4ABE"/>
    <w:rsid w:val="19E716B5"/>
    <w:rsid w:val="19EE47F1"/>
    <w:rsid w:val="1A09735A"/>
    <w:rsid w:val="1A0E09F0"/>
    <w:rsid w:val="1A261BA9"/>
    <w:rsid w:val="1A297944"/>
    <w:rsid w:val="1A2A3350"/>
    <w:rsid w:val="1A324E27"/>
    <w:rsid w:val="1A682480"/>
    <w:rsid w:val="1A7B480C"/>
    <w:rsid w:val="1A7F369B"/>
    <w:rsid w:val="1A9A2283"/>
    <w:rsid w:val="1A9E554F"/>
    <w:rsid w:val="1ABC044C"/>
    <w:rsid w:val="1AD5775F"/>
    <w:rsid w:val="1AE527EF"/>
    <w:rsid w:val="1AE87493"/>
    <w:rsid w:val="1AE96D67"/>
    <w:rsid w:val="1AEB1C6F"/>
    <w:rsid w:val="1AED4AA9"/>
    <w:rsid w:val="1AF06347"/>
    <w:rsid w:val="1B063484"/>
    <w:rsid w:val="1B070D12"/>
    <w:rsid w:val="1B193AF0"/>
    <w:rsid w:val="1B1CCD2C"/>
    <w:rsid w:val="1B244CB0"/>
    <w:rsid w:val="1B283D33"/>
    <w:rsid w:val="1B2D759B"/>
    <w:rsid w:val="1B373F76"/>
    <w:rsid w:val="1B375D24"/>
    <w:rsid w:val="1B395C34"/>
    <w:rsid w:val="1B451BB2"/>
    <w:rsid w:val="1B631C70"/>
    <w:rsid w:val="1B7B2C53"/>
    <w:rsid w:val="1B7E7DF7"/>
    <w:rsid w:val="1B8151F1"/>
    <w:rsid w:val="1B8A054A"/>
    <w:rsid w:val="1B945C85"/>
    <w:rsid w:val="1B9E23B4"/>
    <w:rsid w:val="1BA101B7"/>
    <w:rsid w:val="1BB20037"/>
    <w:rsid w:val="1BB509E0"/>
    <w:rsid w:val="1BBCC45E"/>
    <w:rsid w:val="1BD9327F"/>
    <w:rsid w:val="1BF260EF"/>
    <w:rsid w:val="1C146065"/>
    <w:rsid w:val="1C5D3949"/>
    <w:rsid w:val="1C60776B"/>
    <w:rsid w:val="1C6E6A23"/>
    <w:rsid w:val="1C7A1C92"/>
    <w:rsid w:val="1C8054A9"/>
    <w:rsid w:val="1C84143D"/>
    <w:rsid w:val="1CA91910"/>
    <w:rsid w:val="1CB33AD0"/>
    <w:rsid w:val="1CB6278E"/>
    <w:rsid w:val="1CC45CDD"/>
    <w:rsid w:val="1CC730D8"/>
    <w:rsid w:val="1CCB17B5"/>
    <w:rsid w:val="1CEB326A"/>
    <w:rsid w:val="1CEC4D48"/>
    <w:rsid w:val="1CFA1EF9"/>
    <w:rsid w:val="1CFC5477"/>
    <w:rsid w:val="1CFC7225"/>
    <w:rsid w:val="1D077978"/>
    <w:rsid w:val="1D1A3B4F"/>
    <w:rsid w:val="1D305121"/>
    <w:rsid w:val="1D3D2AA1"/>
    <w:rsid w:val="1D3F5B40"/>
    <w:rsid w:val="1D3F7112"/>
    <w:rsid w:val="1D440BCC"/>
    <w:rsid w:val="1D44297A"/>
    <w:rsid w:val="1D4E4ED4"/>
    <w:rsid w:val="1D556936"/>
    <w:rsid w:val="1D6628F1"/>
    <w:rsid w:val="1D686669"/>
    <w:rsid w:val="1D6B77F7"/>
    <w:rsid w:val="1D9624ED"/>
    <w:rsid w:val="1D9751A0"/>
    <w:rsid w:val="1DD97567"/>
    <w:rsid w:val="1DDA253A"/>
    <w:rsid w:val="1DF2490D"/>
    <w:rsid w:val="1E024F05"/>
    <w:rsid w:val="1E0839A8"/>
    <w:rsid w:val="1E0D2F79"/>
    <w:rsid w:val="1E0E17CA"/>
    <w:rsid w:val="1E164317"/>
    <w:rsid w:val="1E407AA5"/>
    <w:rsid w:val="1E562965"/>
    <w:rsid w:val="1E6848B0"/>
    <w:rsid w:val="1E7B6870"/>
    <w:rsid w:val="1EB06519"/>
    <w:rsid w:val="1EC27FFB"/>
    <w:rsid w:val="1EDFE01F"/>
    <w:rsid w:val="1EF8649C"/>
    <w:rsid w:val="1EFD7285"/>
    <w:rsid w:val="1F046865"/>
    <w:rsid w:val="1F0720F7"/>
    <w:rsid w:val="1F224EDA"/>
    <w:rsid w:val="1F332E67"/>
    <w:rsid w:val="1F3C1B5B"/>
    <w:rsid w:val="1F3F789D"/>
    <w:rsid w:val="1F42113B"/>
    <w:rsid w:val="1F422EEA"/>
    <w:rsid w:val="1F5802A9"/>
    <w:rsid w:val="1F6B0692"/>
    <w:rsid w:val="1F6B1E36"/>
    <w:rsid w:val="1F6C2694"/>
    <w:rsid w:val="1F807907"/>
    <w:rsid w:val="1F817EB6"/>
    <w:rsid w:val="1F947BE9"/>
    <w:rsid w:val="1F9F4810"/>
    <w:rsid w:val="1F9FA6B6"/>
    <w:rsid w:val="1FA675C7"/>
    <w:rsid w:val="1FB060A5"/>
    <w:rsid w:val="1FB359F5"/>
    <w:rsid w:val="1FB70DEC"/>
    <w:rsid w:val="1FC85AE5"/>
    <w:rsid w:val="1FD77AD6"/>
    <w:rsid w:val="1FDBAF6D"/>
    <w:rsid w:val="1FDF6B9D"/>
    <w:rsid w:val="1FE76146"/>
    <w:rsid w:val="1FE9242C"/>
    <w:rsid w:val="1FF22B62"/>
    <w:rsid w:val="1FFBFB0D"/>
    <w:rsid w:val="1FFC753C"/>
    <w:rsid w:val="20014B53"/>
    <w:rsid w:val="201605FE"/>
    <w:rsid w:val="20195D0C"/>
    <w:rsid w:val="201A79C2"/>
    <w:rsid w:val="201E4F1E"/>
    <w:rsid w:val="202972A7"/>
    <w:rsid w:val="204C1412"/>
    <w:rsid w:val="206A26F8"/>
    <w:rsid w:val="207D68CF"/>
    <w:rsid w:val="20B147CB"/>
    <w:rsid w:val="20B322F1"/>
    <w:rsid w:val="20B56069"/>
    <w:rsid w:val="20CC6F0F"/>
    <w:rsid w:val="20D30DB3"/>
    <w:rsid w:val="20DD0F8D"/>
    <w:rsid w:val="2100687C"/>
    <w:rsid w:val="210D3CD7"/>
    <w:rsid w:val="2115561A"/>
    <w:rsid w:val="211803A6"/>
    <w:rsid w:val="21224D81"/>
    <w:rsid w:val="212946CC"/>
    <w:rsid w:val="21297761"/>
    <w:rsid w:val="21436540"/>
    <w:rsid w:val="214C004F"/>
    <w:rsid w:val="214E201A"/>
    <w:rsid w:val="21502371"/>
    <w:rsid w:val="21555156"/>
    <w:rsid w:val="215869F4"/>
    <w:rsid w:val="215871A0"/>
    <w:rsid w:val="2177331E"/>
    <w:rsid w:val="217D46AD"/>
    <w:rsid w:val="217E4731"/>
    <w:rsid w:val="21946B79"/>
    <w:rsid w:val="219A525F"/>
    <w:rsid w:val="219F4623"/>
    <w:rsid w:val="21AF703B"/>
    <w:rsid w:val="21B433D5"/>
    <w:rsid w:val="21BE151D"/>
    <w:rsid w:val="21C30312"/>
    <w:rsid w:val="21D00C81"/>
    <w:rsid w:val="21D63BCA"/>
    <w:rsid w:val="21D72D3C"/>
    <w:rsid w:val="21DC7AF8"/>
    <w:rsid w:val="21E604A4"/>
    <w:rsid w:val="22002BCF"/>
    <w:rsid w:val="22024386"/>
    <w:rsid w:val="22140129"/>
    <w:rsid w:val="22173110"/>
    <w:rsid w:val="22411890"/>
    <w:rsid w:val="22431452"/>
    <w:rsid w:val="224D22D1"/>
    <w:rsid w:val="22557A96"/>
    <w:rsid w:val="225B49EE"/>
    <w:rsid w:val="22603DB2"/>
    <w:rsid w:val="226C6BFB"/>
    <w:rsid w:val="226F628F"/>
    <w:rsid w:val="22897E8D"/>
    <w:rsid w:val="22965A26"/>
    <w:rsid w:val="229924B0"/>
    <w:rsid w:val="22B825AB"/>
    <w:rsid w:val="22BA6B35"/>
    <w:rsid w:val="22C34341"/>
    <w:rsid w:val="22D57135"/>
    <w:rsid w:val="22D64075"/>
    <w:rsid w:val="22D95913"/>
    <w:rsid w:val="22EE7610"/>
    <w:rsid w:val="22F56924"/>
    <w:rsid w:val="22FF181D"/>
    <w:rsid w:val="230010F2"/>
    <w:rsid w:val="23005595"/>
    <w:rsid w:val="23060857"/>
    <w:rsid w:val="230D4D96"/>
    <w:rsid w:val="231828DF"/>
    <w:rsid w:val="232A3B87"/>
    <w:rsid w:val="232C15FF"/>
    <w:rsid w:val="2335523F"/>
    <w:rsid w:val="238910E7"/>
    <w:rsid w:val="23A21A79"/>
    <w:rsid w:val="23B75C54"/>
    <w:rsid w:val="23D96359"/>
    <w:rsid w:val="23E5690E"/>
    <w:rsid w:val="23EB1DA2"/>
    <w:rsid w:val="23F30C56"/>
    <w:rsid w:val="23F549CE"/>
    <w:rsid w:val="2403533D"/>
    <w:rsid w:val="2408383A"/>
    <w:rsid w:val="242851E5"/>
    <w:rsid w:val="242C7F09"/>
    <w:rsid w:val="244D65B8"/>
    <w:rsid w:val="24664CE3"/>
    <w:rsid w:val="246B4C91"/>
    <w:rsid w:val="24764A65"/>
    <w:rsid w:val="2480073C"/>
    <w:rsid w:val="2492221D"/>
    <w:rsid w:val="249C5978"/>
    <w:rsid w:val="24AB32DF"/>
    <w:rsid w:val="24B56976"/>
    <w:rsid w:val="24BB1EDB"/>
    <w:rsid w:val="24E31411"/>
    <w:rsid w:val="24E57F07"/>
    <w:rsid w:val="24F42ED8"/>
    <w:rsid w:val="24FB6014"/>
    <w:rsid w:val="2501203B"/>
    <w:rsid w:val="25040210"/>
    <w:rsid w:val="253709F1"/>
    <w:rsid w:val="25402D38"/>
    <w:rsid w:val="25406F18"/>
    <w:rsid w:val="25413432"/>
    <w:rsid w:val="25423C43"/>
    <w:rsid w:val="254465ED"/>
    <w:rsid w:val="254E25E8"/>
    <w:rsid w:val="254F49B2"/>
    <w:rsid w:val="255045B2"/>
    <w:rsid w:val="255816B9"/>
    <w:rsid w:val="255B6AB3"/>
    <w:rsid w:val="258204E4"/>
    <w:rsid w:val="25887057"/>
    <w:rsid w:val="259C15A5"/>
    <w:rsid w:val="25B54415"/>
    <w:rsid w:val="25B579D9"/>
    <w:rsid w:val="25B763DF"/>
    <w:rsid w:val="25C70488"/>
    <w:rsid w:val="25D7082F"/>
    <w:rsid w:val="25DDBD59"/>
    <w:rsid w:val="25E3689A"/>
    <w:rsid w:val="25E82979"/>
    <w:rsid w:val="25E847EB"/>
    <w:rsid w:val="25E940BF"/>
    <w:rsid w:val="25F56F08"/>
    <w:rsid w:val="25FA4735"/>
    <w:rsid w:val="2603491A"/>
    <w:rsid w:val="26070FCD"/>
    <w:rsid w:val="260D24A3"/>
    <w:rsid w:val="2619733A"/>
    <w:rsid w:val="26216155"/>
    <w:rsid w:val="262250F4"/>
    <w:rsid w:val="264F5491"/>
    <w:rsid w:val="267047E0"/>
    <w:rsid w:val="267B565F"/>
    <w:rsid w:val="268B33C8"/>
    <w:rsid w:val="269865C5"/>
    <w:rsid w:val="269F613C"/>
    <w:rsid w:val="26A83DE5"/>
    <w:rsid w:val="26B052B0"/>
    <w:rsid w:val="26B33E59"/>
    <w:rsid w:val="26B648E9"/>
    <w:rsid w:val="26C64400"/>
    <w:rsid w:val="26E34FB2"/>
    <w:rsid w:val="26F37731"/>
    <w:rsid w:val="26F747B3"/>
    <w:rsid w:val="27024376"/>
    <w:rsid w:val="271E248E"/>
    <w:rsid w:val="27502E5B"/>
    <w:rsid w:val="276205CD"/>
    <w:rsid w:val="278975FE"/>
    <w:rsid w:val="27A32323"/>
    <w:rsid w:val="27BA0A70"/>
    <w:rsid w:val="27BF303B"/>
    <w:rsid w:val="27C351DB"/>
    <w:rsid w:val="27D86AE1"/>
    <w:rsid w:val="27DB33AF"/>
    <w:rsid w:val="27DF7646"/>
    <w:rsid w:val="27EEF04C"/>
    <w:rsid w:val="27F37477"/>
    <w:rsid w:val="28081174"/>
    <w:rsid w:val="2809723B"/>
    <w:rsid w:val="280C22E7"/>
    <w:rsid w:val="28116A20"/>
    <w:rsid w:val="28377363"/>
    <w:rsid w:val="284E54A9"/>
    <w:rsid w:val="28537F15"/>
    <w:rsid w:val="28667C49"/>
    <w:rsid w:val="286A3057"/>
    <w:rsid w:val="287A36F4"/>
    <w:rsid w:val="287F6F5C"/>
    <w:rsid w:val="288527C5"/>
    <w:rsid w:val="28855B7B"/>
    <w:rsid w:val="288F53F1"/>
    <w:rsid w:val="289B3D96"/>
    <w:rsid w:val="28A80261"/>
    <w:rsid w:val="28AD5878"/>
    <w:rsid w:val="28AE3E5D"/>
    <w:rsid w:val="28C21322"/>
    <w:rsid w:val="28CB0887"/>
    <w:rsid w:val="28D23530"/>
    <w:rsid w:val="28F2772E"/>
    <w:rsid w:val="28F45255"/>
    <w:rsid w:val="28F60FCD"/>
    <w:rsid w:val="28F9286B"/>
    <w:rsid w:val="290D4568"/>
    <w:rsid w:val="290F208E"/>
    <w:rsid w:val="291652AB"/>
    <w:rsid w:val="294837F2"/>
    <w:rsid w:val="29577B04"/>
    <w:rsid w:val="296543A4"/>
    <w:rsid w:val="296E14AB"/>
    <w:rsid w:val="298A2AE2"/>
    <w:rsid w:val="298C36DF"/>
    <w:rsid w:val="299407E6"/>
    <w:rsid w:val="299A404E"/>
    <w:rsid w:val="299D769A"/>
    <w:rsid w:val="29A0718A"/>
    <w:rsid w:val="29A450F3"/>
    <w:rsid w:val="29AF7A47"/>
    <w:rsid w:val="29B42C36"/>
    <w:rsid w:val="29CE50C9"/>
    <w:rsid w:val="29D058F2"/>
    <w:rsid w:val="29E713BB"/>
    <w:rsid w:val="29EC43D5"/>
    <w:rsid w:val="29EC6874"/>
    <w:rsid w:val="29FA3933"/>
    <w:rsid w:val="29FA79DE"/>
    <w:rsid w:val="2A040D40"/>
    <w:rsid w:val="2A063491"/>
    <w:rsid w:val="2A1B4A63"/>
    <w:rsid w:val="2A1C2CB5"/>
    <w:rsid w:val="2A2953D2"/>
    <w:rsid w:val="2A355B25"/>
    <w:rsid w:val="2A41271B"/>
    <w:rsid w:val="2A4B5348"/>
    <w:rsid w:val="2A554419"/>
    <w:rsid w:val="2A5C3575"/>
    <w:rsid w:val="2A8231BA"/>
    <w:rsid w:val="2A8B1BE9"/>
    <w:rsid w:val="2A950CB9"/>
    <w:rsid w:val="2A9B3CAB"/>
    <w:rsid w:val="2AAD1B5F"/>
    <w:rsid w:val="2AB033FD"/>
    <w:rsid w:val="2ABA36EB"/>
    <w:rsid w:val="2AC86999"/>
    <w:rsid w:val="2ACA5FB1"/>
    <w:rsid w:val="2ACB6489"/>
    <w:rsid w:val="2ACF41CB"/>
    <w:rsid w:val="2AD95BF4"/>
    <w:rsid w:val="2ADD6903"/>
    <w:rsid w:val="2ADE440E"/>
    <w:rsid w:val="2AF6762C"/>
    <w:rsid w:val="2B053749"/>
    <w:rsid w:val="2B2D2CA0"/>
    <w:rsid w:val="2B345DDC"/>
    <w:rsid w:val="2B3B4A43"/>
    <w:rsid w:val="2B4976F8"/>
    <w:rsid w:val="2B5841C1"/>
    <w:rsid w:val="2B632B65"/>
    <w:rsid w:val="2B65243A"/>
    <w:rsid w:val="2B762899"/>
    <w:rsid w:val="2B852ADC"/>
    <w:rsid w:val="2B9D2F74"/>
    <w:rsid w:val="2BAC1E16"/>
    <w:rsid w:val="2BB0178B"/>
    <w:rsid w:val="2BBF7749"/>
    <w:rsid w:val="2BC02480"/>
    <w:rsid w:val="2BD3C6FD"/>
    <w:rsid w:val="2BE21CDC"/>
    <w:rsid w:val="2BE27F2E"/>
    <w:rsid w:val="2BE912BD"/>
    <w:rsid w:val="2BEE68D3"/>
    <w:rsid w:val="2BF9254E"/>
    <w:rsid w:val="2BFC0FF0"/>
    <w:rsid w:val="2C0954BB"/>
    <w:rsid w:val="2C0C03FA"/>
    <w:rsid w:val="2C183950"/>
    <w:rsid w:val="2C1D1762"/>
    <w:rsid w:val="2C1F083A"/>
    <w:rsid w:val="2C23279A"/>
    <w:rsid w:val="2C2E0A7D"/>
    <w:rsid w:val="2C3D6F12"/>
    <w:rsid w:val="2C5D1363"/>
    <w:rsid w:val="2C7072E8"/>
    <w:rsid w:val="2C8A350E"/>
    <w:rsid w:val="2CA536AB"/>
    <w:rsid w:val="2CA60F5C"/>
    <w:rsid w:val="2CD23AFF"/>
    <w:rsid w:val="2CD70470"/>
    <w:rsid w:val="2CFC0B7C"/>
    <w:rsid w:val="2CFC5020"/>
    <w:rsid w:val="2D200EBF"/>
    <w:rsid w:val="2D242E5B"/>
    <w:rsid w:val="2D2E4415"/>
    <w:rsid w:val="2D426ED6"/>
    <w:rsid w:val="2D630BFB"/>
    <w:rsid w:val="2D652BC5"/>
    <w:rsid w:val="2D7050C6"/>
    <w:rsid w:val="2D7067F2"/>
    <w:rsid w:val="2D746964"/>
    <w:rsid w:val="2D766B80"/>
    <w:rsid w:val="2D816366"/>
    <w:rsid w:val="2D873717"/>
    <w:rsid w:val="2D8A19DA"/>
    <w:rsid w:val="2D8B36B2"/>
    <w:rsid w:val="2DA06319"/>
    <w:rsid w:val="2DB66F7C"/>
    <w:rsid w:val="2DBFFD17"/>
    <w:rsid w:val="2DD68FB2"/>
    <w:rsid w:val="2DE27D71"/>
    <w:rsid w:val="2DE95FF2"/>
    <w:rsid w:val="2DF7D1F1"/>
    <w:rsid w:val="2DFA75A0"/>
    <w:rsid w:val="2E0028ED"/>
    <w:rsid w:val="2E051CB2"/>
    <w:rsid w:val="2E0E1648"/>
    <w:rsid w:val="2E2D5687"/>
    <w:rsid w:val="2E2F062E"/>
    <w:rsid w:val="2E317F48"/>
    <w:rsid w:val="2E363E2D"/>
    <w:rsid w:val="2E402CEA"/>
    <w:rsid w:val="2E41718E"/>
    <w:rsid w:val="2E4D1C9B"/>
    <w:rsid w:val="2E514EF7"/>
    <w:rsid w:val="2E552C39"/>
    <w:rsid w:val="2E5A3DAC"/>
    <w:rsid w:val="2E5E5C0B"/>
    <w:rsid w:val="2E615CDF"/>
    <w:rsid w:val="2E692241"/>
    <w:rsid w:val="2E6E3CFB"/>
    <w:rsid w:val="2E7C0E79"/>
    <w:rsid w:val="2E7F3812"/>
    <w:rsid w:val="2E821554"/>
    <w:rsid w:val="2E9F5C62"/>
    <w:rsid w:val="2EC81971"/>
    <w:rsid w:val="2ED37C6C"/>
    <w:rsid w:val="2EE62680"/>
    <w:rsid w:val="2EEB70FA"/>
    <w:rsid w:val="2EF266DA"/>
    <w:rsid w:val="2EF7784D"/>
    <w:rsid w:val="2F087CAC"/>
    <w:rsid w:val="2F204FF5"/>
    <w:rsid w:val="2F2726E0"/>
    <w:rsid w:val="2F3C31DF"/>
    <w:rsid w:val="2F464330"/>
    <w:rsid w:val="2F542EF1"/>
    <w:rsid w:val="2F5A7DDB"/>
    <w:rsid w:val="2F5C6E24"/>
    <w:rsid w:val="2F713AA3"/>
    <w:rsid w:val="2F77273B"/>
    <w:rsid w:val="2F7A2217"/>
    <w:rsid w:val="2F9C7419"/>
    <w:rsid w:val="2F9D0A74"/>
    <w:rsid w:val="2FAA3B85"/>
    <w:rsid w:val="2FB96C5A"/>
    <w:rsid w:val="2FC93FFB"/>
    <w:rsid w:val="2FD61B58"/>
    <w:rsid w:val="2FDC1179"/>
    <w:rsid w:val="2FDC6A42"/>
    <w:rsid w:val="2FDD2AA2"/>
    <w:rsid w:val="2FE34275"/>
    <w:rsid w:val="2FE620BA"/>
    <w:rsid w:val="2FEF7927"/>
    <w:rsid w:val="2FFFABD8"/>
    <w:rsid w:val="300541EB"/>
    <w:rsid w:val="302D4511"/>
    <w:rsid w:val="302F52BF"/>
    <w:rsid w:val="303251C8"/>
    <w:rsid w:val="30444908"/>
    <w:rsid w:val="304A7925"/>
    <w:rsid w:val="305106B6"/>
    <w:rsid w:val="30597D27"/>
    <w:rsid w:val="30696528"/>
    <w:rsid w:val="30764D4E"/>
    <w:rsid w:val="30800FAB"/>
    <w:rsid w:val="30823A8E"/>
    <w:rsid w:val="30A34980"/>
    <w:rsid w:val="30A6777C"/>
    <w:rsid w:val="30AE5C9B"/>
    <w:rsid w:val="30AE6631"/>
    <w:rsid w:val="30B86F23"/>
    <w:rsid w:val="30C916BD"/>
    <w:rsid w:val="30D8545C"/>
    <w:rsid w:val="30DA5678"/>
    <w:rsid w:val="30FE6A40"/>
    <w:rsid w:val="31091BCD"/>
    <w:rsid w:val="31295CB7"/>
    <w:rsid w:val="312D3BAB"/>
    <w:rsid w:val="313A31D7"/>
    <w:rsid w:val="3144379F"/>
    <w:rsid w:val="314C343E"/>
    <w:rsid w:val="31532D34"/>
    <w:rsid w:val="316867E0"/>
    <w:rsid w:val="317038E6"/>
    <w:rsid w:val="317258B0"/>
    <w:rsid w:val="31741628"/>
    <w:rsid w:val="31AE7970"/>
    <w:rsid w:val="31B93885"/>
    <w:rsid w:val="31BE5A57"/>
    <w:rsid w:val="31DC0F7C"/>
    <w:rsid w:val="31E247E4"/>
    <w:rsid w:val="31E25711"/>
    <w:rsid w:val="31E85B72"/>
    <w:rsid w:val="31F54B9D"/>
    <w:rsid w:val="320D7387"/>
    <w:rsid w:val="32130E41"/>
    <w:rsid w:val="323376F3"/>
    <w:rsid w:val="3264344B"/>
    <w:rsid w:val="32700042"/>
    <w:rsid w:val="3273368E"/>
    <w:rsid w:val="327B0795"/>
    <w:rsid w:val="3282677F"/>
    <w:rsid w:val="3287138D"/>
    <w:rsid w:val="329067C4"/>
    <w:rsid w:val="329C208F"/>
    <w:rsid w:val="32A415DF"/>
    <w:rsid w:val="32A74C8A"/>
    <w:rsid w:val="32A777DC"/>
    <w:rsid w:val="32BC5FF1"/>
    <w:rsid w:val="32C602F8"/>
    <w:rsid w:val="32C959A4"/>
    <w:rsid w:val="32EE540A"/>
    <w:rsid w:val="33030EB6"/>
    <w:rsid w:val="33380434"/>
    <w:rsid w:val="333C5389"/>
    <w:rsid w:val="33436AD5"/>
    <w:rsid w:val="334D0383"/>
    <w:rsid w:val="334D4507"/>
    <w:rsid w:val="33582884"/>
    <w:rsid w:val="336E20A7"/>
    <w:rsid w:val="336E3E55"/>
    <w:rsid w:val="336E77BA"/>
    <w:rsid w:val="337771AE"/>
    <w:rsid w:val="337A3FFE"/>
    <w:rsid w:val="337D1867"/>
    <w:rsid w:val="338F274A"/>
    <w:rsid w:val="33915EBC"/>
    <w:rsid w:val="33931F7F"/>
    <w:rsid w:val="339733AC"/>
    <w:rsid w:val="33983A23"/>
    <w:rsid w:val="33AA4975"/>
    <w:rsid w:val="33B41A8E"/>
    <w:rsid w:val="33B46364"/>
    <w:rsid w:val="33BB4F39"/>
    <w:rsid w:val="33BF71F0"/>
    <w:rsid w:val="33CA141E"/>
    <w:rsid w:val="33D22636"/>
    <w:rsid w:val="33DE722D"/>
    <w:rsid w:val="33E75823"/>
    <w:rsid w:val="33F24A86"/>
    <w:rsid w:val="33FB1479"/>
    <w:rsid w:val="33FE1801"/>
    <w:rsid w:val="34067A57"/>
    <w:rsid w:val="340F7BE4"/>
    <w:rsid w:val="34161BF1"/>
    <w:rsid w:val="3434486B"/>
    <w:rsid w:val="343F180B"/>
    <w:rsid w:val="344057F2"/>
    <w:rsid w:val="344D06DD"/>
    <w:rsid w:val="345E036E"/>
    <w:rsid w:val="3464057A"/>
    <w:rsid w:val="34645984"/>
    <w:rsid w:val="34856A51"/>
    <w:rsid w:val="348953EB"/>
    <w:rsid w:val="34936269"/>
    <w:rsid w:val="34AF2977"/>
    <w:rsid w:val="34B14942"/>
    <w:rsid w:val="34BF0E0C"/>
    <w:rsid w:val="34BF7698"/>
    <w:rsid w:val="34C50EF3"/>
    <w:rsid w:val="34CF1337"/>
    <w:rsid w:val="34D16D92"/>
    <w:rsid w:val="34D81ECE"/>
    <w:rsid w:val="34DF386C"/>
    <w:rsid w:val="34EF461D"/>
    <w:rsid w:val="34F308B0"/>
    <w:rsid w:val="34F53959"/>
    <w:rsid w:val="35040F15"/>
    <w:rsid w:val="351A6043"/>
    <w:rsid w:val="351D1FD7"/>
    <w:rsid w:val="352073D1"/>
    <w:rsid w:val="352B7DD8"/>
    <w:rsid w:val="35410D7F"/>
    <w:rsid w:val="355754E9"/>
    <w:rsid w:val="35645510"/>
    <w:rsid w:val="3564627D"/>
    <w:rsid w:val="357240D1"/>
    <w:rsid w:val="3579545F"/>
    <w:rsid w:val="3583008C"/>
    <w:rsid w:val="358E07DF"/>
    <w:rsid w:val="3598340C"/>
    <w:rsid w:val="359C6746"/>
    <w:rsid w:val="35B53FBD"/>
    <w:rsid w:val="35BA1854"/>
    <w:rsid w:val="35C10BB4"/>
    <w:rsid w:val="35C13C18"/>
    <w:rsid w:val="35D72186"/>
    <w:rsid w:val="35E054DE"/>
    <w:rsid w:val="35EA010B"/>
    <w:rsid w:val="36025C8B"/>
    <w:rsid w:val="36126734"/>
    <w:rsid w:val="361B6516"/>
    <w:rsid w:val="364E12CB"/>
    <w:rsid w:val="365E6403"/>
    <w:rsid w:val="36696099"/>
    <w:rsid w:val="366A5A29"/>
    <w:rsid w:val="367571F9"/>
    <w:rsid w:val="367E0853"/>
    <w:rsid w:val="3680483A"/>
    <w:rsid w:val="368A71F8"/>
    <w:rsid w:val="3699743B"/>
    <w:rsid w:val="36A22794"/>
    <w:rsid w:val="36B007FC"/>
    <w:rsid w:val="36C8071B"/>
    <w:rsid w:val="36D579BE"/>
    <w:rsid w:val="370D067D"/>
    <w:rsid w:val="371C6A6E"/>
    <w:rsid w:val="372E2279"/>
    <w:rsid w:val="372E4027"/>
    <w:rsid w:val="373D070E"/>
    <w:rsid w:val="373D426B"/>
    <w:rsid w:val="374F52B2"/>
    <w:rsid w:val="37517D16"/>
    <w:rsid w:val="375926B0"/>
    <w:rsid w:val="37621F23"/>
    <w:rsid w:val="37633AA0"/>
    <w:rsid w:val="37695060"/>
    <w:rsid w:val="376F464A"/>
    <w:rsid w:val="37753A04"/>
    <w:rsid w:val="377D0B0B"/>
    <w:rsid w:val="377E0283"/>
    <w:rsid w:val="37A147F9"/>
    <w:rsid w:val="37B6383E"/>
    <w:rsid w:val="37BB5E2D"/>
    <w:rsid w:val="37BC1633"/>
    <w:rsid w:val="37D13B0B"/>
    <w:rsid w:val="37D411EE"/>
    <w:rsid w:val="37D42E21"/>
    <w:rsid w:val="37F45271"/>
    <w:rsid w:val="37F76B0F"/>
    <w:rsid w:val="37FD4A26"/>
    <w:rsid w:val="37FF16BE"/>
    <w:rsid w:val="37FF7772"/>
    <w:rsid w:val="38003C16"/>
    <w:rsid w:val="38042FDA"/>
    <w:rsid w:val="380A2579"/>
    <w:rsid w:val="380B25BB"/>
    <w:rsid w:val="381B27FE"/>
    <w:rsid w:val="383505C1"/>
    <w:rsid w:val="384A30E3"/>
    <w:rsid w:val="38653A79"/>
    <w:rsid w:val="386677F1"/>
    <w:rsid w:val="386A736F"/>
    <w:rsid w:val="387C487B"/>
    <w:rsid w:val="38A00F55"/>
    <w:rsid w:val="38A31B56"/>
    <w:rsid w:val="38A74091"/>
    <w:rsid w:val="38D45A26"/>
    <w:rsid w:val="38D909BB"/>
    <w:rsid w:val="38EA21D0"/>
    <w:rsid w:val="38ED7091"/>
    <w:rsid w:val="38F173CF"/>
    <w:rsid w:val="38F62E34"/>
    <w:rsid w:val="38FF3BAA"/>
    <w:rsid w:val="390754D3"/>
    <w:rsid w:val="39161217"/>
    <w:rsid w:val="39180AEB"/>
    <w:rsid w:val="39185C3B"/>
    <w:rsid w:val="392E6561"/>
    <w:rsid w:val="394C2E8B"/>
    <w:rsid w:val="39602630"/>
    <w:rsid w:val="397F0B6A"/>
    <w:rsid w:val="39873EC3"/>
    <w:rsid w:val="399B34CA"/>
    <w:rsid w:val="39A4715A"/>
    <w:rsid w:val="39C96A4D"/>
    <w:rsid w:val="39D215E2"/>
    <w:rsid w:val="39D4404C"/>
    <w:rsid w:val="39D765C5"/>
    <w:rsid w:val="39D76BF8"/>
    <w:rsid w:val="39EC3AF7"/>
    <w:rsid w:val="39EF3F42"/>
    <w:rsid w:val="39F46F83"/>
    <w:rsid w:val="3A013C75"/>
    <w:rsid w:val="3A091BA6"/>
    <w:rsid w:val="3A2636DC"/>
    <w:rsid w:val="3A2662EE"/>
    <w:rsid w:val="3A363F91"/>
    <w:rsid w:val="3A4233A8"/>
    <w:rsid w:val="3A500759"/>
    <w:rsid w:val="3A6F586E"/>
    <w:rsid w:val="3A9C7785"/>
    <w:rsid w:val="3A9D0CCF"/>
    <w:rsid w:val="3AAE7D6C"/>
    <w:rsid w:val="3AB10217"/>
    <w:rsid w:val="3AB807D8"/>
    <w:rsid w:val="3ABB3E24"/>
    <w:rsid w:val="3ABB48A4"/>
    <w:rsid w:val="3AC47158"/>
    <w:rsid w:val="3AD43138"/>
    <w:rsid w:val="3AD44EE6"/>
    <w:rsid w:val="3AD66EB0"/>
    <w:rsid w:val="3ADE3FB6"/>
    <w:rsid w:val="3AE06A81"/>
    <w:rsid w:val="3AE35A81"/>
    <w:rsid w:val="3AE80991"/>
    <w:rsid w:val="3B037579"/>
    <w:rsid w:val="3B1B2B15"/>
    <w:rsid w:val="3B225C51"/>
    <w:rsid w:val="3B277D91"/>
    <w:rsid w:val="3B2A71FC"/>
    <w:rsid w:val="3B3616FD"/>
    <w:rsid w:val="3B4D7E71"/>
    <w:rsid w:val="3B5322AF"/>
    <w:rsid w:val="3B613EE9"/>
    <w:rsid w:val="3B620744"/>
    <w:rsid w:val="3B6444BC"/>
    <w:rsid w:val="3B693880"/>
    <w:rsid w:val="3B710987"/>
    <w:rsid w:val="3B7C7A57"/>
    <w:rsid w:val="3B7D37CF"/>
    <w:rsid w:val="3B806E1C"/>
    <w:rsid w:val="3B9A7EDD"/>
    <w:rsid w:val="3BAE78F4"/>
    <w:rsid w:val="3BB6283D"/>
    <w:rsid w:val="3BB9FE38"/>
    <w:rsid w:val="3BCB62E9"/>
    <w:rsid w:val="3BF27D19"/>
    <w:rsid w:val="3BF375EE"/>
    <w:rsid w:val="3BF84C04"/>
    <w:rsid w:val="3BFBEB5C"/>
    <w:rsid w:val="3C081E55"/>
    <w:rsid w:val="3C206084"/>
    <w:rsid w:val="3C3C020C"/>
    <w:rsid w:val="3C776471"/>
    <w:rsid w:val="3C836BC3"/>
    <w:rsid w:val="3C850B8E"/>
    <w:rsid w:val="3C885F88"/>
    <w:rsid w:val="3C942B7F"/>
    <w:rsid w:val="3C990195"/>
    <w:rsid w:val="3CA803D8"/>
    <w:rsid w:val="3CAD3C40"/>
    <w:rsid w:val="3CC45724"/>
    <w:rsid w:val="3CDB255C"/>
    <w:rsid w:val="3CEA279F"/>
    <w:rsid w:val="3CEE173C"/>
    <w:rsid w:val="3CF03B2D"/>
    <w:rsid w:val="3CFB0E50"/>
    <w:rsid w:val="3CFC0724"/>
    <w:rsid w:val="3CFFC1C0"/>
    <w:rsid w:val="3D0D2931"/>
    <w:rsid w:val="3D1F74D8"/>
    <w:rsid w:val="3D235CB1"/>
    <w:rsid w:val="3D29156B"/>
    <w:rsid w:val="3D4C16AB"/>
    <w:rsid w:val="3D4C3459"/>
    <w:rsid w:val="3D595B76"/>
    <w:rsid w:val="3D63B08E"/>
    <w:rsid w:val="3D6407A3"/>
    <w:rsid w:val="3D6FFAA4"/>
    <w:rsid w:val="3D7824A0"/>
    <w:rsid w:val="3D870AFC"/>
    <w:rsid w:val="3D98797C"/>
    <w:rsid w:val="3D997F87"/>
    <w:rsid w:val="3DAFFF22"/>
    <w:rsid w:val="3DB8289D"/>
    <w:rsid w:val="3DBF0EC3"/>
    <w:rsid w:val="3DC413C5"/>
    <w:rsid w:val="3DCB25D0"/>
    <w:rsid w:val="3DD11BB1"/>
    <w:rsid w:val="3DD1AF9B"/>
    <w:rsid w:val="3DDD2303"/>
    <w:rsid w:val="3DEB0EC4"/>
    <w:rsid w:val="3DF00289"/>
    <w:rsid w:val="3DF01B83"/>
    <w:rsid w:val="3DFF4468"/>
    <w:rsid w:val="3E1A60FD"/>
    <w:rsid w:val="3E261EFC"/>
    <w:rsid w:val="3E2C0ABF"/>
    <w:rsid w:val="3E391C30"/>
    <w:rsid w:val="3E3A5714"/>
    <w:rsid w:val="3E43485C"/>
    <w:rsid w:val="3E495BEB"/>
    <w:rsid w:val="3E496F73"/>
    <w:rsid w:val="3E4B3711"/>
    <w:rsid w:val="3E4B4EF6"/>
    <w:rsid w:val="3E80554F"/>
    <w:rsid w:val="3E915CC7"/>
    <w:rsid w:val="3E967CB8"/>
    <w:rsid w:val="3E9D053F"/>
    <w:rsid w:val="3EBF7C5B"/>
    <w:rsid w:val="3EC139D3"/>
    <w:rsid w:val="3EC55271"/>
    <w:rsid w:val="3ED96916"/>
    <w:rsid w:val="3F012224"/>
    <w:rsid w:val="3F0652EA"/>
    <w:rsid w:val="3F1F31F2"/>
    <w:rsid w:val="3F214472"/>
    <w:rsid w:val="3F235F5F"/>
    <w:rsid w:val="3F370609"/>
    <w:rsid w:val="3F487C50"/>
    <w:rsid w:val="3F52193C"/>
    <w:rsid w:val="3F5673A7"/>
    <w:rsid w:val="3F6525B0"/>
    <w:rsid w:val="3F9F3D14"/>
    <w:rsid w:val="3FA5B1F8"/>
    <w:rsid w:val="3FB782BC"/>
    <w:rsid w:val="3FB86B84"/>
    <w:rsid w:val="3FBB48C6"/>
    <w:rsid w:val="3FBD381D"/>
    <w:rsid w:val="3FC06D0E"/>
    <w:rsid w:val="3FCC5FA2"/>
    <w:rsid w:val="3FCFD10B"/>
    <w:rsid w:val="3FD33345"/>
    <w:rsid w:val="3FDF7FDB"/>
    <w:rsid w:val="3FDFBA1E"/>
    <w:rsid w:val="3FE3222B"/>
    <w:rsid w:val="3FE8ED35"/>
    <w:rsid w:val="3FEF1CF7"/>
    <w:rsid w:val="3FF33835"/>
    <w:rsid w:val="3FF517E6"/>
    <w:rsid w:val="3FF57ECA"/>
    <w:rsid w:val="3FF8FDDF"/>
    <w:rsid w:val="3FFA0F4B"/>
    <w:rsid w:val="400718BA"/>
    <w:rsid w:val="40077B0C"/>
    <w:rsid w:val="404331C8"/>
    <w:rsid w:val="404D5521"/>
    <w:rsid w:val="405158FB"/>
    <w:rsid w:val="405C1C05"/>
    <w:rsid w:val="40632F94"/>
    <w:rsid w:val="40706B2D"/>
    <w:rsid w:val="4093314D"/>
    <w:rsid w:val="409D5B3A"/>
    <w:rsid w:val="40B05721"/>
    <w:rsid w:val="40BF3251"/>
    <w:rsid w:val="40C17CBA"/>
    <w:rsid w:val="40DE6ABE"/>
    <w:rsid w:val="40E340D5"/>
    <w:rsid w:val="40E6139C"/>
    <w:rsid w:val="40F4216D"/>
    <w:rsid w:val="41051137"/>
    <w:rsid w:val="4108229F"/>
    <w:rsid w:val="410D2F00"/>
    <w:rsid w:val="411121D1"/>
    <w:rsid w:val="4114428E"/>
    <w:rsid w:val="41175B2C"/>
    <w:rsid w:val="41250249"/>
    <w:rsid w:val="412E5D4F"/>
    <w:rsid w:val="413453F5"/>
    <w:rsid w:val="414660A0"/>
    <w:rsid w:val="41566655"/>
    <w:rsid w:val="415749C7"/>
    <w:rsid w:val="415A0A7F"/>
    <w:rsid w:val="415C38C0"/>
    <w:rsid w:val="41716BB7"/>
    <w:rsid w:val="4179368C"/>
    <w:rsid w:val="41850CE8"/>
    <w:rsid w:val="418807D8"/>
    <w:rsid w:val="41C061C4"/>
    <w:rsid w:val="4204260D"/>
    <w:rsid w:val="42051E29"/>
    <w:rsid w:val="420E3814"/>
    <w:rsid w:val="42127670"/>
    <w:rsid w:val="422F6EA6"/>
    <w:rsid w:val="42310788"/>
    <w:rsid w:val="42373DE2"/>
    <w:rsid w:val="42472BF8"/>
    <w:rsid w:val="424B6F3C"/>
    <w:rsid w:val="42511DB3"/>
    <w:rsid w:val="42AC04F6"/>
    <w:rsid w:val="42C27D1A"/>
    <w:rsid w:val="42DE4B54"/>
    <w:rsid w:val="42EB7271"/>
    <w:rsid w:val="42F917CB"/>
    <w:rsid w:val="43056584"/>
    <w:rsid w:val="43100A85"/>
    <w:rsid w:val="4311348F"/>
    <w:rsid w:val="431211E0"/>
    <w:rsid w:val="43135248"/>
    <w:rsid w:val="431E7646"/>
    <w:rsid w:val="43291B47"/>
    <w:rsid w:val="432F53AF"/>
    <w:rsid w:val="433429C6"/>
    <w:rsid w:val="43364990"/>
    <w:rsid w:val="436332AB"/>
    <w:rsid w:val="436821E9"/>
    <w:rsid w:val="43923B90"/>
    <w:rsid w:val="439873F8"/>
    <w:rsid w:val="439D4D73"/>
    <w:rsid w:val="43AA712C"/>
    <w:rsid w:val="43AF4727"/>
    <w:rsid w:val="43CD6976"/>
    <w:rsid w:val="43D441A9"/>
    <w:rsid w:val="43E20674"/>
    <w:rsid w:val="43FF8621"/>
    <w:rsid w:val="440741F6"/>
    <w:rsid w:val="440A3726"/>
    <w:rsid w:val="440F6F8F"/>
    <w:rsid w:val="44113095"/>
    <w:rsid w:val="44136A7F"/>
    <w:rsid w:val="44330ECF"/>
    <w:rsid w:val="44437E31"/>
    <w:rsid w:val="44446C38"/>
    <w:rsid w:val="444C1F91"/>
    <w:rsid w:val="44501A81"/>
    <w:rsid w:val="44566C0D"/>
    <w:rsid w:val="44567102"/>
    <w:rsid w:val="445E6BCC"/>
    <w:rsid w:val="44623562"/>
    <w:rsid w:val="44637801"/>
    <w:rsid w:val="44705C7F"/>
    <w:rsid w:val="44780FD8"/>
    <w:rsid w:val="44790648"/>
    <w:rsid w:val="448160DE"/>
    <w:rsid w:val="44890AEF"/>
    <w:rsid w:val="449B0822"/>
    <w:rsid w:val="44A43596"/>
    <w:rsid w:val="44A973E3"/>
    <w:rsid w:val="44CC7210"/>
    <w:rsid w:val="44EA39A7"/>
    <w:rsid w:val="44F543D6"/>
    <w:rsid w:val="450649E7"/>
    <w:rsid w:val="45154A79"/>
    <w:rsid w:val="451C1963"/>
    <w:rsid w:val="452627E2"/>
    <w:rsid w:val="45280308"/>
    <w:rsid w:val="452A027B"/>
    <w:rsid w:val="452A22D2"/>
    <w:rsid w:val="452F78E8"/>
    <w:rsid w:val="45356EC9"/>
    <w:rsid w:val="4537260D"/>
    <w:rsid w:val="453E7B2C"/>
    <w:rsid w:val="45554E75"/>
    <w:rsid w:val="455C26A8"/>
    <w:rsid w:val="4565155C"/>
    <w:rsid w:val="45682DFA"/>
    <w:rsid w:val="45712117"/>
    <w:rsid w:val="457C0654"/>
    <w:rsid w:val="45890674"/>
    <w:rsid w:val="45906774"/>
    <w:rsid w:val="45AC1336"/>
    <w:rsid w:val="45B93656"/>
    <w:rsid w:val="45C70A3E"/>
    <w:rsid w:val="45D93CF8"/>
    <w:rsid w:val="45E561F9"/>
    <w:rsid w:val="460C3316"/>
    <w:rsid w:val="460E3B53"/>
    <w:rsid w:val="461513CD"/>
    <w:rsid w:val="461D5993"/>
    <w:rsid w:val="46205483"/>
    <w:rsid w:val="462D6248"/>
    <w:rsid w:val="464078D3"/>
    <w:rsid w:val="464473C4"/>
    <w:rsid w:val="46516C18"/>
    <w:rsid w:val="46641814"/>
    <w:rsid w:val="467F7769"/>
    <w:rsid w:val="468309E2"/>
    <w:rsid w:val="468635AE"/>
    <w:rsid w:val="469320F9"/>
    <w:rsid w:val="46965F6B"/>
    <w:rsid w:val="46C23ECE"/>
    <w:rsid w:val="46CE1D6D"/>
    <w:rsid w:val="46D544C0"/>
    <w:rsid w:val="46DF70EC"/>
    <w:rsid w:val="46E2098A"/>
    <w:rsid w:val="46E22739"/>
    <w:rsid w:val="46ED1809"/>
    <w:rsid w:val="46F336A8"/>
    <w:rsid w:val="470D32CF"/>
    <w:rsid w:val="47356D0C"/>
    <w:rsid w:val="473C5EFF"/>
    <w:rsid w:val="4742070C"/>
    <w:rsid w:val="474207FE"/>
    <w:rsid w:val="474A5406"/>
    <w:rsid w:val="474C0063"/>
    <w:rsid w:val="475A5BB1"/>
    <w:rsid w:val="47653A95"/>
    <w:rsid w:val="476DC16E"/>
    <w:rsid w:val="47906638"/>
    <w:rsid w:val="479779C7"/>
    <w:rsid w:val="47AC3792"/>
    <w:rsid w:val="47BC0406"/>
    <w:rsid w:val="47D01690"/>
    <w:rsid w:val="47D507E1"/>
    <w:rsid w:val="47D93B3C"/>
    <w:rsid w:val="47E30E5E"/>
    <w:rsid w:val="47EA5088"/>
    <w:rsid w:val="47F46BC7"/>
    <w:rsid w:val="48013092"/>
    <w:rsid w:val="48096FCC"/>
    <w:rsid w:val="48312B43"/>
    <w:rsid w:val="4832149E"/>
    <w:rsid w:val="483416BA"/>
    <w:rsid w:val="48423F88"/>
    <w:rsid w:val="4845754F"/>
    <w:rsid w:val="485B09F4"/>
    <w:rsid w:val="485D1122"/>
    <w:rsid w:val="48663CA2"/>
    <w:rsid w:val="486920EC"/>
    <w:rsid w:val="486F0C77"/>
    <w:rsid w:val="487A531F"/>
    <w:rsid w:val="488717E9"/>
    <w:rsid w:val="488D12F7"/>
    <w:rsid w:val="489932CB"/>
    <w:rsid w:val="489D2DBB"/>
    <w:rsid w:val="489E7479"/>
    <w:rsid w:val="48A750F1"/>
    <w:rsid w:val="48AF2AEE"/>
    <w:rsid w:val="48B162E1"/>
    <w:rsid w:val="48B9406A"/>
    <w:rsid w:val="48D16F09"/>
    <w:rsid w:val="48DC0E02"/>
    <w:rsid w:val="48E1714C"/>
    <w:rsid w:val="48FF0EEE"/>
    <w:rsid w:val="49080B7C"/>
    <w:rsid w:val="49090450"/>
    <w:rsid w:val="49104E61"/>
    <w:rsid w:val="491E217B"/>
    <w:rsid w:val="49260292"/>
    <w:rsid w:val="492C093E"/>
    <w:rsid w:val="493556E9"/>
    <w:rsid w:val="493F4206"/>
    <w:rsid w:val="49464DAC"/>
    <w:rsid w:val="4948541D"/>
    <w:rsid w:val="494B0A69"/>
    <w:rsid w:val="494D658F"/>
    <w:rsid w:val="495E69EE"/>
    <w:rsid w:val="49627527"/>
    <w:rsid w:val="496F0BFB"/>
    <w:rsid w:val="499C0B00"/>
    <w:rsid w:val="49A87C69"/>
    <w:rsid w:val="49BA799D"/>
    <w:rsid w:val="49C55A9C"/>
    <w:rsid w:val="49D33495"/>
    <w:rsid w:val="49DE5CCB"/>
    <w:rsid w:val="49E0688B"/>
    <w:rsid w:val="49E66C49"/>
    <w:rsid w:val="49F11899"/>
    <w:rsid w:val="49FD6980"/>
    <w:rsid w:val="4A001853"/>
    <w:rsid w:val="4A0A26D2"/>
    <w:rsid w:val="4A194A80"/>
    <w:rsid w:val="4A273284"/>
    <w:rsid w:val="4A545481"/>
    <w:rsid w:val="4A602695"/>
    <w:rsid w:val="4A6317B0"/>
    <w:rsid w:val="4A64447A"/>
    <w:rsid w:val="4A657908"/>
    <w:rsid w:val="4A69389D"/>
    <w:rsid w:val="4A7E09CA"/>
    <w:rsid w:val="4A7E6C1C"/>
    <w:rsid w:val="4A881849"/>
    <w:rsid w:val="4A995804"/>
    <w:rsid w:val="4AA77F21"/>
    <w:rsid w:val="4AAD305D"/>
    <w:rsid w:val="4AB60164"/>
    <w:rsid w:val="4AB97C54"/>
    <w:rsid w:val="4AC22FAD"/>
    <w:rsid w:val="4AC5484B"/>
    <w:rsid w:val="4AC56198"/>
    <w:rsid w:val="4AC9433B"/>
    <w:rsid w:val="4AD30D16"/>
    <w:rsid w:val="4AD60806"/>
    <w:rsid w:val="4AEF3676"/>
    <w:rsid w:val="4AF51720"/>
    <w:rsid w:val="4AFA44F5"/>
    <w:rsid w:val="4AFA56E4"/>
    <w:rsid w:val="4B02784D"/>
    <w:rsid w:val="4B0C139E"/>
    <w:rsid w:val="4B257098"/>
    <w:rsid w:val="4B35552D"/>
    <w:rsid w:val="4B3A2B43"/>
    <w:rsid w:val="4B6E6C91"/>
    <w:rsid w:val="4B75264A"/>
    <w:rsid w:val="4B81585F"/>
    <w:rsid w:val="4BA17066"/>
    <w:rsid w:val="4BA4250F"/>
    <w:rsid w:val="4BB70638"/>
    <w:rsid w:val="4BE13907"/>
    <w:rsid w:val="4BE156B5"/>
    <w:rsid w:val="4BE40D01"/>
    <w:rsid w:val="4BFC24EE"/>
    <w:rsid w:val="4C0373D9"/>
    <w:rsid w:val="4C0A1533"/>
    <w:rsid w:val="4C121D12"/>
    <w:rsid w:val="4C1411C0"/>
    <w:rsid w:val="4C1E06B7"/>
    <w:rsid w:val="4C2F6420"/>
    <w:rsid w:val="4C35155C"/>
    <w:rsid w:val="4C3721A6"/>
    <w:rsid w:val="4C3A24DC"/>
    <w:rsid w:val="4C501A35"/>
    <w:rsid w:val="4C545E87"/>
    <w:rsid w:val="4C5E0AB3"/>
    <w:rsid w:val="4C795EA4"/>
    <w:rsid w:val="4C79769B"/>
    <w:rsid w:val="4C8F482B"/>
    <w:rsid w:val="4C93582C"/>
    <w:rsid w:val="4C9D5A7F"/>
    <w:rsid w:val="4CA74208"/>
    <w:rsid w:val="4CAB13BC"/>
    <w:rsid w:val="4CAE1A3B"/>
    <w:rsid w:val="4CB84667"/>
    <w:rsid w:val="4CCC3CC1"/>
    <w:rsid w:val="4CD31653"/>
    <w:rsid w:val="4CDD5E7C"/>
    <w:rsid w:val="4CE76CFB"/>
    <w:rsid w:val="4CEC544F"/>
    <w:rsid w:val="4CF11E01"/>
    <w:rsid w:val="4CF5766A"/>
    <w:rsid w:val="4CFD651E"/>
    <w:rsid w:val="4CFF47F1"/>
    <w:rsid w:val="4D023B34"/>
    <w:rsid w:val="4D1D7FFE"/>
    <w:rsid w:val="4D263FD3"/>
    <w:rsid w:val="4D265A75"/>
    <w:rsid w:val="4D333CEE"/>
    <w:rsid w:val="4D3A1520"/>
    <w:rsid w:val="4D510618"/>
    <w:rsid w:val="4D697710"/>
    <w:rsid w:val="4D7F5185"/>
    <w:rsid w:val="4D844549"/>
    <w:rsid w:val="4D866514"/>
    <w:rsid w:val="4D8E7176"/>
    <w:rsid w:val="4D9AF7D3"/>
    <w:rsid w:val="4D9C1893"/>
    <w:rsid w:val="4DA44BEC"/>
    <w:rsid w:val="4DAB41CC"/>
    <w:rsid w:val="4DC4703C"/>
    <w:rsid w:val="4DCB0E67"/>
    <w:rsid w:val="4DE06BF3"/>
    <w:rsid w:val="4DE568B8"/>
    <w:rsid w:val="4DE655FA"/>
    <w:rsid w:val="4DEA1D77"/>
    <w:rsid w:val="4DEE04D5"/>
    <w:rsid w:val="4DF5546F"/>
    <w:rsid w:val="4DF7020F"/>
    <w:rsid w:val="4E061402"/>
    <w:rsid w:val="4E092CA1"/>
    <w:rsid w:val="4E142085"/>
    <w:rsid w:val="4E1A4EAE"/>
    <w:rsid w:val="4E1B3100"/>
    <w:rsid w:val="4E1C7A1B"/>
    <w:rsid w:val="4E1F24C4"/>
    <w:rsid w:val="4E243BB8"/>
    <w:rsid w:val="4E2D2D15"/>
    <w:rsid w:val="4E2D4BE1"/>
    <w:rsid w:val="4E34378D"/>
    <w:rsid w:val="4E4A2406"/>
    <w:rsid w:val="4E5A43E4"/>
    <w:rsid w:val="4E6067E5"/>
    <w:rsid w:val="4E661EA1"/>
    <w:rsid w:val="4E6A373F"/>
    <w:rsid w:val="4E6F6FA8"/>
    <w:rsid w:val="4E7C16C5"/>
    <w:rsid w:val="4E85523F"/>
    <w:rsid w:val="4E881E17"/>
    <w:rsid w:val="4E916F1E"/>
    <w:rsid w:val="4E944C60"/>
    <w:rsid w:val="4E9764FE"/>
    <w:rsid w:val="4EA03605"/>
    <w:rsid w:val="4EA12ED9"/>
    <w:rsid w:val="4EA75DAE"/>
    <w:rsid w:val="4EAC3D58"/>
    <w:rsid w:val="4EAD7AD0"/>
    <w:rsid w:val="4EB038C3"/>
    <w:rsid w:val="4EB470B0"/>
    <w:rsid w:val="4EB55A7E"/>
    <w:rsid w:val="4EC3138A"/>
    <w:rsid w:val="4ECE265E"/>
    <w:rsid w:val="4EDC7D21"/>
    <w:rsid w:val="4EEE25C2"/>
    <w:rsid w:val="4EF54257"/>
    <w:rsid w:val="4EF86F9D"/>
    <w:rsid w:val="4F11005F"/>
    <w:rsid w:val="4F1249DB"/>
    <w:rsid w:val="4F1A33B7"/>
    <w:rsid w:val="4F2E0C11"/>
    <w:rsid w:val="4F3124AF"/>
    <w:rsid w:val="4F3A4A5C"/>
    <w:rsid w:val="4F457D08"/>
    <w:rsid w:val="4F481B00"/>
    <w:rsid w:val="4F4B17C3"/>
    <w:rsid w:val="4F602D94"/>
    <w:rsid w:val="4F650AF4"/>
    <w:rsid w:val="4F70382C"/>
    <w:rsid w:val="4F790FC3"/>
    <w:rsid w:val="4F980780"/>
    <w:rsid w:val="4FAD770C"/>
    <w:rsid w:val="4FAE2BBD"/>
    <w:rsid w:val="4FAFB6C9"/>
    <w:rsid w:val="4FDD43E5"/>
    <w:rsid w:val="4FE237A9"/>
    <w:rsid w:val="4FE45338"/>
    <w:rsid w:val="4FEF9DD2"/>
    <w:rsid w:val="4FF71A8C"/>
    <w:rsid w:val="4FFB3645"/>
    <w:rsid w:val="4FFBCB6C"/>
    <w:rsid w:val="4FFFF544"/>
    <w:rsid w:val="50025BF9"/>
    <w:rsid w:val="50083210"/>
    <w:rsid w:val="50316EA9"/>
    <w:rsid w:val="50395ABF"/>
    <w:rsid w:val="503E4E84"/>
    <w:rsid w:val="504A46EB"/>
    <w:rsid w:val="504D5B20"/>
    <w:rsid w:val="505C7A00"/>
    <w:rsid w:val="506568B4"/>
    <w:rsid w:val="50666188"/>
    <w:rsid w:val="506A6485"/>
    <w:rsid w:val="506C09CC"/>
    <w:rsid w:val="507F724A"/>
    <w:rsid w:val="50964990"/>
    <w:rsid w:val="50966A6E"/>
    <w:rsid w:val="50974594"/>
    <w:rsid w:val="50982252"/>
    <w:rsid w:val="509B22D6"/>
    <w:rsid w:val="50A373DC"/>
    <w:rsid w:val="50A8054F"/>
    <w:rsid w:val="50C01D3C"/>
    <w:rsid w:val="50CB3A41"/>
    <w:rsid w:val="50E00F7F"/>
    <w:rsid w:val="50E17E52"/>
    <w:rsid w:val="50EE1CF2"/>
    <w:rsid w:val="50EF2622"/>
    <w:rsid w:val="50EF617E"/>
    <w:rsid w:val="50F65B67"/>
    <w:rsid w:val="50FE2865"/>
    <w:rsid w:val="5100482F"/>
    <w:rsid w:val="510A39A5"/>
    <w:rsid w:val="5119769F"/>
    <w:rsid w:val="513444D8"/>
    <w:rsid w:val="5144471C"/>
    <w:rsid w:val="51470F30"/>
    <w:rsid w:val="514800F6"/>
    <w:rsid w:val="51501312"/>
    <w:rsid w:val="51510420"/>
    <w:rsid w:val="516E3547"/>
    <w:rsid w:val="51741309"/>
    <w:rsid w:val="51752B27"/>
    <w:rsid w:val="5185454F"/>
    <w:rsid w:val="518F170F"/>
    <w:rsid w:val="51932FAD"/>
    <w:rsid w:val="519F1952"/>
    <w:rsid w:val="51A4340C"/>
    <w:rsid w:val="51BF1FF4"/>
    <w:rsid w:val="51D535C6"/>
    <w:rsid w:val="51E63A25"/>
    <w:rsid w:val="51F23218"/>
    <w:rsid w:val="51F53C68"/>
    <w:rsid w:val="51FA74D0"/>
    <w:rsid w:val="52004687"/>
    <w:rsid w:val="52036385"/>
    <w:rsid w:val="520B5239"/>
    <w:rsid w:val="52132DD4"/>
    <w:rsid w:val="52214A5D"/>
    <w:rsid w:val="522A26AA"/>
    <w:rsid w:val="523F4EE3"/>
    <w:rsid w:val="5241283B"/>
    <w:rsid w:val="524963AF"/>
    <w:rsid w:val="52691F60"/>
    <w:rsid w:val="52733555"/>
    <w:rsid w:val="5277467D"/>
    <w:rsid w:val="527E4A52"/>
    <w:rsid w:val="52863FC2"/>
    <w:rsid w:val="5293012E"/>
    <w:rsid w:val="52A03BD4"/>
    <w:rsid w:val="52AD22C6"/>
    <w:rsid w:val="52B12C55"/>
    <w:rsid w:val="52BC6534"/>
    <w:rsid w:val="52D03D8D"/>
    <w:rsid w:val="52DA5D51"/>
    <w:rsid w:val="52E066C6"/>
    <w:rsid w:val="52E37F64"/>
    <w:rsid w:val="52E70FFD"/>
    <w:rsid w:val="52E837CD"/>
    <w:rsid w:val="52FB3500"/>
    <w:rsid w:val="5311687F"/>
    <w:rsid w:val="53144AF9"/>
    <w:rsid w:val="53224DA7"/>
    <w:rsid w:val="532760A3"/>
    <w:rsid w:val="5332147E"/>
    <w:rsid w:val="533E07F8"/>
    <w:rsid w:val="53433381"/>
    <w:rsid w:val="534704F3"/>
    <w:rsid w:val="534A1D91"/>
    <w:rsid w:val="53504FB7"/>
    <w:rsid w:val="536746F1"/>
    <w:rsid w:val="53A05E55"/>
    <w:rsid w:val="53B13BBE"/>
    <w:rsid w:val="53BF0089"/>
    <w:rsid w:val="53BF436B"/>
    <w:rsid w:val="53C327B5"/>
    <w:rsid w:val="53C90F08"/>
    <w:rsid w:val="53D0673A"/>
    <w:rsid w:val="53D578AD"/>
    <w:rsid w:val="53E126F6"/>
    <w:rsid w:val="53EFF926"/>
    <w:rsid w:val="53F81B60"/>
    <w:rsid w:val="53F903F0"/>
    <w:rsid w:val="53F9BAE9"/>
    <w:rsid w:val="540D34EB"/>
    <w:rsid w:val="54161C73"/>
    <w:rsid w:val="54183C3E"/>
    <w:rsid w:val="542005B6"/>
    <w:rsid w:val="542257F8"/>
    <w:rsid w:val="54297BF9"/>
    <w:rsid w:val="542E1558"/>
    <w:rsid w:val="54322F51"/>
    <w:rsid w:val="544113E6"/>
    <w:rsid w:val="54575C12"/>
    <w:rsid w:val="545C1D7C"/>
    <w:rsid w:val="54795DC7"/>
    <w:rsid w:val="54826B52"/>
    <w:rsid w:val="5495703C"/>
    <w:rsid w:val="54973D15"/>
    <w:rsid w:val="54AE00FE"/>
    <w:rsid w:val="54B716A8"/>
    <w:rsid w:val="54BB6065"/>
    <w:rsid w:val="54C85664"/>
    <w:rsid w:val="54D2034E"/>
    <w:rsid w:val="54E569A1"/>
    <w:rsid w:val="54EB4EAE"/>
    <w:rsid w:val="54EF499E"/>
    <w:rsid w:val="54FA3343"/>
    <w:rsid w:val="550F3292"/>
    <w:rsid w:val="55180399"/>
    <w:rsid w:val="5523289A"/>
    <w:rsid w:val="552F123F"/>
    <w:rsid w:val="5545607C"/>
    <w:rsid w:val="554A7E27"/>
    <w:rsid w:val="555F032A"/>
    <w:rsid w:val="55621614"/>
    <w:rsid w:val="55693D15"/>
    <w:rsid w:val="558772CD"/>
    <w:rsid w:val="55902311"/>
    <w:rsid w:val="5591612A"/>
    <w:rsid w:val="55962CB5"/>
    <w:rsid w:val="55967510"/>
    <w:rsid w:val="55B16389"/>
    <w:rsid w:val="55B33C1E"/>
    <w:rsid w:val="55BE0770"/>
    <w:rsid w:val="55DC7D12"/>
    <w:rsid w:val="55ED4C05"/>
    <w:rsid w:val="55EF0512"/>
    <w:rsid w:val="55F85AD5"/>
    <w:rsid w:val="55F935FB"/>
    <w:rsid w:val="55FA2598"/>
    <w:rsid w:val="55FD758F"/>
    <w:rsid w:val="55FDC90C"/>
    <w:rsid w:val="5612701B"/>
    <w:rsid w:val="56150109"/>
    <w:rsid w:val="56161E97"/>
    <w:rsid w:val="561F7505"/>
    <w:rsid w:val="5631602D"/>
    <w:rsid w:val="563446CD"/>
    <w:rsid w:val="5642290D"/>
    <w:rsid w:val="56486A5C"/>
    <w:rsid w:val="564D4072"/>
    <w:rsid w:val="566C201F"/>
    <w:rsid w:val="56772E9D"/>
    <w:rsid w:val="567E19C8"/>
    <w:rsid w:val="56821842"/>
    <w:rsid w:val="56861332"/>
    <w:rsid w:val="568A395B"/>
    <w:rsid w:val="568A7075"/>
    <w:rsid w:val="56951575"/>
    <w:rsid w:val="5697456D"/>
    <w:rsid w:val="56977E74"/>
    <w:rsid w:val="56A31EE4"/>
    <w:rsid w:val="56A47A0A"/>
    <w:rsid w:val="56B12111"/>
    <w:rsid w:val="56B62A52"/>
    <w:rsid w:val="56B7773E"/>
    <w:rsid w:val="56BE6BAE"/>
    <w:rsid w:val="56C468D8"/>
    <w:rsid w:val="56CD0D0F"/>
    <w:rsid w:val="56D007FF"/>
    <w:rsid w:val="56D54068"/>
    <w:rsid w:val="56DE116E"/>
    <w:rsid w:val="56ED7603"/>
    <w:rsid w:val="56F714EE"/>
    <w:rsid w:val="56F72230"/>
    <w:rsid w:val="572B3C88"/>
    <w:rsid w:val="5730129E"/>
    <w:rsid w:val="57392DBF"/>
    <w:rsid w:val="57686606"/>
    <w:rsid w:val="57750CCB"/>
    <w:rsid w:val="57862A11"/>
    <w:rsid w:val="57880DC5"/>
    <w:rsid w:val="578F2469"/>
    <w:rsid w:val="5794182D"/>
    <w:rsid w:val="57B222A0"/>
    <w:rsid w:val="57BB6C6E"/>
    <w:rsid w:val="57BD5228"/>
    <w:rsid w:val="57C87729"/>
    <w:rsid w:val="57D12A81"/>
    <w:rsid w:val="57DB745C"/>
    <w:rsid w:val="57DE6F4C"/>
    <w:rsid w:val="57E427B4"/>
    <w:rsid w:val="57E70C43"/>
    <w:rsid w:val="57E74053"/>
    <w:rsid w:val="57ED55CA"/>
    <w:rsid w:val="57FE3F33"/>
    <w:rsid w:val="58022C3B"/>
    <w:rsid w:val="58160494"/>
    <w:rsid w:val="58205C5D"/>
    <w:rsid w:val="58354DBE"/>
    <w:rsid w:val="5838665C"/>
    <w:rsid w:val="583B146D"/>
    <w:rsid w:val="584047B0"/>
    <w:rsid w:val="58474AF1"/>
    <w:rsid w:val="58490342"/>
    <w:rsid w:val="58496ABB"/>
    <w:rsid w:val="584E2BB2"/>
    <w:rsid w:val="58555460"/>
    <w:rsid w:val="58584F50"/>
    <w:rsid w:val="58672BD5"/>
    <w:rsid w:val="587005A3"/>
    <w:rsid w:val="58737694"/>
    <w:rsid w:val="587F4621"/>
    <w:rsid w:val="58801DB1"/>
    <w:rsid w:val="588B0446"/>
    <w:rsid w:val="58937D37"/>
    <w:rsid w:val="58A67A6A"/>
    <w:rsid w:val="58AE7097"/>
    <w:rsid w:val="58B008E9"/>
    <w:rsid w:val="58B57CAD"/>
    <w:rsid w:val="58BA0077"/>
    <w:rsid w:val="58BD4DB3"/>
    <w:rsid w:val="58BE7DF8"/>
    <w:rsid w:val="58C61EBA"/>
    <w:rsid w:val="58C919AA"/>
    <w:rsid w:val="58D5034F"/>
    <w:rsid w:val="58DA7713"/>
    <w:rsid w:val="590D1897"/>
    <w:rsid w:val="59103135"/>
    <w:rsid w:val="59164115"/>
    <w:rsid w:val="59172716"/>
    <w:rsid w:val="591E3AA4"/>
    <w:rsid w:val="59205246"/>
    <w:rsid w:val="5921752F"/>
    <w:rsid w:val="592E71A8"/>
    <w:rsid w:val="59352B9C"/>
    <w:rsid w:val="593E397F"/>
    <w:rsid w:val="59402BD7"/>
    <w:rsid w:val="594554D5"/>
    <w:rsid w:val="59540192"/>
    <w:rsid w:val="595D3E1C"/>
    <w:rsid w:val="595E0345"/>
    <w:rsid w:val="59642D06"/>
    <w:rsid w:val="597F081D"/>
    <w:rsid w:val="598A6BB4"/>
    <w:rsid w:val="59BDA199"/>
    <w:rsid w:val="59BE3D6B"/>
    <w:rsid w:val="59C363FA"/>
    <w:rsid w:val="59CD1728"/>
    <w:rsid w:val="59D95C1D"/>
    <w:rsid w:val="59DA4B7E"/>
    <w:rsid w:val="59DB5DDC"/>
    <w:rsid w:val="59F33D10"/>
    <w:rsid w:val="59F842F5"/>
    <w:rsid w:val="5A143E9C"/>
    <w:rsid w:val="5A1C689D"/>
    <w:rsid w:val="5A2570B4"/>
    <w:rsid w:val="5A4A2D8E"/>
    <w:rsid w:val="5A4F3594"/>
    <w:rsid w:val="5A550ED0"/>
    <w:rsid w:val="5A5F4374"/>
    <w:rsid w:val="5A5F6105"/>
    <w:rsid w:val="5A643739"/>
    <w:rsid w:val="5A7A2F5C"/>
    <w:rsid w:val="5A817720"/>
    <w:rsid w:val="5AA56EB2"/>
    <w:rsid w:val="5AB346C0"/>
    <w:rsid w:val="5AC45454"/>
    <w:rsid w:val="5AC86513"/>
    <w:rsid w:val="5ACB1A0A"/>
    <w:rsid w:val="5ACD3F0D"/>
    <w:rsid w:val="5ACF743B"/>
    <w:rsid w:val="5AD01C8C"/>
    <w:rsid w:val="5AD54636"/>
    <w:rsid w:val="5AEA2A03"/>
    <w:rsid w:val="5AF54CD9"/>
    <w:rsid w:val="5AFC6067"/>
    <w:rsid w:val="5AFC922B"/>
    <w:rsid w:val="5B0610D5"/>
    <w:rsid w:val="5B0867BA"/>
    <w:rsid w:val="5B1C5A47"/>
    <w:rsid w:val="5B2353A2"/>
    <w:rsid w:val="5B2D2AF0"/>
    <w:rsid w:val="5B4509AA"/>
    <w:rsid w:val="5B465534"/>
    <w:rsid w:val="5B4812AC"/>
    <w:rsid w:val="5B545E85"/>
    <w:rsid w:val="5B5E462C"/>
    <w:rsid w:val="5B844F7E"/>
    <w:rsid w:val="5B85794B"/>
    <w:rsid w:val="5B985C24"/>
    <w:rsid w:val="5B993C33"/>
    <w:rsid w:val="5B9B5880"/>
    <w:rsid w:val="5BA675B2"/>
    <w:rsid w:val="5BA87F9D"/>
    <w:rsid w:val="5BB4249E"/>
    <w:rsid w:val="5BC546AB"/>
    <w:rsid w:val="5BC87CF7"/>
    <w:rsid w:val="5BCA0E56"/>
    <w:rsid w:val="5BD40D92"/>
    <w:rsid w:val="5BF77D16"/>
    <w:rsid w:val="5BFB0023"/>
    <w:rsid w:val="5BFBE802"/>
    <w:rsid w:val="5BFC564E"/>
    <w:rsid w:val="5C036F81"/>
    <w:rsid w:val="5C0B1964"/>
    <w:rsid w:val="5C0E6052"/>
    <w:rsid w:val="5C161238"/>
    <w:rsid w:val="5C2E2250"/>
    <w:rsid w:val="5C361105"/>
    <w:rsid w:val="5C600AD0"/>
    <w:rsid w:val="5C6739B4"/>
    <w:rsid w:val="5C6A7000"/>
    <w:rsid w:val="5C7B276E"/>
    <w:rsid w:val="5C885232"/>
    <w:rsid w:val="5C9C0F66"/>
    <w:rsid w:val="5CAC3161"/>
    <w:rsid w:val="5CB8704C"/>
    <w:rsid w:val="5CC44962"/>
    <w:rsid w:val="5CCC3817"/>
    <w:rsid w:val="5CD5001F"/>
    <w:rsid w:val="5CE70651"/>
    <w:rsid w:val="5CEFF370"/>
    <w:rsid w:val="5D064F7B"/>
    <w:rsid w:val="5D1A6C78"/>
    <w:rsid w:val="5D1F6811"/>
    <w:rsid w:val="5D211DB5"/>
    <w:rsid w:val="5D24138D"/>
    <w:rsid w:val="5D3C6BEF"/>
    <w:rsid w:val="5D46181B"/>
    <w:rsid w:val="5D57769D"/>
    <w:rsid w:val="5D5C4B9B"/>
    <w:rsid w:val="5D76115B"/>
    <w:rsid w:val="5D7B81D3"/>
    <w:rsid w:val="5D8BD158"/>
    <w:rsid w:val="5D970CF1"/>
    <w:rsid w:val="5DA551E3"/>
    <w:rsid w:val="5DB5658E"/>
    <w:rsid w:val="5DBFA79D"/>
    <w:rsid w:val="5DE10CFC"/>
    <w:rsid w:val="5DF23751"/>
    <w:rsid w:val="5DF32652"/>
    <w:rsid w:val="5DF43025"/>
    <w:rsid w:val="5DFB24E5"/>
    <w:rsid w:val="5DFDA132"/>
    <w:rsid w:val="5E015734"/>
    <w:rsid w:val="5E0721B1"/>
    <w:rsid w:val="5E0A2849"/>
    <w:rsid w:val="5E1216FE"/>
    <w:rsid w:val="5E34020C"/>
    <w:rsid w:val="5E395BA4"/>
    <w:rsid w:val="5E3B2A02"/>
    <w:rsid w:val="5E4D0988"/>
    <w:rsid w:val="5E6463FD"/>
    <w:rsid w:val="5E6A6183"/>
    <w:rsid w:val="5E7E6E85"/>
    <w:rsid w:val="5E8B4CB4"/>
    <w:rsid w:val="5E912F6A"/>
    <w:rsid w:val="5E93283E"/>
    <w:rsid w:val="5E9345EC"/>
    <w:rsid w:val="5E9A1E1F"/>
    <w:rsid w:val="5EA66A16"/>
    <w:rsid w:val="5EC073AC"/>
    <w:rsid w:val="5ED746F7"/>
    <w:rsid w:val="5ED8447E"/>
    <w:rsid w:val="5EE75356"/>
    <w:rsid w:val="5EF68E4F"/>
    <w:rsid w:val="5EFC4888"/>
    <w:rsid w:val="5EFD78EE"/>
    <w:rsid w:val="5EFE514F"/>
    <w:rsid w:val="5EFF4F6C"/>
    <w:rsid w:val="5F020718"/>
    <w:rsid w:val="5F21447A"/>
    <w:rsid w:val="5F2162F2"/>
    <w:rsid w:val="5F264673"/>
    <w:rsid w:val="5F29029A"/>
    <w:rsid w:val="5F2E6A0B"/>
    <w:rsid w:val="5F37766E"/>
    <w:rsid w:val="5F3F0BF9"/>
    <w:rsid w:val="5F4168F0"/>
    <w:rsid w:val="5F4AC492"/>
    <w:rsid w:val="5F4C5BFC"/>
    <w:rsid w:val="5F63E3DF"/>
    <w:rsid w:val="5F6FF340"/>
    <w:rsid w:val="5F73E2EC"/>
    <w:rsid w:val="5F926F9A"/>
    <w:rsid w:val="5F93686E"/>
    <w:rsid w:val="5F993E84"/>
    <w:rsid w:val="5F9A7BFD"/>
    <w:rsid w:val="5F9B3A6D"/>
    <w:rsid w:val="5FA77F48"/>
    <w:rsid w:val="5FB0526A"/>
    <w:rsid w:val="5FB707AE"/>
    <w:rsid w:val="5FB76A00"/>
    <w:rsid w:val="5FBB2EDB"/>
    <w:rsid w:val="5FBD5710"/>
    <w:rsid w:val="5FBF12DF"/>
    <w:rsid w:val="5FCF0C7E"/>
    <w:rsid w:val="5FD026A2"/>
    <w:rsid w:val="5FF4730D"/>
    <w:rsid w:val="5FF53085"/>
    <w:rsid w:val="5FF94103"/>
    <w:rsid w:val="600F4147"/>
    <w:rsid w:val="60567563"/>
    <w:rsid w:val="605B1F45"/>
    <w:rsid w:val="605E1AB1"/>
    <w:rsid w:val="605E2F03"/>
    <w:rsid w:val="60624BBE"/>
    <w:rsid w:val="607E52DF"/>
    <w:rsid w:val="608E000C"/>
    <w:rsid w:val="60920108"/>
    <w:rsid w:val="60B40A09"/>
    <w:rsid w:val="60BE73EB"/>
    <w:rsid w:val="60D62EB6"/>
    <w:rsid w:val="60D87BB4"/>
    <w:rsid w:val="60EA5283"/>
    <w:rsid w:val="60EB7694"/>
    <w:rsid w:val="60F4253E"/>
    <w:rsid w:val="610C4B2A"/>
    <w:rsid w:val="610D1005"/>
    <w:rsid w:val="611A7247"/>
    <w:rsid w:val="612A15B1"/>
    <w:rsid w:val="612B3202"/>
    <w:rsid w:val="612E5B9B"/>
    <w:rsid w:val="61406582"/>
    <w:rsid w:val="6140705A"/>
    <w:rsid w:val="61477910"/>
    <w:rsid w:val="614C4F26"/>
    <w:rsid w:val="6150607A"/>
    <w:rsid w:val="61661DE2"/>
    <w:rsid w:val="61677179"/>
    <w:rsid w:val="616D69D4"/>
    <w:rsid w:val="61722BDF"/>
    <w:rsid w:val="61901CB0"/>
    <w:rsid w:val="61930DA7"/>
    <w:rsid w:val="61946028"/>
    <w:rsid w:val="61952D71"/>
    <w:rsid w:val="619C5EAE"/>
    <w:rsid w:val="61AB4D33"/>
    <w:rsid w:val="61D07906"/>
    <w:rsid w:val="62053A53"/>
    <w:rsid w:val="621719D8"/>
    <w:rsid w:val="62312A9A"/>
    <w:rsid w:val="6234172B"/>
    <w:rsid w:val="62481C53"/>
    <w:rsid w:val="62620EA5"/>
    <w:rsid w:val="62685D90"/>
    <w:rsid w:val="626F766E"/>
    <w:rsid w:val="627666FF"/>
    <w:rsid w:val="627961EF"/>
    <w:rsid w:val="6280757E"/>
    <w:rsid w:val="629B43B7"/>
    <w:rsid w:val="62A43810"/>
    <w:rsid w:val="62AA63A9"/>
    <w:rsid w:val="62B334AF"/>
    <w:rsid w:val="62B72874"/>
    <w:rsid w:val="62C32680"/>
    <w:rsid w:val="62C54F90"/>
    <w:rsid w:val="62C677A9"/>
    <w:rsid w:val="62D33B51"/>
    <w:rsid w:val="63071A4D"/>
    <w:rsid w:val="631303F2"/>
    <w:rsid w:val="6318461A"/>
    <w:rsid w:val="63231BB4"/>
    <w:rsid w:val="632D2359"/>
    <w:rsid w:val="63381C06"/>
    <w:rsid w:val="633A44D8"/>
    <w:rsid w:val="63424833"/>
    <w:rsid w:val="63634176"/>
    <w:rsid w:val="636649C5"/>
    <w:rsid w:val="636D2824"/>
    <w:rsid w:val="6370314E"/>
    <w:rsid w:val="63716EC6"/>
    <w:rsid w:val="63732C3E"/>
    <w:rsid w:val="63866578"/>
    <w:rsid w:val="639332E1"/>
    <w:rsid w:val="639550BE"/>
    <w:rsid w:val="63AB4186"/>
    <w:rsid w:val="63B05C41"/>
    <w:rsid w:val="63C416EC"/>
    <w:rsid w:val="63CD757B"/>
    <w:rsid w:val="63D27965"/>
    <w:rsid w:val="63EA7A02"/>
    <w:rsid w:val="63EB36BB"/>
    <w:rsid w:val="63FA6EBC"/>
    <w:rsid w:val="6405316D"/>
    <w:rsid w:val="640D6BEF"/>
    <w:rsid w:val="641B57B0"/>
    <w:rsid w:val="641F55CF"/>
    <w:rsid w:val="644C3BBB"/>
    <w:rsid w:val="646D3B32"/>
    <w:rsid w:val="647A1DAB"/>
    <w:rsid w:val="647E2CE2"/>
    <w:rsid w:val="648669A1"/>
    <w:rsid w:val="648D1ADE"/>
    <w:rsid w:val="649317EA"/>
    <w:rsid w:val="64B03720"/>
    <w:rsid w:val="64D860C8"/>
    <w:rsid w:val="64E35BA2"/>
    <w:rsid w:val="650326CC"/>
    <w:rsid w:val="651F307E"/>
    <w:rsid w:val="65294DFC"/>
    <w:rsid w:val="65314B5F"/>
    <w:rsid w:val="653B3C30"/>
    <w:rsid w:val="65402FF4"/>
    <w:rsid w:val="65491EA9"/>
    <w:rsid w:val="6549634D"/>
    <w:rsid w:val="65531632"/>
    <w:rsid w:val="65541524"/>
    <w:rsid w:val="65550B4E"/>
    <w:rsid w:val="657C1843"/>
    <w:rsid w:val="657C1F97"/>
    <w:rsid w:val="657D1B44"/>
    <w:rsid w:val="657E36D4"/>
    <w:rsid w:val="65847385"/>
    <w:rsid w:val="65A11CE5"/>
    <w:rsid w:val="65A56628"/>
    <w:rsid w:val="65A610A9"/>
    <w:rsid w:val="65A672FB"/>
    <w:rsid w:val="65AE4402"/>
    <w:rsid w:val="65B65064"/>
    <w:rsid w:val="65B7332F"/>
    <w:rsid w:val="65BF03BD"/>
    <w:rsid w:val="65C07D27"/>
    <w:rsid w:val="65EC73F5"/>
    <w:rsid w:val="65F56B2B"/>
    <w:rsid w:val="660404C6"/>
    <w:rsid w:val="661C75BD"/>
    <w:rsid w:val="662F015E"/>
    <w:rsid w:val="663B6942"/>
    <w:rsid w:val="6657323F"/>
    <w:rsid w:val="66613222"/>
    <w:rsid w:val="666F2B6C"/>
    <w:rsid w:val="666F5F0D"/>
    <w:rsid w:val="66760FD3"/>
    <w:rsid w:val="66763171"/>
    <w:rsid w:val="668760F0"/>
    <w:rsid w:val="668A4527"/>
    <w:rsid w:val="66A01F9C"/>
    <w:rsid w:val="66A3383B"/>
    <w:rsid w:val="66A7157D"/>
    <w:rsid w:val="66B81B21"/>
    <w:rsid w:val="66C37A39"/>
    <w:rsid w:val="66C52970"/>
    <w:rsid w:val="66CA0DC7"/>
    <w:rsid w:val="66D21A4C"/>
    <w:rsid w:val="66ED2D08"/>
    <w:rsid w:val="670D5158"/>
    <w:rsid w:val="671B7479"/>
    <w:rsid w:val="671E7E5C"/>
    <w:rsid w:val="6722022A"/>
    <w:rsid w:val="672959FB"/>
    <w:rsid w:val="672C1A82"/>
    <w:rsid w:val="67423054"/>
    <w:rsid w:val="676A4358"/>
    <w:rsid w:val="676D784C"/>
    <w:rsid w:val="67762CFD"/>
    <w:rsid w:val="677D5E3A"/>
    <w:rsid w:val="67982C74"/>
    <w:rsid w:val="67AE3E3C"/>
    <w:rsid w:val="67AF7FBD"/>
    <w:rsid w:val="67B10313"/>
    <w:rsid w:val="67B13D35"/>
    <w:rsid w:val="67BF4A1C"/>
    <w:rsid w:val="67C731E0"/>
    <w:rsid w:val="67CE20D1"/>
    <w:rsid w:val="67CE2B39"/>
    <w:rsid w:val="67D22629"/>
    <w:rsid w:val="67DB0384"/>
    <w:rsid w:val="67DD1F33"/>
    <w:rsid w:val="67DE09B9"/>
    <w:rsid w:val="67E4235D"/>
    <w:rsid w:val="67E45EB9"/>
    <w:rsid w:val="67E6D479"/>
    <w:rsid w:val="67EE0AE5"/>
    <w:rsid w:val="67EE5AD6"/>
    <w:rsid w:val="67EF0BE3"/>
    <w:rsid w:val="680C5410"/>
    <w:rsid w:val="68184539"/>
    <w:rsid w:val="682F7047"/>
    <w:rsid w:val="684470C7"/>
    <w:rsid w:val="684B5F38"/>
    <w:rsid w:val="68577EB2"/>
    <w:rsid w:val="68594AF9"/>
    <w:rsid w:val="68684D3C"/>
    <w:rsid w:val="68A51AEC"/>
    <w:rsid w:val="68A56CA5"/>
    <w:rsid w:val="68B25FB7"/>
    <w:rsid w:val="68B44EE1"/>
    <w:rsid w:val="68B80443"/>
    <w:rsid w:val="68D96B7C"/>
    <w:rsid w:val="68E7922A"/>
    <w:rsid w:val="690305C1"/>
    <w:rsid w:val="69034A64"/>
    <w:rsid w:val="69075F53"/>
    <w:rsid w:val="69280E4A"/>
    <w:rsid w:val="692B64F8"/>
    <w:rsid w:val="693E3CEF"/>
    <w:rsid w:val="694D6E36"/>
    <w:rsid w:val="694E3F32"/>
    <w:rsid w:val="69540E1C"/>
    <w:rsid w:val="695D2140"/>
    <w:rsid w:val="6979669A"/>
    <w:rsid w:val="697B45FB"/>
    <w:rsid w:val="69840FAC"/>
    <w:rsid w:val="698F00A6"/>
    <w:rsid w:val="699102C2"/>
    <w:rsid w:val="69931944"/>
    <w:rsid w:val="69992CD3"/>
    <w:rsid w:val="69A753F0"/>
    <w:rsid w:val="69A75712"/>
    <w:rsid w:val="69AB308C"/>
    <w:rsid w:val="69B8584F"/>
    <w:rsid w:val="69BA2DD0"/>
    <w:rsid w:val="69BD10B7"/>
    <w:rsid w:val="69BD4C13"/>
    <w:rsid w:val="69BE2739"/>
    <w:rsid w:val="69CB5582"/>
    <w:rsid w:val="69CE0BCF"/>
    <w:rsid w:val="69D44D20"/>
    <w:rsid w:val="69DD7886"/>
    <w:rsid w:val="69F86B14"/>
    <w:rsid w:val="69FE662D"/>
    <w:rsid w:val="69FF347E"/>
    <w:rsid w:val="6A164324"/>
    <w:rsid w:val="6A1A02B8"/>
    <w:rsid w:val="6A235BE4"/>
    <w:rsid w:val="6A2B7DCF"/>
    <w:rsid w:val="6A2C40A6"/>
    <w:rsid w:val="6A3C16CA"/>
    <w:rsid w:val="6A3F387A"/>
    <w:rsid w:val="6A633A0D"/>
    <w:rsid w:val="6A6718F2"/>
    <w:rsid w:val="6A7679B5"/>
    <w:rsid w:val="6AB133C0"/>
    <w:rsid w:val="6ABBD964"/>
    <w:rsid w:val="6ABC4ECB"/>
    <w:rsid w:val="6ACC4AEE"/>
    <w:rsid w:val="6ACD532A"/>
    <w:rsid w:val="6AD22940"/>
    <w:rsid w:val="6AD92E09"/>
    <w:rsid w:val="6AEEBDCB"/>
    <w:rsid w:val="6B272658"/>
    <w:rsid w:val="6B2E4413"/>
    <w:rsid w:val="6B33416E"/>
    <w:rsid w:val="6B3E7EDF"/>
    <w:rsid w:val="6B4C195A"/>
    <w:rsid w:val="6B5D4AB1"/>
    <w:rsid w:val="6B680BAF"/>
    <w:rsid w:val="6B6C4037"/>
    <w:rsid w:val="6B701119"/>
    <w:rsid w:val="6B712159"/>
    <w:rsid w:val="6B811C71"/>
    <w:rsid w:val="6B8A7FE3"/>
    <w:rsid w:val="6B8F0831"/>
    <w:rsid w:val="6B9A45F4"/>
    <w:rsid w:val="6B9B2D32"/>
    <w:rsid w:val="6B9D6AAA"/>
    <w:rsid w:val="6BA77E10"/>
    <w:rsid w:val="6BA81981"/>
    <w:rsid w:val="6BAE7CFB"/>
    <w:rsid w:val="6BC229B5"/>
    <w:rsid w:val="6BC26511"/>
    <w:rsid w:val="6BCF6E80"/>
    <w:rsid w:val="6BD149A6"/>
    <w:rsid w:val="6BD44D53"/>
    <w:rsid w:val="6BD716E9"/>
    <w:rsid w:val="6BD96F06"/>
    <w:rsid w:val="6BE24E05"/>
    <w:rsid w:val="6BEF307E"/>
    <w:rsid w:val="6C0C3C30"/>
    <w:rsid w:val="6C133210"/>
    <w:rsid w:val="6C276CBC"/>
    <w:rsid w:val="6C4D48FF"/>
    <w:rsid w:val="6C4E249B"/>
    <w:rsid w:val="6C6B6BA9"/>
    <w:rsid w:val="6C842D3E"/>
    <w:rsid w:val="6C861C34"/>
    <w:rsid w:val="6C9A7FD1"/>
    <w:rsid w:val="6C9F2CF6"/>
    <w:rsid w:val="6C9F6852"/>
    <w:rsid w:val="6CAE4CE7"/>
    <w:rsid w:val="6CB35C80"/>
    <w:rsid w:val="6CC93750"/>
    <w:rsid w:val="6CD72DB8"/>
    <w:rsid w:val="6CE3355C"/>
    <w:rsid w:val="6CE335A9"/>
    <w:rsid w:val="6CE60B0D"/>
    <w:rsid w:val="6CEF1588"/>
    <w:rsid w:val="6CF22E26"/>
    <w:rsid w:val="6CFC1EF7"/>
    <w:rsid w:val="6D1C3D13"/>
    <w:rsid w:val="6D261106"/>
    <w:rsid w:val="6D2B458A"/>
    <w:rsid w:val="6D332F2B"/>
    <w:rsid w:val="6D336AB4"/>
    <w:rsid w:val="6D372346"/>
    <w:rsid w:val="6D480C98"/>
    <w:rsid w:val="6D7777CF"/>
    <w:rsid w:val="6D8A5754"/>
    <w:rsid w:val="6D940381"/>
    <w:rsid w:val="6D9F75BA"/>
    <w:rsid w:val="6DC56B21"/>
    <w:rsid w:val="6DCA21DB"/>
    <w:rsid w:val="6DD16EDF"/>
    <w:rsid w:val="6DD24A05"/>
    <w:rsid w:val="6DDD5884"/>
    <w:rsid w:val="6DDD6253"/>
    <w:rsid w:val="6DDF378D"/>
    <w:rsid w:val="6DE95E13"/>
    <w:rsid w:val="6DEEB87D"/>
    <w:rsid w:val="6DF350A8"/>
    <w:rsid w:val="6DFDBC7F"/>
    <w:rsid w:val="6DFE4301"/>
    <w:rsid w:val="6DFF081C"/>
    <w:rsid w:val="6E166FE8"/>
    <w:rsid w:val="6E1804E6"/>
    <w:rsid w:val="6E2E60E0"/>
    <w:rsid w:val="6E351405"/>
    <w:rsid w:val="6E3A4A84"/>
    <w:rsid w:val="6E412E45"/>
    <w:rsid w:val="6E43C3E3"/>
    <w:rsid w:val="6E511DCE"/>
    <w:rsid w:val="6E641B01"/>
    <w:rsid w:val="6E6715F2"/>
    <w:rsid w:val="6E7004A6"/>
    <w:rsid w:val="6E8421A4"/>
    <w:rsid w:val="6E88337E"/>
    <w:rsid w:val="6E884FD0"/>
    <w:rsid w:val="6EBA5BC5"/>
    <w:rsid w:val="6EC84CF0"/>
    <w:rsid w:val="6EC921C4"/>
    <w:rsid w:val="6ECE1671"/>
    <w:rsid w:val="6EDA6F7E"/>
    <w:rsid w:val="6EDD3662"/>
    <w:rsid w:val="6EDF550E"/>
    <w:rsid w:val="6EF015E7"/>
    <w:rsid w:val="6EF7F75E"/>
    <w:rsid w:val="6EFA6FAC"/>
    <w:rsid w:val="6EFD5AB2"/>
    <w:rsid w:val="6EFDAB3C"/>
    <w:rsid w:val="6EFF182A"/>
    <w:rsid w:val="6EFF1ED5"/>
    <w:rsid w:val="6F327E52"/>
    <w:rsid w:val="6F343BCA"/>
    <w:rsid w:val="6F466AFE"/>
    <w:rsid w:val="6F4D3138"/>
    <w:rsid w:val="6F524050"/>
    <w:rsid w:val="6F536774"/>
    <w:rsid w:val="6F57AA69"/>
    <w:rsid w:val="6F5D87D7"/>
    <w:rsid w:val="6F62127B"/>
    <w:rsid w:val="6F6A4C3C"/>
    <w:rsid w:val="6F6D29A8"/>
    <w:rsid w:val="6F6F097B"/>
    <w:rsid w:val="6F706349"/>
    <w:rsid w:val="6F710829"/>
    <w:rsid w:val="6F795A80"/>
    <w:rsid w:val="6F7E18E1"/>
    <w:rsid w:val="6F8F29A5"/>
    <w:rsid w:val="6F912DCA"/>
    <w:rsid w:val="6FA06B69"/>
    <w:rsid w:val="6FA36659"/>
    <w:rsid w:val="6FAB2801"/>
    <w:rsid w:val="6FAF2726"/>
    <w:rsid w:val="6FC50CC6"/>
    <w:rsid w:val="6FD4A937"/>
    <w:rsid w:val="6FD56598"/>
    <w:rsid w:val="6FDD600F"/>
    <w:rsid w:val="6FDE3B35"/>
    <w:rsid w:val="6FDE7692"/>
    <w:rsid w:val="6FE23626"/>
    <w:rsid w:val="6FE45035"/>
    <w:rsid w:val="6FE5200D"/>
    <w:rsid w:val="6FE86762"/>
    <w:rsid w:val="6FED1A5F"/>
    <w:rsid w:val="6FEF4FD6"/>
    <w:rsid w:val="6FF79B9B"/>
    <w:rsid w:val="6FF8638D"/>
    <w:rsid w:val="6FFFA229"/>
    <w:rsid w:val="6FFFE4D5"/>
    <w:rsid w:val="700A492A"/>
    <w:rsid w:val="700C2451"/>
    <w:rsid w:val="7012558D"/>
    <w:rsid w:val="70131A31"/>
    <w:rsid w:val="7022720E"/>
    <w:rsid w:val="703674CE"/>
    <w:rsid w:val="70382CB1"/>
    <w:rsid w:val="703F29D7"/>
    <w:rsid w:val="704D3792"/>
    <w:rsid w:val="70784B7D"/>
    <w:rsid w:val="70862203"/>
    <w:rsid w:val="70AB3E04"/>
    <w:rsid w:val="70AE47CA"/>
    <w:rsid w:val="70B23631"/>
    <w:rsid w:val="70DA60AB"/>
    <w:rsid w:val="70DF5DB7"/>
    <w:rsid w:val="70E21403"/>
    <w:rsid w:val="70E76A1A"/>
    <w:rsid w:val="70F64368"/>
    <w:rsid w:val="710908F8"/>
    <w:rsid w:val="71096990"/>
    <w:rsid w:val="71145A61"/>
    <w:rsid w:val="711710AD"/>
    <w:rsid w:val="71186BD3"/>
    <w:rsid w:val="71257ACF"/>
    <w:rsid w:val="712B2DAA"/>
    <w:rsid w:val="7130216F"/>
    <w:rsid w:val="713734FD"/>
    <w:rsid w:val="71391135"/>
    <w:rsid w:val="713B137A"/>
    <w:rsid w:val="7143092E"/>
    <w:rsid w:val="714464DD"/>
    <w:rsid w:val="71542301"/>
    <w:rsid w:val="715776FB"/>
    <w:rsid w:val="716B764B"/>
    <w:rsid w:val="716D6F1F"/>
    <w:rsid w:val="71892F85"/>
    <w:rsid w:val="71892F91"/>
    <w:rsid w:val="718F6E95"/>
    <w:rsid w:val="719860FD"/>
    <w:rsid w:val="71A30B93"/>
    <w:rsid w:val="71B0505E"/>
    <w:rsid w:val="71B10F61"/>
    <w:rsid w:val="71C805BD"/>
    <w:rsid w:val="71D60F68"/>
    <w:rsid w:val="71D80DD7"/>
    <w:rsid w:val="71E60A7F"/>
    <w:rsid w:val="71F2C3AB"/>
    <w:rsid w:val="71F92EA9"/>
    <w:rsid w:val="71FA7B75"/>
    <w:rsid w:val="72007D93"/>
    <w:rsid w:val="72031E9B"/>
    <w:rsid w:val="7205184D"/>
    <w:rsid w:val="720A6E64"/>
    <w:rsid w:val="72192C03"/>
    <w:rsid w:val="72275320"/>
    <w:rsid w:val="72342679"/>
    <w:rsid w:val="72356EAC"/>
    <w:rsid w:val="723815E1"/>
    <w:rsid w:val="725974A3"/>
    <w:rsid w:val="7265409A"/>
    <w:rsid w:val="727644F9"/>
    <w:rsid w:val="72815C37"/>
    <w:rsid w:val="729502BE"/>
    <w:rsid w:val="72A26D39"/>
    <w:rsid w:val="72BA7B08"/>
    <w:rsid w:val="72BB0EC2"/>
    <w:rsid w:val="72DD6326"/>
    <w:rsid w:val="72F0605A"/>
    <w:rsid w:val="72FFE3FE"/>
    <w:rsid w:val="73010E88"/>
    <w:rsid w:val="73245D03"/>
    <w:rsid w:val="733A44E6"/>
    <w:rsid w:val="73441F01"/>
    <w:rsid w:val="734E26EC"/>
    <w:rsid w:val="73566CAF"/>
    <w:rsid w:val="735D5FF9"/>
    <w:rsid w:val="7366631C"/>
    <w:rsid w:val="73774085"/>
    <w:rsid w:val="737D359B"/>
    <w:rsid w:val="73840550"/>
    <w:rsid w:val="738F24CE"/>
    <w:rsid w:val="73984CED"/>
    <w:rsid w:val="73A0182E"/>
    <w:rsid w:val="73AD3F4B"/>
    <w:rsid w:val="73AF2F6B"/>
    <w:rsid w:val="73B54BAD"/>
    <w:rsid w:val="73B8200F"/>
    <w:rsid w:val="73BC5F3C"/>
    <w:rsid w:val="73BD67CF"/>
    <w:rsid w:val="73C51294"/>
    <w:rsid w:val="73C635E9"/>
    <w:rsid w:val="73DE7507"/>
    <w:rsid w:val="73E7745D"/>
    <w:rsid w:val="73F3ACB0"/>
    <w:rsid w:val="73FE0302"/>
    <w:rsid w:val="740022CC"/>
    <w:rsid w:val="741144D9"/>
    <w:rsid w:val="743D14E0"/>
    <w:rsid w:val="744D3038"/>
    <w:rsid w:val="74512B28"/>
    <w:rsid w:val="745631A4"/>
    <w:rsid w:val="74626E87"/>
    <w:rsid w:val="7467D710"/>
    <w:rsid w:val="746960C4"/>
    <w:rsid w:val="746C1710"/>
    <w:rsid w:val="746D3967"/>
    <w:rsid w:val="74742A14"/>
    <w:rsid w:val="747941A5"/>
    <w:rsid w:val="749435B5"/>
    <w:rsid w:val="74A068B4"/>
    <w:rsid w:val="74BB61F3"/>
    <w:rsid w:val="74C4154C"/>
    <w:rsid w:val="74D77307"/>
    <w:rsid w:val="74E56C05"/>
    <w:rsid w:val="74E91C46"/>
    <w:rsid w:val="74EB6AD9"/>
    <w:rsid w:val="74F11C15"/>
    <w:rsid w:val="75071439"/>
    <w:rsid w:val="751A5610"/>
    <w:rsid w:val="751F2C26"/>
    <w:rsid w:val="752C71DC"/>
    <w:rsid w:val="752D5343"/>
    <w:rsid w:val="753F5E74"/>
    <w:rsid w:val="75477CAE"/>
    <w:rsid w:val="754B2D58"/>
    <w:rsid w:val="754E52B9"/>
    <w:rsid w:val="755261C9"/>
    <w:rsid w:val="7555324A"/>
    <w:rsid w:val="756D326F"/>
    <w:rsid w:val="756F711B"/>
    <w:rsid w:val="75726B3F"/>
    <w:rsid w:val="7577628C"/>
    <w:rsid w:val="757E0E17"/>
    <w:rsid w:val="75A33EE5"/>
    <w:rsid w:val="75B376C5"/>
    <w:rsid w:val="75B95618"/>
    <w:rsid w:val="75BD3DE2"/>
    <w:rsid w:val="75BD5AC9"/>
    <w:rsid w:val="75CC0C90"/>
    <w:rsid w:val="75DC4673"/>
    <w:rsid w:val="75E0022C"/>
    <w:rsid w:val="75E10D75"/>
    <w:rsid w:val="75E2690A"/>
    <w:rsid w:val="75EF52C6"/>
    <w:rsid w:val="75F120CB"/>
    <w:rsid w:val="75FB71EF"/>
    <w:rsid w:val="75FFDE28"/>
    <w:rsid w:val="760140DA"/>
    <w:rsid w:val="760418B7"/>
    <w:rsid w:val="7610256F"/>
    <w:rsid w:val="76120095"/>
    <w:rsid w:val="761C7166"/>
    <w:rsid w:val="7625426C"/>
    <w:rsid w:val="76257DC8"/>
    <w:rsid w:val="762E0F7A"/>
    <w:rsid w:val="763B661C"/>
    <w:rsid w:val="764B35A7"/>
    <w:rsid w:val="7651660B"/>
    <w:rsid w:val="766528BB"/>
    <w:rsid w:val="76654669"/>
    <w:rsid w:val="766738A2"/>
    <w:rsid w:val="76674885"/>
    <w:rsid w:val="76692E6E"/>
    <w:rsid w:val="766B09DE"/>
    <w:rsid w:val="7675622D"/>
    <w:rsid w:val="767B7664"/>
    <w:rsid w:val="76A038F3"/>
    <w:rsid w:val="76A7680B"/>
    <w:rsid w:val="76AF3B36"/>
    <w:rsid w:val="76E2215D"/>
    <w:rsid w:val="76E9529A"/>
    <w:rsid w:val="76E97048"/>
    <w:rsid w:val="76F65C0C"/>
    <w:rsid w:val="76FB4FCD"/>
    <w:rsid w:val="771542E1"/>
    <w:rsid w:val="77333F0E"/>
    <w:rsid w:val="773F608A"/>
    <w:rsid w:val="775F730A"/>
    <w:rsid w:val="777128B1"/>
    <w:rsid w:val="77775AD4"/>
    <w:rsid w:val="777F2E9C"/>
    <w:rsid w:val="778E2E02"/>
    <w:rsid w:val="77A64F39"/>
    <w:rsid w:val="77A67477"/>
    <w:rsid w:val="77AD7A09"/>
    <w:rsid w:val="77BE1E64"/>
    <w:rsid w:val="77C23008"/>
    <w:rsid w:val="77CDB29F"/>
    <w:rsid w:val="77D31AA6"/>
    <w:rsid w:val="77D53A70"/>
    <w:rsid w:val="77ED0DBA"/>
    <w:rsid w:val="77EF2052"/>
    <w:rsid w:val="77F4039A"/>
    <w:rsid w:val="77F45E7A"/>
    <w:rsid w:val="77F66641"/>
    <w:rsid w:val="77FF63BA"/>
    <w:rsid w:val="77FF949B"/>
    <w:rsid w:val="780659D7"/>
    <w:rsid w:val="781225CE"/>
    <w:rsid w:val="78250553"/>
    <w:rsid w:val="782C7B34"/>
    <w:rsid w:val="782E3B07"/>
    <w:rsid w:val="783267CC"/>
    <w:rsid w:val="783F5207"/>
    <w:rsid w:val="78401548"/>
    <w:rsid w:val="784604CA"/>
    <w:rsid w:val="78520C1D"/>
    <w:rsid w:val="786D1EFA"/>
    <w:rsid w:val="7871135D"/>
    <w:rsid w:val="78725F63"/>
    <w:rsid w:val="787C3EEC"/>
    <w:rsid w:val="78994A9D"/>
    <w:rsid w:val="789C4B6A"/>
    <w:rsid w:val="78A771BA"/>
    <w:rsid w:val="78C0027C"/>
    <w:rsid w:val="78C53BF3"/>
    <w:rsid w:val="78D700CA"/>
    <w:rsid w:val="78DD498A"/>
    <w:rsid w:val="78FA19E0"/>
    <w:rsid w:val="78FB7506"/>
    <w:rsid w:val="78FD17FC"/>
    <w:rsid w:val="790463BB"/>
    <w:rsid w:val="7908577F"/>
    <w:rsid w:val="790C75C7"/>
    <w:rsid w:val="79132AA2"/>
    <w:rsid w:val="79210312"/>
    <w:rsid w:val="79394A97"/>
    <w:rsid w:val="79426EE3"/>
    <w:rsid w:val="794744F9"/>
    <w:rsid w:val="795F1BBD"/>
    <w:rsid w:val="79667075"/>
    <w:rsid w:val="7967694A"/>
    <w:rsid w:val="79773031"/>
    <w:rsid w:val="797F1D2C"/>
    <w:rsid w:val="797F5A41"/>
    <w:rsid w:val="79992B0A"/>
    <w:rsid w:val="799F786D"/>
    <w:rsid w:val="79A6109B"/>
    <w:rsid w:val="79B11037"/>
    <w:rsid w:val="79B31B8F"/>
    <w:rsid w:val="79CD13D3"/>
    <w:rsid w:val="79D35D8D"/>
    <w:rsid w:val="79FC3536"/>
    <w:rsid w:val="7A111095"/>
    <w:rsid w:val="7A173ECC"/>
    <w:rsid w:val="7A2465E9"/>
    <w:rsid w:val="7A2D36EF"/>
    <w:rsid w:val="7A2D468E"/>
    <w:rsid w:val="7A305F36"/>
    <w:rsid w:val="7A3D633C"/>
    <w:rsid w:val="7A4749F9"/>
    <w:rsid w:val="7A4D5B40"/>
    <w:rsid w:val="7A5275FA"/>
    <w:rsid w:val="7A543C1D"/>
    <w:rsid w:val="7A546ECE"/>
    <w:rsid w:val="7A6510DB"/>
    <w:rsid w:val="7A8C2B0C"/>
    <w:rsid w:val="7A9B522E"/>
    <w:rsid w:val="7A9F2364"/>
    <w:rsid w:val="7AC31425"/>
    <w:rsid w:val="7AD260E5"/>
    <w:rsid w:val="7ADF8E22"/>
    <w:rsid w:val="7AE069B4"/>
    <w:rsid w:val="7AF7DCCE"/>
    <w:rsid w:val="7B1228E5"/>
    <w:rsid w:val="7B18614D"/>
    <w:rsid w:val="7B1A14A0"/>
    <w:rsid w:val="7B1B79EC"/>
    <w:rsid w:val="7B292109"/>
    <w:rsid w:val="7B3664C6"/>
    <w:rsid w:val="7B38234C"/>
    <w:rsid w:val="7B3960C4"/>
    <w:rsid w:val="7B5C080A"/>
    <w:rsid w:val="7B66335D"/>
    <w:rsid w:val="7B6A0413"/>
    <w:rsid w:val="7B6A44CF"/>
    <w:rsid w:val="7B6B0973"/>
    <w:rsid w:val="7B735D14"/>
    <w:rsid w:val="7B78249A"/>
    <w:rsid w:val="7B7C6BFB"/>
    <w:rsid w:val="7B7F6038"/>
    <w:rsid w:val="7B7F7EF1"/>
    <w:rsid w:val="7B8F65E6"/>
    <w:rsid w:val="7B9F47D4"/>
    <w:rsid w:val="7BA14395"/>
    <w:rsid w:val="7BAB6FC2"/>
    <w:rsid w:val="7BBC2F7D"/>
    <w:rsid w:val="7BBF0CBF"/>
    <w:rsid w:val="7BC71922"/>
    <w:rsid w:val="7BCED462"/>
    <w:rsid w:val="7BD56D75"/>
    <w:rsid w:val="7BD71FF7"/>
    <w:rsid w:val="7BDF7C5F"/>
    <w:rsid w:val="7BE50765"/>
    <w:rsid w:val="7BE7AA71"/>
    <w:rsid w:val="7BEB1AB4"/>
    <w:rsid w:val="7BF1EE90"/>
    <w:rsid w:val="7BFBD4F6"/>
    <w:rsid w:val="7C165398"/>
    <w:rsid w:val="7C1A7CA3"/>
    <w:rsid w:val="7C2A11B2"/>
    <w:rsid w:val="7C321DC6"/>
    <w:rsid w:val="7C345209"/>
    <w:rsid w:val="7C375DDB"/>
    <w:rsid w:val="7C376AA7"/>
    <w:rsid w:val="7C387C28"/>
    <w:rsid w:val="7C68287A"/>
    <w:rsid w:val="7C694787"/>
    <w:rsid w:val="7C6C62C5"/>
    <w:rsid w:val="7C6F2B32"/>
    <w:rsid w:val="7C704D7A"/>
    <w:rsid w:val="7C778D91"/>
    <w:rsid w:val="7C8C202C"/>
    <w:rsid w:val="7C9712F4"/>
    <w:rsid w:val="7C9A0DE4"/>
    <w:rsid w:val="7C9FDE6B"/>
    <w:rsid w:val="7CA83501"/>
    <w:rsid w:val="7CAD3687"/>
    <w:rsid w:val="7CB75BD0"/>
    <w:rsid w:val="7CB77472"/>
    <w:rsid w:val="7CDB074B"/>
    <w:rsid w:val="7CE309DD"/>
    <w:rsid w:val="7CEDB895"/>
    <w:rsid w:val="7CFFE32F"/>
    <w:rsid w:val="7D006E99"/>
    <w:rsid w:val="7D0A41BC"/>
    <w:rsid w:val="7D0F17D2"/>
    <w:rsid w:val="7D11554A"/>
    <w:rsid w:val="7D1B0177"/>
    <w:rsid w:val="7D31799A"/>
    <w:rsid w:val="7D32101D"/>
    <w:rsid w:val="7D3923AB"/>
    <w:rsid w:val="7D4C6582"/>
    <w:rsid w:val="7D4E186A"/>
    <w:rsid w:val="7D553689"/>
    <w:rsid w:val="7D592A4D"/>
    <w:rsid w:val="7D605B8A"/>
    <w:rsid w:val="7D731D61"/>
    <w:rsid w:val="7D7D70E2"/>
    <w:rsid w:val="7D7D7F2B"/>
    <w:rsid w:val="7D84002B"/>
    <w:rsid w:val="7D9C8197"/>
    <w:rsid w:val="7D9E7CF3"/>
    <w:rsid w:val="7D9F4CC2"/>
    <w:rsid w:val="7DA70B08"/>
    <w:rsid w:val="7DAEE4AA"/>
    <w:rsid w:val="7DB2AB9B"/>
    <w:rsid w:val="7DB36601"/>
    <w:rsid w:val="7DB71BDD"/>
    <w:rsid w:val="7DB75ACB"/>
    <w:rsid w:val="7DC51C1A"/>
    <w:rsid w:val="7DC66335"/>
    <w:rsid w:val="7DCE74CA"/>
    <w:rsid w:val="7DD345AE"/>
    <w:rsid w:val="7DDD71DA"/>
    <w:rsid w:val="7DDEB3E0"/>
    <w:rsid w:val="7DDF308F"/>
    <w:rsid w:val="7DE04C9F"/>
    <w:rsid w:val="7DE524A1"/>
    <w:rsid w:val="7DEA5FF0"/>
    <w:rsid w:val="7DEFFE7F"/>
    <w:rsid w:val="7DFF5CFD"/>
    <w:rsid w:val="7DFFA0DE"/>
    <w:rsid w:val="7E046829"/>
    <w:rsid w:val="7E1E56F5"/>
    <w:rsid w:val="7E221091"/>
    <w:rsid w:val="7E226F1F"/>
    <w:rsid w:val="7E2766A8"/>
    <w:rsid w:val="7E27733A"/>
    <w:rsid w:val="7E2B43EA"/>
    <w:rsid w:val="7E2C5F03"/>
    <w:rsid w:val="7E2F6194"/>
    <w:rsid w:val="7E33329E"/>
    <w:rsid w:val="7E397C5B"/>
    <w:rsid w:val="7E3DD810"/>
    <w:rsid w:val="7E462FD2"/>
    <w:rsid w:val="7E5A082B"/>
    <w:rsid w:val="7E5B4248"/>
    <w:rsid w:val="7E5B45CC"/>
    <w:rsid w:val="7E631DD5"/>
    <w:rsid w:val="7E6B6B78"/>
    <w:rsid w:val="7E7123FC"/>
    <w:rsid w:val="7E7992D7"/>
    <w:rsid w:val="7E7D6EFE"/>
    <w:rsid w:val="7E816340"/>
    <w:rsid w:val="7EA63A70"/>
    <w:rsid w:val="7EAD6FA6"/>
    <w:rsid w:val="7EB066CD"/>
    <w:rsid w:val="7EB73ECF"/>
    <w:rsid w:val="7EBDA2AA"/>
    <w:rsid w:val="7EBE0DBA"/>
    <w:rsid w:val="7ECFE7AA"/>
    <w:rsid w:val="7ED978A7"/>
    <w:rsid w:val="7EDFBDC5"/>
    <w:rsid w:val="7EEA6204"/>
    <w:rsid w:val="7EEB01AD"/>
    <w:rsid w:val="7EED7FBB"/>
    <w:rsid w:val="7EF7F5D9"/>
    <w:rsid w:val="7EFE3C03"/>
    <w:rsid w:val="7EFEEEAE"/>
    <w:rsid w:val="7EFF6818"/>
    <w:rsid w:val="7EFFD312"/>
    <w:rsid w:val="7F020531"/>
    <w:rsid w:val="7F033168"/>
    <w:rsid w:val="7F0A2251"/>
    <w:rsid w:val="7F1C1F84"/>
    <w:rsid w:val="7F315A30"/>
    <w:rsid w:val="7F332551"/>
    <w:rsid w:val="7F45772D"/>
    <w:rsid w:val="7F46E435"/>
    <w:rsid w:val="7F4C2401"/>
    <w:rsid w:val="7F5778A6"/>
    <w:rsid w:val="7F5A19A3"/>
    <w:rsid w:val="7F5D21FC"/>
    <w:rsid w:val="7F5F01F7"/>
    <w:rsid w:val="7F5F274E"/>
    <w:rsid w:val="7F6F0131"/>
    <w:rsid w:val="7F721BA4"/>
    <w:rsid w:val="7F7F67E6"/>
    <w:rsid w:val="7F7F9151"/>
    <w:rsid w:val="7F8C0EB8"/>
    <w:rsid w:val="7F8FDA47"/>
    <w:rsid w:val="7F9C3A4F"/>
    <w:rsid w:val="7F9FD24E"/>
    <w:rsid w:val="7FA7DA00"/>
    <w:rsid w:val="7FBF50DB"/>
    <w:rsid w:val="7FCDC91B"/>
    <w:rsid w:val="7FD6DAF8"/>
    <w:rsid w:val="7FDBCDBD"/>
    <w:rsid w:val="7FDF89A0"/>
    <w:rsid w:val="7FE107EF"/>
    <w:rsid w:val="7FE720BC"/>
    <w:rsid w:val="7FEF15B1"/>
    <w:rsid w:val="7FF627D5"/>
    <w:rsid w:val="7FF923EA"/>
    <w:rsid w:val="7FFB015B"/>
    <w:rsid w:val="7FFB49F8"/>
    <w:rsid w:val="7FFC7506"/>
    <w:rsid w:val="7FFC9E69"/>
    <w:rsid w:val="7FFE6E62"/>
    <w:rsid w:val="7FFF6C13"/>
    <w:rsid w:val="7FFFD85A"/>
    <w:rsid w:val="7FFFEFEC"/>
    <w:rsid w:val="83FB8BA7"/>
    <w:rsid w:val="8EDF5774"/>
    <w:rsid w:val="8F9F56D8"/>
    <w:rsid w:val="8FEFF593"/>
    <w:rsid w:val="8FFD72DB"/>
    <w:rsid w:val="95BB9693"/>
    <w:rsid w:val="96FC39D8"/>
    <w:rsid w:val="97EF9AA0"/>
    <w:rsid w:val="9ABF4E41"/>
    <w:rsid w:val="9BEFE717"/>
    <w:rsid w:val="9D6F9F88"/>
    <w:rsid w:val="9DB5000A"/>
    <w:rsid w:val="9DED3076"/>
    <w:rsid w:val="9E6F6EF5"/>
    <w:rsid w:val="9EBD9184"/>
    <w:rsid w:val="9F6A5B10"/>
    <w:rsid w:val="9FEB2198"/>
    <w:rsid w:val="9FFD5DCA"/>
    <w:rsid w:val="A6FEEAF1"/>
    <w:rsid w:val="A9EF976D"/>
    <w:rsid w:val="ABAFACA9"/>
    <w:rsid w:val="ABF6AC92"/>
    <w:rsid w:val="ABFFDD8E"/>
    <w:rsid w:val="ADB493C9"/>
    <w:rsid w:val="ADBF60D2"/>
    <w:rsid w:val="ADFA8826"/>
    <w:rsid w:val="AEDB3F7F"/>
    <w:rsid w:val="AEEC3FCD"/>
    <w:rsid w:val="AF353C7E"/>
    <w:rsid w:val="AFB70EA9"/>
    <w:rsid w:val="AFF70039"/>
    <w:rsid w:val="B3CF0FBE"/>
    <w:rsid w:val="B4DEC3B1"/>
    <w:rsid w:val="B6CFDE03"/>
    <w:rsid w:val="B77E2733"/>
    <w:rsid w:val="B7CFCA6C"/>
    <w:rsid w:val="B7F94C14"/>
    <w:rsid w:val="B7FE4216"/>
    <w:rsid w:val="BA7325A6"/>
    <w:rsid w:val="BAA94E6C"/>
    <w:rsid w:val="BB7E8EBF"/>
    <w:rsid w:val="BBAB8448"/>
    <w:rsid w:val="BBBF8CC8"/>
    <w:rsid w:val="BBF73F15"/>
    <w:rsid w:val="BBFD3D0B"/>
    <w:rsid w:val="BDE31BA8"/>
    <w:rsid w:val="BDF6DEB6"/>
    <w:rsid w:val="BDFFB5C9"/>
    <w:rsid w:val="BEC74359"/>
    <w:rsid w:val="BEDBF8F1"/>
    <w:rsid w:val="BF9F2123"/>
    <w:rsid w:val="BFD38DC9"/>
    <w:rsid w:val="BFDF36A9"/>
    <w:rsid w:val="BFEFDE49"/>
    <w:rsid w:val="BFFFBB2D"/>
    <w:rsid w:val="BFFFCB95"/>
    <w:rsid w:val="C5AFBA56"/>
    <w:rsid w:val="C67FD789"/>
    <w:rsid w:val="CEEF4B0B"/>
    <w:rsid w:val="CEF9A625"/>
    <w:rsid w:val="CFEF46E2"/>
    <w:rsid w:val="CFF89CB3"/>
    <w:rsid w:val="CFFEBAA9"/>
    <w:rsid w:val="D1F79A4A"/>
    <w:rsid w:val="D5ABE0CC"/>
    <w:rsid w:val="D5BFC667"/>
    <w:rsid w:val="D67B4253"/>
    <w:rsid w:val="D67F418A"/>
    <w:rsid w:val="D6FFA038"/>
    <w:rsid w:val="D76B646E"/>
    <w:rsid w:val="D79CE5B9"/>
    <w:rsid w:val="D7BEBDEF"/>
    <w:rsid w:val="D7CA9485"/>
    <w:rsid w:val="D7DE4EE9"/>
    <w:rsid w:val="D7E86ED2"/>
    <w:rsid w:val="D7EF77A7"/>
    <w:rsid w:val="D7FE89F3"/>
    <w:rsid w:val="D8FB32F6"/>
    <w:rsid w:val="D9309128"/>
    <w:rsid w:val="D99B6D6C"/>
    <w:rsid w:val="DB7B38AB"/>
    <w:rsid w:val="DBEFFC2B"/>
    <w:rsid w:val="DBFE4081"/>
    <w:rsid w:val="DBFF0514"/>
    <w:rsid w:val="DBFF6D76"/>
    <w:rsid w:val="DBFF7C96"/>
    <w:rsid w:val="DD7741C8"/>
    <w:rsid w:val="DD7AAFB6"/>
    <w:rsid w:val="DD7F2835"/>
    <w:rsid w:val="DDCF8143"/>
    <w:rsid w:val="DDDF6610"/>
    <w:rsid w:val="DDEF768E"/>
    <w:rsid w:val="DF7DF02F"/>
    <w:rsid w:val="DF7E2FA7"/>
    <w:rsid w:val="DF7EB36D"/>
    <w:rsid w:val="DF7F4C28"/>
    <w:rsid w:val="DFAF3050"/>
    <w:rsid w:val="DFCFA34F"/>
    <w:rsid w:val="DFD685D2"/>
    <w:rsid w:val="DFD7D526"/>
    <w:rsid w:val="DFDB4D9E"/>
    <w:rsid w:val="DFDCDEBF"/>
    <w:rsid w:val="DFF5E810"/>
    <w:rsid w:val="DFF79388"/>
    <w:rsid w:val="DFF7DAD8"/>
    <w:rsid w:val="E2DFF0AF"/>
    <w:rsid w:val="E3F3EE1C"/>
    <w:rsid w:val="E3FF9A2C"/>
    <w:rsid w:val="E75EA79B"/>
    <w:rsid w:val="E77F9F4A"/>
    <w:rsid w:val="E7FF3EFA"/>
    <w:rsid w:val="E9FA3F4D"/>
    <w:rsid w:val="E9FEBB13"/>
    <w:rsid w:val="EBAF76F3"/>
    <w:rsid w:val="EBFFEB6B"/>
    <w:rsid w:val="EC1F1BDA"/>
    <w:rsid w:val="EC9B86A8"/>
    <w:rsid w:val="ECDF5D88"/>
    <w:rsid w:val="ECF82375"/>
    <w:rsid w:val="EDBE1D7F"/>
    <w:rsid w:val="EDBF9355"/>
    <w:rsid w:val="EDDDD6E1"/>
    <w:rsid w:val="EDFF80AB"/>
    <w:rsid w:val="EE76C035"/>
    <w:rsid w:val="EE9FED4A"/>
    <w:rsid w:val="EF6553B2"/>
    <w:rsid w:val="EF6B61FC"/>
    <w:rsid w:val="EF7D40CE"/>
    <w:rsid w:val="EF7FC781"/>
    <w:rsid w:val="EFBBF919"/>
    <w:rsid w:val="EFBEF36D"/>
    <w:rsid w:val="EFDFBFD6"/>
    <w:rsid w:val="EFF66323"/>
    <w:rsid w:val="EFF6F0DB"/>
    <w:rsid w:val="EFF753EF"/>
    <w:rsid w:val="EFF92C70"/>
    <w:rsid w:val="EFFBA05E"/>
    <w:rsid w:val="EFFE95A8"/>
    <w:rsid w:val="EFFF3B38"/>
    <w:rsid w:val="EFFF7FCD"/>
    <w:rsid w:val="F1E77730"/>
    <w:rsid w:val="F1F4D70E"/>
    <w:rsid w:val="F1F82083"/>
    <w:rsid w:val="F2769E78"/>
    <w:rsid w:val="F34B422E"/>
    <w:rsid w:val="F36A2705"/>
    <w:rsid w:val="F3BF13B9"/>
    <w:rsid w:val="F3EE8B2E"/>
    <w:rsid w:val="F3FC3363"/>
    <w:rsid w:val="F4DF8DC2"/>
    <w:rsid w:val="F4FF43D3"/>
    <w:rsid w:val="F53F7CEC"/>
    <w:rsid w:val="F545D802"/>
    <w:rsid w:val="F569C99A"/>
    <w:rsid w:val="F63AD483"/>
    <w:rsid w:val="F6F978EF"/>
    <w:rsid w:val="F73F0EE1"/>
    <w:rsid w:val="F7BA66D7"/>
    <w:rsid w:val="F7BF826F"/>
    <w:rsid w:val="F7DE9FEA"/>
    <w:rsid w:val="F7EFD093"/>
    <w:rsid w:val="F7FF14DC"/>
    <w:rsid w:val="F8FA12CA"/>
    <w:rsid w:val="F9B6AEE7"/>
    <w:rsid w:val="FABF016C"/>
    <w:rsid w:val="FB3E5CA9"/>
    <w:rsid w:val="FB49B02B"/>
    <w:rsid w:val="FB668C11"/>
    <w:rsid w:val="FB7BAF77"/>
    <w:rsid w:val="FB7F3C99"/>
    <w:rsid w:val="FB7FC62A"/>
    <w:rsid w:val="FBA52693"/>
    <w:rsid w:val="FBBFEC68"/>
    <w:rsid w:val="FBD8728E"/>
    <w:rsid w:val="FBDB294E"/>
    <w:rsid w:val="FBFD62C1"/>
    <w:rsid w:val="FBFF8010"/>
    <w:rsid w:val="FCC2A4CA"/>
    <w:rsid w:val="FCDFEF94"/>
    <w:rsid w:val="FCFDC808"/>
    <w:rsid w:val="FD7C9415"/>
    <w:rsid w:val="FD87C077"/>
    <w:rsid w:val="FD9ABFBB"/>
    <w:rsid w:val="FDAEDF8C"/>
    <w:rsid w:val="FDBC684C"/>
    <w:rsid w:val="FDD3D10D"/>
    <w:rsid w:val="FDD3FF43"/>
    <w:rsid w:val="FDD759A6"/>
    <w:rsid w:val="FDEF9553"/>
    <w:rsid w:val="FDFB8B66"/>
    <w:rsid w:val="FDFBE060"/>
    <w:rsid w:val="FE371A0D"/>
    <w:rsid w:val="FE6F8800"/>
    <w:rsid w:val="FE8A7546"/>
    <w:rsid w:val="FEBFBA54"/>
    <w:rsid w:val="FEE57BEB"/>
    <w:rsid w:val="FEF79752"/>
    <w:rsid w:val="FEFA1399"/>
    <w:rsid w:val="FEFA5798"/>
    <w:rsid w:val="FEFC057B"/>
    <w:rsid w:val="FEFF888D"/>
    <w:rsid w:val="FF1A3D98"/>
    <w:rsid w:val="FF3EC2C4"/>
    <w:rsid w:val="FF3F06DA"/>
    <w:rsid w:val="FF7ADF67"/>
    <w:rsid w:val="FF7FA1ED"/>
    <w:rsid w:val="FF9B4F05"/>
    <w:rsid w:val="FF9FC3F4"/>
    <w:rsid w:val="FFAB95FC"/>
    <w:rsid w:val="FFBAEB6B"/>
    <w:rsid w:val="FFBBB60B"/>
    <w:rsid w:val="FFBBF760"/>
    <w:rsid w:val="FFBDADDE"/>
    <w:rsid w:val="FFBF4A10"/>
    <w:rsid w:val="FFDF7F2F"/>
    <w:rsid w:val="FFE7BF18"/>
    <w:rsid w:val="FFEEB05D"/>
    <w:rsid w:val="FFEFDB70"/>
    <w:rsid w:val="FFF55EF7"/>
    <w:rsid w:val="FFF730B5"/>
    <w:rsid w:val="FFFAC10F"/>
    <w:rsid w:val="FFFB05D5"/>
    <w:rsid w:val="FFFBB57C"/>
    <w:rsid w:val="FFFE26DF"/>
    <w:rsid w:val="FFFF8A97"/>
    <w:rsid w:val="FFFFC72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qFormat/>
    <w:uiPriority w:val="0"/>
    <w:pPr>
      <w:keepNext/>
      <w:keepLines/>
      <w:widowControl w:val="0"/>
      <w:spacing w:line="360" w:lineRule="auto"/>
      <w:ind w:firstLine="420" w:firstLineChars="200"/>
      <w:jc w:val="both"/>
      <w:outlineLvl w:val="0"/>
    </w:pPr>
    <w:rPr>
      <w:rFonts w:ascii="黑体" w:hAnsi="黑体" w:eastAsia="黑体" w:cs="Times New Roman"/>
      <w:kern w:val="44"/>
      <w:sz w:val="32"/>
    </w:rPr>
  </w:style>
  <w:style w:type="paragraph" w:styleId="3">
    <w:name w:val="heading 2"/>
    <w:basedOn w:val="1"/>
    <w:next w:val="1"/>
    <w:qFormat/>
    <w:uiPriority w:val="0"/>
    <w:pPr>
      <w:keepNext/>
      <w:keepLines/>
      <w:widowControl w:val="0"/>
      <w:spacing w:line="360" w:lineRule="auto"/>
      <w:ind w:firstLine="1044" w:firstLineChars="200"/>
      <w:jc w:val="both"/>
      <w:outlineLvl w:val="1"/>
    </w:pPr>
    <w:rPr>
      <w:rFonts w:ascii="微软雅黑" w:hAnsi="微软雅黑" w:eastAsia="楷体"/>
      <w:b/>
      <w:kern w:val="2"/>
      <w:sz w:val="32"/>
    </w:rPr>
  </w:style>
  <w:style w:type="paragraph" w:styleId="4">
    <w:name w:val="heading 3"/>
    <w:basedOn w:val="1"/>
    <w:next w:val="1"/>
    <w:unhideWhenUsed/>
    <w:qFormat/>
    <w:uiPriority w:val="0"/>
    <w:pPr>
      <w:keepNext/>
      <w:keepLines/>
      <w:widowControl w:val="0"/>
      <w:spacing w:before="260" w:after="260" w:line="413" w:lineRule="auto"/>
      <w:jc w:val="both"/>
      <w:outlineLvl w:val="2"/>
    </w:pPr>
    <w:rPr>
      <w:rFonts w:ascii="Calibri" w:hAnsi="Calibri"/>
      <w:b/>
      <w:kern w:val="2"/>
      <w:sz w:val="32"/>
    </w:rPr>
  </w:style>
  <w:style w:type="paragraph" w:styleId="5">
    <w:name w:val="heading 4"/>
    <w:basedOn w:val="1"/>
    <w:next w:val="1"/>
    <w:unhideWhenUsed/>
    <w:qFormat/>
    <w:uiPriority w:val="0"/>
    <w:pPr>
      <w:keepNext/>
      <w:keepLines/>
      <w:spacing w:before="280" w:after="290" w:line="376" w:lineRule="atLeast"/>
      <w:outlineLvl w:val="3"/>
    </w:pPr>
    <w:rPr>
      <w:rFonts w:ascii="Cambria" w:hAnsi="Cambria" w:cs="Times New Roman"/>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4"/>
    <w:qFormat/>
    <w:uiPriority w:val="99"/>
    <w:pPr>
      <w:widowControl w:val="0"/>
    </w:pPr>
    <w:rPr>
      <w:rFonts w:ascii="Calibri" w:hAnsi="Calibri"/>
      <w:kern w:val="2"/>
      <w:sz w:val="21"/>
    </w:rPr>
  </w:style>
  <w:style w:type="paragraph" w:styleId="7">
    <w:name w:val="Body Text"/>
    <w:basedOn w:val="1"/>
    <w:qFormat/>
    <w:uiPriority w:val="1"/>
    <w:pPr>
      <w:ind w:left="213"/>
    </w:pPr>
    <w:rPr>
      <w:rFonts w:ascii="仿宋_GB2312" w:hAnsi="仿宋_GB2312" w:eastAsia="仿宋_GB2312" w:cs="仿宋_GB2312"/>
      <w:sz w:val="32"/>
      <w:szCs w:val="32"/>
      <w:lang w:val="zh-CN" w:bidi="zh-CN"/>
    </w:rPr>
  </w:style>
  <w:style w:type="paragraph" w:styleId="8">
    <w:name w:val="Body Text Indent"/>
    <w:basedOn w:val="1"/>
    <w:link w:val="43"/>
    <w:qFormat/>
    <w:uiPriority w:val="99"/>
    <w:pPr>
      <w:widowControl w:val="0"/>
      <w:spacing w:after="120"/>
      <w:ind w:left="420" w:leftChars="200"/>
      <w:jc w:val="both"/>
    </w:pPr>
    <w:rPr>
      <w:rFonts w:ascii="Calibri" w:hAnsi="Calibri"/>
      <w:kern w:val="2"/>
      <w:sz w:val="21"/>
    </w:rPr>
  </w:style>
  <w:style w:type="paragraph" w:styleId="9">
    <w:name w:val="Body Text Indent 2"/>
    <w:basedOn w:val="1"/>
    <w:qFormat/>
    <w:uiPriority w:val="0"/>
    <w:pPr>
      <w:spacing w:after="120" w:line="480" w:lineRule="auto"/>
      <w:ind w:left="420" w:leftChars="200"/>
    </w:pPr>
  </w:style>
  <w:style w:type="paragraph" w:styleId="10">
    <w:name w:val="Balloon Text"/>
    <w:basedOn w:val="1"/>
    <w:link w:val="36"/>
    <w:qFormat/>
    <w:uiPriority w:val="0"/>
    <w:pPr>
      <w:widowControl w:val="0"/>
      <w:jc w:val="both"/>
    </w:pPr>
    <w:rPr>
      <w:rFonts w:hAnsi="Calibri"/>
      <w:kern w:val="2"/>
      <w:sz w:val="18"/>
      <w:szCs w:val="18"/>
    </w:rPr>
  </w:style>
  <w:style w:type="paragraph" w:styleId="11">
    <w:name w:val="footer"/>
    <w:basedOn w:val="1"/>
    <w:link w:val="55"/>
    <w:qFormat/>
    <w:uiPriority w:val="99"/>
    <w:pPr>
      <w:widowControl w:val="0"/>
      <w:tabs>
        <w:tab w:val="center" w:pos="4153"/>
        <w:tab w:val="right" w:pos="8306"/>
      </w:tabs>
      <w:wordWrap w:val="0"/>
      <w:snapToGrid w:val="0"/>
    </w:pPr>
    <w:rPr>
      <w:rFonts w:ascii="仿宋" w:hAnsi="Calibri" w:eastAsia="仿宋"/>
      <w:kern w:val="2"/>
      <w:sz w:val="18"/>
    </w:rPr>
  </w:style>
  <w:style w:type="paragraph" w:styleId="12">
    <w:name w:val="header"/>
    <w:basedOn w:val="1"/>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wordWrap w:val="0"/>
      <w:snapToGrid w:val="0"/>
      <w:jc w:val="both"/>
    </w:pPr>
    <w:rPr>
      <w:rFonts w:ascii="仿宋" w:hAnsi="Calibri" w:eastAsia="仿宋"/>
      <w:kern w:val="2"/>
      <w:sz w:val="18"/>
    </w:rPr>
  </w:style>
  <w:style w:type="paragraph" w:styleId="13">
    <w:name w:val="toc 1"/>
    <w:basedOn w:val="1"/>
    <w:next w:val="1"/>
    <w:qFormat/>
    <w:uiPriority w:val="0"/>
    <w:pPr>
      <w:widowControl w:val="0"/>
      <w:jc w:val="both"/>
    </w:pPr>
    <w:rPr>
      <w:rFonts w:ascii="Calibri" w:hAnsi="Calibri"/>
      <w:kern w:val="2"/>
      <w:sz w:val="21"/>
    </w:rPr>
  </w:style>
  <w:style w:type="paragraph" w:styleId="14">
    <w:name w:val="footnote text"/>
    <w:basedOn w:val="1"/>
    <w:link w:val="47"/>
    <w:qFormat/>
    <w:uiPriority w:val="99"/>
    <w:pPr>
      <w:widowControl w:val="0"/>
      <w:snapToGrid w:val="0"/>
    </w:pPr>
    <w:rPr>
      <w:rFonts w:ascii="Calibri" w:hAnsi="Calibri"/>
      <w:kern w:val="2"/>
      <w:sz w:val="18"/>
    </w:rPr>
  </w:style>
  <w:style w:type="paragraph" w:styleId="15">
    <w:name w:val="index 9"/>
    <w:basedOn w:val="1"/>
    <w:next w:val="1"/>
    <w:qFormat/>
    <w:uiPriority w:val="0"/>
    <w:pPr>
      <w:ind w:left="3360"/>
    </w:pPr>
  </w:style>
  <w:style w:type="paragraph" w:styleId="16">
    <w:name w:val="toc 2"/>
    <w:basedOn w:val="1"/>
    <w:next w:val="1"/>
    <w:qFormat/>
    <w:uiPriority w:val="0"/>
    <w:pPr>
      <w:widowControl w:val="0"/>
      <w:ind w:left="420" w:leftChars="200"/>
      <w:jc w:val="both"/>
    </w:pPr>
    <w:rPr>
      <w:rFonts w:ascii="Calibri" w:hAnsi="Calibri"/>
      <w:kern w:val="2"/>
      <w:sz w:val="21"/>
    </w:rPr>
  </w:style>
  <w:style w:type="paragraph" w:styleId="17">
    <w:name w:val="Body Text 2"/>
    <w:basedOn w:val="1"/>
    <w:next w:val="7"/>
    <w:qFormat/>
    <w:uiPriority w:val="0"/>
    <w:pPr>
      <w:widowControl w:val="0"/>
      <w:spacing w:after="120" w:line="480" w:lineRule="auto"/>
      <w:jc w:val="both"/>
    </w:pPr>
    <w:rPr>
      <w:rFonts w:hint="eastAsia" w:ascii="Times New Roman" w:hAnsi="Times New Roman" w:cs="Times New Roman"/>
      <w:kern w:val="2"/>
      <w:sz w:val="21"/>
    </w:rPr>
  </w:style>
  <w:style w:type="paragraph" w:styleId="18">
    <w:name w:val="Normal (Web)"/>
    <w:basedOn w:val="1"/>
    <w:qFormat/>
    <w:uiPriority w:val="99"/>
    <w:pPr>
      <w:spacing w:beforeAutospacing="1" w:afterAutospacing="1"/>
    </w:pPr>
    <w:rPr>
      <w:rFonts w:cs="Times New Roman"/>
    </w:rPr>
  </w:style>
  <w:style w:type="paragraph" w:styleId="19">
    <w:name w:val="annotation subject"/>
    <w:basedOn w:val="6"/>
    <w:next w:val="6"/>
    <w:link w:val="35"/>
    <w:qFormat/>
    <w:uiPriority w:val="0"/>
    <w:rPr>
      <w:b/>
      <w:bCs/>
    </w:rPr>
  </w:style>
  <w:style w:type="paragraph" w:styleId="20">
    <w:name w:val="Body Text First Indent 2"/>
    <w:basedOn w:val="8"/>
    <w:qFormat/>
    <w:uiPriority w:val="99"/>
    <w:pPr>
      <w:widowControl/>
      <w:wordWrap w:val="0"/>
      <w:overflowPunct w:val="0"/>
      <w:autoSpaceDE w:val="0"/>
      <w:autoSpaceDN w:val="0"/>
      <w:adjustRightInd w:val="0"/>
      <w:ind w:firstLine="420" w:firstLineChars="200"/>
      <w:textAlignment w:val="baseline"/>
    </w:pPr>
    <w:rPr>
      <w:rFonts w:cs="Times New Roman"/>
      <w:kern w:val="0"/>
      <w:szCs w:val="21"/>
    </w:rPr>
  </w:style>
  <w:style w:type="table" w:styleId="22">
    <w:name w:val="Table Grid"/>
    <w:basedOn w:val="21"/>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4">
    <w:name w:val="Strong"/>
    <w:basedOn w:val="23"/>
    <w:qFormat/>
    <w:uiPriority w:val="0"/>
    <w:rPr>
      <w:b/>
    </w:rPr>
  </w:style>
  <w:style w:type="character" w:styleId="25">
    <w:name w:val="page number"/>
    <w:basedOn w:val="23"/>
    <w:qFormat/>
    <w:uiPriority w:val="0"/>
  </w:style>
  <w:style w:type="character" w:styleId="26">
    <w:name w:val="Emphasis"/>
    <w:basedOn w:val="23"/>
    <w:qFormat/>
    <w:uiPriority w:val="0"/>
    <w:rPr>
      <w:i/>
    </w:rPr>
  </w:style>
  <w:style w:type="character" w:styleId="27">
    <w:name w:val="Hyperlink"/>
    <w:basedOn w:val="23"/>
    <w:qFormat/>
    <w:uiPriority w:val="0"/>
    <w:rPr>
      <w:color w:val="0000FF"/>
      <w:u w:val="single"/>
    </w:rPr>
  </w:style>
  <w:style w:type="character" w:styleId="28">
    <w:name w:val="annotation reference"/>
    <w:basedOn w:val="23"/>
    <w:qFormat/>
    <w:uiPriority w:val="0"/>
    <w:rPr>
      <w:sz w:val="21"/>
      <w:szCs w:val="21"/>
    </w:rPr>
  </w:style>
  <w:style w:type="character" w:styleId="29">
    <w:name w:val="footnote reference"/>
    <w:basedOn w:val="23"/>
    <w:qFormat/>
    <w:uiPriority w:val="0"/>
    <w:rPr>
      <w:vertAlign w:val="superscript"/>
    </w:rPr>
  </w:style>
  <w:style w:type="paragraph" w:customStyle="1" w:styleId="30">
    <w:name w:val="p0"/>
    <w:basedOn w:val="1"/>
    <w:qFormat/>
    <w:uiPriority w:val="0"/>
    <w:pPr>
      <w:widowControl w:val="0"/>
      <w:wordWrap w:val="0"/>
      <w:jc w:val="both"/>
    </w:pPr>
    <w:rPr>
      <w:rFonts w:ascii="Calibri" w:hAnsi="Calibri" w:eastAsia="仿宋"/>
      <w:kern w:val="2"/>
      <w:sz w:val="21"/>
    </w:rPr>
  </w:style>
  <w:style w:type="character" w:customStyle="1" w:styleId="31">
    <w:name w:val="fontstyle01"/>
    <w:qFormat/>
    <w:uiPriority w:val="0"/>
    <w:rPr>
      <w:rFonts w:hint="eastAsia" w:ascii="仿宋" w:eastAsia="仿宋"/>
      <w:color w:val="000000"/>
      <w:sz w:val="32"/>
      <w:szCs w:val="32"/>
    </w:rPr>
  </w:style>
  <w:style w:type="paragraph" w:customStyle="1" w:styleId="32">
    <w:name w:val="WPSOffice手动目录 1"/>
    <w:qFormat/>
    <w:uiPriority w:val="0"/>
    <w:rPr>
      <w:rFonts w:ascii="Times New Roman" w:hAnsi="Times New Roman" w:eastAsia="宋体" w:cs="Times New Roman"/>
      <w:lang w:val="en-US" w:eastAsia="zh-CN" w:bidi="ar-SA"/>
    </w:rPr>
  </w:style>
  <w:style w:type="paragraph" w:customStyle="1" w:styleId="33">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34">
    <w:name w:val="批注文字 Char"/>
    <w:basedOn w:val="23"/>
    <w:link w:val="6"/>
    <w:qFormat/>
    <w:uiPriority w:val="99"/>
    <w:rPr>
      <w:rFonts w:ascii="Calibri" w:hAnsi="Calibri" w:cs="宋体"/>
      <w:kern w:val="2"/>
      <w:sz w:val="21"/>
      <w:szCs w:val="24"/>
    </w:rPr>
  </w:style>
  <w:style w:type="character" w:customStyle="1" w:styleId="35">
    <w:name w:val="批注主题 Char"/>
    <w:basedOn w:val="34"/>
    <w:link w:val="19"/>
    <w:qFormat/>
    <w:uiPriority w:val="0"/>
    <w:rPr>
      <w:rFonts w:ascii="Calibri" w:hAnsi="Calibri" w:cs="宋体"/>
      <w:b/>
      <w:bCs/>
      <w:kern w:val="2"/>
      <w:sz w:val="21"/>
      <w:szCs w:val="24"/>
    </w:rPr>
  </w:style>
  <w:style w:type="character" w:customStyle="1" w:styleId="36">
    <w:name w:val="批注框文本 Char"/>
    <w:basedOn w:val="23"/>
    <w:link w:val="10"/>
    <w:qFormat/>
    <w:uiPriority w:val="0"/>
    <w:rPr>
      <w:rFonts w:ascii="宋体" w:hAnsi="Calibri" w:cs="宋体"/>
      <w:kern w:val="2"/>
      <w:sz w:val="18"/>
      <w:szCs w:val="18"/>
    </w:rPr>
  </w:style>
  <w:style w:type="paragraph" w:customStyle="1" w:styleId="37">
    <w:name w:val="修订1"/>
    <w:hidden/>
    <w:semiHidden/>
    <w:qFormat/>
    <w:uiPriority w:val="99"/>
    <w:rPr>
      <w:rFonts w:ascii="Calibri" w:hAnsi="Calibri" w:eastAsia="宋体" w:cs="宋体"/>
      <w:kern w:val="2"/>
      <w:sz w:val="21"/>
      <w:szCs w:val="24"/>
      <w:lang w:val="en-US" w:eastAsia="zh-CN" w:bidi="ar-SA"/>
    </w:rPr>
  </w:style>
  <w:style w:type="character" w:customStyle="1" w:styleId="38">
    <w:name w:val="font21"/>
    <w:basedOn w:val="23"/>
    <w:qFormat/>
    <w:uiPriority w:val="0"/>
    <w:rPr>
      <w:rFonts w:hint="eastAsia" w:ascii="宋体" w:hAnsi="宋体" w:eastAsia="宋体" w:cs="宋体"/>
      <w:b/>
      <w:bCs/>
      <w:color w:val="000000"/>
      <w:sz w:val="20"/>
      <w:szCs w:val="20"/>
      <w:u w:val="none"/>
    </w:rPr>
  </w:style>
  <w:style w:type="character" w:customStyle="1" w:styleId="39">
    <w:name w:val="font11"/>
    <w:basedOn w:val="23"/>
    <w:qFormat/>
    <w:uiPriority w:val="0"/>
    <w:rPr>
      <w:rFonts w:hint="eastAsia" w:ascii="宋体" w:hAnsi="宋体" w:eastAsia="宋体" w:cs="宋体"/>
      <w:color w:val="000000"/>
      <w:sz w:val="20"/>
      <w:szCs w:val="20"/>
      <w:u w:val="none"/>
    </w:rPr>
  </w:style>
  <w:style w:type="character" w:customStyle="1" w:styleId="40">
    <w:name w:val="font51"/>
    <w:basedOn w:val="23"/>
    <w:qFormat/>
    <w:uiPriority w:val="0"/>
    <w:rPr>
      <w:rFonts w:hint="eastAsia" w:ascii="宋体" w:hAnsi="宋体" w:eastAsia="宋体" w:cs="宋体"/>
      <w:color w:val="000000"/>
      <w:sz w:val="22"/>
      <w:szCs w:val="22"/>
      <w:u w:val="none"/>
    </w:rPr>
  </w:style>
  <w:style w:type="character" w:customStyle="1" w:styleId="41">
    <w:name w:val="font31"/>
    <w:basedOn w:val="23"/>
    <w:qFormat/>
    <w:uiPriority w:val="0"/>
    <w:rPr>
      <w:rFonts w:hint="eastAsia" w:ascii="宋体" w:hAnsi="宋体" w:eastAsia="宋体" w:cs="宋体"/>
      <w:color w:val="000000"/>
      <w:sz w:val="22"/>
      <w:szCs w:val="22"/>
      <w:u w:val="none"/>
    </w:rPr>
  </w:style>
  <w:style w:type="character" w:customStyle="1" w:styleId="42">
    <w:name w:val="正文文本首行缩进 2 字符"/>
    <w:basedOn w:val="43"/>
    <w:qFormat/>
    <w:uiPriority w:val="99"/>
    <w:rPr>
      <w:rFonts w:hint="default" w:ascii="Calibri" w:hAnsi="Calibri" w:cs="宋体"/>
      <w:kern w:val="2"/>
      <w:sz w:val="21"/>
      <w:szCs w:val="24"/>
    </w:rPr>
  </w:style>
  <w:style w:type="character" w:customStyle="1" w:styleId="43">
    <w:name w:val="正文文本缩进 Char"/>
    <w:basedOn w:val="23"/>
    <w:link w:val="8"/>
    <w:qFormat/>
    <w:uiPriority w:val="99"/>
    <w:rPr>
      <w:rFonts w:hint="default" w:ascii="Calibri" w:hAnsi="Calibri" w:cs="宋体"/>
      <w:kern w:val="2"/>
      <w:sz w:val="21"/>
      <w:szCs w:val="24"/>
    </w:rPr>
  </w:style>
  <w:style w:type="paragraph" w:customStyle="1" w:styleId="44">
    <w:name w:val="修订2"/>
    <w:hidden/>
    <w:semiHidden/>
    <w:qFormat/>
    <w:uiPriority w:val="99"/>
    <w:rPr>
      <w:rFonts w:ascii="宋体" w:hAnsi="宋体" w:eastAsia="宋体" w:cs="宋体"/>
      <w:sz w:val="24"/>
      <w:szCs w:val="24"/>
      <w:lang w:val="en-US" w:eastAsia="zh-CN" w:bidi="ar-SA"/>
    </w:rPr>
  </w:style>
  <w:style w:type="paragraph" w:customStyle="1" w:styleId="45">
    <w:name w:val="正文（报告）"/>
    <w:basedOn w:val="8"/>
    <w:qFormat/>
    <w:uiPriority w:val="0"/>
    <w:pPr>
      <w:widowControl/>
      <w:wordWrap w:val="0"/>
      <w:overflowPunct w:val="0"/>
      <w:autoSpaceDE w:val="0"/>
      <w:autoSpaceDN w:val="0"/>
      <w:adjustRightInd w:val="0"/>
      <w:spacing w:after="0" w:line="560" w:lineRule="exact"/>
      <w:ind w:left="0" w:leftChars="0" w:firstLine="420" w:firstLineChars="200"/>
      <w:textAlignment w:val="baseline"/>
    </w:pPr>
    <w:rPr>
      <w:rFonts w:cs="Times New Roman"/>
      <w:kern w:val="0"/>
      <w:szCs w:val="21"/>
    </w:rPr>
  </w:style>
  <w:style w:type="paragraph" w:customStyle="1" w:styleId="46">
    <w:name w:val="msonormal"/>
    <w:basedOn w:val="1"/>
    <w:qFormat/>
    <w:uiPriority w:val="0"/>
    <w:pPr>
      <w:spacing w:before="100" w:beforeAutospacing="1" w:after="100" w:afterAutospacing="1"/>
    </w:pPr>
  </w:style>
  <w:style w:type="character" w:customStyle="1" w:styleId="47">
    <w:name w:val="脚注文本 Char"/>
    <w:basedOn w:val="23"/>
    <w:link w:val="14"/>
    <w:qFormat/>
    <w:uiPriority w:val="99"/>
    <w:rPr>
      <w:rFonts w:ascii="Calibri" w:hAnsi="Calibri" w:cs="宋体"/>
      <w:kern w:val="2"/>
      <w:sz w:val="18"/>
      <w:szCs w:val="24"/>
    </w:rPr>
  </w:style>
  <w:style w:type="character" w:customStyle="1" w:styleId="48">
    <w:name w:val="10"/>
    <w:basedOn w:val="23"/>
    <w:qFormat/>
    <w:uiPriority w:val="0"/>
    <w:rPr>
      <w:rFonts w:hint="default" w:ascii="Times New Roman" w:hAnsi="Times New Roman" w:cs="Times New Roman"/>
    </w:rPr>
  </w:style>
  <w:style w:type="character" w:customStyle="1" w:styleId="49">
    <w:name w:val="15"/>
    <w:basedOn w:val="23"/>
    <w:qFormat/>
    <w:uiPriority w:val="0"/>
    <w:rPr>
      <w:rFonts w:hint="default" w:ascii="Times New Roman" w:hAnsi="Times New Roman" w:cs="Times New Roman"/>
      <w:color w:val="0000FF"/>
      <w:u w:val="single"/>
    </w:rPr>
  </w:style>
  <w:style w:type="character" w:customStyle="1" w:styleId="50">
    <w:name w:val="16"/>
    <w:basedOn w:val="23"/>
    <w:qFormat/>
    <w:uiPriority w:val="0"/>
    <w:rPr>
      <w:rFonts w:hint="default" w:ascii="Times New Roman" w:hAnsi="Times New Roman" w:cs="Times New Roman"/>
      <w:vertAlign w:val="superscript"/>
    </w:rPr>
  </w:style>
  <w:style w:type="paragraph" w:customStyle="1" w:styleId="51">
    <w:name w:val="修订3"/>
    <w:hidden/>
    <w:semiHidden/>
    <w:qFormat/>
    <w:uiPriority w:val="99"/>
    <w:rPr>
      <w:rFonts w:ascii="宋体" w:hAnsi="宋体" w:eastAsia="宋体" w:cs="宋体"/>
      <w:sz w:val="24"/>
      <w:szCs w:val="24"/>
      <w:lang w:val="en-US" w:eastAsia="zh-CN" w:bidi="ar-SA"/>
    </w:rPr>
  </w:style>
  <w:style w:type="paragraph" w:customStyle="1" w:styleId="52">
    <w:name w:val="修订4"/>
    <w:hidden/>
    <w:semiHidden/>
    <w:qFormat/>
    <w:uiPriority w:val="99"/>
    <w:rPr>
      <w:rFonts w:ascii="宋体" w:hAnsi="宋体" w:eastAsia="宋体" w:cs="宋体"/>
      <w:sz w:val="24"/>
      <w:szCs w:val="24"/>
      <w:lang w:val="en-US" w:eastAsia="zh-CN" w:bidi="ar-SA"/>
    </w:rPr>
  </w:style>
  <w:style w:type="character" w:customStyle="1" w:styleId="53">
    <w:name w:val="font91"/>
    <w:basedOn w:val="23"/>
    <w:qFormat/>
    <w:uiPriority w:val="0"/>
    <w:rPr>
      <w:rFonts w:hint="eastAsia" w:ascii="宋体" w:hAnsi="宋体" w:eastAsia="宋体" w:cs="宋体"/>
      <w:color w:val="FF0000"/>
      <w:sz w:val="20"/>
      <w:szCs w:val="20"/>
      <w:u w:val="none"/>
    </w:rPr>
  </w:style>
  <w:style w:type="paragraph" w:customStyle="1" w:styleId="54">
    <w:name w:val="修订5"/>
    <w:hidden/>
    <w:semiHidden/>
    <w:qFormat/>
    <w:uiPriority w:val="99"/>
    <w:rPr>
      <w:rFonts w:ascii="宋体" w:hAnsi="宋体" w:eastAsia="宋体" w:cs="宋体"/>
      <w:sz w:val="24"/>
      <w:szCs w:val="24"/>
      <w:lang w:val="en-US" w:eastAsia="zh-CN" w:bidi="ar-SA"/>
    </w:rPr>
  </w:style>
  <w:style w:type="character" w:customStyle="1" w:styleId="55">
    <w:name w:val="页脚 Char"/>
    <w:basedOn w:val="23"/>
    <w:link w:val="11"/>
    <w:qFormat/>
    <w:uiPriority w:val="0"/>
    <w:rPr>
      <w:rFonts w:hint="eastAsia" w:ascii="仿宋" w:hAnsi="Calibri" w:eastAsia="仿宋" w:cs="宋体"/>
      <w:kern w:val="2"/>
      <w:sz w:val="18"/>
      <w:szCs w:val="24"/>
    </w:rPr>
  </w:style>
  <w:style w:type="character" w:customStyle="1" w:styleId="56">
    <w:name w:val="font41"/>
    <w:basedOn w:val="23"/>
    <w:qFormat/>
    <w:uiPriority w:val="0"/>
    <w:rPr>
      <w:rFonts w:hint="default" w:ascii="Times New Roman" w:hAnsi="Times New Roman" w:cs="Times New Roman"/>
      <w:color w:val="000000"/>
      <w:sz w:val="21"/>
      <w:szCs w:val="21"/>
      <w:u w:val="none"/>
    </w:rPr>
  </w:style>
  <w:style w:type="paragraph" w:customStyle="1" w:styleId="57">
    <w:name w:val="修订6"/>
    <w:hidden/>
    <w:semiHidden/>
    <w:qFormat/>
    <w:uiPriority w:val="99"/>
    <w:rPr>
      <w:rFonts w:ascii="宋体" w:hAnsi="宋体" w:eastAsia="宋体" w:cs="宋体"/>
      <w:sz w:val="24"/>
      <w:szCs w:val="24"/>
      <w:lang w:val="en-US" w:eastAsia="zh-CN" w:bidi="ar-SA"/>
    </w:rPr>
  </w:style>
  <w:style w:type="paragraph" w:customStyle="1" w:styleId="58">
    <w:name w:val="正文首行缩进 21"/>
    <w:basedOn w:val="8"/>
    <w:qFormat/>
    <w:uiPriority w:val="0"/>
    <w:pPr>
      <w:widowControl/>
      <w:wordWrap w:val="0"/>
      <w:overflowPunct w:val="0"/>
      <w:autoSpaceDE w:val="0"/>
      <w:autoSpaceDN w:val="0"/>
      <w:adjustRightInd w:val="0"/>
      <w:spacing w:before="100" w:beforeAutospacing="1"/>
      <w:ind w:firstLine="420" w:firstLineChars="200"/>
      <w:textAlignment w:val="baseline"/>
    </w:pPr>
    <w:rPr>
      <w:rFonts w:cs="Times New Roman"/>
      <w:kern w:val="0"/>
      <w:szCs w:val="21"/>
    </w:rPr>
  </w:style>
  <w:style w:type="paragraph" w:customStyle="1" w:styleId="59">
    <w:name w:val="修订7"/>
    <w:hidden/>
    <w:semiHidden/>
    <w:qFormat/>
    <w:uiPriority w:val="99"/>
    <w:rPr>
      <w:rFonts w:ascii="宋体" w:hAnsi="宋体" w:eastAsia="宋体" w:cs="宋体"/>
      <w:sz w:val="24"/>
      <w:szCs w:val="24"/>
      <w:lang w:val="en-US" w:eastAsia="zh-CN" w:bidi="ar-SA"/>
    </w:rPr>
  </w:style>
  <w:style w:type="character" w:customStyle="1" w:styleId="60">
    <w:name w:val="font01"/>
    <w:basedOn w:val="23"/>
    <w:qFormat/>
    <w:uiPriority w:val="0"/>
    <w:rPr>
      <w:rFonts w:hint="eastAsia" w:ascii="宋体" w:hAnsi="宋体" w:eastAsia="宋体" w:cs="宋体"/>
      <w:color w:val="000000"/>
      <w:sz w:val="24"/>
      <w:szCs w:val="24"/>
      <w:u w:val="none"/>
    </w:rPr>
  </w:style>
  <w:style w:type="character" w:customStyle="1" w:styleId="61">
    <w:name w:val="标题4 字符"/>
    <w:basedOn w:val="23"/>
    <w:link w:val="62"/>
    <w:qFormat/>
    <w:uiPriority w:val="0"/>
    <w:rPr>
      <w:rFonts w:ascii="仿宋_GB2312" w:eastAsia="仿宋_GB2312"/>
      <w:kern w:val="0"/>
      <w:sz w:val="30"/>
    </w:rPr>
  </w:style>
  <w:style w:type="paragraph" w:customStyle="1" w:styleId="62">
    <w:name w:val="标题4"/>
    <w:basedOn w:val="5"/>
    <w:next w:val="1"/>
    <w:link w:val="61"/>
    <w:qFormat/>
    <w:uiPriority w:val="0"/>
    <w:pPr>
      <w:overflowPunct w:val="0"/>
      <w:autoSpaceDE w:val="0"/>
      <w:autoSpaceDN w:val="0"/>
      <w:adjustRightInd w:val="0"/>
      <w:spacing w:before="0" w:after="0" w:line="500" w:lineRule="exact"/>
      <w:jc w:val="center"/>
      <w:textAlignment w:val="baseline"/>
    </w:pPr>
    <w:rPr>
      <w:rFonts w:ascii="仿宋_GB2312" w:eastAsia="仿宋_GB2312"/>
      <w:b w:val="0"/>
      <w:sz w:val="30"/>
    </w:rPr>
  </w:style>
  <w:style w:type="paragraph" w:customStyle="1" w:styleId="63">
    <w:name w:val="修订8"/>
    <w:hidden/>
    <w:unhideWhenUsed/>
    <w:qFormat/>
    <w:uiPriority w:val="99"/>
    <w:rPr>
      <w:rFonts w:ascii="宋体" w:hAnsi="宋体" w:eastAsia="宋体" w:cs="宋体"/>
      <w:sz w:val="24"/>
      <w:szCs w:val="24"/>
      <w:lang w:val="en-US" w:eastAsia="zh-CN" w:bidi="ar-SA"/>
    </w:rPr>
  </w:style>
  <w:style w:type="paragraph" w:customStyle="1" w:styleId="64">
    <w:name w:val="闻政正文"/>
    <w:basedOn w:val="1"/>
    <w:qFormat/>
    <w:uiPriority w:val="0"/>
    <w:pPr>
      <w:spacing w:line="500" w:lineRule="exact"/>
      <w:ind w:firstLine="200" w:firstLineChars="200"/>
    </w:pPr>
    <w:rPr>
      <w:rFonts w:ascii="Times New Roman" w:hAnsi="Times New Roman" w:eastAsia="仿宋_GB2312" w:cs="Times New Roman"/>
      <w:kern w:val="0"/>
      <w:sz w:val="28"/>
      <w:szCs w:val="28"/>
      <w:lang w:val="zh-CN"/>
    </w:rPr>
  </w:style>
  <w:style w:type="paragraph" w:customStyle="1" w:styleId="65">
    <w:name w:val="闻政页码"/>
    <w:qFormat/>
    <w:uiPriority w:val="6"/>
    <w:pPr>
      <w:jc w:val="center"/>
    </w:pPr>
    <w:rPr>
      <w:rFonts w:ascii="Times New Roman" w:hAnsi="Times New Roman" w:eastAsia="Times New Roman" w:cs="Times New Roman"/>
      <w:sz w:val="21"/>
      <w:szCs w:val="28"/>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21</Pages>
  <Words>11243</Words>
  <Characters>12665</Characters>
  <Lines>135</Lines>
  <Paragraphs>38</Paragraphs>
  <TotalTime>8</TotalTime>
  <ScaleCrop>false</ScaleCrop>
  <LinksUpToDate>false</LinksUpToDate>
  <CharactersWithSpaces>12828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2024-03-16T09:46:00Z</dcterms:created>
  <dc:creator>随遇而安</dc:creator>
  <cp:lastModifiedBy>000</cp:lastModifiedBy>
  <cp:lastPrinted>2024-05-31T07:29:00Z</cp:lastPrinted>
  <dcterms:modified xsi:type="dcterms:W3CDTF">2024-11-14T07:12:16Z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A1AF668FB09144A1B5A4012165061237</vt:lpwstr>
  </property>
</Properties>
</file>