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2024年食品检测资金（政府购买服务项目）支出</w:t>
      </w:r>
      <w:r>
        <w:rPr>
          <w:rFonts w:hint="eastAsia" w:ascii="方正小标宋简体" w:hAnsi="方正小标宋简体" w:eastAsia="方正小标宋简体" w:cs="方正小标宋简体"/>
          <w:sz w:val="44"/>
          <w:szCs w:val="44"/>
          <w:highlight w:val="none"/>
        </w:rPr>
        <w:t>绩效评价报告</w:t>
      </w:r>
    </w:p>
    <w:p>
      <w:pPr>
        <w:spacing w:line="600" w:lineRule="exact"/>
        <w:ind w:firstLine="640" w:firstLineChars="200"/>
        <w:rPr>
          <w:rFonts w:hint="eastAsia" w:ascii="黑体" w:hAnsi="黑体" w:eastAsia="黑体" w:cs="黑体"/>
          <w:sz w:val="32"/>
          <w:szCs w:val="40"/>
          <w:highlight w:val="none"/>
        </w:rPr>
      </w:pPr>
    </w:p>
    <w:p>
      <w:pPr>
        <w:spacing w:line="600" w:lineRule="exact"/>
        <w:ind w:firstLine="640" w:firstLineChars="200"/>
        <w:rPr>
          <w:rFonts w:ascii="黑体" w:hAnsi="黑体" w:eastAsia="黑体" w:cs="黑体"/>
          <w:sz w:val="32"/>
          <w:szCs w:val="40"/>
          <w:highlight w:val="none"/>
        </w:rPr>
      </w:pPr>
      <w:r>
        <w:rPr>
          <w:rFonts w:hint="eastAsia" w:ascii="黑体" w:hAnsi="黑体" w:eastAsia="黑体" w:cs="黑体"/>
          <w:sz w:val="32"/>
          <w:szCs w:val="40"/>
          <w:highlight w:val="none"/>
        </w:rPr>
        <w:t>一、项目基本情况</w:t>
      </w:r>
    </w:p>
    <w:p>
      <w:pPr>
        <w:spacing w:line="600" w:lineRule="exact"/>
        <w:ind w:firstLine="640" w:firstLineChars="200"/>
        <w:rPr>
          <w:rFonts w:ascii="楷体_GB2312" w:hAnsi="楷体_GB2312" w:eastAsia="楷体_GB2312" w:cs="楷体_GB2312"/>
          <w:sz w:val="32"/>
          <w:szCs w:val="40"/>
          <w:highlight w:val="none"/>
        </w:rPr>
      </w:pPr>
      <w:r>
        <w:rPr>
          <w:rFonts w:hint="eastAsia" w:ascii="楷体_GB2312" w:hAnsi="楷体_GB2312" w:eastAsia="楷体_GB2312" w:cs="楷体_GB2312"/>
          <w:sz w:val="32"/>
          <w:szCs w:val="40"/>
          <w:highlight w:val="none"/>
        </w:rPr>
        <w:t>（一）项目概况</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1.项目背景</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auto"/>
          <w:kern w:val="0"/>
          <w:sz w:val="32"/>
          <w:szCs w:val="32"/>
          <w:lang w:val="en-US" w:eastAsia="zh-CN" w:bidi="ar"/>
        </w:rPr>
      </w:pPr>
      <w:r>
        <w:rPr>
          <w:rFonts w:hint="eastAsia" w:ascii="Times New Roman Regular" w:hAnsi="Times New Roman Regular" w:eastAsia="仿宋_GB2312" w:cs="Times New Roman Regular"/>
          <w:color w:val="auto"/>
          <w:kern w:val="0"/>
          <w:sz w:val="32"/>
          <w:szCs w:val="32"/>
          <w:lang w:val="en-US" w:eastAsia="zh-CN" w:bidi="ar"/>
        </w:rPr>
        <w:t>近年来，随着我国经济社会的高速发展及人民群众生活水平的显著提升，食品安全问题已成为关乎国家发展全局、民生福祉与社会稳定的重要议题。党的二十大报告明确提出了“推进健康中国建设，强化食品药品安全监管”的重大任务，国务院《“十四五”市场监管现代化规划》（国发〔2021〕30号）、山东省《关于印发山东省“十四五”市场监管规划的通知》（鲁政办字〔2021〕77号）等政策文件进一步明确要求“落实‘四个最严’要求，强化食品安全监管”。在新时代背景下，食品安全抽检作为食品安全监管的关键手段，其重要性愈发突出，不仅能及时揭示食品安全隐患，还能为食品安全提供有力保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kern w:val="0"/>
          <w:sz w:val="32"/>
          <w:szCs w:val="32"/>
          <w:lang w:val="en-US" w:eastAsia="zh-CN" w:bidi="ar"/>
        </w:rPr>
      </w:pPr>
      <w:r>
        <w:rPr>
          <w:rFonts w:hint="eastAsia" w:ascii="Times New Roman Regular" w:hAnsi="Times New Roman Regular" w:eastAsia="仿宋_GB2312" w:cs="Times New Roman Regular"/>
          <w:color w:val="auto"/>
          <w:kern w:val="0"/>
          <w:sz w:val="32"/>
          <w:szCs w:val="32"/>
          <w:lang w:val="en-US" w:eastAsia="zh-CN" w:bidi="ar"/>
        </w:rPr>
        <w:t>为深入贯彻落实中央关于深化改革加强食品安全工作决策部署和省委、省政府工作要求，青岛市印发《关于深化改革加强“食安青岛”建设的意见》（青发〔2020〕2号），推动建立健全具有青岛特色的食品安全现代化治理体系。为全面贯彻国家、省、市工作部署，青岛市市场监督管理局（以下简称“市市场监管局”）</w:t>
      </w:r>
      <w:r>
        <w:rPr>
          <w:rFonts w:hint="default" w:ascii="Times New Roman Regular" w:hAnsi="Times New Roman Regular" w:eastAsia="仿宋_GB2312" w:cs="Times New Roman Regular"/>
          <w:color w:val="auto"/>
          <w:kern w:val="0"/>
          <w:sz w:val="32"/>
          <w:szCs w:val="32"/>
          <w:lang w:val="en-US" w:eastAsia="zh-CN" w:bidi="ar"/>
        </w:rPr>
        <w:t>依据《山东省市场监督管理局关于印发2024年全省食品安全抽检监测计划的通知》（鲁市监食检特函〔2024〕35号），制定</w:t>
      </w:r>
      <w:r>
        <w:rPr>
          <w:rFonts w:hint="eastAsia" w:ascii="Times New Roman Regular" w:hAnsi="Times New Roman Regular" w:eastAsia="仿宋_GB2312" w:cs="Times New Roman Regular"/>
          <w:color w:val="auto"/>
          <w:kern w:val="0"/>
          <w:sz w:val="32"/>
          <w:szCs w:val="32"/>
          <w:lang w:val="en-US" w:eastAsia="zh-CN" w:bidi="ar"/>
        </w:rPr>
        <w:t>了《</w:t>
      </w:r>
      <w:r>
        <w:rPr>
          <w:rFonts w:hint="default" w:ascii="Times New Roman Regular" w:hAnsi="Times New Roman Regular" w:eastAsia="仿宋_GB2312" w:cs="Times New Roman Regular"/>
          <w:color w:val="auto"/>
          <w:kern w:val="0"/>
          <w:sz w:val="32"/>
          <w:szCs w:val="32"/>
          <w:lang w:val="en-US" w:eastAsia="zh-CN" w:bidi="ar"/>
        </w:rPr>
        <w:t>2024年全市市场监管系统食品安全抽检监测计划</w:t>
      </w:r>
      <w:r>
        <w:rPr>
          <w:rFonts w:hint="eastAsia" w:ascii="Times New Roman Regular" w:hAnsi="Times New Roman Regular" w:eastAsia="仿宋_GB2312" w:cs="Times New Roman Regular"/>
          <w:color w:val="auto"/>
          <w:kern w:val="0"/>
          <w:sz w:val="32"/>
          <w:szCs w:val="32"/>
          <w:lang w:val="en-US" w:eastAsia="zh-CN" w:bidi="ar"/>
        </w:rPr>
        <w:t>系统规划》，构建覆盖食品生产、流通、餐饮服务全链条的食品安全抽检、风险监测、风险预警及核查处置工作体系。依据“防风险、保安全、提水平、促发展”的工作目标，坚持问题导向、预防为主、提质增效、监管为民的工作方针，全面排查食品安全风险隐患，系统提升食品安全风险防控能力，保障食品安全。</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2.项目主要内容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000000"/>
          <w:kern w:val="0"/>
          <w:sz w:val="32"/>
          <w:szCs w:val="32"/>
          <w:lang w:val="en-US" w:eastAsia="zh-CN" w:bidi="ar"/>
        </w:rPr>
      </w:pPr>
      <w:r>
        <w:rPr>
          <w:rFonts w:hint="default" w:ascii="Times New Roman Regular" w:hAnsi="Times New Roman Regular" w:eastAsia="仿宋_GB2312" w:cs="Times New Roman Regular"/>
          <w:color w:val="000000"/>
          <w:kern w:val="0"/>
          <w:sz w:val="32"/>
          <w:szCs w:val="32"/>
          <w:highlight w:val="none"/>
          <w:lang w:val="en-US" w:eastAsia="zh-CN" w:bidi="ar"/>
        </w:rPr>
        <w:t>202</w:t>
      </w:r>
      <w:r>
        <w:rPr>
          <w:rFonts w:hint="eastAsia" w:ascii="Times New Roman Regular" w:hAnsi="Times New Roman Regular" w:eastAsia="仿宋_GB2312" w:cs="Times New Roman Regular"/>
          <w:color w:val="000000"/>
          <w:kern w:val="0"/>
          <w:sz w:val="32"/>
          <w:szCs w:val="32"/>
          <w:highlight w:val="none"/>
          <w:lang w:val="en-US" w:eastAsia="zh-CN" w:bidi="ar"/>
        </w:rPr>
        <w:t>4</w:t>
      </w:r>
      <w:r>
        <w:rPr>
          <w:rFonts w:hint="default" w:ascii="Times New Roman Regular" w:hAnsi="Times New Roman Regular" w:eastAsia="仿宋_GB2312" w:cs="Times New Roman Regular"/>
          <w:color w:val="000000"/>
          <w:kern w:val="0"/>
          <w:sz w:val="32"/>
          <w:szCs w:val="32"/>
          <w:highlight w:val="none"/>
          <w:lang w:val="en-US" w:eastAsia="zh-CN" w:bidi="ar"/>
        </w:rPr>
        <w:t>年食</w:t>
      </w:r>
      <w:r>
        <w:rPr>
          <w:rFonts w:hint="default" w:ascii="Times New Roman Regular" w:hAnsi="Times New Roman Regular" w:eastAsia="仿宋_GB2312" w:cs="Times New Roman Regular"/>
          <w:color w:val="000000"/>
          <w:kern w:val="0"/>
          <w:sz w:val="32"/>
          <w:szCs w:val="32"/>
          <w:lang w:val="en-US" w:eastAsia="zh-CN" w:bidi="ar"/>
        </w:rPr>
        <w:t>品检测资金（政府购买服务项目）</w:t>
      </w:r>
      <w:r>
        <w:rPr>
          <w:rFonts w:hint="eastAsia" w:ascii="Times New Roman Regular" w:hAnsi="Times New Roman Regular" w:eastAsia="仿宋_GB2312" w:cs="Times New Roman Regular"/>
          <w:color w:val="000000"/>
          <w:kern w:val="0"/>
          <w:sz w:val="32"/>
          <w:szCs w:val="32"/>
          <w:lang w:val="en-US" w:eastAsia="zh-CN" w:bidi="ar"/>
        </w:rPr>
        <w:t>支出</w:t>
      </w:r>
      <w:r>
        <w:rPr>
          <w:rFonts w:hint="default" w:ascii="Times New Roman Regular" w:hAnsi="Times New Roman Regular" w:eastAsia="仿宋_GB2312" w:cs="Times New Roman Regular"/>
          <w:color w:val="000000"/>
          <w:kern w:val="0"/>
          <w:sz w:val="32"/>
          <w:szCs w:val="32"/>
          <w:lang w:val="en-US" w:eastAsia="zh-CN" w:bidi="ar"/>
        </w:rPr>
        <w:t>主要内容包含</w:t>
      </w:r>
      <w:r>
        <w:rPr>
          <w:rFonts w:hint="eastAsia" w:ascii="Times New Roman Regular" w:hAnsi="Times New Roman Regular" w:eastAsia="仿宋_GB2312" w:cs="Times New Roman Regular"/>
          <w:color w:val="000000"/>
          <w:kern w:val="0"/>
          <w:sz w:val="32"/>
          <w:szCs w:val="32"/>
          <w:lang w:val="en-US" w:eastAsia="zh-CN" w:bidi="ar"/>
        </w:rPr>
        <w:t>：开展食品安全监督抽检不少于9700批次，开展食品安全风险监测批次不少于300批次。</w:t>
      </w:r>
      <w:r>
        <w:rPr>
          <w:rFonts w:hint="default" w:ascii="Times New Roman Regular" w:hAnsi="Times New Roman Regular" w:eastAsia="仿宋_GB2312" w:cs="Times New Roman Regular"/>
          <w:color w:val="000000"/>
          <w:kern w:val="0"/>
          <w:sz w:val="32"/>
          <w:szCs w:val="32"/>
          <w:lang w:val="en-US" w:eastAsia="zh-CN" w:bidi="ar"/>
        </w:rPr>
        <w:t>通过开展食品安全定性定量检测，及时发现问题，保障群众饮食安全，制定监管措施，</w:t>
      </w:r>
      <w:r>
        <w:rPr>
          <w:rFonts w:hint="eastAsia" w:ascii="Times New Roman Regular" w:hAnsi="Times New Roman Regular" w:eastAsia="仿宋_GB2312" w:cs="Times New Roman Regular"/>
          <w:color w:val="000000"/>
          <w:kern w:val="0"/>
          <w:sz w:val="32"/>
          <w:szCs w:val="32"/>
          <w:lang w:val="en-US" w:eastAsia="zh-CN" w:bidi="ar"/>
        </w:rPr>
        <w:t>降低重大食品安全事件发生率，</w:t>
      </w:r>
      <w:r>
        <w:rPr>
          <w:rFonts w:hint="default" w:ascii="Times New Roman Regular" w:hAnsi="Times New Roman Regular" w:eastAsia="仿宋_GB2312" w:cs="Times New Roman Regular"/>
          <w:color w:val="000000"/>
          <w:kern w:val="0"/>
          <w:sz w:val="32"/>
          <w:szCs w:val="32"/>
          <w:lang w:val="en-US" w:eastAsia="zh-CN" w:bidi="ar"/>
        </w:rPr>
        <w:t>提高食品安全监管水平。</w:t>
      </w:r>
    </w:p>
    <w:p>
      <w:pPr>
        <w:spacing w:line="600" w:lineRule="exact"/>
        <w:ind w:firstLine="640" w:firstLineChars="200"/>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rPr>
        <w:t>3.项目实施情况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highlight w:val="none"/>
          <w:lang w:val="en-US" w:eastAsia="zh-CN" w:bidi="ar"/>
        </w:rPr>
        <w:t>2024年</w:t>
      </w:r>
      <w:r>
        <w:rPr>
          <w:rFonts w:hint="eastAsia" w:ascii="Times New Roman Regular" w:hAnsi="Times New Roman Regular" w:eastAsia="仿宋_GB2312" w:cs="Times New Roman Regular"/>
          <w:color w:val="000000"/>
          <w:kern w:val="0"/>
          <w:sz w:val="32"/>
          <w:szCs w:val="32"/>
          <w:lang w:val="en-US" w:eastAsia="zh-CN" w:bidi="ar"/>
        </w:rPr>
        <w:t>食品检测资金（政府购买服务项目）1315万元全部用于</w:t>
      </w:r>
      <w:r>
        <w:rPr>
          <w:rFonts w:hint="eastAsia" w:ascii="Times New Roman Regular" w:hAnsi="Times New Roman Regular" w:eastAsia="仿宋_GB2312" w:cs="Times New Roman Regular"/>
          <w:sz w:val="32"/>
          <w:szCs w:val="40"/>
          <w:highlight w:val="none"/>
          <w:lang w:val="en-US" w:eastAsia="zh-CN"/>
        </w:rPr>
        <w:t>采购第三方检测机构开展食品检测相关服务。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根据国家有关政府采购的法律法规和政策方针，2024年度食品检测资金项目采购意向及采购需求于2023年12月12日和2024年1月9日，在青岛政府采购网进行了公示。2024年1月10日，市市场监管局与山东阳光正大建设项目管理有限公司正式签订了《政府采购项目委托代理协议》，授权该公司全面负责2024年青岛市市场监督管理局食品安全抽样监测采购项目的采购任务。招标公告于2024年1月15日在青岛政府采购网公开发布，开标仪式于2024年2月5日举行，中标结果于2月6日公布，并于同月26日签订了项目采购合同。27日在青岛政府采购网进行了合同公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自2024年3月起，中标检测公司按照约定开始承担检测任务。食品检测流程包括抽样、样品检测、出具检验报告、备样处置等关键环节。若被抽检方对检测结果持有异议，将依法启动复检程序。具体流程如下：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抽样环节：市市场监管局依据年度食品质量安全检测计划，明确检测品种、项目等。在每次检测活动开展前，向承检机构提供统一格式的抽样检测工作委托协议书及抽样检测告知书等文件。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样品检测环节：承检机构依据山东省颁布的《山东省食品安全监督抽检实施细则（2024年版）》《食品安全抽样工作规范》等规范性文件，结合市市场监管局制定的具体检测方案，对样品进行科学分析与检测。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出具检验报告环节：食品抽样工作完成后，承检机构需在规定时限内向市市场监管局提交检测报告、分析报告、统计报表等文件，并对报告的真实性和准确性承担责任。</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复检环节：若被抽检方及标称生产企业对检测结论持有异议，应向市市场监管局提出复检申请。市市场监管局将根据相关规定，认为复检项目可以复检的，在公布的复检机构名录中随机确定复检机构。若复检结论证明原检测结论确实存在错误，则由承检机构承担复检费用；若复检结论证明原检测结论无误，则由被抽检方及标称生产企业承担复检费用。用于复检的样品必须是抽检的备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备样处置环节：市市场监管局根据食品特性，决定备样处理方式，最长保存期限不得超过六个月。对于检验结论合格的食品安全监督抽检，承检机构自结论作出之日起三个月内妥善保存复检备份样品；若复检备份样品剩余保质期不足三个月，则保存至保质期结束。对于检验结论不合格的，承检机构自结论作出之日起六个月内妥善保存复检备份样品；若复检备份样品剩余保质期不足六个月，则保存至保质期结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 xml:space="preserve">2024年，市市场监督管理局利用食品检测专项资金，开展食品安全监督抽检工作，共计抽检13812批次，期间产生异议的有13批次，其中2批次异议获得认可，3项复检结果为合格。2024年度食品安全监督抽检合格率达到97.54%，针对抽检中发现的不合格食品，均已完成核查处置相关工作。与此同时，完成食品安全风险检测314批次，全年未发生重大食品安全事故。 </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4.资金投入及使用情况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sz w:val="32"/>
          <w:szCs w:val="40"/>
          <w:highlight w:val="none"/>
          <w:lang w:val="en-US" w:eastAsia="zh-CN"/>
        </w:rPr>
      </w:pPr>
      <w:r>
        <w:rPr>
          <w:rFonts w:hint="eastAsia" w:ascii="Times New Roman Regular" w:hAnsi="Times New Roman Regular" w:eastAsia="仿宋_GB2312" w:cs="Times New Roman Regular"/>
          <w:sz w:val="32"/>
          <w:szCs w:val="40"/>
          <w:highlight w:val="none"/>
          <w:lang w:val="en-US" w:eastAsia="zh-CN"/>
        </w:rPr>
        <w:t>2024年1月8日，中共青岛市市场监督管理局党组会议通过了《关于2024年市局食品安全抽检监测计划和第三方机构采购方案的汇报》，确定对外采购项目预算1315万元，2024年2月17日收到市财政局预算批复。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sz w:val="32"/>
          <w:szCs w:val="40"/>
          <w:highlight w:val="none"/>
          <w:lang w:val="en-US" w:eastAsia="zh-CN"/>
        </w:rPr>
      </w:pPr>
      <w:r>
        <w:rPr>
          <w:rFonts w:hint="eastAsia" w:ascii="Times New Roman Regular" w:hAnsi="Times New Roman Regular" w:eastAsia="仿宋_GB2312" w:cs="Times New Roman Regular"/>
          <w:sz w:val="32"/>
          <w:szCs w:val="40"/>
          <w:highlight w:val="none"/>
          <w:lang w:val="en-US" w:eastAsia="zh-CN"/>
        </w:rPr>
        <w:t>依照项目服务合同的明确规定，食品检测费用应按检测机构投标文件中报价部分所确定的项目检测费用执行。购样费用根据实际购买样本的价格进行计算，采样费按照采样批次数量计算。在抽样检测过程中产生的检测费、采样费及购样费，均由检测机构先行垫付。待承检机构提交食品检测报告、分析报告、统计报表等</w:t>
      </w:r>
      <w:r>
        <w:rPr>
          <w:rFonts w:hint="eastAsia" w:ascii="Times New Roman Regular" w:hAnsi="Times New Roman Regular" w:eastAsia="仿宋_GB2312" w:cs="Times New Roman Regular"/>
          <w:color w:val="000000"/>
          <w:kern w:val="0"/>
          <w:sz w:val="32"/>
          <w:szCs w:val="32"/>
          <w:lang w:val="en-US" w:eastAsia="zh-CN" w:bidi="ar"/>
        </w:rPr>
        <w:t>相关资料，并经市市场监管局</w:t>
      </w:r>
      <w:r>
        <w:rPr>
          <w:rFonts w:hint="eastAsia" w:ascii="Times New Roman Regular" w:hAnsi="Times New Roman Regular" w:eastAsia="仿宋_GB2312" w:cs="Times New Roman Regular"/>
          <w:sz w:val="32"/>
          <w:szCs w:val="40"/>
          <w:highlight w:val="none"/>
          <w:lang w:val="en-US" w:eastAsia="zh-CN"/>
        </w:rPr>
        <w:t>验收合格后，承检机构需提交付款申请资料。经审核确认符合规定后，市市场监管局将向财政部门提交付款申请并支付。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sz w:val="32"/>
          <w:szCs w:val="40"/>
          <w:highlight w:val="none"/>
          <w:lang w:val="en-US" w:eastAsia="zh-CN"/>
        </w:rPr>
      </w:pPr>
      <w:r>
        <w:rPr>
          <w:rFonts w:hint="default" w:ascii="Times New Roman Regular" w:hAnsi="Times New Roman Regular" w:eastAsia="仿宋_GB2312" w:cs="Times New Roman Regular"/>
          <w:sz w:val="32"/>
          <w:szCs w:val="40"/>
          <w:highlight w:val="none"/>
          <w:lang w:val="en-US" w:eastAsia="zh-CN"/>
        </w:rPr>
        <w:t>具体支出明细见下表：</w:t>
      </w:r>
    </w:p>
    <w:p>
      <w:pPr>
        <w:widowControl/>
        <w:spacing w:line="560" w:lineRule="exact"/>
        <w:ind w:firstLine="480" w:firstLineChars="200"/>
        <w:jc w:val="center"/>
        <w:rPr>
          <w:rFonts w:hint="default" w:ascii="Times New Roman Regular" w:hAnsi="Times New Roman Regular" w:eastAsia="黑体" w:cs="Times New Roman Regular"/>
          <w:sz w:val="24"/>
          <w:lang w:val="en-US" w:eastAsia="zh-CN"/>
        </w:rPr>
      </w:pPr>
      <w:r>
        <w:rPr>
          <w:rFonts w:ascii="Times New Roman Regular" w:hAnsi="Times New Roman Regular" w:eastAsia="黑体" w:cs="Times New Roman Regular"/>
          <w:sz w:val="24"/>
        </w:rPr>
        <w:t>表1-</w:t>
      </w:r>
      <w:r>
        <w:rPr>
          <w:rFonts w:hint="eastAsia" w:ascii="Times New Roman Regular" w:hAnsi="Times New Roman Regular" w:eastAsia="黑体" w:cs="Times New Roman Regular"/>
          <w:sz w:val="24"/>
          <w:lang w:val="en-US" w:eastAsia="zh-CN"/>
        </w:rPr>
        <w:t>1</w:t>
      </w:r>
      <w:r>
        <w:rPr>
          <w:rFonts w:ascii="Times New Roman Regular" w:hAnsi="Times New Roman Regular" w:eastAsia="黑体" w:cs="Times New Roman Regular"/>
          <w:sz w:val="24"/>
        </w:rPr>
        <w:t xml:space="preserve"> </w:t>
      </w:r>
      <w:r>
        <w:rPr>
          <w:rFonts w:hint="eastAsia" w:ascii="Times New Roman Regular" w:hAnsi="Times New Roman Regular" w:eastAsia="黑体" w:cs="Times New Roman Regular"/>
          <w:sz w:val="24"/>
          <w:lang w:val="en-US" w:eastAsia="zh-CN"/>
        </w:rPr>
        <w:t>2024年</w:t>
      </w:r>
      <w:r>
        <w:rPr>
          <w:rFonts w:hint="default" w:ascii="Times New Roman Regular" w:hAnsi="Times New Roman Regular" w:eastAsia="黑体" w:cs="Times New Roman Regular"/>
          <w:sz w:val="24"/>
          <w:lang w:val="en-US" w:eastAsia="zh-CN"/>
        </w:rPr>
        <w:t>各机构检测经费结算汇总表</w:t>
      </w:r>
    </w:p>
    <w:tbl>
      <w:tblPr>
        <w:tblStyle w:val="1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3"/>
        <w:gridCol w:w="3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blHeader/>
        </w:trPr>
        <w:tc>
          <w:tcPr>
            <w:tcW w:w="5648" w:type="dxa"/>
            <w:shd w:val="clear" w:color="auto" w:fill="E7E6E6" w:themeFill="background2"/>
            <w:vAlign w:val="center"/>
          </w:tcPr>
          <w:p>
            <w:pPr>
              <w:widowControl/>
              <w:jc w:val="center"/>
              <w:textAlignment w:val="center"/>
              <w:rPr>
                <w:rFonts w:hint="default"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检测机构</w:t>
            </w:r>
          </w:p>
        </w:tc>
        <w:tc>
          <w:tcPr>
            <w:tcW w:w="3919" w:type="dxa"/>
            <w:shd w:val="clear" w:color="auto" w:fill="E7E6E6" w:themeFill="background2"/>
            <w:vAlign w:val="center"/>
          </w:tcPr>
          <w:p>
            <w:pPr>
              <w:widowControl/>
              <w:jc w:val="center"/>
              <w:textAlignment w:val="center"/>
              <w:rPr>
                <w:rFonts w:hint="default" w:ascii="黑体" w:hAnsi="黑体" w:eastAsia="黑体" w:cs="黑体"/>
                <w:color w:val="000000"/>
                <w:kern w:val="0"/>
                <w:sz w:val="21"/>
                <w:szCs w:val="21"/>
                <w:lang w:val="zh-CN" w:eastAsia="zh-CN" w:bidi="ar"/>
              </w:rPr>
            </w:pPr>
            <w:r>
              <w:rPr>
                <w:rFonts w:hint="eastAsia" w:ascii="黑体" w:hAnsi="黑体" w:eastAsia="黑体" w:cs="黑体"/>
                <w:color w:val="000000"/>
                <w:kern w:val="0"/>
                <w:sz w:val="21"/>
                <w:szCs w:val="21"/>
                <w:lang w:val="en-US" w:eastAsia="zh-CN" w:bidi="ar"/>
              </w:rPr>
              <w:tab/>
            </w:r>
            <w:r>
              <w:rPr>
                <w:rFonts w:hint="eastAsia" w:ascii="黑体" w:hAnsi="黑体" w:eastAsia="黑体" w:cs="黑体"/>
                <w:color w:val="000000"/>
                <w:kern w:val="0"/>
                <w:sz w:val="21"/>
                <w:szCs w:val="21"/>
                <w:lang w:val="en-US" w:eastAsia="zh-CN" w:bidi="ar"/>
              </w:rPr>
              <w:t>支付金额（万元）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青岛海关技术中心</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青岛市华测检测技术有限公司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青岛谱尼测试有限公司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方圆标志检化验检测（山东）有限公司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梅里埃检测技术（青岛）有限公司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山东世通检测评价技术服务有限公司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英格尔检测认证（山东）有限公司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中谱安信（青岛）检测科技有限公司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中维安全检测认证集团有限公司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山东拜尔检测股份有限公司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必维信诺（山东）技术检测有限公司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国检（青岛）检测技术有限公司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鲁健检测科技有限公司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青岛顺昌检测评价有限公司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青岛元信检测技术有限公司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zh-CN" w:bidi="ar"/>
              </w:rPr>
            </w:pPr>
            <w:r>
              <w:rPr>
                <w:rFonts w:hint="eastAsia" w:ascii="Times New Roman Regular" w:hAnsi="Times New Roman Regular" w:eastAsia="宋体" w:cs="Times New Roman Regular"/>
                <w:color w:val="000000"/>
                <w:kern w:val="0"/>
                <w:sz w:val="21"/>
                <w:szCs w:val="21"/>
                <w:lang w:val="en-US" w:eastAsia="zh-CN" w:bidi="ar"/>
              </w:rPr>
              <w:t>青岛海润农大检测有限公司</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48" w:type="dxa"/>
            <w:vAlign w:val="center"/>
          </w:tcPr>
          <w:p>
            <w:pPr>
              <w:widowControl/>
              <w:jc w:val="center"/>
              <w:textAlignment w:val="center"/>
              <w:rPr>
                <w:rFonts w:hint="eastAsia"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合计</w:t>
            </w:r>
          </w:p>
        </w:tc>
        <w:tc>
          <w:tcPr>
            <w:tcW w:w="3919" w:type="dxa"/>
            <w:vAlign w:val="center"/>
          </w:tcPr>
          <w:p>
            <w:pPr>
              <w:widowControl/>
              <w:jc w:val="center"/>
              <w:textAlignment w:val="center"/>
              <w:rPr>
                <w:rFonts w:hint="default" w:ascii="Times New Roman Regular" w:hAnsi="Times New Roman Regular" w:eastAsia="宋体" w:cs="Times New Roman Regular"/>
                <w:color w:val="000000"/>
                <w:kern w:val="0"/>
                <w:sz w:val="21"/>
                <w:szCs w:val="21"/>
                <w:lang w:val="en-US" w:eastAsia="zh-CN" w:bidi="ar"/>
              </w:rPr>
            </w:pPr>
            <w:r>
              <w:rPr>
                <w:rFonts w:hint="eastAsia" w:ascii="Times New Roman Regular" w:hAnsi="Times New Roman Regular" w:eastAsia="宋体" w:cs="Times New Roman Regular"/>
                <w:color w:val="000000"/>
                <w:kern w:val="0"/>
                <w:sz w:val="21"/>
                <w:szCs w:val="21"/>
                <w:lang w:val="en-US" w:eastAsia="zh-CN" w:bidi="ar"/>
              </w:rPr>
              <w:t>1315</w:t>
            </w:r>
          </w:p>
        </w:tc>
      </w:tr>
    </w:tbl>
    <w:p>
      <w:pPr>
        <w:spacing w:line="600" w:lineRule="exact"/>
        <w:ind w:firstLine="640" w:firstLineChars="200"/>
        <w:rPr>
          <w:rFonts w:ascii="楷体_GB2312" w:hAnsi="楷体_GB2312" w:eastAsia="楷体_GB2312" w:cs="楷体_GB2312"/>
          <w:sz w:val="32"/>
          <w:szCs w:val="40"/>
          <w:highlight w:val="none"/>
        </w:rPr>
      </w:pPr>
      <w:r>
        <w:rPr>
          <w:rFonts w:hint="eastAsia" w:ascii="楷体_GB2312" w:hAnsi="楷体_GB2312" w:eastAsia="楷体_GB2312" w:cs="楷体_GB2312"/>
          <w:sz w:val="32"/>
          <w:szCs w:val="40"/>
          <w:highlight w:val="none"/>
        </w:rPr>
        <w:t>（二）项目绩效目标</w:t>
      </w:r>
    </w:p>
    <w:p>
      <w:pPr>
        <w:spacing w:line="600" w:lineRule="exact"/>
        <w:ind w:firstLine="640" w:firstLineChars="200"/>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rPr>
        <w:t>1.总体目标</w:t>
      </w:r>
    </w:p>
    <w:p>
      <w:pPr>
        <w:spacing w:line="600" w:lineRule="exact"/>
        <w:ind w:firstLine="640" w:firstLineChars="200"/>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val="en-US" w:eastAsia="zh-CN"/>
        </w:rPr>
        <w:t>通过开展食品安全定性定量检测，及时发现问题，保障群众饮食安全，制定监管措施，提高食品安全监管水平。</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2.年度目标</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根据《中华人民共和国食品安全法》规定，开展食品抽检工作，不断创新监管手段和监管模式，充分发挥大数据在食品安全监管中的作用，严厉打击食品生产经营使用违法违规行为，推动全市食品安全形势持续稳定向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该项目年度产出指标、效益指标如下：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日常食品安全监督抽检批次≥9700批次，对可能存在风险的食品开展风险监测批次≥300批次；食品安全监督抽检合格情况≥95%，评价性抽检合格情况≥90%，食品抽检大类覆盖占比≥85%；食品安全检测出具报告时间≤20天。不合格食品核查处置率100%，重大食品安全事故发生次数≤0次。</w:t>
      </w:r>
    </w:p>
    <w:p>
      <w:pPr>
        <w:spacing w:line="600" w:lineRule="exact"/>
        <w:ind w:firstLine="640" w:firstLineChars="200"/>
        <w:rPr>
          <w:rFonts w:ascii="黑体" w:hAnsi="黑体" w:eastAsia="黑体" w:cs="黑体"/>
          <w:sz w:val="32"/>
          <w:szCs w:val="40"/>
          <w:highlight w:val="none"/>
        </w:rPr>
      </w:pPr>
      <w:r>
        <w:rPr>
          <w:rFonts w:hint="eastAsia" w:ascii="黑体" w:hAnsi="黑体" w:eastAsia="黑体" w:cs="黑体"/>
          <w:sz w:val="32"/>
          <w:szCs w:val="40"/>
          <w:highlight w:val="none"/>
        </w:rPr>
        <w:t>二、绩效评价工作开展情况</w:t>
      </w:r>
    </w:p>
    <w:p>
      <w:pPr>
        <w:spacing w:line="600" w:lineRule="exact"/>
        <w:ind w:firstLine="640" w:firstLineChars="200"/>
        <w:rPr>
          <w:rFonts w:ascii="楷体_GB2312" w:hAnsi="楷体_GB2312" w:eastAsia="楷体_GB2312" w:cs="楷体_GB2312"/>
          <w:sz w:val="32"/>
          <w:szCs w:val="40"/>
          <w:highlight w:val="none"/>
        </w:rPr>
      </w:pPr>
      <w:r>
        <w:rPr>
          <w:rFonts w:hint="eastAsia" w:ascii="楷体_GB2312" w:hAnsi="楷体_GB2312" w:eastAsia="楷体_GB2312" w:cs="楷体_GB2312"/>
          <w:sz w:val="32"/>
          <w:szCs w:val="40"/>
          <w:highlight w:val="none"/>
        </w:rPr>
        <w:t>（一）评价目的、评价对象和范围</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1.评价目的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sz w:val="32"/>
          <w:szCs w:val="40"/>
          <w:highlight w:val="none"/>
          <w:lang w:val="en-US" w:eastAsia="zh-CN"/>
        </w:rPr>
      </w:pPr>
      <w:r>
        <w:rPr>
          <w:rFonts w:hint="eastAsia" w:ascii="Times New Roman Regular" w:hAnsi="Times New Roman Regular" w:eastAsia="仿宋_GB2312" w:cs="Times New Roman Regular"/>
          <w:sz w:val="32"/>
          <w:szCs w:val="40"/>
          <w:highlight w:val="none"/>
          <w:lang w:val="en-US" w:eastAsia="zh-CN"/>
        </w:rPr>
        <w:t>本次对2024年</w:t>
      </w:r>
      <w:r>
        <w:rPr>
          <w:rFonts w:hint="default" w:ascii="Times New Roman Regular" w:hAnsi="Times New Roman Regular" w:eastAsia="仿宋_GB2312" w:cs="Times New Roman Regular"/>
          <w:sz w:val="32"/>
          <w:szCs w:val="40"/>
          <w:highlight w:val="none"/>
          <w:lang w:val="en-US" w:eastAsia="zh-CN"/>
        </w:rPr>
        <w:t>食品检测项目资金（政府购买服务项目）</w:t>
      </w:r>
      <w:r>
        <w:rPr>
          <w:rFonts w:hint="eastAsia" w:ascii="Times New Roman Regular" w:hAnsi="Times New Roman Regular" w:eastAsia="仿宋_GB2312" w:cs="Times New Roman Regular"/>
          <w:sz w:val="32"/>
          <w:szCs w:val="40"/>
          <w:highlight w:val="none"/>
          <w:lang w:val="en-US" w:eastAsia="zh-CN"/>
        </w:rPr>
        <w:t>开展绩效评价，</w:t>
      </w:r>
      <w:r>
        <w:rPr>
          <w:rFonts w:hint="eastAsia" w:ascii="Times New Roman Regular" w:hAnsi="Times New Roman Regular" w:eastAsia="仿宋_GB2312" w:cs="Times New Roman Regular"/>
          <w:sz w:val="32"/>
          <w:szCs w:val="40"/>
          <w:highlight w:val="none"/>
        </w:rPr>
        <w:t>包括资金使用的合规性、效益性，政府购买服务</w:t>
      </w:r>
      <w:r>
        <w:rPr>
          <w:rFonts w:hint="eastAsia" w:ascii="Times New Roman Regular" w:hAnsi="Times New Roman Regular" w:eastAsia="仿宋_GB2312" w:cs="Times New Roman Regular"/>
          <w:sz w:val="32"/>
          <w:szCs w:val="40"/>
          <w:highlight w:val="none"/>
          <w:lang w:eastAsia="zh-CN"/>
        </w:rPr>
        <w:t>管理科学性等方面，</w:t>
      </w:r>
      <w:r>
        <w:rPr>
          <w:rFonts w:hint="eastAsia" w:ascii="Times New Roman Regular" w:hAnsi="Times New Roman Regular" w:eastAsia="仿宋_GB2312" w:cs="Times New Roman Regular"/>
          <w:sz w:val="32"/>
          <w:szCs w:val="40"/>
          <w:highlight w:val="none"/>
          <w:lang w:val="en-US" w:eastAsia="zh-CN"/>
        </w:rPr>
        <w:t>从而</w:t>
      </w:r>
      <w:r>
        <w:rPr>
          <w:rFonts w:hint="default" w:ascii="Times New Roman Regular" w:hAnsi="Times New Roman Regular" w:eastAsia="仿宋_GB2312" w:cs="Times New Roman Regular"/>
          <w:sz w:val="32"/>
          <w:szCs w:val="40"/>
          <w:highlight w:val="none"/>
          <w:lang w:val="en-US" w:eastAsia="zh-CN"/>
        </w:rPr>
        <w:t>发现</w:t>
      </w:r>
      <w:r>
        <w:rPr>
          <w:rFonts w:hint="eastAsia" w:ascii="Times New Roman Regular" w:hAnsi="Times New Roman Regular" w:eastAsia="仿宋_GB2312" w:cs="Times New Roman Regular"/>
          <w:sz w:val="32"/>
          <w:szCs w:val="40"/>
          <w:highlight w:val="none"/>
          <w:lang w:val="en-US" w:eastAsia="zh-CN"/>
        </w:rPr>
        <w:t>政府</w:t>
      </w:r>
      <w:r>
        <w:rPr>
          <w:rFonts w:hint="default" w:ascii="Times New Roman Regular" w:hAnsi="Times New Roman Regular" w:eastAsia="仿宋_GB2312" w:cs="Times New Roman Regular"/>
          <w:sz w:val="32"/>
          <w:szCs w:val="40"/>
          <w:highlight w:val="none"/>
          <w:lang w:val="en-US" w:eastAsia="zh-CN"/>
        </w:rPr>
        <w:t>购买服务项目中存在的问题和不足，提出改进建议和措施，</w:t>
      </w:r>
      <w:r>
        <w:rPr>
          <w:rFonts w:hint="eastAsia" w:ascii="Times New Roman Regular" w:hAnsi="Times New Roman Regular" w:eastAsia="仿宋_GB2312" w:cs="Times New Roman Regular"/>
          <w:sz w:val="32"/>
          <w:szCs w:val="40"/>
          <w:highlight w:val="none"/>
          <w:lang w:val="en-US" w:eastAsia="zh-CN"/>
        </w:rPr>
        <w:t>推动</w:t>
      </w:r>
      <w:r>
        <w:rPr>
          <w:rFonts w:hint="eastAsia" w:ascii="Times New Roman Regular" w:hAnsi="Times New Roman Regular" w:eastAsia="仿宋_GB2312" w:cs="Times New Roman Regular"/>
          <w:color w:val="000000"/>
          <w:kern w:val="0"/>
          <w:sz w:val="32"/>
          <w:szCs w:val="32"/>
          <w:lang w:val="en-US" w:eastAsia="zh-CN" w:bidi="ar"/>
        </w:rPr>
        <w:t>市市场监管局</w:t>
      </w:r>
      <w:r>
        <w:rPr>
          <w:rFonts w:hint="default" w:ascii="Times New Roman Regular" w:hAnsi="Times New Roman Regular" w:eastAsia="仿宋_GB2312" w:cs="Times New Roman Regular"/>
          <w:sz w:val="32"/>
          <w:szCs w:val="40"/>
          <w:highlight w:val="none"/>
          <w:lang w:val="en-US" w:eastAsia="zh-CN"/>
        </w:rPr>
        <w:t>更加科学、合理地</w:t>
      </w:r>
      <w:r>
        <w:rPr>
          <w:rFonts w:hint="eastAsia" w:ascii="Times New Roman Regular" w:hAnsi="Times New Roman Regular" w:eastAsia="仿宋_GB2312" w:cs="Times New Roman Regular"/>
          <w:sz w:val="32"/>
          <w:szCs w:val="40"/>
          <w:highlight w:val="none"/>
          <w:lang w:val="en-US" w:eastAsia="zh-CN"/>
        </w:rPr>
        <w:t>开展相关工作</w:t>
      </w:r>
      <w:r>
        <w:rPr>
          <w:rFonts w:hint="default" w:ascii="Times New Roman Regular" w:hAnsi="Times New Roman Regular" w:eastAsia="仿宋_GB2312" w:cs="Times New Roman Regular"/>
          <w:sz w:val="32"/>
          <w:szCs w:val="40"/>
          <w:highlight w:val="none"/>
          <w:lang w:val="en-US" w:eastAsia="zh-CN"/>
        </w:rPr>
        <w:t>，</w:t>
      </w:r>
      <w:r>
        <w:rPr>
          <w:rFonts w:hint="eastAsia" w:ascii="Times New Roman Regular" w:hAnsi="Times New Roman Regular" w:eastAsia="仿宋_GB2312" w:cs="Times New Roman Regular"/>
          <w:sz w:val="32"/>
          <w:szCs w:val="40"/>
          <w:highlight w:val="none"/>
          <w:lang w:val="en-US" w:eastAsia="zh-CN"/>
        </w:rPr>
        <w:t>为后续预算编制、项目优化及完善食品检测工作提供参考。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2.评价对象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sz w:val="32"/>
          <w:szCs w:val="40"/>
          <w:highlight w:val="none"/>
          <w:lang w:val="en-US" w:eastAsia="zh-CN"/>
        </w:rPr>
      </w:pPr>
      <w:r>
        <w:rPr>
          <w:rFonts w:hint="default" w:ascii="Times New Roman Regular" w:hAnsi="Times New Roman Regular" w:eastAsia="仿宋_GB2312" w:cs="Times New Roman Regular"/>
          <w:sz w:val="32"/>
          <w:szCs w:val="40"/>
          <w:highlight w:val="none"/>
          <w:lang w:val="en-US" w:eastAsia="zh-CN"/>
        </w:rPr>
        <w:t>2024年食品检测项目资金</w:t>
      </w:r>
      <w:r>
        <w:rPr>
          <w:rFonts w:hint="eastAsia" w:ascii="Times New Roman Regular" w:hAnsi="Times New Roman Regular" w:eastAsia="仿宋_GB2312" w:cs="Times New Roman Regular"/>
          <w:sz w:val="32"/>
          <w:szCs w:val="40"/>
          <w:highlight w:val="none"/>
          <w:lang w:val="en-US" w:eastAsia="zh-CN"/>
        </w:rPr>
        <w:t>（政府购买服务项目）。</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3.评价范围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sz w:val="32"/>
          <w:szCs w:val="40"/>
          <w:highlight w:val="none"/>
          <w:lang w:val="en-US" w:eastAsia="zh-CN"/>
        </w:rPr>
      </w:pPr>
      <w:r>
        <w:rPr>
          <w:rFonts w:hint="default" w:ascii="Times New Roman Regular" w:hAnsi="Times New Roman Regular" w:eastAsia="仿宋_GB2312" w:cs="Times New Roman Regular"/>
          <w:sz w:val="32"/>
          <w:szCs w:val="40"/>
          <w:highlight w:val="none"/>
          <w:lang w:val="en-US" w:eastAsia="zh-CN"/>
        </w:rPr>
        <w:t>评价范围为本次政府采购涉及的所有工作内容。</w:t>
      </w:r>
    </w:p>
    <w:p>
      <w:pPr>
        <w:spacing w:line="600" w:lineRule="exact"/>
        <w:ind w:firstLine="640" w:firstLineChars="200"/>
        <w:rPr>
          <w:rFonts w:ascii="楷体_GB2312" w:hAnsi="楷体_GB2312" w:eastAsia="楷体_GB2312" w:cs="楷体_GB2312"/>
          <w:sz w:val="32"/>
          <w:szCs w:val="40"/>
          <w:highlight w:val="none"/>
        </w:rPr>
      </w:pPr>
      <w:r>
        <w:rPr>
          <w:rFonts w:hint="eastAsia" w:ascii="楷体_GB2312" w:hAnsi="楷体_GB2312" w:eastAsia="楷体_GB2312" w:cs="楷体_GB2312"/>
          <w:sz w:val="32"/>
          <w:szCs w:val="40"/>
          <w:highlight w:val="none"/>
        </w:rPr>
        <w:t>（二）评价思路、评价重点、评价指标体系和评价标准</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1.评价思路</w:t>
      </w:r>
    </w:p>
    <w:p>
      <w:pPr>
        <w:spacing w:line="600" w:lineRule="exact"/>
        <w:ind w:firstLine="640" w:firstLineChars="200"/>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color w:val="auto"/>
          <w:sz w:val="32"/>
          <w:szCs w:val="40"/>
          <w:highlight w:val="none"/>
          <w:lang w:val="en-US" w:eastAsia="zh-CN"/>
        </w:rPr>
        <w:t>根据《财政部关于印发〈项目支出绩效评价管理办法〉的通知》（财预〔2020〕10号）和《2025年市级财政重点绩效评价实施方案》等文件要求，</w:t>
      </w:r>
      <w:r>
        <w:rPr>
          <w:rFonts w:hint="eastAsia" w:ascii="仿宋_GB2312" w:hAnsi="仿宋_GB2312" w:eastAsia="仿宋_GB2312" w:cs="仿宋_GB2312"/>
          <w:color w:val="auto"/>
          <w:sz w:val="32"/>
          <w:szCs w:val="40"/>
          <w:highlight w:val="none"/>
          <w:lang w:eastAsia="zh-CN"/>
        </w:rPr>
        <w:t>在充分吸收和借鉴项目支出绩效评价以及政府</w:t>
      </w:r>
      <w:r>
        <w:rPr>
          <w:rFonts w:hint="eastAsia" w:ascii="仿宋_GB2312" w:hAnsi="仿宋_GB2312" w:eastAsia="仿宋_GB2312" w:cs="仿宋_GB2312"/>
          <w:color w:val="auto"/>
          <w:sz w:val="32"/>
          <w:szCs w:val="40"/>
          <w:highlight w:val="none"/>
          <w:lang w:val="en-US" w:eastAsia="zh-CN"/>
        </w:rPr>
        <w:t>购买服务改革管理工作的</w:t>
      </w:r>
      <w:r>
        <w:rPr>
          <w:rFonts w:hint="eastAsia" w:ascii="仿宋_GB2312" w:hAnsi="仿宋_GB2312" w:eastAsia="仿宋_GB2312" w:cs="仿宋_GB2312"/>
          <w:color w:val="auto"/>
          <w:sz w:val="32"/>
          <w:szCs w:val="40"/>
          <w:highlight w:val="none"/>
          <w:lang w:eastAsia="zh-CN"/>
        </w:rPr>
        <w:t>基础上，设置政府购买服务评价指标体系，进一步增强绩效评价的针对性和有效性。</w:t>
      </w:r>
    </w:p>
    <w:p>
      <w:p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sz w:val="32"/>
          <w:szCs w:val="40"/>
          <w:highlight w:val="none"/>
        </w:rPr>
        <w:t>2.评价重点</w:t>
      </w:r>
    </w:p>
    <w:p>
      <w:p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评价体系基于“决策—过程—产出—效益”的逻辑框架，重点评价以下内容：</w:t>
      </w:r>
    </w:p>
    <w:p>
      <w:p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决策环节评价：主要对项目立项各方面细致评估，确保决策科学合理。具体包括审查立项合规性、评估绩效目标合理性、预算编制科学性。</w:t>
      </w:r>
    </w:p>
    <w:p>
      <w:p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过程环节评价：评价预算资金执行率并评估资金使用合规性，确保操作符合相关管理制度要求。针对政府采购管理，检查采购流程规范，确保依程序和标准操作，保障竞争公正透明。对组织制度的完善性和合同执行的有效性进行评估，确保制度得到切实执行，避免出现“重购买、轻管理”的现象。识别流程潜在弱点，提升管理效率和效果。</w:t>
      </w:r>
    </w:p>
    <w:p>
      <w:p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产出方面评价：综合评价数量、质量、时效与成本四方面关键指标。数量指标包括抽检批次完成率、区域与品种覆盖率等，体现抽检批次数量及对主要区域和产品种类的全面覆盖情况。质量指标包括检测合格率、准确率等。检测合格率，反映检测样品符合安全标准的比例、揭示食品安全状况；检测准确率，反映检测结果的准确性。时效指标反映对不合格产品查处的效率。成本节约率反映在完成任务过程中成本控制及资源优化配置的效果。</w:t>
      </w:r>
    </w:p>
    <w:p>
      <w:pPr>
        <w:spacing w:line="60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效益方面评价：全面考量社会效益，包括重大事故防控能力、不合格产品处置率、信息公开透明度，同时评估可持续影响，即机制建设完善性及公众满意度。</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3.评价指标体系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本次指标体系以项目支出的基本指标框架为基础，同时</w:t>
      </w:r>
      <w:r>
        <w:rPr>
          <w:rFonts w:hint="eastAsia" w:ascii="Times New Roman" w:hAnsi="Times New Roman" w:eastAsia="仿宋_GB2312"/>
          <w:sz w:val="32"/>
          <w:szCs w:val="32"/>
          <w:lang w:eastAsia="zh-CN"/>
        </w:rPr>
        <w:t>为确保政府购买服务各环节的高效衔接与规范运作，</w:t>
      </w:r>
      <w:r>
        <w:rPr>
          <w:rFonts w:hint="eastAsia" w:ascii="Times New Roman" w:hAnsi="Times New Roman" w:eastAsia="仿宋_GB2312"/>
          <w:sz w:val="32"/>
          <w:szCs w:val="32"/>
          <w:lang w:val="en-US" w:eastAsia="zh-CN"/>
        </w:rPr>
        <w:t>过程指标部分还包括政府购买服务管理相关内容，如采购管理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合同管理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履约过程管理</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lang w:val="en-US" w:eastAsia="zh-CN"/>
        </w:rPr>
        <w:t>，涵盖</w:t>
      </w:r>
      <w:r>
        <w:rPr>
          <w:rFonts w:hint="eastAsia" w:ascii="Times New Roman" w:hAnsi="Times New Roman" w:eastAsia="仿宋_GB2312"/>
          <w:sz w:val="32"/>
          <w:szCs w:val="32"/>
          <w:lang w:eastAsia="zh-CN"/>
        </w:rPr>
        <w:t>全链条</w:t>
      </w:r>
      <w:r>
        <w:rPr>
          <w:rFonts w:hint="eastAsia" w:ascii="Times New Roman" w:hAnsi="Times New Roman" w:eastAsia="仿宋_GB2312"/>
          <w:sz w:val="32"/>
          <w:szCs w:val="32"/>
          <w:lang w:val="en-US" w:eastAsia="zh-CN"/>
        </w:rPr>
        <w:t>政府购买服务</w:t>
      </w:r>
      <w:r>
        <w:rPr>
          <w:rFonts w:hint="eastAsia" w:ascii="Times New Roman" w:hAnsi="Times New Roman" w:eastAsia="仿宋_GB2312"/>
          <w:sz w:val="32"/>
          <w:szCs w:val="32"/>
          <w:lang w:eastAsia="zh-CN"/>
        </w:rPr>
        <w:t>管理体系。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highlight w:val="yellow"/>
          <w:lang w:eastAsia="zh-CN"/>
        </w:rPr>
      </w:pPr>
      <w:r>
        <w:rPr>
          <w:rFonts w:hint="eastAsia" w:ascii="Times New Roman" w:hAnsi="Times New Roman" w:eastAsia="仿宋_GB2312"/>
          <w:sz w:val="32"/>
          <w:szCs w:val="32"/>
          <w:lang w:eastAsia="zh-CN"/>
        </w:rPr>
        <w:t>在绩效评价指标体系的构建中，</w:t>
      </w:r>
      <w:r>
        <w:rPr>
          <w:rFonts w:hint="eastAsia" w:ascii="Times New Roman" w:hAnsi="Times New Roman" w:eastAsia="仿宋_GB2312"/>
          <w:sz w:val="32"/>
          <w:szCs w:val="32"/>
          <w:lang w:val="en-US" w:eastAsia="zh-CN"/>
        </w:rPr>
        <w:t>具体分值分配为：决策指标15分、过程指标25分、产出指标30分、效益指标30分。详细评价指标体系详见附件1。</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4.评价标准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szCs w:val="32"/>
        </w:rPr>
      </w:pPr>
      <w:r>
        <w:rPr>
          <w:rFonts w:hint="eastAsia" w:ascii="仿宋_GB2312" w:hAnsi="Times New Roman" w:eastAsia="仿宋_GB2312" w:cs="Times New Roman"/>
          <w:color w:val="auto"/>
          <w:kern w:val="2"/>
          <w:sz w:val="32"/>
          <w:szCs w:val="32"/>
          <w:highlight w:val="none"/>
          <w:lang w:val="en-US" w:eastAsia="zh-CN" w:bidi="ar-SA"/>
        </w:rPr>
        <w:t>根据《青岛市市级项目支出预算绩效管理结果应用办法》（青财绩〔2023〕5号），</w:t>
      </w:r>
      <w:r>
        <w:rPr>
          <w:rFonts w:hint="eastAsia" w:ascii="Times New Roman" w:hAnsi="Times New Roman" w:eastAsia="仿宋_GB2312"/>
          <w:sz w:val="32"/>
          <w:szCs w:val="32"/>
        </w:rPr>
        <w:t>绩效评价结果采取评分和评级相结合的方式，</w:t>
      </w:r>
      <w:r>
        <w:rPr>
          <w:rFonts w:hint="eastAsia" w:ascii="仿宋_GB2312" w:hAnsi="Times New Roman" w:eastAsia="仿宋_GB2312" w:cs="Times New Roman"/>
          <w:color w:val="auto"/>
          <w:kern w:val="2"/>
          <w:sz w:val="32"/>
          <w:szCs w:val="32"/>
          <w:highlight w:val="none"/>
          <w:lang w:val="en-US" w:eastAsia="zh-CN" w:bidi="ar-SA"/>
        </w:rPr>
        <w:t>绩效评价等级划分为四档，</w:t>
      </w:r>
      <w:r>
        <w:rPr>
          <w:rFonts w:hint="eastAsia" w:ascii="Times New Roman" w:hAnsi="Times New Roman" w:eastAsia="仿宋_GB2312"/>
          <w:sz w:val="32"/>
          <w:szCs w:val="32"/>
        </w:rPr>
        <w:t>总分设置为100分：90（含）-100分为优、80（含）-90分为良、60（含）-80分为中、60分以下为差。</w:t>
      </w:r>
    </w:p>
    <w:p>
      <w:pPr>
        <w:spacing w:line="600" w:lineRule="exact"/>
        <w:ind w:firstLine="640" w:firstLineChars="200"/>
        <w:rPr>
          <w:rFonts w:ascii="楷体_GB2312" w:hAnsi="楷体_GB2312" w:eastAsia="楷体_GB2312" w:cs="楷体_GB2312"/>
          <w:sz w:val="32"/>
          <w:szCs w:val="40"/>
          <w:highlight w:val="none"/>
        </w:rPr>
      </w:pPr>
      <w:r>
        <w:rPr>
          <w:rFonts w:hint="eastAsia" w:ascii="楷体_GB2312" w:hAnsi="楷体_GB2312" w:eastAsia="楷体_GB2312" w:cs="楷体_GB2312"/>
          <w:sz w:val="32"/>
          <w:szCs w:val="40"/>
          <w:highlight w:val="none"/>
        </w:rPr>
        <w:t>（三）评价组织实施与评价方法</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1.评价组织实施。</w:t>
      </w:r>
    </w:p>
    <w:p>
      <w:pPr>
        <w:spacing w:line="600" w:lineRule="exact"/>
        <w:ind w:firstLine="640" w:firstLineChars="200"/>
        <w:rPr>
          <w:rFonts w:ascii="Times New Roman Regular" w:hAnsi="Times New Roman Regular" w:eastAsia="仿宋_GB2312" w:cs="Times New Roman Regular"/>
          <w:kern w:val="0"/>
          <w:sz w:val="32"/>
          <w:szCs w:val="32"/>
        </w:rPr>
      </w:pPr>
      <w:r>
        <w:rPr>
          <w:rFonts w:ascii="Times New Roman Regular" w:hAnsi="Times New Roman Regular" w:eastAsia="仿宋_GB2312" w:cs="Times New Roman Regular"/>
          <w:sz w:val="32"/>
          <w:szCs w:val="32"/>
        </w:rPr>
        <w:t>绩效评价工作主要包括前期准备、制定评价实施方案、现场评价、撰写与提交绩效评价报告等内容。根据委托时间要求，绩效评价工作开展时间</w:t>
      </w:r>
      <w:r>
        <w:rPr>
          <w:rFonts w:ascii="Times New Roman Regular" w:hAnsi="Times New Roman Regular" w:eastAsia="仿宋_GB2312" w:cs="Times New Roman Regular"/>
          <w:kern w:val="0"/>
          <w:sz w:val="32"/>
          <w:szCs w:val="32"/>
        </w:rPr>
        <w:t>为202</w:t>
      </w:r>
      <w:r>
        <w:rPr>
          <w:rFonts w:hint="eastAsia" w:ascii="Times New Roman Regular" w:hAnsi="Times New Roman Regular" w:eastAsia="仿宋_GB2312" w:cs="Times New Roman Regular"/>
          <w:kern w:val="0"/>
          <w:sz w:val="32"/>
          <w:szCs w:val="32"/>
        </w:rPr>
        <w:t>5</w:t>
      </w:r>
      <w:r>
        <w:rPr>
          <w:rFonts w:ascii="Times New Roman Regular" w:hAnsi="Times New Roman Regular" w:eastAsia="仿宋_GB2312" w:cs="Times New Roman Regular"/>
          <w:kern w:val="0"/>
          <w:sz w:val="32"/>
          <w:szCs w:val="32"/>
        </w:rPr>
        <w:t>年</w:t>
      </w:r>
      <w:r>
        <w:rPr>
          <w:rFonts w:hint="eastAsia" w:ascii="Times New Roman Regular" w:hAnsi="Times New Roman Regular" w:eastAsia="仿宋_GB2312" w:cs="Times New Roman Regular"/>
          <w:kern w:val="0"/>
          <w:sz w:val="32"/>
          <w:szCs w:val="32"/>
        </w:rPr>
        <w:t>5</w:t>
      </w:r>
      <w:r>
        <w:rPr>
          <w:rFonts w:ascii="Times New Roman Regular" w:hAnsi="Times New Roman Regular" w:eastAsia="仿宋_GB2312" w:cs="Times New Roman Regular"/>
          <w:kern w:val="0"/>
          <w:sz w:val="32"/>
          <w:szCs w:val="32"/>
        </w:rPr>
        <w:t>月</w:t>
      </w:r>
      <w:r>
        <w:rPr>
          <w:rFonts w:hint="eastAsia" w:ascii="Times New Roman Regular" w:hAnsi="Times New Roman Regular" w:eastAsia="仿宋_GB2312" w:cs="Times New Roman Regular"/>
          <w:kern w:val="0"/>
          <w:sz w:val="32"/>
          <w:szCs w:val="32"/>
        </w:rPr>
        <w:t>2</w:t>
      </w:r>
      <w:r>
        <w:rPr>
          <w:rFonts w:hint="eastAsia" w:ascii="Times New Roman Regular" w:hAnsi="Times New Roman Regular" w:eastAsia="仿宋_GB2312" w:cs="Times New Roman Regular"/>
          <w:kern w:val="0"/>
          <w:sz w:val="32"/>
          <w:szCs w:val="32"/>
          <w:lang w:val="en-US" w:eastAsia="zh-CN"/>
        </w:rPr>
        <w:t>1</w:t>
      </w:r>
      <w:r>
        <w:rPr>
          <w:rFonts w:ascii="Times New Roman Regular" w:hAnsi="Times New Roman Regular" w:eastAsia="仿宋_GB2312" w:cs="Times New Roman Regular"/>
          <w:kern w:val="0"/>
          <w:sz w:val="32"/>
          <w:szCs w:val="32"/>
        </w:rPr>
        <w:t>日至202</w:t>
      </w:r>
      <w:r>
        <w:rPr>
          <w:rFonts w:hint="eastAsia" w:ascii="Times New Roman Regular" w:hAnsi="Times New Roman Regular" w:eastAsia="仿宋_GB2312" w:cs="Times New Roman Regular"/>
          <w:kern w:val="0"/>
          <w:sz w:val="32"/>
          <w:szCs w:val="32"/>
        </w:rPr>
        <w:t>5</w:t>
      </w:r>
      <w:r>
        <w:rPr>
          <w:rFonts w:ascii="Times New Roman Regular" w:hAnsi="Times New Roman Regular" w:eastAsia="仿宋_GB2312" w:cs="Times New Roman Regular"/>
          <w:kern w:val="0"/>
          <w:sz w:val="32"/>
          <w:szCs w:val="32"/>
        </w:rPr>
        <w:t>年</w:t>
      </w:r>
      <w:r>
        <w:rPr>
          <w:rFonts w:hint="eastAsia" w:ascii="Times New Roman Regular" w:hAnsi="Times New Roman Regular" w:eastAsia="仿宋_GB2312" w:cs="Times New Roman Regular"/>
          <w:kern w:val="0"/>
          <w:sz w:val="32"/>
          <w:szCs w:val="32"/>
          <w:lang w:val="en-US" w:eastAsia="zh-CN"/>
        </w:rPr>
        <w:t>9</w:t>
      </w:r>
      <w:r>
        <w:rPr>
          <w:rFonts w:ascii="Times New Roman Regular" w:hAnsi="Times New Roman Regular" w:eastAsia="仿宋_GB2312" w:cs="Times New Roman Regular"/>
          <w:kern w:val="0"/>
          <w:sz w:val="32"/>
          <w:szCs w:val="32"/>
        </w:rPr>
        <w:t>月</w:t>
      </w:r>
      <w:r>
        <w:rPr>
          <w:rFonts w:hint="eastAsia" w:ascii="Times New Roman Regular" w:hAnsi="Times New Roman Regular" w:eastAsia="仿宋_GB2312" w:cs="Times New Roman Regular"/>
          <w:kern w:val="0"/>
          <w:sz w:val="32"/>
          <w:szCs w:val="32"/>
          <w:lang w:val="en-US" w:eastAsia="zh-CN"/>
        </w:rPr>
        <w:t>8</w:t>
      </w:r>
      <w:r>
        <w:rPr>
          <w:rFonts w:ascii="Times New Roman Regular" w:hAnsi="Times New Roman Regular" w:eastAsia="仿宋_GB2312" w:cs="Times New Roman Regular"/>
          <w:kern w:val="0"/>
          <w:sz w:val="32"/>
          <w:szCs w:val="32"/>
        </w:rPr>
        <w:t>日，具体安排见表</w:t>
      </w:r>
      <w:r>
        <w:rPr>
          <w:rFonts w:hint="eastAsia" w:ascii="Times New Roman Regular" w:hAnsi="Times New Roman Regular" w:eastAsia="仿宋_GB2312" w:cs="Times New Roman Regular"/>
          <w:kern w:val="0"/>
          <w:sz w:val="32"/>
          <w:szCs w:val="32"/>
          <w:lang w:val="en-US" w:eastAsia="zh-CN"/>
        </w:rPr>
        <w:t>2-1</w:t>
      </w:r>
      <w:r>
        <w:rPr>
          <w:rFonts w:ascii="Times New Roman Regular" w:hAnsi="Times New Roman Regular" w:eastAsia="仿宋_GB2312" w:cs="Times New Roman Regular"/>
          <w:kern w:val="0"/>
          <w:sz w:val="32"/>
          <w:szCs w:val="32"/>
        </w:rPr>
        <w:t>：</w:t>
      </w:r>
    </w:p>
    <w:p>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567"/>
        <w:jc w:val="center"/>
        <w:textAlignment w:val="auto"/>
        <w:rPr>
          <w:rFonts w:ascii="Times New Roman" w:hAnsi="Times New Roman" w:eastAsia="仿宋_GB2312"/>
          <w:b/>
          <w:bCs/>
          <w:sz w:val="24"/>
          <w:szCs w:val="24"/>
        </w:rPr>
      </w:pPr>
      <w:r>
        <w:rPr>
          <w:rFonts w:hint="eastAsia" w:ascii="Times New Roman Regular" w:hAnsi="Times New Roman Regular" w:eastAsia="黑体" w:cs="Times New Roman Regular"/>
          <w:sz w:val="24"/>
          <w:szCs w:val="24"/>
          <w:lang w:val="en-US" w:eastAsia="zh-CN"/>
        </w:rPr>
        <w:t>表2-1</w:t>
      </w:r>
      <w:r>
        <w:rPr>
          <w:rFonts w:ascii="Times New Roman Regular" w:hAnsi="Times New Roman Regular" w:eastAsia="黑体" w:cs="Times New Roman Regular"/>
          <w:sz w:val="24"/>
          <w:szCs w:val="24"/>
        </w:rPr>
        <w:t>评价实施进度及工作安排情况表</w:t>
      </w:r>
    </w:p>
    <w:tbl>
      <w:tblPr>
        <w:tblStyle w:val="18"/>
        <w:tblW w:w="5064" w:type="pct"/>
        <w:tblInd w:w="0" w:type="dxa"/>
        <w:tblLayout w:type="autofit"/>
        <w:tblCellMar>
          <w:top w:w="0" w:type="dxa"/>
          <w:left w:w="108" w:type="dxa"/>
          <w:bottom w:w="0" w:type="dxa"/>
          <w:right w:w="108" w:type="dxa"/>
        </w:tblCellMar>
      </w:tblPr>
      <w:tblGrid>
        <w:gridCol w:w="664"/>
        <w:gridCol w:w="1467"/>
        <w:gridCol w:w="4708"/>
        <w:gridCol w:w="1993"/>
      </w:tblGrid>
      <w:tr>
        <w:tblPrEx>
          <w:tblCellMar>
            <w:top w:w="0" w:type="dxa"/>
            <w:left w:w="108" w:type="dxa"/>
            <w:bottom w:w="0" w:type="dxa"/>
            <w:right w:w="108" w:type="dxa"/>
          </w:tblCellMar>
        </w:tblPrEx>
        <w:trPr>
          <w:trHeight w:val="471" w:hRule="atLeast"/>
          <w:tblHeader/>
        </w:trPr>
        <w:tc>
          <w:tcPr>
            <w:tcW w:w="376"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黑体" w:eastAsia="黑体" w:cs="黑体"/>
                <w:b w:val="0"/>
                <w:bCs w:val="0"/>
                <w:i w:val="0"/>
                <w:iCs w:val="0"/>
                <w:color w:val="auto"/>
                <w:kern w:val="0"/>
                <w:sz w:val="21"/>
                <w:szCs w:val="21"/>
                <w:highlight w:val="none"/>
                <w:u w:val="none"/>
                <w:lang w:val="en-US" w:eastAsia="zh-CN" w:bidi="ar"/>
              </w:rPr>
            </w:pPr>
            <w:r>
              <w:rPr>
                <w:rFonts w:hint="eastAsia" w:ascii="黑体" w:hAnsi="黑体" w:eastAsia="黑体" w:cs="黑体"/>
                <w:b w:val="0"/>
                <w:bCs w:val="0"/>
                <w:i w:val="0"/>
                <w:iCs w:val="0"/>
                <w:color w:val="auto"/>
                <w:kern w:val="0"/>
                <w:sz w:val="21"/>
                <w:szCs w:val="21"/>
                <w:highlight w:val="none"/>
                <w:u w:val="none"/>
                <w:lang w:val="en-US" w:eastAsia="zh-CN" w:bidi="ar"/>
              </w:rPr>
              <w:t>序号</w:t>
            </w:r>
          </w:p>
        </w:tc>
        <w:tc>
          <w:tcPr>
            <w:tcW w:w="830" w:type="pct"/>
            <w:tcBorders>
              <w:top w:val="single" w:color="auto" w:sz="4" w:space="0"/>
              <w:left w:val="nil"/>
              <w:bottom w:val="single" w:color="auto" w:sz="4" w:space="0"/>
              <w:right w:val="single" w:color="auto" w:sz="4" w:space="0"/>
            </w:tcBorders>
            <w:shd w:val="clear" w:color="auto" w:fill="BEBEBE" w:themeFill="background1" w:themeFillShade="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黑体" w:eastAsia="黑体" w:cs="黑体"/>
                <w:b w:val="0"/>
                <w:bCs w:val="0"/>
                <w:i w:val="0"/>
                <w:iCs w:val="0"/>
                <w:color w:val="auto"/>
                <w:kern w:val="0"/>
                <w:sz w:val="21"/>
                <w:szCs w:val="21"/>
                <w:highlight w:val="none"/>
                <w:u w:val="none"/>
                <w:lang w:val="en-US" w:eastAsia="zh-CN" w:bidi="ar"/>
              </w:rPr>
            </w:pPr>
            <w:r>
              <w:rPr>
                <w:rFonts w:hint="eastAsia" w:ascii="黑体" w:hAnsi="黑体" w:eastAsia="黑体" w:cs="黑体"/>
                <w:b w:val="0"/>
                <w:bCs w:val="0"/>
                <w:i w:val="0"/>
                <w:iCs w:val="0"/>
                <w:color w:val="auto"/>
                <w:kern w:val="0"/>
                <w:sz w:val="21"/>
                <w:szCs w:val="21"/>
                <w:highlight w:val="none"/>
                <w:u w:val="none"/>
                <w:lang w:val="en-US" w:eastAsia="zh-CN" w:bidi="ar"/>
              </w:rPr>
              <w:t>工作程序</w:t>
            </w:r>
          </w:p>
        </w:tc>
        <w:tc>
          <w:tcPr>
            <w:tcW w:w="2664" w:type="pct"/>
            <w:tcBorders>
              <w:top w:val="single" w:color="auto" w:sz="4" w:space="0"/>
              <w:left w:val="nil"/>
              <w:bottom w:val="single" w:color="auto" w:sz="4" w:space="0"/>
              <w:right w:val="single" w:color="auto" w:sz="4" w:space="0"/>
            </w:tcBorders>
            <w:shd w:val="clear" w:color="auto" w:fill="BEBEBE" w:themeFill="background1" w:themeFillShade="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黑体" w:eastAsia="黑体" w:cs="黑体"/>
                <w:b w:val="0"/>
                <w:bCs w:val="0"/>
                <w:i w:val="0"/>
                <w:iCs w:val="0"/>
                <w:color w:val="auto"/>
                <w:kern w:val="0"/>
                <w:sz w:val="21"/>
                <w:szCs w:val="21"/>
                <w:highlight w:val="none"/>
                <w:u w:val="none"/>
                <w:lang w:val="en-US" w:eastAsia="zh-CN" w:bidi="ar"/>
              </w:rPr>
            </w:pPr>
            <w:r>
              <w:rPr>
                <w:rFonts w:hint="eastAsia" w:ascii="黑体" w:hAnsi="黑体" w:eastAsia="黑体" w:cs="黑体"/>
                <w:b w:val="0"/>
                <w:bCs w:val="0"/>
                <w:i w:val="0"/>
                <w:iCs w:val="0"/>
                <w:color w:val="auto"/>
                <w:kern w:val="0"/>
                <w:sz w:val="21"/>
                <w:szCs w:val="21"/>
                <w:highlight w:val="none"/>
                <w:u w:val="none"/>
                <w:lang w:val="en-US" w:eastAsia="zh-CN" w:bidi="ar"/>
              </w:rPr>
              <w:t>工作内容</w:t>
            </w:r>
          </w:p>
        </w:tc>
        <w:tc>
          <w:tcPr>
            <w:tcW w:w="1128" w:type="pct"/>
            <w:tcBorders>
              <w:top w:val="single" w:color="auto" w:sz="4" w:space="0"/>
              <w:left w:val="nil"/>
              <w:bottom w:val="single" w:color="auto" w:sz="4" w:space="0"/>
              <w:right w:val="single" w:color="auto" w:sz="4" w:space="0"/>
            </w:tcBorders>
            <w:shd w:val="clear" w:color="auto" w:fill="BEBEBE" w:themeFill="background1" w:themeFillShade="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黑体" w:eastAsia="黑体" w:cs="黑体"/>
                <w:b w:val="0"/>
                <w:bCs w:val="0"/>
                <w:i w:val="0"/>
                <w:iCs w:val="0"/>
                <w:color w:val="auto"/>
                <w:kern w:val="0"/>
                <w:sz w:val="21"/>
                <w:szCs w:val="21"/>
                <w:highlight w:val="none"/>
                <w:u w:val="none"/>
                <w:lang w:val="en-US" w:eastAsia="zh-CN" w:bidi="ar"/>
              </w:rPr>
            </w:pPr>
            <w:r>
              <w:rPr>
                <w:rFonts w:hint="eastAsia" w:ascii="黑体" w:hAnsi="黑体" w:eastAsia="黑体" w:cs="黑体"/>
                <w:b w:val="0"/>
                <w:bCs w:val="0"/>
                <w:i w:val="0"/>
                <w:iCs w:val="0"/>
                <w:color w:val="auto"/>
                <w:kern w:val="0"/>
                <w:sz w:val="21"/>
                <w:szCs w:val="21"/>
                <w:highlight w:val="none"/>
                <w:u w:val="none"/>
                <w:lang w:val="en-US" w:eastAsia="zh-CN" w:bidi="ar"/>
              </w:rPr>
              <w:t>完成时间</w:t>
            </w:r>
          </w:p>
        </w:tc>
      </w:tr>
      <w:tr>
        <w:tblPrEx>
          <w:tblCellMar>
            <w:top w:w="0" w:type="dxa"/>
            <w:left w:w="108" w:type="dxa"/>
            <w:bottom w:w="0" w:type="dxa"/>
            <w:right w:w="108" w:type="dxa"/>
          </w:tblCellMar>
        </w:tblPrEx>
        <w:trPr>
          <w:trHeight w:val="1270" w:hRule="atLeast"/>
        </w:trPr>
        <w:tc>
          <w:tcPr>
            <w:tcW w:w="376" w:type="pct"/>
            <w:tcBorders>
              <w:top w:val="nil"/>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1</w:t>
            </w:r>
          </w:p>
        </w:tc>
        <w:tc>
          <w:tcPr>
            <w:tcW w:w="830"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前期准备</w:t>
            </w:r>
          </w:p>
        </w:tc>
        <w:tc>
          <w:tcPr>
            <w:tcW w:w="2664"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组建绩效评价组。了解被评价项目及相关单位业务情况，收集相关资料，充分了解项目立项、预算安排、实施内容、组织管理、绩效目标设置等内容，为编制评价方案奠定基础。</w:t>
            </w:r>
          </w:p>
        </w:tc>
        <w:tc>
          <w:tcPr>
            <w:tcW w:w="1128"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left"/>
              <w:rPr>
                <w:rFonts w:hint="eastAsia" w:ascii="Times New Roman Regular" w:hAnsi="Times New Roman Regular" w:eastAsia="宋体" w:cs="Times New Roman Regular"/>
                <w:kern w:val="0"/>
                <w:sz w:val="21"/>
                <w:szCs w:val="21"/>
                <w:lang w:val="en-US" w:eastAsia="zh-CN"/>
              </w:rPr>
            </w:pPr>
            <w:r>
              <w:rPr>
                <w:rFonts w:hint="default" w:ascii="Times New Roman Regular" w:hAnsi="Times New Roman Regular" w:cs="Times New Roman Regular"/>
                <w:kern w:val="0"/>
                <w:sz w:val="21"/>
                <w:szCs w:val="21"/>
              </w:rPr>
              <w:t>2025年5月2</w:t>
            </w:r>
            <w:r>
              <w:rPr>
                <w:rFonts w:hint="eastAsia" w:ascii="Times New Roman Regular" w:hAnsi="Times New Roman Regular" w:cs="Times New Roman Regular"/>
                <w:kern w:val="0"/>
                <w:sz w:val="21"/>
                <w:szCs w:val="21"/>
                <w:lang w:val="en-US" w:eastAsia="zh-CN"/>
              </w:rPr>
              <w:t>1</w:t>
            </w:r>
            <w:r>
              <w:rPr>
                <w:rFonts w:hint="default" w:ascii="Times New Roman Regular" w:hAnsi="Times New Roman Regular" w:cs="Times New Roman Regular"/>
                <w:kern w:val="0"/>
                <w:sz w:val="21"/>
                <w:szCs w:val="21"/>
              </w:rPr>
              <w:t>日—2025年5月2</w:t>
            </w:r>
            <w:r>
              <w:rPr>
                <w:rFonts w:hint="eastAsia" w:ascii="Times New Roman Regular" w:hAnsi="Times New Roman Regular" w:cs="Times New Roman Regular"/>
                <w:kern w:val="0"/>
                <w:sz w:val="21"/>
                <w:szCs w:val="21"/>
                <w:lang w:val="en-US" w:eastAsia="zh-CN"/>
              </w:rPr>
              <w:t>5</w:t>
            </w:r>
            <w:r>
              <w:rPr>
                <w:rFonts w:hint="default" w:ascii="Times New Roman Regular" w:hAnsi="Times New Roman Regular" w:cs="Times New Roman Regular"/>
                <w:kern w:val="0"/>
                <w:sz w:val="21"/>
                <w:szCs w:val="21"/>
              </w:rPr>
              <w:t>日</w:t>
            </w:r>
          </w:p>
        </w:tc>
      </w:tr>
      <w:tr>
        <w:tblPrEx>
          <w:tblCellMar>
            <w:top w:w="0" w:type="dxa"/>
            <w:left w:w="108" w:type="dxa"/>
            <w:bottom w:w="0" w:type="dxa"/>
            <w:right w:w="108" w:type="dxa"/>
          </w:tblCellMar>
        </w:tblPrEx>
        <w:trPr>
          <w:trHeight w:val="471" w:hRule="atLeast"/>
        </w:trPr>
        <w:tc>
          <w:tcPr>
            <w:tcW w:w="376" w:type="pct"/>
            <w:tcBorders>
              <w:top w:val="nil"/>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2</w:t>
            </w:r>
          </w:p>
        </w:tc>
        <w:tc>
          <w:tcPr>
            <w:tcW w:w="830"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制定评价实施方案</w:t>
            </w:r>
          </w:p>
        </w:tc>
        <w:tc>
          <w:tcPr>
            <w:tcW w:w="2664"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在调研、了解评价项目基本情况的基础上，对收集的材料进行整理分析，根据具体项目实际情况和绩效管理要求撰写评价方案并报送论证。</w:t>
            </w:r>
          </w:p>
        </w:tc>
        <w:tc>
          <w:tcPr>
            <w:tcW w:w="1128"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2025年5月26日—2025年5月2</w:t>
            </w:r>
            <w:r>
              <w:rPr>
                <w:rFonts w:hint="eastAsia" w:ascii="Times New Roman Regular" w:hAnsi="Times New Roman Regular" w:cs="Times New Roman Regular"/>
                <w:kern w:val="0"/>
                <w:sz w:val="21"/>
                <w:szCs w:val="21"/>
                <w:lang w:val="en-US" w:eastAsia="zh-CN"/>
              </w:rPr>
              <w:t>8</w:t>
            </w:r>
            <w:r>
              <w:rPr>
                <w:rFonts w:hint="default" w:ascii="Times New Roman Regular" w:hAnsi="Times New Roman Regular" w:cs="Times New Roman Regular"/>
                <w:kern w:val="0"/>
                <w:sz w:val="21"/>
                <w:szCs w:val="21"/>
              </w:rPr>
              <w:t>日前</w:t>
            </w:r>
          </w:p>
        </w:tc>
      </w:tr>
      <w:tr>
        <w:tblPrEx>
          <w:tblCellMar>
            <w:top w:w="0" w:type="dxa"/>
            <w:left w:w="108" w:type="dxa"/>
            <w:bottom w:w="0" w:type="dxa"/>
            <w:right w:w="108" w:type="dxa"/>
          </w:tblCellMar>
        </w:tblPrEx>
        <w:trPr>
          <w:trHeight w:val="1036" w:hRule="atLeast"/>
        </w:trPr>
        <w:tc>
          <w:tcPr>
            <w:tcW w:w="376" w:type="pct"/>
            <w:tcBorders>
              <w:top w:val="nil"/>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3</w:t>
            </w:r>
          </w:p>
        </w:tc>
        <w:tc>
          <w:tcPr>
            <w:tcW w:w="830"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现场评价</w:t>
            </w:r>
          </w:p>
        </w:tc>
        <w:tc>
          <w:tcPr>
            <w:tcW w:w="2664"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根据具体评价要求确定现场评价抽样范围，组成现场评价工作小组，对项目进行实地勘察、资料核实、</w:t>
            </w:r>
            <w:r>
              <w:rPr>
                <w:rFonts w:hint="eastAsia" w:ascii="Times New Roman Regular" w:hAnsi="Times New Roman Regular" w:cs="Times New Roman Regular"/>
                <w:kern w:val="0"/>
                <w:sz w:val="21"/>
                <w:szCs w:val="21"/>
                <w:lang w:val="en-US" w:eastAsia="zh-CN"/>
              </w:rPr>
              <w:t>问卷调查</w:t>
            </w:r>
            <w:r>
              <w:rPr>
                <w:rFonts w:hint="default" w:ascii="Times New Roman Regular" w:hAnsi="Times New Roman Regular" w:cs="Times New Roman Regular"/>
                <w:kern w:val="0"/>
                <w:sz w:val="21"/>
                <w:szCs w:val="21"/>
              </w:rPr>
              <w:t>、分析评价等。</w:t>
            </w:r>
          </w:p>
        </w:tc>
        <w:tc>
          <w:tcPr>
            <w:tcW w:w="1128"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2025年</w:t>
            </w:r>
            <w:r>
              <w:rPr>
                <w:rFonts w:hint="eastAsia" w:ascii="Times New Roman Regular" w:hAnsi="Times New Roman Regular" w:cs="Times New Roman Regular"/>
                <w:kern w:val="0"/>
                <w:sz w:val="21"/>
                <w:szCs w:val="21"/>
                <w:lang w:val="en-US" w:eastAsia="zh-CN"/>
              </w:rPr>
              <w:t>5</w:t>
            </w:r>
            <w:r>
              <w:rPr>
                <w:rFonts w:hint="default" w:ascii="Times New Roman Regular" w:hAnsi="Times New Roman Regular" w:cs="Times New Roman Regular"/>
                <w:kern w:val="0"/>
                <w:sz w:val="21"/>
                <w:szCs w:val="21"/>
              </w:rPr>
              <w:t>月</w:t>
            </w:r>
            <w:r>
              <w:rPr>
                <w:rFonts w:hint="eastAsia" w:ascii="Times New Roman Regular" w:hAnsi="Times New Roman Regular" w:cs="Times New Roman Regular"/>
                <w:kern w:val="0"/>
                <w:sz w:val="21"/>
                <w:szCs w:val="21"/>
                <w:lang w:val="en-US" w:eastAsia="zh-CN"/>
              </w:rPr>
              <w:t>29</w:t>
            </w:r>
            <w:r>
              <w:rPr>
                <w:rFonts w:hint="default" w:ascii="Times New Roman Regular" w:hAnsi="Times New Roman Regular" w:cs="Times New Roman Regular"/>
                <w:kern w:val="0"/>
                <w:sz w:val="21"/>
                <w:szCs w:val="21"/>
              </w:rPr>
              <w:t>日—2025年6月</w:t>
            </w:r>
            <w:r>
              <w:rPr>
                <w:rFonts w:hint="eastAsia" w:ascii="Times New Roman Regular" w:hAnsi="Times New Roman Regular" w:cs="Times New Roman Regular"/>
                <w:kern w:val="0"/>
                <w:sz w:val="21"/>
                <w:szCs w:val="21"/>
                <w:lang w:val="en-US" w:eastAsia="zh-CN"/>
              </w:rPr>
              <w:t>24</w:t>
            </w:r>
            <w:r>
              <w:rPr>
                <w:rFonts w:hint="default" w:ascii="Times New Roman Regular" w:hAnsi="Times New Roman Regular" w:cs="Times New Roman Regular"/>
                <w:kern w:val="0"/>
                <w:sz w:val="21"/>
                <w:szCs w:val="21"/>
              </w:rPr>
              <w:t>日</w:t>
            </w:r>
          </w:p>
        </w:tc>
      </w:tr>
      <w:tr>
        <w:tblPrEx>
          <w:tblCellMar>
            <w:top w:w="0" w:type="dxa"/>
            <w:left w:w="108" w:type="dxa"/>
            <w:bottom w:w="0" w:type="dxa"/>
            <w:right w:w="108" w:type="dxa"/>
          </w:tblCellMar>
        </w:tblPrEx>
        <w:trPr>
          <w:trHeight w:val="90" w:hRule="atLeast"/>
        </w:trPr>
        <w:tc>
          <w:tcPr>
            <w:tcW w:w="376" w:type="pct"/>
            <w:tcBorders>
              <w:top w:val="nil"/>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center"/>
              <w:rPr>
                <w:rFonts w:hint="eastAsia" w:ascii="Times New Roman Regular" w:hAnsi="Times New Roman Regular" w:eastAsia="宋体" w:cs="Times New Roman Regular"/>
                <w:kern w:val="0"/>
                <w:sz w:val="21"/>
                <w:szCs w:val="21"/>
                <w:lang w:val="en-US" w:eastAsia="zh-CN"/>
              </w:rPr>
            </w:pPr>
            <w:r>
              <w:rPr>
                <w:rFonts w:hint="eastAsia" w:ascii="Times New Roman Regular" w:hAnsi="Times New Roman Regular" w:cs="Times New Roman Regular"/>
                <w:kern w:val="0"/>
                <w:sz w:val="21"/>
                <w:szCs w:val="21"/>
                <w:lang w:val="en-US" w:eastAsia="zh-CN"/>
              </w:rPr>
              <w:t>4</w:t>
            </w:r>
          </w:p>
        </w:tc>
        <w:tc>
          <w:tcPr>
            <w:tcW w:w="830"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eastAsia="宋体" w:cs="Times New Roman Regular"/>
                <w:kern w:val="0"/>
                <w:sz w:val="21"/>
                <w:szCs w:val="21"/>
                <w:lang w:val="en-US" w:eastAsia="zh-CN"/>
              </w:rPr>
            </w:pPr>
            <w:r>
              <w:rPr>
                <w:rFonts w:hint="eastAsia" w:ascii="Times New Roman Regular" w:hAnsi="Times New Roman Regular" w:cs="Times New Roman Regular"/>
                <w:kern w:val="0"/>
                <w:sz w:val="21"/>
                <w:szCs w:val="21"/>
                <w:lang w:val="en-US" w:eastAsia="zh-CN"/>
              </w:rPr>
              <w:t>非现场评价</w:t>
            </w:r>
          </w:p>
        </w:tc>
        <w:tc>
          <w:tcPr>
            <w:tcW w:w="2664"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left"/>
              <w:rPr>
                <w:rFonts w:hint="eastAsia" w:ascii="Times New Roman Regular" w:hAnsi="Times New Roman Regular" w:eastAsia="宋体" w:cs="Times New Roman Regular"/>
                <w:kern w:val="0"/>
                <w:sz w:val="21"/>
                <w:szCs w:val="21"/>
                <w:u w:val="none"/>
                <w:shd w:val="clear" w:fill="E6F0FF"/>
                <w:lang w:val="en-US" w:eastAsia="zh-CN" w:bidi="ar-SA"/>
              </w:rPr>
            </w:pPr>
            <w:r>
              <w:rPr>
                <w:rFonts w:hint="eastAsia" w:ascii="Times New Roman Regular" w:hAnsi="Times New Roman Regular" w:eastAsia="宋体" w:cs="Times New Roman Regular"/>
                <w:kern w:val="0"/>
                <w:sz w:val="21"/>
                <w:szCs w:val="21"/>
                <w:lang w:val="en-US" w:eastAsia="zh-CN" w:bidi="ar-SA"/>
              </w:rPr>
              <w:t>非现场评价主要包括对收集的资料进行整理分析、对重点指标进行计算核实、根据评价标准进行打分等。评价人员将对项目文档、财务报告、检测数据等资料进行细致审查，确保信息的真实性和完整性。同时，利用数据分析工具对项目产出和效益进行深入分析，以客观反映项目绩效水平</w:t>
            </w:r>
            <w:r>
              <w:rPr>
                <w:rFonts w:hint="eastAsia" w:ascii="Times New Roman Regular" w:hAnsi="Times New Roman Regular" w:cs="Times New Roman Regular"/>
                <w:kern w:val="0"/>
                <w:sz w:val="21"/>
                <w:szCs w:val="21"/>
                <w:lang w:val="en-US" w:eastAsia="zh-CN" w:bidi="ar-SA"/>
              </w:rPr>
              <w:t>。</w:t>
            </w:r>
          </w:p>
        </w:tc>
        <w:tc>
          <w:tcPr>
            <w:tcW w:w="1128"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2025年</w:t>
            </w:r>
            <w:r>
              <w:rPr>
                <w:rFonts w:hint="eastAsia" w:ascii="Times New Roman Regular" w:hAnsi="Times New Roman Regular" w:cs="Times New Roman Regular"/>
                <w:kern w:val="0"/>
                <w:sz w:val="21"/>
                <w:szCs w:val="21"/>
                <w:lang w:val="en-US" w:eastAsia="zh-CN"/>
              </w:rPr>
              <w:t>6</w:t>
            </w:r>
            <w:r>
              <w:rPr>
                <w:rFonts w:hint="default" w:ascii="Times New Roman Regular" w:hAnsi="Times New Roman Regular" w:cs="Times New Roman Regular"/>
                <w:kern w:val="0"/>
                <w:sz w:val="21"/>
                <w:szCs w:val="21"/>
              </w:rPr>
              <w:t>月</w:t>
            </w:r>
            <w:r>
              <w:rPr>
                <w:rFonts w:hint="eastAsia" w:ascii="Times New Roman Regular" w:hAnsi="Times New Roman Regular" w:cs="Times New Roman Regular"/>
                <w:kern w:val="0"/>
                <w:sz w:val="21"/>
                <w:szCs w:val="21"/>
                <w:lang w:val="en-US" w:eastAsia="zh-CN"/>
              </w:rPr>
              <w:t>24</w:t>
            </w:r>
            <w:r>
              <w:rPr>
                <w:rFonts w:hint="default" w:ascii="Times New Roman Regular" w:hAnsi="Times New Roman Regular" w:cs="Times New Roman Regular"/>
                <w:kern w:val="0"/>
                <w:sz w:val="21"/>
                <w:szCs w:val="21"/>
              </w:rPr>
              <w:t>日—2025年</w:t>
            </w:r>
            <w:r>
              <w:rPr>
                <w:rFonts w:hint="eastAsia" w:ascii="Times New Roman Regular" w:hAnsi="Times New Roman Regular" w:cs="Times New Roman Regular"/>
                <w:kern w:val="0"/>
                <w:sz w:val="21"/>
                <w:szCs w:val="21"/>
                <w:lang w:val="en-US" w:eastAsia="zh-CN"/>
              </w:rPr>
              <w:t>7</w:t>
            </w:r>
            <w:r>
              <w:rPr>
                <w:rFonts w:hint="default" w:ascii="Times New Roman Regular" w:hAnsi="Times New Roman Regular" w:cs="Times New Roman Regular"/>
                <w:kern w:val="0"/>
                <w:sz w:val="21"/>
                <w:szCs w:val="21"/>
              </w:rPr>
              <w:t>月</w:t>
            </w:r>
            <w:r>
              <w:rPr>
                <w:rFonts w:hint="eastAsia" w:ascii="Times New Roman Regular" w:hAnsi="Times New Roman Regular" w:cs="Times New Roman Regular"/>
                <w:kern w:val="0"/>
                <w:sz w:val="21"/>
                <w:szCs w:val="21"/>
                <w:lang w:val="en-US" w:eastAsia="zh-CN"/>
              </w:rPr>
              <w:t>4</w:t>
            </w:r>
            <w:r>
              <w:rPr>
                <w:rFonts w:hint="default" w:ascii="Times New Roman Regular" w:hAnsi="Times New Roman Regular" w:cs="Times New Roman Regular"/>
                <w:kern w:val="0"/>
                <w:sz w:val="21"/>
                <w:szCs w:val="21"/>
              </w:rPr>
              <w:t>日</w:t>
            </w:r>
          </w:p>
        </w:tc>
      </w:tr>
      <w:tr>
        <w:tblPrEx>
          <w:tblCellMar>
            <w:top w:w="0" w:type="dxa"/>
            <w:left w:w="108" w:type="dxa"/>
            <w:bottom w:w="0" w:type="dxa"/>
            <w:right w:w="108" w:type="dxa"/>
          </w:tblCellMar>
        </w:tblPrEx>
        <w:trPr>
          <w:trHeight w:val="625" w:hRule="atLeast"/>
        </w:trPr>
        <w:tc>
          <w:tcPr>
            <w:tcW w:w="376" w:type="pct"/>
            <w:tcBorders>
              <w:top w:val="nil"/>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center"/>
              <w:rPr>
                <w:rFonts w:hint="eastAsia" w:ascii="Times New Roman Regular" w:hAnsi="Times New Roman Regular" w:eastAsia="宋体" w:cs="Times New Roman Regular"/>
                <w:kern w:val="0"/>
                <w:sz w:val="21"/>
                <w:szCs w:val="21"/>
                <w:lang w:eastAsia="zh-CN"/>
              </w:rPr>
            </w:pPr>
            <w:r>
              <w:rPr>
                <w:rFonts w:hint="eastAsia" w:ascii="Times New Roman Regular" w:hAnsi="Times New Roman Regular" w:cs="Times New Roman Regular"/>
                <w:kern w:val="0"/>
                <w:sz w:val="21"/>
                <w:szCs w:val="21"/>
                <w:lang w:val="en-US" w:eastAsia="zh-CN"/>
              </w:rPr>
              <w:t>5</w:t>
            </w:r>
          </w:p>
        </w:tc>
        <w:tc>
          <w:tcPr>
            <w:tcW w:w="830"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撰写评价报告初稿</w:t>
            </w:r>
          </w:p>
        </w:tc>
        <w:tc>
          <w:tcPr>
            <w:tcW w:w="2664"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cs="Times New Roman Regular"/>
                <w:kern w:val="0"/>
                <w:sz w:val="21"/>
                <w:szCs w:val="21"/>
              </w:rPr>
            </w:pPr>
            <w:r>
              <w:rPr>
                <w:rFonts w:hint="eastAsia" w:ascii="Times New Roman Regular" w:hAnsi="Times New Roman Regular" w:eastAsia="宋体" w:cs="Times New Roman Regular"/>
                <w:kern w:val="0"/>
                <w:sz w:val="21"/>
                <w:szCs w:val="21"/>
                <w:lang w:val="en-US" w:eastAsia="zh-CN" w:bidi="ar-SA"/>
              </w:rPr>
              <w:t>评价组汇总前期准备、现场评价和非现场评价的结果，对照评价指标体系和评价标准进行全面评估。通过定量分析和定性分析相结合的方式，形成最终的评价结论，并撰写详细的绩效评价报告。</w:t>
            </w:r>
          </w:p>
        </w:tc>
        <w:tc>
          <w:tcPr>
            <w:tcW w:w="1128" w:type="pct"/>
            <w:tcBorders>
              <w:top w:val="nil"/>
              <w:left w:val="nil"/>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2025年</w:t>
            </w:r>
            <w:r>
              <w:rPr>
                <w:rFonts w:hint="eastAsia" w:ascii="Times New Roman Regular" w:hAnsi="Times New Roman Regular" w:cs="Times New Roman Regular"/>
                <w:kern w:val="0"/>
                <w:sz w:val="21"/>
                <w:szCs w:val="21"/>
                <w:lang w:val="en-US" w:eastAsia="zh-CN"/>
              </w:rPr>
              <w:t>7</w:t>
            </w:r>
            <w:r>
              <w:rPr>
                <w:rFonts w:hint="default" w:ascii="Times New Roman Regular" w:hAnsi="Times New Roman Regular" w:cs="Times New Roman Regular"/>
                <w:kern w:val="0"/>
                <w:sz w:val="21"/>
                <w:szCs w:val="21"/>
              </w:rPr>
              <w:t>月</w:t>
            </w:r>
            <w:r>
              <w:rPr>
                <w:rFonts w:hint="eastAsia" w:ascii="Times New Roman Regular" w:hAnsi="Times New Roman Regular" w:cs="Times New Roman Regular"/>
                <w:kern w:val="0"/>
                <w:sz w:val="21"/>
                <w:szCs w:val="21"/>
                <w:lang w:val="en-US" w:eastAsia="zh-CN"/>
              </w:rPr>
              <w:t>5</w:t>
            </w:r>
            <w:r>
              <w:rPr>
                <w:rFonts w:hint="default" w:ascii="Times New Roman Regular" w:hAnsi="Times New Roman Regular" w:cs="Times New Roman Regular"/>
                <w:kern w:val="0"/>
                <w:sz w:val="21"/>
                <w:szCs w:val="21"/>
              </w:rPr>
              <w:t>日—2025年7月</w:t>
            </w:r>
            <w:r>
              <w:rPr>
                <w:rFonts w:hint="eastAsia" w:ascii="Times New Roman Regular" w:hAnsi="Times New Roman Regular" w:cs="Times New Roman Regular"/>
                <w:kern w:val="0"/>
                <w:sz w:val="21"/>
                <w:szCs w:val="21"/>
                <w:lang w:val="en-US" w:eastAsia="zh-CN"/>
              </w:rPr>
              <w:t>21</w:t>
            </w:r>
            <w:r>
              <w:rPr>
                <w:rFonts w:hint="default" w:ascii="Times New Roman Regular" w:hAnsi="Times New Roman Regular" w:cs="Times New Roman Regular"/>
                <w:kern w:val="0"/>
                <w:sz w:val="21"/>
                <w:szCs w:val="21"/>
              </w:rPr>
              <w:t>日</w:t>
            </w:r>
          </w:p>
        </w:tc>
      </w:tr>
      <w:tr>
        <w:tblPrEx>
          <w:tblCellMar>
            <w:top w:w="0" w:type="dxa"/>
            <w:left w:w="108" w:type="dxa"/>
            <w:bottom w:w="0" w:type="dxa"/>
            <w:right w:w="108" w:type="dxa"/>
          </w:tblCellMar>
        </w:tblPrEx>
        <w:trPr>
          <w:trHeight w:val="471" w:hRule="atLeast"/>
        </w:trPr>
        <w:tc>
          <w:tcPr>
            <w:tcW w:w="37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center"/>
              <w:rPr>
                <w:rFonts w:hint="eastAsia" w:ascii="Times New Roman Regular" w:hAnsi="Times New Roman Regular" w:eastAsia="宋体" w:cs="Times New Roman Regular"/>
                <w:kern w:val="0"/>
                <w:sz w:val="21"/>
                <w:szCs w:val="21"/>
                <w:lang w:eastAsia="zh-CN"/>
              </w:rPr>
            </w:pPr>
            <w:r>
              <w:rPr>
                <w:rFonts w:hint="eastAsia" w:ascii="Times New Roman Regular" w:hAnsi="Times New Roman Regular" w:cs="Times New Roman Regular"/>
                <w:kern w:val="0"/>
                <w:sz w:val="21"/>
                <w:szCs w:val="21"/>
                <w:lang w:val="en-US" w:eastAsia="zh-CN"/>
              </w:rPr>
              <w:t>6</w:t>
            </w:r>
          </w:p>
        </w:tc>
        <w:tc>
          <w:tcPr>
            <w:tcW w:w="830"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center"/>
              <w:rPr>
                <w:rFonts w:hint="eastAsia" w:ascii="Times New Roman Regular" w:hAnsi="Times New Roman Regular" w:eastAsia="宋体" w:cs="Times New Roman Regular"/>
                <w:kern w:val="0"/>
                <w:sz w:val="21"/>
                <w:szCs w:val="21"/>
                <w:lang w:val="en-US" w:eastAsia="zh-CN"/>
              </w:rPr>
            </w:pPr>
            <w:r>
              <w:rPr>
                <w:rFonts w:hint="default" w:ascii="Times New Roman Regular" w:hAnsi="Times New Roman Regular" w:cs="Times New Roman Regular"/>
                <w:kern w:val="0"/>
                <w:sz w:val="21"/>
                <w:szCs w:val="21"/>
              </w:rPr>
              <w:t>评价报告初稿</w:t>
            </w:r>
            <w:r>
              <w:rPr>
                <w:rFonts w:hint="eastAsia" w:ascii="Times New Roman Regular" w:hAnsi="Times New Roman Regular" w:cs="Times New Roman Regular"/>
                <w:kern w:val="0"/>
                <w:sz w:val="21"/>
                <w:szCs w:val="21"/>
                <w:lang w:val="en-US" w:eastAsia="zh-CN"/>
              </w:rPr>
              <w:t>评审</w:t>
            </w:r>
          </w:p>
        </w:tc>
        <w:tc>
          <w:tcPr>
            <w:tcW w:w="266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cs="Times New Roman Regular"/>
                <w:kern w:val="0"/>
                <w:sz w:val="21"/>
                <w:szCs w:val="21"/>
              </w:rPr>
            </w:pPr>
            <w:r>
              <w:rPr>
                <w:rFonts w:hint="eastAsia" w:ascii="Times New Roman Regular" w:hAnsi="Times New Roman Regular" w:cs="Times New Roman Regular"/>
                <w:kern w:val="0"/>
                <w:sz w:val="21"/>
                <w:szCs w:val="21"/>
                <w:lang w:val="en-US" w:eastAsia="zh-CN"/>
              </w:rPr>
              <w:t>将评价报告初稿提交评审专家，</w:t>
            </w:r>
            <w:r>
              <w:rPr>
                <w:rFonts w:hint="default" w:ascii="Times New Roman Regular" w:hAnsi="Times New Roman Regular" w:cs="Times New Roman Regular"/>
                <w:kern w:val="0"/>
                <w:sz w:val="21"/>
                <w:szCs w:val="21"/>
                <w:lang w:val="en-US" w:eastAsia="zh-CN"/>
              </w:rPr>
              <w:t>针对报告中提出的各项</w:t>
            </w:r>
            <w:r>
              <w:rPr>
                <w:rFonts w:hint="eastAsia" w:ascii="Times New Roman Regular" w:hAnsi="Times New Roman Regular" w:cs="Times New Roman Regular"/>
                <w:kern w:val="0"/>
                <w:sz w:val="21"/>
                <w:szCs w:val="21"/>
                <w:lang w:val="en-US" w:eastAsia="zh-CN"/>
              </w:rPr>
              <w:t>分值</w:t>
            </w:r>
            <w:r>
              <w:rPr>
                <w:rFonts w:hint="default" w:ascii="Times New Roman Regular" w:hAnsi="Times New Roman Regular" w:cs="Times New Roman Regular"/>
                <w:kern w:val="0"/>
                <w:sz w:val="21"/>
                <w:szCs w:val="21"/>
                <w:lang w:val="en-US" w:eastAsia="zh-CN"/>
              </w:rPr>
              <w:t>、</w:t>
            </w:r>
            <w:r>
              <w:rPr>
                <w:rFonts w:hint="eastAsia" w:ascii="Times New Roman Regular" w:hAnsi="Times New Roman Regular" w:cs="Times New Roman Regular"/>
                <w:kern w:val="0"/>
                <w:sz w:val="21"/>
                <w:szCs w:val="21"/>
                <w:lang w:val="en-US" w:eastAsia="zh-CN"/>
              </w:rPr>
              <w:t>问题</w:t>
            </w:r>
            <w:r>
              <w:rPr>
                <w:rFonts w:hint="default" w:ascii="Times New Roman Regular" w:hAnsi="Times New Roman Regular" w:cs="Times New Roman Regular"/>
                <w:kern w:val="0"/>
                <w:sz w:val="21"/>
                <w:szCs w:val="21"/>
                <w:lang w:val="en-US" w:eastAsia="zh-CN"/>
              </w:rPr>
              <w:t>及建议展开充分讨论，提出修改意见和完善方向。</w:t>
            </w:r>
          </w:p>
        </w:tc>
        <w:tc>
          <w:tcPr>
            <w:tcW w:w="1128"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cs="Times New Roman Regular"/>
                <w:kern w:val="0"/>
                <w:sz w:val="21"/>
                <w:szCs w:val="21"/>
              </w:rPr>
            </w:pPr>
            <w:r>
              <w:rPr>
                <w:rFonts w:hint="default" w:ascii="Times New Roman Regular" w:hAnsi="Times New Roman Regular" w:cs="Times New Roman Regular"/>
                <w:kern w:val="0"/>
                <w:sz w:val="21"/>
                <w:szCs w:val="21"/>
              </w:rPr>
              <w:t>2025年</w:t>
            </w:r>
            <w:r>
              <w:rPr>
                <w:rFonts w:hint="eastAsia" w:ascii="Times New Roman Regular" w:hAnsi="Times New Roman Regular" w:cs="Times New Roman Regular"/>
                <w:kern w:val="0"/>
                <w:sz w:val="21"/>
                <w:szCs w:val="21"/>
                <w:lang w:val="en-US" w:eastAsia="zh-CN"/>
              </w:rPr>
              <w:t>7</w:t>
            </w:r>
            <w:r>
              <w:rPr>
                <w:rFonts w:hint="default" w:ascii="Times New Roman Regular" w:hAnsi="Times New Roman Regular" w:cs="Times New Roman Regular"/>
                <w:kern w:val="0"/>
                <w:sz w:val="21"/>
                <w:szCs w:val="21"/>
              </w:rPr>
              <w:t>月</w:t>
            </w:r>
            <w:r>
              <w:rPr>
                <w:rFonts w:hint="eastAsia" w:ascii="Times New Roman Regular" w:hAnsi="Times New Roman Regular" w:cs="Times New Roman Regular"/>
                <w:kern w:val="0"/>
                <w:sz w:val="21"/>
                <w:szCs w:val="21"/>
                <w:lang w:val="en-US" w:eastAsia="zh-CN"/>
              </w:rPr>
              <w:t>22</w:t>
            </w:r>
            <w:r>
              <w:rPr>
                <w:rFonts w:hint="default" w:ascii="Times New Roman Regular" w:hAnsi="Times New Roman Regular" w:cs="Times New Roman Regular"/>
                <w:kern w:val="0"/>
                <w:sz w:val="21"/>
                <w:szCs w:val="21"/>
              </w:rPr>
              <w:t>日</w:t>
            </w:r>
          </w:p>
        </w:tc>
      </w:tr>
      <w:tr>
        <w:tblPrEx>
          <w:tblCellMar>
            <w:top w:w="0" w:type="dxa"/>
            <w:left w:w="108" w:type="dxa"/>
            <w:bottom w:w="0" w:type="dxa"/>
            <w:right w:w="108" w:type="dxa"/>
          </w:tblCellMar>
        </w:tblPrEx>
        <w:trPr>
          <w:trHeight w:val="471" w:hRule="atLeast"/>
        </w:trPr>
        <w:tc>
          <w:tcPr>
            <w:tcW w:w="37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cs="Times New Roman Regular"/>
                <w:kern w:val="0"/>
                <w:sz w:val="21"/>
                <w:szCs w:val="21"/>
                <w:lang w:val="en-US" w:eastAsia="zh-CN"/>
              </w:rPr>
            </w:pPr>
            <w:r>
              <w:rPr>
                <w:rFonts w:hint="eastAsia" w:ascii="Times New Roman Regular" w:hAnsi="Times New Roman Regular" w:cs="Times New Roman Regular"/>
                <w:kern w:val="0"/>
                <w:sz w:val="21"/>
                <w:szCs w:val="21"/>
                <w:lang w:val="en-US" w:eastAsia="zh-CN"/>
              </w:rPr>
              <w:t>7</w:t>
            </w:r>
          </w:p>
        </w:tc>
        <w:tc>
          <w:tcPr>
            <w:tcW w:w="830" w:type="pct"/>
            <w:tcBorders>
              <w:top w:val="single" w:color="auto" w:sz="4" w:space="0"/>
              <w:left w:val="nil"/>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eastAsia="宋体" w:cs="Times New Roman Regular"/>
                <w:kern w:val="0"/>
                <w:sz w:val="21"/>
                <w:szCs w:val="21"/>
                <w:lang w:val="en-US" w:eastAsia="zh-CN" w:bidi="ar-SA"/>
              </w:rPr>
            </w:pPr>
            <w:r>
              <w:rPr>
                <w:rFonts w:hint="eastAsia" w:ascii="Times New Roman Regular" w:hAnsi="Times New Roman Regular" w:cs="Times New Roman Regular"/>
                <w:kern w:val="0"/>
                <w:sz w:val="21"/>
                <w:szCs w:val="21"/>
                <w:lang w:val="en-US" w:eastAsia="zh-CN"/>
              </w:rPr>
              <w:t>征询</w:t>
            </w:r>
            <w:r>
              <w:rPr>
                <w:rFonts w:hint="default" w:ascii="Times New Roman Regular" w:hAnsi="Times New Roman Regular" w:cs="Times New Roman Regular"/>
                <w:kern w:val="0"/>
                <w:sz w:val="21"/>
                <w:szCs w:val="21"/>
              </w:rPr>
              <w:t>评价报告初稿</w:t>
            </w:r>
            <w:r>
              <w:rPr>
                <w:rFonts w:hint="eastAsia" w:ascii="Times New Roman Regular" w:hAnsi="Times New Roman Regular" w:cs="Times New Roman Regular"/>
                <w:kern w:val="0"/>
                <w:sz w:val="21"/>
                <w:szCs w:val="21"/>
                <w:lang w:val="en-US" w:eastAsia="zh-CN"/>
              </w:rPr>
              <w:t>意见、补充材料</w:t>
            </w:r>
          </w:p>
        </w:tc>
        <w:tc>
          <w:tcPr>
            <w:tcW w:w="2664" w:type="pct"/>
            <w:tcBorders>
              <w:top w:val="single" w:color="auto" w:sz="4" w:space="0"/>
              <w:left w:val="nil"/>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eastAsia="宋体" w:cs="Times New Roman Regular"/>
                <w:kern w:val="0"/>
                <w:sz w:val="21"/>
                <w:szCs w:val="21"/>
                <w:lang w:val="en-US" w:eastAsia="zh-CN" w:bidi="ar-SA"/>
              </w:rPr>
            </w:pPr>
            <w:r>
              <w:rPr>
                <w:rFonts w:hint="eastAsia" w:ascii="Times New Roman Regular" w:hAnsi="Times New Roman Regular" w:cs="Times New Roman Regular"/>
                <w:kern w:val="0"/>
                <w:sz w:val="21"/>
                <w:szCs w:val="21"/>
                <w:lang w:val="en-US" w:eastAsia="zh-CN"/>
              </w:rPr>
              <w:t xml:space="preserve">评价报告依据评审意见修改，并征求被评价单位的意见。 </w:t>
            </w:r>
          </w:p>
        </w:tc>
        <w:tc>
          <w:tcPr>
            <w:tcW w:w="1128" w:type="pct"/>
            <w:tcBorders>
              <w:top w:val="single" w:color="auto" w:sz="4" w:space="0"/>
              <w:left w:val="nil"/>
              <w:bottom w:val="single" w:color="auto" w:sz="4" w:space="0"/>
              <w:right w:val="single" w:color="auto" w:sz="4" w:space="0"/>
            </w:tcBorders>
            <w:shd w:val="clear" w:color="auto" w:fill="auto"/>
            <w:vAlign w:val="center"/>
          </w:tcPr>
          <w:p>
            <w:pPr>
              <w:pStyle w:val="31"/>
              <w:tabs>
                <w:tab w:val="left" w:pos="753"/>
              </w:tabs>
              <w:snapToGrid w:val="0"/>
              <w:jc w:val="left"/>
              <w:rPr>
                <w:rFonts w:hint="eastAsia" w:ascii="Times New Roman Regular" w:hAnsi="Times New Roman Regular" w:eastAsia="宋体" w:cs="Times New Roman Regular"/>
                <w:kern w:val="0"/>
                <w:sz w:val="21"/>
                <w:szCs w:val="21"/>
                <w:lang w:val="en-US" w:eastAsia="zh-CN" w:bidi="ar-SA"/>
              </w:rPr>
            </w:pPr>
            <w:r>
              <w:rPr>
                <w:rFonts w:hint="default" w:ascii="Times New Roman Regular" w:hAnsi="Times New Roman Regular" w:cs="Times New Roman Regular"/>
                <w:kern w:val="0"/>
                <w:sz w:val="21"/>
                <w:szCs w:val="21"/>
              </w:rPr>
              <w:t>2025年7月</w:t>
            </w:r>
            <w:r>
              <w:rPr>
                <w:rFonts w:hint="eastAsia" w:ascii="Times New Roman Regular" w:hAnsi="Times New Roman Regular" w:cs="Times New Roman Regular"/>
                <w:kern w:val="0"/>
                <w:sz w:val="21"/>
                <w:szCs w:val="21"/>
                <w:lang w:val="en-US" w:eastAsia="zh-CN"/>
              </w:rPr>
              <w:t>22</w:t>
            </w:r>
            <w:r>
              <w:rPr>
                <w:rFonts w:hint="default" w:ascii="Times New Roman Regular" w:hAnsi="Times New Roman Regular" w:cs="Times New Roman Regular"/>
                <w:kern w:val="0"/>
                <w:sz w:val="21"/>
                <w:szCs w:val="21"/>
              </w:rPr>
              <w:t>日—2025年</w:t>
            </w:r>
            <w:r>
              <w:rPr>
                <w:rFonts w:hint="eastAsia" w:ascii="Times New Roman Regular" w:hAnsi="Times New Roman Regular" w:cs="Times New Roman Regular"/>
                <w:kern w:val="0"/>
                <w:sz w:val="21"/>
                <w:szCs w:val="21"/>
                <w:lang w:val="en-US" w:eastAsia="zh-CN"/>
              </w:rPr>
              <w:t>9</w:t>
            </w:r>
            <w:r>
              <w:rPr>
                <w:rFonts w:hint="default" w:ascii="Times New Roman Regular" w:hAnsi="Times New Roman Regular" w:cs="Times New Roman Regular"/>
                <w:kern w:val="0"/>
                <w:sz w:val="21"/>
                <w:szCs w:val="21"/>
              </w:rPr>
              <w:t>月</w:t>
            </w:r>
            <w:r>
              <w:rPr>
                <w:rFonts w:hint="eastAsia" w:ascii="Times New Roman Regular" w:hAnsi="Times New Roman Regular" w:cs="Times New Roman Regular"/>
                <w:kern w:val="0"/>
                <w:sz w:val="21"/>
                <w:szCs w:val="21"/>
                <w:lang w:val="en-US" w:eastAsia="zh-CN"/>
              </w:rPr>
              <w:t>2</w:t>
            </w:r>
            <w:r>
              <w:rPr>
                <w:rFonts w:hint="default" w:ascii="Times New Roman Regular" w:hAnsi="Times New Roman Regular" w:cs="Times New Roman Regular"/>
                <w:kern w:val="0"/>
                <w:sz w:val="21"/>
                <w:szCs w:val="21"/>
              </w:rPr>
              <w:t>日</w:t>
            </w:r>
          </w:p>
        </w:tc>
      </w:tr>
      <w:tr>
        <w:tblPrEx>
          <w:tblCellMar>
            <w:top w:w="0" w:type="dxa"/>
            <w:left w:w="108" w:type="dxa"/>
            <w:bottom w:w="0" w:type="dxa"/>
            <w:right w:w="108" w:type="dxa"/>
          </w:tblCellMar>
        </w:tblPrEx>
        <w:trPr>
          <w:trHeight w:val="471" w:hRule="atLeast"/>
        </w:trPr>
        <w:tc>
          <w:tcPr>
            <w:tcW w:w="37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31"/>
              <w:tabs>
                <w:tab w:val="left" w:pos="753"/>
              </w:tabs>
              <w:snapToGrid w:val="0"/>
              <w:jc w:val="center"/>
              <w:rPr>
                <w:rFonts w:hint="eastAsia" w:ascii="Times New Roman Regular" w:hAnsi="Times New Roman Regular" w:eastAsia="宋体" w:cs="Times New Roman Regular"/>
                <w:kern w:val="0"/>
                <w:sz w:val="21"/>
                <w:szCs w:val="21"/>
                <w:lang w:val="en-US" w:eastAsia="zh-CN" w:bidi="ar-SA"/>
              </w:rPr>
            </w:pPr>
            <w:r>
              <w:rPr>
                <w:rFonts w:hint="eastAsia" w:ascii="Times New Roman Regular" w:hAnsi="Times New Roman Regular" w:cs="Times New Roman Regular"/>
                <w:kern w:val="0"/>
                <w:sz w:val="21"/>
                <w:szCs w:val="21"/>
                <w:lang w:val="en-US" w:eastAsia="zh-CN"/>
              </w:rPr>
              <w:t>8</w:t>
            </w:r>
          </w:p>
        </w:tc>
        <w:tc>
          <w:tcPr>
            <w:tcW w:w="830" w:type="pct"/>
            <w:tcBorders>
              <w:top w:val="single" w:color="auto" w:sz="4" w:space="0"/>
              <w:left w:val="nil"/>
              <w:bottom w:val="single" w:color="auto" w:sz="4" w:space="0"/>
              <w:right w:val="single" w:color="auto" w:sz="4" w:space="0"/>
            </w:tcBorders>
            <w:shd w:val="clear" w:color="auto" w:fill="auto"/>
            <w:vAlign w:val="center"/>
          </w:tcPr>
          <w:p>
            <w:pPr>
              <w:pStyle w:val="31"/>
              <w:tabs>
                <w:tab w:val="left" w:pos="753"/>
              </w:tabs>
              <w:snapToGrid w:val="0"/>
              <w:jc w:val="center"/>
              <w:rPr>
                <w:rFonts w:hint="default" w:ascii="Times New Roman Regular" w:hAnsi="Times New Roman Regular" w:eastAsia="宋体" w:cs="Times New Roman Regular"/>
                <w:kern w:val="0"/>
                <w:sz w:val="21"/>
                <w:szCs w:val="21"/>
                <w:lang w:val="en-US" w:eastAsia="zh-CN" w:bidi="ar-SA"/>
              </w:rPr>
            </w:pPr>
            <w:r>
              <w:rPr>
                <w:rFonts w:hint="default" w:ascii="Times New Roman Regular" w:hAnsi="Times New Roman Regular" w:cs="Times New Roman Regular"/>
                <w:kern w:val="0"/>
                <w:sz w:val="21"/>
                <w:szCs w:val="21"/>
              </w:rPr>
              <w:t>提交评价报告</w:t>
            </w:r>
          </w:p>
        </w:tc>
        <w:tc>
          <w:tcPr>
            <w:tcW w:w="2664" w:type="pct"/>
            <w:tcBorders>
              <w:top w:val="single" w:color="auto" w:sz="4" w:space="0"/>
              <w:left w:val="nil"/>
              <w:bottom w:val="single" w:color="auto" w:sz="4" w:space="0"/>
              <w:right w:val="single" w:color="auto" w:sz="4" w:space="0"/>
            </w:tcBorders>
            <w:shd w:val="clear" w:color="auto" w:fill="auto"/>
            <w:vAlign w:val="center"/>
          </w:tcPr>
          <w:p>
            <w:pPr>
              <w:pStyle w:val="31"/>
              <w:tabs>
                <w:tab w:val="left" w:pos="753"/>
              </w:tabs>
              <w:snapToGrid w:val="0"/>
              <w:jc w:val="left"/>
              <w:rPr>
                <w:rFonts w:hint="eastAsia" w:ascii="Times New Roman Regular" w:hAnsi="Times New Roman Regular" w:eastAsia="宋体" w:cs="Times New Roman Regular"/>
                <w:kern w:val="0"/>
                <w:sz w:val="21"/>
                <w:szCs w:val="21"/>
                <w:lang w:val="en-US" w:eastAsia="zh-CN" w:bidi="ar-SA"/>
              </w:rPr>
            </w:pPr>
            <w:r>
              <w:rPr>
                <w:rFonts w:hint="eastAsia" w:ascii="Times New Roman Regular" w:hAnsi="Times New Roman Regular" w:cs="Times New Roman Regular"/>
                <w:kern w:val="0"/>
                <w:sz w:val="21"/>
                <w:szCs w:val="21"/>
                <w:lang w:val="en-US" w:eastAsia="zh-CN"/>
              </w:rPr>
              <w:t>经三级复核、</w:t>
            </w:r>
            <w:r>
              <w:rPr>
                <w:rFonts w:hint="default" w:ascii="Times New Roman Regular" w:hAnsi="Times New Roman Regular" w:cs="Times New Roman Regular"/>
                <w:kern w:val="0"/>
                <w:sz w:val="21"/>
                <w:szCs w:val="21"/>
              </w:rPr>
              <w:t>项目主评人签字确认后，加盖公司公章后，</w:t>
            </w:r>
            <w:r>
              <w:rPr>
                <w:rFonts w:hint="eastAsia" w:ascii="Times New Roman Regular" w:hAnsi="Times New Roman Regular" w:cs="Times New Roman Regular"/>
                <w:kern w:val="0"/>
                <w:sz w:val="21"/>
                <w:szCs w:val="21"/>
                <w:lang w:val="en-US" w:eastAsia="zh-CN"/>
              </w:rPr>
              <w:t>按要求</w:t>
            </w:r>
            <w:r>
              <w:rPr>
                <w:rFonts w:hint="default" w:ascii="Times New Roman Regular" w:hAnsi="Times New Roman Regular" w:cs="Times New Roman Regular"/>
                <w:kern w:val="0"/>
                <w:sz w:val="21"/>
                <w:szCs w:val="21"/>
              </w:rPr>
              <w:t>提交评价报告。</w:t>
            </w:r>
          </w:p>
        </w:tc>
        <w:tc>
          <w:tcPr>
            <w:tcW w:w="1128" w:type="pct"/>
            <w:tcBorders>
              <w:top w:val="single" w:color="auto" w:sz="4" w:space="0"/>
              <w:left w:val="nil"/>
              <w:bottom w:val="single" w:color="auto" w:sz="4" w:space="0"/>
              <w:right w:val="single" w:color="auto" w:sz="4" w:space="0"/>
            </w:tcBorders>
            <w:shd w:val="clear" w:color="auto" w:fill="auto"/>
            <w:vAlign w:val="center"/>
          </w:tcPr>
          <w:p>
            <w:pPr>
              <w:pStyle w:val="31"/>
              <w:tabs>
                <w:tab w:val="left" w:pos="753"/>
              </w:tabs>
              <w:snapToGrid w:val="0"/>
              <w:jc w:val="left"/>
              <w:rPr>
                <w:rFonts w:hint="default" w:ascii="Times New Roman Regular" w:hAnsi="Times New Roman Regular" w:eastAsia="宋体" w:cs="Times New Roman Regular"/>
                <w:kern w:val="0"/>
                <w:sz w:val="21"/>
                <w:szCs w:val="21"/>
                <w:lang w:val="en-US" w:eastAsia="zh-CN" w:bidi="ar-SA"/>
              </w:rPr>
            </w:pPr>
            <w:r>
              <w:rPr>
                <w:rFonts w:hint="default" w:ascii="Times New Roman Regular" w:hAnsi="Times New Roman Regular" w:cs="Times New Roman Regular"/>
                <w:kern w:val="0"/>
                <w:sz w:val="21"/>
                <w:szCs w:val="21"/>
              </w:rPr>
              <w:t>2025年</w:t>
            </w:r>
            <w:r>
              <w:rPr>
                <w:rFonts w:hint="eastAsia" w:ascii="Times New Roman Regular" w:hAnsi="Times New Roman Regular" w:cs="Times New Roman Regular"/>
                <w:kern w:val="0"/>
                <w:sz w:val="21"/>
                <w:szCs w:val="21"/>
                <w:lang w:val="en-US" w:eastAsia="zh-CN"/>
              </w:rPr>
              <w:t>9</w:t>
            </w:r>
            <w:r>
              <w:rPr>
                <w:rFonts w:hint="default" w:ascii="Times New Roman Regular" w:hAnsi="Times New Roman Regular" w:cs="Times New Roman Regular"/>
                <w:kern w:val="0"/>
                <w:sz w:val="21"/>
                <w:szCs w:val="21"/>
              </w:rPr>
              <w:t>月3日—2025年</w:t>
            </w:r>
            <w:r>
              <w:rPr>
                <w:rFonts w:hint="eastAsia" w:ascii="Times New Roman Regular" w:hAnsi="Times New Roman Regular" w:cs="Times New Roman Regular"/>
                <w:kern w:val="0"/>
                <w:sz w:val="21"/>
                <w:szCs w:val="21"/>
                <w:lang w:val="en-US" w:eastAsia="zh-CN"/>
              </w:rPr>
              <w:t>9</w:t>
            </w:r>
            <w:r>
              <w:rPr>
                <w:rFonts w:hint="default" w:ascii="Times New Roman Regular" w:hAnsi="Times New Roman Regular" w:cs="Times New Roman Regular"/>
                <w:kern w:val="0"/>
                <w:sz w:val="21"/>
                <w:szCs w:val="21"/>
              </w:rPr>
              <w:t>月</w:t>
            </w:r>
            <w:r>
              <w:rPr>
                <w:rFonts w:hint="eastAsia" w:ascii="Times New Roman Regular" w:hAnsi="Times New Roman Regular" w:cs="Times New Roman Regular"/>
                <w:kern w:val="0"/>
                <w:sz w:val="21"/>
                <w:szCs w:val="21"/>
                <w:lang w:val="en-US" w:eastAsia="zh-CN"/>
              </w:rPr>
              <w:t>8</w:t>
            </w:r>
            <w:r>
              <w:rPr>
                <w:rFonts w:hint="default" w:ascii="Times New Roman Regular" w:hAnsi="Times New Roman Regular" w:cs="Times New Roman Regular"/>
                <w:kern w:val="0"/>
                <w:sz w:val="21"/>
                <w:szCs w:val="21"/>
              </w:rPr>
              <w:t>日</w:t>
            </w:r>
          </w:p>
        </w:tc>
      </w:tr>
    </w:tbl>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2.评价方法</w:t>
      </w:r>
    </w:p>
    <w:p>
      <w:pPr>
        <w:spacing w:line="600" w:lineRule="exact"/>
        <w:ind w:firstLine="640" w:firstLineChars="200"/>
        <w:rPr>
          <w:rFonts w:hint="eastAsia" w:ascii="仿宋_GB2312" w:hAnsi="仿宋_GB2312" w:eastAsia="仿宋_GB2312" w:cs="仿宋_GB2312"/>
          <w:sz w:val="32"/>
          <w:szCs w:val="40"/>
          <w:highlight w:val="none"/>
        </w:rPr>
      </w:pPr>
      <w:r>
        <w:rPr>
          <w:rFonts w:hint="default" w:ascii="Times New Roman" w:hAnsi="Times New Roman" w:eastAsia="仿宋_GB2312" w:cs="Times New Roman"/>
          <w:color w:val="auto"/>
          <w:kern w:val="2"/>
          <w:sz w:val="32"/>
          <w:szCs w:val="32"/>
          <w:highlight w:val="none"/>
          <w:lang w:val="en-US" w:eastAsia="zh-CN" w:bidi="ar-SA"/>
        </w:rPr>
        <w:t>本次评价方法</w:t>
      </w:r>
      <w:r>
        <w:rPr>
          <w:rFonts w:hint="eastAsia" w:ascii="Times New Roman" w:hAnsi="Times New Roman" w:eastAsia="仿宋_GB2312" w:cs="Times New Roman"/>
          <w:color w:val="auto"/>
          <w:kern w:val="2"/>
          <w:sz w:val="32"/>
          <w:szCs w:val="32"/>
          <w:highlight w:val="none"/>
          <w:lang w:val="en-US" w:eastAsia="zh-CN" w:bidi="ar-SA"/>
        </w:rPr>
        <w:t>采取</w:t>
      </w:r>
      <w:r>
        <w:rPr>
          <w:rFonts w:hint="default" w:ascii="Times New Roman" w:hAnsi="Times New Roman" w:eastAsia="仿宋_GB2312" w:cs="Times New Roman"/>
          <w:color w:val="auto"/>
          <w:kern w:val="2"/>
          <w:sz w:val="32"/>
          <w:szCs w:val="32"/>
          <w:highlight w:val="none"/>
          <w:lang w:val="en-US" w:eastAsia="zh-CN" w:bidi="ar-SA"/>
        </w:rPr>
        <w:t>定量优先、定量与定性相结合的方式，总分由各项指标得分汇总形成。遵循科学规范、全面系统、公正公开的基本原则。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文献法</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通过查询相关</w:t>
      </w:r>
      <w:r>
        <w:rPr>
          <w:rFonts w:hint="eastAsia" w:ascii="Times New Roman" w:hAnsi="Times New Roman" w:eastAsia="仿宋_GB2312"/>
          <w:sz w:val="32"/>
          <w:szCs w:val="32"/>
          <w:lang w:eastAsia="zh-CN"/>
        </w:rPr>
        <w:t>法律法规、政策文件、行业标准、合同协议、会议记录、报告总结、财务账目等，评价</w:t>
      </w:r>
      <w:r>
        <w:rPr>
          <w:rFonts w:hint="eastAsia" w:ascii="Times New Roman" w:hAnsi="Times New Roman" w:eastAsia="仿宋_GB2312"/>
          <w:sz w:val="32"/>
          <w:szCs w:val="32"/>
          <w:lang w:val="en-US" w:eastAsia="zh-CN"/>
        </w:rPr>
        <w:t>项目实施的</w:t>
      </w:r>
      <w:r>
        <w:rPr>
          <w:rFonts w:hint="eastAsia" w:ascii="Times New Roman" w:hAnsi="Times New Roman" w:eastAsia="仿宋_GB2312"/>
          <w:sz w:val="32"/>
          <w:szCs w:val="32"/>
          <w:lang w:eastAsia="zh-CN"/>
        </w:rPr>
        <w:t>合规性、目标设定的合</w:t>
      </w:r>
      <w:r>
        <w:rPr>
          <w:rFonts w:hint="eastAsia" w:ascii="Times New Roman" w:hAnsi="Times New Roman" w:eastAsia="仿宋_GB2312"/>
          <w:sz w:val="32"/>
          <w:szCs w:val="32"/>
          <w:lang w:val="en-US" w:eastAsia="zh-CN"/>
        </w:rPr>
        <w:t>理</w:t>
      </w:r>
      <w:r>
        <w:rPr>
          <w:rFonts w:hint="eastAsia" w:ascii="Times New Roman" w:hAnsi="Times New Roman" w:eastAsia="仿宋_GB2312"/>
          <w:sz w:val="32"/>
          <w:szCs w:val="32"/>
          <w:lang w:eastAsia="zh-CN"/>
        </w:rPr>
        <w:t>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sz w:val="32"/>
          <w:szCs w:val="32"/>
          <w:u w:val="none"/>
          <w:lang w:val="en-US" w:eastAsia="zh-CN"/>
        </w:rPr>
      </w:pPr>
      <w:r>
        <w:rPr>
          <w:rFonts w:hint="eastAsia" w:ascii="Times New Roman Regular" w:hAnsi="Times New Roman Regular" w:eastAsia="仿宋_GB2312" w:cs="Times New Roman Regular"/>
          <w:sz w:val="32"/>
          <w:szCs w:val="32"/>
          <w:u w:val="none"/>
          <w:lang w:val="en-US" w:eastAsia="zh-CN"/>
        </w:rPr>
        <w:t xml:space="preserve">比较法：通过对比年度抽检计划、绩效目标，对产出及效益的完成状况进行判断。同时，对比相关抽检细则，判断项目执行过程的规范性。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sz w:val="32"/>
          <w:szCs w:val="32"/>
          <w:u w:val="none"/>
          <w:lang w:val="en-US" w:eastAsia="zh-CN"/>
        </w:rPr>
      </w:pPr>
      <w:r>
        <w:rPr>
          <w:rFonts w:hint="eastAsia" w:ascii="Times New Roman Regular" w:hAnsi="Times New Roman Regular" w:eastAsia="仿宋_GB2312" w:cs="Times New Roman Regular"/>
          <w:sz w:val="32"/>
          <w:szCs w:val="32"/>
          <w:u w:val="none"/>
          <w:lang w:eastAsia="zh-CN"/>
        </w:rPr>
        <w:t>公众评判法：以问卷调查的方式</w:t>
      </w:r>
      <w:r>
        <w:rPr>
          <w:rFonts w:hint="eastAsia" w:ascii="Times New Roman Regular" w:hAnsi="Times New Roman Regular" w:eastAsia="仿宋_GB2312" w:cs="Times New Roman Regular"/>
          <w:sz w:val="32"/>
          <w:szCs w:val="32"/>
          <w:u w:val="none"/>
          <w:lang w:val="en-US" w:eastAsia="zh-CN"/>
        </w:rPr>
        <w:t>，对社会公众关于项目的满意度展开考察。</w:t>
      </w:r>
    </w:p>
    <w:p>
      <w:pPr>
        <w:spacing w:line="60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 xml:space="preserve">专家评价法：邀请食品安全领域专家，实地查看检测公司的仪器设备、原始记录以及人员管理状况，对项目的实施进程、产出成效和综合影响展开全面评审，并给出具有针对性的优化建议。 </w:t>
      </w:r>
    </w:p>
    <w:p>
      <w:pPr>
        <w:spacing w:line="600" w:lineRule="exact"/>
        <w:ind w:firstLine="640" w:firstLineChars="200"/>
        <w:rPr>
          <w:rFonts w:hint="eastAsia" w:ascii="楷体_GB2312" w:hAnsi="楷体_GB2312" w:eastAsia="楷体_GB2312" w:cs="楷体_GB2312"/>
          <w:sz w:val="32"/>
          <w:szCs w:val="40"/>
          <w:highlight w:val="none"/>
        </w:rPr>
      </w:pPr>
      <w:r>
        <w:rPr>
          <w:rFonts w:hint="eastAsia" w:ascii="楷体_GB2312" w:hAnsi="楷体_GB2312" w:eastAsia="楷体_GB2312" w:cs="楷体_GB2312"/>
          <w:sz w:val="32"/>
          <w:szCs w:val="40"/>
          <w:highlight w:val="none"/>
        </w:rPr>
        <w:t>（四）评价局限性</w:t>
      </w:r>
    </w:p>
    <w:p>
      <w:pPr>
        <w:spacing w:line="60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在现场检查环节，会同市市场监督管理局对一家承检机构进行实地考察。随后在与各中标单位进行电话沟通时，企业均明确提出需市市场监督管理局陪同或获得其授权后方可进行现场检查。为切实贯彻减轻企业负担的政策精神，最大限度减少对企业正常经营活动的干扰，决定采取抽取部分检测视频的方式，替代进入企业进行实地检查。</w:t>
      </w:r>
    </w:p>
    <w:p>
      <w:pPr>
        <w:spacing w:line="600" w:lineRule="exact"/>
        <w:ind w:firstLine="640" w:firstLineChars="200"/>
        <w:rPr>
          <w:rFonts w:ascii="黑体" w:hAnsi="黑体" w:eastAsia="黑体" w:cs="黑体"/>
          <w:sz w:val="32"/>
          <w:szCs w:val="40"/>
          <w:highlight w:val="none"/>
        </w:rPr>
      </w:pPr>
      <w:r>
        <w:rPr>
          <w:rFonts w:hint="eastAsia" w:ascii="黑体" w:hAnsi="黑体" w:eastAsia="黑体" w:cs="黑体"/>
          <w:sz w:val="32"/>
          <w:szCs w:val="40"/>
          <w:highlight w:val="none"/>
        </w:rPr>
        <w:t>三、评价结论及分析</w:t>
      </w:r>
    </w:p>
    <w:p>
      <w:pPr>
        <w:spacing w:line="600" w:lineRule="exact"/>
        <w:ind w:firstLine="640" w:firstLineChars="200"/>
        <w:rPr>
          <w:rFonts w:ascii="楷体_GB2312" w:hAnsi="楷体_GB2312" w:eastAsia="楷体_GB2312" w:cs="楷体_GB2312"/>
          <w:sz w:val="32"/>
          <w:szCs w:val="40"/>
          <w:highlight w:val="none"/>
        </w:rPr>
      </w:pPr>
      <w:r>
        <w:rPr>
          <w:rFonts w:hint="eastAsia" w:ascii="楷体_GB2312" w:hAnsi="楷体_GB2312" w:eastAsia="楷体_GB2312" w:cs="楷体_GB2312"/>
          <w:sz w:val="32"/>
          <w:szCs w:val="40"/>
          <w:highlight w:val="none"/>
        </w:rPr>
        <w:t>（一）综合评价结论</w:t>
      </w:r>
    </w:p>
    <w:p>
      <w:pPr>
        <w:spacing w:line="600" w:lineRule="exact"/>
        <w:ind w:firstLine="640" w:firstLineChars="200"/>
        <w:rPr>
          <w:rFonts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该项目绩效评价得分</w:t>
      </w:r>
      <w:r>
        <w:rPr>
          <w:rFonts w:hint="eastAsia" w:ascii="仿宋_GB2312" w:hAnsi="仿宋_GB2312" w:eastAsia="仿宋_GB2312" w:cs="仿宋_GB2312"/>
          <w:color w:val="auto"/>
          <w:sz w:val="32"/>
          <w:szCs w:val="40"/>
          <w:highlight w:val="none"/>
          <w:lang w:val="en-US" w:eastAsia="zh-CN"/>
        </w:rPr>
        <w:t>89.08</w:t>
      </w:r>
      <w:r>
        <w:rPr>
          <w:rFonts w:hint="eastAsia" w:ascii="仿宋_GB2312" w:hAnsi="仿宋_GB2312" w:eastAsia="仿宋_GB2312" w:cs="仿宋_GB2312"/>
          <w:sz w:val="32"/>
          <w:szCs w:val="40"/>
          <w:highlight w:val="none"/>
        </w:rPr>
        <w:t>分（详见表</w:t>
      </w:r>
      <w:r>
        <w:rPr>
          <w:rFonts w:hint="eastAsia" w:ascii="仿宋_GB2312" w:hAnsi="仿宋_GB2312" w:eastAsia="仿宋_GB2312" w:cs="仿宋_GB2312"/>
          <w:sz w:val="32"/>
          <w:szCs w:val="40"/>
          <w:highlight w:val="none"/>
          <w:lang w:val="en-US" w:eastAsia="zh-CN"/>
        </w:rPr>
        <w:t>3-1</w:t>
      </w:r>
      <w:r>
        <w:rPr>
          <w:rFonts w:hint="eastAsia" w:ascii="仿宋_GB2312" w:hAnsi="仿宋_GB2312" w:eastAsia="仿宋_GB2312" w:cs="仿宋_GB2312"/>
          <w:sz w:val="32"/>
          <w:szCs w:val="40"/>
          <w:highlight w:val="none"/>
        </w:rPr>
        <w:t>），评价结果为“</w:t>
      </w:r>
      <w:r>
        <w:rPr>
          <w:rFonts w:hint="eastAsia" w:ascii="仿宋_GB2312" w:hAnsi="仿宋_GB2312" w:eastAsia="仿宋_GB2312" w:cs="仿宋_GB2312"/>
          <w:sz w:val="32"/>
          <w:szCs w:val="40"/>
          <w:highlight w:val="none"/>
          <w:lang w:val="en-US" w:eastAsia="zh-CN"/>
        </w:rPr>
        <w:t>良</w:t>
      </w:r>
      <w:r>
        <w:rPr>
          <w:rFonts w:hint="eastAsia" w:ascii="仿宋_GB2312" w:hAnsi="仿宋_GB2312" w:eastAsia="仿宋_GB2312" w:cs="仿宋_GB2312"/>
          <w:sz w:val="32"/>
          <w:szCs w:val="40"/>
          <w:highlight w:val="none"/>
        </w:rPr>
        <w:t>”。</w:t>
      </w:r>
    </w:p>
    <w:p>
      <w:pPr>
        <w:spacing w:line="600" w:lineRule="exact"/>
        <w:jc w:val="center"/>
        <w:rPr>
          <w:rFonts w:ascii="黑体" w:hAnsi="黑体" w:eastAsia="黑体" w:cs="黑体"/>
          <w:sz w:val="28"/>
          <w:szCs w:val="28"/>
          <w:highlight w:val="none"/>
        </w:rPr>
      </w:pPr>
      <w:r>
        <w:rPr>
          <w:rFonts w:hint="eastAsia" w:ascii="黑体" w:hAnsi="黑体" w:eastAsia="黑体" w:cs="黑体"/>
          <w:sz w:val="28"/>
          <w:szCs w:val="28"/>
          <w:highlight w:val="none"/>
          <w:lang w:val="en-US" w:eastAsia="zh-CN"/>
        </w:rPr>
        <w:t xml:space="preserve">表3-1 </w:t>
      </w:r>
      <w:r>
        <w:rPr>
          <w:rFonts w:hint="default" w:ascii="黑体" w:hAnsi="黑体" w:eastAsia="黑体" w:cs="黑体"/>
          <w:sz w:val="28"/>
          <w:szCs w:val="28"/>
          <w:highlight w:val="none"/>
          <w:lang w:val="en-US" w:eastAsia="zh-CN"/>
        </w:rPr>
        <w:t>2024年度食品检测资金项目绩效评价得分表</w:t>
      </w:r>
    </w:p>
    <w:tbl>
      <w:tblPr>
        <w:tblStyle w:val="19"/>
        <w:tblW w:w="0" w:type="auto"/>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2087"/>
        <w:gridCol w:w="2087"/>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spacing w:line="600" w:lineRule="exact"/>
              <w:jc w:val="center"/>
              <w:rPr>
                <w:rFonts w:ascii="黑体" w:hAnsi="黑体" w:eastAsia="黑体" w:cs="黑体"/>
                <w:sz w:val="28"/>
                <w:szCs w:val="28"/>
                <w:highlight w:val="none"/>
              </w:rPr>
            </w:pPr>
            <w:r>
              <w:rPr>
                <w:rFonts w:hint="eastAsia" w:ascii="黑体" w:hAnsi="黑体" w:eastAsia="黑体" w:cs="黑体"/>
                <w:sz w:val="28"/>
                <w:szCs w:val="28"/>
                <w:highlight w:val="none"/>
              </w:rPr>
              <w:t>一级指标</w:t>
            </w:r>
          </w:p>
        </w:tc>
        <w:tc>
          <w:tcPr>
            <w:tcW w:w="2087" w:type="dxa"/>
          </w:tcPr>
          <w:p>
            <w:pPr>
              <w:spacing w:line="600" w:lineRule="exact"/>
              <w:jc w:val="center"/>
              <w:rPr>
                <w:rFonts w:ascii="黑体" w:hAnsi="黑体" w:eastAsia="黑体" w:cs="黑体"/>
                <w:sz w:val="28"/>
                <w:szCs w:val="28"/>
                <w:highlight w:val="none"/>
              </w:rPr>
            </w:pPr>
            <w:r>
              <w:rPr>
                <w:rFonts w:hint="eastAsia" w:ascii="黑体" w:hAnsi="黑体" w:eastAsia="黑体" w:cs="黑体"/>
                <w:sz w:val="28"/>
                <w:szCs w:val="28"/>
                <w:highlight w:val="none"/>
              </w:rPr>
              <w:t>指标分值</w:t>
            </w:r>
          </w:p>
        </w:tc>
        <w:tc>
          <w:tcPr>
            <w:tcW w:w="2087" w:type="dxa"/>
          </w:tcPr>
          <w:p>
            <w:pPr>
              <w:spacing w:line="600" w:lineRule="exact"/>
              <w:jc w:val="center"/>
              <w:rPr>
                <w:rFonts w:ascii="黑体" w:hAnsi="黑体" w:eastAsia="黑体" w:cs="黑体"/>
                <w:sz w:val="28"/>
                <w:szCs w:val="28"/>
                <w:highlight w:val="none"/>
              </w:rPr>
            </w:pPr>
            <w:r>
              <w:rPr>
                <w:rFonts w:hint="eastAsia" w:ascii="黑体" w:hAnsi="黑体" w:eastAsia="黑体" w:cs="黑体"/>
                <w:sz w:val="28"/>
                <w:szCs w:val="28"/>
                <w:highlight w:val="none"/>
              </w:rPr>
              <w:t>得分</w:t>
            </w:r>
          </w:p>
        </w:tc>
        <w:tc>
          <w:tcPr>
            <w:tcW w:w="2088" w:type="dxa"/>
          </w:tcPr>
          <w:p>
            <w:pPr>
              <w:spacing w:line="600" w:lineRule="exact"/>
              <w:jc w:val="center"/>
              <w:rPr>
                <w:rFonts w:ascii="黑体" w:hAnsi="黑体" w:eastAsia="黑体" w:cs="黑体"/>
                <w:sz w:val="28"/>
                <w:szCs w:val="28"/>
                <w:highlight w:val="none"/>
              </w:rPr>
            </w:pPr>
            <w:r>
              <w:rPr>
                <w:rFonts w:hint="eastAsia" w:ascii="黑体" w:hAnsi="黑体" w:eastAsia="黑体" w:cs="黑体"/>
                <w:sz w:val="28"/>
                <w:szCs w:val="28"/>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spacing w:line="60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决策</w:t>
            </w:r>
          </w:p>
        </w:tc>
        <w:tc>
          <w:tcPr>
            <w:tcW w:w="2087" w:type="dxa"/>
          </w:tcPr>
          <w:p>
            <w:pPr>
              <w:spacing w:line="6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15</w:t>
            </w:r>
          </w:p>
        </w:tc>
        <w:tc>
          <w:tcPr>
            <w:tcW w:w="2087" w:type="dxa"/>
          </w:tcPr>
          <w:p>
            <w:pPr>
              <w:spacing w:line="600" w:lineRule="exact"/>
              <w:jc w:val="center"/>
              <w:rPr>
                <w:rFonts w:hint="default" w:ascii="仿宋_GB2312" w:hAnsi="仿宋_GB2312" w:eastAsia="仿宋_GB2312" w:cs="仿宋_GB2312"/>
                <w:sz w:val="28"/>
                <w:szCs w:val="28"/>
                <w:highlight w:val="none"/>
                <w:lang w:val="en-US"/>
              </w:rPr>
            </w:pPr>
            <w:r>
              <w:rPr>
                <w:rFonts w:hint="eastAsia" w:ascii="仿宋_GB2312" w:hAnsi="仿宋_GB2312" w:eastAsia="仿宋_GB2312" w:cs="仿宋_GB2312"/>
                <w:sz w:val="28"/>
                <w:szCs w:val="28"/>
                <w:highlight w:val="none"/>
                <w:lang w:val="en-US" w:eastAsia="zh-CN"/>
              </w:rPr>
              <w:t>13.50</w:t>
            </w:r>
          </w:p>
        </w:tc>
        <w:tc>
          <w:tcPr>
            <w:tcW w:w="2088" w:type="dxa"/>
          </w:tcPr>
          <w:p>
            <w:pPr>
              <w:spacing w:line="6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90.00</w:t>
            </w:r>
            <w:r>
              <w:rPr>
                <w:rFonts w:hint="default" w:ascii="仿宋_GB2312" w:hAnsi="仿宋_GB2312" w:eastAsia="仿宋_GB2312" w:cs="仿宋_GB2312"/>
                <w:sz w:val="28"/>
                <w:szCs w:val="2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spacing w:line="60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过程</w:t>
            </w:r>
          </w:p>
        </w:tc>
        <w:tc>
          <w:tcPr>
            <w:tcW w:w="2087" w:type="dxa"/>
          </w:tcPr>
          <w:p>
            <w:pPr>
              <w:spacing w:line="60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25</w:t>
            </w:r>
          </w:p>
        </w:tc>
        <w:tc>
          <w:tcPr>
            <w:tcW w:w="2087" w:type="dxa"/>
          </w:tcPr>
          <w:p>
            <w:pPr>
              <w:spacing w:line="60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20.85</w:t>
            </w:r>
          </w:p>
        </w:tc>
        <w:tc>
          <w:tcPr>
            <w:tcW w:w="2088" w:type="dxa"/>
          </w:tcPr>
          <w:p>
            <w:pPr>
              <w:spacing w:line="60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83.40</w:t>
            </w:r>
            <w:r>
              <w:rPr>
                <w:rFonts w:hint="default" w:ascii="仿宋_GB2312" w:hAnsi="仿宋_GB2312" w:eastAsia="仿宋_GB2312" w:cs="仿宋_GB2312"/>
                <w:sz w:val="28"/>
                <w:szCs w:val="2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spacing w:line="60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产出</w:t>
            </w:r>
          </w:p>
        </w:tc>
        <w:tc>
          <w:tcPr>
            <w:tcW w:w="2087" w:type="dxa"/>
          </w:tcPr>
          <w:p>
            <w:pPr>
              <w:spacing w:line="60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30</w:t>
            </w:r>
          </w:p>
        </w:tc>
        <w:tc>
          <w:tcPr>
            <w:tcW w:w="2087" w:type="dxa"/>
          </w:tcPr>
          <w:p>
            <w:pPr>
              <w:spacing w:line="600" w:lineRule="exact"/>
              <w:jc w:val="center"/>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29.42</w:t>
            </w:r>
          </w:p>
        </w:tc>
        <w:tc>
          <w:tcPr>
            <w:tcW w:w="2088" w:type="dxa"/>
          </w:tcPr>
          <w:p>
            <w:pPr>
              <w:spacing w:line="60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98.07%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87" w:type="dxa"/>
          </w:tcPr>
          <w:p>
            <w:pPr>
              <w:spacing w:line="60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效益</w:t>
            </w:r>
          </w:p>
        </w:tc>
        <w:tc>
          <w:tcPr>
            <w:tcW w:w="2087" w:type="dxa"/>
          </w:tcPr>
          <w:p>
            <w:pPr>
              <w:spacing w:line="60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30</w:t>
            </w:r>
          </w:p>
        </w:tc>
        <w:tc>
          <w:tcPr>
            <w:tcW w:w="2087" w:type="dxa"/>
          </w:tcPr>
          <w:p>
            <w:pPr>
              <w:spacing w:line="600" w:lineRule="exact"/>
              <w:jc w:val="center"/>
              <w:rPr>
                <w:rFonts w:hint="default" w:ascii="仿宋_GB2312" w:hAnsi="仿宋_GB2312" w:eastAsia="仿宋_GB2312" w:cs="仿宋_GB2312"/>
                <w:sz w:val="28"/>
                <w:szCs w:val="28"/>
                <w:highlight w:val="none"/>
                <w:lang w:val="en-US"/>
              </w:rPr>
            </w:pPr>
            <w:r>
              <w:rPr>
                <w:rFonts w:hint="eastAsia" w:ascii="仿宋_GB2312" w:hAnsi="仿宋_GB2312" w:eastAsia="仿宋_GB2312" w:cs="仿宋_GB2312"/>
                <w:sz w:val="28"/>
                <w:szCs w:val="28"/>
                <w:highlight w:val="none"/>
                <w:lang w:val="en-US" w:eastAsia="zh-CN"/>
              </w:rPr>
              <w:t>25.31</w:t>
            </w:r>
          </w:p>
        </w:tc>
        <w:tc>
          <w:tcPr>
            <w:tcW w:w="2088" w:type="dxa"/>
          </w:tcPr>
          <w:p>
            <w:pPr>
              <w:spacing w:line="60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spacing w:line="60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合计</w:t>
            </w:r>
          </w:p>
        </w:tc>
        <w:tc>
          <w:tcPr>
            <w:tcW w:w="2087" w:type="dxa"/>
          </w:tcPr>
          <w:p>
            <w:pPr>
              <w:spacing w:line="60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100</w:t>
            </w:r>
          </w:p>
        </w:tc>
        <w:tc>
          <w:tcPr>
            <w:tcW w:w="2087" w:type="dxa"/>
          </w:tcPr>
          <w:p>
            <w:pPr>
              <w:spacing w:line="60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89.08</w:t>
            </w:r>
          </w:p>
        </w:tc>
        <w:tc>
          <w:tcPr>
            <w:tcW w:w="2088" w:type="dxa"/>
          </w:tcPr>
          <w:p>
            <w:pPr>
              <w:spacing w:line="60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89.08%</w:t>
            </w:r>
          </w:p>
        </w:tc>
      </w:tr>
    </w:tbl>
    <w:p>
      <w:pPr>
        <w:spacing w:line="600" w:lineRule="exact"/>
        <w:ind w:firstLine="640" w:firstLineChars="200"/>
        <w:rPr>
          <w:rFonts w:hint="eastAsia" w:ascii="楷体_GB2312" w:hAnsi="楷体_GB2312" w:eastAsia="楷体_GB2312" w:cs="楷体_GB2312"/>
          <w:sz w:val="32"/>
          <w:szCs w:val="40"/>
          <w:highlight w:val="none"/>
        </w:rPr>
      </w:pPr>
      <w:r>
        <w:rPr>
          <w:rFonts w:hint="eastAsia" w:ascii="楷体_GB2312" w:hAnsi="楷体_GB2312" w:eastAsia="楷体_GB2312" w:cs="楷体_GB2312"/>
          <w:sz w:val="32"/>
          <w:szCs w:val="40"/>
          <w:highlight w:val="none"/>
        </w:rPr>
        <w:t>（二）指标分析</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1.决策指标分析</w:t>
      </w:r>
    </w:p>
    <w:p>
      <w:pPr>
        <w:spacing w:line="600" w:lineRule="exact"/>
        <w:ind w:firstLine="640" w:firstLineChars="200"/>
        <w:rPr>
          <w:rFonts w:hint="default" w:ascii="Times New Roman" w:hAnsi="Times New Roman" w:eastAsia="仿宋_GB2312" w:cs="Times New Roman"/>
          <w:kern w:val="0"/>
          <w:sz w:val="32"/>
          <w:szCs w:val="32"/>
          <w:lang w:val="en-US" w:eastAsia="zh-CN"/>
        </w:rPr>
      </w:pPr>
      <w:bookmarkStart w:id="0" w:name="_Toc32216"/>
      <w:bookmarkStart w:id="1" w:name="_Toc12725"/>
      <w:bookmarkStart w:id="2" w:name="_Toc4339"/>
      <w:bookmarkStart w:id="3" w:name="_Toc29925"/>
      <w:bookmarkStart w:id="4" w:name="_Toc29879"/>
      <w:bookmarkStart w:id="5" w:name="_Toc18993"/>
      <w:bookmarkStart w:id="6" w:name="_Toc2571"/>
      <w:bookmarkStart w:id="7" w:name="_Toc18746"/>
      <w:r>
        <w:rPr>
          <w:rFonts w:hint="eastAsia" w:ascii="仿宋_GB2312" w:hAnsi="仿宋_GB2312" w:eastAsia="仿宋_GB2312" w:cs="仿宋_GB2312"/>
          <w:sz w:val="32"/>
          <w:szCs w:val="40"/>
          <w:highlight w:val="none"/>
        </w:rPr>
        <w:t>决策</w:t>
      </w:r>
      <w:r>
        <w:rPr>
          <w:rFonts w:hint="default" w:ascii="Times New Roman" w:hAnsi="Times New Roman" w:eastAsia="仿宋_GB2312" w:cs="Times New Roman"/>
          <w:kern w:val="0"/>
          <w:sz w:val="32"/>
          <w:szCs w:val="32"/>
          <w:lang w:val="en-US" w:eastAsia="zh-CN"/>
        </w:rPr>
        <w:t>指标满分</w:t>
      </w:r>
      <w:r>
        <w:rPr>
          <w:rFonts w:hint="eastAsia" w:ascii="Times New Roman" w:hAnsi="Times New Roman" w:eastAsia="仿宋_GB2312" w:cs="Times New Roman"/>
          <w:kern w:val="0"/>
          <w:sz w:val="32"/>
          <w:szCs w:val="32"/>
          <w:lang w:val="en-US" w:eastAsia="zh-CN"/>
        </w:rPr>
        <w:t>15</w:t>
      </w:r>
      <w:r>
        <w:rPr>
          <w:rFonts w:hint="default" w:ascii="Times New Roman" w:hAnsi="Times New Roman" w:eastAsia="仿宋_GB2312" w:cs="Times New Roman"/>
          <w:kern w:val="0"/>
          <w:sz w:val="32"/>
          <w:szCs w:val="32"/>
          <w:lang w:val="en-US" w:eastAsia="zh-CN"/>
        </w:rPr>
        <w:t>分，得分</w:t>
      </w:r>
      <w:r>
        <w:rPr>
          <w:rFonts w:hint="eastAsia" w:ascii="Times New Roman" w:hAnsi="Times New Roman" w:eastAsia="仿宋_GB2312" w:cs="Times New Roman"/>
          <w:kern w:val="0"/>
          <w:sz w:val="32"/>
          <w:szCs w:val="32"/>
          <w:lang w:val="en-US" w:eastAsia="zh-CN"/>
        </w:rPr>
        <w:t>13.50</w:t>
      </w:r>
      <w:r>
        <w:rPr>
          <w:rFonts w:hint="default" w:ascii="Times New Roman" w:hAnsi="Times New Roman" w:eastAsia="仿宋_GB2312" w:cs="Times New Roman"/>
          <w:kern w:val="0"/>
          <w:sz w:val="32"/>
          <w:szCs w:val="32"/>
          <w:lang w:val="en-US" w:eastAsia="zh-CN"/>
        </w:rPr>
        <w:t>分，得分率为</w:t>
      </w:r>
      <w:r>
        <w:rPr>
          <w:rFonts w:hint="eastAsia" w:ascii="Times New Roman" w:hAnsi="Times New Roman" w:eastAsia="仿宋_GB2312" w:cs="Times New Roman"/>
          <w:kern w:val="0"/>
          <w:sz w:val="32"/>
          <w:szCs w:val="32"/>
          <w:lang w:val="en-US" w:eastAsia="zh-CN"/>
        </w:rPr>
        <w:t>90.00</w:t>
      </w:r>
      <w:r>
        <w:rPr>
          <w:rFonts w:hint="default" w:ascii="Times New Roman" w:hAnsi="Times New Roman" w:eastAsia="仿宋_GB2312" w:cs="Times New Roman"/>
          <w:kern w:val="0"/>
          <w:sz w:val="32"/>
          <w:szCs w:val="32"/>
          <w:lang w:val="en-US" w:eastAsia="zh-CN"/>
        </w:rPr>
        <w:t>%。</w:t>
      </w:r>
      <w:bookmarkEnd w:id="0"/>
      <w:bookmarkEnd w:id="1"/>
      <w:bookmarkEnd w:id="2"/>
      <w:bookmarkEnd w:id="3"/>
      <w:bookmarkEnd w:id="4"/>
      <w:bookmarkEnd w:id="5"/>
      <w:bookmarkEnd w:id="6"/>
      <w:bookmarkEnd w:id="7"/>
    </w:p>
    <w:p>
      <w:pPr>
        <w:numPr>
          <w:ilvl w:val="0"/>
          <w:numId w:val="1"/>
        </w:numPr>
        <w:spacing w:line="600" w:lineRule="exact"/>
        <w:ind w:left="-10" w:leftChars="0" w:firstLine="640" w:firstLineChars="0"/>
        <w:rPr>
          <w:rFonts w:hint="eastAsia" w:ascii="Times New Roman" w:hAnsi="Times New Roman" w:eastAsia="仿宋_GB2312" w:cs="Times New Roman"/>
          <w:kern w:val="0"/>
          <w:sz w:val="32"/>
          <w:szCs w:val="32"/>
          <w:lang w:val="en-US" w:eastAsia="zh-CN"/>
        </w:rPr>
      </w:pPr>
      <w:bookmarkStart w:id="8" w:name="_Toc32637"/>
      <w:r>
        <w:rPr>
          <w:rFonts w:hint="eastAsia" w:ascii="Times New Roman" w:hAnsi="Times New Roman" w:eastAsia="仿宋_GB2312" w:cs="Times New Roman"/>
          <w:kern w:val="0"/>
          <w:sz w:val="32"/>
          <w:szCs w:val="32"/>
          <w:lang w:val="en-US" w:eastAsia="zh-CN"/>
        </w:rPr>
        <w:t>立项依据方面。该项目立项依据充足，符合法律法规及行业规划要求，项目设立符合相关规定。</w:t>
      </w:r>
    </w:p>
    <w:p>
      <w:pPr>
        <w:numPr>
          <w:ilvl w:val="0"/>
          <w:numId w:val="1"/>
        </w:numPr>
        <w:spacing w:line="600" w:lineRule="exact"/>
        <w:ind w:left="-10" w:leftChars="0" w:firstLine="640" w:firstLineChars="0"/>
        <w:rPr>
          <w:rFonts w:hint="default" w:ascii="Times New Roman" w:hAnsi="Times New Roman" w:eastAsia="仿宋_GB2312" w:cs="Times New Roman"/>
          <w:color w:val="FF0000"/>
          <w:kern w:val="0"/>
          <w:sz w:val="32"/>
          <w:szCs w:val="32"/>
          <w:lang w:val="en-US" w:eastAsia="zh-CN"/>
        </w:rPr>
      </w:pPr>
      <w:r>
        <w:rPr>
          <w:rFonts w:hint="eastAsia" w:ascii="Times New Roman" w:hAnsi="Times New Roman" w:eastAsia="仿宋_GB2312" w:cs="Times New Roman"/>
          <w:kern w:val="0"/>
          <w:sz w:val="32"/>
          <w:szCs w:val="32"/>
          <w:lang w:val="en-US" w:eastAsia="zh-CN"/>
        </w:rPr>
        <w:t>绩效目标方面。该项目编制了对应的绩效目标表，所设置的绩效目标明确，涵盖可衡量的数量、质量和时效目标。但存在绩效指标值与项目实际工作不一致的情况，项目绩效目标表产出质量设定了“评价性抽检合格率≥90%”，实际工作中项目资金并未用于评价性抽检。此处扣减0.5分。</w:t>
      </w:r>
      <w:r>
        <w:rPr>
          <w:rFonts w:hint="eastAsia" w:ascii="Times New Roman" w:hAnsi="Times New Roman" w:eastAsia="仿宋_GB2312" w:cs="Times New Roman"/>
          <w:kern w:val="0"/>
          <w:sz w:val="32"/>
          <w:szCs w:val="32"/>
        </w:rPr>
        <w:t>在年度绩效目标中，设置日常食品安全监督抽检批次</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rPr>
        <w:t>9700批次，实际完成监督检测13812批次，偏离度为42.10%，年度任务值设置较低。</w:t>
      </w:r>
      <w:r>
        <w:rPr>
          <w:rFonts w:hint="eastAsia" w:ascii="Times New Roman" w:hAnsi="Times New Roman" w:eastAsia="仿宋_GB2312" w:cs="Times New Roman"/>
          <w:kern w:val="0"/>
          <w:sz w:val="32"/>
          <w:szCs w:val="32"/>
          <w:lang w:val="en-US" w:eastAsia="zh-CN"/>
        </w:rPr>
        <w:t>此处扣减1分。</w:t>
      </w:r>
    </w:p>
    <w:p>
      <w:pPr>
        <w:numPr>
          <w:ilvl w:val="0"/>
          <w:numId w:val="1"/>
        </w:numPr>
        <w:spacing w:line="600" w:lineRule="exact"/>
        <w:ind w:left="-10" w:leftChars="0" w:firstLine="640" w:firstLineChars="0"/>
        <w:rPr>
          <w:rFonts w:hint="default" w:ascii="Times New Roman" w:hAnsi="Times New Roman" w:eastAsia="仿宋_GB2312" w:cs="Times New Roman"/>
          <w:color w:val="FF0000"/>
          <w:kern w:val="0"/>
          <w:sz w:val="32"/>
          <w:szCs w:val="32"/>
          <w:lang w:val="en-US" w:eastAsia="zh-CN"/>
        </w:rPr>
      </w:pPr>
      <w:r>
        <w:rPr>
          <w:rFonts w:hint="eastAsia" w:ascii="Times New Roman" w:hAnsi="Times New Roman" w:eastAsia="仿宋_GB2312" w:cs="Times New Roman"/>
          <w:kern w:val="0"/>
          <w:sz w:val="32"/>
          <w:szCs w:val="32"/>
          <w:highlight w:val="none"/>
          <w:lang w:val="en-US" w:eastAsia="zh-CN"/>
        </w:rPr>
        <w:t>资金投入方面。</w:t>
      </w:r>
      <w:r>
        <w:rPr>
          <w:rFonts w:hint="eastAsia" w:ascii="Times New Roman" w:hAnsi="Times New Roman" w:eastAsia="仿宋_GB2312" w:cs="Times New Roman"/>
          <w:kern w:val="0"/>
          <w:sz w:val="32"/>
          <w:szCs w:val="32"/>
          <w:lang w:val="en-US" w:eastAsia="zh-CN"/>
        </w:rPr>
        <w:t>项目依据《山东省市场监督管理局关于印发2024年全省食品安全抽检监测计划的通知》（鲁市监食检特函〔2024〕35号），制定了年度抽检计划，并统筹推进月度抽检计划实施，重点针对问题高发的食用农产品进行抽检。</w:t>
      </w:r>
      <w:bookmarkEnd w:id="8"/>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2.过程指标分析</w:t>
      </w:r>
    </w:p>
    <w:p>
      <w:pPr>
        <w:spacing w:line="600" w:lineRule="exact"/>
        <w:ind w:firstLine="640" w:firstLineChars="200"/>
        <w:rPr>
          <w:rFonts w:hint="default" w:ascii="Times New Roman" w:hAnsi="Times New Roman" w:eastAsia="仿宋_GB2312" w:cs="Times New Roman"/>
          <w:kern w:val="0"/>
          <w:sz w:val="32"/>
          <w:szCs w:val="32"/>
          <w:lang w:val="en-US" w:eastAsia="zh-CN"/>
        </w:rPr>
      </w:pPr>
      <w:r>
        <w:rPr>
          <w:rFonts w:hint="eastAsia" w:ascii="仿宋_GB2312" w:hAnsi="仿宋_GB2312" w:eastAsia="仿宋_GB2312" w:cs="仿宋_GB2312"/>
          <w:sz w:val="32"/>
          <w:szCs w:val="40"/>
          <w:highlight w:val="none"/>
          <w:lang w:val="en-US" w:eastAsia="zh-CN"/>
        </w:rPr>
        <w:t>过程</w:t>
      </w:r>
      <w:r>
        <w:rPr>
          <w:rFonts w:hint="default" w:ascii="Times New Roman" w:hAnsi="Times New Roman" w:eastAsia="仿宋_GB2312" w:cs="Times New Roman"/>
          <w:kern w:val="0"/>
          <w:sz w:val="32"/>
          <w:szCs w:val="32"/>
          <w:lang w:val="en-US" w:eastAsia="zh-CN"/>
        </w:rPr>
        <w:t>指标满分</w:t>
      </w:r>
      <w:r>
        <w:rPr>
          <w:rFonts w:hint="eastAsia" w:ascii="Times New Roman" w:hAnsi="Times New Roman" w:eastAsia="仿宋_GB2312" w:cs="Times New Roman"/>
          <w:kern w:val="0"/>
          <w:sz w:val="32"/>
          <w:szCs w:val="32"/>
          <w:lang w:val="en-US" w:eastAsia="zh-CN"/>
        </w:rPr>
        <w:t>25</w:t>
      </w:r>
      <w:r>
        <w:rPr>
          <w:rFonts w:hint="default" w:ascii="Times New Roman" w:hAnsi="Times New Roman" w:eastAsia="仿宋_GB2312" w:cs="Times New Roman"/>
          <w:kern w:val="0"/>
          <w:sz w:val="32"/>
          <w:szCs w:val="32"/>
          <w:lang w:val="en-US" w:eastAsia="zh-CN"/>
        </w:rPr>
        <w:t>分，得分</w:t>
      </w:r>
      <w:r>
        <w:rPr>
          <w:rFonts w:hint="eastAsia" w:ascii="Times New Roman" w:hAnsi="Times New Roman" w:eastAsia="仿宋_GB2312" w:cs="Times New Roman"/>
          <w:color w:val="auto"/>
          <w:kern w:val="2"/>
          <w:sz w:val="32"/>
          <w:szCs w:val="32"/>
          <w:highlight w:val="none"/>
          <w:lang w:val="en-US" w:eastAsia="zh-CN" w:bidi="ar-SA"/>
        </w:rPr>
        <w:t>20.85</w:t>
      </w:r>
      <w:r>
        <w:rPr>
          <w:rFonts w:hint="default" w:ascii="Times New Roman" w:hAnsi="Times New Roman" w:eastAsia="仿宋_GB2312" w:cs="Times New Roman"/>
          <w:kern w:val="0"/>
          <w:sz w:val="32"/>
          <w:szCs w:val="32"/>
          <w:lang w:val="en-US" w:eastAsia="zh-CN"/>
        </w:rPr>
        <w:t>分，得分率为</w:t>
      </w:r>
      <w:r>
        <w:rPr>
          <w:rFonts w:hint="eastAsia" w:ascii="Times New Roman" w:hAnsi="Times New Roman" w:eastAsia="仿宋_GB2312" w:cs="Times New Roman"/>
          <w:color w:val="auto"/>
          <w:kern w:val="2"/>
          <w:sz w:val="32"/>
          <w:szCs w:val="32"/>
          <w:highlight w:val="none"/>
          <w:lang w:val="en-US" w:eastAsia="zh-CN" w:bidi="ar-SA"/>
        </w:rPr>
        <w:t>83.40</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lang w:val="en-US" w:eastAsia="zh-CN"/>
        </w:rPr>
        <w:t>%。</w:t>
      </w:r>
    </w:p>
    <w:p>
      <w:pPr>
        <w:spacing w:line="600" w:lineRule="exact"/>
        <w:ind w:firstLine="640" w:firstLineChars="200"/>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资金管理方面。市市场监管局严格按照《青岛市市场监管事务资金管理办法》（青财企〔2022〕27号）文件规定规范管理与使用专项资金。在资金拨付审批过程中，市市场监管局业务处室及财务处室的相关经办人员与领导均履行了签批手续，保证了程序的完整性和合规性，未发现违规占用资金的现象。但在评价过程中发现，一是买样费报销凭证的规范性有待加强，此处扣减0.1分。二是由于月度汇总结算报销涉及的批次较多，报销时间较晚，实际资金申请支付时间与发票开具时间间隔较长，此处扣减1分。</w:t>
      </w:r>
      <w:bookmarkStart w:id="9" w:name="_Toc1846"/>
    </w:p>
    <w:p>
      <w:pPr>
        <w:spacing w:line="600" w:lineRule="exact"/>
        <w:ind w:firstLine="640" w:firstLineChars="200"/>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政府购买服务管理方面。项目购买服务内容“食品药品安全服务”属于《青岛市政府购买服务指导性目录（2023年版）》范围的事项，该项目相关采购公示信息均已在“青岛市政府采购网”公开，公告起止日期符合相关管理规定。</w:t>
      </w:r>
      <w:bookmarkEnd w:id="9"/>
      <w:r>
        <w:rPr>
          <w:rFonts w:hint="eastAsia" w:ascii="Times New Roman" w:hAnsi="Times New Roman" w:eastAsia="仿宋_GB2312" w:cs="Times New Roman"/>
          <w:kern w:val="0"/>
          <w:sz w:val="32"/>
          <w:szCs w:val="32"/>
          <w:lang w:val="en-US" w:eastAsia="zh-CN"/>
        </w:rPr>
        <w:t>市市场监管局与</w:t>
      </w:r>
      <w:bookmarkStart w:id="10" w:name="_Toc4015"/>
      <w:r>
        <w:rPr>
          <w:rFonts w:hint="eastAsia" w:ascii="Times New Roman" w:hAnsi="Times New Roman" w:eastAsia="仿宋_GB2312" w:cs="Times New Roman"/>
          <w:kern w:val="0"/>
          <w:sz w:val="32"/>
          <w:szCs w:val="32"/>
          <w:lang w:val="en-US" w:eastAsia="zh-CN"/>
        </w:rPr>
        <w:t>十六家中标检测机构签订的《青岛市政府采购2024年度第三方食品检测机构项目合同书》中，均缺少检测批次</w:t>
      </w:r>
      <w:r>
        <w:rPr>
          <w:rFonts w:hint="eastAsia" w:ascii="Times New Roman" w:hAnsi="Times New Roman" w:eastAsia="仿宋_GB2312" w:cs="Times New Roman"/>
          <w:kern w:val="0"/>
          <w:sz w:val="32"/>
          <w:szCs w:val="32"/>
          <w:highlight w:val="none"/>
          <w:lang w:val="en-US" w:eastAsia="zh-CN"/>
        </w:rPr>
        <w:t>数量、验收方式</w:t>
      </w:r>
      <w:r>
        <w:rPr>
          <w:rFonts w:hint="eastAsia" w:ascii="Times New Roman" w:hAnsi="Times New Roman" w:eastAsia="仿宋_GB2312" w:cs="Times New Roman"/>
          <w:kern w:val="0"/>
          <w:sz w:val="32"/>
          <w:szCs w:val="32"/>
          <w:lang w:val="en-US" w:eastAsia="zh-CN"/>
        </w:rPr>
        <w:t>等基本条款，此处扣减0.5分；</w:t>
      </w:r>
      <w:r>
        <w:rPr>
          <w:rFonts w:hint="eastAsia" w:ascii="Times New Roman" w:hAnsi="Times New Roman" w:eastAsia="仿宋_GB2312" w:cs="Times New Roman"/>
          <w:kern w:val="0"/>
          <w:sz w:val="32"/>
          <w:szCs w:val="32"/>
          <w:highlight w:val="none"/>
          <w:lang w:val="en-US" w:eastAsia="zh-CN"/>
        </w:rPr>
        <w:t>在合同执行过程中，存在未完全依照月度抽检计划制定的抽检项目开展检测的状况。此处扣减0.5分。市市场监督管理局</w:t>
      </w:r>
      <w:r>
        <w:rPr>
          <w:rFonts w:hint="eastAsia" w:ascii="Times New Roman" w:hAnsi="Times New Roman" w:eastAsia="仿宋_GB2312" w:cs="Times New Roman"/>
          <w:kern w:val="0"/>
          <w:sz w:val="32"/>
          <w:szCs w:val="32"/>
          <w:lang w:val="en-US" w:eastAsia="zh-CN"/>
        </w:rPr>
        <w:t>在年末对2024年度承担检测任务的检测机构进行了全覆盖检查，</w:t>
      </w:r>
      <w:r>
        <w:rPr>
          <w:rFonts w:hint="eastAsia" w:ascii="Times New Roman" w:hAnsi="Times New Roman" w:eastAsia="仿宋_GB2312" w:cs="Times New Roman"/>
          <w:kern w:val="0"/>
          <w:sz w:val="32"/>
          <w:szCs w:val="32"/>
          <w:highlight w:val="none"/>
          <w:u w:val="none"/>
          <w:lang w:val="en-US" w:eastAsia="zh-CN"/>
        </w:rPr>
        <w:t>根据年末对检测机构的实地检查结果通告，中介机构在履约过程中存在较多问题，</w:t>
      </w:r>
      <w:r>
        <w:rPr>
          <w:rFonts w:hint="eastAsia" w:ascii="Times New Roman" w:hAnsi="Times New Roman" w:eastAsia="仿宋_GB2312" w:cs="Times New Roman"/>
          <w:kern w:val="0"/>
          <w:sz w:val="32"/>
          <w:szCs w:val="32"/>
          <w:u w:val="none"/>
          <w:lang w:val="en-US" w:eastAsia="zh-CN"/>
        </w:rPr>
        <w:t>市市场监督管理局未留存规范的过程监管记录、</w:t>
      </w:r>
      <w:r>
        <w:rPr>
          <w:rFonts w:hint="eastAsia" w:ascii="Times New Roman" w:hAnsi="Times New Roman" w:eastAsia="仿宋_GB2312" w:cs="Times New Roman"/>
          <w:kern w:val="0"/>
          <w:sz w:val="32"/>
          <w:szCs w:val="32"/>
          <w:lang w:val="en-US" w:eastAsia="zh-CN"/>
        </w:rPr>
        <w:t>问题处理记录及验收记录，此处扣减1.75分。</w:t>
      </w:r>
      <w:bookmarkEnd w:id="10"/>
    </w:p>
    <w:p>
      <w:pPr>
        <w:spacing w:line="600" w:lineRule="exact"/>
        <w:ind w:firstLine="640" w:firstLineChars="200"/>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同时，</w:t>
      </w:r>
      <w:r>
        <w:rPr>
          <w:rFonts w:hint="eastAsia" w:ascii="Times New Roman" w:hAnsi="Times New Roman" w:eastAsia="仿宋_GB2312" w:cs="Times New Roman"/>
          <w:kern w:val="0"/>
          <w:sz w:val="32"/>
          <w:szCs w:val="32"/>
          <w:highlight w:val="none"/>
          <w:lang w:val="en-US" w:eastAsia="zh-CN"/>
        </w:rPr>
        <w:t>按照《关于全面实施预算绩效管理的意见》的要求，</w:t>
      </w:r>
      <w:r>
        <w:rPr>
          <w:rFonts w:hint="eastAsia" w:ascii="Times New Roman" w:hAnsi="Times New Roman" w:eastAsia="仿宋_GB2312" w:cs="Times New Roman"/>
          <w:kern w:val="0"/>
          <w:sz w:val="32"/>
          <w:szCs w:val="32"/>
          <w:lang w:val="en-US" w:eastAsia="zh-CN"/>
        </w:rPr>
        <w:t>市市场监管局在项目推进过程中，未能依据绩效监控结果及时</w:t>
      </w:r>
      <w:r>
        <w:rPr>
          <w:rFonts w:hint="eastAsia" w:ascii="Times New Roman" w:hAnsi="Times New Roman" w:eastAsia="仿宋_GB2312" w:cs="Times New Roman"/>
          <w:kern w:val="0"/>
          <w:sz w:val="32"/>
          <w:szCs w:val="32"/>
          <w:highlight w:val="none"/>
          <w:lang w:val="en-US" w:eastAsia="zh-CN"/>
        </w:rPr>
        <w:t>调整绩效目标</w:t>
      </w:r>
      <w:r>
        <w:rPr>
          <w:rFonts w:hint="eastAsia" w:ascii="Times New Roman" w:hAnsi="Times New Roman" w:eastAsia="仿宋_GB2312" w:cs="Times New Roman"/>
          <w:kern w:val="0"/>
          <w:sz w:val="32"/>
          <w:szCs w:val="32"/>
          <w:lang w:val="en-US" w:eastAsia="zh-CN"/>
        </w:rPr>
        <w:t>。此处扣减0.3分。</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3.产出指标分析</w:t>
      </w:r>
    </w:p>
    <w:p>
      <w:pPr>
        <w:pStyle w:val="2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仿宋_GB2312" w:cs="Times New Roman"/>
          <w:kern w:val="0"/>
          <w:sz w:val="32"/>
          <w:szCs w:val="32"/>
          <w:highlight w:val="none"/>
          <w:lang w:val="en-US" w:eastAsia="zh-CN"/>
        </w:rPr>
      </w:pPr>
      <w:r>
        <w:rPr>
          <w:rFonts w:hint="eastAsia" w:ascii="仿宋_GB2312" w:hAnsi="仿宋_GB2312" w:eastAsia="仿宋_GB2312" w:cs="仿宋_GB2312"/>
          <w:sz w:val="32"/>
          <w:szCs w:val="40"/>
          <w:highlight w:val="none"/>
          <w:lang w:val="en-US" w:eastAsia="zh-CN"/>
        </w:rPr>
        <w:t>产出部分</w:t>
      </w:r>
      <w:r>
        <w:rPr>
          <w:rFonts w:hint="default" w:ascii="Times New Roman" w:hAnsi="Times New Roman" w:eastAsia="仿宋_GB2312" w:cs="Times New Roman"/>
          <w:kern w:val="0"/>
          <w:sz w:val="32"/>
          <w:szCs w:val="32"/>
          <w:highlight w:val="none"/>
          <w:lang w:val="en-US" w:eastAsia="zh-CN"/>
        </w:rPr>
        <w:t>指标满分</w:t>
      </w:r>
      <w:r>
        <w:rPr>
          <w:rFonts w:hint="eastAsia" w:ascii="Times New Roman" w:hAnsi="Times New Roman" w:eastAsia="仿宋_GB2312" w:cs="Times New Roman"/>
          <w:kern w:val="0"/>
          <w:sz w:val="32"/>
          <w:szCs w:val="32"/>
          <w:highlight w:val="none"/>
          <w:lang w:val="en-US" w:eastAsia="zh-CN"/>
        </w:rPr>
        <w:t>30</w:t>
      </w:r>
      <w:r>
        <w:rPr>
          <w:rFonts w:hint="default" w:ascii="Times New Roman" w:hAnsi="Times New Roman" w:eastAsia="仿宋_GB2312" w:cs="Times New Roman"/>
          <w:kern w:val="0"/>
          <w:sz w:val="32"/>
          <w:szCs w:val="32"/>
          <w:highlight w:val="none"/>
          <w:lang w:val="en-US" w:eastAsia="zh-CN"/>
        </w:rPr>
        <w:t>分，得分</w:t>
      </w:r>
      <w:r>
        <w:rPr>
          <w:rFonts w:hint="eastAsia" w:ascii="Times New Roman" w:hAnsi="Times New Roman" w:eastAsia="仿宋_GB2312" w:cs="Times New Roman"/>
          <w:kern w:val="0"/>
          <w:sz w:val="32"/>
          <w:szCs w:val="32"/>
          <w:highlight w:val="none"/>
          <w:lang w:val="en-US" w:eastAsia="zh-CN"/>
        </w:rPr>
        <w:t>29.42</w:t>
      </w:r>
      <w:r>
        <w:rPr>
          <w:rFonts w:hint="default" w:ascii="Times New Roman" w:hAnsi="Times New Roman" w:eastAsia="仿宋_GB2312" w:cs="Times New Roman"/>
          <w:kern w:val="0"/>
          <w:sz w:val="32"/>
          <w:szCs w:val="32"/>
          <w:highlight w:val="none"/>
          <w:lang w:val="en-US" w:eastAsia="zh-CN"/>
        </w:rPr>
        <w:t>分，得分率为</w:t>
      </w:r>
      <w:r>
        <w:rPr>
          <w:rFonts w:hint="eastAsia" w:ascii="Times New Roman" w:hAnsi="Times New Roman" w:eastAsia="仿宋_GB2312" w:cs="Times New Roman"/>
          <w:kern w:val="0"/>
          <w:sz w:val="32"/>
          <w:szCs w:val="32"/>
          <w:highlight w:val="none"/>
          <w:lang w:val="en-US" w:eastAsia="zh-CN"/>
        </w:rPr>
        <w:t>98.07</w:t>
      </w:r>
      <w:r>
        <w:rPr>
          <w:rFonts w:hint="default" w:ascii="Times New Roman" w:hAnsi="Times New Roman" w:eastAsia="仿宋_GB2312" w:cs="Times New Roman"/>
          <w:kern w:val="0"/>
          <w:sz w:val="32"/>
          <w:szCs w:val="32"/>
          <w:highlight w:val="none"/>
          <w:lang w:val="en-US" w:eastAsia="zh-CN"/>
        </w:rPr>
        <w:t>%。</w:t>
      </w:r>
    </w:p>
    <w:p>
      <w:pPr>
        <w:spacing w:line="600" w:lineRule="exact"/>
        <w:ind w:firstLine="640" w:firstLineChars="200"/>
        <w:rPr>
          <w:rFonts w:hint="default" w:ascii="Times New Roman" w:hAnsi="Times New Roman" w:eastAsia="仿宋_GB2312" w:cs="Times New Roman"/>
          <w:kern w:val="0"/>
          <w:sz w:val="32"/>
          <w:szCs w:val="32"/>
          <w:lang w:val="en-US" w:eastAsia="zh-CN"/>
        </w:rPr>
      </w:pPr>
      <w:bookmarkStart w:id="11" w:name="_Toc20854"/>
      <w:r>
        <w:rPr>
          <w:rFonts w:hint="eastAsia" w:ascii="Times New Roman" w:hAnsi="Times New Roman" w:eastAsia="仿宋_GB2312" w:cs="Times New Roman"/>
          <w:kern w:val="0"/>
          <w:sz w:val="32"/>
          <w:szCs w:val="32"/>
          <w:lang w:val="en-US" w:eastAsia="zh-CN"/>
        </w:rPr>
        <w:t>（1）产出数量方面。通过查看市市场监管局食品抽检工作专报、国家食品安全抽样检验信息系统，2</w:t>
      </w:r>
      <w:r>
        <w:rPr>
          <w:rFonts w:hint="default" w:ascii="Times New Roman" w:hAnsi="Times New Roman" w:eastAsia="仿宋_GB2312" w:cs="Times New Roman"/>
          <w:kern w:val="0"/>
          <w:sz w:val="32"/>
          <w:szCs w:val="32"/>
          <w:lang w:val="en-US" w:eastAsia="zh-CN"/>
        </w:rPr>
        <w:t>024年度食品检测资金</w:t>
      </w:r>
      <w:r>
        <w:rPr>
          <w:rFonts w:hint="eastAsia" w:ascii="Times New Roman" w:hAnsi="Times New Roman" w:eastAsia="仿宋_GB2312" w:cs="Times New Roman"/>
          <w:kern w:val="0"/>
          <w:sz w:val="32"/>
          <w:szCs w:val="32"/>
          <w:lang w:val="en-US" w:eastAsia="zh-CN"/>
        </w:rPr>
        <w:t>（政府购买服务</w:t>
      </w:r>
      <w:r>
        <w:rPr>
          <w:rFonts w:hint="default" w:ascii="Times New Roman" w:hAnsi="Times New Roman" w:eastAsia="仿宋_GB2312" w:cs="Times New Roman"/>
          <w:kern w:val="0"/>
          <w:sz w:val="32"/>
          <w:szCs w:val="32"/>
          <w:lang w:val="en-US" w:eastAsia="zh-CN"/>
        </w:rPr>
        <w:t>项目</w:t>
      </w:r>
      <w:r>
        <w:rPr>
          <w:rFonts w:hint="eastAsia" w:ascii="Times New Roman" w:hAnsi="Times New Roman" w:eastAsia="仿宋_GB2312" w:cs="Times New Roman"/>
          <w:kern w:val="0"/>
          <w:sz w:val="32"/>
          <w:szCs w:val="32"/>
          <w:lang w:val="en-US" w:eastAsia="zh-CN"/>
        </w:rPr>
        <w:t>）已完成年度绩效目标。实际完成食品安全监督抽检13812批次，食品安全风险监测314批次</w:t>
      </w:r>
      <w:r>
        <w:rPr>
          <w:rFonts w:hint="default" w:ascii="Times New Roman" w:hAnsi="Times New Roman" w:eastAsia="仿宋_GB2312" w:cs="Times New Roman"/>
          <w:kern w:val="0"/>
          <w:sz w:val="32"/>
          <w:szCs w:val="32"/>
          <w:lang w:val="en-US" w:eastAsia="zh-CN"/>
        </w:rPr>
        <w:t>，具体完成情况如下</w:t>
      </w:r>
      <w:r>
        <w:rPr>
          <w:rFonts w:hint="eastAsia" w:ascii="Times New Roman" w:hAnsi="Times New Roman" w:eastAsia="仿宋_GB2312" w:cs="Times New Roman"/>
          <w:kern w:val="0"/>
          <w:sz w:val="32"/>
          <w:szCs w:val="32"/>
          <w:lang w:val="en-US" w:eastAsia="zh-CN"/>
        </w:rPr>
        <w:t>：</w:t>
      </w:r>
      <w:bookmarkEnd w:id="11"/>
    </w:p>
    <w:p>
      <w:pPr>
        <w:widowControl/>
        <w:spacing w:line="560" w:lineRule="exact"/>
        <w:ind w:firstLine="480" w:firstLineChars="200"/>
        <w:jc w:val="center"/>
        <w:rPr>
          <w:rFonts w:hint="default" w:ascii="Times New Roman Regular" w:hAnsi="Times New Roman Regular" w:eastAsia="黑体" w:cs="Times New Roman Regular"/>
          <w:sz w:val="24"/>
          <w:lang w:val="en-US" w:eastAsia="zh-CN"/>
        </w:rPr>
      </w:pPr>
      <w:bookmarkStart w:id="12" w:name="_Toc18447"/>
      <w:r>
        <w:rPr>
          <w:rFonts w:hint="eastAsia" w:ascii="Times New Roman Regular" w:hAnsi="Times New Roman Regular" w:eastAsia="黑体" w:cs="Times New Roman Regular"/>
          <w:sz w:val="24"/>
          <w:lang w:val="en-US" w:eastAsia="zh-CN"/>
        </w:rPr>
        <w:t xml:space="preserve">表3-2 </w:t>
      </w:r>
      <w:r>
        <w:rPr>
          <w:rFonts w:hint="default" w:ascii="Times New Roman Regular" w:hAnsi="Times New Roman Regular" w:eastAsia="黑体" w:cs="Times New Roman Regular"/>
          <w:sz w:val="24"/>
          <w:lang w:val="en-US" w:eastAsia="zh-CN"/>
        </w:rPr>
        <w:t>2024年食品检测资金（政府购买服务项目）完成</w:t>
      </w:r>
      <w:r>
        <w:rPr>
          <w:rFonts w:hint="eastAsia" w:ascii="Times New Roman Regular" w:hAnsi="Times New Roman Regular" w:eastAsia="黑体" w:cs="Times New Roman Regular"/>
          <w:sz w:val="24"/>
          <w:lang w:val="en-US" w:eastAsia="zh-CN"/>
        </w:rPr>
        <w:t>批次</w:t>
      </w:r>
      <w:r>
        <w:rPr>
          <w:rFonts w:hint="default" w:ascii="Times New Roman Regular" w:hAnsi="Times New Roman Regular" w:eastAsia="黑体" w:cs="Times New Roman Regular"/>
          <w:sz w:val="24"/>
          <w:lang w:val="en-US" w:eastAsia="zh-CN"/>
        </w:rPr>
        <w:t>汇总表</w:t>
      </w:r>
      <w:bookmarkEnd w:id="12"/>
    </w:p>
    <w:tbl>
      <w:tblPr>
        <w:tblStyle w:val="30"/>
        <w:tblW w:w="500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41"/>
        <w:gridCol w:w="3710"/>
        <w:gridCol w:w="2184"/>
        <w:gridCol w:w="21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shd w:val="clear" w:color="auto" w:fill="E7E6E6" w:themeFill="background2"/>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黑体" w:eastAsia="黑体" w:cs="黑体"/>
                <w:b w:val="0"/>
                <w:bCs w:val="0"/>
                <w:i w:val="0"/>
                <w:iCs w:val="0"/>
                <w:color w:val="auto"/>
                <w:kern w:val="0"/>
                <w:sz w:val="21"/>
                <w:szCs w:val="21"/>
                <w:highlight w:val="none"/>
                <w:u w:val="none"/>
                <w:lang w:val="en-US" w:eastAsia="zh-CN" w:bidi="ar"/>
              </w:rPr>
            </w:pPr>
            <w:r>
              <w:rPr>
                <w:rFonts w:hint="eastAsia" w:ascii="黑体" w:hAnsi="黑体" w:eastAsia="黑体" w:cs="黑体"/>
                <w:b w:val="0"/>
                <w:bCs w:val="0"/>
                <w:i w:val="0"/>
                <w:iCs w:val="0"/>
                <w:color w:val="auto"/>
                <w:kern w:val="0"/>
                <w:sz w:val="21"/>
                <w:szCs w:val="21"/>
                <w:highlight w:val="none"/>
                <w:u w:val="none"/>
                <w:lang w:val="en-US" w:eastAsia="zh-CN" w:bidi="ar"/>
              </w:rPr>
              <w:t>序号</w:t>
            </w:r>
          </w:p>
        </w:tc>
        <w:tc>
          <w:tcPr>
            <w:tcW w:w="2177" w:type="pct"/>
            <w:shd w:val="clear" w:color="auto" w:fill="E7E6E6" w:themeFill="background2"/>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黑体" w:hAnsi="黑体" w:eastAsia="黑体" w:cs="黑体"/>
                <w:b w:val="0"/>
                <w:bCs w:val="0"/>
                <w:i w:val="0"/>
                <w:iCs w:val="0"/>
                <w:color w:val="auto"/>
                <w:kern w:val="0"/>
                <w:sz w:val="21"/>
                <w:szCs w:val="21"/>
                <w:highlight w:val="none"/>
                <w:u w:val="none"/>
                <w:lang w:val="en-US" w:eastAsia="zh-CN" w:bidi="ar"/>
              </w:rPr>
            </w:pPr>
            <w:r>
              <w:rPr>
                <w:rFonts w:hint="eastAsia" w:ascii="黑体" w:hAnsi="黑体" w:eastAsia="黑体" w:cs="黑体"/>
                <w:b w:val="0"/>
                <w:bCs w:val="0"/>
                <w:i w:val="0"/>
                <w:iCs w:val="0"/>
                <w:color w:val="auto"/>
                <w:kern w:val="0"/>
                <w:sz w:val="21"/>
                <w:szCs w:val="21"/>
                <w:highlight w:val="none"/>
                <w:u w:val="none"/>
                <w:lang w:val="en-US" w:eastAsia="zh-CN" w:bidi="ar"/>
              </w:rPr>
              <w:t>检测机构</w:t>
            </w:r>
          </w:p>
        </w:tc>
        <w:tc>
          <w:tcPr>
            <w:tcW w:w="1281" w:type="pct"/>
            <w:shd w:val="clear" w:color="auto" w:fill="E7E6E6" w:themeFill="background2"/>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黑体" w:eastAsia="黑体" w:cs="黑体"/>
                <w:b w:val="0"/>
                <w:bCs w:val="0"/>
                <w:i w:val="0"/>
                <w:iCs w:val="0"/>
                <w:color w:val="auto"/>
                <w:kern w:val="0"/>
                <w:sz w:val="21"/>
                <w:szCs w:val="21"/>
                <w:highlight w:val="none"/>
                <w:u w:val="none"/>
                <w:lang w:val="en-US" w:eastAsia="zh-CN" w:bidi="ar"/>
              </w:rPr>
            </w:pPr>
            <w:r>
              <w:rPr>
                <w:rFonts w:hint="eastAsia" w:ascii="黑体" w:hAnsi="黑体" w:eastAsia="黑体" w:cs="黑体"/>
                <w:b w:val="0"/>
                <w:bCs w:val="0"/>
                <w:i w:val="0"/>
                <w:iCs w:val="0"/>
                <w:color w:val="auto"/>
                <w:kern w:val="0"/>
                <w:sz w:val="21"/>
                <w:szCs w:val="21"/>
                <w:highlight w:val="none"/>
                <w:u w:val="none"/>
                <w:lang w:val="en-US" w:eastAsia="zh-CN" w:bidi="ar"/>
              </w:rPr>
              <w:t>食品安全监督抽检批次</w:t>
            </w:r>
          </w:p>
        </w:tc>
        <w:tc>
          <w:tcPr>
            <w:tcW w:w="1281" w:type="pct"/>
            <w:shd w:val="clear" w:color="auto" w:fill="E7E6E6" w:themeFill="background2"/>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黑体" w:eastAsia="黑体" w:cs="黑体"/>
                <w:b w:val="0"/>
                <w:bCs w:val="0"/>
                <w:i w:val="0"/>
                <w:iCs w:val="0"/>
                <w:color w:val="auto"/>
                <w:kern w:val="0"/>
                <w:sz w:val="21"/>
                <w:szCs w:val="21"/>
                <w:highlight w:val="none"/>
                <w:u w:val="none"/>
                <w:lang w:val="en-US" w:eastAsia="zh-CN" w:bidi="ar"/>
              </w:rPr>
            </w:pPr>
            <w:r>
              <w:rPr>
                <w:rFonts w:hint="eastAsia" w:ascii="黑体" w:hAnsi="黑体" w:eastAsia="黑体" w:cs="黑体"/>
                <w:b w:val="0"/>
                <w:bCs w:val="0"/>
                <w:i w:val="0"/>
                <w:iCs w:val="0"/>
                <w:color w:val="auto"/>
                <w:kern w:val="0"/>
                <w:sz w:val="21"/>
                <w:szCs w:val="21"/>
                <w:highlight w:val="none"/>
                <w:u w:val="none"/>
                <w:lang w:val="en-US" w:eastAsia="zh-CN" w:bidi="ar"/>
              </w:rPr>
              <w:t>食品安全风险监测批次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青岛海关技术中心</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1218</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2</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青岛市华测检测技术有限公司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1191</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3</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青岛谱尼测试有限公司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1209</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4</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方圆标志检化验检测（山东）有限公司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950</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5</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梅里埃检测技术（青岛）有限公司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976</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6</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山东世通检测评价技术服务有限公司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905</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7</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英格尔检测认证（山东）有限公司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968</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8</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中谱安信（青岛）检测科技有限公司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899</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9</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中维安全检测认证集团有限公司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905</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10</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山东拜尔检测股份有限公司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641</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11</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必维信诺（山东）技术检测有限公司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613</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12</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国检（青岛）检测技术有限公司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638</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13</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鲁健检测科技有限公司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754</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14</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青岛顺昌检测评价有限公司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646</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15</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青岛元信检测技术有限公司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636</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16</w:t>
            </w: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青岛海润农大检测有限公司</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663</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blHeader/>
        </w:trPr>
        <w:tc>
          <w:tcPr>
            <w:tcW w:w="259"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p>
        </w:tc>
        <w:tc>
          <w:tcPr>
            <w:tcW w:w="2177"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合计</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13812</w:t>
            </w:r>
          </w:p>
        </w:tc>
        <w:tc>
          <w:tcPr>
            <w:tcW w:w="1281" w:type="pct"/>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314</w:t>
            </w:r>
          </w:p>
        </w:tc>
      </w:tr>
    </w:tbl>
    <w:p>
      <w:pPr>
        <w:pStyle w:val="2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仿宋_GB2312" w:cs="Times New Roman"/>
          <w:color w:val="FF0000"/>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2024年青岛市本级监督抽检共计13812批次，共计33大类。涵盖粮食加工品，食用油、油脂及其制品，调味品，肉制品，乳制品，饮料，方便食品，饼干，罐头，冷冻饮品，速冻食品，薯类和膨化食品，糖果制品，茶叶及相关制品，酒类，蔬菜制品，水果制品，炒货食品及坚果制品，蛋制品，可可及焙烤咖啡产品，食糖，水产制品，淀粉及淀粉制品，糕点，豆制品，蜂产品，保健食品，特殊膳食食品，餐饮食品，食品添加剂，食用农产品，其他食品。</w:t>
      </w:r>
    </w:p>
    <w:p>
      <w:pPr>
        <w:pStyle w:val="2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2024年青岛市本级</w:t>
      </w:r>
      <w:r>
        <w:rPr>
          <w:rFonts w:hint="default" w:ascii="Times New Roman" w:hAnsi="Times New Roman" w:eastAsia="仿宋_GB2312" w:cs="Times New Roman"/>
          <w:color w:val="auto"/>
          <w:kern w:val="2"/>
          <w:sz w:val="32"/>
          <w:szCs w:val="32"/>
          <w:highlight w:val="none"/>
          <w:lang w:val="en-US" w:eastAsia="zh-CN" w:bidi="ar-SA"/>
        </w:rPr>
        <w:t>食品安全监测</w:t>
      </w:r>
      <w:r>
        <w:rPr>
          <w:rFonts w:hint="eastAsia" w:ascii="Times New Roman" w:hAnsi="Times New Roman" w:eastAsia="仿宋_GB2312" w:cs="Times New Roman"/>
          <w:color w:val="auto"/>
          <w:kern w:val="2"/>
          <w:sz w:val="32"/>
          <w:szCs w:val="32"/>
          <w:highlight w:val="none"/>
          <w:lang w:val="en-US" w:eastAsia="zh-CN" w:bidi="ar-SA"/>
        </w:rPr>
        <w:t>抽检共计314批次，</w:t>
      </w:r>
      <w:r>
        <w:rPr>
          <w:rFonts w:hint="default" w:ascii="Times New Roman" w:hAnsi="Times New Roman" w:eastAsia="仿宋_GB2312" w:cs="Times New Roman"/>
          <w:color w:val="auto"/>
          <w:kern w:val="2"/>
          <w:sz w:val="32"/>
          <w:szCs w:val="32"/>
          <w:highlight w:val="none"/>
          <w:lang w:val="en-US" w:eastAsia="zh-CN" w:bidi="ar-SA"/>
        </w:rPr>
        <w:t>食品安全风险监测共计抽检20大类，</w:t>
      </w:r>
      <w:r>
        <w:rPr>
          <w:rFonts w:hint="eastAsia" w:ascii="Times New Roman" w:hAnsi="Times New Roman" w:eastAsia="仿宋_GB2312" w:cs="Times New Roman"/>
          <w:color w:val="auto"/>
          <w:kern w:val="2"/>
          <w:sz w:val="32"/>
          <w:szCs w:val="32"/>
          <w:highlight w:val="none"/>
          <w:lang w:val="en-US" w:eastAsia="zh-CN" w:bidi="ar-SA"/>
        </w:rPr>
        <w:t>涵盖</w:t>
      </w:r>
      <w:r>
        <w:rPr>
          <w:rFonts w:hint="default" w:ascii="Times New Roman" w:hAnsi="Times New Roman" w:eastAsia="仿宋_GB2312" w:cs="Times New Roman"/>
          <w:color w:val="auto"/>
          <w:kern w:val="2"/>
          <w:sz w:val="32"/>
          <w:szCs w:val="32"/>
          <w:highlight w:val="none"/>
          <w:lang w:val="en-US" w:eastAsia="zh-CN" w:bidi="ar-SA"/>
        </w:rPr>
        <w:t>粮食加工品，淀粉及淀粉制品，酒类，调味品，糖果制品，茶叶及相关制品，饮料，饼干，乳制品，可可及焙烤咖啡产品，速冻食品，肉制品，罐头，水产制品，糕点，豆制品，方便食品，食用农产品，餐饮食品，食品添加剂</w:t>
      </w:r>
      <w:r>
        <w:rPr>
          <w:rFonts w:hint="eastAsia" w:ascii="Times New Roman" w:hAnsi="Times New Roman" w:eastAsia="仿宋_GB2312" w:cs="Times New Roman"/>
          <w:color w:val="auto"/>
          <w:kern w:val="2"/>
          <w:sz w:val="32"/>
          <w:szCs w:val="32"/>
          <w:highlight w:val="none"/>
          <w:lang w:val="en-US" w:eastAsia="zh-CN" w:bidi="ar-SA"/>
        </w:rPr>
        <w:t>。</w:t>
      </w:r>
    </w:p>
    <w:p>
      <w:pPr>
        <w:pStyle w:val="2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（2）产出质量方面。依据2024年全市系统食品抽检分析报告进行整体分析。市级监督抽检各抽检品类合格率均超过95%。</w:t>
      </w:r>
    </w:p>
    <w:p>
      <w:pPr>
        <w:pStyle w:val="2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市级监督抽检已全面覆盖青岛市区内十个区市，区域合格率均超过95%，各区市覆盖率及合格率详见表3-3。</w:t>
      </w:r>
    </w:p>
    <w:p>
      <w:pPr>
        <w:pStyle w:val="6"/>
        <w:bidi w:val="0"/>
        <w:rPr>
          <w:rFonts w:hint="eastAsia" w:ascii="Times New Roman Regular" w:hAnsi="Times New Roman Regular" w:eastAsia="黑体" w:cs="Times New Roman Regular"/>
          <w:sz w:val="24"/>
          <w:lang w:val="en-US" w:eastAsia="zh-CN"/>
        </w:rPr>
      </w:pPr>
    </w:p>
    <w:p>
      <w:pPr>
        <w:pStyle w:val="6"/>
        <w:bidi w:val="0"/>
        <w:rPr>
          <w:rFonts w:hint="default" w:ascii="Times New Roman" w:hAnsi="Times New Roman" w:eastAsia="黑体" w:cs="Times New Roman"/>
          <w:color w:val="auto"/>
          <w:sz w:val="24"/>
          <w:szCs w:val="24"/>
          <w:highlight w:val="none"/>
          <w:lang w:val="en-US" w:eastAsia="zh-CN"/>
        </w:rPr>
      </w:pPr>
      <w:r>
        <w:rPr>
          <w:rFonts w:hint="eastAsia" w:ascii="Times New Roman Regular" w:hAnsi="Times New Roman Regular" w:eastAsia="黑体" w:cs="Times New Roman Regular"/>
          <w:sz w:val="24"/>
          <w:lang w:val="en-US" w:eastAsia="zh-CN"/>
        </w:rPr>
        <w:t>表</w:t>
      </w:r>
      <w:r>
        <w:rPr>
          <w:rFonts w:hint="eastAsia" w:ascii="Times New Roman Regular" w:hAnsi="Times New Roman Regular" w:cs="Times New Roman Regular"/>
          <w:sz w:val="24"/>
          <w:lang w:val="en-US" w:eastAsia="zh-CN"/>
        </w:rPr>
        <w:t>3</w:t>
      </w:r>
      <w:r>
        <w:rPr>
          <w:rFonts w:hint="eastAsia" w:ascii="Times New Roman Regular" w:hAnsi="Times New Roman Regular" w:eastAsia="黑体" w:cs="Times New Roman Regular"/>
          <w:sz w:val="24"/>
          <w:lang w:val="en-US" w:eastAsia="zh-CN"/>
        </w:rPr>
        <w:t>-</w:t>
      </w:r>
      <w:r>
        <w:rPr>
          <w:rFonts w:hint="eastAsia" w:ascii="Times New Roman Regular" w:hAnsi="Times New Roman Regular" w:cs="Times New Roman Regular"/>
          <w:sz w:val="24"/>
          <w:lang w:val="en-US" w:eastAsia="zh-CN"/>
        </w:rPr>
        <w:t>3</w:t>
      </w:r>
      <w:r>
        <w:rPr>
          <w:rFonts w:hint="eastAsia" w:ascii="Times New Roman Regular" w:hAnsi="Times New Roman Regular" w:eastAsia="黑体" w:cs="Times New Roman Regular"/>
          <w:sz w:val="24"/>
          <w:lang w:val="en-US" w:eastAsia="zh-CN"/>
        </w:rPr>
        <w:t xml:space="preserve"> </w:t>
      </w:r>
      <w:r>
        <w:rPr>
          <w:rFonts w:hint="eastAsia" w:ascii="Times New Roman Regular" w:hAnsi="Times New Roman Regular" w:cs="Times New Roman Regular"/>
          <w:sz w:val="24"/>
          <w:lang w:val="en-US" w:eastAsia="zh-CN"/>
        </w:rPr>
        <w:t xml:space="preserve"> </w:t>
      </w:r>
      <w:r>
        <w:rPr>
          <w:rFonts w:hint="default" w:ascii="Times New Roman" w:hAnsi="Times New Roman" w:eastAsia="黑体" w:cs="Times New Roman"/>
          <w:color w:val="auto"/>
          <w:sz w:val="24"/>
          <w:szCs w:val="24"/>
          <w:highlight w:val="none"/>
          <w:lang w:val="en-US" w:eastAsia="zh-CN"/>
        </w:rPr>
        <w:t>2024年度市级监督抽检各区市检测结果汇总表</w:t>
      </w:r>
    </w:p>
    <w:tbl>
      <w:tblPr>
        <w:tblStyle w:val="1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6"/>
        <w:gridCol w:w="1901"/>
        <w:gridCol w:w="1528"/>
        <w:gridCol w:w="1601"/>
        <w:gridCol w:w="1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blHeader/>
        </w:trPr>
        <w:tc>
          <w:tcPr>
            <w:tcW w:w="2526" w:type="dxa"/>
            <w:shd w:val="clear" w:color="auto" w:fill="E7E6E6" w:themeFill="background2"/>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黑体" w:cs="Times New Roman"/>
                <w:b w:val="0"/>
                <w:bCs w:val="0"/>
                <w:color w:val="auto"/>
                <w:kern w:val="2"/>
                <w:sz w:val="21"/>
                <w:szCs w:val="21"/>
                <w:highlight w:val="none"/>
                <w:vertAlign w:val="baseline"/>
                <w:lang w:val="zh-CN" w:eastAsia="zh-CN" w:bidi="ar-SA"/>
              </w:rPr>
            </w:pPr>
            <w:r>
              <w:rPr>
                <w:rFonts w:hint="eastAsia" w:ascii="Times New Roman" w:hAnsi="Times New Roman" w:eastAsia="黑体" w:cs="Times New Roman"/>
                <w:b w:val="0"/>
                <w:bCs w:val="0"/>
                <w:color w:val="auto"/>
                <w:kern w:val="2"/>
                <w:sz w:val="21"/>
                <w:szCs w:val="21"/>
                <w:highlight w:val="none"/>
                <w:vertAlign w:val="baseline"/>
                <w:lang w:val="en-US" w:eastAsia="zh-CN" w:bidi="ar-SA"/>
              </w:rPr>
              <w:t>区市</w:t>
            </w:r>
          </w:p>
        </w:tc>
        <w:tc>
          <w:tcPr>
            <w:tcW w:w="1901" w:type="dxa"/>
            <w:shd w:val="clear" w:color="auto" w:fill="E7E6E6" w:themeFill="background2"/>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黑体" w:cs="Times New Roman"/>
                <w:b w:val="0"/>
                <w:bCs w:val="0"/>
                <w:color w:val="auto"/>
                <w:kern w:val="2"/>
                <w:sz w:val="21"/>
                <w:szCs w:val="21"/>
                <w:highlight w:val="none"/>
                <w:vertAlign w:val="baseline"/>
                <w:lang w:val="zh-CN" w:eastAsia="zh-CN" w:bidi="ar-SA"/>
              </w:rPr>
            </w:pPr>
            <w:r>
              <w:rPr>
                <w:rFonts w:hint="eastAsia" w:ascii="Times New Roman" w:hAnsi="Times New Roman" w:eastAsia="黑体" w:cs="Times New Roman"/>
                <w:b w:val="0"/>
                <w:bCs w:val="0"/>
                <w:color w:val="auto"/>
                <w:kern w:val="2"/>
                <w:sz w:val="21"/>
                <w:szCs w:val="21"/>
                <w:highlight w:val="none"/>
                <w:vertAlign w:val="baseline"/>
                <w:lang w:val="en-US" w:eastAsia="zh-CN" w:bidi="ar-SA"/>
              </w:rPr>
              <w:t>抽检批次数</w:t>
            </w:r>
          </w:p>
        </w:tc>
        <w:tc>
          <w:tcPr>
            <w:tcW w:w="1528" w:type="dxa"/>
            <w:shd w:val="clear" w:color="auto" w:fill="E7E6E6" w:themeFill="background2"/>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黑体" w:cs="Times New Roman"/>
                <w:b w:val="0"/>
                <w:bCs w:val="0"/>
                <w:color w:val="auto"/>
                <w:kern w:val="2"/>
                <w:sz w:val="21"/>
                <w:szCs w:val="21"/>
                <w:highlight w:val="none"/>
                <w:vertAlign w:val="baseline"/>
                <w:lang w:val="zh-CN" w:eastAsia="zh-CN" w:bidi="ar-SA"/>
              </w:rPr>
            </w:pPr>
            <w:r>
              <w:rPr>
                <w:rFonts w:hint="eastAsia" w:eastAsia="黑体" w:cs="Times New Roman"/>
                <w:b w:val="0"/>
                <w:bCs w:val="0"/>
                <w:color w:val="auto"/>
                <w:kern w:val="2"/>
                <w:sz w:val="21"/>
                <w:szCs w:val="21"/>
                <w:highlight w:val="none"/>
                <w:vertAlign w:val="baseline"/>
                <w:lang w:val="en-US" w:eastAsia="zh-CN" w:bidi="ar-SA"/>
              </w:rPr>
              <w:t>不</w:t>
            </w:r>
            <w:r>
              <w:rPr>
                <w:rFonts w:hint="eastAsia" w:ascii="Times New Roman" w:hAnsi="Times New Roman" w:eastAsia="黑体" w:cs="Times New Roman"/>
                <w:b w:val="0"/>
                <w:bCs w:val="0"/>
                <w:color w:val="auto"/>
                <w:kern w:val="2"/>
                <w:sz w:val="21"/>
                <w:szCs w:val="21"/>
                <w:highlight w:val="none"/>
                <w:vertAlign w:val="baseline"/>
                <w:lang w:val="en-US" w:eastAsia="zh-CN" w:bidi="ar-SA"/>
              </w:rPr>
              <w:t>合格批次数</w:t>
            </w:r>
          </w:p>
        </w:tc>
        <w:tc>
          <w:tcPr>
            <w:tcW w:w="1601" w:type="dxa"/>
            <w:shd w:val="clear" w:color="auto" w:fill="E7E6E6" w:themeFill="background2"/>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黑体" w:cs="Times New Roman"/>
                <w:b w:val="0"/>
                <w:bCs w:val="0"/>
                <w:color w:val="auto"/>
                <w:kern w:val="2"/>
                <w:sz w:val="21"/>
                <w:szCs w:val="21"/>
                <w:highlight w:val="none"/>
                <w:vertAlign w:val="baseline"/>
                <w:lang w:val="zh-CN" w:eastAsia="zh-CN" w:bidi="ar-SA"/>
              </w:rPr>
            </w:pPr>
            <w:r>
              <w:rPr>
                <w:rFonts w:hint="eastAsia" w:ascii="Times New Roman" w:hAnsi="Times New Roman" w:eastAsia="黑体" w:cs="Times New Roman"/>
                <w:b w:val="0"/>
                <w:bCs w:val="0"/>
                <w:color w:val="auto"/>
                <w:kern w:val="2"/>
                <w:sz w:val="21"/>
                <w:szCs w:val="21"/>
                <w:highlight w:val="none"/>
                <w:vertAlign w:val="baseline"/>
                <w:lang w:val="en-US" w:eastAsia="zh-CN" w:bidi="ar-SA"/>
              </w:rPr>
              <w:t>合格批次数</w:t>
            </w:r>
          </w:p>
        </w:tc>
        <w:tc>
          <w:tcPr>
            <w:tcW w:w="1159" w:type="dxa"/>
            <w:shd w:val="clear" w:color="auto" w:fill="E7E6E6" w:themeFill="background2"/>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黑体" w:cs="Times New Roman"/>
                <w:b w:val="0"/>
                <w:bCs w:val="0"/>
                <w:color w:val="auto"/>
                <w:kern w:val="2"/>
                <w:sz w:val="21"/>
                <w:szCs w:val="21"/>
                <w:highlight w:val="none"/>
                <w:vertAlign w:val="baseline"/>
                <w:lang w:val="en-US" w:eastAsia="zh-CN" w:bidi="ar-SA"/>
              </w:rPr>
            </w:pPr>
            <w:r>
              <w:rPr>
                <w:rFonts w:hint="eastAsia" w:ascii="Times New Roman" w:hAnsi="Times New Roman" w:eastAsia="黑体" w:cs="Times New Roman"/>
                <w:b w:val="0"/>
                <w:bCs w:val="0"/>
                <w:color w:val="auto"/>
                <w:kern w:val="2"/>
                <w:sz w:val="21"/>
                <w:szCs w:val="21"/>
                <w:highlight w:val="none"/>
                <w:vertAlign w:val="baseline"/>
                <w:lang w:val="en-US" w:eastAsia="zh-CN" w:bidi="ar-SA"/>
              </w:rPr>
              <w:t>合格率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李沧区</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1247</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24</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1223</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平度</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1363</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27</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1336</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市北区</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1312</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27</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1285</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97.94%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即墨区</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1834</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43</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1791</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97.66%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莱西</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1103</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27</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1076</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城阳区</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1722</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43</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1679</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黄岛区</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1878</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51</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1827</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市南区</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772</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21</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751</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胶州</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1510</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43</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1467</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eastAsia" w:ascii="Times New Roman" w:hAnsi="Times New Roman" w:eastAsia="仿宋_GB2312" w:cs="Times New Roman"/>
                <w:b w:val="0"/>
                <w:bCs/>
                <w:color w:val="auto"/>
                <w:sz w:val="21"/>
                <w:szCs w:val="21"/>
                <w:highlight w:val="none"/>
                <w:vertAlign w:val="baseline"/>
                <w:lang w:val="en-US" w:eastAsia="zh-CN"/>
              </w:rPr>
              <w:t>崂山区</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1071</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34</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1037</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val="0"/>
                <w:bCs/>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vertAlign w:val="baseline"/>
                <w:lang w:val="en-US" w:eastAsia="zh-CN"/>
              </w:rPr>
              <w:t>96.83%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526"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bCs w:val="0"/>
                <w:color w:val="auto"/>
                <w:sz w:val="21"/>
                <w:szCs w:val="21"/>
                <w:highlight w:val="none"/>
                <w:vertAlign w:val="baseline"/>
                <w:lang w:val="en-US" w:eastAsia="zh-CN"/>
              </w:rPr>
            </w:pPr>
            <w:r>
              <w:rPr>
                <w:rFonts w:hint="eastAsia" w:ascii="Times New Roman" w:hAnsi="Times New Roman" w:eastAsia="仿宋_GB2312" w:cs="Times New Roman"/>
                <w:b/>
                <w:bCs w:val="0"/>
                <w:color w:val="auto"/>
                <w:sz w:val="21"/>
                <w:szCs w:val="21"/>
                <w:highlight w:val="none"/>
                <w:vertAlign w:val="baseline"/>
                <w:lang w:val="en-US" w:eastAsia="zh-CN"/>
              </w:rPr>
              <w:t>合计</w:t>
            </w:r>
          </w:p>
        </w:tc>
        <w:tc>
          <w:tcPr>
            <w:tcW w:w="19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bCs w:val="0"/>
                <w:color w:val="auto"/>
                <w:sz w:val="21"/>
                <w:szCs w:val="21"/>
                <w:highlight w:val="none"/>
                <w:vertAlign w:val="baseline"/>
                <w:lang w:val="en-US" w:eastAsia="zh-CN"/>
              </w:rPr>
            </w:pPr>
            <w:r>
              <w:rPr>
                <w:rFonts w:hint="default" w:ascii="Times New Roman" w:hAnsi="Times New Roman" w:eastAsia="仿宋_GB2312" w:cs="Times New Roman"/>
                <w:b/>
                <w:bCs w:val="0"/>
                <w:color w:val="auto"/>
                <w:sz w:val="21"/>
                <w:szCs w:val="21"/>
                <w:highlight w:val="none"/>
                <w:vertAlign w:val="baseline"/>
                <w:lang w:val="en-US" w:eastAsia="zh-CN"/>
              </w:rPr>
              <w:t>13812</w:t>
            </w:r>
          </w:p>
        </w:tc>
        <w:tc>
          <w:tcPr>
            <w:tcW w:w="1528"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bCs w:val="0"/>
                <w:color w:val="auto"/>
                <w:sz w:val="21"/>
                <w:szCs w:val="21"/>
                <w:highlight w:val="none"/>
                <w:vertAlign w:val="baseline"/>
                <w:lang w:val="en-US" w:eastAsia="zh-CN"/>
              </w:rPr>
            </w:pPr>
            <w:r>
              <w:rPr>
                <w:rFonts w:hint="default" w:ascii="Times New Roman" w:hAnsi="Times New Roman" w:eastAsia="仿宋_GB2312" w:cs="Times New Roman"/>
                <w:b/>
                <w:bCs w:val="0"/>
                <w:color w:val="auto"/>
                <w:sz w:val="21"/>
                <w:szCs w:val="21"/>
                <w:highlight w:val="none"/>
                <w:vertAlign w:val="baseline"/>
                <w:lang w:val="en-US" w:eastAsia="zh-CN"/>
              </w:rPr>
              <w:t>340</w:t>
            </w:r>
          </w:p>
        </w:tc>
        <w:tc>
          <w:tcPr>
            <w:tcW w:w="1601"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bCs w:val="0"/>
                <w:color w:val="auto"/>
                <w:sz w:val="21"/>
                <w:szCs w:val="21"/>
                <w:highlight w:val="none"/>
                <w:vertAlign w:val="baseline"/>
                <w:lang w:val="en-US" w:eastAsia="zh-CN"/>
              </w:rPr>
            </w:pPr>
            <w:r>
              <w:rPr>
                <w:rFonts w:hint="default" w:ascii="Times New Roman" w:hAnsi="Times New Roman" w:eastAsia="仿宋_GB2312" w:cs="Times New Roman"/>
                <w:b/>
                <w:bCs w:val="0"/>
                <w:color w:val="auto"/>
                <w:sz w:val="21"/>
                <w:szCs w:val="21"/>
                <w:highlight w:val="none"/>
                <w:vertAlign w:val="baseline"/>
                <w:lang w:val="en-US" w:eastAsia="zh-CN"/>
              </w:rPr>
              <w:t>13472</w:t>
            </w:r>
          </w:p>
        </w:tc>
        <w:tc>
          <w:tcPr>
            <w:tcW w:w="1159" w:type="dxa"/>
            <w:shd w:val="clear" w:color="auto" w:fill="auto"/>
            <w:vAlign w:val="center"/>
          </w:tcPr>
          <w:p>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bCs w:val="0"/>
                <w:color w:val="auto"/>
                <w:sz w:val="21"/>
                <w:szCs w:val="21"/>
                <w:highlight w:val="none"/>
                <w:vertAlign w:val="baseline"/>
                <w:lang w:val="en-US" w:eastAsia="zh-CN"/>
              </w:rPr>
            </w:pPr>
            <w:r>
              <w:rPr>
                <w:rFonts w:hint="default" w:ascii="Times New Roman" w:hAnsi="Times New Roman" w:eastAsia="仿宋_GB2312" w:cs="Times New Roman"/>
                <w:b/>
                <w:bCs w:val="0"/>
                <w:color w:val="auto"/>
                <w:sz w:val="21"/>
                <w:szCs w:val="21"/>
                <w:highlight w:val="none"/>
                <w:vertAlign w:val="baseline"/>
                <w:lang w:val="en-US" w:eastAsia="zh-CN"/>
              </w:rPr>
              <w:t>97.54%</w:t>
            </w:r>
          </w:p>
        </w:tc>
      </w:tr>
    </w:tbl>
    <w:p>
      <w:pPr>
        <w:numPr>
          <w:ilvl w:val="0"/>
          <w:numId w:val="0"/>
        </w:numPr>
        <w:spacing w:line="600" w:lineRule="exact"/>
        <w:ind w:firstLine="640" w:firstLineChars="200"/>
        <w:rPr>
          <w:rFonts w:hint="default" w:ascii="仿宋_GB2312" w:hAnsi="仿宋_GB2312" w:eastAsia="仿宋_GB2312" w:cs="仿宋_GB2312"/>
          <w:color w:val="FF0000"/>
          <w:sz w:val="32"/>
          <w:szCs w:val="40"/>
          <w:highlight w:val="yellow"/>
          <w:lang w:val="en-US" w:eastAsia="zh-CN"/>
        </w:rPr>
      </w:pPr>
      <w:r>
        <w:rPr>
          <w:rFonts w:hint="eastAsia" w:ascii="Times New Roman" w:hAnsi="Times New Roman" w:eastAsia="仿宋_GB2312" w:cs="Times New Roman"/>
          <w:color w:val="auto"/>
          <w:sz w:val="32"/>
          <w:szCs w:val="32"/>
          <w:highlight w:val="none"/>
          <w:lang w:val="en-US" w:eastAsia="zh-CN"/>
        </w:rPr>
        <w:t>检测准确率方面，</w:t>
      </w:r>
      <w:r>
        <w:rPr>
          <w:rFonts w:hint="eastAsia" w:ascii="Times New Roman" w:hAnsi="Times New Roman" w:eastAsia="仿宋_GB2312" w:cs="Times New Roman"/>
          <w:kern w:val="0"/>
          <w:sz w:val="32"/>
          <w:szCs w:val="32"/>
          <w:lang w:val="en-US" w:eastAsia="zh-CN"/>
        </w:rPr>
        <w:t>市市场监督管理局通过国家食品安全抽样检验信息系统后台，对中标检测机构在承担检验任务时所上传数据及报告的合规性开展抽检工作，对于填报的不合格信息予以退回。</w:t>
      </w:r>
      <w:r>
        <w:rPr>
          <w:rFonts w:hint="eastAsia" w:ascii="Times New Roman" w:hAnsi="Times New Roman" w:eastAsia="仿宋_GB2312" w:cs="Times New Roman"/>
          <w:color w:val="auto"/>
          <w:sz w:val="32"/>
          <w:szCs w:val="32"/>
          <w:highlight w:val="none"/>
          <w:lang w:val="en-US" w:eastAsia="zh-CN"/>
        </w:rPr>
        <w:t>通过对抽样检验信息系统数据退回和修改情况的核查，数据质量抽查问题率1.93%，</w:t>
      </w:r>
      <w:r>
        <w:rPr>
          <w:rFonts w:hint="default" w:ascii="Times New Roman" w:hAnsi="Times New Roman" w:eastAsia="仿宋_GB2312" w:cs="Times New Roman"/>
          <w:color w:val="auto"/>
          <w:sz w:val="32"/>
          <w:szCs w:val="32"/>
          <w:highlight w:val="none"/>
        </w:rPr>
        <w:t>存在的主要问题是</w:t>
      </w:r>
      <w:r>
        <w:rPr>
          <w:rFonts w:hint="eastAsia" w:ascii="Times New Roman" w:hAnsi="Times New Roman" w:eastAsia="仿宋_GB2312" w:cs="Times New Roman"/>
          <w:color w:val="auto"/>
          <w:sz w:val="32"/>
          <w:szCs w:val="32"/>
          <w:highlight w:val="none"/>
          <w:lang w:val="en-US" w:eastAsia="zh-CN"/>
        </w:rPr>
        <w:t>检验</w:t>
      </w:r>
      <w:r>
        <w:rPr>
          <w:rFonts w:hint="default" w:ascii="Times New Roman" w:hAnsi="Times New Roman" w:eastAsia="仿宋_GB2312" w:cs="Times New Roman"/>
          <w:color w:val="auto"/>
          <w:sz w:val="32"/>
          <w:szCs w:val="32"/>
          <w:highlight w:val="none"/>
          <w:lang w:val="en-US" w:eastAsia="zh-CN"/>
        </w:rPr>
        <w:t>依据</w:t>
      </w:r>
      <w:r>
        <w:rPr>
          <w:rFonts w:hint="eastAsia" w:ascii="Times New Roman" w:hAnsi="Times New Roman" w:eastAsia="仿宋_GB2312" w:cs="Times New Roman"/>
          <w:color w:val="auto"/>
          <w:sz w:val="32"/>
          <w:szCs w:val="32"/>
          <w:highlight w:val="none"/>
          <w:lang w:val="en-US" w:eastAsia="zh-CN"/>
        </w:rPr>
        <w:t>、判定依据、限量值填写错误，</w:t>
      </w:r>
      <w:r>
        <w:rPr>
          <w:rFonts w:hint="default" w:ascii="Times New Roman" w:hAnsi="Times New Roman" w:eastAsia="仿宋_GB2312" w:cs="Times New Roman"/>
          <w:color w:val="auto"/>
          <w:sz w:val="32"/>
          <w:szCs w:val="32"/>
          <w:highlight w:val="none"/>
          <w:lang w:val="en-US" w:eastAsia="zh-CN"/>
        </w:rPr>
        <w:t>样品类型</w:t>
      </w:r>
      <w:r>
        <w:rPr>
          <w:rFonts w:hint="eastAsia" w:ascii="Times New Roman" w:hAnsi="Times New Roman" w:eastAsia="仿宋_GB2312" w:cs="Times New Roman"/>
          <w:color w:val="auto"/>
          <w:sz w:val="32"/>
          <w:szCs w:val="32"/>
          <w:highlight w:val="none"/>
          <w:lang w:val="en-US" w:eastAsia="zh-CN"/>
        </w:rPr>
        <w:t>填写不规范，</w:t>
      </w:r>
      <w:r>
        <w:rPr>
          <w:rFonts w:hint="default" w:ascii="Times New Roman" w:hAnsi="Times New Roman" w:eastAsia="仿宋_GB2312" w:cs="Times New Roman"/>
          <w:color w:val="auto"/>
          <w:sz w:val="32"/>
          <w:szCs w:val="32"/>
          <w:highlight w:val="none"/>
          <w:lang w:val="en-US" w:eastAsia="zh-CN"/>
        </w:rPr>
        <w:t>备样量不足</w:t>
      </w:r>
      <w:r>
        <w:rPr>
          <w:rFonts w:hint="default" w:ascii="Times New Roman" w:hAnsi="Times New Roman" w:eastAsia="仿宋_GB2312" w:cs="Times New Roman"/>
          <w:color w:val="auto"/>
          <w:sz w:val="32"/>
          <w:szCs w:val="32"/>
          <w:highlight w:val="none"/>
        </w:rPr>
        <w:t>等。</w:t>
      </w:r>
      <w:r>
        <w:rPr>
          <w:rFonts w:hint="eastAsia" w:ascii="Times New Roman" w:hAnsi="Times New Roman" w:eastAsia="仿宋_GB2312" w:cs="Times New Roman"/>
          <w:color w:val="auto"/>
          <w:sz w:val="32"/>
          <w:szCs w:val="32"/>
          <w:highlight w:val="none"/>
          <w:lang w:val="en-US" w:eastAsia="zh-CN"/>
        </w:rPr>
        <w:t>此处扣减0.58分。依据2024年度承检机构检查异议认可汇总表，累计出现异议13批次，其中2项异议得到认可，3项复检结论合格，检测报告差错率为0.036%。</w:t>
      </w:r>
    </w:p>
    <w:p>
      <w:pPr>
        <w:numPr>
          <w:ilvl w:val="-1"/>
          <w:numId w:val="0"/>
        </w:numPr>
        <w:spacing w:line="600" w:lineRule="exact"/>
        <w:ind w:left="0" w:leftChars="0" w:firstLine="640" w:firstLineChars="200"/>
        <w:rPr>
          <w:rFonts w:hint="eastAsia" w:ascii="Times New Roman" w:hAnsi="Times New Roman" w:eastAsia="仿宋_GB2312" w:cs="Times New Roman"/>
          <w:color w:val="FF0000"/>
          <w:sz w:val="32"/>
          <w:szCs w:val="32"/>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（3）</w:t>
      </w:r>
      <w:r>
        <w:rPr>
          <w:rFonts w:hint="eastAsia" w:ascii="Times New Roman" w:hAnsi="Times New Roman" w:eastAsia="仿宋_GB2312" w:cs="Times New Roman"/>
          <w:color w:val="auto"/>
          <w:sz w:val="32"/>
          <w:szCs w:val="32"/>
          <w:highlight w:val="none"/>
          <w:lang w:val="en-US" w:eastAsia="zh-CN"/>
        </w:rPr>
        <w:t>产出时效方面。</w:t>
      </w:r>
      <w:r>
        <w:rPr>
          <w:rFonts w:hint="default" w:ascii="Times New Roman" w:hAnsi="Times New Roman" w:eastAsia="仿宋_GB2312" w:cs="Times New Roman"/>
          <w:color w:val="auto"/>
          <w:sz w:val="32"/>
          <w:szCs w:val="32"/>
          <w:highlight w:val="none"/>
          <w:lang w:val="en-US" w:eastAsia="zh-CN"/>
        </w:rPr>
        <w:t>2024年食品安全检测报告</w:t>
      </w:r>
      <w:r>
        <w:rPr>
          <w:rFonts w:hint="eastAsia" w:ascii="Times New Roman" w:hAnsi="Times New Roman" w:eastAsia="仿宋_GB2312" w:cs="Times New Roman"/>
          <w:color w:val="auto"/>
          <w:sz w:val="32"/>
          <w:szCs w:val="32"/>
          <w:highlight w:val="none"/>
          <w:lang w:val="en-US" w:eastAsia="zh-CN"/>
        </w:rPr>
        <w:t>均于20个工作日内上传国家食品安全抽样检测系统。根据山东省食品安全抽检监测数据统计分析，</w:t>
      </w:r>
      <w:r>
        <w:rPr>
          <w:rFonts w:hint="default" w:ascii="Times New Roman" w:hAnsi="Times New Roman" w:eastAsia="仿宋_GB2312" w:cs="Times New Roman"/>
          <w:color w:val="auto"/>
          <w:sz w:val="32"/>
          <w:szCs w:val="32"/>
          <w:highlight w:val="none"/>
          <w:lang w:val="en-US" w:eastAsia="zh-CN"/>
        </w:rPr>
        <w:t>全市应处置不合格食品</w:t>
      </w:r>
      <w:r>
        <w:rPr>
          <w:rFonts w:hint="eastAsia" w:ascii="Times New Roman" w:hAnsi="Times New Roman" w:eastAsia="仿宋_GB2312" w:cs="Times New Roman"/>
          <w:color w:val="auto"/>
          <w:sz w:val="32"/>
          <w:szCs w:val="32"/>
          <w:highlight w:val="none"/>
          <w:lang w:val="en-US" w:eastAsia="zh-CN"/>
        </w:rPr>
        <w:t>已全部核查处置完成。</w:t>
      </w:r>
    </w:p>
    <w:p>
      <w:pPr>
        <w:numPr>
          <w:ilvl w:val="-1"/>
          <w:numId w:val="0"/>
        </w:numPr>
        <w:spacing w:line="600" w:lineRule="exact"/>
        <w:ind w:left="-200" w:leftChars="0" w:firstLine="640" w:firstLineChars="200"/>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color w:val="auto"/>
          <w:kern w:val="2"/>
          <w:sz w:val="32"/>
          <w:szCs w:val="32"/>
          <w:highlight w:val="none"/>
          <w:lang w:val="en-US" w:eastAsia="zh-CN" w:bidi="ar-SA"/>
        </w:rPr>
        <w:t>（4）</w:t>
      </w:r>
      <w:r>
        <w:rPr>
          <w:rFonts w:hint="eastAsia" w:ascii="Times New Roman" w:hAnsi="Times New Roman" w:eastAsia="仿宋_GB2312" w:cs="Times New Roman"/>
          <w:kern w:val="0"/>
          <w:sz w:val="32"/>
          <w:szCs w:val="32"/>
          <w:lang w:val="en-US" w:eastAsia="zh-CN"/>
        </w:rPr>
        <w:t>产出成本方面。市级监督抽检预算资金1270万元，平均每批次成本920元，市级风险监测抽检预算资金45万元，平均每批次成本1434元。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4.效益指标分析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效益部分</w:t>
      </w:r>
      <w:r>
        <w:rPr>
          <w:rFonts w:hint="default" w:ascii="Times New Roman" w:hAnsi="Times New Roman" w:eastAsia="仿宋_GB2312" w:cs="Times New Roman"/>
          <w:kern w:val="0"/>
          <w:sz w:val="32"/>
          <w:szCs w:val="32"/>
          <w:lang w:val="en-US" w:eastAsia="zh-CN"/>
        </w:rPr>
        <w:t>指标满分</w:t>
      </w:r>
      <w:r>
        <w:rPr>
          <w:rFonts w:hint="eastAsia" w:ascii="Times New Roman" w:hAnsi="Times New Roman" w:eastAsia="仿宋_GB2312" w:cs="Times New Roman"/>
          <w:kern w:val="0"/>
          <w:sz w:val="32"/>
          <w:szCs w:val="32"/>
          <w:lang w:val="en-US" w:eastAsia="zh-CN"/>
        </w:rPr>
        <w:t>30</w:t>
      </w:r>
      <w:r>
        <w:rPr>
          <w:rFonts w:hint="default" w:ascii="Times New Roman" w:hAnsi="Times New Roman" w:eastAsia="仿宋_GB2312" w:cs="Times New Roman"/>
          <w:kern w:val="0"/>
          <w:sz w:val="32"/>
          <w:szCs w:val="32"/>
          <w:lang w:val="en-US" w:eastAsia="zh-CN"/>
        </w:rPr>
        <w:t>分，得分</w:t>
      </w:r>
      <w:r>
        <w:rPr>
          <w:rFonts w:hint="eastAsia" w:ascii="Times New Roman" w:hAnsi="Times New Roman" w:eastAsia="仿宋_GB2312" w:cs="Times New Roman"/>
          <w:kern w:val="0"/>
          <w:sz w:val="32"/>
          <w:szCs w:val="32"/>
          <w:lang w:val="en-US" w:eastAsia="zh-CN"/>
        </w:rPr>
        <w:t>25.31</w:t>
      </w:r>
      <w:r>
        <w:rPr>
          <w:rFonts w:hint="default" w:ascii="Times New Roman" w:hAnsi="Times New Roman" w:eastAsia="仿宋_GB2312" w:cs="Times New Roman"/>
          <w:kern w:val="0"/>
          <w:sz w:val="32"/>
          <w:szCs w:val="32"/>
          <w:lang w:val="en-US" w:eastAsia="zh-CN"/>
        </w:rPr>
        <w:t>分，得分率为</w:t>
      </w:r>
      <w:r>
        <w:rPr>
          <w:rFonts w:hint="eastAsia" w:ascii="Times New Roman" w:hAnsi="Times New Roman" w:eastAsia="仿宋_GB2312" w:cs="Times New Roman"/>
          <w:kern w:val="0"/>
          <w:sz w:val="32"/>
          <w:szCs w:val="32"/>
          <w:lang w:val="en-US" w:eastAsia="zh-CN"/>
        </w:rPr>
        <w:t>84.37</w:t>
      </w:r>
      <w:r>
        <w:rPr>
          <w:rFonts w:hint="default" w:ascii="Times New Roman" w:hAnsi="Times New Roman" w:eastAsia="仿宋_GB2312" w:cs="Times New Roman"/>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（1）社会效益方面。根据国家重大食品安全事故分级标准，2024年青岛市内未发生重大食品安全事故。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lang w:val="en-US" w:eastAsia="zh-CN"/>
        </w:rPr>
        <w:t>（2）可持续影响方面。市市场监管局依据《山东省市场监督管理局关于加强食品抽检信息公布工作的通知》（鲁市监食检特函〔2022〕220号）文件精神，遵循“及时、适度、有效”的工作原则，将产品抽检结果在青岛市市场监督管理局官方网站政务公开、公告公示及监督检查模块中公示。公示内容涵盖食品安全监督抽检合格、不合格产品信息，包括食品名称、规格、商标、生产日期或批号、不合格项目，以及标称生产者名称、地址和被抽样单位名称、地址等关键信息。但在评价过程中发现，存在</w:t>
      </w:r>
      <w:r>
        <w:rPr>
          <w:rFonts w:hint="eastAsia" w:ascii="Times New Roman" w:hAnsi="Times New Roman" w:eastAsia="仿宋_GB2312" w:cs="Times New Roman"/>
          <w:kern w:val="0"/>
          <w:sz w:val="32"/>
          <w:szCs w:val="32"/>
          <w:highlight w:val="none"/>
          <w:lang w:val="en-US" w:eastAsia="zh-CN"/>
        </w:rPr>
        <w:t>抽检单位无法提供生产者信息，采样人员未有效完成索证索票任务，部分流通环节抽检公示信息中生产者信息缺失。市市场监管局遵循《山东省市场监督管理局关于加强食品抽检信息公布工作的通知》（鲁市监食检特函〔2022〕220号），对</w:t>
      </w:r>
      <w:r>
        <w:rPr>
          <w:rFonts w:hint="eastAsia" w:ascii="仿宋_GB2312" w:eastAsia="仿宋_GB2312"/>
          <w:sz w:val="32"/>
          <w:szCs w:val="32"/>
          <w:lang w:val="en-US" w:eastAsia="zh-CN"/>
        </w:rPr>
        <w:t>拟披露的食品状况及其核查处置情况进行风险研判与审核。在评价过程中发现，</w:t>
      </w:r>
      <w:r>
        <w:rPr>
          <w:rFonts w:hint="eastAsia" w:ascii="Times New Roman" w:hAnsi="Times New Roman" w:eastAsia="仿宋_GB2312" w:cs="Times New Roman"/>
          <w:kern w:val="0"/>
          <w:sz w:val="32"/>
          <w:szCs w:val="32"/>
          <w:highlight w:val="none"/>
          <w:lang w:val="en-US" w:eastAsia="zh-CN"/>
        </w:rPr>
        <w:t>信息公开环节耗时较长，此项扣除2.08分。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highlight w:val="none"/>
          <w:lang w:val="en-US" w:eastAsia="zh-CN"/>
        </w:rPr>
        <w:t>市市场监管局通过省二级站以及青</w:t>
      </w:r>
      <w:r>
        <w:rPr>
          <w:rFonts w:hint="eastAsia" w:ascii="Times New Roman" w:hAnsi="Times New Roman" w:eastAsia="仿宋_GB2312" w:cs="Times New Roman"/>
          <w:kern w:val="0"/>
          <w:sz w:val="32"/>
          <w:szCs w:val="32"/>
          <w:lang w:val="en-US" w:eastAsia="zh-CN"/>
        </w:rPr>
        <w:t>岛食品安全抽检监测数据应用平台，获取国家、省、市、县四级抽检信息数据，达成数据共享，定期调度核查处置任务，设置多批次抽检不合格核查处置“回头看”机制等具备可持续发展特性的措施。然而，在互联网时代不断发展的背景下，消费者的消费习惯逐步发生转变。网络环节的抽检比重尚未得到提升，未对生鲜电商、直播带货、餐饮外卖等新兴网络消费领域给予足够的监管关注，新兴网络消费领域食品安全状况未能实现充分有效的监管覆盖。此处扣除1.25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kern w:val="0"/>
          <w:sz w:val="32"/>
          <w:szCs w:val="32"/>
          <w:lang w:val="en-US" w:eastAsia="zh-CN"/>
        </w:rPr>
        <w:t>（3）在满意度方面。根据上级对食品检测考核工作的全面评价，山东省食品药品安全委员会及山东省质量强省建设协调推进小组对全省食品安全检测工作进行了综合评价。青岛市在此评级中荣获A级评价。同时为进一步深入了解社会公众对2024年度食品检测资金项目的满意度，</w:t>
      </w:r>
      <w:r>
        <w:rPr>
          <w:rFonts w:hint="eastAsia" w:ascii="Times New Roman" w:hAnsi="Times New Roman" w:eastAsia="仿宋_GB2312" w:cs="Times New Roman"/>
          <w:kern w:val="0"/>
          <w:sz w:val="32"/>
          <w:szCs w:val="32"/>
          <w:highlight w:val="none"/>
          <w:lang w:val="en-US" w:eastAsia="zh-CN"/>
        </w:rPr>
        <w:t>评价组通过线上方式开展了满意度调查工作，并成功回收有效问卷1069份。通过分析统计，综合满意度为66.40%，不满意点主要侧重于检测覆盖面、项目针对性和信息公开时效性。根据满意度综合评分，此处扣减1.36分。</w:t>
      </w:r>
    </w:p>
    <w:p>
      <w:pPr>
        <w:numPr>
          <w:ilvl w:val="0"/>
          <w:numId w:val="2"/>
        </w:numPr>
        <w:spacing w:line="600" w:lineRule="exact"/>
        <w:ind w:firstLine="640" w:firstLineChars="200"/>
        <w:rPr>
          <w:rFonts w:hint="eastAsia" w:ascii="黑体" w:hAnsi="黑体" w:eastAsia="黑体" w:cs="黑体"/>
          <w:sz w:val="32"/>
          <w:szCs w:val="40"/>
          <w:highlight w:val="none"/>
        </w:rPr>
      </w:pPr>
      <w:r>
        <w:rPr>
          <w:rFonts w:hint="eastAsia" w:ascii="黑体" w:hAnsi="黑体" w:eastAsia="黑体" w:cs="黑体"/>
          <w:sz w:val="32"/>
          <w:szCs w:val="40"/>
          <w:highlight w:val="none"/>
        </w:rPr>
        <w:t>项目实施成效</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000000"/>
          <w:kern w:val="0"/>
          <w:sz w:val="32"/>
          <w:szCs w:val="32"/>
          <w:lang w:val="en-US" w:eastAsia="zh-CN" w:bidi="ar"/>
        </w:rPr>
      </w:pPr>
      <w:r>
        <w:rPr>
          <w:rFonts w:hint="eastAsia" w:ascii="Times New Roman Regular" w:hAnsi="Times New Roman Regular" w:eastAsia="仿宋_GB2312" w:cs="Times New Roman Regular"/>
          <w:color w:val="000000"/>
          <w:kern w:val="0"/>
          <w:sz w:val="32"/>
          <w:szCs w:val="32"/>
          <w:lang w:val="en-US" w:eastAsia="zh-CN" w:bidi="ar"/>
        </w:rPr>
        <w:t>2024年，市市场监管局利用2024年食品检测（政府购买服务项目）资金开展了13812批次的食品安全监督抽检工作，</w:t>
      </w:r>
      <w:r>
        <w:rPr>
          <w:rFonts w:hint="eastAsia" w:ascii="Times New Roman" w:hAnsi="Times New Roman" w:eastAsia="仿宋_GB2312" w:cs="Times New Roman"/>
          <w:kern w:val="0"/>
          <w:sz w:val="32"/>
          <w:szCs w:val="32"/>
          <w:lang w:val="en-US" w:eastAsia="zh-CN"/>
        </w:rPr>
        <w:t>重点针对问题频发的食用农产品进行监督抽检。2024年，食用农产品合格率达到95.05%，达成了2024年民生领域集中攻坚行动中食用农产品抽检合格率达95%以上的目标，</w:t>
      </w:r>
      <w:r>
        <w:rPr>
          <w:rFonts w:hint="eastAsia" w:ascii="Times New Roman Regular" w:hAnsi="Times New Roman Regular" w:eastAsia="仿宋_GB2312" w:cs="Times New Roman Regular"/>
          <w:color w:val="000000"/>
          <w:kern w:val="0"/>
          <w:sz w:val="32"/>
          <w:szCs w:val="32"/>
          <w:lang w:val="en-US" w:eastAsia="zh-CN" w:bidi="ar"/>
        </w:rPr>
        <w:t xml:space="preserve">食品安全监督抽检整体合格率达97.54%。针对抽检中检出的不合格食品，均已完成核查处置。同时，完成了314批次的食品安全风险检测，全年未发生重大食品安全事故。  </w:t>
      </w:r>
    </w:p>
    <w:p>
      <w:pPr>
        <w:spacing w:line="600" w:lineRule="exact"/>
        <w:ind w:firstLine="640" w:firstLineChars="200"/>
        <w:rPr>
          <w:rFonts w:hint="eastAsia" w:ascii="黑体" w:hAnsi="黑体" w:eastAsia="黑体" w:cs="黑体"/>
          <w:sz w:val="32"/>
          <w:szCs w:val="40"/>
          <w:highlight w:val="none"/>
        </w:rPr>
      </w:pPr>
      <w:r>
        <w:rPr>
          <w:rFonts w:hint="eastAsia" w:ascii="黑体" w:hAnsi="黑体" w:eastAsia="黑体" w:cs="黑体"/>
          <w:sz w:val="32"/>
          <w:szCs w:val="40"/>
          <w:highlight w:val="none"/>
        </w:rPr>
        <w:t>五、发现的问题及原因分析</w:t>
      </w:r>
    </w:p>
    <w:p>
      <w:pPr>
        <w:spacing w:line="600" w:lineRule="exact"/>
        <w:ind w:firstLine="640" w:firstLineChars="200"/>
        <w:rPr>
          <w:rFonts w:hint="eastAsia" w:ascii="Times New Roman" w:hAnsi="Times New Roman" w:eastAsia="仿宋_GB2312" w:cs="Times New Roman"/>
          <w:kern w:val="0"/>
          <w:sz w:val="32"/>
          <w:szCs w:val="32"/>
          <w:lang w:eastAsia="zh-CN"/>
        </w:rPr>
      </w:pPr>
      <w:r>
        <w:rPr>
          <w:rFonts w:hint="eastAsia" w:ascii="楷体_GB2312" w:hAnsi="楷体_GB2312" w:eastAsia="楷体_GB2312" w:cs="楷体_GB2312"/>
          <w:sz w:val="32"/>
          <w:szCs w:val="40"/>
          <w:highlight w:val="none"/>
          <w:lang w:val="en-US" w:eastAsia="zh-CN"/>
        </w:rPr>
        <w:t>（一）</w:t>
      </w:r>
      <w:r>
        <w:rPr>
          <w:rFonts w:hint="eastAsia" w:ascii="Times New Roman" w:hAnsi="Times New Roman" w:eastAsia="仿宋_GB2312" w:cs="Times New Roman"/>
          <w:kern w:val="0"/>
          <w:sz w:val="32"/>
          <w:szCs w:val="32"/>
        </w:rPr>
        <w:t>绩效目标编制精确性有待提升</w:t>
      </w:r>
      <w:r>
        <w:rPr>
          <w:rFonts w:hint="eastAsia" w:ascii="Times New Roman" w:hAnsi="Times New Roman" w:eastAsia="仿宋_GB2312" w:cs="Times New Roman"/>
          <w:kern w:val="0"/>
          <w:sz w:val="32"/>
          <w:szCs w:val="32"/>
          <w:lang w:eastAsia="zh-CN"/>
        </w:rPr>
        <w:t>。</w:t>
      </w:r>
    </w:p>
    <w:p>
      <w:pPr>
        <w:pStyle w:val="2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FF0000"/>
          <w:kern w:val="0"/>
          <w:sz w:val="32"/>
          <w:szCs w:val="32"/>
          <w:lang w:val="en-US" w:eastAsia="zh-CN"/>
        </w:rPr>
      </w:pPr>
      <w:r>
        <w:rPr>
          <w:rFonts w:hint="eastAsia" w:ascii="Times New Roman" w:hAnsi="Times New Roman" w:eastAsia="仿宋_GB2312" w:cs="Times New Roman"/>
          <w:kern w:val="0"/>
          <w:sz w:val="32"/>
          <w:szCs w:val="32"/>
        </w:rPr>
        <w:t>绩效目标偏离度较大。</w:t>
      </w:r>
      <w:r>
        <w:rPr>
          <w:rFonts w:hint="eastAsia" w:ascii="Times New Roman" w:hAnsi="Times New Roman" w:eastAsia="仿宋_GB2312" w:cs="Times New Roman"/>
          <w:color w:val="auto"/>
          <w:sz w:val="32"/>
          <w:szCs w:val="32"/>
          <w:highlight w:val="none"/>
          <w:lang w:val="en-US" w:eastAsia="zh-CN"/>
        </w:rPr>
        <w:t>根据</w:t>
      </w:r>
      <w:r>
        <w:rPr>
          <w:rFonts w:hint="eastAsia" w:ascii="Times New Roman" w:hAnsi="Times New Roman" w:eastAsia="仿宋_GB2312" w:cs="Times New Roman"/>
          <w:kern w:val="0"/>
          <w:sz w:val="32"/>
          <w:szCs w:val="32"/>
          <w:lang w:val="en-US" w:eastAsia="zh-CN" w:bidi="ar-SA"/>
        </w:rPr>
        <w:t>《青岛市市级预算绩效目标设置指引（试行）》的通知</w:t>
      </w:r>
      <w:r>
        <w:rPr>
          <w:rFonts w:hint="eastAsia" w:ascii="Times New Roman" w:hAnsi="Times New Roman" w:eastAsia="仿宋_GB2312" w:cs="Times New Roman"/>
          <w:color w:val="auto"/>
          <w:sz w:val="32"/>
          <w:szCs w:val="32"/>
          <w:highlight w:val="none"/>
          <w:lang w:val="en-US" w:eastAsia="zh-CN"/>
        </w:rPr>
        <w:t>（青财绩〔2023〕6号）</w:t>
      </w:r>
      <w:r>
        <w:rPr>
          <w:rFonts w:hint="eastAsia" w:ascii="Times New Roman" w:hAnsi="Times New Roman" w:eastAsia="仿宋_GB2312" w:cs="Times New Roman"/>
          <w:kern w:val="0"/>
          <w:sz w:val="32"/>
          <w:szCs w:val="32"/>
          <w:lang w:val="en-US" w:eastAsia="zh-CN"/>
        </w:rPr>
        <w:t>文件要求</w:t>
      </w:r>
      <w:r>
        <w:rPr>
          <w:rFonts w:hint="eastAsia" w:ascii="Times New Roman" w:hAnsi="Times New Roman" w:eastAsia="仿宋_GB2312" w:cs="Times New Roman"/>
          <w:color w:val="auto"/>
          <w:sz w:val="32"/>
          <w:szCs w:val="32"/>
          <w:highlight w:val="none"/>
          <w:lang w:val="en-US" w:eastAsia="zh-CN"/>
        </w:rPr>
        <w:t>，“绩效目标应与计划期内的任务数或计划数相对应，与预算确定的投资额或资金量相匹配，避免指标值设立过高或过低”。</w:t>
      </w:r>
      <w:r>
        <w:rPr>
          <w:rFonts w:hint="eastAsia" w:ascii="Times New Roman" w:hAnsi="Times New Roman" w:eastAsia="仿宋_GB2312" w:cs="Times New Roman"/>
          <w:kern w:val="0"/>
          <w:sz w:val="32"/>
          <w:szCs w:val="32"/>
        </w:rPr>
        <w:t>在年度绩效目标中，设置日常食品安全监督抽检批次</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rPr>
        <w:t>9700批次，实际完成监督检测13812批次，偏离度为42.10%，年度任务值设置较低。</w:t>
      </w:r>
    </w:p>
    <w:p>
      <w:pPr>
        <w:spacing w:line="600" w:lineRule="exact"/>
        <w:ind w:firstLine="640" w:firstLineChars="200"/>
        <w:rPr>
          <w:rFonts w:hint="eastAsia" w:ascii="楷体_GB2312" w:hAnsi="楷体_GB2312" w:eastAsia="楷体_GB2312" w:cs="楷体_GB2312"/>
          <w:sz w:val="32"/>
          <w:szCs w:val="40"/>
          <w:highlight w:val="none"/>
          <w:lang w:val="en-US" w:eastAsia="zh-CN"/>
        </w:rPr>
      </w:pPr>
      <w:r>
        <w:rPr>
          <w:rFonts w:hint="eastAsia" w:ascii="楷体_GB2312" w:hAnsi="楷体_GB2312" w:eastAsia="楷体_GB2312" w:cs="楷体_GB2312"/>
          <w:sz w:val="32"/>
          <w:szCs w:val="40"/>
          <w:highlight w:val="none"/>
          <w:lang w:val="en-US" w:eastAsia="zh-CN"/>
        </w:rPr>
        <w:t>（二）合同管理与履约验收机制尚需完善</w:t>
      </w:r>
    </w:p>
    <w:p>
      <w:pPr>
        <w:pStyle w:val="2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color w:val="auto"/>
          <w:sz w:val="32"/>
          <w:szCs w:val="32"/>
          <w:highlight w:val="none"/>
          <w:lang w:val="en-US" w:eastAsia="zh-CN"/>
        </w:rPr>
        <w:t>一是合同内容缺失基本条款。根据《关于加强政府购买服务合同管理的通知》（青财综〔2023〕13号）要求，应明晰政府购买服务合同内容，购买服务项目基本信息包括服务的名称和内容，服务的对象、时间、期限、数量及质量、标准，提供服务的地点，形式，以及服务的定价依据、价款和支付方式等；购买服务项目验收，包括验收内容、验收程序、验收标准等。评价过程中发现，项目签订的</w:t>
      </w:r>
      <w:r>
        <w:rPr>
          <w:rFonts w:hint="eastAsia" w:ascii="Times New Roman" w:hAnsi="Times New Roman" w:eastAsia="仿宋_GB2312" w:cs="Times New Roman"/>
          <w:kern w:val="0"/>
          <w:sz w:val="32"/>
          <w:szCs w:val="32"/>
          <w:lang w:val="en-US" w:eastAsia="zh-CN"/>
        </w:rPr>
        <w:t>《青岛市政府采购2024年度第三方食品检测机构项目合同书》中，缺少检测批次</w:t>
      </w:r>
      <w:r>
        <w:rPr>
          <w:rFonts w:hint="eastAsia" w:ascii="Times New Roman" w:hAnsi="Times New Roman" w:eastAsia="仿宋_GB2312" w:cs="Times New Roman"/>
          <w:kern w:val="0"/>
          <w:sz w:val="32"/>
          <w:szCs w:val="32"/>
          <w:highlight w:val="none"/>
          <w:lang w:val="en-US" w:eastAsia="zh-CN"/>
        </w:rPr>
        <w:t>数量、验收方式</w:t>
      </w:r>
      <w:r>
        <w:rPr>
          <w:rFonts w:hint="eastAsia" w:ascii="Times New Roman" w:hAnsi="Times New Roman" w:eastAsia="仿宋_GB2312" w:cs="Times New Roman"/>
          <w:kern w:val="0"/>
          <w:sz w:val="32"/>
          <w:szCs w:val="32"/>
          <w:lang w:val="en-US" w:eastAsia="zh-CN"/>
        </w:rPr>
        <w:t>基本条款。</w:t>
      </w:r>
    </w:p>
    <w:p>
      <w:pPr>
        <w:pStyle w:val="25"/>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二是检测机构验收程序规范性有待加强。依据《山东省政府采购履约验收管理办法》（鲁财采综〔2021〕25号）要求，项目验收内容应具体明确，形成详尽的验收清单，以客观反映货物供应、工程施工和服务承接的实际完成情况。市市场监管局通过国家食品安全抽样检验信息系统后台进行数据质量抽查完成验收，缺少规范具体的《政府采购履约验收书》。</w:t>
      </w:r>
    </w:p>
    <w:p>
      <w:pPr>
        <w:spacing w:line="600" w:lineRule="exact"/>
        <w:ind w:firstLine="640" w:firstLineChars="200"/>
        <w:rPr>
          <w:rFonts w:ascii="黑体" w:hAnsi="黑体" w:eastAsia="黑体" w:cs="黑体"/>
          <w:sz w:val="32"/>
          <w:szCs w:val="40"/>
          <w:highlight w:val="none"/>
        </w:rPr>
      </w:pPr>
      <w:r>
        <w:rPr>
          <w:rFonts w:hint="eastAsia" w:ascii="黑体" w:hAnsi="黑体" w:eastAsia="黑体" w:cs="黑体"/>
          <w:sz w:val="32"/>
          <w:szCs w:val="40"/>
          <w:highlight w:val="none"/>
        </w:rPr>
        <w:t>六、相关建议</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color w:val="auto"/>
          <w:sz w:val="32"/>
          <w:szCs w:val="32"/>
          <w:highlight w:val="none"/>
          <w:lang w:val="en-US" w:eastAsia="zh-CN"/>
        </w:rPr>
      </w:pPr>
      <w:bookmarkStart w:id="13" w:name="_Toc30002"/>
      <w:r>
        <w:rPr>
          <w:rFonts w:hint="eastAsia" w:ascii="楷体_GB2312" w:hAnsi="楷体_GB2312" w:eastAsia="楷体_GB2312" w:cs="楷体_GB2312"/>
          <w:color w:val="auto"/>
          <w:sz w:val="32"/>
          <w:szCs w:val="32"/>
          <w:highlight w:val="none"/>
          <w:lang w:val="en-US" w:eastAsia="zh-CN"/>
        </w:rPr>
        <w:t>（一）</w:t>
      </w:r>
      <w:bookmarkEnd w:id="13"/>
      <w:r>
        <w:rPr>
          <w:rFonts w:hint="eastAsia" w:ascii="楷体_GB2312" w:hAnsi="楷体_GB2312" w:eastAsia="楷体_GB2312" w:cs="楷体_GB2312"/>
          <w:color w:val="auto"/>
          <w:sz w:val="32"/>
          <w:szCs w:val="32"/>
          <w:highlight w:val="none"/>
          <w:lang w:val="en-US" w:eastAsia="zh-CN"/>
        </w:rPr>
        <w:t>科学设定绩效目标 实施预算精细化管理</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建议市市场监管局完善绩效目标设定与动态调整。综合考量政策要求、资源配置及未来发展需要，科学设定与年度任务数、资金量相匹配的目标值，避免简单采用历史值或明显偏低的值。定期（按季度）比对绩效目标实现情况和预算执行进度，按程序对年度绩效目标进行调整，使其更贴合年度实际工作任务。</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（二）规范合同管理 落实全阶段的履约监控。</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建议市市场监管局使用《政府购买服务合同（范本）》。确保合同包含明确检测服务的数量、验收程序等内容。同时，构建多维度验收机制，履约验收形式涵盖数据逻辑审核、样品复测、专家评审、原始记录抽查等。建立检测机构服务质量 KPI 考核体系，综合考核承检机构报告及时率、差错率、问题发现率，以及检验资质、人员管理等方面。建立违约检测机构名录，对于频繁检测质量不达标或有严重违约行为的检测机构，终止合作并追究相关人员责任。 </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（三）完善信息公开与溯源体系 提升信息发布效率</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一是建议市市场监管局依据中共中央办公厅、国务院办公厅印发的《关于进一步强化</w:t>
      </w:r>
      <w:r>
        <w:rPr>
          <w:rFonts w:hint="eastAsia" w:ascii="Times New Roman" w:hAnsi="Times New Roman" w:eastAsia="仿宋_GB2312" w:cs="Times New Roman"/>
          <w:color w:val="auto"/>
          <w:sz w:val="32"/>
          <w:szCs w:val="32"/>
          <w:highlight w:val="none"/>
          <w:lang w:val="en-US" w:eastAsia="zh-CN"/>
        </w:rPr>
        <w:fldChar w:fldCharType="begin"/>
      </w:r>
      <w:r>
        <w:rPr>
          <w:rFonts w:hint="eastAsia" w:ascii="Times New Roman" w:hAnsi="Times New Roman" w:eastAsia="仿宋_GB2312" w:cs="Times New Roman"/>
          <w:color w:val="auto"/>
          <w:sz w:val="32"/>
          <w:szCs w:val="32"/>
          <w:highlight w:val="none"/>
          <w:lang w:val="en-US" w:eastAsia="zh-CN"/>
        </w:rPr>
        <w:instrText xml:space="preserve"> HYPERLINK "http://quote.eastmoney.com/unify/r/90.BK0614" \t "https://finance.eastmoney.com/a/_blank" </w:instrText>
      </w:r>
      <w:r>
        <w:rPr>
          <w:rFonts w:hint="eastAsia" w:ascii="Times New Roman" w:hAnsi="Times New Roman" w:eastAsia="仿宋_GB2312" w:cs="Times New Roman"/>
          <w:color w:val="auto"/>
          <w:sz w:val="32"/>
          <w:szCs w:val="32"/>
          <w:highlight w:val="none"/>
          <w:lang w:val="en-US" w:eastAsia="zh-CN"/>
        </w:rPr>
        <w:fldChar w:fldCharType="separate"/>
      </w:r>
      <w:r>
        <w:rPr>
          <w:rFonts w:hint="eastAsia" w:ascii="Times New Roman" w:hAnsi="Times New Roman" w:eastAsia="仿宋_GB2312" w:cs="Times New Roman"/>
          <w:color w:val="auto"/>
          <w:sz w:val="32"/>
          <w:szCs w:val="32"/>
          <w:highlight w:val="none"/>
          <w:lang w:val="en-US" w:eastAsia="zh-CN"/>
        </w:rPr>
        <w:t>食品安全</w:t>
      </w:r>
      <w:r>
        <w:rPr>
          <w:rFonts w:hint="eastAsia" w:ascii="Times New Roman" w:hAnsi="Times New Roman" w:eastAsia="仿宋_GB2312" w:cs="Times New Roman"/>
          <w:color w:val="auto"/>
          <w:sz w:val="32"/>
          <w:szCs w:val="32"/>
          <w:highlight w:val="none"/>
          <w:lang w:val="en-US" w:eastAsia="zh-CN"/>
        </w:rPr>
        <w:fldChar w:fldCharType="end"/>
      </w:r>
      <w:r>
        <w:rPr>
          <w:rFonts w:hint="eastAsia" w:ascii="Times New Roman" w:hAnsi="Times New Roman" w:eastAsia="仿宋_GB2312" w:cs="Times New Roman"/>
          <w:color w:val="auto"/>
          <w:sz w:val="32"/>
          <w:szCs w:val="32"/>
          <w:highlight w:val="none"/>
          <w:lang w:val="en-US" w:eastAsia="zh-CN"/>
        </w:rPr>
        <w:t xml:space="preserve">全链条监管的意见》，加速构建食用农产品质量安全追溯协作与执法合作机制，健全不合格产品闭环处置流程。针对抽检发现的不合格食品，启动溯源调查，明确来源与流向，截断其市场流通。同时，加强与相关部门协同配合，建立信息共享与联合执法机制，提高不合格食品的生产、经营者的违法成本，形成有力震慑。 </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二是建议市市场监管局提升信息发布效率。遵循“时、度、效”的工作要求，针对节令性食品等时效性显著、社会关注度较高的抽检信息，加快公布相关抽检结果。对于不合格的检验项目的执行标准、限量值、健康危害等予以清晰且易于理解的说明。必要时可发布消费风险提示。</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（四）整合监管资源 创新监管方式方法</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一是建议由市市场监管局进行统筹规划，制定全市食品抽检计划和抽检方案，统一部署全市食品抽检任务。均衡有序推进食品抽检在品种、时间和区域上的进度安排。合理分配不同区域、不同规模及不同环节的抽检比例，确保对重点区域、食品类别和食品业态的有效覆盖，避免出现重复抽检现象。根据实际监管需要，按照食品安全标准开展各类食品检验项目。 </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二是建议创新监管方法，对于网络订餐、餐饮外卖、直播带货食品等新兴食品业态</w:t>
      </w:r>
      <w:r>
        <w:rPr>
          <w:rFonts w:hint="eastAsia" w:ascii="Times New Roman" w:hAnsi="Times New Roman" w:eastAsia="仿宋_GB2312" w:cs="Times New Roman"/>
          <w:color w:val="auto"/>
          <w:kern w:val="2"/>
          <w:sz w:val="32"/>
          <w:szCs w:val="32"/>
          <w:highlight w:val="none"/>
          <w:lang w:val="en-US" w:eastAsia="zh-CN" w:bidi="ar-SA"/>
        </w:rPr>
        <w:t>制定专门的抽检策略与规范流程。利用大数据分析等先进技术手段，对新兴食品业态的交易数据、消费者评价、消费者投诉等信息进行深度挖掘，精准定位高风险食品与商家，实施针对性抽检。同时，加强与电商平台、直播平台的合作，建立信息共享机制，从平台获取商家资质等关键信息，</w:t>
      </w:r>
      <w:r>
        <w:rPr>
          <w:rFonts w:hint="eastAsia" w:ascii="Times New Roman" w:hAnsi="Times New Roman" w:eastAsia="仿宋_GB2312" w:cs="Times New Roman"/>
          <w:color w:val="auto"/>
          <w:sz w:val="32"/>
          <w:szCs w:val="32"/>
          <w:highlight w:val="none"/>
          <w:lang w:val="en-US" w:eastAsia="zh-CN"/>
        </w:rPr>
        <w:t>为后续核查处置提供必要的执法依据。</w:t>
      </w:r>
      <w:r>
        <w:rPr>
          <w:rFonts w:hint="eastAsia" w:ascii="Times New Roman" w:hAnsi="Times New Roman" w:eastAsia="仿宋_GB2312" w:cs="Times New Roman"/>
          <w:color w:val="auto"/>
          <w:kern w:val="2"/>
          <w:sz w:val="32"/>
          <w:szCs w:val="32"/>
          <w:highlight w:val="none"/>
          <w:lang w:val="en-US" w:eastAsia="zh-CN" w:bidi="ar-SA"/>
        </w:rPr>
        <w:t>确保新兴网络消费领域食品安全状况得到充分有效地监管覆盖。</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是建议市市场监管局按照党中央、国务院“过紧日子”要求，在制定抽检计划及具体实施过程中，优先选取大众日常消费广泛、市场占有率高、价格亲民的产品作为重点抽检对象。提升食品安全抽检监测工作的针对性、有效性和财政资金使用效益。同时，建议市市场监督管理局制定全面的备样管理台账，记录样品名称、抽检批次、保存地点及保存期限等关键信息，增强备样管理的规范性和高效性。确保备样的有效性，避免资源的无效浪费。</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（五）深化公众参与机制 促进食品检测体系向“公众满意型”转型</w:t>
      </w:r>
    </w:p>
    <w:p>
      <w:pPr>
        <w:pStyle w:val="25"/>
        <w:keepNext w:val="0"/>
        <w:keepLines w:val="0"/>
        <w:pageBreakBefore w:val="0"/>
        <w:widowControl w:val="0"/>
        <w:tabs>
          <w:tab w:val="left" w:pos="6090"/>
        </w:tabs>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建议利用线上与线下全方位渠道，建立健全的公众反馈机制，对公众所提出的问题及建议进行及时且有效地回应与处理。常态化地通过官方微信公众号、小程序、门户网站、线下活动、社区公告栏、合作媒体等多维度渠道，征集公众关注的食品种类、场所及项目。建立“点选”数据库，紧扣节假日、消费热点及舆情焦点，定期策划专题抽检方案。及时公示抽检及处置结果。构建“公众点选—靶向抽检—问题发现—严厉惩处—信息反馈—公众满意”的闭环流程，有效提升食品检测工作的透明度，切实增强公众对抽检工作的信任度与满意度。</w:t>
      </w:r>
    </w:p>
    <w:p>
      <w:pPr>
        <w:rPr>
          <w:rFonts w:hint="eastAsia" w:ascii="Times New Roman" w:hAnsi="Times New Roman" w:eastAsia="仿宋_GB2312" w:cs="Times New Roman"/>
          <w:color w:val="FF0000"/>
          <w:sz w:val="32"/>
          <w:szCs w:val="32"/>
          <w:highlight w:val="none"/>
          <w:lang w:val="en-US" w:eastAsia="zh-CN"/>
        </w:rPr>
      </w:pPr>
      <w:r>
        <w:rPr>
          <w:rFonts w:hint="eastAsia" w:ascii="Times New Roman" w:hAnsi="Times New Roman" w:eastAsia="仿宋_GB2312" w:cs="Times New Roman"/>
          <w:color w:val="FF0000"/>
          <w:sz w:val="32"/>
          <w:szCs w:val="32"/>
          <w:highlight w:val="none"/>
          <w:lang w:val="en-US" w:eastAsia="zh-CN"/>
        </w:rPr>
        <w:t xml:space="preserve">    </w:t>
      </w:r>
      <w:bookmarkStart w:id="14" w:name="_GoBack"/>
      <w:bookmarkEnd w:id="14"/>
    </w:p>
    <w:p>
      <w:pPr>
        <w:rPr>
          <w:rFonts w:hint="default" w:ascii="Times New Roman" w:hAnsi="Times New Roman" w:eastAsia="仿宋_GB2312" w:cs="Times New Roman"/>
          <w:color w:val="FF0000"/>
          <w:sz w:val="32"/>
          <w:szCs w:val="32"/>
          <w:highlight w:val="none"/>
          <w:lang w:val="en-US" w:eastAsia="zh-CN"/>
        </w:rPr>
      </w:pPr>
    </w:p>
    <w:p>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textAlignment w:val="auto"/>
        <w:rPr>
          <w:rFonts w:hint="default" w:ascii="Times New Roman" w:hAnsi="Times New Roman" w:eastAsia="仿宋_GB2312" w:cs="Times New Roman"/>
          <w:color w:val="auto"/>
          <w:kern w:val="2"/>
          <w:sz w:val="28"/>
          <w:szCs w:val="28"/>
          <w:highlight w:val="none"/>
          <w:lang w:val="en-US" w:eastAsia="zh-CN" w:bidi="ar-SA"/>
        </w:rPr>
      </w:pPr>
    </w:p>
    <w:sectPr>
      <w:footerReference r:id="rId3" w:type="default"/>
      <w:pgSz w:w="11906" w:h="16838"/>
      <w:pgMar w:top="2041" w:right="1701" w:bottom="2041" w:left="1701" w:header="851" w:footer="1361" w:gutter="0"/>
      <w:pgBorders>
        <w:top w:val="none" w:sz="0" w:space="0"/>
        <w:left w:val="none" w:sz="0" w:space="0"/>
        <w:bottom w:val="none" w:sz="0" w:space="0"/>
        <w:right w:val="none" w:sz="0" w:space="0"/>
      </w:pgBorders>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Roman 10cpi">
    <w:altName w:val="Segoe Print"/>
    <w:panose1 w:val="00000000000000000000"/>
    <w:charset w:val="00"/>
    <w:family w:val="moder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2</w:t>
                          </w:r>
                          <w:r>
                            <w:rPr>
                              <w:rFonts w:hint="eastAsia" w:asciiTheme="majorEastAsia" w:hAnsiTheme="majorEastAsia" w:eastAsiaTheme="majorEastAsia" w:cstheme="majorEastAsia"/>
                              <w:sz w:val="24"/>
                            </w:rPr>
                            <w:fldChar w:fldCharType="end"/>
                          </w:r>
                          <w:r>
                            <w:rPr>
                              <w:rFonts w:hint="eastAsia" w:asciiTheme="majorEastAsia" w:hAnsiTheme="majorEastAsia" w:eastAsiaTheme="majorEastAsia" w:cstheme="majorEastAsia"/>
                              <w:sz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K3/Q4AgAAbwQAAA4AAABkcnMvZTJvRG9jLnhtbK1UzY7TMBC+I/EO&#10;lu80adEu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reRHla62eIerCIC91b02FohnuPy8i6q5yKv+BD4Ie4x4u4oguEx0fTyXSaw8XhGw7Azx6f&#10;W+fDO2EUiUZBHbqXRGWHjQ996BASs2mzbqRMHZSatAW9fn2V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akrf9DgCAABvBAAADgAAAAAAAAABACAAAAAfAQAAZHJzL2Uyb0RvYy54&#10;bWxQSwUGAAAAAAYABgBZAQAAyQUAAAAA&#10;">
              <v:fill on="f" focussize="0,0"/>
              <v:stroke on="f" weight="0.5pt"/>
              <v:imagedata o:title=""/>
              <o:lock v:ext="edit" aspectratio="f"/>
              <v:textbox inset="0mm,0mm,0mm,0mm" style="mso-fit-shape-to-text:t;">
                <w:txbxContent>
                  <w:p>
                    <w:pPr>
                      <w:pStyle w:val="12"/>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2</w:t>
                    </w:r>
                    <w:r>
                      <w:rPr>
                        <w:rFonts w:hint="eastAsia" w:asciiTheme="majorEastAsia" w:hAnsiTheme="majorEastAsia" w:eastAsiaTheme="majorEastAsia" w:cstheme="majorEastAsia"/>
                        <w:sz w:val="24"/>
                      </w:rPr>
                      <w:fldChar w:fldCharType="end"/>
                    </w:r>
                    <w:r>
                      <w:rPr>
                        <w:rFonts w:hint="eastAsia" w:asciiTheme="majorEastAsia" w:hAnsiTheme="majorEastAsia" w:eastAsiaTheme="majorEastAsia" w:cstheme="majorEastAsia"/>
                        <w:sz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81801A"/>
    <w:multiLevelType w:val="singleLevel"/>
    <w:tmpl w:val="E081801A"/>
    <w:lvl w:ilvl="0" w:tentative="0">
      <w:start w:val="4"/>
      <w:numFmt w:val="chineseCounting"/>
      <w:suff w:val="nothing"/>
      <w:lvlText w:val="%1、"/>
      <w:lvlJc w:val="left"/>
      <w:rPr>
        <w:rFonts w:hint="eastAsia"/>
      </w:rPr>
    </w:lvl>
  </w:abstractNum>
  <w:abstractNum w:abstractNumId="1">
    <w:nsid w:val="F9096A0F"/>
    <w:multiLevelType w:val="singleLevel"/>
    <w:tmpl w:val="F9096A0F"/>
    <w:lvl w:ilvl="0" w:tentative="0">
      <w:start w:val="1"/>
      <w:numFmt w:val="decimal"/>
      <w:suff w:val="nothing"/>
      <w:lvlText w:val="（%1）"/>
      <w:lvlJc w:val="left"/>
      <w:pPr>
        <w:ind w:left="-10"/>
      </w:pPr>
      <w:rPr>
        <w:rFonts w:hint="default"/>
        <w:color w:val="000000" w:themeColor="text1"/>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NGFhMjg2OGU3YjE3YzI1NDVjOWZjMDM1MGMzMGQifQ=="/>
  </w:docVars>
  <w:rsids>
    <w:rsidRoot w:val="0021272E"/>
    <w:rsid w:val="0001230D"/>
    <w:rsid w:val="0021272E"/>
    <w:rsid w:val="00243C1C"/>
    <w:rsid w:val="00303F39"/>
    <w:rsid w:val="00463992"/>
    <w:rsid w:val="006029D2"/>
    <w:rsid w:val="007F27CB"/>
    <w:rsid w:val="00843905"/>
    <w:rsid w:val="008D138C"/>
    <w:rsid w:val="00B93F2F"/>
    <w:rsid w:val="00C339C4"/>
    <w:rsid w:val="00E55C19"/>
    <w:rsid w:val="00FE4F0F"/>
    <w:rsid w:val="0102628E"/>
    <w:rsid w:val="010D6029"/>
    <w:rsid w:val="0128267A"/>
    <w:rsid w:val="012B64AF"/>
    <w:rsid w:val="015915B7"/>
    <w:rsid w:val="01612479"/>
    <w:rsid w:val="018111CE"/>
    <w:rsid w:val="018F771A"/>
    <w:rsid w:val="019B1886"/>
    <w:rsid w:val="01AA4EAC"/>
    <w:rsid w:val="01C04E49"/>
    <w:rsid w:val="01C0753F"/>
    <w:rsid w:val="01CC7CF9"/>
    <w:rsid w:val="01D7777D"/>
    <w:rsid w:val="02046896"/>
    <w:rsid w:val="02310126"/>
    <w:rsid w:val="02521EB3"/>
    <w:rsid w:val="026A3CE8"/>
    <w:rsid w:val="029C203C"/>
    <w:rsid w:val="02AA60C4"/>
    <w:rsid w:val="02AB5AF9"/>
    <w:rsid w:val="02C126C5"/>
    <w:rsid w:val="02F05C02"/>
    <w:rsid w:val="035E4919"/>
    <w:rsid w:val="037E4FBC"/>
    <w:rsid w:val="03A5079A"/>
    <w:rsid w:val="03B15C72"/>
    <w:rsid w:val="03BD227B"/>
    <w:rsid w:val="03FF7113"/>
    <w:rsid w:val="040F167A"/>
    <w:rsid w:val="04130446"/>
    <w:rsid w:val="04242D8F"/>
    <w:rsid w:val="042B3B79"/>
    <w:rsid w:val="04305393"/>
    <w:rsid w:val="04470F02"/>
    <w:rsid w:val="045556A5"/>
    <w:rsid w:val="04611BFF"/>
    <w:rsid w:val="04616819"/>
    <w:rsid w:val="046248DD"/>
    <w:rsid w:val="04833A9E"/>
    <w:rsid w:val="048605CC"/>
    <w:rsid w:val="04957239"/>
    <w:rsid w:val="049E5E5C"/>
    <w:rsid w:val="04B968D4"/>
    <w:rsid w:val="04C07CA5"/>
    <w:rsid w:val="04C24726"/>
    <w:rsid w:val="04C840A8"/>
    <w:rsid w:val="04F7692C"/>
    <w:rsid w:val="04F77DC0"/>
    <w:rsid w:val="05030D5A"/>
    <w:rsid w:val="050404B0"/>
    <w:rsid w:val="05151950"/>
    <w:rsid w:val="051554AC"/>
    <w:rsid w:val="051E0BD4"/>
    <w:rsid w:val="051F1786"/>
    <w:rsid w:val="05347310"/>
    <w:rsid w:val="054B711F"/>
    <w:rsid w:val="054C7DEB"/>
    <w:rsid w:val="05542478"/>
    <w:rsid w:val="0581479B"/>
    <w:rsid w:val="05910433"/>
    <w:rsid w:val="05B41169"/>
    <w:rsid w:val="05BE3D95"/>
    <w:rsid w:val="05C3091D"/>
    <w:rsid w:val="05D30058"/>
    <w:rsid w:val="05D709B3"/>
    <w:rsid w:val="06114BD2"/>
    <w:rsid w:val="0617327D"/>
    <w:rsid w:val="061B2209"/>
    <w:rsid w:val="062C1AE1"/>
    <w:rsid w:val="062D102C"/>
    <w:rsid w:val="06563E17"/>
    <w:rsid w:val="066466EB"/>
    <w:rsid w:val="06813932"/>
    <w:rsid w:val="06915006"/>
    <w:rsid w:val="06A430F4"/>
    <w:rsid w:val="06A6306B"/>
    <w:rsid w:val="06C851FE"/>
    <w:rsid w:val="06C86354"/>
    <w:rsid w:val="06C94801"/>
    <w:rsid w:val="06EA248E"/>
    <w:rsid w:val="06EA2E67"/>
    <w:rsid w:val="06EB0BBA"/>
    <w:rsid w:val="07237076"/>
    <w:rsid w:val="072E0AA7"/>
    <w:rsid w:val="075A21F9"/>
    <w:rsid w:val="07695D1B"/>
    <w:rsid w:val="07917CAA"/>
    <w:rsid w:val="07956AC1"/>
    <w:rsid w:val="07A1571D"/>
    <w:rsid w:val="07D01B5E"/>
    <w:rsid w:val="07D52ED9"/>
    <w:rsid w:val="07E003AC"/>
    <w:rsid w:val="07E55D4E"/>
    <w:rsid w:val="07F36D44"/>
    <w:rsid w:val="07FA4FE9"/>
    <w:rsid w:val="08036B8C"/>
    <w:rsid w:val="082F488A"/>
    <w:rsid w:val="0831084F"/>
    <w:rsid w:val="0842322A"/>
    <w:rsid w:val="084F33CB"/>
    <w:rsid w:val="0869448C"/>
    <w:rsid w:val="089409D9"/>
    <w:rsid w:val="08E25FED"/>
    <w:rsid w:val="090D00FA"/>
    <w:rsid w:val="093076FC"/>
    <w:rsid w:val="09A143F8"/>
    <w:rsid w:val="09B22554"/>
    <w:rsid w:val="09E57ED6"/>
    <w:rsid w:val="09EB2C7F"/>
    <w:rsid w:val="09EE6151"/>
    <w:rsid w:val="0A4D2465"/>
    <w:rsid w:val="0A572E95"/>
    <w:rsid w:val="0A5B7E05"/>
    <w:rsid w:val="0A896B6C"/>
    <w:rsid w:val="0A931DD0"/>
    <w:rsid w:val="0A9E2205"/>
    <w:rsid w:val="0AAA37AF"/>
    <w:rsid w:val="0AB05605"/>
    <w:rsid w:val="0AD32091"/>
    <w:rsid w:val="0AE45221"/>
    <w:rsid w:val="0AE778EA"/>
    <w:rsid w:val="0AF949A8"/>
    <w:rsid w:val="0B2A1C1C"/>
    <w:rsid w:val="0B41524D"/>
    <w:rsid w:val="0B4529BD"/>
    <w:rsid w:val="0B4B5438"/>
    <w:rsid w:val="0B4E1717"/>
    <w:rsid w:val="0B756E97"/>
    <w:rsid w:val="0B7D4194"/>
    <w:rsid w:val="0BA07177"/>
    <w:rsid w:val="0BBE689D"/>
    <w:rsid w:val="0BD11F3C"/>
    <w:rsid w:val="0BE226D6"/>
    <w:rsid w:val="0BE23551"/>
    <w:rsid w:val="0BFA53FB"/>
    <w:rsid w:val="0BFC5617"/>
    <w:rsid w:val="0BFF569C"/>
    <w:rsid w:val="0BFF5852"/>
    <w:rsid w:val="0C2408EB"/>
    <w:rsid w:val="0C2D57D1"/>
    <w:rsid w:val="0C510587"/>
    <w:rsid w:val="0C5D1E9D"/>
    <w:rsid w:val="0C6311F3"/>
    <w:rsid w:val="0C767178"/>
    <w:rsid w:val="0C807FF6"/>
    <w:rsid w:val="0C9E6B7A"/>
    <w:rsid w:val="0CA43CE5"/>
    <w:rsid w:val="0CB952B6"/>
    <w:rsid w:val="0CC06645"/>
    <w:rsid w:val="0CD93263"/>
    <w:rsid w:val="0CF9788A"/>
    <w:rsid w:val="0D15280F"/>
    <w:rsid w:val="0D1B1ACD"/>
    <w:rsid w:val="0D470EA5"/>
    <w:rsid w:val="0D6545DC"/>
    <w:rsid w:val="0DBB1326"/>
    <w:rsid w:val="0DC363ED"/>
    <w:rsid w:val="0DC91529"/>
    <w:rsid w:val="0E0F1632"/>
    <w:rsid w:val="0E33196B"/>
    <w:rsid w:val="0E372937"/>
    <w:rsid w:val="0E4F5ED2"/>
    <w:rsid w:val="0E67321C"/>
    <w:rsid w:val="0E683A8F"/>
    <w:rsid w:val="0E8813E4"/>
    <w:rsid w:val="0E883192"/>
    <w:rsid w:val="0E930F68"/>
    <w:rsid w:val="0EA37FCC"/>
    <w:rsid w:val="0EBD2E3C"/>
    <w:rsid w:val="0EC42733"/>
    <w:rsid w:val="0EC95C85"/>
    <w:rsid w:val="0ED14B39"/>
    <w:rsid w:val="0ED6002E"/>
    <w:rsid w:val="0EF21695"/>
    <w:rsid w:val="0EF83E74"/>
    <w:rsid w:val="0F1F4EFA"/>
    <w:rsid w:val="0F3F52F2"/>
    <w:rsid w:val="0F470958"/>
    <w:rsid w:val="0F64775C"/>
    <w:rsid w:val="0F6E6211"/>
    <w:rsid w:val="0F7A08C1"/>
    <w:rsid w:val="0F827BE2"/>
    <w:rsid w:val="0F887C14"/>
    <w:rsid w:val="0F9C5147"/>
    <w:rsid w:val="0F9F2542"/>
    <w:rsid w:val="0FAD343A"/>
    <w:rsid w:val="0FAD778B"/>
    <w:rsid w:val="0FD146C5"/>
    <w:rsid w:val="0FD37F53"/>
    <w:rsid w:val="0FDA7A1E"/>
    <w:rsid w:val="10344E9B"/>
    <w:rsid w:val="1053332C"/>
    <w:rsid w:val="106A3C74"/>
    <w:rsid w:val="106F0166"/>
    <w:rsid w:val="10840EF8"/>
    <w:rsid w:val="10A92DD3"/>
    <w:rsid w:val="10AF3E78"/>
    <w:rsid w:val="10CF662A"/>
    <w:rsid w:val="10D92E19"/>
    <w:rsid w:val="10DE2451"/>
    <w:rsid w:val="110F00FE"/>
    <w:rsid w:val="11185328"/>
    <w:rsid w:val="11391BF3"/>
    <w:rsid w:val="113F222E"/>
    <w:rsid w:val="115259D3"/>
    <w:rsid w:val="116B5E0B"/>
    <w:rsid w:val="117E4227"/>
    <w:rsid w:val="11800151"/>
    <w:rsid w:val="118D38FA"/>
    <w:rsid w:val="11AC50C5"/>
    <w:rsid w:val="11AD39DC"/>
    <w:rsid w:val="11B44AAB"/>
    <w:rsid w:val="11CD2769"/>
    <w:rsid w:val="120D5D21"/>
    <w:rsid w:val="12217B86"/>
    <w:rsid w:val="124F4028"/>
    <w:rsid w:val="12637EF9"/>
    <w:rsid w:val="12652293"/>
    <w:rsid w:val="12664571"/>
    <w:rsid w:val="126B2BA1"/>
    <w:rsid w:val="12A13C64"/>
    <w:rsid w:val="12A22DAA"/>
    <w:rsid w:val="12CC409A"/>
    <w:rsid w:val="12D13E2D"/>
    <w:rsid w:val="12D544CC"/>
    <w:rsid w:val="12E03024"/>
    <w:rsid w:val="12E56E05"/>
    <w:rsid w:val="12E67729"/>
    <w:rsid w:val="130C3E2A"/>
    <w:rsid w:val="13144FF5"/>
    <w:rsid w:val="131878F8"/>
    <w:rsid w:val="13386B83"/>
    <w:rsid w:val="13441845"/>
    <w:rsid w:val="13653AA2"/>
    <w:rsid w:val="13853604"/>
    <w:rsid w:val="139B5716"/>
    <w:rsid w:val="13A91BE1"/>
    <w:rsid w:val="13C24A51"/>
    <w:rsid w:val="13D027D0"/>
    <w:rsid w:val="13E76BAD"/>
    <w:rsid w:val="141D5A2A"/>
    <w:rsid w:val="143F42F3"/>
    <w:rsid w:val="14533D0D"/>
    <w:rsid w:val="14552592"/>
    <w:rsid w:val="146D51DC"/>
    <w:rsid w:val="147F2942"/>
    <w:rsid w:val="14A37A56"/>
    <w:rsid w:val="14B22D17"/>
    <w:rsid w:val="14EA3590"/>
    <w:rsid w:val="14F50E56"/>
    <w:rsid w:val="150D257F"/>
    <w:rsid w:val="15127181"/>
    <w:rsid w:val="152A4FA3"/>
    <w:rsid w:val="1555205F"/>
    <w:rsid w:val="1557267C"/>
    <w:rsid w:val="155B6E8A"/>
    <w:rsid w:val="156F5830"/>
    <w:rsid w:val="15836462"/>
    <w:rsid w:val="158C17BA"/>
    <w:rsid w:val="15923122"/>
    <w:rsid w:val="15B4502E"/>
    <w:rsid w:val="15B61089"/>
    <w:rsid w:val="15BB3E4D"/>
    <w:rsid w:val="15DC601B"/>
    <w:rsid w:val="15E835AC"/>
    <w:rsid w:val="15FF3FEE"/>
    <w:rsid w:val="16104199"/>
    <w:rsid w:val="162C3DEF"/>
    <w:rsid w:val="163931EC"/>
    <w:rsid w:val="163B6FFF"/>
    <w:rsid w:val="163F682C"/>
    <w:rsid w:val="16421E79"/>
    <w:rsid w:val="16491459"/>
    <w:rsid w:val="164B646F"/>
    <w:rsid w:val="16526560"/>
    <w:rsid w:val="166156DB"/>
    <w:rsid w:val="166B2351"/>
    <w:rsid w:val="16C34950"/>
    <w:rsid w:val="16D1369E"/>
    <w:rsid w:val="16D83BB9"/>
    <w:rsid w:val="16D96F8D"/>
    <w:rsid w:val="16F83EC7"/>
    <w:rsid w:val="16FD7D47"/>
    <w:rsid w:val="170610F8"/>
    <w:rsid w:val="171B2DF6"/>
    <w:rsid w:val="172451FD"/>
    <w:rsid w:val="17680005"/>
    <w:rsid w:val="17864A64"/>
    <w:rsid w:val="17962156"/>
    <w:rsid w:val="179761F4"/>
    <w:rsid w:val="179A1B6A"/>
    <w:rsid w:val="17D27206"/>
    <w:rsid w:val="181F7418"/>
    <w:rsid w:val="18211BB1"/>
    <w:rsid w:val="18251A52"/>
    <w:rsid w:val="182F0552"/>
    <w:rsid w:val="18304F28"/>
    <w:rsid w:val="183B2001"/>
    <w:rsid w:val="184E0CEC"/>
    <w:rsid w:val="184E0FA9"/>
    <w:rsid w:val="18506A1D"/>
    <w:rsid w:val="18526327"/>
    <w:rsid w:val="18585F38"/>
    <w:rsid w:val="186B56B7"/>
    <w:rsid w:val="18926FAF"/>
    <w:rsid w:val="18956B08"/>
    <w:rsid w:val="18A84073"/>
    <w:rsid w:val="18CB084B"/>
    <w:rsid w:val="18D771F0"/>
    <w:rsid w:val="18DC0363"/>
    <w:rsid w:val="18FC71FA"/>
    <w:rsid w:val="18FF1D76"/>
    <w:rsid w:val="19102702"/>
    <w:rsid w:val="19121FD6"/>
    <w:rsid w:val="191915B7"/>
    <w:rsid w:val="191A70DD"/>
    <w:rsid w:val="19637EB1"/>
    <w:rsid w:val="19881F8C"/>
    <w:rsid w:val="199C17E1"/>
    <w:rsid w:val="19A4449A"/>
    <w:rsid w:val="19A908AA"/>
    <w:rsid w:val="19B66F87"/>
    <w:rsid w:val="19B72AEF"/>
    <w:rsid w:val="19D84FCE"/>
    <w:rsid w:val="1A0F4DCD"/>
    <w:rsid w:val="1A1C61EB"/>
    <w:rsid w:val="1A3441CE"/>
    <w:rsid w:val="1A4A57A0"/>
    <w:rsid w:val="1A4C6B0B"/>
    <w:rsid w:val="1A502433"/>
    <w:rsid w:val="1A7F342E"/>
    <w:rsid w:val="1A8B19D1"/>
    <w:rsid w:val="1A8D7FA6"/>
    <w:rsid w:val="1A8F70D1"/>
    <w:rsid w:val="1A956B0D"/>
    <w:rsid w:val="1A974E89"/>
    <w:rsid w:val="1AE23C2A"/>
    <w:rsid w:val="1AF916A0"/>
    <w:rsid w:val="1AF95AEF"/>
    <w:rsid w:val="1B0016FF"/>
    <w:rsid w:val="1B0A44F5"/>
    <w:rsid w:val="1B185594"/>
    <w:rsid w:val="1B395F40"/>
    <w:rsid w:val="1B50328A"/>
    <w:rsid w:val="1B944F25"/>
    <w:rsid w:val="1B9B61F4"/>
    <w:rsid w:val="1BA55384"/>
    <w:rsid w:val="1BAB04C0"/>
    <w:rsid w:val="1BAD5FE6"/>
    <w:rsid w:val="1BB1277E"/>
    <w:rsid w:val="1BD16179"/>
    <w:rsid w:val="1BD350A8"/>
    <w:rsid w:val="1BED2887"/>
    <w:rsid w:val="1BFE0375"/>
    <w:rsid w:val="1C1074E6"/>
    <w:rsid w:val="1C2564C4"/>
    <w:rsid w:val="1C2A7E88"/>
    <w:rsid w:val="1C6737F5"/>
    <w:rsid w:val="1C7849AA"/>
    <w:rsid w:val="1CA22F00"/>
    <w:rsid w:val="1CA850A2"/>
    <w:rsid w:val="1CB87339"/>
    <w:rsid w:val="1CEE0979"/>
    <w:rsid w:val="1CF708D0"/>
    <w:rsid w:val="1D086257"/>
    <w:rsid w:val="1D0C0271"/>
    <w:rsid w:val="1D165AF0"/>
    <w:rsid w:val="1D172271"/>
    <w:rsid w:val="1D533C2C"/>
    <w:rsid w:val="1D5C01D9"/>
    <w:rsid w:val="1D667ACB"/>
    <w:rsid w:val="1D9D75E8"/>
    <w:rsid w:val="1DD61749"/>
    <w:rsid w:val="1E107A4D"/>
    <w:rsid w:val="1E12574F"/>
    <w:rsid w:val="1E1578D9"/>
    <w:rsid w:val="1E4569AA"/>
    <w:rsid w:val="1E480248"/>
    <w:rsid w:val="1EB524E8"/>
    <w:rsid w:val="1EC1126F"/>
    <w:rsid w:val="1EC73863"/>
    <w:rsid w:val="1ED65854"/>
    <w:rsid w:val="1EDB2E6A"/>
    <w:rsid w:val="1EF02DBA"/>
    <w:rsid w:val="1EF47EDC"/>
    <w:rsid w:val="1F0625DD"/>
    <w:rsid w:val="1F0A5D4D"/>
    <w:rsid w:val="1F2A343A"/>
    <w:rsid w:val="1F2C36C6"/>
    <w:rsid w:val="1F304FF2"/>
    <w:rsid w:val="1F370138"/>
    <w:rsid w:val="1F5617CE"/>
    <w:rsid w:val="1F6D7F66"/>
    <w:rsid w:val="1F87469B"/>
    <w:rsid w:val="1F8B52D0"/>
    <w:rsid w:val="1FAA11BB"/>
    <w:rsid w:val="1FB65DB1"/>
    <w:rsid w:val="1FC81641"/>
    <w:rsid w:val="1FD5577C"/>
    <w:rsid w:val="1FF655EE"/>
    <w:rsid w:val="200C15DD"/>
    <w:rsid w:val="20224DA8"/>
    <w:rsid w:val="20242CD7"/>
    <w:rsid w:val="204039C0"/>
    <w:rsid w:val="205729C5"/>
    <w:rsid w:val="20713154"/>
    <w:rsid w:val="20883233"/>
    <w:rsid w:val="20895F91"/>
    <w:rsid w:val="20C34F5C"/>
    <w:rsid w:val="20C91D76"/>
    <w:rsid w:val="20CC59EA"/>
    <w:rsid w:val="20CF1592"/>
    <w:rsid w:val="20E858A3"/>
    <w:rsid w:val="210A14E5"/>
    <w:rsid w:val="211427F1"/>
    <w:rsid w:val="21350F58"/>
    <w:rsid w:val="213A031C"/>
    <w:rsid w:val="213B2FB4"/>
    <w:rsid w:val="214473ED"/>
    <w:rsid w:val="21584484"/>
    <w:rsid w:val="215A717A"/>
    <w:rsid w:val="21747135"/>
    <w:rsid w:val="21C15436"/>
    <w:rsid w:val="21D00DD1"/>
    <w:rsid w:val="21D04408"/>
    <w:rsid w:val="21E11A55"/>
    <w:rsid w:val="21F030DA"/>
    <w:rsid w:val="220E431A"/>
    <w:rsid w:val="22154A8F"/>
    <w:rsid w:val="221B014E"/>
    <w:rsid w:val="22281004"/>
    <w:rsid w:val="222A501C"/>
    <w:rsid w:val="225C2514"/>
    <w:rsid w:val="22792DD7"/>
    <w:rsid w:val="22835459"/>
    <w:rsid w:val="228A7081"/>
    <w:rsid w:val="22A64BB2"/>
    <w:rsid w:val="22B3482A"/>
    <w:rsid w:val="22BF31CF"/>
    <w:rsid w:val="22F64717"/>
    <w:rsid w:val="23105F0D"/>
    <w:rsid w:val="23111551"/>
    <w:rsid w:val="233A3D0B"/>
    <w:rsid w:val="23627FFE"/>
    <w:rsid w:val="237B5F29"/>
    <w:rsid w:val="238916A4"/>
    <w:rsid w:val="23963804"/>
    <w:rsid w:val="23AC1586"/>
    <w:rsid w:val="23AE1F8B"/>
    <w:rsid w:val="23BD2989"/>
    <w:rsid w:val="23FE1CAD"/>
    <w:rsid w:val="242B18E6"/>
    <w:rsid w:val="242F1F5E"/>
    <w:rsid w:val="24392B0D"/>
    <w:rsid w:val="24593ED1"/>
    <w:rsid w:val="24A54EC4"/>
    <w:rsid w:val="24C13CCC"/>
    <w:rsid w:val="24C24B28"/>
    <w:rsid w:val="24C54229"/>
    <w:rsid w:val="24CA5326"/>
    <w:rsid w:val="24D34D10"/>
    <w:rsid w:val="24DB0068"/>
    <w:rsid w:val="24E54A43"/>
    <w:rsid w:val="24EA3E14"/>
    <w:rsid w:val="250F3DFA"/>
    <w:rsid w:val="25162E4E"/>
    <w:rsid w:val="251D242F"/>
    <w:rsid w:val="253A0094"/>
    <w:rsid w:val="254C4AC2"/>
    <w:rsid w:val="255D6CCF"/>
    <w:rsid w:val="255E0351"/>
    <w:rsid w:val="256272BE"/>
    <w:rsid w:val="25970CC6"/>
    <w:rsid w:val="25B82157"/>
    <w:rsid w:val="25C52299"/>
    <w:rsid w:val="25C80D18"/>
    <w:rsid w:val="25DE1BBE"/>
    <w:rsid w:val="25E42F4C"/>
    <w:rsid w:val="261A6EE0"/>
    <w:rsid w:val="26273CE6"/>
    <w:rsid w:val="2632248D"/>
    <w:rsid w:val="26331704"/>
    <w:rsid w:val="26455660"/>
    <w:rsid w:val="26526108"/>
    <w:rsid w:val="26591245"/>
    <w:rsid w:val="26862C8C"/>
    <w:rsid w:val="26AB0F21"/>
    <w:rsid w:val="26AF70B6"/>
    <w:rsid w:val="26B4291F"/>
    <w:rsid w:val="26C45140"/>
    <w:rsid w:val="26D26BAE"/>
    <w:rsid w:val="270C2948"/>
    <w:rsid w:val="270F1204"/>
    <w:rsid w:val="272A4522"/>
    <w:rsid w:val="273B3040"/>
    <w:rsid w:val="275B619F"/>
    <w:rsid w:val="275C0147"/>
    <w:rsid w:val="27606603"/>
    <w:rsid w:val="276E0D20"/>
    <w:rsid w:val="276F6846"/>
    <w:rsid w:val="27743E5C"/>
    <w:rsid w:val="277B57A8"/>
    <w:rsid w:val="27B01338"/>
    <w:rsid w:val="27CE7A10"/>
    <w:rsid w:val="27EB05C2"/>
    <w:rsid w:val="27FD20A3"/>
    <w:rsid w:val="281731DB"/>
    <w:rsid w:val="282F4953"/>
    <w:rsid w:val="283F26BC"/>
    <w:rsid w:val="28523CBE"/>
    <w:rsid w:val="286B210C"/>
    <w:rsid w:val="28814A83"/>
    <w:rsid w:val="28962DD3"/>
    <w:rsid w:val="28C52BC1"/>
    <w:rsid w:val="28DE3C83"/>
    <w:rsid w:val="28E60D8A"/>
    <w:rsid w:val="28F039B6"/>
    <w:rsid w:val="28F434A6"/>
    <w:rsid w:val="292728BE"/>
    <w:rsid w:val="29322DAC"/>
    <w:rsid w:val="29341AF5"/>
    <w:rsid w:val="293A233A"/>
    <w:rsid w:val="294213D2"/>
    <w:rsid w:val="29506C2F"/>
    <w:rsid w:val="29534671"/>
    <w:rsid w:val="295F3FC9"/>
    <w:rsid w:val="29606D8E"/>
    <w:rsid w:val="29734B2B"/>
    <w:rsid w:val="29846438"/>
    <w:rsid w:val="29910CF5"/>
    <w:rsid w:val="29AF519A"/>
    <w:rsid w:val="29D07A70"/>
    <w:rsid w:val="29D42103"/>
    <w:rsid w:val="2A097206"/>
    <w:rsid w:val="2A3C3357"/>
    <w:rsid w:val="2A5F5768"/>
    <w:rsid w:val="2A781EB5"/>
    <w:rsid w:val="2AA8279A"/>
    <w:rsid w:val="2ABD43F8"/>
    <w:rsid w:val="2AD11B33"/>
    <w:rsid w:val="2AE5579D"/>
    <w:rsid w:val="2AFB1F5F"/>
    <w:rsid w:val="2AFE50A5"/>
    <w:rsid w:val="2B0B4AD7"/>
    <w:rsid w:val="2B191B99"/>
    <w:rsid w:val="2B345DDC"/>
    <w:rsid w:val="2B457FE9"/>
    <w:rsid w:val="2B471FB3"/>
    <w:rsid w:val="2B631F9F"/>
    <w:rsid w:val="2B64054D"/>
    <w:rsid w:val="2B7803F0"/>
    <w:rsid w:val="2B794137"/>
    <w:rsid w:val="2B7D59D5"/>
    <w:rsid w:val="2B8A40BA"/>
    <w:rsid w:val="2B977607"/>
    <w:rsid w:val="2BA82788"/>
    <w:rsid w:val="2BB43944"/>
    <w:rsid w:val="2BB56545"/>
    <w:rsid w:val="2BB57415"/>
    <w:rsid w:val="2BEB7C4E"/>
    <w:rsid w:val="2C084D2F"/>
    <w:rsid w:val="2C7B6141"/>
    <w:rsid w:val="2C8965FC"/>
    <w:rsid w:val="2CB41D10"/>
    <w:rsid w:val="2CC03E3F"/>
    <w:rsid w:val="2CD254ED"/>
    <w:rsid w:val="2CE669E3"/>
    <w:rsid w:val="2D197980"/>
    <w:rsid w:val="2D2D51D9"/>
    <w:rsid w:val="2D5A02E9"/>
    <w:rsid w:val="2D7828F8"/>
    <w:rsid w:val="2D7E5755"/>
    <w:rsid w:val="2DBF0527"/>
    <w:rsid w:val="2DC8748F"/>
    <w:rsid w:val="2DD00881"/>
    <w:rsid w:val="2DE101E6"/>
    <w:rsid w:val="2E086271"/>
    <w:rsid w:val="2E2760CC"/>
    <w:rsid w:val="2E4C168F"/>
    <w:rsid w:val="2E5D798F"/>
    <w:rsid w:val="2E756E38"/>
    <w:rsid w:val="2E782484"/>
    <w:rsid w:val="2EA367EC"/>
    <w:rsid w:val="2EC2770D"/>
    <w:rsid w:val="2ECD6C74"/>
    <w:rsid w:val="2ED81174"/>
    <w:rsid w:val="2F3B3D10"/>
    <w:rsid w:val="2F6E5F0C"/>
    <w:rsid w:val="2F8F217B"/>
    <w:rsid w:val="2FB0531E"/>
    <w:rsid w:val="2FB12379"/>
    <w:rsid w:val="2FB27A9C"/>
    <w:rsid w:val="30187601"/>
    <w:rsid w:val="30203B82"/>
    <w:rsid w:val="30282E6F"/>
    <w:rsid w:val="30394D70"/>
    <w:rsid w:val="3041265D"/>
    <w:rsid w:val="30526C70"/>
    <w:rsid w:val="30657300"/>
    <w:rsid w:val="307F4548"/>
    <w:rsid w:val="30973408"/>
    <w:rsid w:val="30A43A04"/>
    <w:rsid w:val="30C162F8"/>
    <w:rsid w:val="30D440BB"/>
    <w:rsid w:val="30D45BBF"/>
    <w:rsid w:val="30DC319E"/>
    <w:rsid w:val="30F04DDC"/>
    <w:rsid w:val="30F06C49"/>
    <w:rsid w:val="310962B6"/>
    <w:rsid w:val="311B6872"/>
    <w:rsid w:val="311C483E"/>
    <w:rsid w:val="312B0184"/>
    <w:rsid w:val="312C00A2"/>
    <w:rsid w:val="31384CFA"/>
    <w:rsid w:val="314676D2"/>
    <w:rsid w:val="314772DF"/>
    <w:rsid w:val="314A64F7"/>
    <w:rsid w:val="315E6058"/>
    <w:rsid w:val="317B29B7"/>
    <w:rsid w:val="318F172B"/>
    <w:rsid w:val="319D6E9C"/>
    <w:rsid w:val="31A16195"/>
    <w:rsid w:val="31A33CBC"/>
    <w:rsid w:val="31B5259A"/>
    <w:rsid w:val="31B9528D"/>
    <w:rsid w:val="31D25FD2"/>
    <w:rsid w:val="322C0750"/>
    <w:rsid w:val="32437BC2"/>
    <w:rsid w:val="325A322E"/>
    <w:rsid w:val="325D20BC"/>
    <w:rsid w:val="32BC0302"/>
    <w:rsid w:val="32BC0383"/>
    <w:rsid w:val="32CC7242"/>
    <w:rsid w:val="32E4633A"/>
    <w:rsid w:val="332633D4"/>
    <w:rsid w:val="33381B4A"/>
    <w:rsid w:val="33462B51"/>
    <w:rsid w:val="33485D6A"/>
    <w:rsid w:val="33535E4F"/>
    <w:rsid w:val="33B71CA0"/>
    <w:rsid w:val="33BD6A91"/>
    <w:rsid w:val="33CC0DB1"/>
    <w:rsid w:val="33E759EE"/>
    <w:rsid w:val="33FB6FC0"/>
    <w:rsid w:val="340C5B48"/>
    <w:rsid w:val="34194333"/>
    <w:rsid w:val="34325348"/>
    <w:rsid w:val="34325AB0"/>
    <w:rsid w:val="34605E94"/>
    <w:rsid w:val="34874F6D"/>
    <w:rsid w:val="34945B3E"/>
    <w:rsid w:val="34A84C73"/>
    <w:rsid w:val="34AF6442"/>
    <w:rsid w:val="34CF2A79"/>
    <w:rsid w:val="34DB48BA"/>
    <w:rsid w:val="34FE3CD8"/>
    <w:rsid w:val="350E769E"/>
    <w:rsid w:val="35374E47"/>
    <w:rsid w:val="353C792F"/>
    <w:rsid w:val="354D21E0"/>
    <w:rsid w:val="355E6877"/>
    <w:rsid w:val="356A243C"/>
    <w:rsid w:val="356E45E1"/>
    <w:rsid w:val="35773495"/>
    <w:rsid w:val="358E4C71"/>
    <w:rsid w:val="358F4C83"/>
    <w:rsid w:val="35901B41"/>
    <w:rsid w:val="359F479A"/>
    <w:rsid w:val="35A87AF3"/>
    <w:rsid w:val="35B53FBE"/>
    <w:rsid w:val="35D445C7"/>
    <w:rsid w:val="35EB3E83"/>
    <w:rsid w:val="35FB1672"/>
    <w:rsid w:val="361C228F"/>
    <w:rsid w:val="3623361D"/>
    <w:rsid w:val="36256F4C"/>
    <w:rsid w:val="36464CCC"/>
    <w:rsid w:val="36486F50"/>
    <w:rsid w:val="366710C5"/>
    <w:rsid w:val="36A10175"/>
    <w:rsid w:val="36B81FB7"/>
    <w:rsid w:val="36E5185A"/>
    <w:rsid w:val="37215F74"/>
    <w:rsid w:val="373D426B"/>
    <w:rsid w:val="37517D16"/>
    <w:rsid w:val="37957AB9"/>
    <w:rsid w:val="379876F3"/>
    <w:rsid w:val="37C87FD8"/>
    <w:rsid w:val="37D42E21"/>
    <w:rsid w:val="37E90C3B"/>
    <w:rsid w:val="38060B00"/>
    <w:rsid w:val="380F7021"/>
    <w:rsid w:val="38126D58"/>
    <w:rsid w:val="38190834"/>
    <w:rsid w:val="38262F51"/>
    <w:rsid w:val="382D2752"/>
    <w:rsid w:val="38422A86"/>
    <w:rsid w:val="38777FB4"/>
    <w:rsid w:val="388510D0"/>
    <w:rsid w:val="388A772D"/>
    <w:rsid w:val="388D6452"/>
    <w:rsid w:val="38AB0436"/>
    <w:rsid w:val="38AF73EA"/>
    <w:rsid w:val="38B44A00"/>
    <w:rsid w:val="38B75AFE"/>
    <w:rsid w:val="38E2156D"/>
    <w:rsid w:val="38EC4B90"/>
    <w:rsid w:val="39015276"/>
    <w:rsid w:val="390C441A"/>
    <w:rsid w:val="390C7B4B"/>
    <w:rsid w:val="39160B64"/>
    <w:rsid w:val="392A3342"/>
    <w:rsid w:val="392C6A16"/>
    <w:rsid w:val="393334BC"/>
    <w:rsid w:val="393B250F"/>
    <w:rsid w:val="393F3498"/>
    <w:rsid w:val="39461605"/>
    <w:rsid w:val="397B5D10"/>
    <w:rsid w:val="399223BD"/>
    <w:rsid w:val="39A71E6F"/>
    <w:rsid w:val="39B06F76"/>
    <w:rsid w:val="39C27BB5"/>
    <w:rsid w:val="39FD416B"/>
    <w:rsid w:val="3A0A0C34"/>
    <w:rsid w:val="3A0E0140"/>
    <w:rsid w:val="3A231E3E"/>
    <w:rsid w:val="3A60099C"/>
    <w:rsid w:val="3A767625"/>
    <w:rsid w:val="3A7B6BD0"/>
    <w:rsid w:val="3A811F62"/>
    <w:rsid w:val="3ABD1A37"/>
    <w:rsid w:val="3AD82C28"/>
    <w:rsid w:val="3ADB4EA0"/>
    <w:rsid w:val="3B155A93"/>
    <w:rsid w:val="3B2D45F6"/>
    <w:rsid w:val="3B33651B"/>
    <w:rsid w:val="3B4413D5"/>
    <w:rsid w:val="3B5119C7"/>
    <w:rsid w:val="3B6C20B2"/>
    <w:rsid w:val="3B7A5A8D"/>
    <w:rsid w:val="3B7D49C4"/>
    <w:rsid w:val="3B985F13"/>
    <w:rsid w:val="3BA66882"/>
    <w:rsid w:val="3BB173CE"/>
    <w:rsid w:val="3BB5179E"/>
    <w:rsid w:val="3BBD1E1E"/>
    <w:rsid w:val="3BD01B51"/>
    <w:rsid w:val="3BF70E8C"/>
    <w:rsid w:val="3C0579A8"/>
    <w:rsid w:val="3C080053"/>
    <w:rsid w:val="3C1C779D"/>
    <w:rsid w:val="3C1E1A22"/>
    <w:rsid w:val="3C241787"/>
    <w:rsid w:val="3C320C34"/>
    <w:rsid w:val="3C363AD7"/>
    <w:rsid w:val="3C5F15A9"/>
    <w:rsid w:val="3C616C4D"/>
    <w:rsid w:val="3C683B38"/>
    <w:rsid w:val="3C6D615A"/>
    <w:rsid w:val="3C957F32"/>
    <w:rsid w:val="3CA8627D"/>
    <w:rsid w:val="3CA926B1"/>
    <w:rsid w:val="3CCB746F"/>
    <w:rsid w:val="3CE23B77"/>
    <w:rsid w:val="3D005017"/>
    <w:rsid w:val="3D112421"/>
    <w:rsid w:val="3D281519"/>
    <w:rsid w:val="3D614B46"/>
    <w:rsid w:val="3D736C38"/>
    <w:rsid w:val="3D7B0C6D"/>
    <w:rsid w:val="3D874491"/>
    <w:rsid w:val="3D94675B"/>
    <w:rsid w:val="3D9749DE"/>
    <w:rsid w:val="3DA93FA0"/>
    <w:rsid w:val="3DD11BB1"/>
    <w:rsid w:val="3E0755D2"/>
    <w:rsid w:val="3E19306A"/>
    <w:rsid w:val="3E1C47FE"/>
    <w:rsid w:val="3E4B3711"/>
    <w:rsid w:val="3E542340"/>
    <w:rsid w:val="3E575F89"/>
    <w:rsid w:val="3E5F71BC"/>
    <w:rsid w:val="3E6B2874"/>
    <w:rsid w:val="3E9C3F6D"/>
    <w:rsid w:val="3ED52431"/>
    <w:rsid w:val="3ED656D0"/>
    <w:rsid w:val="3EE871B2"/>
    <w:rsid w:val="3F0C1519"/>
    <w:rsid w:val="3F144D65"/>
    <w:rsid w:val="3F3703B5"/>
    <w:rsid w:val="3F520ACF"/>
    <w:rsid w:val="3F5E7474"/>
    <w:rsid w:val="3F6F1FDE"/>
    <w:rsid w:val="3F764FCB"/>
    <w:rsid w:val="3F7722E4"/>
    <w:rsid w:val="3F9D482B"/>
    <w:rsid w:val="3FA15AA1"/>
    <w:rsid w:val="3FA67186"/>
    <w:rsid w:val="3FB2247C"/>
    <w:rsid w:val="3FD46317"/>
    <w:rsid w:val="400718BA"/>
    <w:rsid w:val="4012098A"/>
    <w:rsid w:val="403C1A73"/>
    <w:rsid w:val="404A74F8"/>
    <w:rsid w:val="4068011E"/>
    <w:rsid w:val="40694322"/>
    <w:rsid w:val="40896772"/>
    <w:rsid w:val="408C2C78"/>
    <w:rsid w:val="40B815D2"/>
    <w:rsid w:val="40C834F3"/>
    <w:rsid w:val="40CB087C"/>
    <w:rsid w:val="40DC2CE2"/>
    <w:rsid w:val="40E71922"/>
    <w:rsid w:val="40F8400A"/>
    <w:rsid w:val="410C1F6F"/>
    <w:rsid w:val="41120516"/>
    <w:rsid w:val="412A5860"/>
    <w:rsid w:val="412B1B91"/>
    <w:rsid w:val="4131552A"/>
    <w:rsid w:val="4133382B"/>
    <w:rsid w:val="415C79E3"/>
    <w:rsid w:val="41AB2962"/>
    <w:rsid w:val="41B4781F"/>
    <w:rsid w:val="41B96BE3"/>
    <w:rsid w:val="41C366B1"/>
    <w:rsid w:val="41E2613A"/>
    <w:rsid w:val="41F050FF"/>
    <w:rsid w:val="41FE04AD"/>
    <w:rsid w:val="420368B1"/>
    <w:rsid w:val="42332530"/>
    <w:rsid w:val="426621C4"/>
    <w:rsid w:val="42791A43"/>
    <w:rsid w:val="427F206F"/>
    <w:rsid w:val="428D0AC8"/>
    <w:rsid w:val="429B355A"/>
    <w:rsid w:val="42BF3D26"/>
    <w:rsid w:val="42C4674F"/>
    <w:rsid w:val="42F12B6C"/>
    <w:rsid w:val="434C3E8B"/>
    <w:rsid w:val="435272F0"/>
    <w:rsid w:val="436560E8"/>
    <w:rsid w:val="43BF3501"/>
    <w:rsid w:val="43BF7263"/>
    <w:rsid w:val="43DC0CB0"/>
    <w:rsid w:val="43E50164"/>
    <w:rsid w:val="44024872"/>
    <w:rsid w:val="44100CFB"/>
    <w:rsid w:val="44395683"/>
    <w:rsid w:val="44842CDF"/>
    <w:rsid w:val="449112BE"/>
    <w:rsid w:val="44A70E28"/>
    <w:rsid w:val="44B32010"/>
    <w:rsid w:val="44C05BF9"/>
    <w:rsid w:val="44CA3372"/>
    <w:rsid w:val="451377F7"/>
    <w:rsid w:val="45232CF2"/>
    <w:rsid w:val="453E7D05"/>
    <w:rsid w:val="45790B64"/>
    <w:rsid w:val="45796DB6"/>
    <w:rsid w:val="457A48DC"/>
    <w:rsid w:val="459B31D0"/>
    <w:rsid w:val="45D52993"/>
    <w:rsid w:val="45DD5472"/>
    <w:rsid w:val="45F12DF0"/>
    <w:rsid w:val="45F621B4"/>
    <w:rsid w:val="46001285"/>
    <w:rsid w:val="46077A46"/>
    <w:rsid w:val="4612161E"/>
    <w:rsid w:val="461B7E6D"/>
    <w:rsid w:val="461F05C4"/>
    <w:rsid w:val="46341091"/>
    <w:rsid w:val="464A0752"/>
    <w:rsid w:val="464E0242"/>
    <w:rsid w:val="46551B24"/>
    <w:rsid w:val="467661C5"/>
    <w:rsid w:val="469B0FAE"/>
    <w:rsid w:val="46A41C10"/>
    <w:rsid w:val="46A95479"/>
    <w:rsid w:val="46B12F19"/>
    <w:rsid w:val="46C67DD9"/>
    <w:rsid w:val="46D72DE0"/>
    <w:rsid w:val="46DC7E73"/>
    <w:rsid w:val="46E10406"/>
    <w:rsid w:val="46F506BE"/>
    <w:rsid w:val="47017063"/>
    <w:rsid w:val="470D3BCD"/>
    <w:rsid w:val="4726763D"/>
    <w:rsid w:val="47501CA9"/>
    <w:rsid w:val="4755115C"/>
    <w:rsid w:val="47683A8C"/>
    <w:rsid w:val="47933E35"/>
    <w:rsid w:val="47A813DF"/>
    <w:rsid w:val="47AD21BF"/>
    <w:rsid w:val="47B75973"/>
    <w:rsid w:val="47BE00AE"/>
    <w:rsid w:val="47C52FFF"/>
    <w:rsid w:val="47D23FAB"/>
    <w:rsid w:val="47DF3BBE"/>
    <w:rsid w:val="47ED3A8B"/>
    <w:rsid w:val="481F4302"/>
    <w:rsid w:val="48403BBB"/>
    <w:rsid w:val="48427933"/>
    <w:rsid w:val="484554E4"/>
    <w:rsid w:val="48484614"/>
    <w:rsid w:val="48731D83"/>
    <w:rsid w:val="487A0CF9"/>
    <w:rsid w:val="48825F81"/>
    <w:rsid w:val="488C32A4"/>
    <w:rsid w:val="48940E42"/>
    <w:rsid w:val="48A864D8"/>
    <w:rsid w:val="48AF414A"/>
    <w:rsid w:val="48C447EC"/>
    <w:rsid w:val="48D3711B"/>
    <w:rsid w:val="48E15695"/>
    <w:rsid w:val="48E357A6"/>
    <w:rsid w:val="48E67AD7"/>
    <w:rsid w:val="48EB5EEF"/>
    <w:rsid w:val="48F21359"/>
    <w:rsid w:val="490378C0"/>
    <w:rsid w:val="492E6109"/>
    <w:rsid w:val="493C0826"/>
    <w:rsid w:val="496164DE"/>
    <w:rsid w:val="49712B86"/>
    <w:rsid w:val="497B11A1"/>
    <w:rsid w:val="4985446E"/>
    <w:rsid w:val="498700F0"/>
    <w:rsid w:val="49894185"/>
    <w:rsid w:val="49A75F76"/>
    <w:rsid w:val="49BC3715"/>
    <w:rsid w:val="49D3791F"/>
    <w:rsid w:val="49E17816"/>
    <w:rsid w:val="4A162E25"/>
    <w:rsid w:val="4A2540DF"/>
    <w:rsid w:val="4A3132A3"/>
    <w:rsid w:val="4A361F60"/>
    <w:rsid w:val="4A471230"/>
    <w:rsid w:val="4A513E5D"/>
    <w:rsid w:val="4A5B2F2E"/>
    <w:rsid w:val="4A616303"/>
    <w:rsid w:val="4A6333C7"/>
    <w:rsid w:val="4A6D60A3"/>
    <w:rsid w:val="4A801273"/>
    <w:rsid w:val="4A8042EF"/>
    <w:rsid w:val="4A83128B"/>
    <w:rsid w:val="4A9D70A2"/>
    <w:rsid w:val="4AA173B4"/>
    <w:rsid w:val="4AD52CE0"/>
    <w:rsid w:val="4AD66A58"/>
    <w:rsid w:val="4AE847B6"/>
    <w:rsid w:val="4AEF05CE"/>
    <w:rsid w:val="4B031080"/>
    <w:rsid w:val="4B165BCC"/>
    <w:rsid w:val="4B1A4B97"/>
    <w:rsid w:val="4B4340EE"/>
    <w:rsid w:val="4B683366"/>
    <w:rsid w:val="4B704512"/>
    <w:rsid w:val="4B913E7E"/>
    <w:rsid w:val="4BB21E2B"/>
    <w:rsid w:val="4BC67A06"/>
    <w:rsid w:val="4BD440B1"/>
    <w:rsid w:val="4BD72A88"/>
    <w:rsid w:val="4C152B52"/>
    <w:rsid w:val="4C1647FF"/>
    <w:rsid w:val="4C1651AA"/>
    <w:rsid w:val="4C2F6420"/>
    <w:rsid w:val="4C3C4419"/>
    <w:rsid w:val="4C52210E"/>
    <w:rsid w:val="4C650262"/>
    <w:rsid w:val="4C721578"/>
    <w:rsid w:val="4CA23096"/>
    <w:rsid w:val="4CA53CC4"/>
    <w:rsid w:val="4CB17760"/>
    <w:rsid w:val="4CC4776A"/>
    <w:rsid w:val="4CCC0113"/>
    <w:rsid w:val="4CF530CB"/>
    <w:rsid w:val="4CF86A70"/>
    <w:rsid w:val="4CFC07B5"/>
    <w:rsid w:val="4D0C03F4"/>
    <w:rsid w:val="4D0F1621"/>
    <w:rsid w:val="4D263229"/>
    <w:rsid w:val="4D27382F"/>
    <w:rsid w:val="4D2948E8"/>
    <w:rsid w:val="4D2A6BE7"/>
    <w:rsid w:val="4D3066F7"/>
    <w:rsid w:val="4D315CEB"/>
    <w:rsid w:val="4D3E5B2F"/>
    <w:rsid w:val="4D3F61F8"/>
    <w:rsid w:val="4D5F4B34"/>
    <w:rsid w:val="4D6B16DA"/>
    <w:rsid w:val="4D6B3488"/>
    <w:rsid w:val="4D75724F"/>
    <w:rsid w:val="4D7E2891"/>
    <w:rsid w:val="4DE76220"/>
    <w:rsid w:val="4E0929FA"/>
    <w:rsid w:val="4E1C4782"/>
    <w:rsid w:val="4E4452AE"/>
    <w:rsid w:val="4E611163"/>
    <w:rsid w:val="4E734546"/>
    <w:rsid w:val="4E837945"/>
    <w:rsid w:val="4E914DD6"/>
    <w:rsid w:val="4EA34EA3"/>
    <w:rsid w:val="4EA57864"/>
    <w:rsid w:val="4EA824BA"/>
    <w:rsid w:val="4EB004CB"/>
    <w:rsid w:val="4ED33797"/>
    <w:rsid w:val="4EE73F7D"/>
    <w:rsid w:val="4EF15C72"/>
    <w:rsid w:val="4F0E67C1"/>
    <w:rsid w:val="4F275AD4"/>
    <w:rsid w:val="4F442E5D"/>
    <w:rsid w:val="4F562927"/>
    <w:rsid w:val="4F610FE6"/>
    <w:rsid w:val="4F675ED1"/>
    <w:rsid w:val="4F905428"/>
    <w:rsid w:val="4F9554B4"/>
    <w:rsid w:val="4F9B1FE9"/>
    <w:rsid w:val="4FBA3728"/>
    <w:rsid w:val="4FC7696F"/>
    <w:rsid w:val="4FEB7C26"/>
    <w:rsid w:val="4FF5172F"/>
    <w:rsid w:val="4FFC6818"/>
    <w:rsid w:val="50120532"/>
    <w:rsid w:val="50132BD6"/>
    <w:rsid w:val="501C6CBB"/>
    <w:rsid w:val="502344EE"/>
    <w:rsid w:val="50461F8A"/>
    <w:rsid w:val="50521F82"/>
    <w:rsid w:val="505F5460"/>
    <w:rsid w:val="50A05B3E"/>
    <w:rsid w:val="50AC6EC2"/>
    <w:rsid w:val="50B67110"/>
    <w:rsid w:val="51077C05"/>
    <w:rsid w:val="51095552"/>
    <w:rsid w:val="511B3417"/>
    <w:rsid w:val="513120F8"/>
    <w:rsid w:val="514566E6"/>
    <w:rsid w:val="515A3F3F"/>
    <w:rsid w:val="51624BA2"/>
    <w:rsid w:val="51791EEB"/>
    <w:rsid w:val="51890380"/>
    <w:rsid w:val="51962A9D"/>
    <w:rsid w:val="51A27694"/>
    <w:rsid w:val="51C335D3"/>
    <w:rsid w:val="51C5541F"/>
    <w:rsid w:val="51D610EC"/>
    <w:rsid w:val="51D84E64"/>
    <w:rsid w:val="520377B8"/>
    <w:rsid w:val="522E2CD6"/>
    <w:rsid w:val="524A4A92"/>
    <w:rsid w:val="52675D8C"/>
    <w:rsid w:val="527A0D60"/>
    <w:rsid w:val="527E5C57"/>
    <w:rsid w:val="528648C0"/>
    <w:rsid w:val="529A633E"/>
    <w:rsid w:val="52A632D4"/>
    <w:rsid w:val="52B043FA"/>
    <w:rsid w:val="52B458D1"/>
    <w:rsid w:val="52EA77AF"/>
    <w:rsid w:val="530103EA"/>
    <w:rsid w:val="530A729F"/>
    <w:rsid w:val="530F3769"/>
    <w:rsid w:val="53194D56"/>
    <w:rsid w:val="532C5467"/>
    <w:rsid w:val="534A1D91"/>
    <w:rsid w:val="534C2BE5"/>
    <w:rsid w:val="53883286"/>
    <w:rsid w:val="538A6ABB"/>
    <w:rsid w:val="53A21BCD"/>
    <w:rsid w:val="53C64620"/>
    <w:rsid w:val="541B6795"/>
    <w:rsid w:val="541C1980"/>
    <w:rsid w:val="54236C9C"/>
    <w:rsid w:val="54240834"/>
    <w:rsid w:val="542B3971"/>
    <w:rsid w:val="543259D6"/>
    <w:rsid w:val="544022B7"/>
    <w:rsid w:val="5450169D"/>
    <w:rsid w:val="546A28A5"/>
    <w:rsid w:val="547E32FD"/>
    <w:rsid w:val="548B440F"/>
    <w:rsid w:val="54B03060"/>
    <w:rsid w:val="54BB66C0"/>
    <w:rsid w:val="54E50659"/>
    <w:rsid w:val="54F509F0"/>
    <w:rsid w:val="54FB1846"/>
    <w:rsid w:val="54FE2E33"/>
    <w:rsid w:val="551408A9"/>
    <w:rsid w:val="551560C9"/>
    <w:rsid w:val="551825A0"/>
    <w:rsid w:val="55456CB4"/>
    <w:rsid w:val="55496FB1"/>
    <w:rsid w:val="55517BD2"/>
    <w:rsid w:val="556B68E0"/>
    <w:rsid w:val="557E5D22"/>
    <w:rsid w:val="5587107B"/>
    <w:rsid w:val="558718DB"/>
    <w:rsid w:val="558C71DA"/>
    <w:rsid w:val="55B64FB0"/>
    <w:rsid w:val="55CC1183"/>
    <w:rsid w:val="55CE6CAA"/>
    <w:rsid w:val="55DF0EB7"/>
    <w:rsid w:val="55F10BEA"/>
    <w:rsid w:val="55F304BE"/>
    <w:rsid w:val="55FD4C24"/>
    <w:rsid w:val="56146477"/>
    <w:rsid w:val="56236D75"/>
    <w:rsid w:val="56356491"/>
    <w:rsid w:val="56572D22"/>
    <w:rsid w:val="565D1E21"/>
    <w:rsid w:val="566623BE"/>
    <w:rsid w:val="56831D28"/>
    <w:rsid w:val="568C08C3"/>
    <w:rsid w:val="56A45C5C"/>
    <w:rsid w:val="56C836F9"/>
    <w:rsid w:val="56D7455D"/>
    <w:rsid w:val="56D83DF0"/>
    <w:rsid w:val="56F6205B"/>
    <w:rsid w:val="573C40E7"/>
    <w:rsid w:val="5743580C"/>
    <w:rsid w:val="57511054"/>
    <w:rsid w:val="57876E4F"/>
    <w:rsid w:val="579F7913"/>
    <w:rsid w:val="57BC40F5"/>
    <w:rsid w:val="57CE464C"/>
    <w:rsid w:val="57DA148C"/>
    <w:rsid w:val="57E74053"/>
    <w:rsid w:val="58051D66"/>
    <w:rsid w:val="583B2760"/>
    <w:rsid w:val="583C4334"/>
    <w:rsid w:val="584E16CC"/>
    <w:rsid w:val="58540D32"/>
    <w:rsid w:val="585A59BA"/>
    <w:rsid w:val="586459CD"/>
    <w:rsid w:val="586A4762"/>
    <w:rsid w:val="58821C30"/>
    <w:rsid w:val="58832CD9"/>
    <w:rsid w:val="588C69A8"/>
    <w:rsid w:val="589B6644"/>
    <w:rsid w:val="589C4E3D"/>
    <w:rsid w:val="58A23248"/>
    <w:rsid w:val="58C40C20"/>
    <w:rsid w:val="58D33835"/>
    <w:rsid w:val="58D81BED"/>
    <w:rsid w:val="58FE1654"/>
    <w:rsid w:val="590B3D71"/>
    <w:rsid w:val="594554D5"/>
    <w:rsid w:val="594C6863"/>
    <w:rsid w:val="59717BE8"/>
    <w:rsid w:val="59946E40"/>
    <w:rsid w:val="59B91A1F"/>
    <w:rsid w:val="59C47F04"/>
    <w:rsid w:val="5A0C1B4F"/>
    <w:rsid w:val="5A124271"/>
    <w:rsid w:val="5A47702B"/>
    <w:rsid w:val="5A7E187C"/>
    <w:rsid w:val="5A7F0572"/>
    <w:rsid w:val="5A99164E"/>
    <w:rsid w:val="5AC461A2"/>
    <w:rsid w:val="5AE262C6"/>
    <w:rsid w:val="5AE81223"/>
    <w:rsid w:val="5B09384D"/>
    <w:rsid w:val="5B106CEA"/>
    <w:rsid w:val="5B1F16AE"/>
    <w:rsid w:val="5B356172"/>
    <w:rsid w:val="5B373FF7"/>
    <w:rsid w:val="5B3C2907"/>
    <w:rsid w:val="5B487F38"/>
    <w:rsid w:val="5B4A0F3E"/>
    <w:rsid w:val="5B603472"/>
    <w:rsid w:val="5B743CB1"/>
    <w:rsid w:val="5B761E9C"/>
    <w:rsid w:val="5B7E082A"/>
    <w:rsid w:val="5B826360"/>
    <w:rsid w:val="5B975968"/>
    <w:rsid w:val="5BC4047B"/>
    <w:rsid w:val="5BD448EE"/>
    <w:rsid w:val="5BE0527B"/>
    <w:rsid w:val="5BF26D81"/>
    <w:rsid w:val="5BFF111E"/>
    <w:rsid w:val="5C0F06CF"/>
    <w:rsid w:val="5C1271C4"/>
    <w:rsid w:val="5C253924"/>
    <w:rsid w:val="5C634A43"/>
    <w:rsid w:val="5C6E4D42"/>
    <w:rsid w:val="5C8F7026"/>
    <w:rsid w:val="5C914335"/>
    <w:rsid w:val="5CB92C5A"/>
    <w:rsid w:val="5CC47E84"/>
    <w:rsid w:val="5CD14736"/>
    <w:rsid w:val="5D1476E8"/>
    <w:rsid w:val="5D156186"/>
    <w:rsid w:val="5D245401"/>
    <w:rsid w:val="5D2D69AC"/>
    <w:rsid w:val="5D3422D3"/>
    <w:rsid w:val="5D355860"/>
    <w:rsid w:val="5D732E1C"/>
    <w:rsid w:val="5D81369C"/>
    <w:rsid w:val="5D872DDB"/>
    <w:rsid w:val="5D8972C7"/>
    <w:rsid w:val="5D9452FC"/>
    <w:rsid w:val="5D9F0F2C"/>
    <w:rsid w:val="5DB14F7B"/>
    <w:rsid w:val="5DB42C29"/>
    <w:rsid w:val="5DC561B5"/>
    <w:rsid w:val="5DC56BE4"/>
    <w:rsid w:val="5DF86567"/>
    <w:rsid w:val="5E021B2B"/>
    <w:rsid w:val="5E135BA1"/>
    <w:rsid w:val="5E2B7160"/>
    <w:rsid w:val="5E345B18"/>
    <w:rsid w:val="5E510478"/>
    <w:rsid w:val="5E652175"/>
    <w:rsid w:val="5E9B5718"/>
    <w:rsid w:val="5ECE7D1A"/>
    <w:rsid w:val="5EEC63F2"/>
    <w:rsid w:val="5F093D85"/>
    <w:rsid w:val="5F441090"/>
    <w:rsid w:val="5F67539C"/>
    <w:rsid w:val="5F842877"/>
    <w:rsid w:val="5F903222"/>
    <w:rsid w:val="5FB42795"/>
    <w:rsid w:val="5FDB26EF"/>
    <w:rsid w:val="5FE46FF4"/>
    <w:rsid w:val="5FE50FFD"/>
    <w:rsid w:val="5FF217E7"/>
    <w:rsid w:val="5FFE3A50"/>
    <w:rsid w:val="603A6C72"/>
    <w:rsid w:val="60443049"/>
    <w:rsid w:val="60932FCA"/>
    <w:rsid w:val="609369BC"/>
    <w:rsid w:val="60991F8F"/>
    <w:rsid w:val="60D333C6"/>
    <w:rsid w:val="60D925C7"/>
    <w:rsid w:val="61094831"/>
    <w:rsid w:val="610A2B60"/>
    <w:rsid w:val="610E08A2"/>
    <w:rsid w:val="610F0A45"/>
    <w:rsid w:val="6112752A"/>
    <w:rsid w:val="613F6CAD"/>
    <w:rsid w:val="61500EBB"/>
    <w:rsid w:val="61595853"/>
    <w:rsid w:val="61610FEB"/>
    <w:rsid w:val="61665FE8"/>
    <w:rsid w:val="61684B1F"/>
    <w:rsid w:val="617E24BB"/>
    <w:rsid w:val="61954B1F"/>
    <w:rsid w:val="61BB3818"/>
    <w:rsid w:val="61CC6DAD"/>
    <w:rsid w:val="61D51FCF"/>
    <w:rsid w:val="61EA6C19"/>
    <w:rsid w:val="61F33A2B"/>
    <w:rsid w:val="61F47A8C"/>
    <w:rsid w:val="61FC4B9F"/>
    <w:rsid w:val="622F287E"/>
    <w:rsid w:val="625247BE"/>
    <w:rsid w:val="62600C6F"/>
    <w:rsid w:val="62740BD9"/>
    <w:rsid w:val="62782477"/>
    <w:rsid w:val="62797F9D"/>
    <w:rsid w:val="627F384E"/>
    <w:rsid w:val="62A82DCA"/>
    <w:rsid w:val="62AE304C"/>
    <w:rsid w:val="62C32E18"/>
    <w:rsid w:val="62C47D36"/>
    <w:rsid w:val="62C728EC"/>
    <w:rsid w:val="62D43425"/>
    <w:rsid w:val="62EC1B58"/>
    <w:rsid w:val="62F45876"/>
    <w:rsid w:val="62FD1EA2"/>
    <w:rsid w:val="6303156A"/>
    <w:rsid w:val="63063EC2"/>
    <w:rsid w:val="630B1E18"/>
    <w:rsid w:val="63104DF3"/>
    <w:rsid w:val="631B0DFB"/>
    <w:rsid w:val="63402869"/>
    <w:rsid w:val="635878FB"/>
    <w:rsid w:val="635C489E"/>
    <w:rsid w:val="635D341B"/>
    <w:rsid w:val="636D19F1"/>
    <w:rsid w:val="63884331"/>
    <w:rsid w:val="638D737A"/>
    <w:rsid w:val="639210BA"/>
    <w:rsid w:val="63B379A7"/>
    <w:rsid w:val="64153CF6"/>
    <w:rsid w:val="646C600B"/>
    <w:rsid w:val="64925832"/>
    <w:rsid w:val="64B23096"/>
    <w:rsid w:val="64C63D1A"/>
    <w:rsid w:val="64D140C0"/>
    <w:rsid w:val="6535464F"/>
    <w:rsid w:val="65613696"/>
    <w:rsid w:val="656754FF"/>
    <w:rsid w:val="656942F9"/>
    <w:rsid w:val="658C512E"/>
    <w:rsid w:val="658D5278"/>
    <w:rsid w:val="65A74E21"/>
    <w:rsid w:val="65E7757A"/>
    <w:rsid w:val="662F3B8F"/>
    <w:rsid w:val="6638682C"/>
    <w:rsid w:val="663C74B6"/>
    <w:rsid w:val="66417024"/>
    <w:rsid w:val="664A79D0"/>
    <w:rsid w:val="6659259C"/>
    <w:rsid w:val="66636F9A"/>
    <w:rsid w:val="668038CB"/>
    <w:rsid w:val="66894F0B"/>
    <w:rsid w:val="66C11F13"/>
    <w:rsid w:val="66CC3C07"/>
    <w:rsid w:val="66D87988"/>
    <w:rsid w:val="66F02910"/>
    <w:rsid w:val="670A4EF8"/>
    <w:rsid w:val="671B490C"/>
    <w:rsid w:val="67657218"/>
    <w:rsid w:val="676F196F"/>
    <w:rsid w:val="67876CB8"/>
    <w:rsid w:val="679E251E"/>
    <w:rsid w:val="67B13D35"/>
    <w:rsid w:val="67BA097C"/>
    <w:rsid w:val="67D42B8A"/>
    <w:rsid w:val="67E549DC"/>
    <w:rsid w:val="67F81964"/>
    <w:rsid w:val="67FE2BFD"/>
    <w:rsid w:val="680227E3"/>
    <w:rsid w:val="680B78E9"/>
    <w:rsid w:val="681B6F47"/>
    <w:rsid w:val="68224725"/>
    <w:rsid w:val="682B3AE8"/>
    <w:rsid w:val="682F64A8"/>
    <w:rsid w:val="6833299C"/>
    <w:rsid w:val="68470904"/>
    <w:rsid w:val="68556DB7"/>
    <w:rsid w:val="68566D09"/>
    <w:rsid w:val="68572B2F"/>
    <w:rsid w:val="68662D72"/>
    <w:rsid w:val="687F53CD"/>
    <w:rsid w:val="688A5BA2"/>
    <w:rsid w:val="689E075E"/>
    <w:rsid w:val="68A35D74"/>
    <w:rsid w:val="68B30D86"/>
    <w:rsid w:val="68C47A98"/>
    <w:rsid w:val="68C47C0A"/>
    <w:rsid w:val="68CA04BB"/>
    <w:rsid w:val="68CA1553"/>
    <w:rsid w:val="68CF5A23"/>
    <w:rsid w:val="68D96D76"/>
    <w:rsid w:val="690E58E3"/>
    <w:rsid w:val="69140A20"/>
    <w:rsid w:val="692A5E8E"/>
    <w:rsid w:val="693C1634"/>
    <w:rsid w:val="695C4728"/>
    <w:rsid w:val="69780837"/>
    <w:rsid w:val="697B20B5"/>
    <w:rsid w:val="698962E8"/>
    <w:rsid w:val="69AC2A06"/>
    <w:rsid w:val="69AE49D0"/>
    <w:rsid w:val="69B12712"/>
    <w:rsid w:val="69C24F5D"/>
    <w:rsid w:val="69D50CBF"/>
    <w:rsid w:val="69F21990"/>
    <w:rsid w:val="69F34AD9"/>
    <w:rsid w:val="6A0E52C3"/>
    <w:rsid w:val="6A3736A5"/>
    <w:rsid w:val="6A414A77"/>
    <w:rsid w:val="6A545AC8"/>
    <w:rsid w:val="6A644F9F"/>
    <w:rsid w:val="6A7C1419"/>
    <w:rsid w:val="6A884BFC"/>
    <w:rsid w:val="6A933BC6"/>
    <w:rsid w:val="6A9B0A1F"/>
    <w:rsid w:val="6AB04778"/>
    <w:rsid w:val="6AB44268"/>
    <w:rsid w:val="6AF87A60"/>
    <w:rsid w:val="6AFC4380"/>
    <w:rsid w:val="6B002B4F"/>
    <w:rsid w:val="6B0148E1"/>
    <w:rsid w:val="6B2247FD"/>
    <w:rsid w:val="6B303356"/>
    <w:rsid w:val="6B3D24B0"/>
    <w:rsid w:val="6B501272"/>
    <w:rsid w:val="6B564A89"/>
    <w:rsid w:val="6B58657E"/>
    <w:rsid w:val="6B647AC6"/>
    <w:rsid w:val="6B71100D"/>
    <w:rsid w:val="6B8579B3"/>
    <w:rsid w:val="6B8861BE"/>
    <w:rsid w:val="6B8C6F93"/>
    <w:rsid w:val="6B9D0BBF"/>
    <w:rsid w:val="6BA216AA"/>
    <w:rsid w:val="6BAD0D11"/>
    <w:rsid w:val="6BD059FD"/>
    <w:rsid w:val="6BF07522"/>
    <w:rsid w:val="6C0412C5"/>
    <w:rsid w:val="6C111246"/>
    <w:rsid w:val="6C141D47"/>
    <w:rsid w:val="6C1D58F6"/>
    <w:rsid w:val="6C21592D"/>
    <w:rsid w:val="6C33740F"/>
    <w:rsid w:val="6C437A41"/>
    <w:rsid w:val="6C5A7E3D"/>
    <w:rsid w:val="6C622935"/>
    <w:rsid w:val="6C692C46"/>
    <w:rsid w:val="6C7C646E"/>
    <w:rsid w:val="6C7F08A6"/>
    <w:rsid w:val="6C832144"/>
    <w:rsid w:val="6C9360FF"/>
    <w:rsid w:val="6CA81BAB"/>
    <w:rsid w:val="6CA83959"/>
    <w:rsid w:val="6CAC7FE0"/>
    <w:rsid w:val="6CCD72EF"/>
    <w:rsid w:val="6CD57088"/>
    <w:rsid w:val="6CE32BE3"/>
    <w:rsid w:val="6CE72F1D"/>
    <w:rsid w:val="6CF52916"/>
    <w:rsid w:val="6D411B6C"/>
    <w:rsid w:val="6D4A1D76"/>
    <w:rsid w:val="6D6A31A8"/>
    <w:rsid w:val="6D8617C0"/>
    <w:rsid w:val="6DDE5E28"/>
    <w:rsid w:val="6DDF784E"/>
    <w:rsid w:val="6DF65BEC"/>
    <w:rsid w:val="6E0077C5"/>
    <w:rsid w:val="6E0472B5"/>
    <w:rsid w:val="6E180321"/>
    <w:rsid w:val="6E296D1B"/>
    <w:rsid w:val="6E372918"/>
    <w:rsid w:val="6E5A707C"/>
    <w:rsid w:val="6E5B1B92"/>
    <w:rsid w:val="6E5B49FB"/>
    <w:rsid w:val="6E626517"/>
    <w:rsid w:val="6E7F5771"/>
    <w:rsid w:val="6E8E6150"/>
    <w:rsid w:val="6E9D5D62"/>
    <w:rsid w:val="6E9F0D8B"/>
    <w:rsid w:val="6EAC488C"/>
    <w:rsid w:val="6EAF46BE"/>
    <w:rsid w:val="6EC52C7A"/>
    <w:rsid w:val="6EC6731F"/>
    <w:rsid w:val="6ECF78C3"/>
    <w:rsid w:val="6EF31A70"/>
    <w:rsid w:val="6EF54E4F"/>
    <w:rsid w:val="6F034805"/>
    <w:rsid w:val="6F0B01CF"/>
    <w:rsid w:val="6F251BBB"/>
    <w:rsid w:val="6F2C499D"/>
    <w:rsid w:val="6F38221D"/>
    <w:rsid w:val="6F4162E7"/>
    <w:rsid w:val="6F9530FD"/>
    <w:rsid w:val="6FA30E6A"/>
    <w:rsid w:val="6FEA072C"/>
    <w:rsid w:val="6FEF7FC3"/>
    <w:rsid w:val="70172E62"/>
    <w:rsid w:val="7054787E"/>
    <w:rsid w:val="70652935"/>
    <w:rsid w:val="7066741D"/>
    <w:rsid w:val="70672830"/>
    <w:rsid w:val="70930B29"/>
    <w:rsid w:val="70D34D99"/>
    <w:rsid w:val="70DD189A"/>
    <w:rsid w:val="70EB475C"/>
    <w:rsid w:val="70FC4273"/>
    <w:rsid w:val="71193077"/>
    <w:rsid w:val="712D6B22"/>
    <w:rsid w:val="713752AB"/>
    <w:rsid w:val="71444FD4"/>
    <w:rsid w:val="714E58F1"/>
    <w:rsid w:val="71536B10"/>
    <w:rsid w:val="716772A9"/>
    <w:rsid w:val="716D0B65"/>
    <w:rsid w:val="71972027"/>
    <w:rsid w:val="71A5490B"/>
    <w:rsid w:val="71A66FCE"/>
    <w:rsid w:val="71D60F68"/>
    <w:rsid w:val="71DB1B20"/>
    <w:rsid w:val="720574FD"/>
    <w:rsid w:val="72084E9A"/>
    <w:rsid w:val="721750DD"/>
    <w:rsid w:val="722979AD"/>
    <w:rsid w:val="722C0B88"/>
    <w:rsid w:val="726245AA"/>
    <w:rsid w:val="727E7099"/>
    <w:rsid w:val="728F7E46"/>
    <w:rsid w:val="72912870"/>
    <w:rsid w:val="7299759A"/>
    <w:rsid w:val="729B5D0E"/>
    <w:rsid w:val="72CC73AC"/>
    <w:rsid w:val="72D10225"/>
    <w:rsid w:val="731B36A3"/>
    <w:rsid w:val="731D4C1E"/>
    <w:rsid w:val="732F5A32"/>
    <w:rsid w:val="735B387F"/>
    <w:rsid w:val="736178B7"/>
    <w:rsid w:val="7366631C"/>
    <w:rsid w:val="736E46F1"/>
    <w:rsid w:val="73724CC1"/>
    <w:rsid w:val="73744B67"/>
    <w:rsid w:val="737A10C7"/>
    <w:rsid w:val="737C4822"/>
    <w:rsid w:val="73C03C7E"/>
    <w:rsid w:val="73CB43D1"/>
    <w:rsid w:val="73CD1EF7"/>
    <w:rsid w:val="73CD6A9A"/>
    <w:rsid w:val="73EA2AA9"/>
    <w:rsid w:val="73FF31C3"/>
    <w:rsid w:val="740105A0"/>
    <w:rsid w:val="74055B35"/>
    <w:rsid w:val="741D3D69"/>
    <w:rsid w:val="74404DBF"/>
    <w:rsid w:val="745D14CD"/>
    <w:rsid w:val="745F5CCF"/>
    <w:rsid w:val="746C0889"/>
    <w:rsid w:val="74745CE3"/>
    <w:rsid w:val="74A662B1"/>
    <w:rsid w:val="74C9196B"/>
    <w:rsid w:val="74FD19CB"/>
    <w:rsid w:val="75022BDD"/>
    <w:rsid w:val="750D281F"/>
    <w:rsid w:val="753037B4"/>
    <w:rsid w:val="75376C96"/>
    <w:rsid w:val="7564688B"/>
    <w:rsid w:val="757A4C51"/>
    <w:rsid w:val="75970A0E"/>
    <w:rsid w:val="75A650F5"/>
    <w:rsid w:val="75CC5217"/>
    <w:rsid w:val="75E46A7C"/>
    <w:rsid w:val="75FA2D4B"/>
    <w:rsid w:val="761D604F"/>
    <w:rsid w:val="762878B8"/>
    <w:rsid w:val="76315255"/>
    <w:rsid w:val="76343691"/>
    <w:rsid w:val="764A5A81"/>
    <w:rsid w:val="76985B7A"/>
    <w:rsid w:val="76CD220E"/>
    <w:rsid w:val="76CF32BD"/>
    <w:rsid w:val="76E557A9"/>
    <w:rsid w:val="76FD5725"/>
    <w:rsid w:val="77112A42"/>
    <w:rsid w:val="77183DD1"/>
    <w:rsid w:val="772E0EFE"/>
    <w:rsid w:val="772F2DCF"/>
    <w:rsid w:val="774249AA"/>
    <w:rsid w:val="7743649A"/>
    <w:rsid w:val="774F6C59"/>
    <w:rsid w:val="77536BB7"/>
    <w:rsid w:val="77562203"/>
    <w:rsid w:val="775822F8"/>
    <w:rsid w:val="776733E9"/>
    <w:rsid w:val="7789232A"/>
    <w:rsid w:val="77BF23F7"/>
    <w:rsid w:val="77C6382D"/>
    <w:rsid w:val="77E36D4C"/>
    <w:rsid w:val="780844C0"/>
    <w:rsid w:val="780B0EAE"/>
    <w:rsid w:val="781E653B"/>
    <w:rsid w:val="783C5D93"/>
    <w:rsid w:val="785E3A65"/>
    <w:rsid w:val="787212BF"/>
    <w:rsid w:val="7872306D"/>
    <w:rsid w:val="788D7EA7"/>
    <w:rsid w:val="78A20480"/>
    <w:rsid w:val="78C87131"/>
    <w:rsid w:val="78CC6DB0"/>
    <w:rsid w:val="78CE0BEB"/>
    <w:rsid w:val="78FE3FE4"/>
    <w:rsid w:val="79075EAB"/>
    <w:rsid w:val="790E0FE8"/>
    <w:rsid w:val="79183C14"/>
    <w:rsid w:val="794648D4"/>
    <w:rsid w:val="79503D7F"/>
    <w:rsid w:val="79611BB0"/>
    <w:rsid w:val="79823784"/>
    <w:rsid w:val="798B6F10"/>
    <w:rsid w:val="79B85ED4"/>
    <w:rsid w:val="79C46E06"/>
    <w:rsid w:val="79D23A0D"/>
    <w:rsid w:val="79DD09BA"/>
    <w:rsid w:val="79F30B40"/>
    <w:rsid w:val="79FD68FD"/>
    <w:rsid w:val="7A1105AE"/>
    <w:rsid w:val="7A4822D7"/>
    <w:rsid w:val="7A4B16A9"/>
    <w:rsid w:val="7A4B7718"/>
    <w:rsid w:val="7A7F3679"/>
    <w:rsid w:val="7A85352B"/>
    <w:rsid w:val="7A9006E8"/>
    <w:rsid w:val="7AC06311"/>
    <w:rsid w:val="7AC5601E"/>
    <w:rsid w:val="7AE2097E"/>
    <w:rsid w:val="7AE31960"/>
    <w:rsid w:val="7AF05B67"/>
    <w:rsid w:val="7AF27D19"/>
    <w:rsid w:val="7B1960E7"/>
    <w:rsid w:val="7B3B600B"/>
    <w:rsid w:val="7B3F4283"/>
    <w:rsid w:val="7B8F5440"/>
    <w:rsid w:val="7BA774D1"/>
    <w:rsid w:val="7BAD6840"/>
    <w:rsid w:val="7BB15EA8"/>
    <w:rsid w:val="7BD04C7A"/>
    <w:rsid w:val="7BD07123"/>
    <w:rsid w:val="7BF27EB0"/>
    <w:rsid w:val="7BFF692A"/>
    <w:rsid w:val="7C02295A"/>
    <w:rsid w:val="7C0664B5"/>
    <w:rsid w:val="7C0D538F"/>
    <w:rsid w:val="7C376AA7"/>
    <w:rsid w:val="7C572CA5"/>
    <w:rsid w:val="7CD2057E"/>
    <w:rsid w:val="7CD60623"/>
    <w:rsid w:val="7CDE3017"/>
    <w:rsid w:val="7CF60710"/>
    <w:rsid w:val="7D012900"/>
    <w:rsid w:val="7D0C2AE6"/>
    <w:rsid w:val="7D331106"/>
    <w:rsid w:val="7D40373A"/>
    <w:rsid w:val="7D6F401F"/>
    <w:rsid w:val="7D851937"/>
    <w:rsid w:val="7D8E26F7"/>
    <w:rsid w:val="7DAE2D99"/>
    <w:rsid w:val="7DB96985"/>
    <w:rsid w:val="7DC579D3"/>
    <w:rsid w:val="7DE62648"/>
    <w:rsid w:val="7DF502AF"/>
    <w:rsid w:val="7E042C19"/>
    <w:rsid w:val="7E071C95"/>
    <w:rsid w:val="7E335196"/>
    <w:rsid w:val="7E51149B"/>
    <w:rsid w:val="7E7737F5"/>
    <w:rsid w:val="7E795A6A"/>
    <w:rsid w:val="7E8666DE"/>
    <w:rsid w:val="7E9A1E84"/>
    <w:rsid w:val="7E9C7095"/>
    <w:rsid w:val="7EC24938"/>
    <w:rsid w:val="7EC94D4C"/>
    <w:rsid w:val="7EE1220A"/>
    <w:rsid w:val="7EE60311"/>
    <w:rsid w:val="7F01514B"/>
    <w:rsid w:val="7F0E239A"/>
    <w:rsid w:val="7F1E3C48"/>
    <w:rsid w:val="7F2D4191"/>
    <w:rsid w:val="7F3C6183"/>
    <w:rsid w:val="7F58656D"/>
    <w:rsid w:val="7F62208D"/>
    <w:rsid w:val="7F8D581C"/>
    <w:rsid w:val="7F9463C8"/>
    <w:rsid w:val="7FA04963"/>
    <w:rsid w:val="7FB16B71"/>
    <w:rsid w:val="7FBB554F"/>
    <w:rsid w:val="7FCA378E"/>
    <w:rsid w:val="7FE204F8"/>
    <w:rsid w:val="7FE4029C"/>
    <w:rsid w:val="7FE5681A"/>
    <w:rsid w:val="7FE645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before="100" w:beforeAutospacing="1" w:after="100" w:afterAutospacing="1"/>
      <w:jc w:val="left"/>
      <w:outlineLvl w:val="1"/>
    </w:pPr>
    <w:rPr>
      <w:rFonts w:ascii="宋体" w:hAnsi="宋体"/>
      <w:b/>
      <w:kern w:val="0"/>
      <w:sz w:val="36"/>
      <w:szCs w:val="36"/>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35"/>
    <w:pPr>
      <w:ind w:firstLine="0" w:firstLineChars="0"/>
      <w:jc w:val="center"/>
    </w:pPr>
    <w:rPr>
      <w:rFonts w:ascii="黑体" w:hAnsi="黑体" w:eastAsia="黑体" w:cs="仿宋_GB2312"/>
      <w:sz w:val="20"/>
      <w:szCs w:val="28"/>
    </w:rPr>
  </w:style>
  <w:style w:type="paragraph" w:styleId="7">
    <w:name w:val="annotation text"/>
    <w:basedOn w:val="1"/>
    <w:next w:val="1"/>
    <w:qFormat/>
    <w:uiPriority w:val="0"/>
    <w:pPr>
      <w:jc w:val="left"/>
    </w:pPr>
  </w:style>
  <w:style w:type="paragraph" w:styleId="8">
    <w:name w:val="Body Text"/>
    <w:basedOn w:val="1"/>
    <w:qFormat/>
    <w:uiPriority w:val="1"/>
    <w:pPr>
      <w:autoSpaceDE w:val="0"/>
      <w:autoSpaceDN w:val="0"/>
      <w:jc w:val="left"/>
    </w:pPr>
    <w:rPr>
      <w:rFonts w:ascii="微软雅黑" w:hAnsi="微软雅黑" w:eastAsia="微软雅黑" w:cs="微软雅黑"/>
      <w:kern w:val="0"/>
      <w:sz w:val="32"/>
      <w:szCs w:val="32"/>
    </w:rPr>
  </w:style>
  <w:style w:type="paragraph" w:styleId="9">
    <w:name w:val="Body Text Indent"/>
    <w:basedOn w:val="1"/>
    <w:next w:val="1"/>
    <w:qFormat/>
    <w:uiPriority w:val="0"/>
    <w:pPr>
      <w:widowControl/>
      <w:spacing w:before="100" w:beforeAutospacing="1" w:after="100" w:afterAutospacing="1"/>
      <w:jc w:val="left"/>
    </w:pPr>
    <w:rPr>
      <w:rFonts w:ascii="宋体" w:hAnsi="宋体" w:eastAsia="宋体"/>
      <w:kern w:val="0"/>
      <w:sz w:val="24"/>
    </w:rPr>
  </w:style>
  <w:style w:type="paragraph" w:styleId="10">
    <w:name w:val="Plain Text"/>
    <w:basedOn w:val="1"/>
    <w:next w:val="7"/>
    <w:unhideWhenUsed/>
    <w:qFormat/>
    <w:uiPriority w:val="99"/>
    <w:rPr>
      <w:rFonts w:ascii="宋体" w:hAnsi="Roman 10cpi"/>
      <w:szCs w:val="20"/>
    </w:rPr>
  </w:style>
  <w:style w:type="paragraph" w:styleId="11">
    <w:name w:val="Body Text Indent 2"/>
    <w:basedOn w:val="1"/>
    <w:qFormat/>
    <w:uiPriority w:val="0"/>
    <w:pPr>
      <w:spacing w:after="120" w:afterLines="0" w:afterAutospacing="0" w:line="480" w:lineRule="auto"/>
      <w:ind w:left="420" w:leftChars="2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0"/>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0"/>
    <w:pPr>
      <w:adjustRightInd w:val="0"/>
      <w:snapToGrid w:val="0"/>
      <w:spacing w:line="360" w:lineRule="auto"/>
      <w:ind w:firstLine="800" w:firstLineChars="200"/>
      <w:jc w:val="left"/>
      <w:outlineLvl w:val="0"/>
    </w:pPr>
    <w:rPr>
      <w:rFonts w:ascii="Arial" w:hAnsi="Arial" w:eastAsia="仿宋"/>
      <w:sz w:val="32"/>
      <w:szCs w:val="32"/>
    </w:rPr>
  </w:style>
  <w:style w:type="paragraph" w:styleId="17">
    <w:name w:val="Body Text First Indent 2"/>
    <w:basedOn w:val="9"/>
    <w:unhideWhenUsed/>
    <w:qFormat/>
    <w:uiPriority w:val="99"/>
    <w:pPr>
      <w:ind w:firstLine="42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paragraph" w:customStyle="1" w:styleId="23">
    <w:name w:val="_Style 3"/>
    <w:basedOn w:val="1"/>
    <w:next w:val="24"/>
    <w:unhideWhenUsed/>
    <w:qFormat/>
    <w:uiPriority w:val="99"/>
    <w:pPr>
      <w:spacing w:line="360" w:lineRule="auto"/>
      <w:ind w:firstLine="420" w:firstLineChars="200"/>
      <w:jc w:val="left"/>
    </w:pPr>
    <w:rPr>
      <w:rFonts w:ascii="Times New Roman" w:hAnsi="Times New Roman" w:eastAsia="仿宋"/>
      <w:sz w:val="32"/>
      <w:lang w:eastAsia="zh-TW"/>
    </w:rPr>
  </w:style>
  <w:style w:type="paragraph" w:styleId="24">
    <w:name w:val="List Paragraph"/>
    <w:basedOn w:val="1"/>
    <w:qFormat/>
    <w:uiPriority w:val="34"/>
    <w:pPr>
      <w:ind w:firstLine="420" w:firstLineChars="200"/>
    </w:pPr>
  </w:style>
  <w:style w:type="paragraph" w:customStyle="1" w:styleId="25">
    <w:name w:val="列出段落1"/>
    <w:basedOn w:val="1"/>
    <w:next w:val="1"/>
    <w:qFormat/>
    <w:uiPriority w:val="34"/>
    <w:pPr>
      <w:ind w:firstLine="420" w:firstLineChars="200"/>
    </w:pPr>
  </w:style>
  <w:style w:type="paragraph" w:customStyle="1" w:styleId="26">
    <w:name w:val="闻政图表名"/>
    <w:basedOn w:val="1"/>
    <w:qFormat/>
    <w:uiPriority w:val="4"/>
    <w:pPr>
      <w:spacing w:before="60" w:after="60"/>
      <w:jc w:val="center"/>
    </w:pPr>
    <w:rPr>
      <w:rFonts w:ascii="Times New Roman" w:hAnsi="Times New Roman" w:eastAsia="仿宋_GB2312" w:cs="Times New Roman"/>
      <w:b/>
      <w:kern w:val="0"/>
      <w:sz w:val="24"/>
      <w:szCs w:val="28"/>
    </w:rPr>
  </w:style>
  <w:style w:type="character" w:customStyle="1" w:styleId="27">
    <w:name w:val="NormalCharacter"/>
    <w:qFormat/>
    <w:uiPriority w:val="99"/>
  </w:style>
  <w:style w:type="paragraph" w:customStyle="1" w:styleId="28">
    <w:name w:val="报告正文"/>
    <w:basedOn w:val="1"/>
    <w:next w:val="1"/>
    <w:qFormat/>
    <w:uiPriority w:val="0"/>
    <w:pPr>
      <w:widowControl w:val="0"/>
      <w:spacing w:line="560" w:lineRule="exact"/>
      <w:ind w:firstLine="200" w:firstLineChars="200"/>
      <w:jc w:val="both"/>
    </w:pPr>
    <w:rPr>
      <w:rFonts w:eastAsia="仿宋" w:cs="Times New Roman"/>
      <w:sz w:val="28"/>
      <w:szCs w:val="28"/>
    </w:rPr>
  </w:style>
  <w:style w:type="paragraph" w:customStyle="1" w:styleId="29">
    <w:name w:val="正文格式"/>
    <w:basedOn w:val="1"/>
    <w:qFormat/>
    <w:uiPriority w:val="0"/>
    <w:pPr>
      <w:spacing w:line="360" w:lineRule="auto"/>
      <w:ind w:firstLine="480"/>
    </w:pPr>
    <w:rPr>
      <w:rFonts w:ascii="宋体" w:hAnsi="宋体" w:eastAsia="宋体"/>
      <w:sz w:val="24"/>
    </w:rPr>
  </w:style>
  <w:style w:type="table" w:customStyle="1" w:styleId="30">
    <w:name w:val="Table Normal"/>
    <w:unhideWhenUsed/>
    <w:qFormat/>
    <w:uiPriority w:val="0"/>
    <w:tblPr>
      <w:tblCellMar>
        <w:top w:w="0" w:type="dxa"/>
        <w:left w:w="0" w:type="dxa"/>
        <w:bottom w:w="0" w:type="dxa"/>
        <w:right w:w="0" w:type="dxa"/>
      </w:tblCellMar>
    </w:tblPr>
  </w:style>
  <w:style w:type="paragraph" w:customStyle="1" w:styleId="31">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font21"/>
    <w:basedOn w:val="20"/>
    <w:qFormat/>
    <w:uiPriority w:val="0"/>
    <w:rPr>
      <w:rFonts w:hint="eastAsia" w:ascii="宋体" w:hAnsi="宋体" w:eastAsia="宋体" w:cs="宋体"/>
      <w:b/>
      <w:bCs/>
      <w:color w:val="000000"/>
      <w:sz w:val="22"/>
      <w:szCs w:val="22"/>
      <w:u w:val="none"/>
    </w:rPr>
  </w:style>
  <w:style w:type="character" w:customStyle="1" w:styleId="33">
    <w:name w:val="font4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WRGHO.COM</Company>
  <Pages>59</Pages>
  <Words>4707</Words>
  <Characters>4994</Characters>
  <Lines>14</Lines>
  <Paragraphs>4</Paragraphs>
  <TotalTime>3</TotalTime>
  <ScaleCrop>false</ScaleCrop>
  <LinksUpToDate>false</LinksUpToDate>
  <CharactersWithSpaces>5019</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2023-09-14T09:07:00Z</dcterms:created>
  <dc:creator>lenovo</dc:creator>
  <cp:lastModifiedBy>Lenovo</cp:lastModifiedBy>
  <cp:lastPrinted>2025-09-29T07:16:00Z</cp:lastPrinted>
  <dcterms:modified xsi:type="dcterms:W3CDTF">2025-11-17T03:27:49Z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C91E0B6EA3D3455FB6AB572ECAD37E4F_13</vt:lpwstr>
  </property>
  <property fmtid="{D5CDD505-2E9C-101B-9397-08002B2CF9AE}" pid="4" name="KSOTemplateDocerSaveRecord">
    <vt:lpwstr>eyJoZGlkIjoiMmM2MjM0ODI5ZjNlMjg1MDcwYWJmZWVlY2Y0NzdmYWEiLCJ1c2VySWQiOiIyNDg3ODM1NjQifQ==</vt:lpwstr>
  </property>
</Properties>
</file>