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2024年打造啤酒特色餐饮休闲街区</w:t>
      </w:r>
    </w:p>
    <w:p>
      <w:pPr>
        <w:spacing w:line="600" w:lineRule="exact"/>
        <w:jc w:val="center"/>
        <w:rPr>
          <w:rFonts w:ascii="楷体_GB2312" w:hAnsi="楷体_GB2312" w:eastAsia="楷体_GB2312" w:cs="楷体_GB2312"/>
          <w:sz w:val="32"/>
          <w:szCs w:val="40"/>
        </w:rPr>
      </w:pPr>
      <w:r>
        <w:rPr>
          <w:rFonts w:hint="eastAsia" w:ascii="方正小标宋简体" w:hAnsi="方正小标宋简体" w:eastAsia="方正小标宋简体" w:cs="方正小标宋简体"/>
          <w:sz w:val="44"/>
          <w:szCs w:val="44"/>
        </w:rPr>
        <w:t>奖励资金政策绩效评价报告</w:t>
      </w:r>
    </w:p>
    <w:p>
      <w:pPr>
        <w:spacing w:line="600" w:lineRule="exact"/>
        <w:rPr>
          <w:rFonts w:ascii="楷体_GB2312" w:hAnsi="楷体_GB2312" w:eastAsia="楷体_GB2312" w:cs="楷体_GB2312"/>
          <w:sz w:val="32"/>
          <w:szCs w:val="40"/>
        </w:rPr>
      </w:pPr>
    </w:p>
    <w:p>
      <w:pPr>
        <w:spacing w:line="600" w:lineRule="exact"/>
        <w:ind w:firstLine="640" w:firstLineChars="200"/>
        <w:outlineLvl w:val="0"/>
        <w:rPr>
          <w:rFonts w:ascii="黑体" w:hAnsi="黑体" w:eastAsia="黑体" w:cs="黑体"/>
          <w:sz w:val="32"/>
          <w:szCs w:val="40"/>
        </w:rPr>
      </w:pPr>
      <w:bookmarkStart w:id="0" w:name="_Toc12033"/>
      <w:bookmarkStart w:id="1" w:name="_Toc21953"/>
      <w:r>
        <w:rPr>
          <w:rFonts w:hint="eastAsia" w:ascii="黑体" w:hAnsi="黑体" w:eastAsia="黑体" w:cs="黑体"/>
          <w:sz w:val="32"/>
          <w:szCs w:val="40"/>
        </w:rPr>
        <w:t>一、项目基本情况</w:t>
      </w:r>
      <w:bookmarkEnd w:id="0"/>
      <w:bookmarkEnd w:id="1"/>
    </w:p>
    <w:p>
      <w:pPr>
        <w:spacing w:line="600" w:lineRule="exact"/>
        <w:ind w:firstLine="640" w:firstLineChars="200"/>
        <w:outlineLvl w:val="1"/>
        <w:rPr>
          <w:rFonts w:ascii="楷体_GB2312" w:hAnsi="楷体_GB2312" w:eastAsia="楷体_GB2312" w:cs="楷体_GB2312"/>
          <w:sz w:val="32"/>
          <w:szCs w:val="40"/>
        </w:rPr>
      </w:pPr>
      <w:bookmarkStart w:id="2" w:name="_Toc25577"/>
      <w:bookmarkStart w:id="3" w:name="_Toc4590"/>
      <w:r>
        <w:rPr>
          <w:rFonts w:hint="eastAsia" w:ascii="楷体_GB2312" w:hAnsi="楷体_GB2312" w:eastAsia="楷体_GB2312" w:cs="楷体_GB2312"/>
          <w:sz w:val="32"/>
          <w:szCs w:val="40"/>
        </w:rPr>
        <w:t>（一）政策概况</w:t>
      </w:r>
      <w:bookmarkEnd w:id="2"/>
      <w:bookmarkEnd w:id="3"/>
    </w:p>
    <w:p>
      <w:pPr>
        <w:pStyle w:val="18"/>
        <w:spacing w:line="600" w:lineRule="exact"/>
        <w:ind w:firstLine="643"/>
        <w:outlineLvl w:val="9"/>
        <w:rPr>
          <w:rFonts w:ascii="仿宋_GB2312" w:hAnsi="仿宋_GB2312" w:eastAsia="仿宋_GB2312" w:cs="仿宋_GB2312"/>
          <w:b/>
          <w:bCs/>
          <w:kern w:val="2"/>
          <w:sz w:val="32"/>
          <w:szCs w:val="32"/>
        </w:rPr>
      </w:pPr>
      <w:bookmarkStart w:id="4" w:name="_Toc4128"/>
      <w:bookmarkStart w:id="5" w:name="_Toc20951"/>
      <w:r>
        <w:rPr>
          <w:rFonts w:hint="eastAsia" w:ascii="仿宋_GB2312" w:hAnsi="仿宋_GB2312" w:eastAsia="仿宋_GB2312" w:cs="仿宋_GB2312"/>
          <w:b/>
          <w:bCs/>
          <w:kern w:val="2"/>
          <w:sz w:val="32"/>
          <w:szCs w:val="32"/>
        </w:rPr>
        <w:t>1.政策背景</w:t>
      </w:r>
      <w:bookmarkEnd w:id="4"/>
      <w:bookmarkEnd w:id="5"/>
    </w:p>
    <w:p>
      <w:pPr>
        <w:pStyle w:val="18"/>
        <w:spacing w:line="600" w:lineRule="exact"/>
        <w:ind w:firstLine="640"/>
        <w:outlineLvl w:val="9"/>
        <w:rPr>
          <w:rFonts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随着消费升级和文旅产业融合发展，特色街区作为城市形象展示窗口与消费集聚地，对拉动地方经济、促进文旅消费、提升城市活力具有重要意义。2023年1月，习近平总书记在中央政治局集体学习中强调“把发展旅游业作为推动高质量发展的重要着力点”。2023年3月25日，中共山东省委、山东省人民政府印发《关于促进文旅深度融合推动旅游业高质量发展的意见》（鲁发〔2023〕4号），提出激发文旅消费活力，创建国家级夜间文化和旅游消费集聚区。</w:t>
      </w:r>
    </w:p>
    <w:p>
      <w:pPr>
        <w:pStyle w:val="18"/>
        <w:spacing w:line="600" w:lineRule="exact"/>
        <w:ind w:firstLine="640"/>
        <w:outlineLvl w:val="9"/>
        <w:rPr>
          <w:rFonts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shd w:val="clear" w:color="auto" w:fill="FFFFFF"/>
        </w:rPr>
        <w:t>作为中国啤酒文化的标杆城市，</w:t>
      </w:r>
      <w:r>
        <w:rPr>
          <w:rFonts w:hint="eastAsia" w:ascii="仿宋_GB2312" w:hAnsi="仿宋_GB2312" w:eastAsia="仿宋_GB2312" w:cs="仿宋_GB2312"/>
          <w:snapToGrid w:val="0"/>
          <w:sz w:val="32"/>
          <w:szCs w:val="32"/>
        </w:rPr>
        <w:t>青岛市“</w:t>
      </w:r>
      <w:r>
        <w:rPr>
          <w:rFonts w:hint="eastAsia" w:ascii="仿宋_GB2312" w:hAnsi="仿宋_GB2312" w:eastAsia="仿宋_GB2312" w:cs="仿宋_GB2312"/>
          <w:snapToGrid w:val="0"/>
          <w:sz w:val="32"/>
          <w:szCs w:val="32"/>
          <w:shd w:val="clear" w:color="auto" w:fill="FFFFFF"/>
        </w:rPr>
        <w:t>啤酒特色</w:t>
      </w:r>
      <w:r>
        <w:rPr>
          <w:rFonts w:hint="eastAsia" w:ascii="仿宋_GB2312" w:hAnsi="仿宋_GB2312" w:eastAsia="仿宋_GB2312" w:cs="仿宋_GB2312"/>
          <w:snapToGrid w:val="0"/>
          <w:sz w:val="32"/>
          <w:szCs w:val="32"/>
        </w:rPr>
        <w:t>”</w:t>
      </w:r>
      <w:r>
        <w:rPr>
          <w:rFonts w:hint="eastAsia" w:ascii="仿宋_GB2312" w:hAnsi="仿宋_GB2312" w:eastAsia="仿宋_GB2312" w:cs="仿宋_GB2312"/>
          <w:snapToGrid w:val="0"/>
          <w:sz w:val="32"/>
          <w:szCs w:val="32"/>
          <w:shd w:val="clear" w:color="auto" w:fill="FFFFFF"/>
        </w:rPr>
        <w:t>文化已深度融入城市基因，形成了历史底蕴深厚、产业生态完整、文化符号鲜明、节庆品牌卓越的独特体系，成为城市发展的核心竞争力。</w:t>
      </w:r>
      <w:r>
        <w:rPr>
          <w:rFonts w:hint="eastAsia" w:ascii="仿宋_GB2312" w:hAnsi="仿宋_GB2312" w:eastAsia="仿宋_GB2312" w:cs="仿宋_GB2312"/>
          <w:snapToGrid w:val="0"/>
          <w:sz w:val="32"/>
          <w:szCs w:val="32"/>
        </w:rPr>
        <w:t>2023年10月，为落实上级文件精神，促进夜间文旅消费，青岛市人民政府发布《青岛市促进文旅深度融合推动旅游业高质量发展若干措施》（青政字〔2023〕27号），明确提出“支持打造啤酒特色‘深夜餐厅’，每个区（市）至少打造1条啤酒特色餐饮休闲街区，一次性给予合格街区运营主体100万元奖补并予以授牌”。</w:t>
      </w:r>
    </w:p>
    <w:p>
      <w:pPr>
        <w:pStyle w:val="18"/>
        <w:spacing w:line="600" w:lineRule="exact"/>
        <w:ind w:firstLine="640"/>
        <w:outlineLvl w:val="9"/>
        <w:rPr>
          <w:rFonts w:ascii="仿宋_GB2312" w:hAnsi="仿宋_GB2312" w:eastAsia="仿宋_GB2312" w:cs="仿宋_GB2312"/>
          <w:kern w:val="2"/>
          <w:sz w:val="32"/>
          <w:szCs w:val="32"/>
        </w:rPr>
      </w:pPr>
      <w:r>
        <w:rPr>
          <w:rFonts w:hint="eastAsia" w:ascii="仿宋_GB2312" w:hAnsi="仿宋_GB2312" w:eastAsia="仿宋_GB2312" w:cs="仿宋_GB2312"/>
          <w:snapToGrid w:val="0"/>
          <w:sz w:val="32"/>
          <w:szCs w:val="32"/>
        </w:rPr>
        <w:t>2024年4月，青岛市商务局（以下简称“市商务局”）积极响应省、市政策部署，结合青岛市实际，研究制定《青岛市啤酒特色餐饮休闲街区认定和申报管理办法（试行）》（青商办字〔2024〕35号），明确了“青岛市啤酒特色餐饮休闲街区”称号的认定标准、申报程序、评审要点、监督机制等。2024年12月，经综合评审论证，市商务局共认定5条“青岛市啤酒特色餐饮休闲街区”，并对每条街区奖励100万元，用于规范特色餐饮街区发展，提升服务标准，助力青岛打造啤酒特色城市名片。</w:t>
      </w:r>
    </w:p>
    <w:p>
      <w:pPr>
        <w:widowControl/>
        <w:autoSpaceDE w:val="0"/>
        <w:spacing w:line="600" w:lineRule="exact"/>
        <w:ind w:firstLine="643" w:firstLineChars="200"/>
        <w:rPr>
          <w:rFonts w:ascii="仿宋_GB2312" w:hAnsi="仿宋_GB2312" w:eastAsia="仿宋_GB2312" w:cs="仿宋_GB2312"/>
          <w:b/>
          <w:bCs/>
          <w:sz w:val="32"/>
          <w:szCs w:val="32"/>
        </w:rPr>
      </w:pPr>
      <w:bookmarkStart w:id="6" w:name="_Toc10083"/>
      <w:bookmarkStart w:id="7" w:name="_Toc17087"/>
      <w:r>
        <w:rPr>
          <w:rFonts w:hint="eastAsia" w:ascii="仿宋_GB2312" w:hAnsi="仿宋_GB2312" w:eastAsia="仿宋_GB2312" w:cs="仿宋_GB2312"/>
          <w:b/>
          <w:bCs/>
          <w:sz w:val="32"/>
          <w:szCs w:val="32"/>
        </w:rPr>
        <w:t>2.政策主要内容</w:t>
      </w:r>
      <w:bookmarkEnd w:id="6"/>
      <w:bookmarkEnd w:id="7"/>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napToGrid w:val="0"/>
          <w:kern w:val="0"/>
          <w:sz w:val="32"/>
          <w:szCs w:val="32"/>
        </w:rPr>
        <w:t>《青岛市促进文旅深度融合推动旅游业高质量发展若干措施》《青岛市啤酒特色餐饮休闲街区认定和申报管理办法（试行）》和《</w:t>
      </w:r>
      <w:r>
        <w:rPr>
          <w:rFonts w:hint="eastAsia" w:ascii="仿宋_GB2312" w:hAnsi="仿宋_GB2312" w:eastAsia="仿宋_GB2312" w:cs="仿宋_GB2312"/>
          <w:sz w:val="32"/>
          <w:szCs w:val="32"/>
        </w:rPr>
        <w:t>青岛市商务局关于组织申报青岛市啤酒特色餐饮休闲街区的通知》，2024年打造啤酒特色餐饮休闲街区政策具体内容为：对申报街区的规划布局、基础设施、功能品质、运营管理、综合效益等方面进行评审，</w:t>
      </w:r>
      <w:r>
        <w:rPr>
          <w:rFonts w:hint="eastAsia" w:ascii="仿宋_GB2312" w:hAnsi="仿宋_GB2312" w:eastAsia="仿宋_GB2312" w:cs="仿宋_GB2312"/>
          <w:snapToGrid w:val="0"/>
          <w:color w:val="000000"/>
          <w:kern w:val="0"/>
          <w:sz w:val="32"/>
          <w:szCs w:val="32"/>
        </w:rPr>
        <w:t>对</w:t>
      </w:r>
      <w:r>
        <w:rPr>
          <w:rFonts w:hint="eastAsia" w:ascii="仿宋_GB2312" w:hAnsi="仿宋_GB2312" w:eastAsia="仿宋_GB2312" w:cs="仿宋_GB2312"/>
          <w:sz w:val="32"/>
          <w:szCs w:val="32"/>
        </w:rPr>
        <w:t>平均得分超过80分且得分排名全市前五的街区授予</w:t>
      </w:r>
      <w:r>
        <w:rPr>
          <w:rFonts w:hint="eastAsia" w:ascii="仿宋_GB2312" w:hAnsi="仿宋_GB2312" w:eastAsia="仿宋_GB2312" w:cs="仿宋_GB2312"/>
          <w:snapToGrid w:val="0"/>
          <w:color w:val="000000"/>
          <w:kern w:val="0"/>
          <w:sz w:val="32"/>
          <w:szCs w:val="32"/>
        </w:rPr>
        <w:t>“青岛市啤酒特色餐饮休闲街区”称号，并给予每条街区运营主体</w:t>
      </w:r>
      <w:r>
        <w:rPr>
          <w:rFonts w:hint="eastAsia" w:ascii="仿宋_GB2312" w:hAnsi="仿宋_GB2312" w:eastAsia="仿宋_GB2312" w:cs="仿宋_GB2312"/>
          <w:kern w:val="0"/>
          <w:sz w:val="32"/>
          <w:szCs w:val="32"/>
        </w:rPr>
        <w:t>100万元补助资金</w:t>
      </w:r>
      <w:r>
        <w:rPr>
          <w:rFonts w:hint="eastAsia" w:ascii="仿宋_GB2312" w:hAnsi="仿宋_GB2312" w:eastAsia="仿宋_GB2312" w:cs="仿宋_GB2312"/>
          <w:snapToGrid w:val="0"/>
          <w:color w:val="000000"/>
          <w:kern w:val="0"/>
          <w:sz w:val="32"/>
          <w:szCs w:val="32"/>
        </w:rPr>
        <w:t>支持，专项用于街区提升改造。</w:t>
      </w:r>
    </w:p>
    <w:p>
      <w:pPr>
        <w:spacing w:line="60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3.政策实施过程</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发布通知。2024年4月19日，市商务局印发《青岛市啤酒特色餐饮休闲街区认定和申报管理办法（试行）》，明确了“青岛市啤酒特色餐饮休闲街区”称号的认定标准、申报程序、评审要点以及监督机制。2024年10月16日，市商务局正式发布《关于组织申报青岛市啤酒特色餐饮休闲街区的通知》，全面启动本年度特色街区申报认定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初审阶段。各区（市）商务主管部门根据市商务局发布的申报通知要求，组织开展本辖区啤酒特色餐饮休闲街区的申报工作，通过审核申报材料、实地核查街区建设情况等方式，对申报街区质量进行把关，确保申报主体符合资金“绿色门槛”制度要求，且申报材料真实、完整、规范。经综合评估后，出具加盖公章的推荐报告，择优向市商务局推荐报送。</w:t>
      </w:r>
    </w:p>
    <w:p>
      <w:pPr>
        <w:spacing w:line="600" w:lineRule="exact"/>
        <w:ind w:firstLine="640" w:firstLineChars="200"/>
        <w:rPr>
          <w:rFonts w:cs="Times New Roman"/>
          <w:sz w:val="32"/>
          <w:szCs w:val="22"/>
        </w:rPr>
      </w:pPr>
      <w:r>
        <w:rPr>
          <w:rFonts w:hint="eastAsia" w:ascii="仿宋_GB2312" w:hAnsi="仿宋_GB2312" w:eastAsia="仿宋_GB2312" w:cs="仿宋_GB2312"/>
          <w:sz w:val="32"/>
          <w:szCs w:val="32"/>
        </w:rPr>
        <w:t>（3）专家复审。市商务局组织有关专家成立评审组，对申报街区进行实地考察，参照《青岛市啤酒特色餐饮休闲街区评分表》，对街区申报材料进行复核评分，平均得分超过80分且得分排名全市前五的街区，视为验收合格，认定为青岛市啤酒特色餐饮休闲街区，并在市商务局网站上公示五个工作日。公示无异议或异议不成立的，由市商务局确认并发文命名。具体申报流程如下图所示：</w:t>
      </w:r>
    </w:p>
    <w:p>
      <w:pPr>
        <w:rPr>
          <w:rFonts w:cs="Times New Roman"/>
          <w:sz w:val="32"/>
          <w:szCs w:val="22"/>
        </w:rPr>
      </w:pPr>
      <w:r>
        <w:rPr>
          <w:rFonts w:hint="eastAsia" w:ascii="仿宋_GB2312" w:hAnsi="仿宋_GB2312" w:eastAsia="仿宋_GB2312" w:cs="仿宋_GB2312"/>
          <w:sz w:val="32"/>
          <w:szCs w:val="32"/>
        </w:rPr>
        <w:drawing>
          <wp:inline distT="0" distB="0" distL="114300" distR="114300">
            <wp:extent cx="5271135" cy="2894965"/>
            <wp:effectExtent l="0" t="0" r="0" b="0"/>
            <wp:docPr id="2"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1" descr="wps"/>
                    <pic:cNvPicPr>
                      <a:picLocks noChangeAspect="1"/>
                    </pic:cNvPicPr>
                  </pic:nvPicPr>
                  <pic:blipFill>
                    <a:blip r:embed="rId5"/>
                    <a:stretch>
                      <a:fillRect/>
                    </a:stretch>
                  </pic:blipFill>
                  <pic:spPr>
                    <a:xfrm>
                      <a:off x="0" y="0"/>
                      <a:ext cx="5271135" cy="2894965"/>
                    </a:xfrm>
                    <a:prstGeom prst="rect">
                      <a:avLst/>
                    </a:prstGeom>
                  </pic:spPr>
                </pic:pic>
              </a:graphicData>
            </a:graphic>
          </wp:inline>
        </w:drawing>
      </w:r>
    </w:p>
    <w:p>
      <w:pPr>
        <w:widowControl/>
        <w:autoSpaceDE w:val="0"/>
        <w:spacing w:line="600" w:lineRule="exact"/>
        <w:jc w:val="center"/>
        <w:rPr>
          <w:rFonts w:ascii="楷体_GB2312" w:hAnsi="宋体" w:eastAsia="楷体_GB2312" w:cs="楷体_GB2312"/>
          <w:sz w:val="28"/>
          <w:szCs w:val="28"/>
        </w:rPr>
      </w:pPr>
      <w:bookmarkStart w:id="8" w:name="_Toc16324"/>
      <w:bookmarkStart w:id="9" w:name="_Toc5417"/>
      <w:r>
        <w:rPr>
          <w:rFonts w:hint="eastAsia" w:ascii="宋体" w:hAnsi="宋体" w:eastAsia="宋体" w:cs="宋体"/>
          <w:b/>
          <w:bCs/>
          <w:kern w:val="0"/>
          <w:sz w:val="28"/>
          <w:szCs w:val="28"/>
          <w:lang w:bidi="zh-CN"/>
        </w:rPr>
        <w:t>图 1 政策申报流程图</w:t>
      </w:r>
    </w:p>
    <w:bookmarkEnd w:id="8"/>
    <w:bookmarkEnd w:id="9"/>
    <w:p>
      <w:pPr>
        <w:pStyle w:val="18"/>
        <w:keepNext/>
        <w:widowControl/>
        <w:spacing w:line="600" w:lineRule="exact"/>
        <w:ind w:firstLine="643"/>
        <w:outlineLvl w:val="9"/>
        <w:rPr>
          <w:rFonts w:ascii="仿宋_GB2312" w:hAnsi="仿宋_GB2312" w:eastAsia="仿宋_GB2312" w:cs="仿宋_GB2312"/>
          <w:b/>
          <w:bCs/>
          <w:kern w:val="2"/>
          <w:sz w:val="32"/>
          <w:szCs w:val="32"/>
        </w:rPr>
      </w:pPr>
      <w:bookmarkStart w:id="10" w:name="_Toc8905"/>
      <w:r>
        <w:rPr>
          <w:rFonts w:hint="eastAsia" w:ascii="仿宋_GB2312" w:hAnsi="仿宋_GB2312" w:eastAsia="仿宋_GB2312" w:cs="仿宋_GB2312"/>
          <w:b/>
          <w:bCs/>
          <w:kern w:val="2"/>
          <w:sz w:val="32"/>
          <w:szCs w:val="32"/>
        </w:rPr>
        <w:t>4.资金投入</w:t>
      </w:r>
      <w:bookmarkEnd w:id="10"/>
      <w:r>
        <w:rPr>
          <w:rFonts w:hint="eastAsia" w:ascii="仿宋_GB2312" w:hAnsi="仿宋_GB2312" w:eastAsia="仿宋_GB2312" w:cs="仿宋_GB2312"/>
          <w:b/>
          <w:bCs/>
          <w:kern w:val="2"/>
          <w:sz w:val="32"/>
          <w:szCs w:val="32"/>
        </w:rPr>
        <w:t>及使用情况</w:t>
      </w:r>
    </w:p>
    <w:p>
      <w:pPr>
        <w:pStyle w:val="18"/>
        <w:keepNext/>
        <w:widowControl/>
        <w:overflowPunct w:val="0"/>
        <w:spacing w:line="600" w:lineRule="exact"/>
        <w:ind w:firstLine="640"/>
        <w:outlineLvl w:val="9"/>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2024年打造啤酒特色餐饮休闲街区奖励资金共500万元，支持运营主体5家。2024年12月18日，青岛市财政局印发《关于清算2024年啤酒特色餐饮休闲街区奖励资金预算指标的通知》（青财企指〔2024〕97号），将奖励资金拨付至有关区（市）财政局。2024年底，市财政局已将资金下达相关区市，但截至2025年6月10日，5条受奖励街区运营主体均未收到奖补资金，预算执行率为0%。奖励资金分配明细如下表所示：</w:t>
      </w:r>
    </w:p>
    <w:p>
      <w:pPr>
        <w:keepNext/>
        <w:jc w:val="center"/>
        <w:rPr>
          <w:rFonts w:ascii="宋体" w:hAnsi="宋体" w:eastAsia="宋体" w:cs="宋体"/>
          <w:b/>
          <w:bCs/>
          <w:sz w:val="28"/>
          <w:szCs w:val="28"/>
        </w:rPr>
      </w:pPr>
      <w:r>
        <w:rPr>
          <w:rFonts w:hint="eastAsia" w:ascii="宋体" w:hAnsi="宋体" w:eastAsia="宋体" w:cs="宋体"/>
          <w:b/>
          <w:bCs/>
          <w:sz w:val="28"/>
          <w:szCs w:val="28"/>
        </w:rPr>
        <w:t>表 1 受奖励街区名单及金额</w:t>
      </w:r>
    </w:p>
    <w:p>
      <w:pPr>
        <w:pStyle w:val="18"/>
        <w:jc w:val="right"/>
        <w:outlineLvl w:val="9"/>
        <w:rPr>
          <w:rFonts w:ascii="仿宋_GB2312" w:eastAsia="仿宋_GB2312" w:hAnsiTheme="minorHAnsi"/>
          <w:kern w:val="2"/>
          <w:sz w:val="32"/>
          <w:szCs w:val="22"/>
        </w:rPr>
      </w:pPr>
      <w:r>
        <w:rPr>
          <w:rFonts w:hint="eastAsia" w:cs="宋体"/>
          <w:color w:val="000000"/>
          <w:szCs w:val="24"/>
        </w:rPr>
        <w:t>金额单位：万元</w:t>
      </w:r>
    </w:p>
    <w:tbl>
      <w:tblPr>
        <w:tblStyle w:val="12"/>
        <w:tblW w:w="4998" w:type="pct"/>
        <w:tblInd w:w="0" w:type="dxa"/>
        <w:tblLayout w:type="fixed"/>
        <w:tblCellMar>
          <w:top w:w="0" w:type="dxa"/>
          <w:left w:w="108" w:type="dxa"/>
          <w:bottom w:w="0" w:type="dxa"/>
          <w:right w:w="108" w:type="dxa"/>
        </w:tblCellMar>
      </w:tblPr>
      <w:tblGrid>
        <w:gridCol w:w="749"/>
        <w:gridCol w:w="1501"/>
        <w:gridCol w:w="1779"/>
        <w:gridCol w:w="3222"/>
        <w:gridCol w:w="1268"/>
      </w:tblGrid>
      <w:tr>
        <w:tblPrEx>
          <w:tblCellMar>
            <w:top w:w="0" w:type="dxa"/>
            <w:left w:w="108" w:type="dxa"/>
            <w:bottom w:w="0" w:type="dxa"/>
            <w:right w:w="108" w:type="dxa"/>
          </w:tblCellMar>
        </w:tblPrEx>
        <w:trPr>
          <w:trHeight w:val="561" w:hRule="atLeast"/>
          <w:tblHeader/>
        </w:trPr>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rPr>
            </w:pPr>
            <w:r>
              <w:rPr>
                <w:rStyle w:val="21"/>
                <w:rFonts w:hint="default" w:ascii="宋体" w:eastAsia="宋体" w:cs="宋体"/>
                <w:b/>
                <w:bCs/>
              </w:rPr>
              <w:t>序号</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rPr>
            </w:pPr>
            <w:r>
              <w:rPr>
                <w:rStyle w:val="21"/>
                <w:rFonts w:hint="default" w:ascii="宋体" w:eastAsia="宋体" w:cs="宋体"/>
                <w:b/>
                <w:bCs/>
              </w:rPr>
              <w:t>区（市）</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街区名称</w:t>
            </w:r>
          </w:p>
        </w:tc>
        <w:tc>
          <w:tcPr>
            <w:tcW w:w="18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街区运营主体</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奖励金额</w:t>
            </w:r>
          </w:p>
        </w:tc>
      </w:tr>
      <w:tr>
        <w:tblPrEx>
          <w:tblCellMar>
            <w:top w:w="0" w:type="dxa"/>
            <w:left w:w="108" w:type="dxa"/>
            <w:bottom w:w="0" w:type="dxa"/>
            <w:right w:w="108" w:type="dxa"/>
          </w:tblCellMar>
        </w:tblPrEx>
        <w:trPr>
          <w:trHeight w:val="680" w:hRule="exact"/>
        </w:trPr>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市南区</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奥帆中心啤酒</w:t>
            </w:r>
          </w:p>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特色街区</w:t>
            </w:r>
          </w:p>
        </w:tc>
        <w:tc>
          <w:tcPr>
            <w:tcW w:w="18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青岛旅游景区运营管理集团有限公司奥帆中心分公司</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100</w:t>
            </w:r>
          </w:p>
        </w:tc>
      </w:tr>
      <w:tr>
        <w:tblPrEx>
          <w:tblCellMar>
            <w:top w:w="0" w:type="dxa"/>
            <w:left w:w="108" w:type="dxa"/>
            <w:bottom w:w="0" w:type="dxa"/>
            <w:right w:w="108" w:type="dxa"/>
          </w:tblCellMar>
        </w:tblPrEx>
        <w:trPr>
          <w:trHeight w:val="680" w:hRule="exact"/>
        </w:trPr>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市北区</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台东步行街</w:t>
            </w:r>
          </w:p>
        </w:tc>
        <w:tc>
          <w:tcPr>
            <w:tcW w:w="18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青岛建投台东街区商业管理有限公司</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100</w:t>
            </w:r>
          </w:p>
        </w:tc>
      </w:tr>
      <w:tr>
        <w:tblPrEx>
          <w:tblCellMar>
            <w:top w:w="0" w:type="dxa"/>
            <w:left w:w="108" w:type="dxa"/>
            <w:bottom w:w="0" w:type="dxa"/>
            <w:right w:w="108" w:type="dxa"/>
          </w:tblCellMar>
        </w:tblPrEx>
        <w:trPr>
          <w:trHeight w:val="680" w:hRule="exact"/>
        </w:trPr>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西海岸新区</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青岛金沙滩</w:t>
            </w:r>
          </w:p>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啤酒城街区</w:t>
            </w:r>
          </w:p>
        </w:tc>
        <w:tc>
          <w:tcPr>
            <w:tcW w:w="18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青岛西海岸啤酒文化集团</w:t>
            </w:r>
          </w:p>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有限公司</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100</w:t>
            </w:r>
          </w:p>
        </w:tc>
      </w:tr>
      <w:tr>
        <w:tblPrEx>
          <w:tblCellMar>
            <w:top w:w="0" w:type="dxa"/>
            <w:left w:w="108" w:type="dxa"/>
            <w:bottom w:w="0" w:type="dxa"/>
            <w:right w:w="108" w:type="dxa"/>
          </w:tblCellMar>
        </w:tblPrEx>
        <w:trPr>
          <w:trHeight w:val="680" w:hRule="exact"/>
        </w:trPr>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即墨区</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即墨古城</w:t>
            </w:r>
          </w:p>
        </w:tc>
        <w:tc>
          <w:tcPr>
            <w:tcW w:w="18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即墨区鼎泰德开发建设</w:t>
            </w:r>
          </w:p>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有限公司</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100</w:t>
            </w:r>
          </w:p>
        </w:tc>
      </w:tr>
      <w:tr>
        <w:tblPrEx>
          <w:tblCellMar>
            <w:top w:w="0" w:type="dxa"/>
            <w:left w:w="108" w:type="dxa"/>
            <w:bottom w:w="0" w:type="dxa"/>
            <w:right w:w="108" w:type="dxa"/>
          </w:tblCellMar>
        </w:tblPrEx>
        <w:trPr>
          <w:trHeight w:val="680" w:hRule="exact"/>
        </w:trPr>
        <w:tc>
          <w:tcPr>
            <w:tcW w:w="439"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5</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城阳区</w:t>
            </w:r>
          </w:p>
        </w:tc>
        <w:tc>
          <w:tcPr>
            <w:tcW w:w="1044"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水悦城音乐吧</w:t>
            </w:r>
          </w:p>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特色街区</w:t>
            </w:r>
          </w:p>
        </w:tc>
        <w:tc>
          <w:tcPr>
            <w:tcW w:w="1889" w:type="pc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青岛豪润商业运营管理</w:t>
            </w:r>
          </w:p>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有限公司</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100</w:t>
            </w:r>
          </w:p>
        </w:tc>
      </w:tr>
      <w:tr>
        <w:tblPrEx>
          <w:tblCellMar>
            <w:top w:w="0" w:type="dxa"/>
            <w:left w:w="108" w:type="dxa"/>
            <w:bottom w:w="0" w:type="dxa"/>
            <w:right w:w="108" w:type="dxa"/>
          </w:tblCellMar>
        </w:tblPrEx>
        <w:trPr>
          <w:trHeight w:val="542" w:hRule="atLeast"/>
        </w:trPr>
        <w:tc>
          <w:tcPr>
            <w:tcW w:w="42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总计</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500</w:t>
            </w:r>
          </w:p>
        </w:tc>
      </w:tr>
    </w:tbl>
    <w:p>
      <w:pPr>
        <w:spacing w:line="600" w:lineRule="exact"/>
        <w:ind w:firstLine="640" w:firstLineChars="200"/>
        <w:outlineLvl w:val="1"/>
        <w:rPr>
          <w:rFonts w:ascii="楷体_GB2312" w:hAnsi="楷体_GB2312" w:eastAsia="楷体_GB2312" w:cs="楷体_GB2312"/>
          <w:sz w:val="32"/>
          <w:szCs w:val="40"/>
        </w:rPr>
      </w:pPr>
      <w:bookmarkStart w:id="11" w:name="_Toc22506"/>
      <w:bookmarkStart w:id="12" w:name="_Toc13118"/>
      <w:r>
        <w:rPr>
          <w:rFonts w:hint="eastAsia" w:ascii="楷体_GB2312" w:hAnsi="楷体_GB2312" w:eastAsia="楷体_GB2312" w:cs="楷体_GB2312"/>
          <w:sz w:val="32"/>
          <w:szCs w:val="40"/>
        </w:rPr>
        <w:t>（二）项目绩效目标</w:t>
      </w:r>
      <w:bookmarkEnd w:id="11"/>
      <w:bookmarkEnd w:id="12"/>
    </w:p>
    <w:p>
      <w:pPr>
        <w:spacing w:line="600" w:lineRule="exact"/>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1.总体目标</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通过重点支持各区（市）餐饮特色街区，突出啤酒特色，打造啤酒特色餐饮休闲街区，丰富市民游客的夜间消费供给，提升特色街区消费吸引力。全年对验收合格的5条啤酒特色餐饮街区进行奖励支持，每条支持100万元。受奖街区全年新引入的商业业态中，具有啤酒特色的餐饮和休闲业态的占比超过20%，全年组织或举办的特色夜间特色促销活动总数量超过30场，2024年客流量同比增长5%以上。</w:t>
      </w:r>
    </w:p>
    <w:p>
      <w:pPr>
        <w:spacing w:line="600" w:lineRule="exact"/>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2.年度目标</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依据市商务局提供的《打造啤酒特色餐饮休闲街区奖励资金（2024年）绩效目标表》，该政策年度目标为：</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（1）经济成本指标：促消费特色活动金额占受奖励金额比例≥10%；单条街区奖励金额＝100万元。</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（2）产出数量指标：特色夜间促消费活动举办次数≥30场；受奖励街区数量≥5条。</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（3）产出质量指标：啤酒特色餐饮休闲业态占比≥20%；打造街区验收通过率≥30%。</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（4）产出时效指标：啤酒特色餐饮休闲街区认定工作完成时间10月31日。</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（5）</w:t>
      </w:r>
      <w:r>
        <w:rPr>
          <w:rFonts w:ascii="仿宋_GB2312" w:hAnsi="仿宋_GB2312" w:eastAsia="仿宋_GB2312" w:cs="仿宋_GB2312"/>
          <w:sz w:val="32"/>
          <w:szCs w:val="40"/>
        </w:rPr>
        <w:t>社会效益指标</w:t>
      </w:r>
      <w:r>
        <w:rPr>
          <w:rFonts w:hint="eastAsia" w:ascii="仿宋_GB2312" w:hAnsi="仿宋_GB2312" w:eastAsia="仿宋_GB2312" w:cs="仿宋_GB2312"/>
          <w:sz w:val="32"/>
          <w:szCs w:val="40"/>
        </w:rPr>
        <w:t>：2024年客流量同比增长率≥5%。</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（6）满意度指标：街区消费者满意度≥90%。</w:t>
      </w:r>
    </w:p>
    <w:p>
      <w:pPr>
        <w:spacing w:line="600" w:lineRule="exact"/>
        <w:ind w:firstLine="640" w:firstLineChars="200"/>
        <w:outlineLvl w:val="0"/>
        <w:rPr>
          <w:rFonts w:ascii="黑体" w:hAnsi="黑体" w:eastAsia="黑体" w:cs="黑体"/>
          <w:sz w:val="32"/>
          <w:szCs w:val="40"/>
        </w:rPr>
      </w:pPr>
      <w:bookmarkStart w:id="13" w:name="_Toc27066"/>
      <w:bookmarkStart w:id="14" w:name="_Toc20581"/>
      <w:r>
        <w:rPr>
          <w:rFonts w:hint="eastAsia" w:ascii="黑体" w:hAnsi="黑体" w:eastAsia="黑体" w:cs="黑体"/>
          <w:sz w:val="32"/>
          <w:szCs w:val="40"/>
        </w:rPr>
        <w:t>二、绩效评价工作开展情况</w:t>
      </w:r>
      <w:bookmarkEnd w:id="13"/>
      <w:bookmarkEnd w:id="14"/>
    </w:p>
    <w:p>
      <w:pPr>
        <w:spacing w:line="600" w:lineRule="exact"/>
        <w:ind w:firstLine="640" w:firstLineChars="200"/>
        <w:outlineLvl w:val="1"/>
        <w:rPr>
          <w:rFonts w:ascii="楷体_GB2312" w:hAnsi="楷体_GB2312" w:eastAsia="楷体_GB2312" w:cs="楷体_GB2312"/>
          <w:sz w:val="32"/>
          <w:szCs w:val="40"/>
        </w:rPr>
      </w:pPr>
      <w:bookmarkStart w:id="15" w:name="_Toc877"/>
      <w:bookmarkStart w:id="16" w:name="_Toc25389"/>
      <w:r>
        <w:rPr>
          <w:rFonts w:hint="eastAsia" w:ascii="楷体_GB2312" w:hAnsi="楷体_GB2312" w:eastAsia="楷体_GB2312" w:cs="楷体_GB2312"/>
          <w:sz w:val="32"/>
          <w:szCs w:val="40"/>
        </w:rPr>
        <w:t>（一）评价目的、评价对象和范围</w:t>
      </w:r>
      <w:bookmarkEnd w:id="15"/>
      <w:bookmarkEnd w:id="16"/>
    </w:p>
    <w:p>
      <w:pPr>
        <w:spacing w:line="600" w:lineRule="exact"/>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1.评价目的</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color w:val="000000"/>
          <w:kern w:val="0"/>
          <w:sz w:val="32"/>
          <w:szCs w:val="32"/>
        </w:rPr>
        <w:t>通过开展绩效评价，了解</w:t>
      </w:r>
      <w:r>
        <w:rPr>
          <w:rFonts w:hint="eastAsia" w:ascii="仿宋_GB2312" w:hAnsi="仿宋_GB2312" w:eastAsia="仿宋_GB2312" w:cs="仿宋_GB2312"/>
          <w:sz w:val="32"/>
          <w:szCs w:val="22"/>
        </w:rPr>
        <w:t>2024年打造啤酒特色餐饮休闲街区奖励资金</w:t>
      </w:r>
      <w:r>
        <w:rPr>
          <w:rFonts w:hint="eastAsia" w:ascii="仿宋_GB2312" w:hAnsi="仿宋_GB2312" w:eastAsia="仿宋_GB2312" w:cs="仿宋_GB2312"/>
          <w:color w:val="000000"/>
          <w:kern w:val="0"/>
          <w:sz w:val="32"/>
          <w:szCs w:val="32"/>
        </w:rPr>
        <w:t>政策的落实情况。</w:t>
      </w:r>
      <w:r>
        <w:rPr>
          <w:rFonts w:hint="eastAsia" w:ascii="仿宋_GB2312" w:hAnsi="仿宋_GB2312" w:eastAsia="仿宋_GB2312" w:cs="仿宋_GB2312"/>
          <w:b/>
          <w:bCs/>
          <w:color w:val="000000"/>
          <w:kern w:val="0"/>
          <w:sz w:val="32"/>
          <w:szCs w:val="32"/>
        </w:rPr>
        <w:t>一是</w:t>
      </w:r>
      <w:r>
        <w:rPr>
          <w:rFonts w:hint="eastAsia" w:ascii="仿宋_GB2312" w:hAnsi="仿宋_GB2312" w:eastAsia="仿宋_GB2312" w:cs="仿宋_GB2312"/>
          <w:color w:val="000000"/>
          <w:kern w:val="0"/>
          <w:sz w:val="32"/>
          <w:szCs w:val="32"/>
        </w:rPr>
        <w:t>在全面梳理政策设计合理性、政策实施规范性、政策效果有效性的基础上，重点分析奖励措施是否科学合理、申报及认定流程是否规范严谨、奖励资金是否及时到位、政策带动效果是否显著有效等，找出存在的问题并分析原因。</w:t>
      </w:r>
      <w:r>
        <w:rPr>
          <w:rFonts w:hint="eastAsia" w:ascii="仿宋_GB2312" w:hAnsi="仿宋_GB2312" w:eastAsia="仿宋_GB2312" w:cs="仿宋_GB2312"/>
          <w:b/>
          <w:bCs/>
          <w:color w:val="000000"/>
          <w:kern w:val="0"/>
          <w:sz w:val="32"/>
          <w:szCs w:val="32"/>
        </w:rPr>
        <w:t>二是</w:t>
      </w:r>
      <w:r>
        <w:rPr>
          <w:rFonts w:hint="eastAsia" w:ascii="仿宋_GB2312" w:hAnsi="仿宋_GB2312" w:eastAsia="仿宋_GB2312" w:cs="仿宋_GB2312"/>
          <w:color w:val="000000"/>
          <w:kern w:val="0"/>
          <w:sz w:val="32"/>
          <w:szCs w:val="32"/>
        </w:rPr>
        <w:t>与省内外不同地区的同类政策进行横向对比，如北京市印发的《关于推动北京餐饮业高质量发展支持政策的通知》、合肥市印发的《合肥市特色商业街认定办法》等，分析各地区打造特色餐饮休闲街区奖励资金政策的差异优劣。</w:t>
      </w:r>
      <w:r>
        <w:rPr>
          <w:rFonts w:hint="eastAsia" w:ascii="仿宋_GB2312" w:hAnsi="仿宋_GB2312" w:eastAsia="仿宋_GB2312" w:cs="仿宋_GB2312"/>
          <w:b/>
          <w:bCs/>
          <w:color w:val="000000"/>
          <w:kern w:val="0"/>
          <w:sz w:val="32"/>
          <w:szCs w:val="32"/>
        </w:rPr>
        <w:t>三是</w:t>
      </w:r>
      <w:r>
        <w:rPr>
          <w:rFonts w:hint="eastAsia" w:ascii="仿宋_GB2312" w:hAnsi="仿宋_GB2312" w:eastAsia="仿宋_GB2312" w:cs="仿宋_GB2312"/>
          <w:color w:val="000000"/>
          <w:kern w:val="0"/>
          <w:sz w:val="32"/>
          <w:szCs w:val="32"/>
        </w:rPr>
        <w:t>跟踪了解5家受奖励街区的经营发展状况，包括但不限于规划布局、基础设施、功能品质、运营管理等，为后续奖励政策设计提出意见建议。</w:t>
      </w:r>
    </w:p>
    <w:p>
      <w:pPr>
        <w:spacing w:line="600" w:lineRule="exact"/>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2.评价对象和范围</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32"/>
        </w:rPr>
        <w:t>评价对象为2024年打造啤酒特色餐饮休闲街区政策奖励资金，共计500万元。评价范围包括市南区、市北区、西海岸新区、即墨区、城阳区5个区，涉及奥帆中心啤酒特色街区、台东步行街、青岛金沙滩啤酒城街区、即墨古城、水悦城音乐吧特色街区等5家运营主体。</w:t>
      </w:r>
    </w:p>
    <w:p>
      <w:pPr>
        <w:spacing w:line="600" w:lineRule="exact"/>
        <w:ind w:firstLine="640" w:firstLineChars="200"/>
        <w:outlineLvl w:val="1"/>
        <w:rPr>
          <w:rFonts w:ascii="楷体_GB2312" w:hAnsi="楷体_GB2312" w:eastAsia="楷体_GB2312" w:cs="楷体_GB2312"/>
          <w:sz w:val="32"/>
          <w:szCs w:val="40"/>
        </w:rPr>
      </w:pPr>
      <w:bookmarkStart w:id="17" w:name="_Toc1824"/>
      <w:bookmarkStart w:id="18" w:name="_Toc7053"/>
      <w:r>
        <w:rPr>
          <w:rFonts w:hint="eastAsia" w:ascii="楷体_GB2312" w:hAnsi="楷体_GB2312" w:eastAsia="楷体_GB2312" w:cs="楷体_GB2312"/>
          <w:sz w:val="32"/>
          <w:szCs w:val="40"/>
        </w:rPr>
        <w:t>（二）评价思路、评价重点、评价指标体系和评价标准</w:t>
      </w:r>
      <w:bookmarkEnd w:id="17"/>
      <w:bookmarkEnd w:id="18"/>
    </w:p>
    <w:p>
      <w:pPr>
        <w:spacing w:line="600" w:lineRule="exact"/>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1.评价思路</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将政策置于“国家扩大内需－山东文旅融合－青岛消费升级”的战略框架中，既评估单个街区的建设成效，也考量政策对区域经济和城市品牌的协同效应。</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针对政策关键节点，如申报审核、资金使用、动态管理，设计可量化的评价指标，通过满意度调查和实地核验获取数据支撑。</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以政策目标为出发点，通过核查申报评审流程的合规性、认定街区的指标达标率、经济社会效益的实际影响，形成的闭环评价，为后续政策优化提供数据驱动的改进建议。</w:t>
      </w:r>
    </w:p>
    <w:p>
      <w:pPr>
        <w:spacing w:line="600" w:lineRule="exact"/>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2.评价重点</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政策执行。重点核查申报流程是否严格遵循区（市）推荐、专家评审、实地考察、公示授牌程序，动态管理是否落实，以及资金使用是否符合“专款用于改造提升”的要求。</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政策效益。经济效益方面，核查商户营业额增长率、纳统企业数量及社会资本带动效应；社会效益聚焦就业贡献、客流集聚；可持续影响重点评估街区品牌影响力、持续吸引餐饮企业持续入驻以及街区申报的积极性。</w:t>
      </w:r>
    </w:p>
    <w:p>
      <w:pPr>
        <w:overflowPunct w:val="0"/>
        <w:spacing w:line="600" w:lineRule="exact"/>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3.评价指标体系</w:t>
      </w:r>
    </w:p>
    <w:p>
      <w:pPr>
        <w:overflowPunct w:val="0"/>
        <w:spacing w:line="6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从政策制定、政策实施、政策效果3个维度制定绩效评价指标体系，下设13个二级指标和24个三级指标，</w:t>
      </w:r>
      <w:r>
        <w:rPr>
          <w:rFonts w:hint="eastAsia" w:ascii="仿宋_GB2312" w:hAnsi="仿宋_GB2312" w:eastAsia="仿宋_GB2312" w:cs="仿宋_GB2312"/>
          <w:color w:val="000000"/>
          <w:kern w:val="0"/>
          <w:sz w:val="32"/>
          <w:szCs w:val="32"/>
        </w:rPr>
        <w:t>主要采用座谈访谈、资料核查、社会调查等方式进行证据收集。</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（1）政策制定：占权重分15分，用于评价</w:t>
      </w:r>
      <w:r>
        <w:rPr>
          <w:rFonts w:hint="eastAsia" w:ascii="仿宋_GB2312" w:hAnsi="仿宋_GB2312" w:eastAsia="仿宋_GB2312" w:cs="仿宋_GB2312"/>
          <w:sz w:val="32"/>
          <w:szCs w:val="22"/>
        </w:rPr>
        <w:t>2024年打造啤酒特色餐饮休闲街区奖励政策的</w:t>
      </w:r>
      <w:r>
        <w:rPr>
          <w:rFonts w:hint="eastAsia" w:ascii="仿宋_GB2312" w:hAnsi="仿宋_GB2312" w:eastAsia="仿宋_GB2312" w:cs="仿宋_GB2312"/>
          <w:color w:val="000000"/>
          <w:kern w:val="0"/>
          <w:sz w:val="32"/>
          <w:szCs w:val="32"/>
        </w:rPr>
        <w:t>政策</w:t>
      </w:r>
      <w:r>
        <w:rPr>
          <w:rFonts w:hint="eastAsia" w:ascii="仿宋_GB2312" w:hAnsi="仿宋_GB2312" w:eastAsia="仿宋_GB2312" w:cs="仿宋_GB2312"/>
          <w:kern w:val="0"/>
          <w:sz w:val="32"/>
          <w:szCs w:val="32"/>
        </w:rPr>
        <w:t>设立</w:t>
      </w:r>
      <w:r>
        <w:rPr>
          <w:rFonts w:hint="eastAsia" w:ascii="仿宋_GB2312" w:hAnsi="仿宋_GB2312" w:eastAsia="仿宋_GB2312" w:cs="仿宋_GB2312"/>
          <w:sz w:val="32"/>
          <w:szCs w:val="32"/>
        </w:rPr>
        <w:t>、政策目标和资金安排。</w:t>
      </w:r>
      <w:r>
        <w:rPr>
          <w:rFonts w:hint="eastAsia" w:ascii="仿宋_GB2312" w:hAnsi="仿宋_GB2312" w:eastAsia="仿宋_GB2312" w:cs="仿宋_GB2312"/>
          <w:kern w:val="0"/>
          <w:sz w:val="32"/>
          <w:szCs w:val="32"/>
        </w:rPr>
        <w:t>政策设立</w:t>
      </w:r>
      <w:r>
        <w:rPr>
          <w:rFonts w:hint="eastAsia" w:ascii="仿宋_GB2312" w:hAnsi="仿宋_GB2312" w:eastAsia="仿宋_GB2312" w:cs="仿宋_GB2312"/>
          <w:sz w:val="32"/>
          <w:szCs w:val="32"/>
        </w:rPr>
        <w:t>考察设立依据充分性和设立程序规范性，政策目标考察目标合理性，资金安排考察政策支出标准科学性和资金分配合理性。</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（2）政策实施：占权重分25分，用于评价</w:t>
      </w:r>
      <w:r>
        <w:rPr>
          <w:rFonts w:hint="eastAsia" w:ascii="仿宋_GB2312" w:hAnsi="仿宋_GB2312" w:eastAsia="仿宋_GB2312" w:cs="仿宋_GB2312"/>
          <w:sz w:val="32"/>
          <w:szCs w:val="22"/>
        </w:rPr>
        <w:t>2024年打造啤酒特色餐饮休闲街区奖励政策</w:t>
      </w:r>
      <w:r>
        <w:rPr>
          <w:rFonts w:hint="eastAsia" w:ascii="仿宋_GB2312" w:hAnsi="仿宋_GB2312" w:eastAsia="仿宋_GB2312" w:cs="仿宋_GB2312"/>
          <w:sz w:val="32"/>
          <w:szCs w:val="32"/>
        </w:rPr>
        <w:t>管理和保障机制。资金管理考察资金到位率、预算执行率、资金使用合规性；保障机制考察政策制度健全性、前期调研充分性、申报及认定程序合规性。</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32"/>
        </w:rPr>
        <w:t>（3）政策效果：占权重分60分，用于评价</w:t>
      </w:r>
      <w:r>
        <w:rPr>
          <w:rFonts w:hint="eastAsia" w:ascii="仿宋_GB2312" w:hAnsi="仿宋_GB2312" w:eastAsia="仿宋_GB2312" w:cs="仿宋_GB2312"/>
          <w:sz w:val="32"/>
          <w:szCs w:val="22"/>
        </w:rPr>
        <w:t>2024年打造啤酒特色餐饮休闲街区奖励政策</w:t>
      </w:r>
      <w:r>
        <w:rPr>
          <w:rFonts w:hint="eastAsia" w:ascii="仿宋_GB2312" w:hAnsi="仿宋_GB2312" w:eastAsia="仿宋_GB2312" w:cs="仿宋_GB2312"/>
          <w:sz w:val="32"/>
          <w:szCs w:val="32"/>
        </w:rPr>
        <w:t>的产出和效益。其中，产出指标包括产出数量、产出质量、产出时效、产出成本，分别对应考察政策措施落实率、奖励企业相符性、奖励资金可控性；效益指标包括经济效益和社会效益，分别对应街区商户总营业额增长率、限上零售、餐饮企业数量、客流拉动效应和就业贡献；可持续影响考察街区品牌影响力、零售、餐饮企业持续入驻、长效机制建设；满意度考察街区运营商以及商户的满意度。</w:t>
      </w:r>
    </w:p>
    <w:p>
      <w:pPr>
        <w:spacing w:line="600" w:lineRule="exact"/>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4.评价标准</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32"/>
        </w:rPr>
        <w:t>本次评价采用评分和评级相结合的方式，总分设置为100分，分值和对应等级划分为四档：90（含）—100分为“优”，80（含）—90分为“良”，60（含）—80分为“中”，60分以下为“差”。</w:t>
      </w:r>
    </w:p>
    <w:p>
      <w:pPr>
        <w:spacing w:line="600" w:lineRule="exact"/>
        <w:ind w:firstLine="640" w:firstLineChars="200"/>
        <w:outlineLvl w:val="1"/>
        <w:rPr>
          <w:rFonts w:ascii="楷体_GB2312" w:hAnsi="楷体_GB2312" w:eastAsia="楷体_GB2312" w:cs="楷体_GB2312"/>
          <w:sz w:val="32"/>
          <w:szCs w:val="40"/>
        </w:rPr>
      </w:pPr>
      <w:bookmarkStart w:id="19" w:name="_Toc3860"/>
      <w:bookmarkStart w:id="20" w:name="_Toc20982"/>
      <w:r>
        <w:rPr>
          <w:rFonts w:hint="eastAsia" w:ascii="楷体_GB2312" w:hAnsi="楷体_GB2312" w:eastAsia="楷体_GB2312" w:cs="楷体_GB2312"/>
          <w:sz w:val="32"/>
          <w:szCs w:val="40"/>
        </w:rPr>
        <w:t>（三）评价组织实施与评价方法</w:t>
      </w:r>
      <w:bookmarkEnd w:id="19"/>
      <w:bookmarkEnd w:id="20"/>
    </w:p>
    <w:p>
      <w:pPr>
        <w:spacing w:line="600" w:lineRule="exact"/>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1.评价组织实施</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本次评价主要分为前期准备、组织实施、绩效评价报告撰写与提交、档案归集四个阶段。</w:t>
      </w:r>
    </w:p>
    <w:p>
      <w:pPr>
        <w:spacing w:line="600" w:lineRule="exact"/>
        <w:ind w:firstLine="640" w:firstLineChars="200"/>
        <w:rPr>
          <w:rFonts w:ascii="仿宋_GB2312" w:hAnsi="仿宋_GB2312" w:eastAsia="仿宋_GB2312" w:cs="仿宋_GB2312"/>
          <w:sz w:val="32"/>
          <w:szCs w:val="40"/>
        </w:rPr>
      </w:pPr>
      <w:bookmarkStart w:id="21" w:name="_Toc7040"/>
      <w:bookmarkStart w:id="22" w:name="_Toc22642"/>
      <w:r>
        <w:rPr>
          <w:rFonts w:hint="eastAsia" w:ascii="仿宋_GB2312" w:hAnsi="仿宋_GB2312" w:eastAsia="仿宋_GB2312" w:cs="仿宋_GB2312"/>
          <w:sz w:val="32"/>
          <w:szCs w:val="40"/>
          <w:lang w:val="zh-CN"/>
        </w:rPr>
        <w:t>（1）</w:t>
      </w:r>
      <w:r>
        <w:rPr>
          <w:rFonts w:hint="eastAsia" w:ascii="仿宋_GB2312" w:hAnsi="仿宋_GB2312" w:eastAsia="仿宋_GB2312" w:cs="仿宋_GB2312"/>
          <w:sz w:val="32"/>
          <w:szCs w:val="40"/>
        </w:rPr>
        <w:t>前期准备</w:t>
      </w:r>
      <w:bookmarkEnd w:id="21"/>
      <w:bookmarkEnd w:id="22"/>
      <w:r>
        <w:rPr>
          <w:rFonts w:hint="eastAsia" w:ascii="仿宋_GB2312" w:hAnsi="仿宋_GB2312" w:eastAsia="仿宋_GB2312" w:cs="仿宋_GB2312"/>
          <w:sz w:val="32"/>
          <w:szCs w:val="40"/>
        </w:rPr>
        <w:t>阶段</w:t>
      </w:r>
    </w:p>
    <w:p>
      <w:pPr>
        <w:spacing w:line="600" w:lineRule="exact"/>
        <w:ind w:firstLine="640" w:firstLineChars="200"/>
        <w:rPr>
          <w:rFonts w:ascii="仿宋_GB2312" w:hAnsi="仿宋_GB2312" w:eastAsia="仿宋_GB2312" w:cs="仿宋_GB2312"/>
          <w:sz w:val="32"/>
          <w:szCs w:val="40"/>
          <w:lang w:val="zh-CN"/>
        </w:rPr>
      </w:pPr>
      <w:r>
        <w:rPr>
          <w:rFonts w:hint="eastAsia" w:ascii="仿宋_GB2312" w:hAnsi="仿宋_GB2312" w:eastAsia="仿宋_GB2312" w:cs="仿宋_GB2312"/>
          <w:sz w:val="32"/>
          <w:szCs w:val="40"/>
        </w:rPr>
        <w:t>第一时间成立评价工作组，并与市财政局、市商务局进行对接，了解项目情况，制定评价实施方案初稿（含调查问卷、指标体系、资料清单等），征求市财政局</w:t>
      </w:r>
      <w:r>
        <w:rPr>
          <w:rFonts w:hint="eastAsia" w:ascii="仿宋_GB2312" w:hAnsi="仿宋_GB2312" w:eastAsia="仿宋_GB2312" w:cs="仿宋_GB2312"/>
          <w:snapToGrid w:val="0"/>
          <w:kern w:val="0"/>
          <w:sz w:val="32"/>
          <w:szCs w:val="32"/>
        </w:rPr>
        <w:t>及有关专家</w:t>
      </w:r>
      <w:r>
        <w:rPr>
          <w:rFonts w:hint="eastAsia" w:ascii="仿宋_GB2312" w:hAnsi="仿宋_GB2312" w:eastAsia="仿宋_GB2312" w:cs="仿宋_GB2312"/>
          <w:sz w:val="32"/>
          <w:szCs w:val="40"/>
        </w:rPr>
        <w:t>的意见建议，修改完善后形成最终方案。</w:t>
      </w:r>
    </w:p>
    <w:p>
      <w:pPr>
        <w:spacing w:line="600" w:lineRule="exact"/>
        <w:ind w:firstLine="640" w:firstLineChars="200"/>
        <w:rPr>
          <w:rFonts w:ascii="仿宋_GB2312" w:hAnsi="仿宋_GB2312" w:eastAsia="仿宋_GB2312" w:cs="仿宋_GB2312"/>
          <w:sz w:val="32"/>
          <w:szCs w:val="40"/>
        </w:rPr>
      </w:pPr>
      <w:bookmarkStart w:id="23" w:name="_Toc30628"/>
      <w:bookmarkStart w:id="24" w:name="_Toc3161"/>
      <w:r>
        <w:rPr>
          <w:rFonts w:hint="eastAsia" w:ascii="仿宋_GB2312" w:hAnsi="仿宋_GB2312" w:eastAsia="仿宋_GB2312" w:cs="仿宋_GB2312"/>
          <w:sz w:val="32"/>
          <w:szCs w:val="40"/>
          <w:lang w:val="zh-CN"/>
        </w:rPr>
        <w:t>（2）</w:t>
      </w:r>
      <w:r>
        <w:rPr>
          <w:rFonts w:hint="eastAsia" w:ascii="仿宋_GB2312" w:hAnsi="仿宋_GB2312" w:eastAsia="仿宋_GB2312" w:cs="仿宋_GB2312"/>
          <w:sz w:val="32"/>
          <w:szCs w:val="40"/>
        </w:rPr>
        <w:t>组织实施</w:t>
      </w:r>
      <w:bookmarkEnd w:id="23"/>
      <w:bookmarkEnd w:id="24"/>
      <w:r>
        <w:rPr>
          <w:rFonts w:hint="eastAsia" w:ascii="仿宋_GB2312" w:hAnsi="仿宋_GB2312" w:eastAsia="仿宋_GB2312" w:cs="仿宋_GB2312"/>
          <w:sz w:val="32"/>
          <w:szCs w:val="40"/>
        </w:rPr>
        <w:t>阶段</w:t>
      </w:r>
    </w:p>
    <w:p>
      <w:pPr>
        <w:spacing w:line="600" w:lineRule="exact"/>
        <w:ind w:firstLine="640" w:firstLineChars="200"/>
        <w:rPr>
          <w:rFonts w:ascii="仿宋_GB2312" w:hAnsi="仿宋_GB2312" w:eastAsia="仿宋_GB2312" w:cs="仿宋_GB2312"/>
          <w:sz w:val="32"/>
          <w:szCs w:val="40"/>
          <w:lang w:val="zh-CN"/>
        </w:rPr>
      </w:pPr>
      <w:bookmarkStart w:id="25" w:name="_Toc28794"/>
      <w:bookmarkStart w:id="26" w:name="_Toc21654"/>
      <w:r>
        <w:rPr>
          <w:rFonts w:hint="eastAsia" w:ascii="仿宋_GB2312" w:hAnsi="仿宋_GB2312" w:eastAsia="仿宋_GB2312" w:cs="仿宋_GB2312"/>
          <w:sz w:val="32"/>
          <w:szCs w:val="40"/>
          <w:lang w:val="zh-CN"/>
        </w:rPr>
        <w:t>向</w:t>
      </w:r>
      <w:r>
        <w:rPr>
          <w:rFonts w:hint="eastAsia" w:ascii="仿宋_GB2312" w:hAnsi="仿宋_GB2312" w:eastAsia="仿宋_GB2312" w:cs="仿宋_GB2312"/>
          <w:sz w:val="32"/>
          <w:szCs w:val="40"/>
        </w:rPr>
        <w:t>市商务局</w:t>
      </w:r>
      <w:r>
        <w:rPr>
          <w:rFonts w:hint="eastAsia" w:ascii="仿宋_GB2312" w:hAnsi="仿宋_GB2312" w:eastAsia="仿宋_GB2312" w:cs="仿宋_GB2312"/>
          <w:sz w:val="32"/>
          <w:szCs w:val="40"/>
          <w:lang w:val="zh-CN"/>
        </w:rPr>
        <w:t>和</w:t>
      </w:r>
      <w:r>
        <w:rPr>
          <w:rFonts w:hint="eastAsia" w:ascii="仿宋_GB2312" w:hAnsi="仿宋_GB2312" w:eastAsia="仿宋_GB2312" w:cs="仿宋_GB2312"/>
          <w:sz w:val="32"/>
          <w:szCs w:val="40"/>
        </w:rPr>
        <w:t>街区运营单位</w:t>
      </w:r>
      <w:r>
        <w:rPr>
          <w:rFonts w:hint="eastAsia" w:ascii="仿宋_GB2312" w:hAnsi="仿宋_GB2312" w:eastAsia="仿宋_GB2312" w:cs="仿宋_GB2312"/>
          <w:sz w:val="32"/>
          <w:szCs w:val="40"/>
          <w:lang w:val="zh-CN"/>
        </w:rPr>
        <w:t>下达绩效评价通知，收集并审核</w:t>
      </w:r>
      <w:r>
        <w:rPr>
          <w:rFonts w:hint="eastAsia" w:ascii="仿宋_GB2312" w:hAnsi="仿宋_GB2312" w:eastAsia="仿宋_GB2312" w:cs="仿宋_GB2312"/>
          <w:sz w:val="32"/>
          <w:szCs w:val="40"/>
        </w:rPr>
        <w:t>政策</w:t>
      </w:r>
      <w:r>
        <w:rPr>
          <w:rFonts w:hint="eastAsia" w:ascii="仿宋_GB2312" w:hAnsi="仿宋_GB2312" w:eastAsia="仿宋_GB2312" w:cs="仿宋_GB2312"/>
          <w:sz w:val="32"/>
          <w:szCs w:val="40"/>
          <w:lang w:val="zh-CN"/>
        </w:rPr>
        <w:t>申报、</w:t>
      </w:r>
      <w:r>
        <w:rPr>
          <w:rFonts w:hint="eastAsia" w:ascii="仿宋_GB2312" w:hAnsi="仿宋_GB2312" w:eastAsia="仿宋_GB2312" w:cs="仿宋_GB2312"/>
          <w:sz w:val="32"/>
          <w:szCs w:val="40"/>
        </w:rPr>
        <w:t>认定等过程性资料以及街区改造提升</w:t>
      </w:r>
      <w:r>
        <w:rPr>
          <w:rFonts w:hint="eastAsia" w:ascii="仿宋_GB2312" w:hAnsi="仿宋_GB2312" w:eastAsia="仿宋_GB2312" w:cs="仿宋_GB2312"/>
          <w:sz w:val="32"/>
          <w:szCs w:val="40"/>
          <w:lang w:val="zh-CN"/>
        </w:rPr>
        <w:t>等</w:t>
      </w:r>
      <w:r>
        <w:rPr>
          <w:rFonts w:hint="eastAsia" w:ascii="仿宋_GB2312" w:hAnsi="仿宋_GB2312" w:eastAsia="仿宋_GB2312" w:cs="仿宋_GB2312"/>
          <w:sz w:val="32"/>
          <w:szCs w:val="40"/>
        </w:rPr>
        <w:t>相关</w:t>
      </w:r>
      <w:r>
        <w:rPr>
          <w:rFonts w:hint="eastAsia" w:ascii="仿宋_GB2312" w:hAnsi="仿宋_GB2312" w:eastAsia="仿宋_GB2312" w:cs="仿宋_GB2312"/>
          <w:sz w:val="32"/>
          <w:szCs w:val="40"/>
          <w:lang w:val="zh-CN"/>
        </w:rPr>
        <w:t>资料，填报</w:t>
      </w:r>
      <w:r>
        <w:rPr>
          <w:rFonts w:hint="eastAsia" w:ascii="仿宋_GB2312" w:hAnsi="仿宋_GB2312" w:eastAsia="仿宋_GB2312" w:cs="仿宋_GB2312"/>
          <w:sz w:val="32"/>
          <w:szCs w:val="40"/>
        </w:rPr>
        <w:t>基础数据收集</w:t>
      </w:r>
      <w:r>
        <w:rPr>
          <w:rFonts w:hint="eastAsia" w:ascii="仿宋_GB2312" w:hAnsi="仿宋_GB2312" w:eastAsia="仿宋_GB2312" w:cs="仿宋_GB2312"/>
          <w:sz w:val="32"/>
          <w:szCs w:val="40"/>
          <w:lang w:val="zh-CN"/>
        </w:rPr>
        <w:t>表，开展</w:t>
      </w:r>
      <w:r>
        <w:rPr>
          <w:rFonts w:hint="eastAsia" w:ascii="仿宋_GB2312" w:hAnsi="仿宋_GB2312" w:eastAsia="仿宋_GB2312" w:cs="仿宋_GB2312"/>
          <w:sz w:val="32"/>
          <w:szCs w:val="40"/>
        </w:rPr>
        <w:t>现场评价以及</w:t>
      </w:r>
      <w:r>
        <w:rPr>
          <w:rFonts w:hint="eastAsia" w:ascii="仿宋_GB2312" w:hAnsi="仿宋_GB2312" w:eastAsia="仿宋_GB2312" w:cs="仿宋_GB2312"/>
          <w:sz w:val="32"/>
          <w:szCs w:val="40"/>
          <w:lang w:val="zh-CN"/>
        </w:rPr>
        <w:t>问卷调查，形成访谈记录、调查数据和工作底稿等。汇总分析评价调研的资料，形成绩效评价分析结果、评价结论、经验和建议。</w:t>
      </w:r>
    </w:p>
    <w:p>
      <w:pPr>
        <w:spacing w:line="600" w:lineRule="exact"/>
        <w:ind w:firstLine="640" w:firstLineChars="200"/>
        <w:rPr>
          <w:rFonts w:ascii="仿宋_GB2312" w:hAnsi="仿宋_GB2312" w:eastAsia="仿宋_GB2312" w:cs="仿宋_GB2312"/>
          <w:sz w:val="32"/>
          <w:szCs w:val="40"/>
          <w:lang w:val="zh-CN"/>
        </w:rPr>
      </w:pPr>
      <w:r>
        <w:rPr>
          <w:rFonts w:hint="eastAsia" w:ascii="仿宋_GB2312" w:hAnsi="仿宋_GB2312" w:eastAsia="仿宋_GB2312" w:cs="仿宋_GB2312"/>
          <w:sz w:val="32"/>
          <w:szCs w:val="40"/>
          <w:lang w:val="zh-CN"/>
        </w:rPr>
        <w:t>（3）撰写</w:t>
      </w:r>
      <w:r>
        <w:rPr>
          <w:rFonts w:hint="eastAsia" w:ascii="仿宋_GB2312" w:hAnsi="仿宋_GB2312" w:eastAsia="仿宋_GB2312" w:cs="仿宋_GB2312"/>
          <w:sz w:val="32"/>
          <w:szCs w:val="40"/>
        </w:rPr>
        <w:t>与提交评价</w:t>
      </w:r>
      <w:r>
        <w:rPr>
          <w:rFonts w:hint="eastAsia" w:ascii="仿宋_GB2312" w:hAnsi="仿宋_GB2312" w:eastAsia="仿宋_GB2312" w:cs="仿宋_GB2312"/>
          <w:sz w:val="32"/>
          <w:szCs w:val="40"/>
          <w:lang w:val="zh-CN"/>
        </w:rPr>
        <w:t>报告</w:t>
      </w:r>
      <w:bookmarkEnd w:id="25"/>
      <w:bookmarkEnd w:id="26"/>
      <w:r>
        <w:rPr>
          <w:rFonts w:hint="eastAsia" w:ascii="仿宋_GB2312" w:hAnsi="仿宋_GB2312" w:eastAsia="仿宋_GB2312" w:cs="仿宋_GB2312"/>
          <w:sz w:val="32"/>
          <w:szCs w:val="40"/>
        </w:rPr>
        <w:t>阶段</w:t>
      </w:r>
    </w:p>
    <w:p>
      <w:pPr>
        <w:spacing w:line="600" w:lineRule="exact"/>
        <w:ind w:firstLine="640" w:firstLineChars="200"/>
        <w:rPr>
          <w:rFonts w:ascii="仿宋_GB2312" w:hAnsi="仿宋_GB2312" w:eastAsia="仿宋_GB2312" w:cs="仿宋_GB2312"/>
          <w:sz w:val="32"/>
          <w:szCs w:val="40"/>
          <w:lang w:val="zh-CN"/>
        </w:rPr>
      </w:pPr>
      <w:r>
        <w:rPr>
          <w:rFonts w:hint="eastAsia" w:ascii="仿宋_GB2312" w:hAnsi="仿宋_GB2312" w:eastAsia="仿宋_GB2312" w:cs="仿宋_GB2312"/>
          <w:sz w:val="32"/>
          <w:szCs w:val="40"/>
          <w:lang w:val="zh-CN"/>
        </w:rPr>
        <w:t>撰写绩效评价报告初稿，向</w:t>
      </w:r>
      <w:r>
        <w:rPr>
          <w:rFonts w:hint="eastAsia" w:ascii="仿宋_GB2312" w:hAnsi="仿宋_GB2312" w:eastAsia="仿宋_GB2312" w:cs="仿宋_GB2312"/>
          <w:sz w:val="32"/>
          <w:szCs w:val="40"/>
        </w:rPr>
        <w:t>市财政局</w:t>
      </w:r>
      <w:r>
        <w:rPr>
          <w:rFonts w:hint="eastAsia" w:ascii="仿宋_GB2312" w:hAnsi="仿宋_GB2312" w:eastAsia="仿宋_GB2312" w:cs="仿宋_GB2312"/>
          <w:sz w:val="32"/>
          <w:szCs w:val="40"/>
          <w:lang w:val="zh-CN"/>
        </w:rPr>
        <w:t>、</w:t>
      </w:r>
      <w:r>
        <w:rPr>
          <w:rFonts w:hint="eastAsia" w:ascii="仿宋_GB2312" w:hAnsi="仿宋_GB2312" w:eastAsia="仿宋_GB2312" w:cs="仿宋_GB2312"/>
          <w:sz w:val="32"/>
          <w:szCs w:val="40"/>
        </w:rPr>
        <w:t>市</w:t>
      </w:r>
      <w:r>
        <w:rPr>
          <w:rFonts w:hint="eastAsia" w:ascii="仿宋_GB2312" w:hAnsi="仿宋_GB2312" w:eastAsia="仿宋_GB2312" w:cs="仿宋_GB2312"/>
          <w:sz w:val="32"/>
          <w:szCs w:val="40"/>
          <w:lang w:val="zh-CN"/>
        </w:rPr>
        <w:t>商务</w:t>
      </w:r>
      <w:r>
        <w:rPr>
          <w:rFonts w:hint="eastAsia" w:ascii="仿宋_GB2312" w:hAnsi="仿宋_GB2312" w:eastAsia="仿宋_GB2312" w:cs="仿宋_GB2312"/>
          <w:sz w:val="32"/>
          <w:szCs w:val="40"/>
        </w:rPr>
        <w:t>局</w:t>
      </w:r>
      <w:r>
        <w:rPr>
          <w:rFonts w:hint="eastAsia" w:ascii="仿宋_GB2312" w:hAnsi="仿宋_GB2312" w:eastAsia="仿宋_GB2312" w:cs="仿宋_GB2312"/>
          <w:sz w:val="32"/>
          <w:szCs w:val="40"/>
          <w:lang w:val="zh-CN"/>
        </w:rPr>
        <w:t>反馈评价情况并征求意见。召开绩效评价报告论证会，根据论证意见，对评价报告进行修改和完善，将报告终稿上报</w:t>
      </w:r>
      <w:r>
        <w:rPr>
          <w:rFonts w:hint="eastAsia" w:ascii="仿宋_GB2312" w:hAnsi="仿宋_GB2312" w:eastAsia="仿宋_GB2312" w:cs="仿宋_GB2312"/>
          <w:sz w:val="32"/>
          <w:szCs w:val="40"/>
        </w:rPr>
        <w:t>市财政局</w:t>
      </w:r>
      <w:r>
        <w:rPr>
          <w:rFonts w:hint="eastAsia" w:ascii="仿宋_GB2312" w:hAnsi="仿宋_GB2312" w:eastAsia="仿宋_GB2312" w:cs="仿宋_GB2312"/>
          <w:sz w:val="32"/>
          <w:szCs w:val="40"/>
          <w:lang w:val="zh-CN"/>
        </w:rPr>
        <w:t>。</w:t>
      </w:r>
    </w:p>
    <w:p>
      <w:pPr>
        <w:spacing w:line="600" w:lineRule="exact"/>
        <w:ind w:firstLine="640" w:firstLineChars="200"/>
        <w:rPr>
          <w:rFonts w:ascii="仿宋_GB2312" w:hAnsi="仿宋_GB2312" w:eastAsia="仿宋_GB2312" w:cs="仿宋_GB2312"/>
          <w:sz w:val="32"/>
          <w:szCs w:val="40"/>
          <w:lang w:val="zh-CN"/>
        </w:rPr>
      </w:pPr>
      <w:bookmarkStart w:id="27" w:name="_Toc14647"/>
      <w:bookmarkStart w:id="28" w:name="_Toc16295"/>
      <w:r>
        <w:rPr>
          <w:rFonts w:hint="eastAsia" w:ascii="仿宋_GB2312" w:hAnsi="仿宋_GB2312" w:eastAsia="仿宋_GB2312" w:cs="仿宋_GB2312"/>
          <w:sz w:val="32"/>
          <w:szCs w:val="40"/>
          <w:lang w:val="zh-CN"/>
        </w:rPr>
        <w:t>（</w:t>
      </w:r>
      <w:r>
        <w:rPr>
          <w:rFonts w:hint="eastAsia" w:ascii="仿宋_GB2312" w:hAnsi="仿宋_GB2312" w:eastAsia="仿宋_GB2312" w:cs="仿宋_GB2312"/>
          <w:sz w:val="32"/>
          <w:szCs w:val="40"/>
        </w:rPr>
        <w:t>4</w:t>
      </w:r>
      <w:r>
        <w:rPr>
          <w:rFonts w:hint="eastAsia" w:ascii="仿宋_GB2312" w:hAnsi="仿宋_GB2312" w:eastAsia="仿宋_GB2312" w:cs="仿宋_GB2312"/>
          <w:sz w:val="32"/>
          <w:szCs w:val="40"/>
          <w:lang w:val="zh-CN"/>
        </w:rPr>
        <w:t>）档案归集</w:t>
      </w:r>
      <w:bookmarkEnd w:id="27"/>
      <w:bookmarkEnd w:id="28"/>
      <w:r>
        <w:rPr>
          <w:rFonts w:hint="eastAsia" w:ascii="仿宋_GB2312" w:hAnsi="仿宋_GB2312" w:eastAsia="仿宋_GB2312" w:cs="仿宋_GB2312"/>
          <w:sz w:val="32"/>
          <w:szCs w:val="40"/>
        </w:rPr>
        <w:t>阶段</w:t>
      </w:r>
    </w:p>
    <w:p>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收集绩效评价各类文件资料及评价报告等，建立绩效评价纸质及电子档案，确保档案资料原始、安全和完整。全体评价人员严守工作、廉政和保密纪律，确保整体评价工作有序开展。</w:t>
      </w:r>
    </w:p>
    <w:p>
      <w:pPr>
        <w:spacing w:line="600" w:lineRule="exact"/>
        <w:ind w:firstLine="643" w:firstLineChars="200"/>
        <w:rPr>
          <w:rFonts w:ascii="仿宋_GB2312" w:hAnsi="仿宋_GB2312" w:eastAsia="仿宋_GB2312" w:cs="仿宋_GB2312"/>
          <w:b/>
          <w:bCs/>
          <w:sz w:val="32"/>
          <w:szCs w:val="40"/>
          <w:lang w:val="zh-CN"/>
        </w:rPr>
      </w:pPr>
      <w:r>
        <w:rPr>
          <w:rFonts w:hint="eastAsia" w:ascii="仿宋_GB2312" w:hAnsi="仿宋_GB2312" w:eastAsia="仿宋_GB2312" w:cs="仿宋_GB2312"/>
          <w:b/>
          <w:bCs/>
          <w:sz w:val="32"/>
          <w:szCs w:val="40"/>
          <w:lang w:val="zh-CN"/>
        </w:rPr>
        <w:t>2.评价方法</w:t>
      </w:r>
    </w:p>
    <w:p>
      <w:pPr>
        <w:spacing w:line="600" w:lineRule="exact"/>
        <w:ind w:firstLine="640" w:firstLineChars="200"/>
        <w:rPr>
          <w:rFonts w:ascii="仿宋_GB2312" w:hAnsi="仿宋_GB2312" w:eastAsia="仿宋_GB2312" w:cs="仿宋_GB2312"/>
          <w:sz w:val="32"/>
          <w:szCs w:val="40"/>
          <w:lang w:val="zh-CN"/>
        </w:rPr>
      </w:pPr>
      <w:r>
        <w:rPr>
          <w:rFonts w:ascii="仿宋_GB2312" w:hAnsi="仿宋_GB2312" w:eastAsia="仿宋_GB2312" w:cs="仿宋_GB2312"/>
          <w:sz w:val="32"/>
          <w:szCs w:val="40"/>
        </w:rPr>
        <w:t>根据</w:t>
      </w:r>
      <w:r>
        <w:rPr>
          <w:rFonts w:hint="eastAsia" w:ascii="仿宋_GB2312" w:hAnsi="仿宋_GB2312" w:eastAsia="仿宋_GB2312" w:cs="仿宋_GB2312"/>
          <w:sz w:val="32"/>
          <w:szCs w:val="22"/>
        </w:rPr>
        <w:t>2024年打造啤酒特色餐饮休闲街区奖励政策</w:t>
      </w:r>
      <w:r>
        <w:rPr>
          <w:rFonts w:ascii="仿宋_GB2312" w:hAnsi="仿宋_GB2312" w:eastAsia="仿宋_GB2312" w:cs="仿宋_GB2312"/>
          <w:sz w:val="32"/>
          <w:szCs w:val="40"/>
        </w:rPr>
        <w:t>特点，评价组采取比较法、因素分析法和公众评判法开展评价，具体</w:t>
      </w:r>
      <w:r>
        <w:rPr>
          <w:rFonts w:hint="eastAsia" w:ascii="仿宋_GB2312" w:hAnsi="仿宋_GB2312" w:eastAsia="仿宋_GB2312" w:cs="仿宋_GB2312"/>
          <w:sz w:val="32"/>
          <w:szCs w:val="40"/>
        </w:rPr>
        <w:t>通过</w:t>
      </w:r>
      <w:r>
        <w:rPr>
          <w:rFonts w:ascii="仿宋_GB2312" w:hAnsi="仿宋_GB2312" w:eastAsia="仿宋_GB2312" w:cs="仿宋_GB2312"/>
          <w:sz w:val="32"/>
          <w:szCs w:val="40"/>
        </w:rPr>
        <w:t>资料核查，</w:t>
      </w:r>
      <w:r>
        <w:rPr>
          <w:rFonts w:hint="eastAsia" w:ascii="仿宋_GB2312" w:hAnsi="仿宋_GB2312" w:eastAsia="仿宋_GB2312" w:cs="仿宋_GB2312"/>
          <w:sz w:val="32"/>
          <w:szCs w:val="40"/>
        </w:rPr>
        <w:t>实地</w:t>
      </w:r>
      <w:r>
        <w:rPr>
          <w:rFonts w:ascii="仿宋_GB2312" w:hAnsi="仿宋_GB2312" w:eastAsia="仿宋_GB2312" w:cs="仿宋_GB2312"/>
          <w:sz w:val="32"/>
          <w:szCs w:val="40"/>
        </w:rPr>
        <w:t>勘查，多层次访谈、座谈，专家评议和受益群体满意度调查等方式，结合绩效评价指标体系开展评价。</w:t>
      </w:r>
    </w:p>
    <w:p>
      <w:pPr>
        <w:spacing w:line="600" w:lineRule="exact"/>
        <w:ind w:firstLine="640" w:firstLineChars="200"/>
        <w:rPr>
          <w:rFonts w:ascii="仿宋_GB2312" w:hAnsi="仿宋_GB2312" w:eastAsia="仿宋_GB2312" w:cs="仿宋_GB2312"/>
          <w:sz w:val="32"/>
          <w:szCs w:val="40"/>
          <w:lang w:val="zh-CN"/>
        </w:rPr>
      </w:pPr>
      <w:r>
        <w:rPr>
          <w:rFonts w:ascii="仿宋_GB2312" w:hAnsi="仿宋_GB2312" w:eastAsia="仿宋_GB2312" w:cs="仿宋_GB2312"/>
          <w:sz w:val="32"/>
          <w:szCs w:val="40"/>
        </w:rPr>
        <w:t>（1）比较法：通过对</w:t>
      </w:r>
      <w:r>
        <w:rPr>
          <w:rFonts w:hint="eastAsia" w:ascii="仿宋_GB2312" w:hAnsi="仿宋_GB2312" w:eastAsia="仿宋_GB2312" w:cs="仿宋_GB2312"/>
          <w:sz w:val="32"/>
          <w:szCs w:val="40"/>
        </w:rPr>
        <w:t>政策</w:t>
      </w:r>
      <w:r>
        <w:rPr>
          <w:rFonts w:ascii="仿宋_GB2312" w:hAnsi="仿宋_GB2312" w:eastAsia="仿宋_GB2312" w:cs="仿宋_GB2312"/>
          <w:sz w:val="32"/>
          <w:szCs w:val="40"/>
        </w:rPr>
        <w:t>目标和</w:t>
      </w:r>
      <w:r>
        <w:rPr>
          <w:rFonts w:hint="eastAsia" w:ascii="仿宋_GB2312" w:hAnsi="仿宋_GB2312" w:eastAsia="仿宋_GB2312" w:cs="仿宋_GB2312"/>
          <w:sz w:val="32"/>
          <w:szCs w:val="40"/>
        </w:rPr>
        <w:t>实现程度、奖励政策和</w:t>
      </w:r>
      <w:r>
        <w:rPr>
          <w:rFonts w:ascii="仿宋_GB2312" w:hAnsi="仿宋_GB2312" w:eastAsia="仿宋_GB2312" w:cs="仿宋_GB2312"/>
          <w:sz w:val="32"/>
          <w:szCs w:val="40"/>
        </w:rPr>
        <w:t>其他</w:t>
      </w:r>
      <w:r>
        <w:rPr>
          <w:rFonts w:hint="eastAsia" w:ascii="仿宋_GB2312" w:hAnsi="仿宋_GB2312" w:eastAsia="仿宋_GB2312" w:cs="仿宋_GB2312"/>
          <w:sz w:val="32"/>
          <w:szCs w:val="40"/>
        </w:rPr>
        <w:t>地市同类政策进行比较</w:t>
      </w:r>
      <w:r>
        <w:rPr>
          <w:rFonts w:ascii="仿宋_GB2312" w:hAnsi="仿宋_GB2312" w:eastAsia="仿宋_GB2312" w:cs="仿宋_GB2312"/>
          <w:sz w:val="32"/>
          <w:szCs w:val="40"/>
        </w:rPr>
        <w:t>，综合分析</w:t>
      </w:r>
      <w:r>
        <w:rPr>
          <w:rFonts w:hint="eastAsia" w:ascii="仿宋_GB2312" w:hAnsi="仿宋_GB2312" w:eastAsia="仿宋_GB2312" w:cs="仿宋_GB2312"/>
          <w:sz w:val="32"/>
          <w:szCs w:val="40"/>
        </w:rPr>
        <w:t>奖励政策的实施</w:t>
      </w:r>
      <w:r>
        <w:rPr>
          <w:rFonts w:ascii="仿宋_GB2312" w:hAnsi="仿宋_GB2312" w:eastAsia="仿宋_GB2312" w:cs="仿宋_GB2312"/>
          <w:sz w:val="32"/>
          <w:szCs w:val="40"/>
        </w:rPr>
        <w:t>效果。</w:t>
      </w:r>
    </w:p>
    <w:p>
      <w:pPr>
        <w:spacing w:line="600" w:lineRule="exact"/>
        <w:ind w:firstLine="640" w:firstLineChars="200"/>
        <w:rPr>
          <w:rFonts w:ascii="仿宋_GB2312" w:hAnsi="仿宋_GB2312" w:eastAsia="仿宋_GB2312" w:cs="仿宋_GB2312"/>
          <w:sz w:val="32"/>
          <w:szCs w:val="40"/>
          <w:lang w:val="zh-CN"/>
        </w:rPr>
      </w:pPr>
      <w:r>
        <w:rPr>
          <w:rFonts w:ascii="仿宋_GB2312" w:hAnsi="仿宋_GB2312" w:eastAsia="仿宋_GB2312" w:cs="仿宋_GB2312"/>
          <w:sz w:val="32"/>
          <w:szCs w:val="40"/>
        </w:rPr>
        <w:t>（2）因素分析法：通过综合分析影响绩效目标实现、实施效果的内外因素，评价绩效目标实现程度。主要分别就</w:t>
      </w:r>
      <w:r>
        <w:rPr>
          <w:rFonts w:hint="eastAsia" w:ascii="仿宋_GB2312" w:hAnsi="仿宋_GB2312" w:eastAsia="仿宋_GB2312" w:cs="仿宋_GB2312"/>
          <w:sz w:val="32"/>
          <w:szCs w:val="40"/>
        </w:rPr>
        <w:t>政策制定</w:t>
      </w:r>
      <w:r>
        <w:rPr>
          <w:rFonts w:ascii="仿宋_GB2312" w:hAnsi="仿宋_GB2312" w:eastAsia="仿宋_GB2312" w:cs="仿宋_GB2312"/>
          <w:sz w:val="32"/>
          <w:szCs w:val="40"/>
        </w:rPr>
        <w:t>依据</w:t>
      </w:r>
      <w:r>
        <w:rPr>
          <w:rFonts w:hint="eastAsia" w:ascii="仿宋_GB2312" w:hAnsi="仿宋_GB2312" w:eastAsia="仿宋_GB2312" w:cs="仿宋_GB2312"/>
          <w:sz w:val="32"/>
          <w:szCs w:val="40"/>
        </w:rPr>
        <w:t>、政策</w:t>
      </w:r>
      <w:r>
        <w:rPr>
          <w:rFonts w:ascii="仿宋_GB2312" w:hAnsi="仿宋_GB2312" w:eastAsia="仿宋_GB2312" w:cs="仿宋_GB2312"/>
          <w:sz w:val="32"/>
          <w:szCs w:val="40"/>
        </w:rPr>
        <w:t>目标设定</w:t>
      </w:r>
      <w:r>
        <w:rPr>
          <w:rFonts w:hint="eastAsia" w:ascii="仿宋_GB2312" w:hAnsi="仿宋_GB2312" w:eastAsia="仿宋_GB2312" w:cs="仿宋_GB2312"/>
          <w:sz w:val="32"/>
          <w:szCs w:val="40"/>
        </w:rPr>
        <w:t>、申报组织流程、奖励</w:t>
      </w:r>
      <w:r>
        <w:rPr>
          <w:rFonts w:ascii="仿宋_GB2312" w:hAnsi="仿宋_GB2312" w:eastAsia="仿宋_GB2312" w:cs="仿宋_GB2312"/>
          <w:sz w:val="32"/>
          <w:szCs w:val="40"/>
        </w:rPr>
        <w:t>资金</w:t>
      </w:r>
      <w:r>
        <w:rPr>
          <w:rFonts w:hint="eastAsia" w:ascii="仿宋_GB2312" w:hAnsi="仿宋_GB2312" w:eastAsia="仿宋_GB2312" w:cs="仿宋_GB2312"/>
          <w:sz w:val="32"/>
          <w:szCs w:val="40"/>
        </w:rPr>
        <w:t>拨付</w:t>
      </w:r>
      <w:r>
        <w:rPr>
          <w:rFonts w:ascii="仿宋_GB2312" w:hAnsi="仿宋_GB2312" w:eastAsia="仿宋_GB2312" w:cs="仿宋_GB2312"/>
          <w:sz w:val="32"/>
          <w:szCs w:val="40"/>
        </w:rPr>
        <w:t>使用</w:t>
      </w:r>
      <w:r>
        <w:rPr>
          <w:rFonts w:hint="eastAsia" w:ascii="仿宋_GB2312" w:hAnsi="仿宋_GB2312" w:eastAsia="仿宋_GB2312" w:cs="仿宋_GB2312"/>
          <w:sz w:val="32"/>
          <w:szCs w:val="40"/>
        </w:rPr>
        <w:t>、政策实施效果</w:t>
      </w:r>
      <w:r>
        <w:rPr>
          <w:rFonts w:ascii="仿宋_GB2312" w:hAnsi="仿宋_GB2312" w:eastAsia="仿宋_GB2312" w:cs="仿宋_GB2312"/>
          <w:sz w:val="32"/>
          <w:szCs w:val="40"/>
        </w:rPr>
        <w:t>等因素进行分析评价。</w:t>
      </w:r>
    </w:p>
    <w:p>
      <w:pPr>
        <w:spacing w:line="600" w:lineRule="exact"/>
        <w:ind w:firstLine="640" w:firstLineChars="200"/>
        <w:rPr>
          <w:rFonts w:ascii="仿宋_GB2312" w:hAnsi="仿宋_GB2312" w:eastAsia="仿宋_GB2312" w:cs="仿宋_GB2312"/>
          <w:sz w:val="32"/>
          <w:szCs w:val="40"/>
          <w:lang w:val="zh-CN"/>
        </w:rPr>
      </w:pPr>
      <w:r>
        <w:rPr>
          <w:rFonts w:ascii="仿宋_GB2312" w:hAnsi="仿宋_GB2312" w:eastAsia="仿宋_GB2312" w:cs="仿宋_GB2312"/>
          <w:sz w:val="32"/>
          <w:szCs w:val="40"/>
        </w:rPr>
        <w:t>（3）公众评判法：一是</w:t>
      </w:r>
      <w:r>
        <w:rPr>
          <w:rFonts w:hint="eastAsia" w:ascii="仿宋_GB2312" w:hAnsi="仿宋_GB2312" w:eastAsia="仿宋_GB2312" w:cs="仿宋_GB2312"/>
          <w:sz w:val="32"/>
          <w:szCs w:val="40"/>
        </w:rPr>
        <w:t>座谈访谈。组织行业</w:t>
      </w:r>
      <w:r>
        <w:rPr>
          <w:rFonts w:ascii="仿宋_GB2312" w:hAnsi="仿宋_GB2312" w:eastAsia="仿宋_GB2312" w:cs="仿宋_GB2312"/>
          <w:sz w:val="32"/>
          <w:szCs w:val="40"/>
        </w:rPr>
        <w:t>专家和评价人员</w:t>
      </w:r>
      <w:r>
        <w:rPr>
          <w:rFonts w:hint="eastAsia" w:ascii="仿宋_GB2312" w:hAnsi="仿宋_GB2312" w:eastAsia="仿宋_GB2312" w:cs="仿宋_GB2312"/>
          <w:sz w:val="32"/>
          <w:szCs w:val="40"/>
        </w:rPr>
        <w:t>在资料审核的基础上，</w:t>
      </w:r>
      <w:r>
        <w:rPr>
          <w:rFonts w:ascii="仿宋_GB2312" w:hAnsi="仿宋_GB2312" w:eastAsia="仿宋_GB2312" w:cs="仿宋_GB2312"/>
          <w:sz w:val="32"/>
          <w:szCs w:val="40"/>
        </w:rPr>
        <w:t>通过座谈</w:t>
      </w:r>
      <w:r>
        <w:rPr>
          <w:rFonts w:hint="eastAsia" w:ascii="仿宋_GB2312" w:hAnsi="仿宋_GB2312" w:eastAsia="仿宋_GB2312" w:cs="仿宋_GB2312"/>
          <w:sz w:val="32"/>
          <w:szCs w:val="40"/>
        </w:rPr>
        <w:t>沟通、多层次访谈等方式</w:t>
      </w:r>
      <w:r>
        <w:rPr>
          <w:rFonts w:ascii="仿宋_GB2312" w:hAnsi="仿宋_GB2312" w:eastAsia="仿宋_GB2312" w:cs="仿宋_GB2312"/>
          <w:sz w:val="32"/>
          <w:szCs w:val="40"/>
        </w:rPr>
        <w:t>，充分了解</w:t>
      </w:r>
      <w:r>
        <w:rPr>
          <w:rFonts w:hint="eastAsia" w:ascii="仿宋_GB2312" w:hAnsi="仿宋_GB2312" w:eastAsia="仿宋_GB2312" w:cs="仿宋_GB2312"/>
          <w:sz w:val="32"/>
          <w:szCs w:val="40"/>
        </w:rPr>
        <w:t>政策实施</w:t>
      </w:r>
      <w:r>
        <w:rPr>
          <w:rFonts w:ascii="仿宋_GB2312" w:hAnsi="仿宋_GB2312" w:eastAsia="仿宋_GB2312" w:cs="仿宋_GB2312"/>
          <w:sz w:val="32"/>
          <w:szCs w:val="40"/>
        </w:rPr>
        <w:t>情况，结合评价指标</w:t>
      </w:r>
      <w:r>
        <w:rPr>
          <w:rFonts w:hint="eastAsia" w:ascii="仿宋_GB2312" w:hAnsi="仿宋_GB2312" w:eastAsia="仿宋_GB2312" w:cs="仿宋_GB2312"/>
          <w:sz w:val="32"/>
          <w:szCs w:val="40"/>
        </w:rPr>
        <w:t>体系</w:t>
      </w:r>
      <w:r>
        <w:rPr>
          <w:rFonts w:ascii="仿宋_GB2312" w:hAnsi="仿宋_GB2312" w:eastAsia="仿宋_GB2312" w:cs="仿宋_GB2312"/>
          <w:sz w:val="32"/>
          <w:szCs w:val="40"/>
        </w:rPr>
        <w:t>作出专业判断。二是满意度调查</w:t>
      </w:r>
      <w:r>
        <w:rPr>
          <w:rFonts w:hint="eastAsia" w:ascii="仿宋_GB2312" w:hAnsi="仿宋_GB2312" w:eastAsia="仿宋_GB2312" w:cs="仿宋_GB2312"/>
          <w:sz w:val="32"/>
          <w:szCs w:val="40"/>
        </w:rPr>
        <w:t>。向政策申报街区运营方及商户</w:t>
      </w:r>
      <w:r>
        <w:rPr>
          <w:rFonts w:ascii="仿宋_GB2312" w:hAnsi="仿宋_GB2312" w:eastAsia="仿宋_GB2312" w:cs="仿宋_GB2312"/>
          <w:sz w:val="32"/>
          <w:szCs w:val="40"/>
        </w:rPr>
        <w:t>发放</w:t>
      </w:r>
      <w:r>
        <w:rPr>
          <w:rFonts w:hint="eastAsia" w:ascii="仿宋_GB2312" w:hAnsi="仿宋_GB2312" w:eastAsia="仿宋_GB2312" w:cs="仿宋_GB2312"/>
          <w:sz w:val="32"/>
          <w:szCs w:val="40"/>
        </w:rPr>
        <w:t>满意度</w:t>
      </w:r>
      <w:r>
        <w:rPr>
          <w:rFonts w:ascii="仿宋_GB2312" w:hAnsi="仿宋_GB2312" w:eastAsia="仿宋_GB2312" w:cs="仿宋_GB2312"/>
          <w:sz w:val="32"/>
          <w:szCs w:val="40"/>
        </w:rPr>
        <w:t>调查问卷，</w:t>
      </w:r>
      <w:r>
        <w:rPr>
          <w:rFonts w:hint="eastAsia" w:ascii="仿宋_GB2312" w:hAnsi="仿宋_GB2312" w:eastAsia="仿宋_GB2312" w:cs="仿宋_GB2312"/>
          <w:sz w:val="32"/>
          <w:szCs w:val="40"/>
        </w:rPr>
        <w:t>了解有关需求，</w:t>
      </w:r>
      <w:r>
        <w:rPr>
          <w:rFonts w:ascii="仿宋_GB2312" w:hAnsi="仿宋_GB2312" w:eastAsia="仿宋_GB2312" w:cs="仿宋_GB2312"/>
          <w:sz w:val="32"/>
          <w:szCs w:val="40"/>
        </w:rPr>
        <w:t>汇总分析意见进行评价判断。</w:t>
      </w:r>
    </w:p>
    <w:p>
      <w:pPr>
        <w:keepNext/>
        <w:spacing w:line="600" w:lineRule="exact"/>
        <w:ind w:firstLine="640" w:firstLineChars="200"/>
        <w:outlineLvl w:val="0"/>
        <w:rPr>
          <w:rFonts w:ascii="黑体" w:hAnsi="黑体" w:eastAsia="黑体" w:cs="黑体"/>
          <w:sz w:val="32"/>
          <w:szCs w:val="40"/>
        </w:rPr>
      </w:pPr>
      <w:bookmarkStart w:id="29" w:name="_Toc26384"/>
      <w:bookmarkStart w:id="30" w:name="_Toc16833"/>
      <w:r>
        <w:rPr>
          <w:rFonts w:hint="eastAsia" w:ascii="黑体" w:hAnsi="黑体" w:eastAsia="黑体" w:cs="黑体"/>
          <w:sz w:val="32"/>
          <w:szCs w:val="40"/>
        </w:rPr>
        <w:t>三、评价结论及分析</w:t>
      </w:r>
      <w:bookmarkEnd w:id="29"/>
      <w:bookmarkEnd w:id="30"/>
    </w:p>
    <w:p>
      <w:pPr>
        <w:keepNext/>
        <w:spacing w:line="600" w:lineRule="exact"/>
        <w:ind w:firstLine="640" w:firstLineChars="200"/>
        <w:outlineLvl w:val="1"/>
        <w:rPr>
          <w:rFonts w:ascii="楷体_GB2312" w:hAnsi="楷体_GB2312" w:eastAsia="楷体_GB2312" w:cs="楷体_GB2312"/>
          <w:sz w:val="32"/>
          <w:szCs w:val="40"/>
        </w:rPr>
      </w:pPr>
      <w:bookmarkStart w:id="31" w:name="_Toc14835"/>
      <w:bookmarkStart w:id="32" w:name="_Toc32527"/>
      <w:r>
        <w:rPr>
          <w:rFonts w:hint="eastAsia" w:ascii="楷体_GB2312" w:hAnsi="楷体_GB2312" w:eastAsia="楷体_GB2312" w:cs="楷体_GB2312"/>
          <w:sz w:val="32"/>
          <w:szCs w:val="40"/>
        </w:rPr>
        <w:t>（一）综合评价结论</w:t>
      </w:r>
      <w:bookmarkEnd w:id="31"/>
      <w:bookmarkEnd w:id="32"/>
    </w:p>
    <w:p>
      <w:pPr>
        <w:keepNext/>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2024年打造啤酒特色餐饮休闲街区奖励资金政策绩效评价得分7</w:t>
      </w:r>
      <w:r>
        <w:rPr>
          <w:rFonts w:hint="eastAsia" w:ascii="仿宋_GB2312" w:hAnsi="仿宋_GB2312" w:eastAsia="仿宋_GB2312" w:cs="仿宋_GB2312"/>
          <w:sz w:val="32"/>
          <w:szCs w:val="40"/>
          <w:lang w:val="en-US" w:eastAsia="zh-CN"/>
        </w:rPr>
        <w:t>8</w:t>
      </w:r>
      <w:r>
        <w:rPr>
          <w:rFonts w:hint="eastAsia" w:ascii="仿宋_GB2312" w:hAnsi="仿宋_GB2312" w:eastAsia="仿宋_GB2312" w:cs="仿宋_GB2312"/>
          <w:sz w:val="32"/>
          <w:szCs w:val="40"/>
        </w:rPr>
        <w:t>.10分，评价结果为“中”。具体得分情况如下表所示：</w:t>
      </w:r>
    </w:p>
    <w:p>
      <w:pPr>
        <w:keepNext/>
        <w:spacing w:line="600" w:lineRule="exact"/>
        <w:jc w:val="center"/>
        <w:rPr>
          <w:rFonts w:ascii="宋体" w:hAnsi="宋体" w:eastAsia="宋体" w:cs="宋体"/>
          <w:b/>
          <w:bCs/>
          <w:sz w:val="28"/>
          <w:szCs w:val="28"/>
        </w:rPr>
      </w:pPr>
      <w:r>
        <w:rPr>
          <w:rFonts w:hint="eastAsia" w:ascii="宋体" w:hAnsi="宋体" w:eastAsia="宋体" w:cs="宋体"/>
          <w:b/>
          <w:bCs/>
          <w:sz w:val="28"/>
          <w:szCs w:val="28"/>
        </w:rPr>
        <w:t>表 2 2024年打造啤酒特色餐饮休闲街区奖励资金政策</w:t>
      </w:r>
    </w:p>
    <w:p>
      <w:pPr>
        <w:keepNext/>
        <w:spacing w:line="600" w:lineRule="exact"/>
        <w:jc w:val="center"/>
        <w:rPr>
          <w:rFonts w:ascii="黑体" w:hAnsi="黑体" w:eastAsia="黑体" w:cs="黑体"/>
          <w:sz w:val="28"/>
          <w:szCs w:val="28"/>
        </w:rPr>
      </w:pPr>
      <w:r>
        <w:rPr>
          <w:rFonts w:hint="eastAsia" w:ascii="宋体" w:hAnsi="宋体" w:eastAsia="宋体" w:cs="宋体"/>
          <w:b/>
          <w:bCs/>
          <w:sz w:val="28"/>
          <w:szCs w:val="28"/>
        </w:rPr>
        <w:t>绩效评价得分情况表</w:t>
      </w:r>
    </w:p>
    <w:tbl>
      <w:tblPr>
        <w:tblStyle w:val="13"/>
        <w:tblW w:w="0" w:type="auto"/>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3"/>
        <w:gridCol w:w="2073"/>
        <w:gridCol w:w="2073"/>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3" w:type="dxa"/>
            <w:vAlign w:val="center"/>
          </w:tcPr>
          <w:p>
            <w:pPr>
              <w:keepNext/>
              <w:jc w:val="center"/>
              <w:rPr>
                <w:rFonts w:ascii="宋体" w:hAnsi="宋体" w:eastAsia="宋体" w:cs="宋体"/>
                <w:b/>
                <w:bCs/>
                <w:sz w:val="24"/>
              </w:rPr>
            </w:pPr>
            <w:r>
              <w:rPr>
                <w:rFonts w:hint="eastAsia" w:ascii="宋体" w:hAnsi="宋体" w:eastAsia="宋体" w:cs="宋体"/>
                <w:b/>
                <w:bCs/>
                <w:sz w:val="24"/>
              </w:rPr>
              <w:t>一级指标</w:t>
            </w:r>
          </w:p>
        </w:tc>
        <w:tc>
          <w:tcPr>
            <w:tcW w:w="2073" w:type="dxa"/>
            <w:vAlign w:val="center"/>
          </w:tcPr>
          <w:p>
            <w:pPr>
              <w:keepNext/>
              <w:jc w:val="center"/>
              <w:rPr>
                <w:rFonts w:ascii="宋体" w:hAnsi="宋体" w:eastAsia="宋体" w:cs="宋体"/>
                <w:b/>
                <w:bCs/>
                <w:sz w:val="24"/>
              </w:rPr>
            </w:pPr>
            <w:r>
              <w:rPr>
                <w:rFonts w:hint="eastAsia" w:ascii="宋体" w:hAnsi="宋体" w:eastAsia="宋体" w:cs="宋体"/>
                <w:b/>
                <w:bCs/>
                <w:sz w:val="24"/>
              </w:rPr>
              <w:t>指标分值</w:t>
            </w:r>
          </w:p>
        </w:tc>
        <w:tc>
          <w:tcPr>
            <w:tcW w:w="2073" w:type="dxa"/>
            <w:vAlign w:val="center"/>
          </w:tcPr>
          <w:p>
            <w:pPr>
              <w:keepNext/>
              <w:jc w:val="center"/>
              <w:rPr>
                <w:rFonts w:ascii="宋体" w:hAnsi="宋体" w:eastAsia="宋体" w:cs="宋体"/>
                <w:b/>
                <w:bCs/>
                <w:sz w:val="24"/>
              </w:rPr>
            </w:pPr>
            <w:r>
              <w:rPr>
                <w:rFonts w:hint="eastAsia" w:ascii="宋体" w:hAnsi="宋体" w:eastAsia="宋体" w:cs="宋体"/>
                <w:b/>
                <w:bCs/>
                <w:sz w:val="24"/>
              </w:rPr>
              <w:t>得分</w:t>
            </w:r>
          </w:p>
        </w:tc>
        <w:tc>
          <w:tcPr>
            <w:tcW w:w="2074" w:type="dxa"/>
            <w:vAlign w:val="center"/>
          </w:tcPr>
          <w:p>
            <w:pPr>
              <w:keepNext/>
              <w:jc w:val="center"/>
              <w:rPr>
                <w:rFonts w:ascii="宋体" w:hAnsi="宋体" w:eastAsia="宋体" w:cs="宋体"/>
                <w:b/>
                <w:bCs/>
                <w:sz w:val="24"/>
              </w:rPr>
            </w:pPr>
            <w:r>
              <w:rPr>
                <w:rFonts w:hint="eastAsia" w:ascii="宋体" w:hAnsi="宋体" w:eastAsia="宋体" w:cs="宋体"/>
                <w:b/>
                <w:bCs/>
                <w:sz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3" w:type="dxa"/>
            <w:vAlign w:val="center"/>
          </w:tcPr>
          <w:p>
            <w:pPr>
              <w:keepNext/>
              <w:jc w:val="center"/>
              <w:rPr>
                <w:rFonts w:ascii="宋体" w:hAnsi="宋体" w:eastAsia="宋体" w:cs="宋体"/>
                <w:sz w:val="24"/>
              </w:rPr>
            </w:pPr>
            <w:r>
              <w:rPr>
                <w:rFonts w:hint="eastAsia" w:ascii="宋体" w:hAnsi="宋体" w:eastAsia="宋体" w:cs="宋体"/>
                <w:sz w:val="24"/>
              </w:rPr>
              <w:t>政策制定</w:t>
            </w:r>
          </w:p>
        </w:tc>
        <w:tc>
          <w:tcPr>
            <w:tcW w:w="2073" w:type="dxa"/>
            <w:vAlign w:val="center"/>
          </w:tcPr>
          <w:p>
            <w:pPr>
              <w:keepNext/>
              <w:jc w:val="center"/>
              <w:rPr>
                <w:rFonts w:ascii="宋体" w:hAnsi="宋体" w:eastAsia="宋体" w:cs="宋体"/>
                <w:sz w:val="24"/>
              </w:rPr>
            </w:pPr>
            <w:r>
              <w:rPr>
                <w:rFonts w:hint="eastAsia" w:ascii="宋体" w:hAnsi="宋体" w:eastAsia="宋体" w:cs="宋体"/>
                <w:sz w:val="24"/>
              </w:rPr>
              <w:t>15.00</w:t>
            </w:r>
          </w:p>
        </w:tc>
        <w:tc>
          <w:tcPr>
            <w:tcW w:w="2073" w:type="dxa"/>
            <w:vAlign w:val="center"/>
          </w:tcPr>
          <w:p>
            <w:pPr>
              <w:keepNext/>
              <w:jc w:val="center"/>
              <w:rPr>
                <w:rFonts w:ascii="宋体" w:hAnsi="宋体" w:eastAsia="宋体" w:cs="宋体"/>
                <w:sz w:val="24"/>
              </w:rPr>
            </w:pPr>
            <w:r>
              <w:rPr>
                <w:rFonts w:hint="eastAsia" w:ascii="宋体" w:hAnsi="宋体" w:eastAsia="宋体" w:cs="宋体"/>
                <w:sz w:val="24"/>
              </w:rPr>
              <w:t>14.50</w:t>
            </w:r>
          </w:p>
        </w:tc>
        <w:tc>
          <w:tcPr>
            <w:tcW w:w="2074" w:type="dxa"/>
            <w:vAlign w:val="center"/>
          </w:tcPr>
          <w:p>
            <w:pPr>
              <w:keepNext/>
              <w:jc w:val="center"/>
              <w:rPr>
                <w:rFonts w:ascii="宋体" w:hAnsi="宋体" w:eastAsia="宋体" w:cs="宋体"/>
                <w:sz w:val="24"/>
              </w:rPr>
            </w:pPr>
            <w:r>
              <w:rPr>
                <w:rFonts w:hint="eastAsia" w:ascii="宋体" w:hAnsi="宋体" w:eastAsia="宋体" w:cs="宋体"/>
                <w:sz w:val="24"/>
              </w:rPr>
              <w:t>96.67%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3" w:type="dxa"/>
            <w:vAlign w:val="center"/>
          </w:tcPr>
          <w:p>
            <w:pPr>
              <w:keepNext/>
              <w:jc w:val="center"/>
              <w:rPr>
                <w:rFonts w:ascii="宋体" w:hAnsi="宋体" w:eastAsia="宋体" w:cs="宋体"/>
                <w:sz w:val="24"/>
              </w:rPr>
            </w:pPr>
            <w:r>
              <w:rPr>
                <w:rFonts w:hint="eastAsia" w:ascii="宋体" w:hAnsi="宋体" w:eastAsia="宋体" w:cs="宋体"/>
                <w:sz w:val="24"/>
              </w:rPr>
              <w:t>政策实施</w:t>
            </w:r>
          </w:p>
        </w:tc>
        <w:tc>
          <w:tcPr>
            <w:tcW w:w="2073" w:type="dxa"/>
            <w:vAlign w:val="center"/>
          </w:tcPr>
          <w:p>
            <w:pPr>
              <w:keepNext/>
              <w:jc w:val="center"/>
              <w:rPr>
                <w:rFonts w:ascii="宋体" w:hAnsi="宋体" w:eastAsia="宋体" w:cs="宋体"/>
                <w:sz w:val="24"/>
              </w:rPr>
            </w:pPr>
            <w:r>
              <w:rPr>
                <w:rFonts w:hint="eastAsia" w:ascii="宋体" w:hAnsi="宋体" w:eastAsia="宋体" w:cs="宋体"/>
                <w:sz w:val="24"/>
              </w:rPr>
              <w:t>25.00</w:t>
            </w:r>
          </w:p>
        </w:tc>
        <w:tc>
          <w:tcPr>
            <w:tcW w:w="2073" w:type="dxa"/>
            <w:vAlign w:val="center"/>
          </w:tcPr>
          <w:p>
            <w:pPr>
              <w:keepNext/>
              <w:jc w:val="center"/>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8</w:t>
            </w:r>
            <w:r>
              <w:rPr>
                <w:rFonts w:hint="eastAsia" w:ascii="宋体" w:hAnsi="宋体" w:eastAsia="宋体" w:cs="宋体"/>
                <w:sz w:val="24"/>
              </w:rPr>
              <w:t>.60</w:t>
            </w:r>
          </w:p>
        </w:tc>
        <w:tc>
          <w:tcPr>
            <w:tcW w:w="2074" w:type="dxa"/>
            <w:vAlign w:val="center"/>
          </w:tcPr>
          <w:p>
            <w:pPr>
              <w:keepNext/>
              <w:jc w:val="center"/>
              <w:rPr>
                <w:rFonts w:ascii="宋体" w:hAnsi="宋体" w:eastAsia="宋体" w:cs="宋体"/>
                <w:sz w:val="24"/>
              </w:rPr>
            </w:pPr>
            <w:r>
              <w:rPr>
                <w:rFonts w:hint="eastAsia" w:ascii="宋体" w:hAnsi="宋体" w:eastAsia="宋体" w:cs="宋体"/>
                <w:sz w:val="24"/>
              </w:rPr>
              <w:t>7</w:t>
            </w:r>
            <w:r>
              <w:rPr>
                <w:rFonts w:hint="eastAsia" w:ascii="宋体" w:hAnsi="宋体" w:eastAsia="宋体" w:cs="宋体"/>
                <w:sz w:val="24"/>
                <w:lang w:val="en-US" w:eastAsia="zh-CN"/>
              </w:rPr>
              <w:t>4</w:t>
            </w:r>
            <w:r>
              <w:rPr>
                <w:rFonts w:hint="eastAsia" w:ascii="宋体" w:hAnsi="宋体" w:eastAsia="宋体" w:cs="宋体"/>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3" w:type="dxa"/>
            <w:vAlign w:val="center"/>
          </w:tcPr>
          <w:p>
            <w:pPr>
              <w:keepNext/>
              <w:jc w:val="center"/>
              <w:rPr>
                <w:rFonts w:ascii="宋体" w:hAnsi="宋体" w:eastAsia="宋体" w:cs="宋体"/>
                <w:sz w:val="24"/>
              </w:rPr>
            </w:pPr>
            <w:r>
              <w:rPr>
                <w:rFonts w:hint="eastAsia" w:ascii="宋体" w:hAnsi="宋体" w:eastAsia="宋体" w:cs="宋体"/>
                <w:sz w:val="24"/>
              </w:rPr>
              <w:t>政策效果</w:t>
            </w:r>
          </w:p>
        </w:tc>
        <w:tc>
          <w:tcPr>
            <w:tcW w:w="2073" w:type="dxa"/>
            <w:vAlign w:val="center"/>
          </w:tcPr>
          <w:p>
            <w:pPr>
              <w:keepNext/>
              <w:jc w:val="center"/>
              <w:rPr>
                <w:rFonts w:ascii="宋体" w:hAnsi="宋体" w:eastAsia="宋体" w:cs="宋体"/>
                <w:sz w:val="24"/>
              </w:rPr>
            </w:pPr>
            <w:r>
              <w:rPr>
                <w:rFonts w:hint="eastAsia" w:ascii="宋体" w:hAnsi="宋体" w:eastAsia="宋体" w:cs="宋体"/>
                <w:sz w:val="24"/>
              </w:rPr>
              <w:t>60.00</w:t>
            </w:r>
          </w:p>
        </w:tc>
        <w:tc>
          <w:tcPr>
            <w:tcW w:w="2073" w:type="dxa"/>
            <w:vAlign w:val="center"/>
          </w:tcPr>
          <w:p>
            <w:pPr>
              <w:keepNext/>
              <w:jc w:val="center"/>
              <w:rPr>
                <w:rFonts w:ascii="宋体" w:hAnsi="宋体" w:eastAsia="宋体" w:cs="宋体"/>
                <w:sz w:val="24"/>
              </w:rPr>
            </w:pPr>
            <w:r>
              <w:rPr>
                <w:rFonts w:hint="eastAsia" w:ascii="宋体" w:hAnsi="宋体" w:eastAsia="宋体" w:cs="宋体"/>
                <w:sz w:val="24"/>
              </w:rPr>
              <w:t>45.00</w:t>
            </w:r>
          </w:p>
        </w:tc>
        <w:tc>
          <w:tcPr>
            <w:tcW w:w="2074" w:type="dxa"/>
            <w:vAlign w:val="center"/>
          </w:tcPr>
          <w:p>
            <w:pPr>
              <w:keepNext/>
              <w:jc w:val="center"/>
              <w:rPr>
                <w:rFonts w:ascii="宋体" w:hAnsi="宋体" w:eastAsia="宋体" w:cs="宋体"/>
                <w:sz w:val="24"/>
              </w:rPr>
            </w:pPr>
            <w:r>
              <w:rPr>
                <w:rFonts w:hint="eastAsia" w:ascii="宋体" w:hAnsi="宋体" w:eastAsia="宋体" w:cs="宋体"/>
                <w:sz w:val="24"/>
              </w:rPr>
              <w:t>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3" w:type="dxa"/>
            <w:vAlign w:val="center"/>
          </w:tcPr>
          <w:p>
            <w:pPr>
              <w:keepNext/>
              <w:jc w:val="center"/>
              <w:rPr>
                <w:rFonts w:ascii="宋体" w:hAnsi="宋体" w:eastAsia="宋体" w:cs="宋体"/>
                <w:b/>
                <w:bCs/>
                <w:sz w:val="24"/>
              </w:rPr>
            </w:pPr>
            <w:r>
              <w:rPr>
                <w:rFonts w:hint="eastAsia" w:ascii="宋体" w:hAnsi="宋体" w:eastAsia="宋体" w:cs="宋体"/>
                <w:b/>
                <w:bCs/>
                <w:sz w:val="24"/>
              </w:rPr>
              <w:t>合计</w:t>
            </w:r>
          </w:p>
        </w:tc>
        <w:tc>
          <w:tcPr>
            <w:tcW w:w="2073" w:type="dxa"/>
            <w:vAlign w:val="center"/>
          </w:tcPr>
          <w:p>
            <w:pPr>
              <w:widowControl/>
              <w:jc w:val="center"/>
              <w:rPr>
                <w:rFonts w:ascii="宋体" w:hAnsi="宋体" w:eastAsia="宋体" w:cs="宋体"/>
                <w:b/>
                <w:bCs/>
                <w:sz w:val="24"/>
              </w:rPr>
            </w:pPr>
            <w:r>
              <w:rPr>
                <w:rFonts w:hint="eastAsia" w:ascii="宋体" w:hAnsi="宋体" w:eastAsia="宋体" w:cs="宋体"/>
                <w:b/>
                <w:bCs/>
                <w:sz w:val="24"/>
              </w:rPr>
              <w:t>100.00</w:t>
            </w:r>
          </w:p>
        </w:tc>
        <w:tc>
          <w:tcPr>
            <w:tcW w:w="2073" w:type="dxa"/>
            <w:vAlign w:val="center"/>
          </w:tcPr>
          <w:p>
            <w:pPr>
              <w:widowControl/>
              <w:jc w:val="center"/>
              <w:rPr>
                <w:rFonts w:ascii="宋体" w:hAnsi="宋体" w:eastAsia="宋体" w:cs="宋体"/>
                <w:b/>
                <w:bCs/>
                <w:sz w:val="24"/>
              </w:rPr>
            </w:pPr>
            <w:r>
              <w:rPr>
                <w:rFonts w:hint="eastAsia" w:ascii="宋体" w:hAnsi="宋体" w:eastAsia="宋体" w:cs="宋体"/>
                <w:b/>
                <w:bCs/>
                <w:sz w:val="24"/>
              </w:rPr>
              <w:t>7</w:t>
            </w:r>
            <w:r>
              <w:rPr>
                <w:rFonts w:hint="eastAsia" w:ascii="宋体" w:hAnsi="宋体" w:eastAsia="宋体" w:cs="宋体"/>
                <w:b/>
                <w:bCs/>
                <w:sz w:val="24"/>
                <w:lang w:val="en-US" w:eastAsia="zh-CN"/>
              </w:rPr>
              <w:t>8</w:t>
            </w:r>
            <w:r>
              <w:rPr>
                <w:rFonts w:hint="eastAsia" w:ascii="宋体" w:hAnsi="宋体" w:eastAsia="宋体" w:cs="宋体"/>
                <w:b/>
                <w:bCs/>
                <w:sz w:val="24"/>
              </w:rPr>
              <w:t>.10</w:t>
            </w:r>
          </w:p>
        </w:tc>
        <w:tc>
          <w:tcPr>
            <w:tcW w:w="2074" w:type="dxa"/>
            <w:vAlign w:val="center"/>
          </w:tcPr>
          <w:p>
            <w:pPr>
              <w:widowControl/>
              <w:jc w:val="center"/>
              <w:rPr>
                <w:rFonts w:ascii="宋体" w:hAnsi="宋体" w:eastAsia="宋体" w:cs="宋体"/>
                <w:b/>
                <w:bCs/>
                <w:sz w:val="24"/>
              </w:rPr>
            </w:pPr>
            <w:r>
              <w:rPr>
                <w:rFonts w:hint="eastAsia" w:ascii="宋体" w:hAnsi="宋体" w:eastAsia="宋体" w:cs="宋体"/>
                <w:b/>
                <w:bCs/>
                <w:sz w:val="24"/>
              </w:rPr>
              <w:t>7</w:t>
            </w:r>
            <w:r>
              <w:rPr>
                <w:rFonts w:hint="eastAsia" w:ascii="宋体" w:hAnsi="宋体" w:eastAsia="宋体" w:cs="宋体"/>
                <w:b/>
                <w:bCs/>
                <w:sz w:val="24"/>
                <w:lang w:val="en-US" w:eastAsia="zh-CN"/>
              </w:rPr>
              <w:t>8</w:t>
            </w:r>
            <w:r>
              <w:rPr>
                <w:rFonts w:hint="eastAsia" w:ascii="宋体" w:hAnsi="宋体" w:eastAsia="宋体" w:cs="宋体"/>
                <w:b/>
                <w:bCs/>
                <w:sz w:val="24"/>
              </w:rPr>
              <w:t>.10%</w:t>
            </w:r>
          </w:p>
        </w:tc>
      </w:tr>
    </w:tbl>
    <w:p>
      <w:pPr>
        <w:spacing w:line="600" w:lineRule="exact"/>
        <w:ind w:firstLine="640" w:firstLineChars="200"/>
        <w:outlineLvl w:val="1"/>
        <w:rPr>
          <w:rFonts w:ascii="楷体_GB2312" w:hAnsi="楷体_GB2312" w:eastAsia="楷体_GB2312" w:cs="楷体_GB2312"/>
          <w:sz w:val="32"/>
          <w:szCs w:val="40"/>
        </w:rPr>
      </w:pPr>
      <w:bookmarkStart w:id="33" w:name="_Toc6438"/>
      <w:bookmarkStart w:id="34" w:name="_Toc26705"/>
      <w:r>
        <w:rPr>
          <w:rFonts w:hint="eastAsia" w:ascii="楷体_GB2312" w:hAnsi="楷体_GB2312" w:eastAsia="楷体_GB2312" w:cs="楷体_GB2312"/>
          <w:sz w:val="32"/>
          <w:szCs w:val="40"/>
        </w:rPr>
        <w:t>（二）指标分析</w:t>
      </w:r>
      <w:bookmarkEnd w:id="33"/>
      <w:bookmarkEnd w:id="34"/>
    </w:p>
    <w:p>
      <w:pPr>
        <w:spacing w:line="600" w:lineRule="exact"/>
        <w:ind w:firstLine="643" w:firstLineChars="200"/>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1.政策制定</w:t>
      </w:r>
    </w:p>
    <w:p>
      <w:pPr>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政策制定</w:t>
      </w:r>
      <w:r>
        <w:rPr>
          <w:rFonts w:ascii="仿宋_GB2312" w:hAnsi="仿宋_GB2312" w:eastAsia="仿宋_GB2312" w:cs="仿宋_GB2312"/>
          <w:color w:val="000000"/>
          <w:kern w:val="0"/>
          <w:sz w:val="32"/>
          <w:szCs w:val="32"/>
          <w:shd w:val="clear" w:color="auto" w:fill="FFFFFF"/>
        </w:rPr>
        <w:t>指标分值1</w:t>
      </w:r>
      <w:r>
        <w:rPr>
          <w:rFonts w:hint="eastAsia" w:ascii="仿宋_GB2312" w:hAnsi="仿宋_GB2312" w:eastAsia="仿宋_GB2312" w:cs="仿宋_GB2312"/>
          <w:color w:val="000000"/>
          <w:kern w:val="0"/>
          <w:sz w:val="32"/>
          <w:szCs w:val="32"/>
          <w:shd w:val="clear" w:color="auto" w:fill="FFFFFF"/>
        </w:rPr>
        <w:t>5</w:t>
      </w:r>
      <w:r>
        <w:rPr>
          <w:rFonts w:ascii="仿宋_GB2312" w:hAnsi="仿宋_GB2312" w:eastAsia="仿宋_GB2312" w:cs="仿宋_GB2312"/>
          <w:color w:val="000000"/>
          <w:kern w:val="0"/>
          <w:sz w:val="32"/>
          <w:szCs w:val="32"/>
          <w:shd w:val="clear" w:color="auto" w:fill="FFFFFF"/>
        </w:rPr>
        <w:t>.00分，得分1</w:t>
      </w:r>
      <w:r>
        <w:rPr>
          <w:rFonts w:hint="eastAsia" w:ascii="仿宋_GB2312" w:hAnsi="仿宋_GB2312" w:eastAsia="仿宋_GB2312" w:cs="仿宋_GB2312"/>
          <w:color w:val="000000"/>
          <w:kern w:val="0"/>
          <w:sz w:val="32"/>
          <w:szCs w:val="32"/>
          <w:shd w:val="clear" w:color="auto" w:fill="FFFFFF"/>
        </w:rPr>
        <w:t>4</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5</w:t>
      </w:r>
      <w:r>
        <w:rPr>
          <w:rFonts w:ascii="仿宋_GB2312" w:hAnsi="仿宋_GB2312" w:eastAsia="仿宋_GB2312" w:cs="仿宋_GB2312"/>
          <w:color w:val="000000"/>
          <w:kern w:val="0"/>
          <w:sz w:val="32"/>
          <w:szCs w:val="32"/>
          <w:shd w:val="clear" w:color="auto" w:fill="FFFFFF"/>
        </w:rPr>
        <w:t>0分，得分率</w:t>
      </w:r>
      <w:r>
        <w:rPr>
          <w:rFonts w:hint="eastAsia" w:ascii="仿宋_GB2312" w:hAnsi="仿宋_GB2312" w:eastAsia="仿宋_GB2312" w:cs="仿宋_GB2312"/>
          <w:color w:val="000000"/>
          <w:kern w:val="0"/>
          <w:sz w:val="32"/>
          <w:szCs w:val="32"/>
          <w:shd w:val="clear" w:color="auto" w:fill="FFFFFF"/>
        </w:rPr>
        <w:t>96.67</w:t>
      </w:r>
      <w:r>
        <w:rPr>
          <w:rFonts w:ascii="仿宋_GB2312" w:hAnsi="仿宋_GB2312" w:eastAsia="仿宋_GB2312" w:cs="仿宋_GB2312"/>
          <w:color w:val="000000"/>
          <w:kern w:val="0"/>
          <w:sz w:val="32"/>
          <w:szCs w:val="32"/>
          <w:shd w:val="clear" w:color="auto" w:fill="FFFFFF"/>
        </w:rPr>
        <w:t>%。</w:t>
      </w:r>
    </w:p>
    <w:p>
      <w:pPr>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2023年10月7日，青岛市人民政府印发《青岛市促进文旅深度融合推动旅游业高质量发展若干措施》，提出“突出啤酒元素，支持打造啤酒特色‘深夜餐厅’，每个区（市）至少打造1条啤酒特色餐饮休闲街区，一次性给予合格街区运营主体100万元奖补并予以授牌”。该政策</w:t>
      </w:r>
      <w:r>
        <w:rPr>
          <w:rFonts w:hint="eastAsia" w:ascii="仿宋_GB2312" w:hAnsi="仿宋_GB2312" w:eastAsia="仿宋_GB2312" w:cs="仿宋_GB2312"/>
          <w:snapToGrid w:val="0"/>
          <w:kern w:val="0"/>
          <w:sz w:val="32"/>
          <w:szCs w:val="32"/>
        </w:rPr>
        <w:t>符合山东省、青岛市关于促进夜间消费经济的相关要求</w:t>
      </w:r>
      <w:r>
        <w:rPr>
          <w:rFonts w:hint="eastAsia" w:ascii="仿宋_GB2312" w:hAnsi="仿宋_GB2312" w:eastAsia="仿宋_GB2312" w:cs="仿宋_GB2312"/>
          <w:color w:val="000000"/>
          <w:kern w:val="0"/>
          <w:sz w:val="32"/>
          <w:szCs w:val="32"/>
          <w:shd w:val="clear" w:color="auto" w:fill="FFFFFF"/>
        </w:rPr>
        <w:t>，政策设立程序规范，符合财政支出范围，与相关部门同类政策或部门内部相关政策不重复。</w:t>
      </w:r>
    </w:p>
    <w:p>
      <w:pPr>
        <w:spacing w:line="6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shd w:val="clear" w:color="auto" w:fill="FFFFFF"/>
        </w:rPr>
        <w:t>扣分原因主要为：政策绩效目标设置不全面，在设置政策绩效目标时</w:t>
      </w:r>
      <w:r>
        <w:rPr>
          <w:rFonts w:hint="eastAsia" w:ascii="仿宋_GB2312" w:hAnsi="仿宋_GB2312" w:eastAsia="仿宋_GB2312" w:cs="仿宋_GB2312"/>
          <w:snapToGrid w:val="0"/>
          <w:kern w:val="0"/>
          <w:sz w:val="32"/>
          <w:szCs w:val="32"/>
        </w:rPr>
        <w:t>，效益指标设置未能完全体现政策设立目的，未结合“丰富市民游客的夜间消费供给，提升特色街区消费吸引力”等政策实施效果设置可量化的经济效益指标。</w:t>
      </w:r>
    </w:p>
    <w:p>
      <w:pPr>
        <w:spacing w:line="600" w:lineRule="exact"/>
        <w:ind w:firstLine="643" w:firstLineChars="200"/>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2.政策实施</w:t>
      </w:r>
    </w:p>
    <w:p>
      <w:pPr>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政策实施</w:t>
      </w:r>
      <w:r>
        <w:rPr>
          <w:rFonts w:ascii="仿宋_GB2312" w:hAnsi="仿宋_GB2312" w:eastAsia="仿宋_GB2312" w:cs="仿宋_GB2312"/>
          <w:color w:val="000000"/>
          <w:kern w:val="0"/>
          <w:sz w:val="32"/>
          <w:szCs w:val="32"/>
          <w:shd w:val="clear" w:color="auto" w:fill="FFFFFF"/>
        </w:rPr>
        <w:t>指标分值</w:t>
      </w:r>
      <w:r>
        <w:rPr>
          <w:rFonts w:hint="eastAsia" w:ascii="仿宋_GB2312" w:hAnsi="仿宋_GB2312" w:eastAsia="仿宋_GB2312" w:cs="仿宋_GB2312"/>
          <w:color w:val="000000"/>
          <w:kern w:val="0"/>
          <w:sz w:val="32"/>
          <w:szCs w:val="32"/>
          <w:shd w:val="clear" w:color="auto" w:fill="FFFFFF"/>
        </w:rPr>
        <w:t>25</w:t>
      </w:r>
      <w:r>
        <w:rPr>
          <w:rFonts w:ascii="仿宋_GB2312" w:hAnsi="仿宋_GB2312" w:eastAsia="仿宋_GB2312" w:cs="仿宋_GB2312"/>
          <w:color w:val="000000"/>
          <w:kern w:val="0"/>
          <w:sz w:val="32"/>
          <w:szCs w:val="32"/>
          <w:shd w:val="clear" w:color="auto" w:fill="FFFFFF"/>
        </w:rPr>
        <w:t>.00分，得分</w:t>
      </w: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en-US" w:eastAsia="zh-CN"/>
        </w:rPr>
        <w:t>8</w:t>
      </w:r>
      <w:r>
        <w:rPr>
          <w:rFonts w:hint="eastAsia" w:ascii="仿宋_GB2312" w:hAnsi="仿宋_GB2312" w:eastAsia="仿宋_GB2312" w:cs="仿宋_GB2312"/>
          <w:color w:val="000000"/>
          <w:kern w:val="0"/>
          <w:sz w:val="32"/>
          <w:szCs w:val="32"/>
          <w:shd w:val="clear" w:color="auto" w:fill="FFFFFF"/>
        </w:rPr>
        <w:t>.6</w:t>
      </w:r>
      <w:r>
        <w:rPr>
          <w:rFonts w:ascii="仿宋_GB2312" w:hAnsi="仿宋_GB2312" w:eastAsia="仿宋_GB2312" w:cs="仿宋_GB2312"/>
          <w:color w:val="000000"/>
          <w:kern w:val="0"/>
          <w:sz w:val="32"/>
          <w:szCs w:val="32"/>
          <w:shd w:val="clear" w:color="auto" w:fill="FFFFFF"/>
        </w:rPr>
        <w:t>0分，得分率</w:t>
      </w:r>
      <w:r>
        <w:rPr>
          <w:rFonts w:hint="eastAsia" w:ascii="仿宋_GB2312" w:hAnsi="仿宋_GB2312" w:eastAsia="仿宋_GB2312" w:cs="仿宋_GB2312"/>
          <w:color w:val="000000"/>
          <w:kern w:val="0"/>
          <w:sz w:val="32"/>
          <w:szCs w:val="32"/>
          <w:shd w:val="clear" w:color="auto" w:fill="FFFFFF"/>
        </w:rPr>
        <w:t>7</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.40%</w:t>
      </w:r>
      <w:r>
        <w:rPr>
          <w:rFonts w:ascii="仿宋_GB2312" w:hAnsi="仿宋_GB2312" w:eastAsia="仿宋_GB2312" w:cs="仿宋_GB2312"/>
          <w:color w:val="000000"/>
          <w:kern w:val="0"/>
          <w:sz w:val="32"/>
          <w:szCs w:val="32"/>
          <w:shd w:val="clear" w:color="auto" w:fill="FFFFFF"/>
        </w:rPr>
        <w:t>。</w:t>
      </w:r>
    </w:p>
    <w:p>
      <w:pPr>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2024年4月19日，市商务局出台《青岛市啤酒特色餐饮休闲街区认定和申报管理办法（试行）》，并于2024年10月16日发起了打造啤酒特色餐饮休闲街区申报认定工作。2024年打造啤酒特色餐饮休闲街区奖励资金共500万元，涉及受奖励运营主体5家。</w:t>
      </w:r>
    </w:p>
    <w:p>
      <w:pPr>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扣分原因主要为：一是资金未拨付使用。截至2025年6月10日，各区（市）均未将奖励资金拨付至相关单位，预算执行率为0%。二是政策保障机制不健全。项目主管部门未明确申报、审核、认定、公示等关键节点的具体时限。三是区（市）前期摸底不充分、不彻底。李沧区、莱西市未按照市商务局的要求开展前期摸底调研。四是申报和认定流程不够规范。青岛市商务局未提供组织专家开展实地考察的记录。五是个别受奖励街区评价日的实际情况与专家评审情况不符，如青岛金沙滩啤酒城街区实际未实现人车分流，但部分专家对该指标评定为满分。六是评审专家未按评分依据打分。5位专家均未按照</w:t>
      </w:r>
      <w:r>
        <w:rPr>
          <w:rFonts w:ascii="仿宋_GB2312" w:hAnsi="仿宋_GB2312" w:eastAsia="仿宋_GB2312" w:cs="仿宋_GB2312"/>
          <w:color w:val="000000"/>
          <w:kern w:val="0"/>
          <w:sz w:val="32"/>
          <w:szCs w:val="32"/>
          <w:shd w:val="clear" w:color="auto" w:fill="FFFFFF"/>
        </w:rPr>
        <w:t>《青岛市啤酒特色餐饮休闲街区评分表》</w:t>
      </w:r>
      <w:r>
        <w:rPr>
          <w:rFonts w:hint="eastAsia" w:ascii="仿宋_GB2312" w:hAnsi="仿宋_GB2312" w:eastAsia="仿宋_GB2312" w:cs="仿宋_GB2312"/>
          <w:color w:val="000000"/>
          <w:kern w:val="0"/>
          <w:sz w:val="32"/>
          <w:szCs w:val="32"/>
          <w:shd w:val="clear" w:color="auto" w:fill="FFFFFF"/>
        </w:rPr>
        <w:t>的要求进行评分。如部分指标的分值为4分，评分依据的要求为“优秀得满分，良好得80%分值，差不得分”，但专家评分为3分，与评分依据无法对应。</w:t>
      </w:r>
    </w:p>
    <w:p>
      <w:pPr>
        <w:spacing w:line="600" w:lineRule="exact"/>
        <w:ind w:firstLine="643" w:firstLineChars="200"/>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3.政策效果</w:t>
      </w:r>
    </w:p>
    <w:p>
      <w:pPr>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政策效果</w:t>
      </w:r>
      <w:r>
        <w:rPr>
          <w:rFonts w:ascii="仿宋_GB2312" w:hAnsi="仿宋_GB2312" w:eastAsia="仿宋_GB2312" w:cs="仿宋_GB2312"/>
          <w:color w:val="000000"/>
          <w:kern w:val="0"/>
          <w:sz w:val="32"/>
          <w:szCs w:val="32"/>
          <w:shd w:val="clear" w:color="auto" w:fill="FFFFFF"/>
        </w:rPr>
        <w:t>指标分值</w:t>
      </w:r>
      <w:r>
        <w:rPr>
          <w:rFonts w:hint="eastAsia" w:ascii="仿宋_GB2312" w:hAnsi="仿宋_GB2312" w:eastAsia="仿宋_GB2312" w:cs="仿宋_GB2312"/>
          <w:color w:val="000000"/>
          <w:kern w:val="0"/>
          <w:sz w:val="32"/>
          <w:szCs w:val="32"/>
          <w:shd w:val="clear" w:color="auto" w:fill="FFFFFF"/>
        </w:rPr>
        <w:t>60</w:t>
      </w:r>
      <w:r>
        <w:rPr>
          <w:rFonts w:ascii="仿宋_GB2312" w:hAnsi="仿宋_GB2312" w:eastAsia="仿宋_GB2312" w:cs="仿宋_GB2312"/>
          <w:color w:val="000000"/>
          <w:kern w:val="0"/>
          <w:sz w:val="32"/>
          <w:szCs w:val="32"/>
          <w:shd w:val="clear" w:color="auto" w:fill="FFFFFF"/>
        </w:rPr>
        <w:t>.00分，得分</w:t>
      </w:r>
      <w:r>
        <w:rPr>
          <w:rFonts w:hint="eastAsia" w:ascii="仿宋_GB2312" w:hAnsi="仿宋_GB2312" w:eastAsia="仿宋_GB2312" w:cs="仿宋_GB2312"/>
          <w:color w:val="000000"/>
          <w:kern w:val="0"/>
          <w:sz w:val="32"/>
          <w:szCs w:val="32"/>
          <w:shd w:val="clear" w:color="auto" w:fill="FFFFFF"/>
        </w:rPr>
        <w:t>45.0</w:t>
      </w:r>
      <w:r>
        <w:rPr>
          <w:rFonts w:ascii="仿宋_GB2312" w:hAnsi="仿宋_GB2312" w:eastAsia="仿宋_GB2312" w:cs="仿宋_GB2312"/>
          <w:color w:val="000000"/>
          <w:kern w:val="0"/>
          <w:sz w:val="32"/>
          <w:szCs w:val="32"/>
          <w:shd w:val="clear" w:color="auto" w:fill="FFFFFF"/>
        </w:rPr>
        <w:t>0分，得分率</w:t>
      </w:r>
      <w:r>
        <w:rPr>
          <w:rFonts w:hint="eastAsia" w:ascii="仿宋_GB2312" w:hAnsi="仿宋_GB2312" w:eastAsia="仿宋_GB2312" w:cs="仿宋_GB2312"/>
          <w:color w:val="000000"/>
          <w:kern w:val="0"/>
          <w:sz w:val="32"/>
          <w:szCs w:val="32"/>
          <w:shd w:val="clear" w:color="auto" w:fill="FFFFFF"/>
        </w:rPr>
        <w:t>75.00</w:t>
      </w:r>
      <w:r>
        <w:rPr>
          <w:rFonts w:ascii="仿宋_GB2312" w:hAnsi="仿宋_GB2312" w:eastAsia="仿宋_GB2312" w:cs="仿宋_GB2312"/>
          <w:color w:val="000000"/>
          <w:kern w:val="0"/>
          <w:sz w:val="32"/>
          <w:szCs w:val="32"/>
          <w:shd w:val="clear" w:color="auto" w:fill="FFFFFF"/>
        </w:rPr>
        <w:t>%。</w:t>
      </w:r>
    </w:p>
    <w:p>
      <w:pPr>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2024年12月27日，青岛市商务局发布《关于公布首批青岛市啤酒特色餐饮休闲街区的通知》，经企业申报、区（市）推荐、现场核查、专家评审、网站公示等程序，认定“青岛金沙滩啤酒城街区”等5条街区为“青岛市啤酒特色餐饮休闲街区”。</w:t>
      </w:r>
    </w:p>
    <w:p>
      <w:pPr>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扣分原因主要为：</w:t>
      </w:r>
      <w:r>
        <w:rPr>
          <w:rFonts w:hint="eastAsia" w:ascii="仿宋_GB2312" w:hAnsi="仿宋_GB2312" w:eastAsia="仿宋_GB2312" w:cs="仿宋_GB2312"/>
          <w:color w:val="000000"/>
          <w:kern w:val="0"/>
          <w:sz w:val="32"/>
          <w:szCs w:val="32"/>
          <w:highlight w:val="none"/>
          <w:shd w:val="clear" w:color="auto"/>
        </w:rPr>
        <w:t>一是啤酒特色餐饮休闲街区认定工作完成时间延迟。绩效目标10月31日完成，</w:t>
      </w:r>
      <w:r>
        <w:rPr>
          <w:rFonts w:hint="eastAsia" w:ascii="仿宋_GB2312" w:hAnsi="仿宋_GB2312" w:eastAsia="仿宋_GB2312" w:cs="仿宋_GB2312"/>
          <w:color w:val="000000"/>
          <w:kern w:val="0"/>
          <w:sz w:val="32"/>
          <w:szCs w:val="32"/>
          <w:highlight w:val="none"/>
          <w:shd w:val="clear" w:color="auto"/>
          <w:lang w:val="en-US" w:eastAsia="zh-CN"/>
        </w:rPr>
        <w:t>依据《关于公布首批青岛市啤酒特色餐饮休闲街区的通知</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rPr>
        <w:t>实际完成</w:t>
      </w:r>
      <w:r>
        <w:rPr>
          <w:rFonts w:hint="eastAsia" w:ascii="仿宋_GB2312" w:hAnsi="仿宋_GB2312" w:eastAsia="仿宋_GB2312" w:cs="仿宋_GB2312"/>
          <w:color w:val="000000"/>
          <w:kern w:val="0"/>
          <w:sz w:val="32"/>
          <w:szCs w:val="32"/>
          <w:shd w:val="clear" w:color="auto" w:fill="FFFFFF"/>
          <w:lang w:eastAsia="zh-CN"/>
        </w:rPr>
        <w:t>时间</w:t>
      </w:r>
      <w:r>
        <w:rPr>
          <w:rFonts w:hint="eastAsia" w:ascii="仿宋_GB2312" w:hAnsi="仿宋_GB2312" w:eastAsia="仿宋_GB2312" w:cs="仿宋_GB2312"/>
          <w:color w:val="000000"/>
          <w:kern w:val="0"/>
          <w:sz w:val="32"/>
          <w:szCs w:val="32"/>
          <w:shd w:val="clear" w:color="auto" w:fill="FFFFFF"/>
          <w:lang w:val="en-US" w:eastAsia="zh-CN"/>
        </w:rPr>
        <w:t>12月17日</w:t>
      </w:r>
      <w:r>
        <w:rPr>
          <w:rFonts w:hint="eastAsia" w:ascii="仿宋_GB2312" w:hAnsi="仿宋_GB2312" w:eastAsia="仿宋_GB2312" w:cs="仿宋_GB2312"/>
          <w:color w:val="000000"/>
          <w:kern w:val="0"/>
          <w:sz w:val="32"/>
          <w:szCs w:val="32"/>
          <w:shd w:val="clear" w:color="auto" w:fill="FFFFFF"/>
        </w:rPr>
        <w:t>。二是社会效益方面，部分街区效益不显著，如奥帆中心啤酒特色街区存在年度客流量同比下降、营业额下降、就业带动效果不够显著等情况。三是可持续影响方面，青岛金沙滩啤酒城街区等4条街区经营统计体系不健全。</w:t>
      </w:r>
    </w:p>
    <w:p>
      <w:pPr>
        <w:spacing w:line="600" w:lineRule="exact"/>
        <w:ind w:firstLine="640" w:firstLineChars="200"/>
        <w:outlineLvl w:val="0"/>
        <w:rPr>
          <w:rFonts w:ascii="黑体" w:hAnsi="黑体" w:eastAsia="黑体" w:cs="黑体"/>
          <w:sz w:val="32"/>
          <w:szCs w:val="40"/>
        </w:rPr>
      </w:pPr>
      <w:bookmarkStart w:id="35" w:name="_Toc9591"/>
      <w:bookmarkStart w:id="36" w:name="_Toc2214"/>
      <w:r>
        <w:rPr>
          <w:rFonts w:hint="eastAsia" w:ascii="黑体" w:hAnsi="黑体" w:eastAsia="黑体" w:cs="黑体"/>
          <w:sz w:val="32"/>
          <w:szCs w:val="40"/>
        </w:rPr>
        <w:t>四、项目实施成效</w:t>
      </w:r>
      <w:bookmarkEnd w:id="35"/>
      <w:bookmarkEnd w:id="36"/>
    </w:p>
    <w:p>
      <w:pPr>
        <w:spacing w:line="600" w:lineRule="exact"/>
        <w:ind w:firstLine="640" w:firstLineChars="200"/>
        <w:rPr>
          <w:rFonts w:ascii="仿宋_GB2312" w:hAnsi="仿宋_GB2312" w:eastAsia="仿宋_GB2312" w:cs="仿宋_GB2312"/>
          <w:color w:val="000000"/>
          <w:kern w:val="0"/>
          <w:sz w:val="32"/>
          <w:szCs w:val="32"/>
          <w:shd w:val="clear" w:color="auto" w:fill="FFFFFF"/>
        </w:rPr>
      </w:pPr>
      <w:bookmarkStart w:id="37" w:name="_Toc5326"/>
      <w:bookmarkStart w:id="38" w:name="_Toc11763"/>
      <w:r>
        <w:rPr>
          <w:rFonts w:hint="eastAsia" w:ascii="仿宋_GB2312" w:hAnsi="仿宋_GB2312" w:eastAsia="仿宋_GB2312" w:cs="仿宋_GB2312"/>
          <w:color w:val="000000"/>
          <w:kern w:val="0"/>
          <w:sz w:val="32"/>
          <w:szCs w:val="32"/>
          <w:shd w:val="clear" w:color="auto" w:fill="FFFFFF"/>
        </w:rPr>
        <w:t>为</w:t>
      </w:r>
      <w:r>
        <w:rPr>
          <w:rFonts w:ascii="仿宋_GB2312" w:hAnsi="仿宋_GB2312" w:eastAsia="仿宋_GB2312" w:cs="仿宋_GB2312"/>
          <w:color w:val="000000"/>
          <w:kern w:val="0"/>
          <w:sz w:val="32"/>
          <w:szCs w:val="32"/>
          <w:shd w:val="clear" w:color="auto" w:fill="FFFFFF"/>
        </w:rPr>
        <w:t>进一步突出啤酒特色，促进</w:t>
      </w:r>
      <w:r>
        <w:rPr>
          <w:rFonts w:hint="eastAsia" w:ascii="仿宋_GB2312" w:hAnsi="仿宋_GB2312" w:eastAsia="仿宋_GB2312" w:cs="仿宋_GB2312"/>
          <w:color w:val="000000"/>
          <w:kern w:val="0"/>
          <w:sz w:val="32"/>
          <w:szCs w:val="32"/>
          <w:shd w:val="clear" w:color="auto" w:fill="FFFFFF"/>
        </w:rPr>
        <w:t>青岛市</w:t>
      </w:r>
      <w:r>
        <w:rPr>
          <w:rFonts w:ascii="仿宋_GB2312" w:hAnsi="仿宋_GB2312" w:eastAsia="仿宋_GB2312" w:cs="仿宋_GB2312"/>
          <w:color w:val="000000"/>
          <w:kern w:val="0"/>
          <w:sz w:val="32"/>
          <w:szCs w:val="32"/>
          <w:shd w:val="clear" w:color="auto" w:fill="FFFFFF"/>
        </w:rPr>
        <w:t>餐饮消费，助力实体经济高质量发展</w:t>
      </w: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青岛市商务局开展</w:t>
      </w:r>
      <w:r>
        <w:rPr>
          <w:rFonts w:hint="eastAsia" w:ascii="仿宋_GB2312" w:hAnsi="仿宋_GB2312" w:eastAsia="仿宋_GB2312" w:cs="仿宋_GB2312"/>
          <w:color w:val="000000"/>
          <w:kern w:val="0"/>
          <w:sz w:val="32"/>
          <w:szCs w:val="32"/>
          <w:shd w:val="clear" w:color="auto" w:fill="FFFFFF"/>
        </w:rPr>
        <w:t>了</w:t>
      </w:r>
      <w:r>
        <w:rPr>
          <w:rFonts w:ascii="仿宋_GB2312" w:hAnsi="仿宋_GB2312" w:eastAsia="仿宋_GB2312" w:cs="仿宋_GB2312"/>
          <w:color w:val="000000"/>
          <w:kern w:val="0"/>
          <w:sz w:val="32"/>
          <w:szCs w:val="32"/>
          <w:shd w:val="clear" w:color="auto" w:fill="FFFFFF"/>
        </w:rPr>
        <w:t>啤酒特色餐饮休闲街区的打造和评选工作。</w:t>
      </w:r>
      <w:r>
        <w:rPr>
          <w:rFonts w:hint="eastAsia" w:ascii="仿宋_GB2312" w:hAnsi="仿宋_GB2312" w:eastAsia="仿宋_GB2312" w:cs="仿宋_GB2312"/>
          <w:color w:val="000000"/>
          <w:kern w:val="0"/>
          <w:sz w:val="32"/>
          <w:szCs w:val="32"/>
          <w:shd w:val="clear" w:color="auto" w:fill="FFFFFF"/>
        </w:rPr>
        <w:t>政策出台后，各区市积极响应，结合辖区资源禀赋推进啤酒特色街区建设。坚持优中选优原则，确定奥帆中心啤酒特色街区、台东步行街、青岛金沙滩啤酒城街区、即墨古城、水悦城音乐吧特色街区5条街区为“青岛市啤酒特色餐饮休闲街区”。</w:t>
      </w:r>
    </w:p>
    <w:p>
      <w:pPr>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在管理制度方面，各特色街区</w:t>
      </w:r>
      <w:r>
        <w:rPr>
          <w:rFonts w:ascii="仿宋_GB2312" w:hAnsi="仿宋_GB2312" w:eastAsia="仿宋_GB2312" w:cs="仿宋_GB2312"/>
          <w:color w:val="000000"/>
          <w:kern w:val="0"/>
          <w:sz w:val="32"/>
          <w:szCs w:val="32"/>
          <w:shd w:val="clear" w:color="auto" w:fill="FFFFFF"/>
        </w:rPr>
        <w:t>运营主体</w:t>
      </w:r>
      <w:r>
        <w:rPr>
          <w:rFonts w:hint="eastAsia" w:ascii="仿宋_GB2312" w:hAnsi="仿宋_GB2312" w:eastAsia="仿宋_GB2312" w:cs="仿宋_GB2312"/>
          <w:color w:val="000000"/>
          <w:kern w:val="0"/>
          <w:sz w:val="32"/>
          <w:szCs w:val="32"/>
          <w:shd w:val="clear" w:color="auto" w:fill="FFFFFF"/>
        </w:rPr>
        <w:t>的运营机制日益完善，</w:t>
      </w:r>
      <w:r>
        <w:rPr>
          <w:rFonts w:ascii="Times New Roman" w:hAnsi="Times New Roman" w:eastAsia="仿宋_GB2312" w:cs="Times New Roman"/>
          <w:sz w:val="32"/>
          <w:szCs w:val="40"/>
        </w:rPr>
        <w:t>啤酒特色餐饮休闲街区围绕</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规范高效、协同赋能</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核心，逐步构建起适配自身定位的运营体系，从</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粗放式管理</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向</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精细化运营</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转变，为街区持续活力提供制度支撑。</w:t>
      </w:r>
      <w:r>
        <w:rPr>
          <w:rFonts w:hint="eastAsia" w:ascii="Times New Roman" w:hAnsi="Times New Roman" w:eastAsia="仿宋_GB2312" w:cs="Times New Roman"/>
          <w:sz w:val="32"/>
          <w:szCs w:val="40"/>
        </w:rPr>
        <w:t>在日常运营方面，各街区以</w:t>
      </w:r>
      <w:r>
        <w:rPr>
          <w:rFonts w:ascii="Times New Roman" w:hAnsi="Times New Roman" w:eastAsia="仿宋_GB2312" w:cs="Times New Roman"/>
          <w:sz w:val="32"/>
          <w:szCs w:val="40"/>
        </w:rPr>
        <w:t>规范商户经营、保障服务品质</w:t>
      </w:r>
      <w:r>
        <w:rPr>
          <w:rFonts w:hint="eastAsia" w:ascii="Times New Roman" w:hAnsi="Times New Roman" w:eastAsia="仿宋_GB2312" w:cs="Times New Roman"/>
          <w:sz w:val="32"/>
          <w:szCs w:val="40"/>
        </w:rPr>
        <w:t>为</w:t>
      </w:r>
      <w:r>
        <w:rPr>
          <w:rFonts w:ascii="Times New Roman" w:hAnsi="Times New Roman" w:eastAsia="仿宋_GB2312" w:cs="Times New Roman"/>
          <w:sz w:val="32"/>
          <w:szCs w:val="40"/>
        </w:rPr>
        <w:t>主线，从准入、监管、提升三个环节优化商家管理机制，推动街区从</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聚集商户</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向</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提质商户</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转变，为消费者营造放心、优质的消费环境。建立日常巡查</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专项检查</w:t>
      </w:r>
      <w:r>
        <w:rPr>
          <w:rFonts w:hint="eastAsia" w:ascii="Times New Roman" w:hAnsi="Times New Roman" w:eastAsia="仿宋_GB2312" w:cs="Times New Roman"/>
          <w:sz w:val="32"/>
          <w:szCs w:val="40"/>
        </w:rPr>
        <w:t>和</w:t>
      </w:r>
      <w:r>
        <w:rPr>
          <w:rFonts w:ascii="Times New Roman" w:hAnsi="Times New Roman" w:eastAsia="仿宋_GB2312" w:cs="Times New Roman"/>
          <w:sz w:val="32"/>
          <w:szCs w:val="40"/>
        </w:rPr>
        <w:t>消费者反馈</w:t>
      </w:r>
      <w:r>
        <w:rPr>
          <w:rFonts w:hint="eastAsia" w:ascii="Times New Roman" w:hAnsi="Times New Roman" w:eastAsia="仿宋_GB2312" w:cs="Times New Roman"/>
          <w:sz w:val="32"/>
          <w:szCs w:val="40"/>
        </w:rPr>
        <w:t>相结合</w:t>
      </w:r>
      <w:r>
        <w:rPr>
          <w:rFonts w:ascii="Times New Roman" w:hAnsi="Times New Roman" w:eastAsia="仿宋_GB2312" w:cs="Times New Roman"/>
          <w:sz w:val="32"/>
          <w:szCs w:val="40"/>
        </w:rPr>
        <w:t>的</w:t>
      </w:r>
      <w:r>
        <w:rPr>
          <w:rFonts w:hint="eastAsia" w:ascii="Times New Roman" w:hAnsi="Times New Roman" w:eastAsia="仿宋_GB2312" w:cs="Times New Roman"/>
          <w:sz w:val="32"/>
          <w:szCs w:val="40"/>
        </w:rPr>
        <w:t>商户</w:t>
      </w:r>
      <w:r>
        <w:rPr>
          <w:rFonts w:ascii="Times New Roman" w:hAnsi="Times New Roman" w:eastAsia="仿宋_GB2312" w:cs="Times New Roman"/>
          <w:sz w:val="32"/>
          <w:szCs w:val="40"/>
        </w:rPr>
        <w:t>监管体系</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强化日常监管，规范经营行为</w:t>
      </w:r>
      <w:r>
        <w:rPr>
          <w:rFonts w:hint="eastAsia" w:ascii="Times New Roman" w:hAnsi="Times New Roman" w:eastAsia="仿宋_GB2312" w:cs="Times New Roman"/>
          <w:sz w:val="32"/>
          <w:szCs w:val="40"/>
        </w:rPr>
        <w:t>。针对商户经营难点，运营方主动对接资源，协助解决投诉纠纷等问题，赋能长效经营。</w:t>
      </w:r>
      <w:r>
        <w:rPr>
          <w:rFonts w:ascii="仿宋_GB2312" w:hAnsi="仿宋_GB2312" w:eastAsia="仿宋_GB2312" w:cs="仿宋_GB2312"/>
          <w:color w:val="000000"/>
          <w:kern w:val="0"/>
          <w:sz w:val="32"/>
          <w:szCs w:val="32"/>
          <w:shd w:val="clear" w:color="auto" w:fill="FFFFFF"/>
        </w:rPr>
        <w:t>在宣传推广方面，</w:t>
      </w:r>
      <w:r>
        <w:rPr>
          <w:rFonts w:hint="eastAsia" w:ascii="仿宋_GB2312" w:hAnsi="仿宋_GB2312" w:eastAsia="仿宋_GB2312" w:cs="仿宋_GB2312"/>
          <w:color w:val="000000"/>
          <w:kern w:val="0"/>
          <w:sz w:val="32"/>
          <w:szCs w:val="32"/>
          <w:shd w:val="clear" w:color="auto" w:fill="FFFFFF"/>
        </w:rPr>
        <w:t>各特色街区</w:t>
      </w:r>
      <w:r>
        <w:rPr>
          <w:rFonts w:ascii="仿宋_GB2312" w:hAnsi="仿宋_GB2312" w:eastAsia="仿宋_GB2312" w:cs="仿宋_GB2312"/>
          <w:color w:val="000000"/>
          <w:kern w:val="0"/>
          <w:sz w:val="32"/>
          <w:szCs w:val="32"/>
          <w:shd w:val="clear" w:color="auto" w:fill="FFFFFF"/>
        </w:rPr>
        <w:t>运营主体利用多种渠道提升街区知名度</w:t>
      </w: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通过自主运营官方微信公众号、视频号、抖音号等自媒体平台，发布街区活动信息、特色美食推荐等内容，吸引粉丝关注。同时，积极与各大旅行社合作，将街区纳入旅游线路推荐，吸引外地游客前来消费。</w:t>
      </w:r>
    </w:p>
    <w:p>
      <w:pPr>
        <w:spacing w:line="600" w:lineRule="exact"/>
        <w:ind w:firstLine="640" w:firstLineChars="200"/>
        <w:outlineLvl w:val="0"/>
        <w:rPr>
          <w:rFonts w:ascii="黑体" w:hAnsi="黑体" w:eastAsia="黑体" w:cs="黑体"/>
          <w:sz w:val="32"/>
          <w:szCs w:val="40"/>
        </w:rPr>
      </w:pPr>
      <w:r>
        <w:rPr>
          <w:rFonts w:hint="eastAsia" w:ascii="黑体" w:hAnsi="黑体" w:eastAsia="黑体" w:cs="黑体"/>
          <w:sz w:val="32"/>
          <w:szCs w:val="40"/>
        </w:rPr>
        <w:t>五、发现的问题及原因分析</w:t>
      </w:r>
      <w:bookmarkEnd w:id="37"/>
      <w:bookmarkEnd w:id="38"/>
    </w:p>
    <w:p>
      <w:pPr>
        <w:pStyle w:val="2"/>
        <w:keepNext w:val="0"/>
        <w:keepLines w:val="0"/>
        <w:widowControl/>
        <w:ind w:firstLine="640"/>
        <w:rPr>
          <w:rFonts w:ascii="仿宋_GB2312" w:hAnsi="仿宋_GB2312" w:eastAsia="仿宋_GB2312" w:cs="仿宋_GB2312"/>
          <w:color w:val="000000"/>
          <w:shd w:val="clear" w:color="auto" w:fill="FFFFFF"/>
        </w:rPr>
      </w:pPr>
      <w:bookmarkStart w:id="39" w:name="_Toc6795"/>
      <w:bookmarkStart w:id="40" w:name="_Toc5281"/>
      <w:r>
        <w:rPr>
          <w:rFonts w:hint="eastAsia" w:hAnsi="楷体_GB2312" w:cs="楷体_GB2312"/>
          <w:b w:val="0"/>
          <w:bCs w:val="0"/>
        </w:rPr>
        <w:t>（一）政策要素还需完善</w:t>
      </w:r>
      <w:bookmarkEnd w:id="39"/>
      <w:bookmarkEnd w:id="40"/>
      <w:r>
        <w:rPr>
          <w:rFonts w:hint="eastAsia" w:hAnsi="楷体_GB2312" w:cs="楷体_GB2312"/>
          <w:b w:val="0"/>
          <w:bCs w:val="0"/>
        </w:rPr>
        <w:t>，认定依据有待明确</w:t>
      </w:r>
    </w:p>
    <w:p>
      <w:pPr>
        <w:widowControl/>
        <w:spacing w:line="600" w:lineRule="exact"/>
        <w:ind w:firstLine="643" w:firstLineChars="200"/>
      </w:pPr>
      <w:r>
        <w:rPr>
          <w:rFonts w:hint="eastAsia" w:ascii="仿宋_GB2312" w:hAnsi="仿宋_GB2312" w:eastAsia="仿宋_GB2312" w:cs="仿宋_GB2312"/>
          <w:b/>
          <w:bCs/>
          <w:color w:val="000000"/>
          <w:sz w:val="32"/>
          <w:szCs w:val="32"/>
          <w:shd w:val="clear" w:color="auto" w:fill="FFFFFF"/>
        </w:rPr>
        <w:t>一是</w:t>
      </w:r>
      <w:r>
        <w:rPr>
          <w:rFonts w:hint="eastAsia" w:ascii="仿宋_GB2312" w:hAnsi="仿宋_GB2312" w:eastAsia="仿宋_GB2312" w:cs="仿宋_GB2312"/>
          <w:color w:val="000000"/>
          <w:sz w:val="32"/>
          <w:szCs w:val="32"/>
          <w:shd w:val="clear" w:color="auto" w:fill="FFFFFF"/>
        </w:rPr>
        <w:t>评分标准未覆盖认定标准的全部内容。</w:t>
      </w:r>
      <w:r>
        <w:rPr>
          <w:rFonts w:hint="eastAsia" w:ascii="仿宋_GB2312" w:hAnsi="仿宋_GB2312" w:eastAsia="仿宋_GB2312" w:cs="仿宋_GB2312"/>
          <w:color w:val="000000"/>
          <w:kern w:val="0"/>
          <w:sz w:val="32"/>
          <w:szCs w:val="32"/>
          <w:shd w:val="clear" w:color="auto" w:fill="FFFFFF"/>
        </w:rPr>
        <w:t>《青岛市啤酒特色餐饮休闲街区认定和申报管理办法（试行）》</w:t>
      </w:r>
      <w:r>
        <w:rPr>
          <w:rFonts w:hint="eastAsia" w:ascii="仿宋_GB2312" w:hAnsi="仿宋_GB2312" w:eastAsia="仿宋_GB2312" w:cs="仿宋_GB2312"/>
          <w:color w:val="000000"/>
          <w:sz w:val="32"/>
          <w:szCs w:val="32"/>
          <w:shd w:val="clear" w:color="auto" w:fill="FFFFFF"/>
        </w:rPr>
        <w:t>对特色街区的认定标准</w:t>
      </w:r>
      <w:r>
        <w:rPr>
          <w:rFonts w:ascii="仿宋_GB2312" w:hAnsi="仿宋_GB2312" w:eastAsia="仿宋_GB2312" w:cs="仿宋_GB2312"/>
          <w:color w:val="000000"/>
          <w:sz w:val="32"/>
          <w:szCs w:val="32"/>
          <w:shd w:val="clear" w:color="auto" w:fill="FFFFFF"/>
        </w:rPr>
        <w:t>做出了</w:t>
      </w:r>
      <w:r>
        <w:rPr>
          <w:rFonts w:hint="eastAsia" w:ascii="仿宋_GB2312" w:hAnsi="仿宋_GB2312" w:eastAsia="仿宋_GB2312" w:cs="仿宋_GB2312"/>
          <w:color w:val="000000"/>
          <w:sz w:val="32"/>
          <w:szCs w:val="32"/>
          <w:shd w:val="clear" w:color="auto" w:fill="FFFFFF"/>
        </w:rPr>
        <w:t>明确的要求，但其附件《青岛市啤酒特色餐饮休闲街区评分表》的评分标准与认定标准不完全匹配。例如，《办法》要求特色街区“年客流量需达到100万人次”“应设置微型消防站以强化安全保障”，但评分表均未设置相应的评分项。</w:t>
      </w:r>
    </w:p>
    <w:p>
      <w:pPr>
        <w:widowControl/>
        <w:spacing w:line="600" w:lineRule="exact"/>
        <w:ind w:firstLine="643" w:firstLineChars="200"/>
      </w:pPr>
      <w:r>
        <w:rPr>
          <w:rFonts w:hint="eastAsia" w:ascii="仿宋_GB2312" w:hAnsi="仿宋_GB2312" w:eastAsia="仿宋_GB2312" w:cs="仿宋_GB2312"/>
          <w:b/>
          <w:bCs/>
          <w:color w:val="000000"/>
          <w:sz w:val="32"/>
          <w:szCs w:val="32"/>
          <w:shd w:val="clear" w:color="auto" w:fill="FFFFFF"/>
        </w:rPr>
        <w:t>二是</w:t>
      </w:r>
      <w:r>
        <w:rPr>
          <w:rFonts w:hint="eastAsia" w:ascii="仿宋_GB2312" w:hAnsi="仿宋_GB2312" w:eastAsia="仿宋_GB2312" w:cs="仿宋_GB2312"/>
          <w:color w:val="000000"/>
          <w:sz w:val="32"/>
          <w:szCs w:val="32"/>
          <w:shd w:val="clear" w:color="auto" w:fill="FFFFFF"/>
        </w:rPr>
        <w:t>政策文件要素不完整。</w:t>
      </w:r>
      <w:r>
        <w:rPr>
          <w:rFonts w:hint="eastAsia" w:ascii="仿宋_GB2312" w:hAnsi="仿宋_GB2312" w:eastAsia="仿宋_GB2312" w:cs="仿宋_GB2312"/>
          <w:sz w:val="32"/>
          <w:szCs w:val="32"/>
          <w:shd w:val="clear" w:color="auto" w:fill="FFFFFF"/>
        </w:rPr>
        <w:t>市商务局发布的</w:t>
      </w:r>
      <w:r>
        <w:rPr>
          <w:rFonts w:hint="eastAsia" w:ascii="仿宋_GB2312" w:hAnsi="仿宋_GB2312" w:eastAsia="仿宋_GB2312" w:cs="仿宋_GB2312"/>
          <w:color w:val="000000"/>
          <w:kern w:val="0"/>
          <w:sz w:val="32"/>
          <w:szCs w:val="32"/>
          <w:shd w:val="clear" w:color="auto" w:fill="FFFFFF"/>
        </w:rPr>
        <w:t>《青岛市啤酒特色餐饮休闲街区认定和申报管理办法（试行）》</w:t>
      </w:r>
      <w:r>
        <w:rPr>
          <w:rFonts w:hint="eastAsia" w:ascii="仿宋_GB2312" w:hAnsi="仿宋_GB2312" w:eastAsia="仿宋_GB2312" w:cs="仿宋_GB2312"/>
          <w:sz w:val="32"/>
          <w:szCs w:val="32"/>
          <w:shd w:val="clear" w:color="auto" w:fill="FFFFFF"/>
        </w:rPr>
        <w:t>中，未明确街区运营主体和各区（市）商务部门对于该政策的申报、审核、认定、公示等关键节点的具体时限要求</w:t>
      </w:r>
      <w:r>
        <w:rPr>
          <w:rFonts w:hint="eastAsia" w:ascii="仿宋_GB2312" w:hAnsi="仿宋_GB2312" w:eastAsia="仿宋_GB2312" w:cs="仿宋_GB2312"/>
          <w:color w:val="000000"/>
          <w:sz w:val="32"/>
          <w:szCs w:val="32"/>
          <w:shd w:val="clear" w:color="auto" w:fill="FFFFFF"/>
        </w:rPr>
        <w:t>。</w:t>
      </w:r>
    </w:p>
    <w:p>
      <w:pPr>
        <w:overflowPunct w:val="0"/>
        <w:spacing w:line="600" w:lineRule="exact"/>
        <w:ind w:firstLine="640" w:firstLineChars="200"/>
        <w:outlineLvl w:val="1"/>
        <w:rPr>
          <w:rFonts w:ascii="楷体_GB2312" w:hAnsi="楷体_GB2312" w:eastAsia="楷体_GB2312" w:cs="楷体_GB2312"/>
          <w:sz w:val="32"/>
          <w:szCs w:val="40"/>
        </w:rPr>
      </w:pPr>
      <w:bookmarkStart w:id="41" w:name="_Toc24673"/>
      <w:bookmarkStart w:id="42" w:name="_Toc7205"/>
      <w:r>
        <w:rPr>
          <w:rFonts w:hint="eastAsia" w:ascii="楷体_GB2312" w:hAnsi="楷体_GB2312" w:eastAsia="楷体_GB2312" w:cs="楷体_GB2312"/>
          <w:sz w:val="32"/>
          <w:szCs w:val="40"/>
        </w:rPr>
        <w:t>（二）执行流程不够规范，过程审核控制</w:t>
      </w:r>
      <w:bookmarkEnd w:id="41"/>
      <w:bookmarkEnd w:id="42"/>
      <w:r>
        <w:rPr>
          <w:rFonts w:hint="eastAsia" w:ascii="楷体_GB2312" w:hAnsi="楷体_GB2312" w:eastAsia="楷体_GB2312" w:cs="楷体_GB2312"/>
          <w:sz w:val="32"/>
          <w:szCs w:val="40"/>
        </w:rPr>
        <w:t>待加强</w:t>
      </w:r>
    </w:p>
    <w:p>
      <w:pPr>
        <w:widowControl/>
        <w:overflowPunct w:val="0"/>
        <w:spacing w:line="600" w:lineRule="exact"/>
        <w:ind w:firstLine="643"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一是</w:t>
      </w:r>
      <w:r>
        <w:rPr>
          <w:rFonts w:hint="eastAsia" w:ascii="仿宋_GB2312" w:hAnsi="仿宋_GB2312" w:eastAsia="仿宋_GB2312" w:cs="仿宋_GB2312"/>
          <w:color w:val="000000"/>
          <w:sz w:val="32"/>
          <w:szCs w:val="32"/>
          <w:shd w:val="clear" w:color="auto" w:fill="FFFFFF"/>
        </w:rPr>
        <w:t>部分区（市）积极性不够，</w:t>
      </w:r>
      <w:r>
        <w:rPr>
          <w:rFonts w:ascii="仿宋_GB2312" w:hAnsi="仿宋_GB2312" w:eastAsia="仿宋_GB2312" w:cs="仿宋_GB2312"/>
          <w:color w:val="000000"/>
          <w:sz w:val="32"/>
          <w:szCs w:val="32"/>
          <w:shd w:val="clear" w:color="auto" w:fill="FFFFFF"/>
        </w:rPr>
        <w:t>前期摸底调查</w:t>
      </w:r>
      <w:r>
        <w:rPr>
          <w:rFonts w:hint="eastAsia" w:ascii="仿宋_GB2312" w:hAnsi="仿宋_GB2312" w:eastAsia="仿宋_GB2312" w:cs="仿宋_GB2312"/>
          <w:color w:val="000000"/>
          <w:sz w:val="32"/>
          <w:szCs w:val="32"/>
          <w:shd w:val="clear" w:color="auto" w:fill="FFFFFF"/>
        </w:rPr>
        <w:t>工作落实不到位。2024年9月27日，青岛市商务局发布《关于报送重点培育的啤酒特色餐饮休闲街区情况的通知》，要求各区（市）10月8日前报送啤酒特色街区摸底表。李沧区、莱西市未按照要求报送摸底情况，从而导致市商务局无法全面掌握全市啤酒特色街区的开办情况、活动组织情况以及消费促进情况，不利于后续特色街区培育、管理等工作的有效开展。</w:t>
      </w:r>
    </w:p>
    <w:p>
      <w:pPr>
        <w:widowControl/>
        <w:spacing w:line="600" w:lineRule="exact"/>
        <w:ind w:firstLine="643"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二是</w:t>
      </w:r>
      <w:r>
        <w:rPr>
          <w:rFonts w:hint="eastAsia" w:ascii="仿宋_GB2312" w:hAnsi="仿宋_GB2312" w:eastAsia="仿宋_GB2312" w:cs="仿宋_GB2312"/>
          <w:color w:val="000000"/>
          <w:sz w:val="32"/>
          <w:szCs w:val="32"/>
          <w:shd w:val="clear" w:color="auto" w:fill="FFFFFF"/>
        </w:rPr>
        <w:t>未提供部分</w:t>
      </w:r>
      <w:r>
        <w:rPr>
          <w:rFonts w:ascii="仿宋_GB2312" w:hAnsi="仿宋_GB2312" w:eastAsia="仿宋_GB2312" w:cs="仿宋_GB2312"/>
          <w:color w:val="000000"/>
          <w:sz w:val="32"/>
          <w:szCs w:val="32"/>
          <w:shd w:val="clear" w:color="auto" w:fill="FFFFFF"/>
        </w:rPr>
        <w:t>认定</w:t>
      </w:r>
      <w:r>
        <w:rPr>
          <w:rFonts w:hint="eastAsia" w:ascii="仿宋_GB2312" w:hAnsi="仿宋_GB2312" w:eastAsia="仿宋_GB2312" w:cs="仿宋_GB2312"/>
          <w:color w:val="000000"/>
          <w:sz w:val="32"/>
          <w:szCs w:val="32"/>
          <w:shd w:val="clear" w:color="auto" w:fill="FFFFFF"/>
        </w:rPr>
        <w:t>过程档案资料。在专家评审环节，市商务局未提供组织专家对街区进行实地考察的记录，无法核实认定流程是否规范落实。同时，专家评审环节未记录扣分依据，无法追溯专家评审的客观性、准确性。</w:t>
      </w:r>
    </w:p>
    <w:p>
      <w:pPr>
        <w:spacing w:line="600" w:lineRule="exact"/>
        <w:ind w:firstLine="643"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三是</w:t>
      </w:r>
      <w:r>
        <w:rPr>
          <w:rFonts w:hint="eastAsia" w:ascii="仿宋_GB2312" w:hAnsi="仿宋_GB2312" w:eastAsia="仿宋_GB2312" w:cs="仿宋_GB2312"/>
          <w:color w:val="000000"/>
          <w:sz w:val="32"/>
          <w:szCs w:val="32"/>
          <w:shd w:val="clear" w:color="auto" w:fill="FFFFFF"/>
        </w:rPr>
        <w:t>评审专家未按评分规定进行得分。一方面，</w:t>
      </w:r>
      <w:r>
        <w:rPr>
          <w:rFonts w:hint="eastAsia" w:ascii="仿宋_GB2312" w:hAnsi="仿宋_GB2312" w:eastAsia="仿宋_GB2312" w:cs="仿宋_GB2312"/>
          <w:color w:val="000000"/>
          <w:kern w:val="0"/>
          <w:sz w:val="32"/>
          <w:szCs w:val="32"/>
          <w:shd w:val="clear" w:color="auto" w:fill="FFFFFF"/>
        </w:rPr>
        <w:t>个别受奖励街区评价日的实际情况与专家评审情况不符，如青岛金沙滩啤酒城街区实际未实现人车分流，但部分专家对该指标评定为满分。</w:t>
      </w:r>
      <w:r>
        <w:rPr>
          <w:rFonts w:hint="eastAsia" w:ascii="仿宋_GB2312" w:hAnsi="仿宋_GB2312" w:eastAsia="仿宋_GB2312" w:cs="仿宋_GB2312"/>
          <w:color w:val="000000"/>
          <w:sz w:val="32"/>
          <w:szCs w:val="32"/>
          <w:shd w:val="clear" w:color="auto" w:fill="FFFFFF"/>
        </w:rPr>
        <w:t>另一方面，</w:t>
      </w:r>
      <w:r>
        <w:rPr>
          <w:rFonts w:hint="eastAsia" w:ascii="仿宋_GB2312" w:hAnsi="仿宋_GB2312" w:eastAsia="仿宋_GB2312" w:cs="仿宋_GB2312"/>
          <w:color w:val="000000"/>
          <w:kern w:val="0"/>
          <w:sz w:val="32"/>
          <w:szCs w:val="32"/>
          <w:shd w:val="clear" w:color="auto" w:fill="FFFFFF"/>
        </w:rPr>
        <w:t>评审专家打分方式与评分表要求打分方式的计算方法不一致，5位专家均未按照</w:t>
      </w:r>
      <w:r>
        <w:rPr>
          <w:rFonts w:ascii="仿宋_GB2312" w:hAnsi="仿宋_GB2312" w:eastAsia="仿宋_GB2312" w:cs="仿宋_GB2312"/>
          <w:color w:val="000000"/>
          <w:kern w:val="0"/>
          <w:sz w:val="32"/>
          <w:szCs w:val="32"/>
          <w:shd w:val="clear" w:color="auto" w:fill="FFFFFF"/>
        </w:rPr>
        <w:t>《青岛市啤酒特色餐饮休闲街区评分表》</w:t>
      </w:r>
      <w:r>
        <w:rPr>
          <w:rFonts w:hint="eastAsia" w:ascii="仿宋_GB2312" w:hAnsi="仿宋_GB2312" w:eastAsia="仿宋_GB2312" w:cs="仿宋_GB2312"/>
          <w:color w:val="000000"/>
          <w:kern w:val="0"/>
          <w:sz w:val="32"/>
          <w:szCs w:val="32"/>
          <w:shd w:val="clear" w:color="auto" w:fill="FFFFFF"/>
        </w:rPr>
        <w:t>的要求进行评分。如部分指标的分值为4分，评分依据的要求为“优秀得满分，良好得80%分值，差不得分”，但专家评分为3分，与评分依据无法对应，</w:t>
      </w:r>
      <w:r>
        <w:rPr>
          <w:rFonts w:hint="eastAsia" w:ascii="仿宋_GB2312" w:hAnsi="仿宋_GB2312" w:eastAsia="仿宋_GB2312" w:cs="仿宋_GB2312"/>
          <w:color w:val="000000"/>
          <w:sz w:val="32"/>
          <w:szCs w:val="32"/>
          <w:shd w:val="clear" w:color="auto" w:fill="FFFFFF"/>
        </w:rPr>
        <w:t>导致</w:t>
      </w:r>
      <w:r>
        <w:rPr>
          <w:rFonts w:ascii="仿宋_GB2312" w:hAnsi="仿宋_GB2312" w:eastAsia="仿宋_GB2312" w:cs="仿宋_GB2312"/>
          <w:color w:val="000000"/>
          <w:sz w:val="32"/>
          <w:szCs w:val="32"/>
          <w:shd w:val="clear" w:color="auto" w:fill="FFFFFF"/>
        </w:rPr>
        <w:t>评审结果丧失量化参考价值</w:t>
      </w:r>
      <w:r>
        <w:rPr>
          <w:rFonts w:hint="eastAsia" w:ascii="仿宋_GB2312" w:hAnsi="仿宋_GB2312" w:eastAsia="仿宋_GB2312" w:cs="仿宋_GB2312"/>
          <w:color w:val="000000"/>
          <w:sz w:val="32"/>
          <w:szCs w:val="32"/>
          <w:shd w:val="clear" w:color="auto" w:fill="FFFFFF"/>
        </w:rPr>
        <w:t>。</w:t>
      </w:r>
      <w:bookmarkStart w:id="43" w:name="_Toc15670"/>
      <w:bookmarkStart w:id="44" w:name="_Toc27288"/>
    </w:p>
    <w:p>
      <w:pPr>
        <w:spacing w:line="600" w:lineRule="exact"/>
        <w:ind w:firstLine="640" w:firstLineChars="200"/>
        <w:outlineLvl w:val="1"/>
        <w:rPr>
          <w:rFonts w:ascii="楷体_GB2312" w:hAnsi="楷体_GB2312" w:eastAsia="楷体_GB2312" w:cs="楷体_GB2312"/>
          <w:sz w:val="32"/>
          <w:szCs w:val="40"/>
        </w:rPr>
      </w:pPr>
      <w:r>
        <w:rPr>
          <w:rFonts w:hint="eastAsia" w:ascii="楷体_GB2312" w:hAnsi="楷体_GB2312" w:eastAsia="楷体_GB2312" w:cs="楷体_GB2312"/>
          <w:sz w:val="32"/>
          <w:szCs w:val="40"/>
        </w:rPr>
        <w:t>（三）奖励资金执行率低，资金使用</w:t>
      </w:r>
      <w:bookmarkEnd w:id="43"/>
      <w:r>
        <w:rPr>
          <w:rFonts w:hint="eastAsia" w:ascii="楷体_GB2312" w:hAnsi="楷体_GB2312" w:eastAsia="楷体_GB2312" w:cs="楷体_GB2312"/>
          <w:sz w:val="32"/>
          <w:szCs w:val="40"/>
        </w:rPr>
        <w:t>范围</w:t>
      </w:r>
      <w:bookmarkEnd w:id="44"/>
      <w:r>
        <w:rPr>
          <w:rFonts w:hint="eastAsia" w:ascii="楷体_GB2312" w:hAnsi="楷体_GB2312" w:eastAsia="楷体_GB2312" w:cs="楷体_GB2312"/>
          <w:sz w:val="32"/>
          <w:szCs w:val="40"/>
        </w:rPr>
        <w:t>不明确</w:t>
      </w:r>
    </w:p>
    <w:p>
      <w:pPr>
        <w:spacing w:line="600" w:lineRule="exact"/>
        <w:ind w:firstLine="643" w:firstLineChars="200"/>
        <w:rPr>
          <w:rFonts w:ascii="仿宋_GB2312" w:hAnsi="仿宋_GB2312" w:eastAsia="仿宋_GB2312" w:cs="仿宋_GB2312"/>
          <w:color w:val="000000"/>
          <w:kern w:val="0"/>
          <w:sz w:val="32"/>
          <w:szCs w:val="32"/>
          <w:shd w:val="clear" w:color="auto" w:fill="FFFFFF"/>
        </w:rPr>
      </w:pPr>
      <w:r>
        <w:rPr>
          <w:rFonts w:hint="eastAsia" w:ascii="楷体_GB2312" w:hAnsi="楷体_GB2312" w:eastAsia="楷体_GB2312" w:cs="楷体_GB2312"/>
          <w:b/>
          <w:bCs/>
          <w:color w:val="000000"/>
          <w:kern w:val="0"/>
          <w:sz w:val="32"/>
          <w:szCs w:val="32"/>
          <w:shd w:val="clear" w:color="auto" w:fill="FFFFFF"/>
        </w:rPr>
        <w:t>一是</w:t>
      </w:r>
      <w:r>
        <w:rPr>
          <w:rFonts w:hint="eastAsia" w:ascii="仿宋_GB2312" w:hAnsi="仿宋_GB2312" w:eastAsia="仿宋_GB2312" w:cs="仿宋_GB2312"/>
          <w:color w:val="000000"/>
          <w:kern w:val="0"/>
          <w:sz w:val="32"/>
          <w:szCs w:val="32"/>
          <w:shd w:val="clear" w:color="auto" w:fill="FFFFFF"/>
        </w:rPr>
        <w:t>奖励执行率低</w:t>
      </w:r>
      <w:r>
        <w:rPr>
          <w:rFonts w:hint="eastAsia" w:ascii="仿宋_GB2312" w:hAnsi="仿宋_GB2312" w:eastAsia="仿宋_GB2312" w:cs="仿宋_GB2312"/>
          <w:color w:val="000000"/>
          <w:kern w:val="0"/>
          <w:sz w:val="32"/>
          <w:szCs w:val="32"/>
          <w:shd w:val="clear" w:color="auto" w:fill="FFFFFF"/>
        </w:rPr>
        <w:t>。截至2025年6月，各区（市）未将奖励资金拨付至相关街区，导致受奖励街区无法使用奖励资金开展啤酒特色改造提升。在一定程度上，影响了政策预期效益的落地以及运营主体对政策信任度，进而影响后续申报积极性。</w:t>
      </w:r>
    </w:p>
    <w:p>
      <w:pPr>
        <w:overflowPunct w:val="0"/>
        <w:spacing w:line="600" w:lineRule="exact"/>
        <w:ind w:firstLine="643"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二是</w:t>
      </w:r>
      <w:r>
        <w:rPr>
          <w:rFonts w:hint="eastAsia" w:ascii="仿宋_GB2312" w:hAnsi="仿宋_GB2312" w:eastAsia="仿宋_GB2312" w:cs="仿宋_GB2312"/>
          <w:sz w:val="32"/>
          <w:szCs w:val="40"/>
        </w:rPr>
        <w:t>资金使用范围不明确</w:t>
      </w:r>
      <w:r>
        <w:rPr>
          <w:rFonts w:hint="eastAsia" w:ascii="仿宋_GB2312" w:hAnsi="仿宋_GB2312" w:eastAsia="仿宋_GB2312" w:cs="仿宋_GB2312"/>
          <w:color w:val="000000"/>
          <w:kern w:val="0"/>
          <w:sz w:val="32"/>
          <w:szCs w:val="32"/>
          <w:shd w:val="clear" w:color="auto" w:fill="FFFFFF"/>
        </w:rPr>
        <w:t>。《关于公布首批青岛市啤酒特色餐饮休闲街区的通知》中要求“首批青岛市啤酒特色餐饮休闲街区需做好奖励支持资金使用管理，做到专款专用，突出啤酒元素特色，引入更多</w:t>
      </w:r>
      <w:bookmarkStart w:id="57" w:name="_GoBack"/>
      <w:bookmarkEnd w:id="57"/>
      <w:r>
        <w:rPr>
          <w:rFonts w:hint="eastAsia" w:ascii="仿宋_GB2312" w:hAnsi="仿宋_GB2312" w:eastAsia="仿宋_GB2312" w:cs="仿宋_GB2312"/>
          <w:color w:val="000000"/>
          <w:kern w:val="0"/>
          <w:sz w:val="32"/>
          <w:szCs w:val="32"/>
          <w:shd w:val="clear" w:color="auto" w:fill="FFFFFF"/>
        </w:rPr>
        <w:t>啤酒相关特色业态，持续打造消费新场景、新热点”，未明确资金使用范围或负面清单，难以界定资金使用的违规边界，无法形成刚性约束。</w:t>
      </w:r>
    </w:p>
    <w:p>
      <w:pPr>
        <w:spacing w:line="600" w:lineRule="exact"/>
        <w:ind w:firstLine="640" w:firstLineChars="200"/>
        <w:outlineLvl w:val="1"/>
        <w:rPr>
          <w:rFonts w:ascii="楷体_GB2312" w:hAnsi="楷体_GB2312" w:eastAsia="楷体_GB2312" w:cs="楷体_GB2312"/>
          <w:sz w:val="32"/>
          <w:szCs w:val="40"/>
        </w:rPr>
      </w:pPr>
      <w:bookmarkStart w:id="45" w:name="_Toc8808"/>
      <w:bookmarkStart w:id="46" w:name="_Toc26664"/>
      <w:r>
        <w:rPr>
          <w:rFonts w:hint="eastAsia" w:ascii="楷体_GB2312" w:hAnsi="楷体_GB2312" w:eastAsia="楷体_GB2312" w:cs="楷体_GB2312"/>
          <w:sz w:val="32"/>
          <w:szCs w:val="40"/>
        </w:rPr>
        <w:t>（四）</w:t>
      </w:r>
      <w:r>
        <w:rPr>
          <w:rFonts w:ascii="楷体_GB2312" w:hAnsi="楷体_GB2312" w:eastAsia="楷体_GB2312" w:cs="楷体_GB2312"/>
          <w:sz w:val="32"/>
          <w:szCs w:val="40"/>
        </w:rPr>
        <w:t>政策</w:t>
      </w:r>
      <w:r>
        <w:rPr>
          <w:rFonts w:hint="eastAsia" w:ascii="楷体_GB2312" w:hAnsi="楷体_GB2312" w:eastAsia="楷体_GB2312" w:cs="楷体_GB2312"/>
          <w:sz w:val="32"/>
          <w:szCs w:val="40"/>
        </w:rPr>
        <w:t>实施绩效产出目标完成率待提高</w:t>
      </w:r>
      <w:bookmarkEnd w:id="45"/>
      <w:bookmarkEnd w:id="46"/>
    </w:p>
    <w:p>
      <w:pPr>
        <w:widowControl/>
        <w:spacing w:line="600" w:lineRule="exact"/>
        <w:ind w:firstLine="640" w:firstLineChars="200"/>
        <w:rPr>
          <w:rFonts w:ascii="Segoe UI" w:hAnsi="Segoe UI" w:eastAsia="宋体" w:cs="Segoe UI"/>
          <w:b/>
          <w:bCs/>
          <w:color w:val="000000"/>
          <w:shd w:val="clear" w:color="auto" w:fill="FFFFFF"/>
        </w:rPr>
      </w:pPr>
      <w:r>
        <w:rPr>
          <w:rFonts w:ascii="仿宋_GB2312" w:hAnsi="仿宋_GB2312" w:eastAsia="仿宋_GB2312" w:cs="仿宋_GB2312"/>
          <w:color w:val="000000"/>
          <w:kern w:val="0"/>
          <w:sz w:val="32"/>
          <w:szCs w:val="32"/>
          <w:shd w:val="clear" w:color="auto" w:fill="FFFFFF"/>
        </w:rPr>
        <w:t>街区运营质效下滑，政策带动效应未达预期</w:t>
      </w:r>
      <w:r>
        <w:rPr>
          <w:rFonts w:hint="eastAsia" w:ascii="仿宋_GB2312" w:hAnsi="仿宋_GB2312" w:eastAsia="仿宋_GB2312" w:cs="仿宋_GB2312"/>
          <w:color w:val="000000"/>
          <w:kern w:val="0"/>
          <w:sz w:val="32"/>
          <w:szCs w:val="32"/>
          <w:shd w:val="clear" w:color="auto" w:fill="FFFFFF"/>
        </w:rPr>
        <w:t>。通过奥帆中心啤酒特色街区和即墨古城工作人员调取了街区运营平台客流量数据。数据显示，奥帆中心啤酒特色街区，2023年的客流量为9468398人，2024年的客流量为8940939人，下降5.57%；即墨古城2023年12个人行出入口客流量总计3575924人次，2024年12个人行出入口客流量总计3371489人次，下降5.72%。台东步行街营业额通过其建立的统一收银体系统计；其他4条街区</w:t>
      </w:r>
      <w:r>
        <w:rPr>
          <w:rFonts w:hint="eastAsia" w:ascii="仿宋_GB2312" w:hAnsi="仿宋_GB2312" w:eastAsia="仿宋_GB2312" w:cs="仿宋_GB2312"/>
          <w:color w:val="000000"/>
          <w:sz w:val="32"/>
          <w:szCs w:val="32"/>
          <w:shd w:val="clear" w:color="auto" w:fill="FFFFFF"/>
        </w:rPr>
        <w:t>未建立统一收银体系，营业额通过运营主体组织商户填报。具体情况如下：</w:t>
      </w:r>
    </w:p>
    <w:p>
      <w:pPr>
        <w:keepNext/>
        <w:widowControl/>
        <w:spacing w:line="600" w:lineRule="exact"/>
        <w:jc w:val="center"/>
        <w:rPr>
          <w:rFonts w:ascii="Segoe UI" w:hAnsi="Segoe UI" w:eastAsia="宋体" w:cs="Segoe UI"/>
          <w:b/>
          <w:bCs/>
          <w:color w:val="000000"/>
          <w:shd w:val="clear" w:color="auto" w:fill="FFFFFF"/>
        </w:rPr>
      </w:pPr>
      <w:r>
        <w:rPr>
          <w:rFonts w:hint="eastAsia" w:ascii="宋体" w:hAnsi="宋体" w:eastAsia="宋体" w:cs="宋体"/>
          <w:b/>
          <w:bCs/>
          <w:color w:val="000000"/>
          <w:sz w:val="28"/>
          <w:szCs w:val="28"/>
          <w:shd w:val="clear" w:color="auto" w:fill="FFFFFF"/>
        </w:rPr>
        <w:t>表 3 经营统计体系情况表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2865"/>
        <w:gridCol w:w="1335"/>
        <w:gridCol w:w="1335"/>
        <w:gridCol w:w="1056"/>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4" w:type="dxa"/>
            <w:vMerge w:val="restart"/>
            <w:vAlign w:val="center"/>
          </w:tcPr>
          <w:p>
            <w:pPr>
              <w:keepNext/>
              <w:widowControl/>
              <w:jc w:val="center"/>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t>序号</w:t>
            </w:r>
          </w:p>
        </w:tc>
        <w:tc>
          <w:tcPr>
            <w:tcW w:w="2865" w:type="dxa"/>
            <w:vMerge w:val="restart"/>
            <w:vAlign w:val="center"/>
          </w:tcPr>
          <w:p>
            <w:pPr>
              <w:keepNext/>
              <w:widowControl/>
              <w:jc w:val="center"/>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t>街区名称</w:t>
            </w:r>
          </w:p>
        </w:tc>
        <w:tc>
          <w:tcPr>
            <w:tcW w:w="2670" w:type="dxa"/>
            <w:gridSpan w:val="2"/>
            <w:vAlign w:val="center"/>
          </w:tcPr>
          <w:p>
            <w:pPr>
              <w:keepNext/>
              <w:widowControl/>
              <w:jc w:val="center"/>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t>客流量（人次）</w:t>
            </w:r>
          </w:p>
        </w:tc>
        <w:tc>
          <w:tcPr>
            <w:tcW w:w="2113" w:type="dxa"/>
            <w:gridSpan w:val="2"/>
            <w:vAlign w:val="center"/>
          </w:tcPr>
          <w:p>
            <w:pPr>
              <w:keepNext/>
              <w:widowControl/>
              <w:jc w:val="center"/>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4" w:type="dxa"/>
            <w:vMerge w:val="continue"/>
            <w:vAlign w:val="center"/>
          </w:tcPr>
          <w:p>
            <w:pPr>
              <w:keepNext/>
              <w:widowControl/>
              <w:jc w:val="center"/>
              <w:rPr>
                <w:rFonts w:ascii="宋体" w:hAnsi="宋体" w:eastAsia="宋体" w:cs="宋体"/>
                <w:b/>
                <w:bCs/>
                <w:color w:val="000000"/>
                <w:sz w:val="24"/>
                <w:shd w:val="clear" w:color="auto" w:fill="FFFFFF"/>
              </w:rPr>
            </w:pPr>
          </w:p>
        </w:tc>
        <w:tc>
          <w:tcPr>
            <w:tcW w:w="2865" w:type="dxa"/>
            <w:vMerge w:val="continue"/>
            <w:vAlign w:val="center"/>
          </w:tcPr>
          <w:p>
            <w:pPr>
              <w:keepNext/>
              <w:widowControl/>
              <w:jc w:val="center"/>
              <w:rPr>
                <w:rFonts w:ascii="宋体" w:hAnsi="宋体" w:eastAsia="宋体" w:cs="宋体"/>
                <w:b/>
                <w:bCs/>
                <w:color w:val="000000"/>
                <w:sz w:val="24"/>
                <w:shd w:val="clear" w:color="auto" w:fill="FFFFFF"/>
              </w:rPr>
            </w:pPr>
          </w:p>
        </w:tc>
        <w:tc>
          <w:tcPr>
            <w:tcW w:w="1335" w:type="dxa"/>
            <w:vAlign w:val="center"/>
          </w:tcPr>
          <w:p>
            <w:pPr>
              <w:keepNext/>
              <w:widowControl/>
              <w:jc w:val="center"/>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t>2023年</w:t>
            </w:r>
          </w:p>
        </w:tc>
        <w:tc>
          <w:tcPr>
            <w:tcW w:w="1335" w:type="dxa"/>
            <w:vAlign w:val="center"/>
          </w:tcPr>
          <w:p>
            <w:pPr>
              <w:keepNext/>
              <w:widowControl/>
              <w:jc w:val="center"/>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t>2024年</w:t>
            </w:r>
          </w:p>
        </w:tc>
        <w:tc>
          <w:tcPr>
            <w:tcW w:w="1056" w:type="dxa"/>
            <w:vAlign w:val="center"/>
          </w:tcPr>
          <w:p>
            <w:pPr>
              <w:keepNext/>
              <w:widowControl/>
              <w:jc w:val="center"/>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t>2023年</w:t>
            </w:r>
          </w:p>
        </w:tc>
        <w:tc>
          <w:tcPr>
            <w:tcW w:w="1057" w:type="dxa"/>
            <w:vAlign w:val="center"/>
          </w:tcPr>
          <w:p>
            <w:pPr>
              <w:keepNext/>
              <w:widowControl/>
              <w:jc w:val="center"/>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t>2024年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4" w:type="dxa"/>
            <w:shd w:val="clear" w:color="auto" w:fill="auto"/>
            <w:vAlign w:val="center"/>
          </w:tcPr>
          <w:p>
            <w:pPr>
              <w:keepNext/>
              <w:widowControl/>
              <w:jc w:val="center"/>
              <w:textAlignment w:val="center"/>
              <w:rPr>
                <w:rFonts w:ascii="宋体" w:hAnsi="宋体" w:eastAsia="宋体" w:cs="宋体"/>
                <w:b/>
                <w:bCs/>
                <w:color w:val="000000"/>
                <w:sz w:val="24"/>
                <w:shd w:val="clear" w:color="auto" w:fill="FFFFFF"/>
              </w:rPr>
            </w:pPr>
            <w:r>
              <w:rPr>
                <w:rFonts w:hint="eastAsia" w:ascii="宋体" w:hAnsi="宋体" w:eastAsia="宋体" w:cs="宋体"/>
                <w:color w:val="000000"/>
                <w:kern w:val="0"/>
                <w:sz w:val="24"/>
              </w:rPr>
              <w:t>1</w:t>
            </w:r>
          </w:p>
        </w:tc>
        <w:tc>
          <w:tcPr>
            <w:tcW w:w="2865" w:type="dxa"/>
            <w:shd w:val="clear" w:color="auto" w:fill="auto"/>
            <w:vAlign w:val="center"/>
          </w:tcPr>
          <w:p>
            <w:pPr>
              <w:keepNext/>
              <w:widowControl/>
              <w:jc w:val="center"/>
              <w:textAlignment w:val="center"/>
              <w:rPr>
                <w:rFonts w:ascii="宋体" w:hAnsi="宋体" w:eastAsia="宋体" w:cs="宋体"/>
                <w:b/>
                <w:bCs/>
                <w:color w:val="000000"/>
                <w:sz w:val="24"/>
                <w:shd w:val="clear" w:color="auto" w:fill="FFFFFF"/>
              </w:rPr>
            </w:pPr>
            <w:r>
              <w:rPr>
                <w:rFonts w:hint="eastAsia" w:ascii="宋体" w:hAnsi="宋体" w:eastAsia="宋体" w:cs="宋体"/>
                <w:color w:val="000000"/>
                <w:kern w:val="0"/>
                <w:sz w:val="24"/>
              </w:rPr>
              <w:t>台东步行街</w:t>
            </w:r>
          </w:p>
        </w:tc>
        <w:tc>
          <w:tcPr>
            <w:tcW w:w="1335" w:type="dxa"/>
            <w:shd w:val="clear" w:color="auto" w:fill="auto"/>
            <w:vAlign w:val="center"/>
          </w:tcPr>
          <w:p>
            <w:pPr>
              <w:keepNext/>
              <w:widowControl/>
              <w:jc w:val="center"/>
              <w:textAlignment w:val="center"/>
              <w:rPr>
                <w:rFonts w:ascii="宋体" w:hAnsi="宋体" w:eastAsia="宋体" w:cs="宋体"/>
                <w:color w:val="000000"/>
                <w:sz w:val="24"/>
                <w:shd w:val="clear" w:color="auto" w:fill="FFFFFF"/>
              </w:rPr>
            </w:pPr>
            <w:r>
              <w:rPr>
                <w:rFonts w:hint="eastAsia" w:ascii="宋体" w:hAnsi="宋体" w:eastAsia="宋体" w:cs="宋体"/>
                <w:color w:val="000000"/>
                <w:kern w:val="0"/>
                <w:sz w:val="24"/>
              </w:rPr>
              <w:t>105200000</w:t>
            </w:r>
          </w:p>
        </w:tc>
        <w:tc>
          <w:tcPr>
            <w:tcW w:w="1335" w:type="dxa"/>
            <w:shd w:val="clear" w:color="auto" w:fill="auto"/>
            <w:vAlign w:val="center"/>
          </w:tcPr>
          <w:p>
            <w:pPr>
              <w:keepNext/>
              <w:widowControl/>
              <w:jc w:val="center"/>
              <w:textAlignment w:val="center"/>
              <w:rPr>
                <w:rFonts w:ascii="宋体" w:hAnsi="宋体" w:eastAsia="宋体" w:cs="宋体"/>
                <w:color w:val="000000"/>
                <w:sz w:val="24"/>
                <w:shd w:val="clear" w:color="auto" w:fill="FFFFFF"/>
              </w:rPr>
            </w:pPr>
            <w:r>
              <w:rPr>
                <w:rFonts w:hint="eastAsia" w:ascii="宋体" w:hAnsi="宋体" w:eastAsia="宋体" w:cs="宋体"/>
                <w:color w:val="000000"/>
                <w:kern w:val="0"/>
                <w:sz w:val="24"/>
              </w:rPr>
              <w:t>108740000</w:t>
            </w:r>
          </w:p>
        </w:tc>
        <w:tc>
          <w:tcPr>
            <w:tcW w:w="1056" w:type="dxa"/>
            <w:shd w:val="clear" w:color="auto" w:fill="auto"/>
            <w:vAlign w:val="center"/>
          </w:tcPr>
          <w:p>
            <w:pPr>
              <w:keepNext/>
              <w:widowControl/>
              <w:jc w:val="center"/>
              <w:textAlignment w:val="center"/>
              <w:rPr>
                <w:rFonts w:ascii="宋体" w:hAnsi="宋体" w:eastAsia="宋体" w:cs="宋体"/>
                <w:color w:val="000000"/>
                <w:sz w:val="24"/>
                <w:shd w:val="clear" w:color="auto" w:fill="FFFFFF"/>
              </w:rPr>
            </w:pPr>
            <w:r>
              <w:rPr>
                <w:rFonts w:hint="eastAsia" w:ascii="宋体" w:hAnsi="宋体" w:eastAsia="宋体" w:cs="宋体"/>
                <w:color w:val="000000"/>
                <w:kern w:val="0"/>
                <w:sz w:val="24"/>
              </w:rPr>
              <w:t>1080903</w:t>
            </w:r>
          </w:p>
        </w:tc>
        <w:tc>
          <w:tcPr>
            <w:tcW w:w="1057" w:type="dxa"/>
            <w:shd w:val="clear" w:color="auto" w:fill="auto"/>
            <w:vAlign w:val="center"/>
          </w:tcPr>
          <w:p>
            <w:pPr>
              <w:keepNext/>
              <w:widowControl/>
              <w:jc w:val="center"/>
              <w:textAlignment w:val="center"/>
              <w:rPr>
                <w:rFonts w:ascii="宋体" w:hAnsi="宋体" w:eastAsia="宋体" w:cs="宋体"/>
                <w:color w:val="000000"/>
                <w:sz w:val="24"/>
                <w:shd w:val="clear" w:color="auto" w:fill="FFFFFF"/>
              </w:rPr>
            </w:pPr>
            <w:r>
              <w:rPr>
                <w:rFonts w:hint="eastAsia" w:ascii="宋体" w:hAnsi="宋体" w:eastAsia="宋体" w:cs="宋体"/>
                <w:color w:val="000000"/>
                <w:kern w:val="0"/>
                <w:sz w:val="24"/>
              </w:rPr>
              <w:t>1108978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4" w:type="dxa"/>
            <w:shd w:val="clear" w:color="auto" w:fill="auto"/>
            <w:vAlign w:val="center"/>
          </w:tcPr>
          <w:p>
            <w:pPr>
              <w:keepNext/>
              <w:widowControl/>
              <w:jc w:val="center"/>
              <w:textAlignment w:val="center"/>
              <w:rPr>
                <w:rFonts w:ascii="宋体" w:hAnsi="宋体" w:eastAsia="宋体" w:cs="宋体"/>
                <w:b/>
                <w:bCs/>
                <w:color w:val="000000"/>
                <w:sz w:val="24"/>
                <w:shd w:val="clear" w:color="auto" w:fill="FFFFFF"/>
              </w:rPr>
            </w:pPr>
            <w:r>
              <w:rPr>
                <w:rFonts w:hint="eastAsia" w:ascii="宋体" w:hAnsi="宋体" w:eastAsia="宋体" w:cs="宋体"/>
                <w:color w:val="000000"/>
                <w:kern w:val="0"/>
                <w:sz w:val="24"/>
              </w:rPr>
              <w:t>2</w:t>
            </w:r>
          </w:p>
        </w:tc>
        <w:tc>
          <w:tcPr>
            <w:tcW w:w="2865" w:type="dxa"/>
            <w:shd w:val="clear" w:color="auto" w:fill="auto"/>
            <w:vAlign w:val="center"/>
          </w:tcPr>
          <w:p>
            <w:pPr>
              <w:keepNext/>
              <w:widowControl/>
              <w:jc w:val="center"/>
              <w:textAlignment w:val="center"/>
              <w:rPr>
                <w:rFonts w:ascii="宋体" w:hAnsi="宋体" w:eastAsia="宋体" w:cs="宋体"/>
                <w:b/>
                <w:bCs/>
                <w:color w:val="000000"/>
                <w:sz w:val="24"/>
                <w:shd w:val="clear" w:color="auto" w:fill="FFFFFF"/>
              </w:rPr>
            </w:pPr>
            <w:r>
              <w:rPr>
                <w:rFonts w:hint="eastAsia" w:ascii="宋体" w:hAnsi="宋体" w:eastAsia="宋体" w:cs="宋体"/>
                <w:color w:val="000000"/>
                <w:kern w:val="0"/>
                <w:sz w:val="24"/>
              </w:rPr>
              <w:t>水悦城音乐吧特色街区</w:t>
            </w:r>
          </w:p>
        </w:tc>
        <w:tc>
          <w:tcPr>
            <w:tcW w:w="1335" w:type="dxa"/>
            <w:shd w:val="clear" w:color="auto" w:fill="auto"/>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11500000</w:t>
            </w:r>
          </w:p>
        </w:tc>
        <w:tc>
          <w:tcPr>
            <w:tcW w:w="1335" w:type="dxa"/>
            <w:shd w:val="clear" w:color="auto" w:fill="auto"/>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12000000</w:t>
            </w:r>
          </w:p>
        </w:tc>
        <w:tc>
          <w:tcPr>
            <w:tcW w:w="1056" w:type="dxa"/>
            <w:shd w:val="clear" w:color="auto" w:fill="auto"/>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65000</w:t>
            </w:r>
          </w:p>
        </w:tc>
        <w:tc>
          <w:tcPr>
            <w:tcW w:w="1057" w:type="dxa"/>
            <w:shd w:val="clear" w:color="auto" w:fill="auto"/>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4" w:type="dxa"/>
            <w:vAlign w:val="center"/>
          </w:tcPr>
          <w:p>
            <w:pPr>
              <w:keepNext/>
              <w:widowControl/>
              <w:jc w:val="center"/>
              <w:textAlignment w:val="center"/>
              <w:rPr>
                <w:rFonts w:ascii="宋体" w:hAnsi="宋体" w:eastAsia="宋体" w:cs="宋体"/>
                <w:b/>
                <w:bCs/>
                <w:color w:val="000000"/>
                <w:sz w:val="24"/>
                <w:shd w:val="clear" w:color="auto" w:fill="FFFFFF"/>
              </w:rPr>
            </w:pPr>
            <w:r>
              <w:rPr>
                <w:rFonts w:hint="eastAsia" w:ascii="宋体" w:hAnsi="宋体" w:eastAsia="宋体" w:cs="宋体"/>
                <w:color w:val="000000"/>
                <w:kern w:val="0"/>
                <w:sz w:val="24"/>
              </w:rPr>
              <w:t>3</w:t>
            </w:r>
          </w:p>
        </w:tc>
        <w:tc>
          <w:tcPr>
            <w:tcW w:w="2865" w:type="dxa"/>
            <w:vAlign w:val="center"/>
          </w:tcPr>
          <w:p>
            <w:pPr>
              <w:keepNext/>
              <w:widowControl/>
              <w:jc w:val="center"/>
              <w:textAlignment w:val="center"/>
              <w:rPr>
                <w:rFonts w:ascii="宋体" w:hAnsi="宋体" w:eastAsia="宋体" w:cs="宋体"/>
                <w:b/>
                <w:bCs/>
                <w:color w:val="000000"/>
                <w:sz w:val="24"/>
                <w:shd w:val="clear" w:color="auto" w:fill="FFFFFF"/>
              </w:rPr>
            </w:pPr>
            <w:r>
              <w:rPr>
                <w:rFonts w:hint="eastAsia" w:ascii="宋体" w:hAnsi="宋体" w:eastAsia="宋体" w:cs="宋体"/>
                <w:color w:val="000000"/>
                <w:kern w:val="0"/>
                <w:sz w:val="24"/>
              </w:rPr>
              <w:t>奥帆中心啤酒特色街区</w:t>
            </w:r>
          </w:p>
        </w:tc>
        <w:tc>
          <w:tcPr>
            <w:tcW w:w="1335" w:type="dxa"/>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kern w:val="0"/>
                <w:sz w:val="24"/>
                <w:shd w:val="clear" w:color="auto" w:fill="FFFFFF"/>
              </w:rPr>
              <w:t>9468398</w:t>
            </w:r>
          </w:p>
        </w:tc>
        <w:tc>
          <w:tcPr>
            <w:tcW w:w="1335" w:type="dxa"/>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kern w:val="0"/>
                <w:sz w:val="24"/>
                <w:shd w:val="clear" w:color="auto" w:fill="FFFFFF"/>
              </w:rPr>
              <w:t>8940939</w:t>
            </w:r>
          </w:p>
        </w:tc>
        <w:tc>
          <w:tcPr>
            <w:tcW w:w="1056" w:type="dxa"/>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3993</w:t>
            </w:r>
          </w:p>
        </w:tc>
        <w:tc>
          <w:tcPr>
            <w:tcW w:w="1057" w:type="dxa"/>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3920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4" w:type="dxa"/>
            <w:shd w:val="clear" w:color="auto" w:fill="auto"/>
            <w:vAlign w:val="center"/>
          </w:tcPr>
          <w:p>
            <w:pPr>
              <w:keepNext/>
              <w:widowControl/>
              <w:jc w:val="center"/>
              <w:textAlignment w:val="center"/>
              <w:rPr>
                <w:rFonts w:ascii="宋体" w:hAnsi="宋体" w:eastAsia="宋体" w:cs="宋体"/>
                <w:b/>
                <w:bCs/>
                <w:color w:val="000000"/>
                <w:sz w:val="24"/>
                <w:shd w:val="clear" w:color="auto" w:fill="FFFFFF"/>
              </w:rPr>
            </w:pPr>
            <w:r>
              <w:rPr>
                <w:rFonts w:hint="eastAsia" w:ascii="宋体" w:hAnsi="宋体" w:eastAsia="宋体" w:cs="宋体"/>
                <w:color w:val="000000"/>
                <w:kern w:val="0"/>
                <w:sz w:val="24"/>
              </w:rPr>
              <w:t>4</w:t>
            </w:r>
          </w:p>
        </w:tc>
        <w:tc>
          <w:tcPr>
            <w:tcW w:w="2865" w:type="dxa"/>
            <w:shd w:val="clear" w:color="auto" w:fill="auto"/>
            <w:vAlign w:val="center"/>
          </w:tcPr>
          <w:p>
            <w:pPr>
              <w:keepNext/>
              <w:widowControl/>
              <w:jc w:val="center"/>
              <w:textAlignment w:val="center"/>
              <w:rPr>
                <w:rFonts w:ascii="宋体" w:hAnsi="宋体" w:eastAsia="宋体" w:cs="宋体"/>
                <w:b/>
                <w:bCs/>
                <w:color w:val="000000"/>
                <w:sz w:val="24"/>
                <w:shd w:val="clear" w:color="auto" w:fill="FFFFFF"/>
              </w:rPr>
            </w:pPr>
            <w:r>
              <w:rPr>
                <w:rFonts w:hint="eastAsia" w:ascii="宋体" w:hAnsi="宋体" w:eastAsia="宋体" w:cs="宋体"/>
                <w:color w:val="000000"/>
                <w:kern w:val="0"/>
                <w:sz w:val="24"/>
              </w:rPr>
              <w:t>青岛金沙滩啤酒城街区</w:t>
            </w:r>
          </w:p>
        </w:tc>
        <w:tc>
          <w:tcPr>
            <w:tcW w:w="1335" w:type="dxa"/>
            <w:shd w:val="clear" w:color="auto" w:fill="auto"/>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6970000</w:t>
            </w:r>
          </w:p>
        </w:tc>
        <w:tc>
          <w:tcPr>
            <w:tcW w:w="1335" w:type="dxa"/>
            <w:shd w:val="clear" w:color="auto" w:fill="auto"/>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6800000</w:t>
            </w:r>
          </w:p>
        </w:tc>
        <w:tc>
          <w:tcPr>
            <w:tcW w:w="1056" w:type="dxa"/>
            <w:shd w:val="clear" w:color="auto" w:fill="auto"/>
            <w:vAlign w:val="center"/>
          </w:tcPr>
          <w:p>
            <w:pPr>
              <w:keepNext/>
              <w:widowControl/>
              <w:jc w:val="center"/>
              <w:rPr>
                <w:rFonts w:ascii="宋体" w:hAnsi="宋体" w:eastAsia="宋体" w:cs="宋体"/>
                <w:color w:val="000000"/>
                <w:sz w:val="24"/>
                <w:shd w:val="clear" w:color="auto" w:fill="FFFFFF"/>
              </w:rPr>
            </w:pPr>
            <w:r>
              <w:rPr>
                <w:rFonts w:ascii="宋体" w:hAnsi="宋体" w:eastAsia="宋体" w:cs="宋体"/>
                <w:color w:val="000000"/>
                <w:sz w:val="24"/>
                <w:shd w:val="clear" w:color="auto" w:fill="FFFFFF"/>
              </w:rPr>
              <w:t>7464</w:t>
            </w:r>
          </w:p>
        </w:tc>
        <w:tc>
          <w:tcPr>
            <w:tcW w:w="1057" w:type="dxa"/>
            <w:shd w:val="clear" w:color="auto" w:fill="auto"/>
            <w:vAlign w:val="center"/>
          </w:tcPr>
          <w:p>
            <w:pPr>
              <w:keepNext/>
              <w:widowControl/>
              <w:jc w:val="center"/>
              <w:rPr>
                <w:rFonts w:ascii="宋体" w:hAnsi="宋体" w:eastAsia="宋体" w:cs="宋体"/>
                <w:color w:val="000000"/>
                <w:sz w:val="24"/>
                <w:shd w:val="clear" w:color="auto" w:fill="FFFFFF"/>
              </w:rPr>
            </w:pPr>
            <w:r>
              <w:rPr>
                <w:rFonts w:ascii="宋体" w:hAnsi="宋体" w:eastAsia="宋体" w:cs="宋体"/>
                <w:color w:val="000000"/>
                <w:sz w:val="24"/>
                <w:shd w:val="clear" w:color="auto" w:fill="FFFFFF"/>
              </w:rPr>
              <w:t>9181.21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4" w:type="dxa"/>
            <w:vAlign w:val="center"/>
          </w:tcPr>
          <w:p>
            <w:pPr>
              <w:keepNext/>
              <w:widowControl/>
              <w:jc w:val="center"/>
              <w:textAlignment w:val="center"/>
              <w:rPr>
                <w:rFonts w:ascii="宋体" w:hAnsi="宋体" w:eastAsia="宋体" w:cs="宋体"/>
                <w:b/>
                <w:bCs/>
                <w:color w:val="000000"/>
                <w:sz w:val="24"/>
                <w:shd w:val="clear" w:color="auto" w:fill="FFFFFF"/>
              </w:rPr>
            </w:pPr>
            <w:r>
              <w:rPr>
                <w:rFonts w:hint="eastAsia" w:ascii="宋体" w:hAnsi="宋体" w:eastAsia="宋体" w:cs="宋体"/>
                <w:color w:val="000000"/>
                <w:kern w:val="0"/>
                <w:sz w:val="24"/>
              </w:rPr>
              <w:t>5</w:t>
            </w:r>
          </w:p>
        </w:tc>
        <w:tc>
          <w:tcPr>
            <w:tcW w:w="2865" w:type="dxa"/>
            <w:vAlign w:val="center"/>
          </w:tcPr>
          <w:p>
            <w:pPr>
              <w:keepNext/>
              <w:widowControl/>
              <w:jc w:val="center"/>
              <w:textAlignment w:val="center"/>
              <w:rPr>
                <w:rFonts w:ascii="宋体" w:hAnsi="宋体" w:eastAsia="宋体" w:cs="宋体"/>
                <w:b/>
                <w:bCs/>
                <w:color w:val="000000"/>
                <w:sz w:val="24"/>
                <w:shd w:val="clear" w:color="auto" w:fill="FFFFFF"/>
              </w:rPr>
            </w:pPr>
            <w:r>
              <w:rPr>
                <w:rFonts w:hint="eastAsia" w:ascii="宋体" w:hAnsi="宋体" w:eastAsia="宋体" w:cs="宋体"/>
                <w:color w:val="000000"/>
                <w:kern w:val="0"/>
                <w:sz w:val="24"/>
              </w:rPr>
              <w:t>即墨古城</w:t>
            </w:r>
          </w:p>
        </w:tc>
        <w:tc>
          <w:tcPr>
            <w:tcW w:w="1335" w:type="dxa"/>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kern w:val="0"/>
                <w:sz w:val="24"/>
                <w:shd w:val="clear" w:color="auto" w:fill="FFFFFF"/>
              </w:rPr>
              <w:t>3575924</w:t>
            </w:r>
          </w:p>
        </w:tc>
        <w:tc>
          <w:tcPr>
            <w:tcW w:w="1335" w:type="dxa"/>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kern w:val="0"/>
                <w:sz w:val="24"/>
                <w:shd w:val="clear" w:color="auto" w:fill="FFFFFF"/>
              </w:rPr>
              <w:t>3371489</w:t>
            </w:r>
          </w:p>
        </w:tc>
        <w:tc>
          <w:tcPr>
            <w:tcW w:w="1056" w:type="dxa"/>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17085</w:t>
            </w:r>
          </w:p>
        </w:tc>
        <w:tc>
          <w:tcPr>
            <w:tcW w:w="1057" w:type="dxa"/>
            <w:vAlign w:val="center"/>
          </w:tcPr>
          <w:p>
            <w:pPr>
              <w:keepNext/>
              <w:widowControl/>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21946</w:t>
            </w:r>
          </w:p>
        </w:tc>
      </w:tr>
    </w:tbl>
    <w:p>
      <w:pPr>
        <w:keepNext/>
        <w:spacing w:line="600" w:lineRule="exact"/>
        <w:ind w:firstLine="640" w:firstLineChars="200"/>
        <w:outlineLvl w:val="0"/>
        <w:rPr>
          <w:rFonts w:ascii="黑体" w:hAnsi="黑体" w:eastAsia="黑体" w:cs="黑体"/>
          <w:sz w:val="32"/>
          <w:szCs w:val="40"/>
        </w:rPr>
      </w:pPr>
      <w:bookmarkStart w:id="47" w:name="_Toc24045"/>
      <w:bookmarkStart w:id="48" w:name="_Toc31406"/>
      <w:r>
        <w:rPr>
          <w:rFonts w:hint="eastAsia" w:ascii="黑体" w:hAnsi="黑体" w:eastAsia="黑体" w:cs="黑体"/>
          <w:sz w:val="32"/>
          <w:szCs w:val="40"/>
        </w:rPr>
        <w:t>六、相关建议</w:t>
      </w:r>
      <w:bookmarkEnd w:id="47"/>
      <w:bookmarkEnd w:id="48"/>
    </w:p>
    <w:p>
      <w:pPr>
        <w:keepNext/>
        <w:spacing w:line="600" w:lineRule="exact"/>
        <w:ind w:firstLine="640" w:firstLineChars="200"/>
        <w:outlineLvl w:val="1"/>
        <w:rPr>
          <w:rFonts w:ascii="楷体_GB2312" w:hAnsi="楷体_GB2312" w:eastAsia="楷体_GB2312" w:cs="楷体_GB2312"/>
          <w:sz w:val="32"/>
          <w:szCs w:val="40"/>
        </w:rPr>
      </w:pPr>
      <w:bookmarkStart w:id="49" w:name="_Toc10241"/>
      <w:bookmarkStart w:id="50" w:name="_Toc30507"/>
      <w:r>
        <w:rPr>
          <w:rFonts w:ascii="楷体_GB2312" w:hAnsi="楷体_GB2312" w:eastAsia="楷体_GB2312" w:cs="楷体_GB2312"/>
          <w:sz w:val="32"/>
          <w:szCs w:val="40"/>
        </w:rPr>
        <w:t>（一）完善</w:t>
      </w:r>
      <w:r>
        <w:rPr>
          <w:rFonts w:hint="eastAsia" w:ascii="楷体_GB2312" w:hAnsi="楷体_GB2312" w:eastAsia="楷体_GB2312" w:cs="楷体_GB2312"/>
          <w:sz w:val="32"/>
          <w:szCs w:val="40"/>
        </w:rPr>
        <w:t>政策框架</w:t>
      </w:r>
      <w:r>
        <w:rPr>
          <w:rFonts w:ascii="楷体_GB2312" w:hAnsi="楷体_GB2312" w:eastAsia="楷体_GB2312" w:cs="楷体_GB2312"/>
          <w:sz w:val="32"/>
          <w:szCs w:val="40"/>
        </w:rPr>
        <w:t>设计，强化政策引导激励效能</w:t>
      </w:r>
      <w:bookmarkEnd w:id="49"/>
      <w:bookmarkEnd w:id="50"/>
    </w:p>
    <w:p>
      <w:pPr>
        <w:widowControl/>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是建立差异化奖励机制。可参考其他地区“按街区投资强度及品牌等级分级奖励”模式，充分考虑街区运营投入、街区规模、荣誉称号等方面情况，设置不同的奖励标准，激发优质街区竞争动力，形成“投入-产出-奖励”的正向循环。</w:t>
      </w:r>
    </w:p>
    <w:p>
      <w:pPr>
        <w:widowControl/>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二是统一</w:t>
      </w:r>
      <w:r>
        <w:rPr>
          <w:rFonts w:ascii="仿宋_GB2312" w:hAnsi="仿宋_GB2312" w:eastAsia="仿宋_GB2312" w:cs="仿宋_GB2312"/>
          <w:color w:val="000000"/>
          <w:kern w:val="0"/>
          <w:sz w:val="32"/>
          <w:szCs w:val="32"/>
          <w:shd w:val="clear" w:color="auto" w:fill="FFFFFF"/>
        </w:rPr>
        <w:t>认定与评分标准</w:t>
      </w: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修订《评分表》，将“年客流量100万人次”“微型消防站设置”等核心认定标准纳入评分项，按“达标得满分、不达标不得分”原则设置刚性指标，同时删除模糊表述</w:t>
      </w: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如“</w:t>
      </w:r>
      <w:r>
        <w:rPr>
          <w:rFonts w:hint="eastAsia" w:ascii="仿宋_GB2312" w:hAnsi="仿宋_GB2312" w:eastAsia="仿宋_GB2312" w:cs="仿宋_GB2312"/>
          <w:color w:val="000000"/>
          <w:kern w:val="0"/>
          <w:sz w:val="32"/>
          <w:szCs w:val="32"/>
          <w:shd w:val="clear" w:color="auto" w:fill="FFFFFF"/>
        </w:rPr>
        <w:t>影响广泛、客流聚集</w:t>
      </w:r>
      <w:r>
        <w:rPr>
          <w:rFonts w:ascii="仿宋_GB2312" w:hAnsi="仿宋_GB2312" w:eastAsia="仿宋_GB2312" w:cs="仿宋_GB2312"/>
          <w:color w:val="000000"/>
          <w:kern w:val="0"/>
          <w:sz w:val="32"/>
          <w:szCs w:val="32"/>
          <w:shd w:val="clear" w:color="auto" w:fill="FFFFFF"/>
        </w:rPr>
        <w:t>”，增加“人车分流设计”“智慧支付覆盖率”等可量化指标，确保评审结果与政策要求一致。</w:t>
      </w:r>
    </w:p>
    <w:p>
      <w:pPr>
        <w:widowControl/>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三是完善政策配套文件体系，明确申报审核各环节时限要求，确保组织申报、区市初审、市级专家评审在要求期限内完成。</w:t>
      </w:r>
    </w:p>
    <w:p>
      <w:pPr>
        <w:spacing w:line="600" w:lineRule="exact"/>
        <w:ind w:firstLine="640" w:firstLineChars="200"/>
        <w:outlineLvl w:val="1"/>
        <w:rPr>
          <w:rFonts w:ascii="楷体_GB2312" w:hAnsi="楷体_GB2312" w:eastAsia="楷体_GB2312" w:cs="楷体_GB2312"/>
          <w:sz w:val="32"/>
          <w:szCs w:val="40"/>
        </w:rPr>
      </w:pPr>
      <w:bookmarkStart w:id="51" w:name="_Toc23053"/>
      <w:bookmarkStart w:id="52" w:name="_Toc9340"/>
      <w:r>
        <w:rPr>
          <w:rFonts w:ascii="楷体_GB2312" w:hAnsi="楷体_GB2312" w:eastAsia="楷体_GB2312" w:cs="楷体_GB2312"/>
          <w:sz w:val="32"/>
          <w:szCs w:val="40"/>
        </w:rPr>
        <w:t>（二）规范执行流程管理，构建全链条审核闭环</w:t>
      </w:r>
      <w:bookmarkEnd w:id="51"/>
      <w:bookmarkEnd w:id="52"/>
    </w:p>
    <w:p>
      <w:pPr>
        <w:widowControl/>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一是</w:t>
      </w:r>
      <w:r>
        <w:rPr>
          <w:rFonts w:ascii="仿宋_GB2312" w:hAnsi="仿宋_GB2312" w:eastAsia="仿宋_GB2312" w:cs="仿宋_GB2312"/>
          <w:color w:val="000000"/>
          <w:kern w:val="0"/>
          <w:sz w:val="32"/>
          <w:szCs w:val="32"/>
          <w:shd w:val="clear" w:color="auto" w:fill="FFFFFF"/>
        </w:rPr>
        <w:t>建立</w:t>
      </w:r>
      <w:r>
        <w:rPr>
          <w:rFonts w:hint="eastAsia" w:ascii="仿宋_GB2312" w:hAnsi="仿宋_GB2312" w:eastAsia="仿宋_GB2312" w:cs="仿宋_GB2312"/>
          <w:color w:val="000000"/>
          <w:kern w:val="0"/>
          <w:sz w:val="32"/>
          <w:szCs w:val="32"/>
          <w:shd w:val="clear" w:color="auto" w:fill="FFFFFF"/>
        </w:rPr>
        <w:t>档案留存</w:t>
      </w:r>
      <w:r>
        <w:rPr>
          <w:rFonts w:ascii="仿宋_GB2312" w:hAnsi="仿宋_GB2312" w:eastAsia="仿宋_GB2312" w:cs="仿宋_GB2312"/>
          <w:color w:val="000000"/>
          <w:kern w:val="0"/>
          <w:sz w:val="32"/>
          <w:szCs w:val="32"/>
          <w:shd w:val="clear" w:color="auto" w:fill="FFFFFF"/>
        </w:rPr>
        <w:t>机制</w:t>
      </w:r>
      <w:r>
        <w:rPr>
          <w:rFonts w:hint="eastAsia" w:ascii="仿宋_GB2312" w:hAnsi="仿宋_GB2312" w:eastAsia="仿宋_GB2312" w:cs="仿宋_GB2312"/>
          <w:color w:val="000000"/>
          <w:kern w:val="0"/>
          <w:sz w:val="32"/>
          <w:szCs w:val="32"/>
          <w:shd w:val="clear" w:color="auto" w:fill="FFFFFF"/>
        </w:rPr>
        <w:t>，压实认定职责。完善审核流程，如</w:t>
      </w:r>
      <w:r>
        <w:rPr>
          <w:rFonts w:ascii="仿宋_GB2312" w:hAnsi="仿宋_GB2312" w:eastAsia="仿宋_GB2312" w:cs="仿宋_GB2312"/>
          <w:color w:val="000000"/>
          <w:kern w:val="0"/>
          <w:sz w:val="32"/>
          <w:szCs w:val="32"/>
          <w:shd w:val="clear" w:color="auto" w:fill="FFFFFF"/>
        </w:rPr>
        <w:t>制定《认定流程标准化手册》，要求</w:t>
      </w:r>
      <w:r>
        <w:rPr>
          <w:rFonts w:hint="eastAsia" w:ascii="仿宋_GB2312" w:hAnsi="仿宋_GB2312" w:eastAsia="仿宋_GB2312" w:cs="仿宋_GB2312"/>
          <w:color w:val="000000"/>
          <w:kern w:val="0"/>
          <w:sz w:val="32"/>
          <w:szCs w:val="32"/>
          <w:shd w:val="clear" w:color="auto" w:fill="FFFFFF"/>
        </w:rPr>
        <w:t>区市初审</w:t>
      </w:r>
      <w:r>
        <w:rPr>
          <w:rFonts w:ascii="仿宋_GB2312" w:hAnsi="仿宋_GB2312" w:eastAsia="仿宋_GB2312" w:cs="仿宋_GB2312"/>
          <w:color w:val="000000"/>
          <w:kern w:val="0"/>
          <w:sz w:val="32"/>
          <w:szCs w:val="32"/>
          <w:shd w:val="clear" w:color="auto" w:fill="FFFFFF"/>
        </w:rPr>
        <w:t>需附实地考察照片及量化评审意见，市级专家评审需填写《现场核查记录表》，</w:t>
      </w:r>
      <w:r>
        <w:rPr>
          <w:rFonts w:hint="eastAsia" w:ascii="仿宋_GB2312" w:hAnsi="仿宋_GB2312" w:eastAsia="仿宋_GB2312" w:cs="仿宋_GB2312"/>
          <w:color w:val="000000"/>
          <w:kern w:val="0"/>
          <w:sz w:val="32"/>
          <w:szCs w:val="32"/>
          <w:shd w:val="clear" w:color="auto" w:fill="FFFFFF"/>
        </w:rPr>
        <w:t>将</w:t>
      </w:r>
      <w:r>
        <w:rPr>
          <w:rFonts w:ascii="仿宋_GB2312" w:hAnsi="仿宋_GB2312" w:eastAsia="仿宋_GB2312" w:cs="仿宋_GB2312"/>
          <w:color w:val="000000"/>
          <w:kern w:val="0"/>
          <w:sz w:val="32"/>
          <w:szCs w:val="32"/>
          <w:shd w:val="clear" w:color="auto" w:fill="FFFFFF"/>
        </w:rPr>
        <w:t>所有材料存档</w:t>
      </w:r>
      <w:r>
        <w:rPr>
          <w:rFonts w:hint="eastAsia" w:ascii="仿宋_GB2312" w:hAnsi="仿宋_GB2312" w:eastAsia="仿宋_GB2312" w:cs="仿宋_GB2312"/>
          <w:color w:val="000000"/>
          <w:kern w:val="0"/>
          <w:sz w:val="32"/>
          <w:szCs w:val="32"/>
          <w:shd w:val="clear" w:color="auto" w:fill="FFFFFF"/>
        </w:rPr>
        <w:t>留存</w:t>
      </w:r>
      <w:r>
        <w:rPr>
          <w:rFonts w:ascii="仿宋_GB2312" w:hAnsi="仿宋_GB2312" w:eastAsia="仿宋_GB2312" w:cs="仿宋_GB2312"/>
          <w:color w:val="000000"/>
          <w:kern w:val="0"/>
          <w:sz w:val="32"/>
          <w:szCs w:val="32"/>
          <w:shd w:val="clear" w:color="auto" w:fill="FFFFFF"/>
        </w:rPr>
        <w:t>，确保流程可追溯。</w:t>
      </w:r>
    </w:p>
    <w:p>
      <w:pPr>
        <w:widowControl/>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二是</w:t>
      </w:r>
      <w:r>
        <w:rPr>
          <w:rFonts w:ascii="仿宋_GB2312" w:hAnsi="仿宋_GB2312" w:eastAsia="仿宋_GB2312" w:cs="仿宋_GB2312"/>
          <w:color w:val="000000"/>
          <w:kern w:val="0"/>
          <w:sz w:val="32"/>
          <w:szCs w:val="32"/>
          <w:shd w:val="clear" w:color="auto" w:fill="FFFFFF"/>
        </w:rPr>
        <w:t>提升专家评审</w:t>
      </w:r>
      <w:r>
        <w:rPr>
          <w:rFonts w:hint="eastAsia" w:ascii="仿宋_GB2312" w:hAnsi="仿宋_GB2312" w:eastAsia="仿宋_GB2312" w:cs="仿宋_GB2312"/>
          <w:color w:val="000000"/>
          <w:kern w:val="0"/>
          <w:sz w:val="32"/>
          <w:szCs w:val="32"/>
          <w:shd w:val="clear" w:color="auto" w:fill="FFFFFF"/>
        </w:rPr>
        <w:t>的有效</w:t>
      </w:r>
      <w:r>
        <w:rPr>
          <w:rFonts w:ascii="仿宋_GB2312" w:hAnsi="仿宋_GB2312" w:eastAsia="仿宋_GB2312" w:cs="仿宋_GB2312"/>
          <w:color w:val="000000"/>
          <w:kern w:val="0"/>
          <w:sz w:val="32"/>
          <w:szCs w:val="32"/>
          <w:shd w:val="clear" w:color="auto" w:fill="FFFFFF"/>
        </w:rPr>
        <w:t>性</w:t>
      </w:r>
      <w:r>
        <w:rPr>
          <w:rFonts w:hint="eastAsia" w:ascii="仿宋_GB2312" w:hAnsi="仿宋_GB2312" w:eastAsia="仿宋_GB2312" w:cs="仿宋_GB2312"/>
          <w:color w:val="000000"/>
          <w:kern w:val="0"/>
          <w:sz w:val="32"/>
          <w:szCs w:val="32"/>
          <w:shd w:val="clear" w:color="auto" w:fill="FFFFFF"/>
        </w:rPr>
        <w:t>。部门在组织</w:t>
      </w:r>
      <w:r>
        <w:rPr>
          <w:rFonts w:ascii="仿宋_GB2312" w:hAnsi="仿宋_GB2312" w:eastAsia="仿宋_GB2312" w:cs="仿宋_GB2312"/>
          <w:color w:val="000000"/>
          <w:kern w:val="0"/>
          <w:sz w:val="32"/>
          <w:szCs w:val="32"/>
          <w:shd w:val="clear" w:color="auto" w:fill="FFFFFF"/>
        </w:rPr>
        <w:t>评审前</w:t>
      </w:r>
      <w:r>
        <w:rPr>
          <w:rFonts w:hint="eastAsia" w:ascii="仿宋_GB2312" w:hAnsi="仿宋_GB2312" w:eastAsia="仿宋_GB2312" w:cs="仿宋_GB2312"/>
          <w:color w:val="000000"/>
          <w:kern w:val="0"/>
          <w:sz w:val="32"/>
          <w:szCs w:val="32"/>
          <w:shd w:val="clear" w:color="auto" w:fill="FFFFFF"/>
        </w:rPr>
        <w:t>需向评审专家系统</w:t>
      </w:r>
      <w:r>
        <w:rPr>
          <w:rFonts w:ascii="仿宋_GB2312" w:hAnsi="仿宋_GB2312" w:eastAsia="仿宋_GB2312" w:cs="仿宋_GB2312"/>
          <w:color w:val="000000"/>
          <w:kern w:val="0"/>
          <w:sz w:val="32"/>
          <w:szCs w:val="32"/>
          <w:shd w:val="clear" w:color="auto" w:fill="FFFFFF"/>
        </w:rPr>
        <w:t>讲解评分规则</w:t>
      </w: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对评分差异超20%的指标启动复核，</w:t>
      </w:r>
      <w:r>
        <w:rPr>
          <w:rFonts w:hint="eastAsia" w:ascii="仿宋_GB2312" w:hAnsi="仿宋_GB2312" w:eastAsia="仿宋_GB2312" w:cs="仿宋_GB2312"/>
          <w:color w:val="000000"/>
          <w:kern w:val="0"/>
          <w:sz w:val="32"/>
          <w:szCs w:val="32"/>
          <w:shd w:val="clear" w:color="auto" w:fill="FFFFFF"/>
        </w:rPr>
        <w:t>加强质量控制，明确</w:t>
      </w:r>
      <w:r>
        <w:rPr>
          <w:rFonts w:ascii="仿宋_GB2312" w:hAnsi="仿宋_GB2312" w:eastAsia="仿宋_GB2312" w:cs="仿宋_GB2312"/>
          <w:color w:val="000000"/>
          <w:kern w:val="0"/>
          <w:sz w:val="32"/>
          <w:szCs w:val="32"/>
          <w:shd w:val="clear" w:color="auto" w:fill="FFFFFF"/>
        </w:rPr>
        <w:t>扣分</w:t>
      </w:r>
      <w:r>
        <w:rPr>
          <w:rFonts w:hint="eastAsia" w:ascii="仿宋_GB2312" w:hAnsi="仿宋_GB2312" w:eastAsia="仿宋_GB2312" w:cs="仿宋_GB2312"/>
          <w:color w:val="000000"/>
          <w:kern w:val="0"/>
          <w:sz w:val="32"/>
          <w:szCs w:val="32"/>
          <w:shd w:val="clear" w:color="auto" w:fill="FFFFFF"/>
        </w:rPr>
        <w:t>原因</w:t>
      </w:r>
      <w:r>
        <w:rPr>
          <w:rFonts w:ascii="仿宋_GB2312" w:hAnsi="仿宋_GB2312" w:eastAsia="仿宋_GB2312" w:cs="仿宋_GB2312"/>
          <w:color w:val="000000"/>
          <w:kern w:val="0"/>
          <w:sz w:val="32"/>
          <w:szCs w:val="32"/>
          <w:shd w:val="clear" w:color="auto" w:fill="FFFFFF"/>
        </w:rPr>
        <w:t>。</w:t>
      </w:r>
    </w:p>
    <w:p>
      <w:pPr>
        <w:widowControl/>
        <w:spacing w:line="600" w:lineRule="exact"/>
        <w:ind w:firstLine="640" w:firstLineChars="200"/>
        <w:outlineLvl w:val="1"/>
        <w:rPr>
          <w:rFonts w:ascii="楷体_GB2312" w:hAnsi="楷体_GB2312" w:eastAsia="楷体_GB2312" w:cs="楷体_GB2312"/>
          <w:sz w:val="32"/>
          <w:szCs w:val="40"/>
        </w:rPr>
      </w:pPr>
      <w:bookmarkStart w:id="53" w:name="_Toc23580"/>
      <w:bookmarkStart w:id="54" w:name="_Toc7098"/>
      <w:r>
        <w:rPr>
          <w:rFonts w:ascii="楷体_GB2312" w:hAnsi="楷体_GB2312" w:eastAsia="楷体_GB2312" w:cs="楷体_GB2312"/>
          <w:sz w:val="32"/>
          <w:szCs w:val="40"/>
        </w:rPr>
        <w:t>（</w:t>
      </w:r>
      <w:r>
        <w:rPr>
          <w:rFonts w:hint="eastAsia" w:ascii="楷体_GB2312" w:hAnsi="楷体_GB2312" w:eastAsia="楷体_GB2312" w:cs="楷体_GB2312"/>
          <w:sz w:val="32"/>
          <w:szCs w:val="40"/>
        </w:rPr>
        <w:t>三</w:t>
      </w:r>
      <w:r>
        <w:rPr>
          <w:rFonts w:ascii="楷体_GB2312" w:hAnsi="楷体_GB2312" w:eastAsia="楷体_GB2312" w:cs="楷体_GB2312"/>
          <w:sz w:val="32"/>
          <w:szCs w:val="40"/>
        </w:rPr>
        <w:t>）</w:t>
      </w:r>
      <w:r>
        <w:rPr>
          <w:rFonts w:hint="eastAsia" w:ascii="楷体_GB2312" w:hAnsi="楷体_GB2312" w:eastAsia="楷体_GB2312" w:cs="楷体_GB2312"/>
          <w:sz w:val="32"/>
          <w:szCs w:val="40"/>
        </w:rPr>
        <w:t>强化</w:t>
      </w:r>
      <w:r>
        <w:rPr>
          <w:rFonts w:ascii="楷体_GB2312" w:hAnsi="楷体_GB2312" w:eastAsia="楷体_GB2312" w:cs="楷体_GB2312"/>
          <w:sz w:val="32"/>
          <w:szCs w:val="40"/>
        </w:rPr>
        <w:t>资金监管，</w:t>
      </w:r>
      <w:r>
        <w:rPr>
          <w:rFonts w:hint="eastAsia" w:ascii="楷体_GB2312" w:hAnsi="楷体_GB2312" w:eastAsia="楷体_GB2312" w:cs="楷体_GB2312"/>
          <w:sz w:val="32"/>
          <w:szCs w:val="40"/>
        </w:rPr>
        <w:t>提升</w:t>
      </w:r>
      <w:r>
        <w:rPr>
          <w:rFonts w:ascii="楷体_GB2312" w:hAnsi="楷体_GB2312" w:eastAsia="楷体_GB2312" w:cs="楷体_GB2312"/>
          <w:sz w:val="32"/>
          <w:szCs w:val="40"/>
        </w:rPr>
        <w:t>政策效益</w:t>
      </w:r>
      <w:bookmarkEnd w:id="53"/>
      <w:bookmarkEnd w:id="54"/>
    </w:p>
    <w:p>
      <w:pPr>
        <w:widowControl/>
        <w:spacing w:line="600" w:lineRule="exact"/>
        <w:ind w:firstLine="640" w:firstLineChars="200"/>
        <w:rPr>
          <w:rFonts w:ascii="楷体_GB2312" w:hAnsi="楷体_GB2312" w:eastAsia="楷体_GB2312" w:cs="楷体_GB2312"/>
          <w:sz w:val="32"/>
          <w:szCs w:val="40"/>
        </w:rPr>
      </w:pPr>
      <w:r>
        <w:rPr>
          <w:rFonts w:hint="eastAsia" w:ascii="仿宋_GB2312" w:hAnsi="仿宋_GB2312" w:eastAsia="仿宋_GB2312" w:cs="仿宋_GB2312"/>
          <w:color w:val="000000"/>
          <w:kern w:val="0"/>
          <w:sz w:val="32"/>
          <w:szCs w:val="32"/>
          <w:shd w:val="clear" w:color="auto" w:fill="FFFFFF"/>
        </w:rPr>
        <w:t>强化资金监管，明确奖励资金实行“专户管理、专款专用”，规定资金用途，设置资金使用负面清单</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切实发挥奖励资金的实效。</w:t>
      </w:r>
    </w:p>
    <w:p>
      <w:pPr>
        <w:keepNext/>
        <w:spacing w:line="600" w:lineRule="exact"/>
        <w:ind w:firstLine="640" w:firstLineChars="200"/>
        <w:outlineLvl w:val="1"/>
        <w:rPr>
          <w:rFonts w:ascii="楷体_GB2312" w:hAnsi="楷体_GB2312" w:eastAsia="楷体_GB2312" w:cs="楷体_GB2312"/>
          <w:sz w:val="32"/>
          <w:szCs w:val="40"/>
        </w:rPr>
      </w:pPr>
      <w:bookmarkStart w:id="55" w:name="_Toc16047"/>
      <w:bookmarkStart w:id="56" w:name="_Toc30001"/>
      <w:r>
        <w:rPr>
          <w:rFonts w:ascii="楷体_GB2312" w:hAnsi="楷体_GB2312" w:eastAsia="楷体_GB2312" w:cs="楷体_GB2312"/>
          <w:sz w:val="32"/>
          <w:szCs w:val="40"/>
        </w:rPr>
        <w:t>（</w:t>
      </w:r>
      <w:r>
        <w:rPr>
          <w:rFonts w:hint="eastAsia" w:ascii="楷体_GB2312" w:hAnsi="楷体_GB2312" w:eastAsia="楷体_GB2312" w:cs="楷体_GB2312"/>
          <w:sz w:val="32"/>
          <w:szCs w:val="40"/>
        </w:rPr>
        <w:t>四</w:t>
      </w:r>
      <w:r>
        <w:rPr>
          <w:rFonts w:ascii="楷体_GB2312" w:hAnsi="楷体_GB2312" w:eastAsia="楷体_GB2312" w:cs="楷体_GB2312"/>
          <w:sz w:val="32"/>
          <w:szCs w:val="40"/>
        </w:rPr>
        <w:t>）</w:t>
      </w:r>
      <w:r>
        <w:rPr>
          <w:rFonts w:hint="eastAsia" w:ascii="楷体_GB2312" w:hAnsi="楷体_GB2312" w:eastAsia="楷体_GB2312" w:cs="楷体_GB2312"/>
          <w:sz w:val="32"/>
          <w:szCs w:val="40"/>
        </w:rPr>
        <w:t>加强政策宣传</w:t>
      </w:r>
      <w:r>
        <w:rPr>
          <w:rFonts w:ascii="楷体_GB2312" w:hAnsi="楷体_GB2312" w:eastAsia="楷体_GB2312" w:cs="楷体_GB2312"/>
          <w:sz w:val="32"/>
          <w:szCs w:val="40"/>
        </w:rPr>
        <w:t>，提升政策实施可持续性</w:t>
      </w:r>
      <w:bookmarkEnd w:id="55"/>
      <w:bookmarkEnd w:id="56"/>
    </w:p>
    <w:p>
      <w:pPr>
        <w:widowControl/>
        <w:spacing w:line="600" w:lineRule="exact"/>
        <w:ind w:firstLine="640" w:firstLineChars="200"/>
        <w:rPr>
          <w:rFonts w:ascii="仿宋_GB2312" w:hAnsi="仿宋_GB2312" w:eastAsia="宋体"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一是加大政策宣传力度</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提高区（市）及街区运营主体申报积极性</w:t>
      </w:r>
      <w:r>
        <w:rPr>
          <w:rFonts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rPr>
        <w:t>充分</w:t>
      </w:r>
      <w:r>
        <w:rPr>
          <w:rFonts w:ascii="仿宋_GB2312" w:hAnsi="仿宋_GB2312" w:eastAsia="仿宋_GB2312" w:cs="仿宋_GB2312"/>
          <w:color w:val="000000"/>
          <w:kern w:val="0"/>
          <w:sz w:val="32"/>
          <w:szCs w:val="32"/>
          <w:shd w:val="clear" w:color="auto" w:fill="FFFFFF"/>
        </w:rPr>
        <w:t>解读政策。</w:t>
      </w:r>
    </w:p>
    <w:p>
      <w:pPr>
        <w:widowControl/>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二是</w:t>
      </w:r>
      <w:r>
        <w:rPr>
          <w:rFonts w:ascii="仿宋_GB2312" w:hAnsi="仿宋_GB2312" w:eastAsia="仿宋_GB2312" w:cs="仿宋_GB2312"/>
          <w:color w:val="000000"/>
          <w:kern w:val="0"/>
          <w:sz w:val="32"/>
          <w:szCs w:val="32"/>
          <w:shd w:val="clear" w:color="auto" w:fill="FFFFFF"/>
        </w:rPr>
        <w:t>引导街区场景创新与数据管理，</w:t>
      </w:r>
      <w:r>
        <w:rPr>
          <w:rFonts w:hint="eastAsia" w:ascii="仿宋_GB2312" w:hAnsi="仿宋_GB2312" w:eastAsia="仿宋_GB2312" w:cs="仿宋_GB2312"/>
          <w:color w:val="000000"/>
          <w:kern w:val="0"/>
          <w:sz w:val="32"/>
          <w:szCs w:val="32"/>
          <w:shd w:val="clear" w:color="auto" w:fill="FFFFFF"/>
        </w:rPr>
        <w:t>总结经验，</w:t>
      </w:r>
      <w:r>
        <w:rPr>
          <w:rFonts w:ascii="仿宋_GB2312" w:hAnsi="仿宋_GB2312" w:eastAsia="仿宋_GB2312" w:cs="仿宋_GB2312"/>
          <w:color w:val="000000"/>
          <w:kern w:val="0"/>
          <w:sz w:val="32"/>
          <w:szCs w:val="32"/>
          <w:shd w:val="clear" w:color="auto" w:fill="FFFFFF"/>
        </w:rPr>
        <w:t>提供可复制</w:t>
      </w:r>
      <w:r>
        <w:rPr>
          <w:rFonts w:hint="eastAsia" w:ascii="仿宋_GB2312" w:hAnsi="仿宋_GB2312" w:eastAsia="仿宋_GB2312" w:cs="仿宋_GB2312"/>
          <w:color w:val="000000"/>
          <w:kern w:val="0"/>
          <w:sz w:val="32"/>
          <w:szCs w:val="32"/>
          <w:shd w:val="clear" w:color="auto" w:fill="FFFFFF"/>
        </w:rPr>
        <w:t>样板。鼓励</w:t>
      </w:r>
      <w:r>
        <w:rPr>
          <w:rFonts w:ascii="仿宋_GB2312" w:hAnsi="仿宋_GB2312" w:eastAsia="仿宋_GB2312" w:cs="仿宋_GB2312"/>
          <w:color w:val="000000"/>
          <w:kern w:val="0"/>
          <w:sz w:val="32"/>
          <w:szCs w:val="32"/>
          <w:shd w:val="clear" w:color="auto" w:fill="FFFFFF"/>
        </w:rPr>
        <w:t>街区接入商业统计平台，</w:t>
      </w:r>
      <w:r>
        <w:rPr>
          <w:rFonts w:hint="eastAsia" w:ascii="仿宋_GB2312" w:hAnsi="仿宋_GB2312" w:eastAsia="仿宋_GB2312" w:cs="仿宋_GB2312"/>
          <w:color w:val="000000"/>
          <w:kern w:val="0"/>
          <w:sz w:val="32"/>
          <w:szCs w:val="32"/>
          <w:shd w:val="clear" w:color="auto" w:fill="FFFFFF"/>
        </w:rPr>
        <w:t>对</w:t>
      </w:r>
      <w:r>
        <w:rPr>
          <w:rFonts w:ascii="仿宋_GB2312" w:hAnsi="仿宋_GB2312" w:eastAsia="仿宋_GB2312" w:cs="仿宋_GB2312"/>
          <w:color w:val="000000"/>
          <w:kern w:val="0"/>
          <w:sz w:val="32"/>
          <w:szCs w:val="32"/>
          <w:shd w:val="clear" w:color="auto" w:fill="FFFFFF"/>
        </w:rPr>
        <w:t>营业额、客流量等数据</w:t>
      </w:r>
      <w:r>
        <w:rPr>
          <w:rFonts w:hint="eastAsia" w:ascii="仿宋_GB2312" w:hAnsi="仿宋_GB2312" w:eastAsia="仿宋_GB2312" w:cs="仿宋_GB2312"/>
          <w:color w:val="000000"/>
          <w:kern w:val="0"/>
          <w:sz w:val="32"/>
          <w:szCs w:val="32"/>
          <w:shd w:val="clear" w:color="auto" w:fill="FFFFFF"/>
        </w:rPr>
        <w:t>开展统计分析，推动完善后续建设规划</w:t>
      </w:r>
      <w:r>
        <w:rPr>
          <w:rFonts w:ascii="仿宋_GB2312" w:hAnsi="仿宋_GB2312" w:eastAsia="仿宋_GB2312" w:cs="仿宋_GB2312"/>
          <w:color w:val="000000"/>
          <w:kern w:val="0"/>
          <w:sz w:val="32"/>
          <w:szCs w:val="32"/>
          <w:shd w:val="clear" w:color="auto" w:fill="FFFFFF"/>
        </w:rPr>
        <w:t>。</w:t>
      </w:r>
    </w:p>
    <w:p>
      <w:pPr>
        <w:widowControl/>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三是</w:t>
      </w:r>
      <w:r>
        <w:rPr>
          <w:rFonts w:ascii="仿宋_GB2312" w:hAnsi="仿宋_GB2312" w:eastAsia="仿宋_GB2312" w:cs="仿宋_GB2312"/>
          <w:color w:val="000000"/>
          <w:kern w:val="0"/>
          <w:sz w:val="32"/>
          <w:szCs w:val="32"/>
          <w:shd w:val="clear" w:color="auto" w:fill="FFFFFF"/>
        </w:rPr>
        <w:t>构建全周期培育监管体系</w:t>
      </w:r>
      <w:r>
        <w:rPr>
          <w:rFonts w:hint="eastAsia" w:ascii="仿宋_GB2312" w:hAnsi="仿宋_GB2312" w:eastAsia="仿宋_GB2312" w:cs="仿宋_GB2312"/>
          <w:color w:val="000000"/>
          <w:kern w:val="0"/>
          <w:sz w:val="32"/>
          <w:szCs w:val="32"/>
          <w:shd w:val="clear" w:color="auto" w:fill="FFFFFF"/>
        </w:rPr>
        <w:t>，加大</w:t>
      </w:r>
      <w:r>
        <w:rPr>
          <w:rFonts w:ascii="仿宋_GB2312" w:hAnsi="仿宋_GB2312" w:eastAsia="仿宋_GB2312" w:cs="仿宋_GB2312"/>
          <w:color w:val="000000"/>
          <w:kern w:val="0"/>
          <w:sz w:val="32"/>
          <w:szCs w:val="32"/>
          <w:shd w:val="clear" w:color="auto" w:fill="FFFFFF"/>
        </w:rPr>
        <w:t>客流量、商户满意度等指标</w:t>
      </w:r>
      <w:r>
        <w:rPr>
          <w:rFonts w:hint="eastAsia" w:ascii="仿宋_GB2312" w:hAnsi="仿宋_GB2312" w:eastAsia="仿宋_GB2312" w:cs="仿宋_GB2312"/>
          <w:color w:val="000000"/>
          <w:kern w:val="0"/>
          <w:sz w:val="32"/>
          <w:szCs w:val="32"/>
          <w:shd w:val="clear" w:color="auto" w:fill="FFFFFF"/>
        </w:rPr>
        <w:t>的跟踪力度，及时反馈改进。</w:t>
      </w:r>
      <w:r>
        <w:rPr>
          <w:rFonts w:ascii="仿宋_GB2312" w:hAnsi="仿宋_GB2312" w:eastAsia="仿宋_GB2312" w:cs="仿宋_GB2312"/>
          <w:color w:val="000000"/>
          <w:kern w:val="0"/>
          <w:sz w:val="32"/>
          <w:szCs w:val="32"/>
          <w:shd w:val="clear" w:color="auto" w:fill="FFFFFF"/>
        </w:rPr>
        <w:t>制定《街区动态管理办法》，</w:t>
      </w:r>
      <w:r>
        <w:rPr>
          <w:rFonts w:hint="eastAsia" w:ascii="仿宋_GB2312" w:hAnsi="仿宋_GB2312" w:eastAsia="仿宋_GB2312" w:cs="仿宋_GB2312"/>
          <w:color w:val="000000"/>
          <w:kern w:val="0"/>
          <w:sz w:val="32"/>
          <w:szCs w:val="32"/>
          <w:shd w:val="clear" w:color="auto" w:fill="FFFFFF"/>
        </w:rPr>
        <w:t>如</w:t>
      </w:r>
      <w:r>
        <w:rPr>
          <w:rFonts w:ascii="仿宋_GB2312" w:hAnsi="仿宋_GB2312" w:eastAsia="仿宋_GB2312" w:cs="仿宋_GB2312"/>
          <w:color w:val="000000"/>
          <w:kern w:val="0"/>
          <w:sz w:val="32"/>
          <w:szCs w:val="32"/>
          <w:shd w:val="clear" w:color="auto" w:fill="FFFFFF"/>
        </w:rPr>
        <w:t>对连续两年客流量下降超5%或发生重大安全事故的街区取消称号，</w:t>
      </w:r>
      <w:r>
        <w:rPr>
          <w:rFonts w:hint="eastAsia" w:ascii="仿宋_GB2312" w:hAnsi="仿宋_GB2312" w:eastAsia="仿宋_GB2312" w:cs="仿宋_GB2312"/>
          <w:color w:val="000000"/>
          <w:kern w:val="0"/>
          <w:sz w:val="32"/>
          <w:szCs w:val="32"/>
          <w:shd w:val="clear" w:color="auto" w:fill="FFFFFF"/>
        </w:rPr>
        <w:t>打造街区高质量品牌</w:t>
      </w:r>
      <w:r>
        <w:rPr>
          <w:rFonts w:ascii="仿宋_GB2312" w:hAnsi="仿宋_GB2312" w:eastAsia="仿宋_GB2312" w:cs="仿宋_GB2312"/>
          <w:color w:val="000000"/>
          <w:kern w:val="0"/>
          <w:sz w:val="32"/>
          <w:szCs w:val="32"/>
          <w:shd w:val="clear" w:color="auto" w:fill="FFFFFF"/>
        </w:rPr>
        <w:t>。</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ascii="宋体" w:hAnsi="宋体" w:eastAsia="宋体" w:cs="宋体"/>
                              <w:sz w:val="24"/>
                            </w:rPr>
                          </w:pP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ascii="宋体" w:hAnsi="宋体" w:eastAsia="宋体" w:cs="宋体"/>
                              <w:sz w:val="24"/>
                            </w:rPr>
                            <w:t>30</w:t>
                          </w:r>
                          <w:r>
                            <w:rPr>
                              <w:rFonts w:hint="eastAsia" w:ascii="宋体" w:hAnsi="宋体" w:eastAsia="宋体" w:cs="宋体"/>
                              <w:sz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7"/>
                      <w:rPr>
                        <w:rFonts w:ascii="宋体" w:hAnsi="宋体" w:eastAsia="宋体" w:cs="宋体"/>
                        <w:sz w:val="24"/>
                      </w:rPr>
                    </w:pP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ascii="宋体" w:hAnsi="宋体" w:eastAsia="宋体" w:cs="宋体"/>
                        <w:sz w:val="24"/>
                      </w:rPr>
                      <w:t>30</w:t>
                    </w:r>
                    <w:r>
                      <w:rPr>
                        <w:rFonts w:hint="eastAsia" w:ascii="宋体" w:hAnsi="宋体" w:eastAsia="宋体" w:cs="宋体"/>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NGFhMjg2OGU3YjE3YzI1NDVjOWZjMDM1MGMzMGQifQ=="/>
  </w:docVars>
  <w:rsids>
    <w:rsidRoot w:val="119C4FCF"/>
    <w:rsid w:val="00100D82"/>
    <w:rsid w:val="001C7A3C"/>
    <w:rsid w:val="00316D29"/>
    <w:rsid w:val="00320499"/>
    <w:rsid w:val="003D4FFC"/>
    <w:rsid w:val="0060588F"/>
    <w:rsid w:val="007A0078"/>
    <w:rsid w:val="007F5404"/>
    <w:rsid w:val="00957F31"/>
    <w:rsid w:val="009B3A8A"/>
    <w:rsid w:val="00B76F0A"/>
    <w:rsid w:val="00C174EE"/>
    <w:rsid w:val="00C67CB5"/>
    <w:rsid w:val="00CB0EAE"/>
    <w:rsid w:val="00F358D2"/>
    <w:rsid w:val="01620BCA"/>
    <w:rsid w:val="01EF47A9"/>
    <w:rsid w:val="026A5186"/>
    <w:rsid w:val="04010424"/>
    <w:rsid w:val="04382738"/>
    <w:rsid w:val="04E339B4"/>
    <w:rsid w:val="07194C6C"/>
    <w:rsid w:val="075F5104"/>
    <w:rsid w:val="0AF546A0"/>
    <w:rsid w:val="0CCF0263"/>
    <w:rsid w:val="100C5C8F"/>
    <w:rsid w:val="101E61CB"/>
    <w:rsid w:val="118E44DC"/>
    <w:rsid w:val="119C4FCF"/>
    <w:rsid w:val="160352D1"/>
    <w:rsid w:val="193C34F7"/>
    <w:rsid w:val="20326A5D"/>
    <w:rsid w:val="258345EB"/>
    <w:rsid w:val="26722306"/>
    <w:rsid w:val="267656E5"/>
    <w:rsid w:val="28654877"/>
    <w:rsid w:val="2C9A25B7"/>
    <w:rsid w:val="2D7567B6"/>
    <w:rsid w:val="2EB931C8"/>
    <w:rsid w:val="304C7C5E"/>
    <w:rsid w:val="31B470D0"/>
    <w:rsid w:val="32954F2F"/>
    <w:rsid w:val="335334BF"/>
    <w:rsid w:val="336F6F2E"/>
    <w:rsid w:val="35BC0E4B"/>
    <w:rsid w:val="37215D5B"/>
    <w:rsid w:val="38F10319"/>
    <w:rsid w:val="3A8028C2"/>
    <w:rsid w:val="3B722F38"/>
    <w:rsid w:val="45CC270F"/>
    <w:rsid w:val="45CE5548"/>
    <w:rsid w:val="4A5C75BF"/>
    <w:rsid w:val="4D6D5271"/>
    <w:rsid w:val="4D862288"/>
    <w:rsid w:val="4E693911"/>
    <w:rsid w:val="4E7F242B"/>
    <w:rsid w:val="4F7A3E56"/>
    <w:rsid w:val="50D94995"/>
    <w:rsid w:val="50E83041"/>
    <w:rsid w:val="523431F2"/>
    <w:rsid w:val="53202F66"/>
    <w:rsid w:val="55EC3BE1"/>
    <w:rsid w:val="5AD61680"/>
    <w:rsid w:val="5AF71F96"/>
    <w:rsid w:val="5B2B06FA"/>
    <w:rsid w:val="5B5041DA"/>
    <w:rsid w:val="5B654180"/>
    <w:rsid w:val="5CE62B2B"/>
    <w:rsid w:val="5DFA0297"/>
    <w:rsid w:val="5E856373"/>
    <w:rsid w:val="6013288B"/>
    <w:rsid w:val="60C563FD"/>
    <w:rsid w:val="618564C8"/>
    <w:rsid w:val="62EB1137"/>
    <w:rsid w:val="632646A4"/>
    <w:rsid w:val="644A1BF1"/>
    <w:rsid w:val="64CD637E"/>
    <w:rsid w:val="67F62989"/>
    <w:rsid w:val="686139AD"/>
    <w:rsid w:val="6A365888"/>
    <w:rsid w:val="6B6F43CE"/>
    <w:rsid w:val="6CD069AF"/>
    <w:rsid w:val="6D037F1A"/>
    <w:rsid w:val="6D0F7B2C"/>
    <w:rsid w:val="6D7221B9"/>
    <w:rsid w:val="6EBD395F"/>
    <w:rsid w:val="6F60676D"/>
    <w:rsid w:val="71D46F9E"/>
    <w:rsid w:val="74042BA4"/>
    <w:rsid w:val="745C6292"/>
    <w:rsid w:val="74954E11"/>
    <w:rsid w:val="74E463A9"/>
    <w:rsid w:val="75740F50"/>
    <w:rsid w:val="76B41F4F"/>
    <w:rsid w:val="76D11CFE"/>
    <w:rsid w:val="797E3461"/>
    <w:rsid w:val="79F35916"/>
    <w:rsid w:val="7C4363ED"/>
    <w:rsid w:val="7E3B3B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600" w:lineRule="exact"/>
      <w:ind w:firstLine="420" w:firstLineChars="200"/>
      <w:outlineLvl w:val="1"/>
    </w:pPr>
    <w:rPr>
      <w:rFonts w:ascii="楷体_GB2312" w:hAnsi="宋体" w:eastAsia="楷体_GB2312" w:cs="Times New Roman"/>
      <w:b/>
      <w:bCs/>
      <w:sz w:val="32"/>
      <w:szCs w:val="32"/>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alloon Text"/>
    <w:basedOn w:val="1"/>
    <w:link w:val="22"/>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Title"/>
    <w:basedOn w:val="1"/>
    <w:next w:val="1"/>
    <w:qFormat/>
    <w:uiPriority w:val="0"/>
    <w:pPr>
      <w:adjustRightInd w:val="0"/>
      <w:snapToGrid w:val="0"/>
      <w:spacing w:line="360" w:lineRule="auto"/>
      <w:ind w:firstLine="800" w:firstLineChars="200"/>
      <w:jc w:val="left"/>
      <w:outlineLvl w:val="0"/>
    </w:pPr>
    <w:rPr>
      <w:rFonts w:ascii="Arial" w:hAnsi="Arial" w:eastAsia="仿宋"/>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paragraph" w:customStyle="1" w:styleId="16">
    <w:name w:val="_Style 3"/>
    <w:basedOn w:val="1"/>
    <w:next w:val="17"/>
    <w:unhideWhenUsed/>
    <w:qFormat/>
    <w:uiPriority w:val="99"/>
    <w:pPr>
      <w:spacing w:line="360" w:lineRule="auto"/>
      <w:ind w:firstLine="420" w:firstLineChars="200"/>
      <w:jc w:val="left"/>
    </w:pPr>
    <w:rPr>
      <w:rFonts w:ascii="Times New Roman" w:hAnsi="Times New Roman" w:eastAsia="仿宋"/>
      <w:sz w:val="32"/>
      <w:lang w:eastAsia="zh-TW"/>
    </w:rPr>
  </w:style>
  <w:style w:type="paragraph" w:styleId="17">
    <w:name w:val="List Paragraph"/>
    <w:basedOn w:val="1"/>
    <w:qFormat/>
    <w:uiPriority w:val="34"/>
    <w:pPr>
      <w:ind w:firstLine="420" w:firstLineChars="200"/>
    </w:pPr>
  </w:style>
  <w:style w:type="paragraph" w:customStyle="1" w:styleId="18">
    <w:name w:val="正文格式"/>
    <w:basedOn w:val="19"/>
    <w:qFormat/>
    <w:uiPriority w:val="0"/>
    <w:pPr>
      <w:spacing w:line="360" w:lineRule="auto"/>
      <w:ind w:firstLine="480"/>
    </w:pPr>
    <w:rPr>
      <w:rFonts w:ascii="宋体" w:hAnsi="宋体" w:eastAsia="宋体" w:cs="Times New Roman"/>
      <w:sz w:val="24"/>
    </w:rPr>
  </w:style>
  <w:style w:type="paragraph" w:customStyle="1" w:styleId="19">
    <w:name w:val="二级标题"/>
    <w:basedOn w:val="20"/>
    <w:qFormat/>
    <w:uiPriority w:val="0"/>
    <w:pPr>
      <w:outlineLvl w:val="1"/>
    </w:pPr>
    <w:rPr>
      <w:rFonts w:eastAsia="楷体_GB2312"/>
    </w:rPr>
  </w:style>
  <w:style w:type="paragraph" w:customStyle="1" w:styleId="20">
    <w:name w:val="一级标题"/>
    <w:basedOn w:val="1"/>
    <w:qFormat/>
    <w:uiPriority w:val="0"/>
    <w:pPr>
      <w:spacing w:line="580" w:lineRule="exact"/>
      <w:ind w:firstLine="200" w:firstLineChars="200"/>
      <w:outlineLvl w:val="0"/>
    </w:pPr>
    <w:rPr>
      <w:rFonts w:ascii="Times New Roman" w:hAnsi="Times New Roman" w:eastAsia="黑体"/>
      <w:kern w:val="0"/>
      <w:sz w:val="32"/>
      <w:szCs w:val="20"/>
    </w:rPr>
  </w:style>
  <w:style w:type="character" w:customStyle="1" w:styleId="21">
    <w:name w:val="font11"/>
    <w:basedOn w:val="14"/>
    <w:qFormat/>
    <w:uiPriority w:val="0"/>
    <w:rPr>
      <w:rFonts w:hint="eastAsia" w:ascii="黑体" w:hAnsi="宋体" w:eastAsia="黑体" w:cs="黑体"/>
      <w:color w:val="000000"/>
      <w:sz w:val="24"/>
      <w:szCs w:val="24"/>
      <w:u w:val="none"/>
    </w:rPr>
  </w:style>
  <w:style w:type="character" w:customStyle="1" w:styleId="22">
    <w:name w:val="批注框文本 Char"/>
    <w:basedOn w:val="14"/>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ECB019B1-382A-4266-B25C-5B523AA43C14-1">
      <extobjdata type="ECB019B1-382A-4266-B25C-5B523AA43C14" data="ewoJIkZpbGVJZCIgOiAiNDE0MzYxOTk3NTg0IiwKCSJHcm91cElkIiA6ICI2NDAyODU5MTQiLAoJIkltYWdlIiA6ICJpVkJPUncwS0dnb0FBQUFOU1VoRVVnQUFBNThBQUFIcENBWUFBQUFGOVlpSkFBQUFBWE5TUjBJQXJzNGM2UUFBSUFCSlJFRlVlSnpzM1hkY2s5Y2FCL0RmU2NLUURlSkNWRlJRSENDZzRxVE82OTU3NDBiRlZYRlQ2NzZPS25wZHJWdXBvblZQMUtwMUM2SlVHUXFDQTNFck1oUklDRW5lKzRma0xTRUpCRVVaZmI2ZlR6ODE3enlKNXVSOXpuZ09RQW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xSmY1UDhCb1NkOTBhUUZ5bVFBQUFBQVNVVk9SSzVDWUlJPSIsCgkiVGhlbWUiIDogIiIsCgkiVHlwZSIgOiAiZmxvdyIsCgkiVXNlcklkIiA6ICI0NzUxNjQ2NDgiLAoJIlZlcnNpb24iIDogIjYy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3250</Words>
  <Characters>3459</Characters>
  <Lines>166</Lines>
  <Paragraphs>46</Paragraphs>
  <TotalTime>93</TotalTime>
  <ScaleCrop>false</ScaleCrop>
  <LinksUpToDate>false</LinksUpToDate>
  <CharactersWithSpaces>3552</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2025-10-14T06:00:00Z</dcterms:created>
  <dc:creator>.</dc:creator>
  <cp:lastModifiedBy>Lenovo</cp:lastModifiedBy>
  <dcterms:modified xsi:type="dcterms:W3CDTF">2025-11-17T03:21:43Z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F883289D19574EC7937669964B52518C_13</vt:lpwstr>
  </property>
  <property fmtid="{D5CDD505-2E9C-101B-9397-08002B2CF9AE}" pid="4" name="KSOTemplateDocerSaveRecord">
    <vt:lpwstr>eyJoZGlkIjoiNGU2MDZjNGNlMDM2OTAwYTI1YzkxYjA4ZjU1MGFhMTAiLCJ1c2VySWQiOiI0NzUxNjQ2NDgifQ==</vt:lpwstr>
  </property>
</Properties>
</file>