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青岛市高新技术企业认定奖补政策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（2024年1月-2025年8月）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绩效评价报告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0"/>
        <w:rPr>
          <w:rFonts w:ascii="黑体" w:hAnsi="黑体" w:eastAsia="黑体" w:cs="黑体"/>
          <w:color w:val="auto"/>
          <w:sz w:val="32"/>
          <w:szCs w:val="40"/>
          <w:highlight w:val="none"/>
        </w:rPr>
      </w:pPr>
      <w:bookmarkStart w:id="0" w:name="_Toc19628"/>
      <w:bookmarkStart w:id="1" w:name="_Toc20617"/>
      <w:r>
        <w:rPr>
          <w:rFonts w:hint="eastAsia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  <w:t>一、政策基本情况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40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政策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</w:rPr>
        <w:t>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背景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eastAsia="zh-CN"/>
        </w:rPr>
        <w:t>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为深入实施创新驱动发展战略，进一步强化企业创新主体地位，激发全社会创新创业活力，量质并举培育科技型企业，促进“四新经济”和重点产业发展，2021年12月2日，青岛市人民政府印发《青岛市实施“沃土计划”加快培育科技型企业三年行动方案（2022—2024年）》（青政字〔2021〕30号），以提升企业自主创新能力为核心，大力实施科技型企业培育三年行动计划，建立国家高新技术企业（以下简称“高企”）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培育库和高企上市培育库，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对首次通过高企认定及再次通过认定的企业给予奖补，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推动创新要素向企业集聚，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厚植企业成长沃土，壮大科技型中小企业、高企、科技领军企业队伍。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</w:pP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为认真落实国家、省有关部署要求，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深入推进科技创新，加快建设科技强市，2024年7月31日，青岛市人民政府印发《青岛市深入推进科技创新加快建设科技强市行动计划（2024—2028年）》（青政字〔2024〕20号），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深化科技型中小企业、高新技术企业、科技领军企业梯次培育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做大做强高新技术企业队伍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，明确继续实施高企认定奖补。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主要内容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2024-2025年，青岛市高企认定奖补按以下两类政策标准执行，分别对应不同时段认定的企业：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（1）</w:t>
      </w:r>
      <w:r>
        <w:rPr>
          <w:rFonts w:hint="default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针对2022-2023年认定高企的奖补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（执行旧标准）：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按《青岛市实施“沃土计划”加快培育科技型企业三年行动方案（2022—2024年）》（青政字〔2021〕30号）规定执行。具体标准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①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首次通过认定：给予15万元奖补，同时按其认定当年可加计扣除研发费用（企业所得税税基式优惠，指在实际扣除额基础上加成一定比例计算应纳税所得额扣除额）的10%，给予最高30万元奖补。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②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再次通过认定：给予10万元奖补。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（2）</w:t>
      </w:r>
      <w:r>
        <w:rPr>
          <w:rFonts w:hint="default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针对2024-2028年认定高企的奖补（执行新标准）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按《青岛市深入推进科技创新加快建设科技强市行动计划（2024—2028年）》（青政字〔2024〕20号）规定执行。具体标准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为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①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首次通过认定：给予最高10万元奖补。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②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再次通过认定：给予最高5万元奖补。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实施情况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2024年1月-2025年8月，市科技局通过转移支付、市级直拨两种方式兑现高企认定奖励。2024年8月之前，高企奖励资金采取转移支付方式下达资金到各区（市），由区（市）兑现企业，受新冠疫情和宏观环境等影响，区（市）面临收支压力，出现了兑现慢的问题。市财政局及时调整拨付方式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经报市委、市政府研究决策，2024年8月后调整为市级直拨，大大提升了兑现效率，实现资金直接兑付到位。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评价期间，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计划奖补企业5860家（2021年度高企4家、2022年度高企2468家、2023年度3388家），因区（市）奖补资金落实延迟，截至2025年8月，实际奖补3878家，完成率66.18%。其中，转移支付资金对应奖补企业2463家，实际奖补481家，完成率19.53%；市级直拨资金对应奖补企业3397家，实际奖补3397家，完成率100%。具体如下表所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center"/>
        <w:rPr>
          <w:rFonts w:hint="eastAsia" w:ascii="黑体" w:hAnsi="宋体" w:eastAsia="黑体" w:cs="黑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表1-1 2024年1月-2025年8月高企认定奖补情况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center"/>
        <w:rPr>
          <w:rFonts w:hint="eastAsia" w:ascii="黑体" w:hAnsi="宋体" w:eastAsia="黑体" w:cs="黑体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  <w:t>数量单位：家</w:t>
      </w:r>
    </w:p>
    <w:tbl>
      <w:tblPr>
        <w:tblStyle w:val="15"/>
        <w:tblW w:w="94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781"/>
        <w:gridCol w:w="403"/>
        <w:gridCol w:w="431"/>
        <w:gridCol w:w="521"/>
        <w:gridCol w:w="418"/>
        <w:gridCol w:w="521"/>
        <w:gridCol w:w="535"/>
        <w:gridCol w:w="509"/>
        <w:gridCol w:w="496"/>
        <w:gridCol w:w="613"/>
        <w:gridCol w:w="508"/>
        <w:gridCol w:w="522"/>
        <w:gridCol w:w="757"/>
        <w:gridCol w:w="626"/>
        <w:gridCol w:w="548"/>
        <w:gridCol w:w="8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</w:trPr>
        <w:tc>
          <w:tcPr>
            <w:tcW w:w="4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区（市）</w:t>
            </w:r>
          </w:p>
        </w:tc>
        <w:tc>
          <w:tcPr>
            <w:tcW w:w="44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市级直拨</w:t>
            </w:r>
          </w:p>
        </w:tc>
        <w:tc>
          <w:tcPr>
            <w:tcW w:w="17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转移支付</w:t>
            </w:r>
          </w:p>
        </w:tc>
        <w:tc>
          <w:tcPr>
            <w:tcW w:w="1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</w:trPr>
        <w:tc>
          <w:tcPr>
            <w:tcW w:w="4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2021年度高企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2022年度高企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2023年度高企</w:t>
            </w:r>
          </w:p>
        </w:tc>
        <w:tc>
          <w:tcPr>
            <w:tcW w:w="1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7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2022年度高企</w:t>
            </w:r>
          </w:p>
        </w:tc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划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</w:t>
            </w:r>
          </w:p>
        </w:tc>
        <w:tc>
          <w:tcPr>
            <w:tcW w:w="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完成数</w:t>
            </w:r>
          </w:p>
        </w:tc>
        <w:tc>
          <w:tcPr>
            <w:tcW w:w="8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完</w:t>
            </w:r>
          </w:p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</w:t>
            </w:r>
          </w:p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</w:trPr>
        <w:tc>
          <w:tcPr>
            <w:tcW w:w="4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计划数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完成数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计划数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完成数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计划数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完成数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计划数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完成数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完</w:t>
            </w:r>
          </w:p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</w:t>
            </w:r>
          </w:p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率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计划数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完成数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完</w:t>
            </w:r>
          </w:p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</w:t>
            </w:r>
          </w:p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率</w:t>
            </w:r>
          </w:p>
        </w:tc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市南区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57.14%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市北区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2.35%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58.50%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李沧区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0.68%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45.76%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崂山区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99.25%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625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623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99.68%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653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653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657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657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423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0.71%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1080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61.11%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城阳区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629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629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449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1079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58.39%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即墨区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1.13%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665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403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60.60%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胶州市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445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445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447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447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348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795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447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56.23%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平度市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3.23%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61.90%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莱西市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58.24%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99.42%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376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99.73%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自贸片区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96.77%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99.01%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合计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3388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3388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3397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3397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2463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481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19.53%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5860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3878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66.18%</w:t>
            </w:r>
          </w:p>
        </w:tc>
      </w:tr>
    </w:tbl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80" w:lineRule="exact"/>
        <w:ind w:firstLine="643" w:firstLineChars="200"/>
        <w:jc w:val="both"/>
        <w:textAlignment w:val="auto"/>
        <w:outlineLvl w:val="9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4.资金投入及使用情况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eastAsia="zh-CN"/>
        </w:rPr>
        <w:t>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2024年-2025年，高企认定奖补政策资金总预算129340.18万元，其中，转移支付区（市）资金43453.35万元、市级直拨资金85886.83万元，实际到位金额与预算一致，到位率100%。因部分市级直拨资金计划于2025年11月执行，截至2025年8月，政策整体应执行金额107274.2万元，实际执行金额70438.9万元，执行率65.66%。其中：转移区（市）资金实际到位数43362.55万元，执行数6617.75万元，执行率15.26%，主要因部分区（市）奖励政策兑现滞后，奖补资金尚未拨付企业；市级直拨资金应执行63911.65万元，实际执行63821.15万元，执行率99.86%。具体如下表所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center"/>
        <w:rPr>
          <w:rFonts w:hint="default" w:ascii="黑体" w:hAnsi="宋体" w:eastAsia="黑体" w:cs="黑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表1-2 2024年1月-2025年8月高企奖补资金预算执行情况表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center"/>
        <w:rPr>
          <w:rFonts w:hint="eastAsia" w:ascii="黑体" w:hAnsi="宋体" w:eastAsia="黑体" w:cs="黑体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  <w:t>金额单位：万元</w:t>
      </w:r>
    </w:p>
    <w:tbl>
      <w:tblPr>
        <w:tblStyle w:val="15"/>
        <w:tblW w:w="90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730"/>
        <w:gridCol w:w="1539"/>
        <w:gridCol w:w="1057"/>
        <w:gridCol w:w="1061"/>
        <w:gridCol w:w="1176"/>
        <w:gridCol w:w="990"/>
        <w:gridCol w:w="988"/>
        <w:gridCol w:w="7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奖励方式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年度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资金名称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调整后预算数</w:t>
            </w:r>
          </w:p>
        </w:tc>
        <w:tc>
          <w:tcPr>
            <w:tcW w:w="21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转移支付金额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执行金额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执行率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转移支付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  <w:tc>
          <w:tcPr>
            <w:tcW w:w="15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高企及上市培育计划-高新技术企业认定奖补资金（区市）</w:t>
            </w:r>
          </w:p>
        </w:tc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43773.07</w:t>
            </w: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43453.35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市南区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1168.79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市北区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1097.69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李沧区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2516.32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26.63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崂山区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4870.45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3150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64.68%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7979.78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城阳区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7829.97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转移支付</w:t>
            </w:r>
          </w:p>
        </w:tc>
        <w:tc>
          <w:tcPr>
            <w:tcW w:w="73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2024</w:t>
            </w:r>
          </w:p>
        </w:tc>
        <w:tc>
          <w:tcPr>
            <w:tcW w:w="153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高企及上市培育计划-高新技术企业认定奖补资金（区市）</w:t>
            </w:r>
          </w:p>
        </w:tc>
        <w:tc>
          <w:tcPr>
            <w:tcW w:w="105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43773.07</w:t>
            </w: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43453.35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即墨区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4606.25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68.27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胶州市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6331.01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平度市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2006.06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莱西市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1653.74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25.91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2732.99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2702.44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98.88%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自贸片区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569.5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564.5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99.12%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43773.07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43453.35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43362.55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6617.75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15.26%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奖励方式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年度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资金名称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调整后预算数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至2025年8月应执行数</w:t>
            </w:r>
          </w:p>
        </w:tc>
        <w:tc>
          <w:tcPr>
            <w:tcW w:w="19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至2025年8月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实际执行数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执行率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市级直拨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高企认定奖补预留资金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6500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6179.46</w:t>
            </w:r>
          </w:p>
        </w:tc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6179.46</w:t>
            </w:r>
          </w:p>
        </w:tc>
        <w:tc>
          <w:tcPr>
            <w:tcW w:w="1978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6108.15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98.85%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2023年度认定高新技术企业奖补资金（第一批）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19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19980.81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99.90%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高新技术企业认定奖补资金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59707.37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59707.37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37732.19</w:t>
            </w:r>
          </w:p>
        </w:tc>
        <w:tc>
          <w:tcPr>
            <w:tcW w:w="19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37732.19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26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66207.37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85886.83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63911.65</w:t>
            </w:r>
          </w:p>
        </w:tc>
        <w:tc>
          <w:tcPr>
            <w:tcW w:w="19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63821.15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99.86%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12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109980.44</w:t>
            </w:r>
          </w:p>
        </w:tc>
        <w:tc>
          <w:tcPr>
            <w:tcW w:w="10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129340.18</w:t>
            </w:r>
          </w:p>
        </w:tc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107274.2</w:t>
            </w:r>
          </w:p>
        </w:tc>
        <w:tc>
          <w:tcPr>
            <w:tcW w:w="1978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70438.9</w:t>
            </w:r>
          </w:p>
        </w:tc>
        <w:tc>
          <w:tcPr>
            <w:tcW w:w="7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65.66%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90" w:lineRule="exact"/>
        <w:ind w:firstLine="640" w:firstLineChars="200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40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</w:rPr>
        <w:t>二）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政策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</w:rPr>
        <w:t>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1.《青岛市实施“沃土计划”加快培育科技型企业三年行动方案（2022—2024年）》（青政字〔2021〕30号）。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提升企业自主创新能力为核心，大力实施科技型企业培育三年行动计划，到2024年，高企数量超过8000家，上市高企数量超过60家，高新技术产业产值占规模以上工业总产值比重提升到65%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40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2.《青岛市深入推进科技创新加快建设科技强市行动计划（2024—2028年）》（青政字〔2024〕20号）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以科技创新与产业创新深度融合为引领、以科技成果转化为主线、以海洋科技创新为特色、以科技研发投入为保障，统筹教育科技人才一体化发展，高质量建设具有核心竞争力的科技强市，为科技强国、科技强省建设作出贡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。到2028年，城市创新资源集聚力、产业创新策源力、创新人才吸引力和科技成果转化力大幅跃升，全社会研发经费总量超过800亿元，技术合同成交额超过1200亿元。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auto"/>
          <w:sz w:val="32"/>
          <w:szCs w:val="40"/>
          <w:highlight w:val="none"/>
        </w:rPr>
      </w:pPr>
      <w:bookmarkStart w:id="2" w:name="_Toc21424"/>
      <w:bookmarkStart w:id="3" w:name="_Toc15224"/>
      <w:r>
        <w:rPr>
          <w:rFonts w:hint="eastAsia" w:ascii="黑体" w:hAnsi="黑体" w:eastAsia="黑体" w:cs="黑体"/>
          <w:color w:val="auto"/>
          <w:sz w:val="32"/>
          <w:szCs w:val="40"/>
          <w:highlight w:val="none"/>
        </w:rPr>
        <w:t>二、绩效评价工作开展情况</w:t>
      </w:r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40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</w:rPr>
        <w:t>（一）评价目的、评价对象和范围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1.评价目的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通过对高新技术企业认定奖补政策开展评价，对影响政策制定和实施的一系列条件和因素进行分析，系统评价和科学预测政策运行产生的结果和效应，判断政策预期目标达成情况，及时发现政策制定、组织实施与资金管理中存在的问题和薄弱环节，有针对性地提出改进政策执行和管理的建议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同时对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该政策在推动高新技术产业产值规模扩张、助力高新技术企业队伍“量质齐升”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方面的作用发挥情况进行综合评估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，为后续政策优化提供参考。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outlineLvl w:val="9"/>
        <w:rPr>
          <w:rFonts w:hint="eastAsia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2.评价对象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《青岛市实施“沃土计划”加快培育科技型企业三年行动方案（2022—2024年）》（青政字〔2021〕30号）《青岛市深入推进科技创新加快建设科技强市行动计划（2024—2028年）》（青政字〔2024〕20号）两项政策。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3.评价范围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2024年1月-2025年8月青岛市高新技术企业认定奖补政策实施效果开展绩效评价。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40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</w:rPr>
        <w:t>（二）评价思路、评价重点、评价指标体系和评价标准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1.评价思路。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本次评价坚持绩效导向、客观公正、操作可行、主体分明的原则，根据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财政部关于印发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《项目支出绩效评价管理办法》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的通知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（财预〔2020〕10号）及《市级项目支出部门绩效评价操作规程》（青财绩〔2020〕8号）等文件要求制定绩效评价指标体系及具体评价方案。评价过程中结合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目标及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高企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项目的特点，有针对性地梳理项目资料，核查项目实施管理规范性、任务目标完成度及资金使用合规性，综合评估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zh-CN"/>
        </w:rPr>
        <w:t>推动企业强化创新主体地位、加速产业结构优化升级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等方面的实施成效，聚焦问题导向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，有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针对性地提出合理化建议。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2.评价重点。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</w:rPr>
        <w:t>本次绩效评价重点关注项目实施管理的规范性、实际产出效益，以及项目的可持续性与示范价值。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（1）作为奖补政策，奖补对象范围选择是否合理、精准；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）确定奖补标准考虑的因素，是否精准适度，且与当前科技创新发展需求相匹配；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）高新技术企业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认定管理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工作方案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的制定和执行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是否规范、严谨；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）政策实施对推动企业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申报并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认定高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新技术企业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效果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，以及对提升全市高新技术产业产值占规模以上工业产值比重、规模以上高新技术企业数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量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、规模以上高新技术企业数占规模以上法人单位数的比重、每万家企业法人中高新技术企业数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量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、上市高新技术企业总数等核心指标的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作用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3.评价指标体系。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本次绩效评价围绕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政策目标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从政策制定、政策实施、政策效果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个维度制定绩效评价指标体系，聚焦项目实施效果差异化设置评价指标及权重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详见附件1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（1）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政策制定情况。包括政策设立、政策目标、政策机制协同性和政策标准4个二级指标，重点关注政策奖补对象与政策目标、现实需求、经济发展情况等是否匹配；奖补额度是否科学、合理、精准适度。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（2）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政策实施情况。包括资金管理和业务管理2个二级指标，重点核查转移至区（市）资金是否及时、足额下达至被奖补企业，确保资金拨付的时效性与到位率；政策实施细则、保障机制、规则说明是否建立健全；在高企认定奖补政策实施全流程中，是否规范企业申报资料管理，奖补资金发放、企业资质核查是否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（3）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政策效果情况。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val="en-US" w:eastAsia="zh-CN"/>
        </w:rPr>
        <w:t>包括政策产出数量、质量、时效及成本控制、经济效益、社会效益、可持续影响和服务对象满意度8个二级指标，依据青政字〔2021〕30号、青政字〔2024〕20号政策文件要求及《青岛市“十四五”科技创新规划》（青政办发〔2021〕11号）《山东省“十四五”科技创新规划》（鲁政字〔2021〕164号）等高企预期发展目标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重点关注高新技术企业奖补成效、高新技术产业产值占规模以上工业产值比重、规模以上高新技术企业数占规模以上法人单位数的比重、规模以上高新技术企业数同比增长情况等效益效果，以及政策实施对壮大高新技术企业队伍的作用和政策可持续影响；同时，对奖补高企开展社会调查，核实奖补政策对企业认定高企的引导和激励作用，发现政策实施管理问题并收集企业有效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4.评价标准。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绩效评价标准制定过程中，依据相关管理办法，针对项目特点及具体评价指标，确定绩效评价要点和评价标准。具体评定标准以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val="en-US" w:eastAsia="zh-CN"/>
        </w:rPr>
        <w:t>青政字〔2021〕30号、青政字〔2024〕20号政策文件及《青岛市“十四五”科技创新规划》（青政办发〔2021〕11号）《山东省“十四五”科技创新规划》（鲁政字〔2021〕164号）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等文件约定的任务目标、行业平均水平、节点计划等为依据，按照评价要点对项目实际执行情况进行量化评分。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项目评价结果总分为100分，根据《青岛市市级项目支出预算绩效管理结果应用办法》（青财绩〔2023〕5号），等级划分为四档：90（含）-100分为优；80（含）-90分为良；60（含）-80分为中；0-60分为差。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40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</w:rPr>
        <w:t>（三）评价组织实施与评价方法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1.评价组织实施。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主要包括前期准备、组织实施、撰写及提交绩效评价报告等环节和程序。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（1）前期准备（9月15日—9月26日）。成立评价工作组，梳理项目政策文件，了解项目基本情况及资金安排，明确评价目标与要求，草拟评价工作方案及指标体系。制定项目资料清单，核实分析项目资料及基础数据，结合专家意见完善评价方案及指标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（2）组织实施阶段（9月29日—10月10日）。开展现场评价，通过资料审查、数据核验、访谈调研等方式评价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政策实施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情况。开展社会调查收集服务群体反馈，客观评价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政策实施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（3）撰写提交绩效评价报告（10月11日—10月31日）。综合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资料、调研结果及专家意见撰写评价报告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40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2.评价方法。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本次评价主要采用比较法、因素分析法、成本效益法、公众评判法等方法，通过现场评价的方式开展。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与市科技局、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区（市）科技主管部门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等部门和单位进行访谈。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高企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相关任务完成情况开展调研，对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实施管理、取得成效进行详细考察。现场评价覆盖组织实施单位总量的100%、预算总金额的100%。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auto"/>
          <w:sz w:val="32"/>
          <w:szCs w:val="40"/>
          <w:highlight w:val="none"/>
        </w:rPr>
      </w:pPr>
      <w:bookmarkStart w:id="4" w:name="_Toc10013"/>
      <w:bookmarkStart w:id="5" w:name="_Toc15543"/>
      <w:r>
        <w:rPr>
          <w:rFonts w:hint="eastAsia" w:ascii="黑体" w:hAnsi="黑体" w:eastAsia="黑体" w:cs="黑体"/>
          <w:color w:val="auto"/>
          <w:sz w:val="32"/>
          <w:szCs w:val="40"/>
          <w:highlight w:val="none"/>
        </w:rPr>
        <w:t>三、评价结论及分析</w:t>
      </w:r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40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</w:rPr>
        <w:t>（一）综合评价结论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该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绩效评价得分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85.87分（详见表3-1），评价结果为“良”。本项政策通过支持企业认定高企加快培育科技型企业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符合中央及省、市创新驱动发展战略，设立依据充分。市科技局在政策制定修订过程中进行了有效论证，立项程序规范。按高企认定结果编制预算，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通过转移支付、市级直拨的方式兑现奖励，市级层面落实及时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。2024年全市高新技术产业产值占规模以上工业产值66.26%，高新技术产业固定资产投资累计占工业固定资产投资59.04%。截至2025年8月，全市高企数量达8643家，提前完成“十四五”规划8000家的目标。但实施过程中仍存在一些问题：例如，区（市）层面对高企的培育管理服务仍需提升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2024年全市上市高企42家，未完成“沃土计划”60家的目标，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高企培育质量有待提升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；全市规模以上高新技术产业产值同比增长4.34%，低于全省7.99%的平均增速；单一标准的普惠性奖补对不同企业的获得感和激励效果不同，未结合不同企业需求制定差异化奖励政策。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表3-1 高新技术企业认定奖补政策</w: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t>绩效评价得分情况表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7"/>
        <w:gridCol w:w="2087"/>
        <w:gridCol w:w="2087"/>
        <w:gridCol w:w="2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一级指标</w:t>
            </w:r>
          </w:p>
        </w:tc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指标分值</w:t>
            </w:r>
          </w:p>
        </w:tc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得分</w:t>
            </w:r>
          </w:p>
        </w:tc>
        <w:tc>
          <w:tcPr>
            <w:tcW w:w="20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得分率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政策制定</w:t>
            </w:r>
          </w:p>
        </w:tc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20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政策实施</w:t>
            </w:r>
          </w:p>
        </w:tc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20</w:t>
            </w:r>
          </w:p>
        </w:tc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16.97</w:t>
            </w:r>
          </w:p>
        </w:tc>
        <w:tc>
          <w:tcPr>
            <w:tcW w:w="20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84.85%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政策效果</w:t>
            </w:r>
          </w:p>
        </w:tc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65</w:t>
            </w:r>
          </w:p>
        </w:tc>
        <w:tc>
          <w:tcPr>
            <w:tcW w:w="2087" w:type="dxa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53.90</w:t>
            </w:r>
          </w:p>
        </w:tc>
        <w:tc>
          <w:tcPr>
            <w:tcW w:w="2088" w:type="dxa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82.92%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合计</w:t>
            </w:r>
          </w:p>
        </w:tc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100</w:t>
            </w:r>
          </w:p>
        </w:tc>
        <w:tc>
          <w:tcPr>
            <w:tcW w:w="2087" w:type="dxa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85.87</w:t>
            </w:r>
          </w:p>
        </w:tc>
        <w:tc>
          <w:tcPr>
            <w:tcW w:w="2088" w:type="dxa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85.87%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80" w:lineRule="exact"/>
        <w:ind w:firstLine="640" w:firstLineChars="200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40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</w:rPr>
        <w:t>（二）指标分析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1.政策制定指标分析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指标分值15分，得分15分，得分率100%。为深入实施创新驱动发展战略，进一步强化企业创新主体地位，量质并举培育科技型企业，2021年12月2日，青岛市人民政府印发《青岛市实施“沃土计划”加快培育科技型企业三年行动方案（2022—2024年）》（青政字〔2021〕30号），明确对首次通过高企认定的企业给予15万元奖补，并按其认定当年可加计扣除研发费用的10%给予最高30万元奖补，对再次通过认定的企业给予10万元奖补，实施期自2022年-2024年。2024年7月31日，青岛市人民政府出台《青岛市深入推进科技创新加快建设科技强市行动计划（2024-2028年）》（青政字〔2024〕20号），将奖补标准调整为“首次认定的高企给予最高10万元奖补，再次认定的高企给予最高5万元奖补”，同时明确“此前发布的有关文件规定，与本文件政策措施不一致的，按本文件政策措施执行”，政策立项依据充分，设立程序规范，绩效目标合理。市科技局按高企认定数量及核定奖补额度确定年度资金需求，采用转移支付和市级直拨的方式落实奖补，资金分配合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40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2.政策实施指标分析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指标分值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20分，得分16.97分，得分率84.85%。市科技局参照《青岛市科学技术专项资金管理办法》（青财科教〔2024〕19号）规范资金拨付管理，资金使用管理整体规范。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规范高企认定管理，制定了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《青岛市高新技术企业认定管理工作方案（试行）》（青科企字〔2022〕3号）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，明确组织实施、认定流程、监督管理等核心内容，内容较健全。现场评价发现，部分区（市）未严格按照方案要求规范开展工作，未依据《关于推动高新技术企业认定管理与服务便利化的通知》（国科火字〔2020〕82号）中“企业申报纸质材料存档期原则上不低于5年”的高企申报资料保存要求，存在企业申报资料管理不规范的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</w:rPr>
        <w:t>3.政策效果指标分析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eastAsia="zh-CN"/>
        </w:rPr>
        <w:t>指标分值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65分，得分53.9分，得分率82.92%。2024年1月-2025年8月，市科技局组织科技政策培训、服务等相关活动次数39次，总参与人次33796人次；通过“转移支付区（市）+市级直拨</w:t>
      </w:r>
      <w:r>
        <w:rPr>
          <w:rFonts w:hint="default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的方式落实2021-2023年度通过高企认定的企业奖励，共计划奖补企业5860家（2021年度高企4家、2022年度高企2468家、2023年度3388家），实际奖补到位3878家，完成率66.18%。其中，区（市）转移支付方式计划奖补2463家，实际奖补481家，完成率19.53%；市级直拨方式计划奖补3397家，实际奖补3397家，完成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在奖补资金拨付前，对拟奖补企业开展高企资格核查、绿色门槛核查与“信用中国”平台信用信息查询，并针对后期日常监管中发现的不符合高企认定条件的企业，建立奖补资金收回机制，政策标准执行规范。但区（市）层面奖补兑现不及时，同时存在未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《青岛市高新技术企业认定管理工作方案（试行）》（青科企字〔2022〕3号）规范开展高企认定资料管理的问题。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截至2025年8月，全市有效高企达8643家，提前完成“十四五”8000家的阶段性指标，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高企数量占全省总数的1/4，稳居全省首位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highlight w:val="none"/>
          <w:lang w:val="en-US" w:eastAsia="zh-CN"/>
        </w:rPr>
        <w:t>。高新技术产业发展成效明显，2024年度高新技术产业产值占规模以上工业产值比重66.26%，高新技术产业固定资产投资累计占工业固定资产投资比重59.04%，规模以上高企数量实现同比增长。但当前高企培育已从“数量扩张”逐步转向“质量提升”阶段，当前认定奖补模式未针对不同发展阶段企业需求分类施策，奖励方式有待优化调整，高企培育质量有待进一步提升，2024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全市规模以上法人单位17786家，其中高企2975家，占比16.73%，较2023年（16.76%）基本持平；根据青政字〔2021〕30号要求，2024年上市高企应达到60家，实际完成42家，完成率70%，未达到预期。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0"/>
        <w:rPr>
          <w:rFonts w:ascii="黑体" w:hAnsi="黑体" w:eastAsia="黑体" w:cs="黑体"/>
          <w:b w:val="0"/>
          <w:bCs w:val="0"/>
          <w:color w:val="auto"/>
          <w:sz w:val="32"/>
          <w:szCs w:val="40"/>
          <w:highlight w:val="none"/>
        </w:rPr>
      </w:pPr>
      <w:bookmarkStart w:id="6" w:name="_Toc16711"/>
      <w:bookmarkStart w:id="7" w:name="_Toc16319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highlight w:val="none"/>
        </w:rPr>
        <w:t>四、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highlight w:val="none"/>
          <w:lang w:val="en-US" w:eastAsia="zh-CN"/>
        </w:rPr>
        <w:t>政策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highlight w:val="none"/>
        </w:rPr>
        <w:t>实施成效</w:t>
      </w:r>
      <w:bookmarkEnd w:id="6"/>
      <w:bookmarkEnd w:id="7"/>
    </w:p>
    <w:p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ascii="Segoe UI" w:hAnsi="Segoe UI" w:eastAsia="Segoe UI" w:cs="Segoe UI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EFF0F1"/>
        </w:rPr>
      </w:pPr>
      <w:bookmarkStart w:id="8" w:name="_Toc12604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顶层设计，筑牢培育根基。青岛市人民政府印发《青岛市深入推进科技创新加快建设科技强市行动计划（2024-2028年）》（青政字〔2024〕20号），深化科技型中小企业、高新技术企业、科技领军企业梯次培育体系建设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优化工作流程，规范申报管理。在2024年正式申报前组织中介服务机构座谈会，通知各区（市）邀请中介机构参与，从源头杜绝中介机构因利益驱使产生的过度包装行为。2025年组织市区两级科技、财政、税务系统高企认定管理专题培训班，深化三部门协同联动，提升认定管理人员的专业素养与履职能力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发挥专家作用，提升申报质效。精选业务过硬、精通高企认定规则的专家担任咨询专家，推动专家从后端“裁判员”转变为前端“教练员”，分赴区（市）开展企业挖掘与得分点剖析；同时通过召开专家培训会、委托开发专家测试系统，持续强化专家队伍专业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0"/>
        <w:rPr>
          <w:rFonts w:ascii="黑体" w:hAnsi="黑体" w:eastAsia="黑体" w:cs="黑体"/>
          <w:color w:val="auto"/>
          <w:sz w:val="32"/>
          <w:szCs w:val="40"/>
          <w:highlight w:val="none"/>
        </w:rPr>
      </w:pPr>
      <w:bookmarkStart w:id="9" w:name="_Toc12932"/>
      <w:bookmarkStart w:id="10" w:name="_Toc31626"/>
      <w:r>
        <w:rPr>
          <w:rFonts w:hint="eastAsia" w:ascii="黑体" w:hAnsi="黑体" w:eastAsia="黑体" w:cs="黑体"/>
          <w:color w:val="auto"/>
          <w:sz w:val="32"/>
          <w:szCs w:val="40"/>
          <w:highlight w:val="none"/>
        </w:rPr>
        <w:t>五、发现的问题及原因分析</w:t>
      </w:r>
      <w:bookmarkEnd w:id="8"/>
      <w:bookmarkEnd w:id="9"/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</w:pPr>
      <w:bookmarkStart w:id="11" w:name="_Toc1717"/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（一）区（市）层面对高企的培育管理服务仍需提升</w:t>
      </w:r>
    </w:p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高企培育是推动区域高质量发展的核心引擎，能从经济增长、创新升级、产业优化等多维度注入持久动力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，区（市）在高企培育管理中承担着重要属地职责。政策实施前期，部分区（市）因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高企奖补政策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兑付不及时，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项目和资金推进不同步，影响了对企业的管理和服务质量。为加快政策兑现，市级将奖励资金拨付方式由转移支付调整为市级直拨，区（市）原有的项目与资金一体化服务管理需相应转变，在培育支持、资源对接、后续保障等环节的管理服务质效仍需进一步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（二）高企培育量质协同提升的理念还不够强，对具有产业链引领作用的高企培育质量还需进一步提升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1.高企培育数量目标提前达成，但规模扩张与质效提升尚未同步。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截至2025年8月，全市有效高企达8643家，提前完成“十四五”期间8000家的阶段性目标。作为高新技术产业产值的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核心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支撑力量，2024年青岛市高企数量占全省总数的1/4，稳居全省首位，但产业产值增速低于全省平均水平。据山东省科学技术厅、山东省统计局《关于2024年全省高新技术产业发展情况的通报》（鲁科字〔2025〕26号）显示，2024年青岛市高新技术产业产值同比增长4.34%，低于全省7.99%的平均增速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政策导向引导高企培育从“数量增长”转向“量质齐升”。2025年3月，山东省出台《关于强化企业科技创新主体地位的若干措施》（鲁科字〔2025〕32号），提出“高新企业规模化、规上企业高新化”行动，明确到2027年全省规上高企突破1.8万家的目标；随后发布的《关于组织开展山东省2025年高新技术企业申报工作的通知》（鲁科字〔2025〕63号）进一步明确“发展壮大规模以上高新技术企业，推进高新技术企业量质齐升”，对高企培育的质效提出更高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2.产业链引领型高企培育质效仍待提升，头部带动效能与产业均衡发展水平有待优化。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上市高企数量未达到预期。根据《青岛市实施“沃土计划”加快培育科技型企业三年行动方案（2022—2024年）》（青政字〔2021〕30号），至2024年，上市高企总数应达到60家，实际至2024年，受疫情冲击、上市企业政策调整等因素影响，全市上市高企总数42家，完成率70%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对标合肥、宁波等先进城市，存在产业结构不够均衡、战略性新兴产业占比不高等问题。截至2025年8月，全市8643家有效高企呈现“一极独大、多极较弱”的分布，其中，先进制造与自动化领域占比达44.35%，近乎占据半壁江山，而新能源与节能（3.3%）、航空航天（0.39%）等战略性新兴产业占比较低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头部高企虽在海洋科技、智能家电领域具备特色优势，但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对标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合肥、宁波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产业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集群化发展城市，在新能源汽车等新兴产业的产业链整合能力与产业规模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仍有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一定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差距：合肥2024年新能源汽车产量达137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.6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万辆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、宁波市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新能源汽车产量39.5万辆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青岛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市2024年新能源汽车产量为12.32万辆，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产业规模差距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较大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（三）单一标准的普惠性奖补对不同企业的获得感和激励效果不同，实施层面</w:t>
      </w:r>
      <w:r>
        <w:rPr>
          <w:rFonts w:hint="eastAsia" w:ascii="方正楷体_GB2312" w:hAnsi="方正楷体_GB2312" w:eastAsia="方正楷体_GB2312" w:cs="方正楷体_GB2312"/>
          <w:color w:val="auto"/>
          <w:sz w:val="32"/>
          <w:szCs w:val="40"/>
          <w:highlight w:val="none"/>
          <w:lang w:val="en-US" w:eastAsia="zh-CN"/>
        </w:rPr>
        <w:t>需探索建立以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企业需求为导向的差异化支持。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Chars="200"/>
        <w:jc w:val="both"/>
        <w:textAlignment w:val="auto"/>
        <w:outlineLvl w:val="9"/>
        <w:rPr>
          <w:rFonts w:hint="eastAsia" w:ascii="仿宋_GB2312" w:eastAsiaTheme="minorEastAsia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普惠性认定奖补并非企业申报高企的核心动因，多重叠加的政策红利与自身发展需求才是关键驱动力。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一方面，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高企可叠加享受企业所得税减免（税率从25%降至15%）、研发费用加计扣除（一般企业按100%加计扣除，制造业企业可提至120%）、亏损结转年限延长（从5年延长至10年，可平滑跨期税负）等国家优惠政策，根据国家税务总局青岛市税务局公开信息，2024年青岛海西重机有限责任公司享受研发费用加计扣除1046.43万元、先进制造业企业增值税加计抵减1604.23万元，总额远超高企认定奖补（首次认定最高10万元、再次认定最高5万元）。在“申报高企主要动力”调研中，“享受研发费用加计扣除政策”的选择比例达95.9%，远超“获取本地认定奖补”选项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另一方面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政策调整效果进一步印证企业申报的核心诉求并非依赖奖补。2024年，市级高企认定奖补标准由“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40"/>
          <w:highlight w:val="none"/>
          <w:lang w:val="en-US" w:eastAsia="zh-CN" w:bidi="ar-SA"/>
        </w:rPr>
        <w:t>对首次通过高企认定的给予15万元奖补，并按其认定当年可加计扣除研发费用的10%给予最高30万元奖补；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再次通过10万元”调整为“首次通过最高10万元，再次最高5万元”，在此背景下，当年认定高企数量（2763家）较2021年（2653家）仍实现稳步增长（高企认定期限为3年，2024年认定企业中包含2021年到期后重新获认的主体），进一步说明企业申报高企的核心动力源于自身发展需求，而非普惠性认定奖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both"/>
        <w:textAlignment w:val="auto"/>
        <w:outlineLvl w:val="9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单一标准的普惠性奖补对不同企业的获得感和激励效果不同，难以实现精准激励。首先，现行政策实行“首次认定最高10万元、再次认定最高5万元”的无差别奖补，未结合企业发展需求分类施策。高企在各生命周期的核心需求差异显著，如，初创期需种子资金与基础服务，成长期需梯度资金与市场拓展支持，成熟期需技术攻关与人才赋能，衰退期需转型与资产盘活帮扶，单一标准无法匹配企业多元发展需求。从实际效果看，该奖补标准对规模较大、研发成熟、资金实力较强的高企，激励效应有限却占用政策资源；对研发压力较大、资金需求迫切的中小微高企，虽能缓解部分成本压力，但因缺乏差异化额度设计，核心发展诉求未能得到精准回应，未能实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分层施策、精准赋能。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（四）高企认定管理工作开展需进一步精细化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部分区（市）未严格执行《青岛市高新技术企业认定管理工作方案（试行）》（青科企字〔2022〕3号）要求，存在认定管理不规范的现象。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申报资料管理不够细致。例如，即墨区、自贸片区2024年度高企申报资料未及时归档，莱西市1家企业材料未加盖公章。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相关事项办理存在延迟。评价发现，截至2025年8月，崂山区24家、莱西市6家、李沧区3家、城阳区1家、胶州市1家、高新区1家（失联）高企未按要求报送认定资料，自贸片区3家高企未在计划时间内报送，西海岸新区中船重工船舶设计研究中心有限公司、李沧区丰千数化科技有限责任公司的核查意见反馈超出规定时限。</w:t>
      </w:r>
    </w:p>
    <w:bookmarkEnd w:id="1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0"/>
        <w:rPr>
          <w:rFonts w:ascii="黑体" w:hAnsi="黑体" w:eastAsia="黑体" w:cs="黑体"/>
          <w:color w:val="auto"/>
          <w:sz w:val="32"/>
          <w:szCs w:val="40"/>
          <w:highlight w:val="none"/>
        </w:rPr>
      </w:pPr>
      <w:bookmarkStart w:id="12" w:name="_Toc16446"/>
      <w:bookmarkStart w:id="13" w:name="_Toc2065"/>
      <w:r>
        <w:rPr>
          <w:rFonts w:hint="eastAsia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color w:val="auto"/>
          <w:sz w:val="32"/>
          <w:szCs w:val="40"/>
          <w:highlight w:val="none"/>
        </w:rPr>
        <w:t>、相关建议</w:t>
      </w:r>
      <w:bookmarkEnd w:id="12"/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市区联动，推动高企奖补政策更好落实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强化市、区协同联动，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构建“市级统筹督办+区（市）属地尽责”的工作机制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市级聚焦奖补资金规范兑现与政策指导，优化直拨流程、提升兑付效率，同步建立联动督办机制；区（市）压实属地责任，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加强管理，关注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跟踪高企经营存续状态、核心业务变更等动态信息，针对性提供政策辅导、资源对接等常态化服务，强化后续监管与培育扶持。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通过协同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发力，切实发挥资金激励效应，提升企业政策获得感与创新积极性，加速区域高新技术产业集聚升级。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强化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  <w:t>产业链引领作用的高企培育，量质并举构建高质量发展生态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3" w:firstLineChars="200"/>
        <w:jc w:val="both"/>
        <w:textAlignment w:val="auto"/>
        <w:outlineLvl w:val="9"/>
        <w:rPr>
          <w:rFonts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highlight w:val="yellow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量质齐升，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规模扩张与质效提升同步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紧扣山东省“高新企业规模化、规上企业高新化”行动要求，以青岛“10+1”创新型产业体系为核心，推动创新资源向新一代信息技术、智能网联新能源汽车等重点产业集聚。引导企业从“规模扩张”向“质量提升”转型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切实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缩小高新技术产业产值增速与全省平均水平及济南等城市的差距。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优化产业结构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强化资本赋能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与头部培育联动，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推动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产业均衡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发展。聚焦产业均衡化，对标合肥、宁波产业集群化经验，在巩固海洋科技、智能家电特色优势的同时，加大新能源与节能、航空航天等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战略性新兴产业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培育力度。另一方面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强化头部引领与主体扩容双轮驱动，培育产业链链主企业，支持其扩大产业版图、提升整合能力，复制先进城市规模效应；加速规上企业向高企转型，提高规上高企占比，夯实产业根基。同时构建资本赋能体系，通过上市补贴、股权融资等精准支持，推动上市高企数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增加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，实现产业规模与质量同步提升。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结合企业发展需求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  <w:t>优化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调整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eastAsia="zh-CN"/>
        </w:rPr>
        <w:t>高企奖补</w:t>
      </w:r>
      <w:r>
        <w:rPr>
          <w:rFonts w:hint="eastAsia" w:ascii="楷体_GB2312" w:hAnsi="楷体_GB2312" w:eastAsia="楷体_GB2312" w:cs="楷体_GB2312"/>
          <w:color w:val="auto"/>
          <w:sz w:val="32"/>
          <w:szCs w:val="40"/>
          <w:highlight w:val="none"/>
          <w:lang w:val="en-US" w:eastAsia="zh-CN"/>
        </w:rPr>
        <w:t>政策、科学编制预算，探索建立以企业需求为导向的差异化标准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优化高企奖补方式，聚焦分层分类、精准赋能，紧扣企业核心需求，针对初创、成长、领军等不同生命周期高企制定差异化支持政策。强化政策协同联动，整合青岛市财政股权投资、科技金融协同等专项政策资源，以分类施策的方式，精准匹配企业发展需求。例如，依托《青岛市市级财政科技股权投资专项管理办法（试行）》（青科字〔2024〕15号）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通过股权投资重点支持领军型高企开展关键技术攻关与成果产业化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引导投资机构、担保机构参与信贷融资联动，对通过投保贷、投贷、跟贷等多元组合模式获得贷款且按期还本付息的中小微高企，按规定给予贷款贴息，精准缓解其资金压力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，实现分层施策、精准匹配多元需求。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40"/>
          <w:highlight w:val="none"/>
          <w:lang w:val="en-US" w:eastAsia="zh-CN" w:bidi="ar-SA"/>
        </w:rPr>
        <w:t>（四）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40"/>
          <w:highlight w:val="none"/>
          <w:lang w:val="en-US" w:eastAsia="zh-CN" w:bidi="ar-SA"/>
        </w:rPr>
        <w:t>精细化推进高企认定管理，规范流程执行与材料管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40"/>
          <w:highlight w:val="none"/>
          <w:lang w:val="en-US" w:eastAsia="zh-CN" w:bidi="ar-SA"/>
        </w:rPr>
        <w:t>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3" w:firstLineChars="200"/>
        <w:jc w:val="both"/>
        <w:textAlignment w:val="auto"/>
        <w:outlineLvl w:val="9"/>
        <w:rPr>
          <w:rFonts w:ascii="黑体" w:hAnsi="黑体" w:eastAsia="黑体" w:cs="黑体"/>
          <w:color w:val="auto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规范材料管理。建议统一高企申报资料保存年限及存放规范，推动资料管理与实地检查规范化。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highlight w:val="none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highlight w:val="none"/>
          <w:lang w:val="en-US" w:eastAsia="zh-CN"/>
        </w:rPr>
        <w:t>强化材料报送与核查管理。建议区（市）科技主管部门依托电子化技术，优化申报档案资料归集与归档管理，严格落实核查时限要求，规范异地搬迁企业核查流程与意见反馈，提高核查质效。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1600"/>
        <w:jc w:val="both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32"/>
          <w:highlight w:val="none"/>
        </w:rPr>
      </w:pPr>
      <w:bookmarkStart w:id="14" w:name="_GoBack"/>
      <w:bookmarkEnd w:id="14"/>
    </w:p>
    <w:sectPr>
      <w:footerReference r:id="rId3" w:type="default"/>
      <w:pgSz w:w="11906" w:h="16838"/>
      <w:pgMar w:top="2041" w:right="1587" w:bottom="2041" w:left="1587" w:header="851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asciiTheme="majorEastAsia" w:hAnsiTheme="majorEastAsia" w:eastAsiaTheme="majorEastAsia" w:cstheme="majorEastAsia"/>
                              <w:sz w:val="2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4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asciiTheme="majorEastAsia" w:hAnsiTheme="majorEastAsia" w:eastAsiaTheme="majorEastAsia" w:cstheme="majorEastAsia"/>
                        <w:sz w:val="2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4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hNjhkNGRmZTY1Y2U4MmNmNzIyMzVkYzliOGI3MWMifQ=="/>
  </w:docVars>
  <w:rsids>
    <w:rsidRoot w:val="0021272E"/>
    <w:rsid w:val="0021272E"/>
    <w:rsid w:val="00243C1C"/>
    <w:rsid w:val="00321B72"/>
    <w:rsid w:val="003752C8"/>
    <w:rsid w:val="007C01C9"/>
    <w:rsid w:val="008D149A"/>
    <w:rsid w:val="00A51348"/>
    <w:rsid w:val="00BA1A55"/>
    <w:rsid w:val="00C339C4"/>
    <w:rsid w:val="00F175B3"/>
    <w:rsid w:val="01364591"/>
    <w:rsid w:val="013A1BEF"/>
    <w:rsid w:val="01584F25"/>
    <w:rsid w:val="015A155D"/>
    <w:rsid w:val="019329D2"/>
    <w:rsid w:val="0271027E"/>
    <w:rsid w:val="02AF65AF"/>
    <w:rsid w:val="03D22BE6"/>
    <w:rsid w:val="04275653"/>
    <w:rsid w:val="04457926"/>
    <w:rsid w:val="048801BF"/>
    <w:rsid w:val="04964FC8"/>
    <w:rsid w:val="04A94C9D"/>
    <w:rsid w:val="04E30464"/>
    <w:rsid w:val="05252C5E"/>
    <w:rsid w:val="05257DE5"/>
    <w:rsid w:val="054C7DEB"/>
    <w:rsid w:val="055169FF"/>
    <w:rsid w:val="055663AE"/>
    <w:rsid w:val="0559402E"/>
    <w:rsid w:val="05631C23"/>
    <w:rsid w:val="05AA02EA"/>
    <w:rsid w:val="061122FD"/>
    <w:rsid w:val="06A24356"/>
    <w:rsid w:val="072F647E"/>
    <w:rsid w:val="0774757A"/>
    <w:rsid w:val="07FA2686"/>
    <w:rsid w:val="084D6A0D"/>
    <w:rsid w:val="08856DEC"/>
    <w:rsid w:val="08860CD4"/>
    <w:rsid w:val="08A47272"/>
    <w:rsid w:val="08C01BD2"/>
    <w:rsid w:val="08C43B26"/>
    <w:rsid w:val="08C471DB"/>
    <w:rsid w:val="090B1530"/>
    <w:rsid w:val="09351EBF"/>
    <w:rsid w:val="096233E6"/>
    <w:rsid w:val="0968424F"/>
    <w:rsid w:val="09C36775"/>
    <w:rsid w:val="09D74A25"/>
    <w:rsid w:val="0A7A7203"/>
    <w:rsid w:val="0A8B672D"/>
    <w:rsid w:val="0A971D70"/>
    <w:rsid w:val="0AA67D03"/>
    <w:rsid w:val="0AA9122F"/>
    <w:rsid w:val="0AD32091"/>
    <w:rsid w:val="0B066780"/>
    <w:rsid w:val="0B3030E4"/>
    <w:rsid w:val="0B6A6C30"/>
    <w:rsid w:val="0B9A7AAC"/>
    <w:rsid w:val="0BA07177"/>
    <w:rsid w:val="0BB738DF"/>
    <w:rsid w:val="0BC76E66"/>
    <w:rsid w:val="0C0F056D"/>
    <w:rsid w:val="0C4561C0"/>
    <w:rsid w:val="0C4E7DBD"/>
    <w:rsid w:val="0C574256"/>
    <w:rsid w:val="0C996C54"/>
    <w:rsid w:val="0CE642FD"/>
    <w:rsid w:val="0E15070F"/>
    <w:rsid w:val="0E483041"/>
    <w:rsid w:val="0EF33893"/>
    <w:rsid w:val="0F037C88"/>
    <w:rsid w:val="0F246C37"/>
    <w:rsid w:val="0F701A68"/>
    <w:rsid w:val="0F7170F7"/>
    <w:rsid w:val="0FA67F27"/>
    <w:rsid w:val="0FCE365C"/>
    <w:rsid w:val="10101691"/>
    <w:rsid w:val="106A3C74"/>
    <w:rsid w:val="10D12BCF"/>
    <w:rsid w:val="10E072B6"/>
    <w:rsid w:val="11581C17"/>
    <w:rsid w:val="117B632D"/>
    <w:rsid w:val="11B843A2"/>
    <w:rsid w:val="120D2DB9"/>
    <w:rsid w:val="124E4FA5"/>
    <w:rsid w:val="12604F31"/>
    <w:rsid w:val="12C85AB8"/>
    <w:rsid w:val="12D370DD"/>
    <w:rsid w:val="13071153"/>
    <w:rsid w:val="13082B7B"/>
    <w:rsid w:val="131156F8"/>
    <w:rsid w:val="135B6454"/>
    <w:rsid w:val="136D5DD0"/>
    <w:rsid w:val="13A076C1"/>
    <w:rsid w:val="142D2F5C"/>
    <w:rsid w:val="1443624D"/>
    <w:rsid w:val="1494463F"/>
    <w:rsid w:val="14A00900"/>
    <w:rsid w:val="15704A74"/>
    <w:rsid w:val="158D3A3F"/>
    <w:rsid w:val="159E5289"/>
    <w:rsid w:val="15A36E85"/>
    <w:rsid w:val="15CC5529"/>
    <w:rsid w:val="15ED4BA1"/>
    <w:rsid w:val="15F32845"/>
    <w:rsid w:val="1634086C"/>
    <w:rsid w:val="16465E0D"/>
    <w:rsid w:val="164F6705"/>
    <w:rsid w:val="165B2DCC"/>
    <w:rsid w:val="16A64BC2"/>
    <w:rsid w:val="170464D8"/>
    <w:rsid w:val="17580810"/>
    <w:rsid w:val="17A906A8"/>
    <w:rsid w:val="17ED7ED8"/>
    <w:rsid w:val="18195E6E"/>
    <w:rsid w:val="181D5F57"/>
    <w:rsid w:val="181F7418"/>
    <w:rsid w:val="18CB084B"/>
    <w:rsid w:val="197B147E"/>
    <w:rsid w:val="199632EF"/>
    <w:rsid w:val="19D159ED"/>
    <w:rsid w:val="19EC2827"/>
    <w:rsid w:val="1A2005B0"/>
    <w:rsid w:val="1A78599C"/>
    <w:rsid w:val="1AB14B7C"/>
    <w:rsid w:val="1AE657E5"/>
    <w:rsid w:val="1B794D29"/>
    <w:rsid w:val="1C441FDC"/>
    <w:rsid w:val="1C486817"/>
    <w:rsid w:val="1C8F23AC"/>
    <w:rsid w:val="1CC21543"/>
    <w:rsid w:val="1CE21144"/>
    <w:rsid w:val="1D0B3711"/>
    <w:rsid w:val="1D0C014A"/>
    <w:rsid w:val="1D73460E"/>
    <w:rsid w:val="1D84327C"/>
    <w:rsid w:val="1E71447E"/>
    <w:rsid w:val="1E784581"/>
    <w:rsid w:val="1EA94DAE"/>
    <w:rsid w:val="1EDC54CD"/>
    <w:rsid w:val="1F017513"/>
    <w:rsid w:val="1F446D27"/>
    <w:rsid w:val="1F4612EC"/>
    <w:rsid w:val="1F4E574C"/>
    <w:rsid w:val="1F680280"/>
    <w:rsid w:val="1F75686E"/>
    <w:rsid w:val="1F925C1F"/>
    <w:rsid w:val="1FDC5ECA"/>
    <w:rsid w:val="213A031C"/>
    <w:rsid w:val="217949C0"/>
    <w:rsid w:val="21A82EA1"/>
    <w:rsid w:val="21F66B3F"/>
    <w:rsid w:val="225C40A5"/>
    <w:rsid w:val="227F65A4"/>
    <w:rsid w:val="22883F5F"/>
    <w:rsid w:val="230F7587"/>
    <w:rsid w:val="23190270"/>
    <w:rsid w:val="233D77F4"/>
    <w:rsid w:val="238916A4"/>
    <w:rsid w:val="238F1412"/>
    <w:rsid w:val="23931C81"/>
    <w:rsid w:val="24EA3E14"/>
    <w:rsid w:val="253A4282"/>
    <w:rsid w:val="25DE3EC4"/>
    <w:rsid w:val="261B343D"/>
    <w:rsid w:val="2674736C"/>
    <w:rsid w:val="26A35A76"/>
    <w:rsid w:val="271119FF"/>
    <w:rsid w:val="275549B2"/>
    <w:rsid w:val="27627910"/>
    <w:rsid w:val="27CE7A10"/>
    <w:rsid w:val="27F966C7"/>
    <w:rsid w:val="27FF35D2"/>
    <w:rsid w:val="281731DB"/>
    <w:rsid w:val="282E12EB"/>
    <w:rsid w:val="28374198"/>
    <w:rsid w:val="286B210C"/>
    <w:rsid w:val="28942721"/>
    <w:rsid w:val="28CC64A4"/>
    <w:rsid w:val="28E408CA"/>
    <w:rsid w:val="290A5271"/>
    <w:rsid w:val="2919115F"/>
    <w:rsid w:val="2922308F"/>
    <w:rsid w:val="292B2D4E"/>
    <w:rsid w:val="29897672"/>
    <w:rsid w:val="29BD2AC8"/>
    <w:rsid w:val="29D26AAF"/>
    <w:rsid w:val="2A4879A0"/>
    <w:rsid w:val="2A4A5541"/>
    <w:rsid w:val="2AB832E8"/>
    <w:rsid w:val="2AD80DD1"/>
    <w:rsid w:val="2AFA14EC"/>
    <w:rsid w:val="2B357189"/>
    <w:rsid w:val="2B917183"/>
    <w:rsid w:val="2B9F3883"/>
    <w:rsid w:val="2BCF20EE"/>
    <w:rsid w:val="2C414052"/>
    <w:rsid w:val="2C5C5530"/>
    <w:rsid w:val="2C647E3A"/>
    <w:rsid w:val="2C8F29B2"/>
    <w:rsid w:val="2CC21E8D"/>
    <w:rsid w:val="2CCB6481"/>
    <w:rsid w:val="2CF17629"/>
    <w:rsid w:val="2D651947"/>
    <w:rsid w:val="2DC8748F"/>
    <w:rsid w:val="2E302AE1"/>
    <w:rsid w:val="2E4C20E1"/>
    <w:rsid w:val="2EBE52D2"/>
    <w:rsid w:val="2ECD13C0"/>
    <w:rsid w:val="2ECF253B"/>
    <w:rsid w:val="2EDA168D"/>
    <w:rsid w:val="2F8F217B"/>
    <w:rsid w:val="2F9919E3"/>
    <w:rsid w:val="2FBA206F"/>
    <w:rsid w:val="300A1BF1"/>
    <w:rsid w:val="3041265D"/>
    <w:rsid w:val="305D1CE1"/>
    <w:rsid w:val="307F4548"/>
    <w:rsid w:val="30F95DD2"/>
    <w:rsid w:val="310962B6"/>
    <w:rsid w:val="3132036D"/>
    <w:rsid w:val="316562DD"/>
    <w:rsid w:val="317C7070"/>
    <w:rsid w:val="319D6E9C"/>
    <w:rsid w:val="31BA419D"/>
    <w:rsid w:val="31C24506"/>
    <w:rsid w:val="31E07BA8"/>
    <w:rsid w:val="31F27954"/>
    <w:rsid w:val="320C6565"/>
    <w:rsid w:val="32866EDA"/>
    <w:rsid w:val="32D60004"/>
    <w:rsid w:val="330430A6"/>
    <w:rsid w:val="337F0B5F"/>
    <w:rsid w:val="33E157D0"/>
    <w:rsid w:val="34983F96"/>
    <w:rsid w:val="34AD7FA4"/>
    <w:rsid w:val="34FE3CD8"/>
    <w:rsid w:val="354F1FD0"/>
    <w:rsid w:val="356E3219"/>
    <w:rsid w:val="35EC2CEC"/>
    <w:rsid w:val="36010D5A"/>
    <w:rsid w:val="36482654"/>
    <w:rsid w:val="373921F1"/>
    <w:rsid w:val="377F1C1F"/>
    <w:rsid w:val="378B0632"/>
    <w:rsid w:val="37E112D3"/>
    <w:rsid w:val="38377A39"/>
    <w:rsid w:val="38515D12"/>
    <w:rsid w:val="385D16DE"/>
    <w:rsid w:val="387C6950"/>
    <w:rsid w:val="38B73467"/>
    <w:rsid w:val="38E2291D"/>
    <w:rsid w:val="38E561DB"/>
    <w:rsid w:val="390E0658"/>
    <w:rsid w:val="39397848"/>
    <w:rsid w:val="394D33EB"/>
    <w:rsid w:val="39D3148F"/>
    <w:rsid w:val="39E75BDC"/>
    <w:rsid w:val="3A15044E"/>
    <w:rsid w:val="3A464E4A"/>
    <w:rsid w:val="3A577D39"/>
    <w:rsid w:val="3AA808FA"/>
    <w:rsid w:val="3ABA27E4"/>
    <w:rsid w:val="3BBB562F"/>
    <w:rsid w:val="3BBD1E1E"/>
    <w:rsid w:val="3BCD0E68"/>
    <w:rsid w:val="3C4E60FF"/>
    <w:rsid w:val="3CAB04F0"/>
    <w:rsid w:val="3CB43BDD"/>
    <w:rsid w:val="3D0A0EB5"/>
    <w:rsid w:val="3D59332E"/>
    <w:rsid w:val="3DB56084"/>
    <w:rsid w:val="3DED25E6"/>
    <w:rsid w:val="3DFC3451"/>
    <w:rsid w:val="3E015E72"/>
    <w:rsid w:val="3F6F1FDE"/>
    <w:rsid w:val="3F7B5B0C"/>
    <w:rsid w:val="3FD259AA"/>
    <w:rsid w:val="3FF35426"/>
    <w:rsid w:val="40896772"/>
    <w:rsid w:val="40A34989"/>
    <w:rsid w:val="40CE2E66"/>
    <w:rsid w:val="41C65B02"/>
    <w:rsid w:val="42332E3A"/>
    <w:rsid w:val="42572987"/>
    <w:rsid w:val="426326E7"/>
    <w:rsid w:val="429122CB"/>
    <w:rsid w:val="42D350F9"/>
    <w:rsid w:val="42D8375C"/>
    <w:rsid w:val="42E3660E"/>
    <w:rsid w:val="42E73224"/>
    <w:rsid w:val="43104FA4"/>
    <w:rsid w:val="43476B9D"/>
    <w:rsid w:val="43765D4B"/>
    <w:rsid w:val="437B6846"/>
    <w:rsid w:val="438A5B5D"/>
    <w:rsid w:val="43CB584C"/>
    <w:rsid w:val="440E10EE"/>
    <w:rsid w:val="441C2E2D"/>
    <w:rsid w:val="44C16396"/>
    <w:rsid w:val="44F9515C"/>
    <w:rsid w:val="454A48AA"/>
    <w:rsid w:val="45663B0F"/>
    <w:rsid w:val="45913BAE"/>
    <w:rsid w:val="45AD5420"/>
    <w:rsid w:val="4612161E"/>
    <w:rsid w:val="46296126"/>
    <w:rsid w:val="468F0837"/>
    <w:rsid w:val="469919ED"/>
    <w:rsid w:val="469D4D15"/>
    <w:rsid w:val="46B12F19"/>
    <w:rsid w:val="46DB75DF"/>
    <w:rsid w:val="47F51D44"/>
    <w:rsid w:val="489D0FB8"/>
    <w:rsid w:val="48C447EC"/>
    <w:rsid w:val="48FE60DC"/>
    <w:rsid w:val="490F271E"/>
    <w:rsid w:val="494B0A69"/>
    <w:rsid w:val="49C820BA"/>
    <w:rsid w:val="4A7045EA"/>
    <w:rsid w:val="4AA33306"/>
    <w:rsid w:val="4B524331"/>
    <w:rsid w:val="4C0A780E"/>
    <w:rsid w:val="4C1764CB"/>
    <w:rsid w:val="4C491567"/>
    <w:rsid w:val="4C8E4475"/>
    <w:rsid w:val="4CBB6744"/>
    <w:rsid w:val="4D5A15FB"/>
    <w:rsid w:val="4D644EF3"/>
    <w:rsid w:val="4DF30CF1"/>
    <w:rsid w:val="4E494EA0"/>
    <w:rsid w:val="4EAD2E32"/>
    <w:rsid w:val="4ED559EF"/>
    <w:rsid w:val="4EFD2499"/>
    <w:rsid w:val="4F057A31"/>
    <w:rsid w:val="4F0E76F7"/>
    <w:rsid w:val="4F240990"/>
    <w:rsid w:val="4F2D49AD"/>
    <w:rsid w:val="4F4B6C99"/>
    <w:rsid w:val="4F723931"/>
    <w:rsid w:val="50056A76"/>
    <w:rsid w:val="501C5706"/>
    <w:rsid w:val="508323A3"/>
    <w:rsid w:val="5096102F"/>
    <w:rsid w:val="509E7BEA"/>
    <w:rsid w:val="50A46ABE"/>
    <w:rsid w:val="519C33B2"/>
    <w:rsid w:val="51A00092"/>
    <w:rsid w:val="51B87B50"/>
    <w:rsid w:val="520D7203"/>
    <w:rsid w:val="525A0210"/>
    <w:rsid w:val="5296685D"/>
    <w:rsid w:val="52EA167C"/>
    <w:rsid w:val="53021F42"/>
    <w:rsid w:val="53134418"/>
    <w:rsid w:val="53310BB8"/>
    <w:rsid w:val="53387D94"/>
    <w:rsid w:val="53522192"/>
    <w:rsid w:val="53796F73"/>
    <w:rsid w:val="537B155D"/>
    <w:rsid w:val="538A1400"/>
    <w:rsid w:val="53B102D2"/>
    <w:rsid w:val="53D41CBD"/>
    <w:rsid w:val="54240834"/>
    <w:rsid w:val="544A6D86"/>
    <w:rsid w:val="546338AF"/>
    <w:rsid w:val="54EA6B1D"/>
    <w:rsid w:val="556B68E0"/>
    <w:rsid w:val="55E87B92"/>
    <w:rsid w:val="55EA7CD2"/>
    <w:rsid w:val="55FD4C24"/>
    <w:rsid w:val="560B7DBA"/>
    <w:rsid w:val="56204ADB"/>
    <w:rsid w:val="56236D75"/>
    <w:rsid w:val="56475021"/>
    <w:rsid w:val="56677C10"/>
    <w:rsid w:val="56D45260"/>
    <w:rsid w:val="57160908"/>
    <w:rsid w:val="574D289B"/>
    <w:rsid w:val="57537848"/>
    <w:rsid w:val="576568FC"/>
    <w:rsid w:val="577D08C3"/>
    <w:rsid w:val="57D1114F"/>
    <w:rsid w:val="57DE1B14"/>
    <w:rsid w:val="5800559D"/>
    <w:rsid w:val="582F51AF"/>
    <w:rsid w:val="5846521D"/>
    <w:rsid w:val="585F1826"/>
    <w:rsid w:val="58DE3013"/>
    <w:rsid w:val="595922D7"/>
    <w:rsid w:val="598B7BB3"/>
    <w:rsid w:val="59B858A2"/>
    <w:rsid w:val="5A0E0CBD"/>
    <w:rsid w:val="5A3C5694"/>
    <w:rsid w:val="5A474713"/>
    <w:rsid w:val="5A632A4A"/>
    <w:rsid w:val="5A717A00"/>
    <w:rsid w:val="5A7520BA"/>
    <w:rsid w:val="5AA71621"/>
    <w:rsid w:val="5AC461A2"/>
    <w:rsid w:val="5AE76118"/>
    <w:rsid w:val="5B005C57"/>
    <w:rsid w:val="5B410E51"/>
    <w:rsid w:val="5BC24CC9"/>
    <w:rsid w:val="5BC40110"/>
    <w:rsid w:val="5C322E7D"/>
    <w:rsid w:val="5C4C6B7A"/>
    <w:rsid w:val="5C5E57DA"/>
    <w:rsid w:val="5CF5513B"/>
    <w:rsid w:val="5CFE24E1"/>
    <w:rsid w:val="5D1237BA"/>
    <w:rsid w:val="5D1C51B6"/>
    <w:rsid w:val="5D4E3741"/>
    <w:rsid w:val="5D644667"/>
    <w:rsid w:val="5DFB2F5A"/>
    <w:rsid w:val="5E8E308F"/>
    <w:rsid w:val="5EA960D6"/>
    <w:rsid w:val="5EC304CA"/>
    <w:rsid w:val="5ECA3F59"/>
    <w:rsid w:val="5F4B0263"/>
    <w:rsid w:val="5FE05ADE"/>
    <w:rsid w:val="60336FD9"/>
    <w:rsid w:val="603620D8"/>
    <w:rsid w:val="60443049"/>
    <w:rsid w:val="608209EA"/>
    <w:rsid w:val="609C3B9D"/>
    <w:rsid w:val="60CD092A"/>
    <w:rsid w:val="60F5288D"/>
    <w:rsid w:val="610E08A2"/>
    <w:rsid w:val="61125DB0"/>
    <w:rsid w:val="61610FEB"/>
    <w:rsid w:val="61971C41"/>
    <w:rsid w:val="61CA6B5B"/>
    <w:rsid w:val="61FB227B"/>
    <w:rsid w:val="6213404B"/>
    <w:rsid w:val="621A6CB4"/>
    <w:rsid w:val="622B3A9A"/>
    <w:rsid w:val="628E4A6A"/>
    <w:rsid w:val="62AE304C"/>
    <w:rsid w:val="62D12F14"/>
    <w:rsid w:val="62F70927"/>
    <w:rsid w:val="636165B1"/>
    <w:rsid w:val="63B25DD3"/>
    <w:rsid w:val="63CA0DD7"/>
    <w:rsid w:val="63CC4816"/>
    <w:rsid w:val="63D679E9"/>
    <w:rsid w:val="64230C22"/>
    <w:rsid w:val="64994FAF"/>
    <w:rsid w:val="65064506"/>
    <w:rsid w:val="650C334B"/>
    <w:rsid w:val="6515401F"/>
    <w:rsid w:val="654E64DE"/>
    <w:rsid w:val="65B86875"/>
    <w:rsid w:val="65EA4E5C"/>
    <w:rsid w:val="661A137D"/>
    <w:rsid w:val="665E1203"/>
    <w:rsid w:val="668B64F1"/>
    <w:rsid w:val="66DE5923"/>
    <w:rsid w:val="670142DC"/>
    <w:rsid w:val="6802534E"/>
    <w:rsid w:val="688B3A89"/>
    <w:rsid w:val="68FC12D4"/>
    <w:rsid w:val="695D23C7"/>
    <w:rsid w:val="695F3608"/>
    <w:rsid w:val="69721654"/>
    <w:rsid w:val="697E002A"/>
    <w:rsid w:val="69D02F86"/>
    <w:rsid w:val="6A5E07CC"/>
    <w:rsid w:val="6A7379C8"/>
    <w:rsid w:val="6AE37361"/>
    <w:rsid w:val="6B303356"/>
    <w:rsid w:val="6B454EC0"/>
    <w:rsid w:val="6B465590"/>
    <w:rsid w:val="6B483990"/>
    <w:rsid w:val="6C290FFD"/>
    <w:rsid w:val="6C692C46"/>
    <w:rsid w:val="6C700663"/>
    <w:rsid w:val="6C892AB7"/>
    <w:rsid w:val="6CE32BE3"/>
    <w:rsid w:val="6D136478"/>
    <w:rsid w:val="6D27173A"/>
    <w:rsid w:val="6D2D0302"/>
    <w:rsid w:val="6D8D48AD"/>
    <w:rsid w:val="6E5F1610"/>
    <w:rsid w:val="6EF77D70"/>
    <w:rsid w:val="6EFC4430"/>
    <w:rsid w:val="6F744511"/>
    <w:rsid w:val="6FD34399"/>
    <w:rsid w:val="6FD66361"/>
    <w:rsid w:val="6FEA072C"/>
    <w:rsid w:val="700D647D"/>
    <w:rsid w:val="709340A2"/>
    <w:rsid w:val="70D939DC"/>
    <w:rsid w:val="70DA674F"/>
    <w:rsid w:val="7108319F"/>
    <w:rsid w:val="713954C7"/>
    <w:rsid w:val="71BB408E"/>
    <w:rsid w:val="71D933B0"/>
    <w:rsid w:val="72232D5E"/>
    <w:rsid w:val="727357DD"/>
    <w:rsid w:val="729D7F78"/>
    <w:rsid w:val="730E4199"/>
    <w:rsid w:val="732273B2"/>
    <w:rsid w:val="734E4357"/>
    <w:rsid w:val="738575D0"/>
    <w:rsid w:val="73B21B10"/>
    <w:rsid w:val="74164BC5"/>
    <w:rsid w:val="744B6DE7"/>
    <w:rsid w:val="74672DAE"/>
    <w:rsid w:val="74841D64"/>
    <w:rsid w:val="74871348"/>
    <w:rsid w:val="74D45A03"/>
    <w:rsid w:val="74FE2E5B"/>
    <w:rsid w:val="7518737D"/>
    <w:rsid w:val="758F28A6"/>
    <w:rsid w:val="75A650F5"/>
    <w:rsid w:val="75C56449"/>
    <w:rsid w:val="75DD6F80"/>
    <w:rsid w:val="761E5968"/>
    <w:rsid w:val="76247F67"/>
    <w:rsid w:val="773714C5"/>
    <w:rsid w:val="77562203"/>
    <w:rsid w:val="77972034"/>
    <w:rsid w:val="786279D0"/>
    <w:rsid w:val="78F116FD"/>
    <w:rsid w:val="78F3702D"/>
    <w:rsid w:val="794177B6"/>
    <w:rsid w:val="794C15D4"/>
    <w:rsid w:val="794D304D"/>
    <w:rsid w:val="79CD5581"/>
    <w:rsid w:val="7A1141D6"/>
    <w:rsid w:val="7A85352B"/>
    <w:rsid w:val="7AA84FBC"/>
    <w:rsid w:val="7AF1605D"/>
    <w:rsid w:val="7B130B37"/>
    <w:rsid w:val="7B141D60"/>
    <w:rsid w:val="7B3B0A6A"/>
    <w:rsid w:val="7B5C58F0"/>
    <w:rsid w:val="7B9B1ED2"/>
    <w:rsid w:val="7BB15EA8"/>
    <w:rsid w:val="7CD520FE"/>
    <w:rsid w:val="7D0B2887"/>
    <w:rsid w:val="7D495C37"/>
    <w:rsid w:val="7D892242"/>
    <w:rsid w:val="7E725B75"/>
    <w:rsid w:val="7E865AC4"/>
    <w:rsid w:val="7EA673CE"/>
    <w:rsid w:val="7F580425"/>
    <w:rsid w:val="7F5E2F4F"/>
    <w:rsid w:val="7FAC4C99"/>
    <w:rsid w:val="7FDB4EDA"/>
    <w:rsid w:val="EFBF624A"/>
    <w:rsid w:val="FADF03C6"/>
    <w:rsid w:val="FB6E64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</w:rPr>
  </w:style>
  <w:style w:type="paragraph" w:styleId="4">
    <w:name w:val="Normal Indent"/>
    <w:basedOn w:val="1"/>
    <w:next w:val="1"/>
    <w:qFormat/>
    <w:uiPriority w:val="0"/>
    <w:pPr>
      <w:widowControl w:val="0"/>
      <w:ind w:firstLine="420"/>
    </w:pPr>
    <w:rPr>
      <w:rFonts w:cs="Times New Roman"/>
      <w:szCs w:val="24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32"/>
      <w:szCs w:val="32"/>
      <w:lang w:val="zh-CN" w:bidi="zh-CN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basedOn w:val="1"/>
    <w:next w:val="1"/>
    <w:qFormat/>
    <w:uiPriority w:val="0"/>
    <w:pPr>
      <w:adjustRightInd w:val="0"/>
      <w:snapToGrid w:val="0"/>
      <w:spacing w:line="360" w:lineRule="auto"/>
      <w:ind w:firstLine="800" w:firstLineChars="200"/>
      <w:jc w:val="left"/>
      <w:outlineLvl w:val="0"/>
    </w:pPr>
    <w:rPr>
      <w:rFonts w:ascii="Arial" w:hAnsi="Arial" w:eastAsia="仿宋"/>
      <w:sz w:val="32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page number"/>
    <w:qFormat/>
    <w:uiPriority w:val="0"/>
    <w:rPr>
      <w:rFonts w:ascii="Times New Roman" w:hAnsi="Times New Roman" w:eastAsia="宋体" w:cs="Times New Roman"/>
    </w:rPr>
  </w:style>
  <w:style w:type="character" w:styleId="20">
    <w:name w:val="footnote reference"/>
    <w:basedOn w:val="17"/>
    <w:qFormat/>
    <w:uiPriority w:val="0"/>
    <w:rPr>
      <w:vertAlign w:val="superscript"/>
    </w:rPr>
  </w:style>
  <w:style w:type="paragraph" w:customStyle="1" w:styleId="21">
    <w:name w:val="_Style 3"/>
    <w:basedOn w:val="1"/>
    <w:next w:val="22"/>
    <w:unhideWhenUsed/>
    <w:qFormat/>
    <w:uiPriority w:val="99"/>
    <w:pPr>
      <w:spacing w:line="360" w:lineRule="auto"/>
      <w:ind w:firstLine="420" w:firstLineChars="200"/>
      <w:jc w:val="left"/>
    </w:pPr>
    <w:rPr>
      <w:rFonts w:ascii="Times New Roman" w:hAnsi="Times New Roman" w:eastAsia="仿宋"/>
      <w:sz w:val="32"/>
      <w:lang w:eastAsia="zh-TW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p0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24">
    <w:name w:val="li_正文"/>
    <w:qFormat/>
    <w:uiPriority w:val="99"/>
    <w:pPr>
      <w:widowControl w:val="0"/>
      <w:ind w:firstLine="200" w:firstLineChars="200"/>
      <w:jc w:val="left"/>
    </w:pPr>
    <w:rPr>
      <w:rFonts w:asciiTheme="minorHAnsi" w:hAnsiTheme="minorHAnsi" w:eastAsiaTheme="minorEastAsia" w:cstheme="minorBidi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84042ed7-4a5d-4402-a650-c08de8920d6f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 BC77C9</paraID>
      <start>8</start>
      <end>9</end>
      <status>unmodified</status>
      <modifiedWord/>
      <trackRevisions>false</trackRevisions>
    </reviewItem>
    <reviewItem>
      <errorID>d28e6981-3716-432d-928e-b9359b981417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2FDCB5D1</paraID>
      <start>8</start>
      <end>9</end>
      <status>unmodified</status>
      <modifiedWord/>
      <trackRevisions>false</trackRevisions>
    </reviewItem>
    <reviewItem>
      <errorID>7f60838b-2bed-489a-a83f-8a9de0b9cc63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3AC22467</paraID>
      <start>60</start>
      <end>61</end>
      <status>unmodified</status>
      <modifiedWord/>
      <trackRevisions>false</trackRevisions>
    </reviewItem>
    <reviewItem>
      <errorID>e2753baf-dfab-418a-9b7a-c1fb31d6eb36</errorID>
      <errorWord>。</errorWord>
      <group>L1_Grammar</group>
      <groupName>语法问题</groupName>
      <ability>L2_Missing</ability>
      <abilityName>成分残缺</abilityName>
      <candidateList>
        <item>体系。</item>
      </candidateList>
      <explain>句子中可能存在主谓宾、修饰语或者必要的词语残缺。</explain>
      <paraID>6B315679</paraID>
      <start>52</start>
      <end>53</end>
      <status>unmodified</status>
      <modifiedWord/>
      <trackRevisions>false</trackRevisions>
    </reviewItem>
    <reviewItem>
      <errorID>6fbc5dc6-da0d-4423-a021-16e7b433542a</errorID>
      <errorWord>需</errorWord>
      <group>L1_Word</group>
      <groupName>字词问题</groupName>
      <ability>L2_Typo</ability>
      <abilityName>字词错误</abilityName>
      <candidateList>
        <item>需要</item>
      </candidateList>
      <explain>❶〈动〉应该有或必须有：我们～一支强大的科学技术队伍。❷〈名〉对事物的欲望或要求：从群众的～出发。</explain>
      <paraID>3580DD2A</paraID>
      <start>12</start>
      <end>13</end>
      <status>unmodified</status>
      <modifiedWord/>
      <trackRevisions>false</trackRevisions>
    </reviewItem>
    <reviewItem>
      <errorID>797fdb00-1a78-472a-8be3-4cf195a0fbaa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3B1568A8</paraID>
      <start>8</start>
      <end>9</end>
      <status>unmodified</status>
      <modifiedWord/>
      <trackRevisions>false</trackRevisions>
    </reviewItem>
    <reviewItem>
      <errorID>78a9ca71-8984-42bf-9c7f-0c135a7bbb06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2F93A5F</paraID>
      <start>4</start>
      <end>5</end>
      <status>unmodified</status>
      <modifiedWord/>
      <trackRevisions>false</trackRevisions>
    </reviewItem>
    <reviewItem>
      <errorID>ea26f00a-d966-49fe-b781-a0bb6fa58914</errorID>
      <errorWord>2022-2023</errorWord>
      <group>L1_Punc</group>
      <groupName>标点问题</groupName>
      <ability>L2_Punc</ability>
      <abilityName>标点符号检查</abilityName>
      <candidateList>
        <item>2022—2023</item>
      </candidateList>
      <explain/>
      <paraID>  A281A6</paraID>
      <start>5</start>
      <end>14</end>
      <status>unmodified</status>
      <modifiedWord/>
      <trackRevisions>false</trackRevisions>
    </reviewItem>
    <reviewItem>
      <errorID>a7d6f5b1-d481-4814-9525-977d0787ea74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63FD4BDB</paraID>
      <start>9</start>
      <end>10</end>
      <status>unmodified</status>
      <modifiedWord/>
      <trackRevisions>false</trackRevisions>
    </reviewItem>
    <reviewItem>
      <errorID>2ff58d07-f155-406d-b04a-a2217e81e58d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1DB9883B</paraID>
      <start>16</start>
      <end>17</end>
      <status>unmodified</status>
      <modifiedWord/>
      <trackRevisions>false</trackRevisions>
    </reviewItem>
    <reviewItem>
      <errorID>4694e8d8-4cc5-47bf-a4e6-15afe607c587</errorID>
      <errorWord>大大</errorWord>
      <group>L1_Word</group>
      <groupName>字词问题</groupName>
      <ability>L2_Typo</ability>
      <abilityName>字词错误</abilityName>
      <candidateList>
        <item>大幅</item>
      </candidateList>
      <explain>“大大～提升”搭配不当，建议修改为“大幅～提升”。</explain>
      <paraID>1DB9883B</paraID>
      <start>175</start>
      <end>177</end>
      <status>unmodified</status>
      <modifiedWord/>
      <trackRevisions>false</trackRevisions>
    </reviewItem>
    <reviewItem>
      <errorID>2fe4db62-0a5d-41f7-b22f-dcd49190270a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7BC7FD45</paraID>
      <start>12</start>
      <end>13</end>
      <status>unmodified</status>
      <modifiedWord/>
      <trackRevisions>false</trackRevisions>
    </reviewItem>
    <reviewItem>
      <errorID>1eec11a4-1759-4bab-bfd5-2301b88ac78e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6DF18DE</paraID>
      <start>17</start>
      <end>18</end>
      <status>unmodified</status>
      <modifiedWord/>
      <trackRevisions>false</trackRevisions>
    </reviewItem>
    <reviewItem>
      <errorID>0273f602-2ba6-41cb-91ce-802e7db30894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475A3364</paraID>
      <start>12</start>
      <end>13</end>
      <status>unmodified</status>
      <modifiedWord/>
      <trackRevisions>false</trackRevisions>
    </reviewItem>
    <reviewItem>
      <errorID>5890667b-dd47-4b31-82a2-1a39aacea84b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4543B713</paraID>
      <start>9</start>
      <end>10</end>
      <status>unmodified</status>
      <modifiedWord/>
      <trackRevisions>false</trackRevisions>
    </reviewItem>
    <reviewItem>
      <errorID>4999757c-f0cf-41ea-acaa-b527eb0e6b39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53C054A8</paraID>
      <start>9</start>
      <end>10</end>
      <status>unmodified</status>
      <modifiedWord/>
      <trackRevisions>false</trackRevisions>
    </reviewItem>
    <reviewItem>
      <errorID>ef978a46-8c3a-4e91-ae42-0e78ecfafecc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462B2D49</paraID>
      <start>15</start>
      <end>16</end>
      <status>unmodified</status>
      <modifiedWord/>
      <trackRevisions>false</trackRevisions>
    </reviewItem>
    <reviewItem>
      <errorID>0ac29a14-18a8-401e-95ab-f56427bc1b19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4090565E</paraID>
      <start>230</start>
      <end>231</end>
      <status>unmodified</status>
      <modifiedWord/>
      <trackRevisions>false</trackRevisions>
    </reviewItem>
    <reviewItem>
      <errorID>d6db1653-a64a-4f9a-b74e-5c1d707fea45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4090565E</paraID>
      <start>286</start>
      <end>287</end>
      <status>unmodified</status>
      <modifiedWord/>
      <trackRevisions>false</trackRevisions>
    </reviewItem>
    <reviewItem>
      <errorID>65946f79-8b3e-44e3-ab43-70db02d95222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26266E4C</paraID>
      <start>44</start>
      <end>45</end>
      <status>unmodified</status>
      <modifiedWord/>
      <trackRevisions>false</trackRevisions>
    </reviewItem>
    <reviewItem>
      <errorID>036f7123-5d91-4e47-a9b0-1068a0428350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5D0BFB5B</paraID>
      <start>54</start>
      <end>55</end>
      <status>unmodified</status>
      <modifiedWord/>
      <trackRevisions>false</trackRevisions>
    </reviewItem>
    <reviewItem>
      <errorID>9a63663e-cf4d-41a9-ba64-9c37ca353f59</errorID>
      <errorWord>企</errorWord>
      <group>L1_Word</group>
      <groupName>字词问题</groupName>
      <ability>L2_Typo</ability>
      <abilityName>字词错误</abilityName>
      <candidateList>
        <item>求</item>
      </candidateList>
      <explain/>
      <paraID>7AAE992C</paraID>
      <start>14</start>
      <end>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d54bb9-3ea8-45c3-893c-9defd2dea9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25</Pages>
  <Words>3482</Words>
  <Characters>4224</Characters>
  <Lines>14</Lines>
  <Paragraphs>4</Paragraphs>
  <TotalTime>25</TotalTime>
  <ScaleCrop>false</ScaleCrop>
  <LinksUpToDate>false</LinksUpToDate>
  <CharactersWithSpaces>4247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2023-09-15T01:07:00Z</dcterms:created>
  <dc:creator>lenovo</dc:creator>
  <cp:lastModifiedBy>Lenovo</cp:lastModifiedBy>
  <cp:lastPrinted>2025-11-21T09:11:00Z</cp:lastPrinted>
  <dcterms:modified xsi:type="dcterms:W3CDTF">2025-12-17T06:48:27Z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0203EA4D4E2F4568A6CDB6B7718B233F</vt:lpwstr>
  </property>
  <property fmtid="{D5CDD505-2E9C-101B-9397-08002B2CF9AE}" pid="4" name="KSOTemplateDocerSaveRecord">
    <vt:lpwstr>eyJoZGlkIjoiMjczNWVlNjRkYjE1MjJmMDAzNjI3NmU5NGRiMWZmOTciLCJ1c2VySWQiOiIzMDMxMjAzMzUifQ==</vt:lpwstr>
  </property>
</Properties>
</file>