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支持新兴产业发展资金</w:t>
      </w:r>
      <w:r>
        <w:rPr>
          <w:rFonts w:hint="eastAsia" w:ascii="方正小标宋简体" w:hAnsi="方正小标宋简体" w:eastAsia="方正小标宋简体" w:cs="方正小标宋简体"/>
          <w:sz w:val="44"/>
          <w:szCs w:val="44"/>
          <w:highlight w:val="none"/>
        </w:rPr>
        <w:t>项目绩效评价报告</w:t>
      </w:r>
    </w:p>
    <w:p>
      <w:pPr>
        <w:spacing w:line="600" w:lineRule="exact"/>
        <w:rPr>
          <w:rFonts w:ascii="楷体_GB2312" w:hAnsi="楷体_GB2312" w:eastAsia="楷体_GB2312" w:cs="楷体_GB2312"/>
          <w:sz w:val="32"/>
          <w:szCs w:val="40"/>
          <w:highlight w:val="none"/>
        </w:rPr>
      </w:pPr>
    </w:p>
    <w:p>
      <w:pPr>
        <w:spacing w:line="600" w:lineRule="exact"/>
        <w:ind w:firstLine="640" w:firstLineChars="200"/>
        <w:outlineLvl w:val="0"/>
        <w:rPr>
          <w:rFonts w:hint="eastAsia" w:ascii="黑体" w:hAnsi="黑体" w:eastAsia="黑体" w:cs="黑体"/>
          <w:sz w:val="32"/>
          <w:szCs w:val="40"/>
          <w:highlight w:val="none"/>
        </w:rPr>
      </w:pPr>
      <w:bookmarkStart w:id="0" w:name="_Toc24913"/>
      <w:r>
        <w:rPr>
          <w:rFonts w:hint="eastAsia" w:ascii="黑体" w:hAnsi="黑体" w:eastAsia="黑体" w:cs="黑体"/>
          <w:sz w:val="32"/>
          <w:szCs w:val="40"/>
          <w:highlight w:val="none"/>
        </w:rPr>
        <w:t>一、项目基本情况</w:t>
      </w:r>
      <w:bookmarkEnd w:id="0"/>
    </w:p>
    <w:p>
      <w:pPr>
        <w:spacing w:line="600" w:lineRule="exact"/>
        <w:ind w:firstLine="640" w:firstLineChars="200"/>
        <w:outlineLvl w:val="1"/>
        <w:rPr>
          <w:rFonts w:hint="eastAsia" w:ascii="楷体_GB2312" w:hAnsi="楷体_GB2312" w:eastAsia="楷体_GB2312" w:cs="楷体_GB2312"/>
          <w:sz w:val="32"/>
          <w:szCs w:val="40"/>
          <w:highlight w:val="none"/>
        </w:rPr>
      </w:pPr>
      <w:bookmarkStart w:id="1" w:name="_Toc2143"/>
      <w:r>
        <w:rPr>
          <w:rFonts w:hint="eastAsia" w:ascii="楷体_GB2312" w:hAnsi="楷体_GB2312" w:eastAsia="楷体_GB2312" w:cs="楷体_GB2312"/>
          <w:sz w:val="32"/>
          <w:szCs w:val="40"/>
          <w:highlight w:val="none"/>
        </w:rPr>
        <w:t>（一）项目概况</w:t>
      </w:r>
      <w:bookmarkEnd w:id="1"/>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1.项目背景</w:t>
      </w:r>
    </w:p>
    <w:p>
      <w:pPr>
        <w:spacing w:line="600" w:lineRule="exact"/>
        <w:ind w:firstLine="643" w:firstLineChars="200"/>
        <w:rPr>
          <w:rFonts w:hint="eastAsia" w:ascii="仿宋_GB2312" w:hAnsi="仿宋_GB2312" w:eastAsia="仿宋_GB2312" w:cs="仿宋_GB2312"/>
          <w:b/>
          <w:bCs/>
          <w:sz w:val="32"/>
          <w:szCs w:val="40"/>
          <w:highlight w:val="none"/>
          <w:lang w:eastAsia="zh-CN"/>
        </w:rPr>
      </w:pP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1</w:t>
      </w: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DCMM贯标奖补资金项目</w:t>
      </w:r>
    </w:p>
    <w:p>
      <w:pPr>
        <w:spacing w:line="600" w:lineRule="exact"/>
        <w:ind w:firstLine="640" w:firstLineChars="200"/>
        <w:rPr>
          <w:rFonts w:hint="eastAsia" w:ascii="仿宋_GB2312" w:hAnsi="仿宋_GB2312" w:eastAsia="仿宋_GB2312" w:cs="仿宋_GB2312"/>
          <w:sz w:val="32"/>
          <w:szCs w:val="40"/>
          <w:highlight w:val="none"/>
          <w:vertAlign w:val="baseline"/>
          <w:lang w:val="en-US" w:eastAsia="zh-CN"/>
        </w:rPr>
      </w:pPr>
      <w:r>
        <w:rPr>
          <w:rFonts w:hint="eastAsia" w:ascii="仿宋_GB2312" w:hAnsi="仿宋_GB2312" w:eastAsia="仿宋_GB2312" w:cs="仿宋_GB2312"/>
          <w:sz w:val="32"/>
          <w:szCs w:val="40"/>
          <w:highlight w:val="none"/>
        </w:rPr>
        <w:t>DCMM</w:t>
      </w:r>
      <w:r>
        <w:rPr>
          <w:rFonts w:hint="eastAsia" w:ascii="仿宋_GB2312" w:hAnsi="仿宋_GB2312" w:eastAsia="仿宋_GB2312" w:cs="仿宋_GB2312"/>
          <w:sz w:val="32"/>
          <w:szCs w:val="40"/>
          <w:highlight w:val="none"/>
          <w:lang w:val="en-US" w:eastAsia="zh-CN"/>
        </w:rPr>
        <w:t>贯标</w:t>
      </w:r>
      <w:r>
        <w:rPr>
          <w:rFonts w:hint="eastAsia" w:ascii="仿宋_GB2312" w:hAnsi="仿宋_GB2312" w:eastAsia="仿宋_GB2312" w:cs="仿宋_GB2312"/>
          <w:sz w:val="32"/>
          <w:szCs w:val="40"/>
          <w:highlight w:val="none"/>
        </w:rPr>
        <w:t>（数据管理能力成熟度评估模型）是我国首个数据管理领域的国家标准（GB/T</w:t>
      </w:r>
      <w:r>
        <w:rPr>
          <w:rFonts w:hint="eastAsia" w:ascii="仿宋_GB2312" w:hAnsi="仿宋_GB2312" w:eastAsia="仿宋_GB2312" w:cs="仿宋_GB2312"/>
          <w:sz w:val="32"/>
          <w:szCs w:val="40"/>
          <w:highlight w:val="none"/>
          <w:lang w:val="en-US" w:eastAsia="zh-CN"/>
        </w:rPr>
        <w:t xml:space="preserve"> </w:t>
      </w:r>
      <w:r>
        <w:rPr>
          <w:rFonts w:hint="eastAsia" w:ascii="仿宋_GB2312" w:hAnsi="仿宋_GB2312" w:eastAsia="仿宋_GB2312" w:cs="仿宋_GB2312"/>
          <w:sz w:val="32"/>
          <w:szCs w:val="40"/>
          <w:highlight w:val="none"/>
        </w:rPr>
        <w:t>36073-2018），旨在帮助企业评估和提升其数据管理能力。通过DCMM评估企业可以</w:t>
      </w:r>
      <w:r>
        <w:rPr>
          <w:rFonts w:hint="default" w:ascii="仿宋_GB2312" w:hAnsi="仿宋_GB2312" w:eastAsia="仿宋_GB2312" w:cs="仿宋_GB2312"/>
          <w:sz w:val="32"/>
          <w:szCs w:val="40"/>
          <w:highlight w:val="none"/>
        </w:rPr>
        <w:t>建立并评价自身数据管理体系，持续优化数据管理组织、流程和制度，充分发挥数据在推动企业信息化、数字化、智能化转型中的价值。</w:t>
      </w:r>
      <w:r>
        <w:rPr>
          <w:rFonts w:hint="eastAsia" w:ascii="仿宋_GB2312" w:hAnsi="仿宋_GB2312" w:eastAsia="仿宋_GB2312" w:cs="仿宋_GB2312"/>
          <w:sz w:val="32"/>
          <w:szCs w:val="40"/>
          <w:highlight w:val="none"/>
          <w:lang w:val="en-US" w:eastAsia="zh-CN"/>
        </w:rPr>
        <w:t>根据企业数据管理能力成熟度，可将DCMM贯标分为5个等级，详见下表：</w:t>
      </w:r>
    </w:p>
    <w:p>
      <w:pPr>
        <w:pStyle w:val="3"/>
        <w:keepNext/>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 xml:space="preserve">表 </w:t>
      </w:r>
      <w:r>
        <w:rPr>
          <w:rFonts w:hint="eastAsia" w:ascii="宋体" w:hAnsi="宋体" w:eastAsia="宋体" w:cs="宋体"/>
          <w:b/>
          <w:bCs/>
          <w:color w:val="auto"/>
          <w:kern w:val="0"/>
          <w:sz w:val="28"/>
          <w:szCs w:val="28"/>
          <w:highlight w:val="none"/>
          <w:u w:color="000000"/>
          <w:lang w:val="en-US" w:eastAsia="zh-CN" w:bidi="ar-SA"/>
        </w:rPr>
        <w:fldChar w:fldCharType="begin"/>
      </w:r>
      <w:r>
        <w:rPr>
          <w:rFonts w:hint="eastAsia" w:ascii="宋体" w:hAnsi="宋体" w:eastAsia="宋体" w:cs="宋体"/>
          <w:b/>
          <w:bCs/>
          <w:color w:val="auto"/>
          <w:kern w:val="0"/>
          <w:sz w:val="28"/>
          <w:szCs w:val="28"/>
          <w:highlight w:val="none"/>
          <w:u w:color="000000"/>
          <w:lang w:val="en-US" w:eastAsia="zh-CN" w:bidi="ar-SA"/>
        </w:rPr>
        <w:instrText xml:space="preserve"> SEQ 表 \* ARABIC </w:instrText>
      </w:r>
      <w:r>
        <w:rPr>
          <w:rFonts w:hint="eastAsia" w:ascii="宋体" w:hAnsi="宋体" w:eastAsia="宋体" w:cs="宋体"/>
          <w:b/>
          <w:bCs/>
          <w:color w:val="auto"/>
          <w:kern w:val="0"/>
          <w:sz w:val="28"/>
          <w:szCs w:val="28"/>
          <w:highlight w:val="none"/>
          <w:u w:color="000000"/>
          <w:lang w:val="en-US" w:eastAsia="zh-CN" w:bidi="ar-SA"/>
        </w:rPr>
        <w:fldChar w:fldCharType="separate"/>
      </w:r>
      <w:r>
        <w:rPr>
          <w:rFonts w:hint="eastAsia" w:ascii="宋体" w:hAnsi="宋体" w:eastAsia="宋体" w:cs="宋体"/>
          <w:b/>
          <w:bCs/>
          <w:color w:val="auto"/>
          <w:kern w:val="0"/>
          <w:sz w:val="28"/>
          <w:szCs w:val="28"/>
          <w:highlight w:val="none"/>
          <w:u w:color="000000"/>
          <w:lang w:val="en-US" w:eastAsia="zh-CN" w:bidi="ar-SA"/>
        </w:rPr>
        <w:t>1</w:t>
      </w:r>
      <w:r>
        <w:rPr>
          <w:rFonts w:hint="eastAsia" w:ascii="宋体" w:hAnsi="宋体" w:eastAsia="宋体" w:cs="宋体"/>
          <w:b/>
          <w:bCs/>
          <w:color w:val="auto"/>
          <w:kern w:val="0"/>
          <w:sz w:val="28"/>
          <w:szCs w:val="28"/>
          <w:highlight w:val="none"/>
          <w:u w:color="000000"/>
          <w:lang w:val="en-US" w:eastAsia="zh-CN" w:bidi="ar-SA"/>
        </w:rPr>
        <w:fldChar w:fldCharType="end"/>
      </w:r>
      <w:r>
        <w:rPr>
          <w:rFonts w:hint="eastAsia" w:ascii="宋体" w:hAnsi="宋体" w:eastAsia="宋体" w:cs="宋体"/>
          <w:b/>
          <w:bCs/>
          <w:color w:val="auto"/>
          <w:kern w:val="0"/>
          <w:sz w:val="28"/>
          <w:szCs w:val="28"/>
          <w:highlight w:val="none"/>
          <w:u w:color="000000"/>
          <w:lang w:val="en-US" w:eastAsia="zh-CN" w:bidi="ar-SA"/>
        </w:rPr>
        <w:t xml:space="preserve"> DCMM贯标等级及条件</w:t>
      </w:r>
    </w:p>
    <w:tbl>
      <w:tblPr>
        <w:tblStyle w:val="13"/>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3"/>
        <w:gridCol w:w="1453"/>
        <w:gridCol w:w="1453"/>
        <w:gridCol w:w="1453"/>
        <w:gridCol w:w="1453"/>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认定维度</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DCMM一级</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DCMM二级</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DCMM三级</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DCMM四级</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DCMM五级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成立时间</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≥1年</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≥1年</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≥3年</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≥4年</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上年度营业收入</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≥100万元</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≥100万元</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≥1000万元</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≥5000万元</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员工数</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≥30人</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≥50人</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≥100人</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≥1000人</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数据量</w:t>
            </w:r>
          </w:p>
        </w:tc>
        <w:tc>
          <w:tcPr>
            <w:tcW w:w="1453"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≥80GB</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≥100GB</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≥1TB</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≥5TB</w:t>
            </w:r>
          </w:p>
        </w:tc>
        <w:tc>
          <w:tcPr>
            <w:tcW w:w="14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≥10TB</w:t>
            </w:r>
          </w:p>
        </w:tc>
      </w:tr>
    </w:tbl>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b w:val="0"/>
          <w:bCs w:val="0"/>
          <w:sz w:val="32"/>
          <w:szCs w:val="40"/>
          <w:highlight w:val="none"/>
          <w:lang w:val="en-US" w:eastAsia="zh-CN"/>
        </w:rPr>
        <w:t>2023年10月，山东省工业和信息化厅印发《山东省关于加快数字经济高质量发展的指导意见》，开展省级DCMM贯标试点工作，支持省内企业开展数据管理能力成熟度评估模型（DCMM）国家标准贯标。</w:t>
      </w:r>
      <w:r>
        <w:rPr>
          <w:rFonts w:hint="eastAsia" w:ascii="仿宋_GB2312" w:hAnsi="仿宋_GB2312" w:eastAsia="仿宋_GB2312" w:cs="仿宋_GB2312"/>
          <w:sz w:val="32"/>
          <w:szCs w:val="40"/>
          <w:highlight w:val="none"/>
          <w:lang w:val="en-US" w:eastAsia="zh-CN"/>
        </w:rPr>
        <w:t>2023年11月21日，青岛市工业和信息化局、青岛市财政局</w:t>
      </w:r>
      <w:r>
        <w:rPr>
          <w:rFonts w:hint="eastAsia" w:ascii="仿宋_GB2312" w:hAnsi="仿宋_GB2312" w:eastAsia="仿宋_GB2312" w:cs="仿宋_GB2312"/>
          <w:sz w:val="32"/>
          <w:szCs w:val="40"/>
          <w:highlight w:val="none"/>
        </w:rPr>
        <w:t>联合</w:t>
      </w:r>
      <w:r>
        <w:rPr>
          <w:rFonts w:hint="eastAsia" w:ascii="仿宋_GB2312" w:hAnsi="仿宋_GB2312" w:eastAsia="仿宋_GB2312" w:cs="仿宋_GB2312"/>
          <w:sz w:val="32"/>
          <w:szCs w:val="40"/>
          <w:highlight w:val="none"/>
          <w:lang w:val="en-US" w:eastAsia="zh-CN"/>
        </w:rPr>
        <w:t>制定</w:t>
      </w:r>
      <w:r>
        <w:rPr>
          <w:rFonts w:hint="eastAsia" w:ascii="仿宋_GB2312" w:hAnsi="仿宋_GB2312" w:eastAsia="仿宋_GB2312" w:cs="仿宋_GB2312"/>
          <w:sz w:val="32"/>
          <w:szCs w:val="40"/>
          <w:highlight w:val="none"/>
        </w:rPr>
        <w:t>了《关于加快数字经济高质量发展的实施方案工信领域配套细则》</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青工信字〔2023〕83号</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，其中</w:t>
      </w:r>
      <w:r>
        <w:rPr>
          <w:rFonts w:hint="eastAsia" w:ascii="仿宋_GB2312" w:hAnsi="仿宋_GB2312" w:eastAsia="仿宋_GB2312" w:cs="仿宋_GB2312"/>
          <w:sz w:val="32"/>
          <w:szCs w:val="40"/>
          <w:highlight w:val="none"/>
          <w:lang w:val="en-US" w:eastAsia="zh-CN"/>
        </w:rPr>
        <w:t>提出对首次通过二级及以上贯标认证并纳入省级DCMM试点的企业，一次性给予10万元奖补。</w:t>
      </w:r>
    </w:p>
    <w:p>
      <w:pPr>
        <w:spacing w:line="600" w:lineRule="exact"/>
        <w:ind w:firstLine="643" w:firstLineChars="200"/>
        <w:rPr>
          <w:rFonts w:hint="eastAsia" w:ascii="仿宋_GB2312" w:hAnsi="仿宋_GB2312" w:eastAsia="仿宋_GB2312" w:cs="仿宋_GB2312"/>
          <w:b/>
          <w:bCs/>
          <w:sz w:val="32"/>
          <w:szCs w:val="40"/>
          <w:highlight w:val="none"/>
          <w:lang w:eastAsia="zh-CN"/>
        </w:rPr>
      </w:pP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2</w:t>
      </w: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rPr>
        <w:t>生物医药产业奖补</w:t>
      </w:r>
      <w:r>
        <w:rPr>
          <w:rFonts w:hint="eastAsia" w:ascii="仿宋_GB2312" w:hAnsi="仿宋_GB2312" w:eastAsia="仿宋_GB2312" w:cs="仿宋_GB2312"/>
          <w:b/>
          <w:bCs/>
          <w:sz w:val="32"/>
          <w:szCs w:val="40"/>
          <w:highlight w:val="none"/>
          <w:lang w:val="en-US" w:eastAsia="zh-CN"/>
        </w:rPr>
        <w:t>资金</w:t>
      </w:r>
      <w:r>
        <w:rPr>
          <w:rFonts w:hint="eastAsia" w:ascii="仿宋_GB2312" w:hAnsi="仿宋_GB2312" w:eastAsia="仿宋_GB2312" w:cs="仿宋_GB2312"/>
          <w:b/>
          <w:bCs/>
          <w:sz w:val="32"/>
          <w:szCs w:val="40"/>
          <w:highlight w:val="none"/>
        </w:rPr>
        <w:t>项目</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yellow"/>
        </w:rPr>
      </w:pPr>
      <w:r>
        <w:rPr>
          <w:rFonts w:hint="eastAsia" w:ascii="仿宋_GB2312" w:hAnsi="仿宋_GB2312" w:eastAsia="仿宋_GB2312" w:cs="仿宋_GB2312"/>
          <w:snapToGrid w:val="0"/>
          <w:color w:val="auto"/>
          <w:spacing w:val="0"/>
          <w:kern w:val="0"/>
          <w:position w:val="0"/>
          <w:sz w:val="32"/>
          <w:szCs w:val="32"/>
          <w:highlight w:val="none"/>
          <w:lang w:val="en-US" w:eastAsia="zh-CN" w:bidi="ar-SA"/>
        </w:rPr>
        <w:t>生物医药产业被称为“永不衰落的朝阳产业”，是新一轮科技革命和竞争的焦点赛道之一。2022年5月10日，国家发展和改革委员会印发《“十四五”生物经济发展规划》，将生物医药产业位列四大重点发展领域之首。山东省结合产业发展基础和优势，</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将生物医药纳入“十强”产业重点培育，形成专项支持体系</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，在全省布局建设功能齐全、重点各异、各有特色的生物医药产业基地，初步形成了“全域布局、多点开花”的产业发展格局。为落实</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省级</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决策</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部署，切实抢占新一轮产业发展制高点</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加快建设以海洋为特色具有国际影响力的生物医药产业创新高地</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，自2022年以来，青岛市工业和信息化局先后印发了《关于仿制药质量和疗效一致性评价奖补项目实施细则》（</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青</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工信字</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〔202</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2</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32</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号</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）、《青岛市支持海洋经济高质量发展海洋药物及生物制品产业发展奖补项目实施细则》（</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青</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工信规</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〔202</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2</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4</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号</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）以及《青岛市进一步支持生物医药产业高质量发展若干政策实施细则》（青工信字〔2024〕14号）等3项奖补政策，分别对青岛市仿制药研发企业、海洋医药研发机构、生物医药及医疗研发企业给予奖补。</w:t>
      </w:r>
    </w:p>
    <w:p>
      <w:pPr>
        <w:spacing w:line="600" w:lineRule="exact"/>
        <w:ind w:firstLine="640" w:firstLineChars="200"/>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2.项目主要内容</w:t>
      </w:r>
    </w:p>
    <w:p>
      <w:pPr>
        <w:spacing w:line="600" w:lineRule="exact"/>
        <w:ind w:firstLine="643" w:firstLineChars="200"/>
        <w:rPr>
          <w:rFonts w:hint="eastAsia" w:ascii="仿宋_GB2312" w:hAnsi="仿宋_GB2312" w:eastAsia="仿宋_GB2312" w:cs="仿宋_GB2312"/>
          <w:b/>
          <w:bCs/>
          <w:sz w:val="32"/>
          <w:szCs w:val="40"/>
          <w:highlight w:val="none"/>
          <w:lang w:eastAsia="zh-CN"/>
        </w:rPr>
      </w:pP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1</w:t>
      </w: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DCMM贯标奖补资金项目</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截至2025年10月17日，青岛市已对两个批次141家符合条件的DCMM试点企业给予奖补，奖补资金共计1410万元。其中，2024年奖补48家，奖补资金480万元；2025年奖补93家，奖补资金930万元。</w:t>
      </w:r>
    </w:p>
    <w:p>
      <w:pPr>
        <w:spacing w:line="600" w:lineRule="exact"/>
        <w:ind w:firstLine="643" w:firstLineChars="200"/>
        <w:rPr>
          <w:rFonts w:hint="eastAsia" w:ascii="仿宋_GB2312" w:hAnsi="仿宋_GB2312" w:eastAsia="仿宋_GB2312" w:cs="仿宋_GB2312"/>
          <w:b/>
          <w:bCs/>
          <w:sz w:val="32"/>
          <w:szCs w:val="40"/>
          <w:highlight w:val="none"/>
          <w:lang w:eastAsia="zh-CN"/>
        </w:rPr>
      </w:pP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2</w:t>
      </w: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rPr>
        <w:t>生物医药产业奖补</w:t>
      </w:r>
      <w:r>
        <w:rPr>
          <w:rFonts w:hint="eastAsia" w:ascii="仿宋_GB2312" w:hAnsi="仿宋_GB2312" w:eastAsia="仿宋_GB2312" w:cs="仿宋_GB2312"/>
          <w:b/>
          <w:bCs/>
          <w:sz w:val="32"/>
          <w:szCs w:val="40"/>
          <w:highlight w:val="none"/>
          <w:lang w:val="en-US" w:eastAsia="zh-CN"/>
        </w:rPr>
        <w:t>资金</w:t>
      </w:r>
      <w:r>
        <w:rPr>
          <w:rFonts w:hint="eastAsia" w:ascii="仿宋_GB2312" w:hAnsi="仿宋_GB2312" w:eastAsia="仿宋_GB2312" w:cs="仿宋_GB2312"/>
          <w:b/>
          <w:bCs/>
          <w:sz w:val="32"/>
          <w:szCs w:val="40"/>
          <w:highlight w:val="none"/>
        </w:rPr>
        <w:t>项目</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截至2025年10月17日，青岛市已对两个批次38个符合条件的</w:t>
      </w:r>
      <w:r>
        <w:rPr>
          <w:rFonts w:hint="eastAsia" w:ascii="仿宋_GB2312" w:hAnsi="仿宋_GB2312" w:eastAsia="仿宋_GB2312" w:cs="仿宋_GB2312"/>
          <w:sz w:val="32"/>
          <w:szCs w:val="40"/>
          <w:highlight w:val="none"/>
        </w:rPr>
        <w:t>生物医药产业</w:t>
      </w:r>
      <w:r>
        <w:rPr>
          <w:rFonts w:hint="eastAsia" w:ascii="仿宋_GB2312" w:hAnsi="仿宋_GB2312" w:eastAsia="仿宋_GB2312" w:cs="仿宋_GB2312"/>
          <w:sz w:val="32"/>
          <w:szCs w:val="40"/>
          <w:highlight w:val="none"/>
          <w:lang w:val="en-US" w:eastAsia="zh-CN"/>
        </w:rPr>
        <w:t>项目给予奖补，涉及23家生物医药企业或机构，奖补资金共计3768.9万元。其中，2024年奖补17个项目，涉及生物医药企业12家，奖补资金648.9万元；2025年奖补21个项目，涉及生物医药企业15家，奖补资金3120万元，具体项目包括：</w:t>
      </w:r>
    </w:p>
    <w:p>
      <w:pPr>
        <w:pStyle w:val="3"/>
        <w:keepNext/>
        <w:spacing w:line="600" w:lineRule="exact"/>
        <w:ind w:left="0" w:leftChars="0" w:firstLine="0" w:firstLineChars="0"/>
        <w:jc w:val="center"/>
        <w:rPr>
          <w:rFonts w:hint="eastAsia"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 xml:space="preserve">表 </w:t>
      </w:r>
      <w:r>
        <w:rPr>
          <w:rFonts w:hint="eastAsia" w:ascii="宋体" w:hAnsi="宋体" w:eastAsia="宋体" w:cs="宋体"/>
          <w:b/>
          <w:bCs/>
          <w:color w:val="auto"/>
          <w:kern w:val="0"/>
          <w:sz w:val="28"/>
          <w:szCs w:val="28"/>
          <w:highlight w:val="none"/>
          <w:u w:color="000000"/>
          <w:lang w:val="en-US" w:eastAsia="zh-CN" w:bidi="ar-SA"/>
        </w:rPr>
        <w:fldChar w:fldCharType="begin"/>
      </w:r>
      <w:r>
        <w:rPr>
          <w:rFonts w:hint="eastAsia" w:ascii="宋体" w:hAnsi="宋体" w:eastAsia="宋体" w:cs="宋体"/>
          <w:b/>
          <w:bCs/>
          <w:color w:val="auto"/>
          <w:kern w:val="0"/>
          <w:sz w:val="28"/>
          <w:szCs w:val="28"/>
          <w:highlight w:val="none"/>
          <w:u w:color="000000"/>
          <w:lang w:val="en-US" w:eastAsia="zh-CN" w:bidi="ar-SA"/>
        </w:rPr>
        <w:instrText xml:space="preserve"> SEQ 表 \* ARABIC </w:instrText>
      </w:r>
      <w:r>
        <w:rPr>
          <w:rFonts w:hint="eastAsia" w:ascii="宋体" w:hAnsi="宋体" w:eastAsia="宋体" w:cs="宋体"/>
          <w:b/>
          <w:bCs/>
          <w:color w:val="auto"/>
          <w:kern w:val="0"/>
          <w:sz w:val="28"/>
          <w:szCs w:val="28"/>
          <w:highlight w:val="none"/>
          <w:u w:color="000000"/>
          <w:lang w:val="en-US" w:eastAsia="zh-CN" w:bidi="ar-SA"/>
        </w:rPr>
        <w:fldChar w:fldCharType="separate"/>
      </w:r>
      <w:r>
        <w:rPr>
          <w:rFonts w:hint="eastAsia" w:ascii="宋体" w:hAnsi="宋体" w:eastAsia="宋体" w:cs="宋体"/>
          <w:b/>
          <w:bCs/>
          <w:color w:val="auto"/>
          <w:kern w:val="0"/>
          <w:sz w:val="28"/>
          <w:szCs w:val="28"/>
          <w:highlight w:val="none"/>
          <w:u w:color="000000"/>
          <w:lang w:val="en-US" w:eastAsia="zh-CN" w:bidi="ar-SA"/>
        </w:rPr>
        <w:t>2</w:t>
      </w:r>
      <w:r>
        <w:rPr>
          <w:rFonts w:hint="eastAsia" w:ascii="宋体" w:hAnsi="宋体" w:eastAsia="宋体" w:cs="宋体"/>
          <w:b/>
          <w:bCs/>
          <w:color w:val="auto"/>
          <w:kern w:val="0"/>
          <w:sz w:val="28"/>
          <w:szCs w:val="28"/>
          <w:highlight w:val="none"/>
          <w:u w:color="000000"/>
          <w:lang w:val="en-US" w:eastAsia="zh-CN" w:bidi="ar-SA"/>
        </w:rPr>
        <w:fldChar w:fldCharType="end"/>
      </w:r>
      <w:r>
        <w:rPr>
          <w:rFonts w:hint="eastAsia" w:ascii="宋体" w:hAnsi="宋体" w:eastAsia="宋体" w:cs="宋体"/>
          <w:b/>
          <w:bCs/>
          <w:color w:val="auto"/>
          <w:kern w:val="0"/>
          <w:sz w:val="28"/>
          <w:szCs w:val="28"/>
          <w:highlight w:val="none"/>
          <w:u w:color="000000"/>
          <w:lang w:val="en-US" w:eastAsia="zh-CN" w:bidi="ar-SA"/>
        </w:rPr>
        <w:t xml:space="preserve"> 生物医药产业奖补资金项目汇总表</w:t>
      </w:r>
    </w:p>
    <w:p>
      <w:pPr>
        <w:keepNext/>
        <w:keepLines w:val="0"/>
        <w:pageBreakBefore w:val="0"/>
        <w:widowControl w:val="0"/>
        <w:kinsoku/>
        <w:wordWrap/>
        <w:overflowPunct/>
        <w:topLinePunct w:val="0"/>
        <w:autoSpaceDE/>
        <w:autoSpaceDN/>
        <w:bidi w:val="0"/>
        <w:adjustRightInd/>
        <w:snapToGrid/>
        <w:spacing w:line="240" w:lineRule="auto"/>
        <w:ind w:left="0" w:leftChars="0" w:firstLine="0" w:firstLineChars="0"/>
        <w:jc w:val="righ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bidi="zh-CN"/>
        </w:rPr>
        <w:t>单位：万元</w:t>
      </w:r>
    </w:p>
    <w:tbl>
      <w:tblPr>
        <w:tblStyle w:val="13"/>
        <w:tblW w:w="53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735"/>
        <w:gridCol w:w="2060"/>
        <w:gridCol w:w="3719"/>
        <w:gridCol w:w="784"/>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blHeader/>
          <w:jc w:val="center"/>
        </w:trPr>
        <w:tc>
          <w:tcPr>
            <w:tcW w:w="449" w:type="pct"/>
            <w:vAlign w:val="center"/>
          </w:tcPr>
          <w:p>
            <w:pPr>
              <w:keepNext/>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年度</w:t>
            </w:r>
          </w:p>
        </w:tc>
        <w:tc>
          <w:tcPr>
            <w:tcW w:w="394" w:type="pct"/>
            <w:vAlign w:val="center"/>
          </w:tcPr>
          <w:p>
            <w:pPr>
              <w:keepNext/>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104"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政策名称</w:t>
            </w:r>
          </w:p>
        </w:tc>
        <w:tc>
          <w:tcPr>
            <w:tcW w:w="1991"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奖补条款名称</w:t>
            </w:r>
          </w:p>
        </w:tc>
        <w:tc>
          <w:tcPr>
            <w:tcW w:w="420"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639"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奖补金额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2024年度</w:t>
            </w: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10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u w:val="none"/>
                <w:lang w:bidi="ar"/>
              </w:rPr>
              <w:t>《</w:t>
            </w:r>
            <w:r>
              <w:rPr>
                <w:rFonts w:hint="eastAsia" w:ascii="宋体" w:hAnsi="宋体" w:eastAsia="宋体" w:cs="宋体"/>
                <w:bCs w:val="0"/>
                <w:color w:val="000000"/>
                <w:spacing w:val="0"/>
                <w:kern w:val="0"/>
                <w:sz w:val="24"/>
                <w:szCs w:val="24"/>
                <w:u w:val="none"/>
                <w:lang w:bidi="ar"/>
              </w:rPr>
              <w:t>仿制药质量和疗效一致性评价奖补项目实施细则</w:t>
            </w:r>
            <w:r>
              <w:rPr>
                <w:rFonts w:hint="eastAsia" w:ascii="宋体" w:hAnsi="宋体" w:eastAsia="宋体" w:cs="宋体"/>
                <w:color w:val="000000"/>
                <w:kern w:val="0"/>
                <w:sz w:val="24"/>
                <w:szCs w:val="24"/>
                <w:u w:val="none"/>
                <w:lang w:bidi="ar"/>
              </w:rPr>
              <w:t>》</w:t>
            </w:r>
            <w:r>
              <w:rPr>
                <w:rFonts w:hint="eastAsia" w:ascii="宋体" w:hAnsi="宋体" w:eastAsia="宋体" w:cs="宋体"/>
                <w:color w:val="000000"/>
                <w:kern w:val="0"/>
                <w:sz w:val="24"/>
                <w:szCs w:val="24"/>
                <w:u w:val="none"/>
                <w:lang w:eastAsia="zh-CN" w:bidi="ar"/>
              </w:rPr>
              <w:t>（</w:t>
            </w:r>
            <w:r>
              <w:rPr>
                <w:rFonts w:hint="eastAsia" w:ascii="宋体" w:hAnsi="宋体" w:eastAsia="宋体" w:cs="宋体"/>
                <w:color w:val="000000"/>
                <w:kern w:val="0"/>
                <w:sz w:val="24"/>
                <w:szCs w:val="24"/>
                <w:u w:val="none"/>
                <w:lang w:bidi="ar"/>
              </w:rPr>
              <w:t>青工信字〔2022〕32号</w:t>
            </w:r>
            <w:r>
              <w:rPr>
                <w:rFonts w:hint="eastAsia" w:ascii="宋体" w:hAnsi="宋体" w:eastAsia="宋体" w:cs="宋体"/>
                <w:color w:val="000000"/>
                <w:kern w:val="0"/>
                <w:sz w:val="24"/>
                <w:szCs w:val="24"/>
                <w:u w:val="none"/>
                <w:lang w:eastAsia="zh-CN" w:bidi="ar"/>
              </w:rPr>
              <w:t>）</w:t>
            </w: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仿制药质量和疗效一致性评价预算资金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104" w:type="pct"/>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u w:val="none"/>
                <w:lang w:bidi="ar"/>
              </w:rPr>
              <w:t>《</w:t>
            </w:r>
            <w:r>
              <w:rPr>
                <w:rFonts w:hint="eastAsia" w:ascii="宋体" w:hAnsi="宋体" w:eastAsia="宋体" w:cs="宋体"/>
                <w:bCs w:val="0"/>
                <w:color w:val="000000"/>
                <w:spacing w:val="0"/>
                <w:kern w:val="0"/>
                <w:sz w:val="24"/>
                <w:szCs w:val="24"/>
                <w:u w:val="none"/>
                <w:lang w:bidi="ar"/>
              </w:rPr>
              <w:t>青岛市支持海洋经济高质量发展海洋药物及生物制品产业发展奖补项目实施细则</w:t>
            </w:r>
            <w:r>
              <w:rPr>
                <w:rFonts w:hint="eastAsia" w:ascii="宋体" w:hAnsi="宋体" w:eastAsia="宋体" w:cs="宋体"/>
                <w:color w:val="000000"/>
                <w:kern w:val="0"/>
                <w:sz w:val="24"/>
                <w:szCs w:val="24"/>
                <w:u w:val="none"/>
                <w:lang w:bidi="ar"/>
              </w:rPr>
              <w:t>》</w:t>
            </w:r>
            <w:r>
              <w:rPr>
                <w:rFonts w:hint="eastAsia" w:ascii="宋体" w:hAnsi="宋体" w:eastAsia="宋体" w:cs="宋体"/>
                <w:color w:val="000000"/>
                <w:kern w:val="0"/>
                <w:sz w:val="24"/>
                <w:szCs w:val="24"/>
                <w:u w:val="none"/>
                <w:lang w:eastAsia="zh-CN" w:bidi="ar"/>
              </w:rPr>
              <w:t>（</w:t>
            </w:r>
            <w:r>
              <w:rPr>
                <w:rFonts w:hint="eastAsia" w:ascii="宋体" w:hAnsi="宋体" w:eastAsia="宋体" w:cs="宋体"/>
                <w:color w:val="000000"/>
                <w:kern w:val="0"/>
                <w:sz w:val="24"/>
                <w:szCs w:val="24"/>
                <w:u w:val="none"/>
                <w:lang w:bidi="ar"/>
              </w:rPr>
              <w:t>青工信规〔2022〕4号</w:t>
            </w:r>
            <w:r>
              <w:rPr>
                <w:rFonts w:hint="eastAsia" w:ascii="宋体" w:hAnsi="宋体" w:eastAsia="宋体" w:cs="宋体"/>
                <w:color w:val="000000"/>
                <w:kern w:val="0"/>
                <w:sz w:val="24"/>
                <w:szCs w:val="24"/>
                <w:u w:val="none"/>
                <w:lang w:eastAsia="zh-CN" w:bidi="ar"/>
              </w:rPr>
              <w:t>）</w:t>
            </w: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鼓励新药创新奖补资金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支持公共服务平台提升服务水平</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支持海洋保健食品或涉海新食品原料项目奖补资金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支持企业做大做强奖补资金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支持通过国际认证奖补资金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支持医疗器械研发奖补资金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2025年度</w:t>
            </w: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104"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u w:val="none"/>
                <w:lang w:bidi="ar"/>
              </w:rPr>
              <w:t>《</w:t>
            </w:r>
            <w:r>
              <w:rPr>
                <w:rFonts w:hint="eastAsia" w:ascii="宋体" w:hAnsi="宋体" w:eastAsia="宋体" w:cs="宋体"/>
                <w:bCs w:val="0"/>
                <w:color w:val="000000"/>
                <w:spacing w:val="0"/>
                <w:kern w:val="0"/>
                <w:sz w:val="24"/>
                <w:szCs w:val="24"/>
                <w:u w:val="none"/>
                <w:lang w:bidi="ar"/>
              </w:rPr>
              <w:t>仿制药质量和疗效一致性评价奖补项目实施细则</w:t>
            </w:r>
            <w:r>
              <w:rPr>
                <w:rFonts w:hint="eastAsia" w:ascii="宋体" w:hAnsi="宋体" w:eastAsia="宋体" w:cs="宋体"/>
                <w:color w:val="000000"/>
                <w:kern w:val="0"/>
                <w:sz w:val="24"/>
                <w:szCs w:val="24"/>
                <w:u w:val="none"/>
                <w:lang w:bidi="ar"/>
              </w:rPr>
              <w:t>》</w:t>
            </w:r>
            <w:r>
              <w:rPr>
                <w:rFonts w:hint="eastAsia" w:ascii="宋体" w:hAnsi="宋体" w:eastAsia="宋体" w:cs="宋体"/>
                <w:color w:val="000000"/>
                <w:kern w:val="0"/>
                <w:sz w:val="24"/>
                <w:szCs w:val="24"/>
                <w:u w:val="none"/>
                <w:lang w:eastAsia="zh-CN" w:bidi="ar"/>
              </w:rPr>
              <w:t>（</w:t>
            </w:r>
            <w:r>
              <w:rPr>
                <w:rFonts w:hint="eastAsia" w:ascii="宋体" w:hAnsi="宋体" w:eastAsia="宋体" w:cs="宋体"/>
                <w:color w:val="000000"/>
                <w:kern w:val="0"/>
                <w:sz w:val="24"/>
                <w:szCs w:val="24"/>
                <w:u w:val="none"/>
                <w:lang w:bidi="ar"/>
              </w:rPr>
              <w:t>青工信字〔2022〕32号</w:t>
            </w:r>
            <w:r>
              <w:rPr>
                <w:rFonts w:hint="eastAsia" w:ascii="宋体" w:hAnsi="宋体" w:eastAsia="宋体" w:cs="宋体"/>
                <w:color w:val="000000"/>
                <w:kern w:val="0"/>
                <w:sz w:val="24"/>
                <w:szCs w:val="24"/>
                <w:u w:val="none"/>
                <w:lang w:eastAsia="zh-CN" w:bidi="ar"/>
              </w:rPr>
              <w:t>）</w:t>
            </w: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仿制药质量和疗效一致性评价预算资金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104" w:type="pct"/>
            <w:vMerge w:val="restar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《青岛市进一步支持生物医药产业高质量发展若干政策实施细则》（青工信字〔2024〕14号）</w:t>
            </w: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2025年青岛市推动企业开拓市场奖补资金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2025年青岛市推进服务平台建设奖补资金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2025年青岛市支持“蓝色药库”项目研发奖补资金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2025年青岛市支持创新成果转化奖补资金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2025年青岛市支持新药研发</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9"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39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104" w:type="pct"/>
            <w:vMerge w:val="continue"/>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c>
          <w:tcPr>
            <w:tcW w:w="1991"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2025年青岛市支持医疗器械研发奖补资金</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40" w:type="pct"/>
            <w:gridSpan w:val="4"/>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总计</w:t>
            </w:r>
          </w:p>
        </w:tc>
        <w:tc>
          <w:tcPr>
            <w:tcW w:w="420"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38</w:t>
            </w:r>
          </w:p>
        </w:tc>
        <w:tc>
          <w:tcPr>
            <w:tcW w:w="639" w:type="pct"/>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3768.9</w:t>
            </w:r>
          </w:p>
        </w:tc>
      </w:tr>
    </w:tbl>
    <w:p>
      <w:pPr>
        <w:keepNext/>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3.项目实施情况</w:t>
      </w:r>
    </w:p>
    <w:p>
      <w:pPr>
        <w:spacing w:line="600" w:lineRule="exact"/>
        <w:ind w:firstLine="643" w:firstLineChars="200"/>
        <w:rPr>
          <w:rFonts w:hint="eastAsia" w:ascii="仿宋_GB2312" w:hAnsi="仿宋_GB2312" w:eastAsia="仿宋_GB2312" w:cs="仿宋_GB2312"/>
          <w:b/>
          <w:bCs/>
          <w:sz w:val="32"/>
          <w:szCs w:val="40"/>
          <w:highlight w:val="none"/>
          <w:lang w:eastAsia="zh-CN"/>
        </w:rPr>
      </w:pP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1</w:t>
      </w:r>
      <w:r>
        <w:rPr>
          <w:rFonts w:hint="eastAsia" w:ascii="仿宋_GB2312" w:hAnsi="仿宋_GB2312" w:eastAsia="仿宋_GB2312" w:cs="仿宋_GB2312"/>
          <w:b/>
          <w:bCs/>
          <w:sz w:val="32"/>
          <w:szCs w:val="40"/>
          <w:highlight w:val="none"/>
          <w:lang w:eastAsia="zh-CN"/>
        </w:rPr>
        <w:t>）</w:t>
      </w:r>
      <w:r>
        <w:rPr>
          <w:rFonts w:hint="eastAsia" w:ascii="仿宋_GB2312" w:hAnsi="仿宋_GB2312" w:eastAsia="仿宋_GB2312" w:cs="仿宋_GB2312"/>
          <w:b/>
          <w:bCs/>
          <w:sz w:val="32"/>
          <w:szCs w:val="40"/>
          <w:highlight w:val="none"/>
          <w:lang w:val="en-US" w:eastAsia="zh-CN"/>
        </w:rPr>
        <w:t>DCMM贯标奖补资金项目</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①职责分工</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业务管理方面，青岛市工业和信息化局（以下简称“市工信局”）是青岛市DCMM贯标奖补政策的制定单位，是DCMM贯标奖补资金项目的主管部门，主要负责发布申报指南、组织项目申报和材料审核，提出年度奖补资金预算建议，开展绩效管理相关工作；区（市）工业和信息化主管部门负责辖区内政策申报材料的受理，对申报材料进行初审，完成推荐上报、绩效评价等工作，配合区（市）财政部门拨付资金。</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资金拨付方面，青岛市财政局（以下简称“市财政局”）负责预算安排、资金下达。2024年度，市财政局根据市工信局提报的预算安排建议，统筹将奖补资金拨付至各区（市）财政部门，再由区（市）财政部门将奖补资金拨付至受奖补企业。2025年度，市财政局按程序将资金下达市工信局。</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②项目实施过程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napToGrid w:val="0"/>
          <w:color w:val="auto"/>
          <w:spacing w:val="0"/>
          <w:kern w:val="0"/>
          <w:position w:val="0"/>
          <w:sz w:val="32"/>
          <w:szCs w:val="32"/>
          <w:highlight w:val="none"/>
          <w:lang w:val="en-US" w:eastAsia="zh-CN" w:bidi="ar-SA"/>
        </w:rPr>
        <w:t>DCMM贯标奖补资金为</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免申即享</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，市工信局通过比对</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山东省工业和信息化厅相关认定文件、中国电子信息行业联合会公布获证</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情况，通知企业进行奖补。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（2）生物医药产业奖补资金项目</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①职责分工</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业务管理方面，市工信局是青岛市生物医药产业奖补资金政策的制定单位，是生物医药产业奖补资金项目的主管部门，主要负责发布申报指南、组织项目申报和材料审核、办理资金信息公开、编制年度资金预算和支出计划、按要求开展绩效评价相关工作；区（市）工业和信息化主管部门负责本辖区政策申报组织、初审、推荐和绩效评价，配合区（市）财政部门拨付资金。</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资金拨付方面，2024年度，市财政局根据市工信局提报的预算安排建议，统筹将奖补资金拨付至各区（市）财政部门，再由区（市）财政部门将奖补资金拨付至受奖补企业。2025年度，市财政局按程序将资金下达市工信局。</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②项目实施过程</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生物医药产业奖补申报流程需通过“青岛政策通”平台推进，先由企业向注册地所在区（市）工业和信息化主管部门提出申请，经区（市）工信部门初审、市工业和信息化发展服务中心完整性审核、市工业和信息化局生物医药产业处复审（必要时聘请专家评审）后，确定拟奖补名单并公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4.资金投入及使用情况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1</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DCMM贯标奖补资金项目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DCMM贯标奖补资金项目2024年资金预算为480万元，市财政局已将预算资金全额拨付至各区（市）财政部门，截至评价日，受奖补企业已收到奖补资金20万元。2025年资金预算为930万元，截至评价日，市财政局按程序将资金下达市工信局，市工信局已将预算资金“点对点”全额拨付至受奖补企业。项目总预算资金为1410万元，总到位资金为1410万元，总执行资金为950万元，整体预算执行率为67.38%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（2）生物医药产业奖补资金项目</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生物医药产业奖补资金项目2024年资金预算为648.9万元，截至评价日，市财政局已将648.9万元全额拨付至区（市）财政部门，但受奖补企业仅收到78.9万元。2025年资金预算为3120万元，截至评价日，市财政局按程序将资金下达市工信局，市工信局已将预算资金“点对点”全额拨付至企业。项目总预算资金为3768.9万元，总到位资金为3768.9万元，总执行资金为3198.9万元，整体预算执行率为84.88%。</w:t>
      </w:r>
    </w:p>
    <w:p>
      <w:pPr>
        <w:spacing w:line="600" w:lineRule="exact"/>
        <w:ind w:firstLine="640" w:firstLineChars="200"/>
        <w:outlineLvl w:val="1"/>
        <w:rPr>
          <w:rFonts w:hint="eastAsia" w:ascii="楷体_GB2312" w:hAnsi="楷体_GB2312" w:eastAsia="楷体_GB2312" w:cs="楷体_GB2312"/>
          <w:sz w:val="32"/>
          <w:szCs w:val="40"/>
          <w:highlight w:val="none"/>
        </w:rPr>
      </w:pPr>
      <w:bookmarkStart w:id="2" w:name="_Toc32641"/>
      <w:r>
        <w:rPr>
          <w:rFonts w:hint="eastAsia" w:ascii="楷体_GB2312" w:hAnsi="楷体_GB2312" w:eastAsia="楷体_GB2312" w:cs="楷体_GB2312"/>
          <w:sz w:val="32"/>
          <w:szCs w:val="40"/>
          <w:highlight w:val="none"/>
        </w:rPr>
        <w:t>（二）项目绩效目标</w:t>
      </w:r>
      <w:bookmarkEnd w:id="2"/>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1.DCMM贯标奖补资金项目</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1</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总体目标</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eastAsia="zh-CN"/>
        </w:rPr>
        <w:t>为加大数据价值的开发力度，计划在</w:t>
      </w:r>
      <w:r>
        <w:rPr>
          <w:rFonts w:hint="eastAsia" w:ascii="仿宋_GB2312" w:hAnsi="仿宋_GB2312" w:eastAsia="仿宋_GB2312" w:cs="仿宋_GB2312"/>
          <w:sz w:val="32"/>
          <w:szCs w:val="40"/>
          <w:highlight w:val="none"/>
          <w:lang w:val="en-US" w:eastAsia="zh-CN"/>
        </w:rPr>
        <w:t>2024年和2025年培育超过105家企业通过DCMM二级及以上贯标认证，并将其纳入省级DCMM试点范围。</w:t>
      </w:r>
    </w:p>
    <w:p>
      <w:pPr>
        <w:numPr>
          <w:ilvl w:val="0"/>
          <w:numId w:val="1"/>
        </w:num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年度目标</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市工信局根据自身发展要求，编制了DCMM贯标奖补资金</w:t>
      </w:r>
      <w:r>
        <w:rPr>
          <w:rFonts w:hint="eastAsia" w:ascii="仿宋_GB2312" w:hAnsi="仿宋_GB2312" w:eastAsia="仿宋_GB2312" w:cs="仿宋_GB2312"/>
          <w:sz w:val="32"/>
          <w:szCs w:val="40"/>
          <w:highlight w:val="none"/>
          <w:lang w:val="en-US"/>
        </w:rPr>
        <w:t>项目的绩效目标</w:t>
      </w:r>
      <w:r>
        <w:rPr>
          <w:rFonts w:hint="eastAsia" w:ascii="仿宋_GB2312" w:hAnsi="仿宋_GB2312" w:eastAsia="仿宋_GB2312" w:cs="仿宋_GB2312"/>
          <w:sz w:val="32"/>
          <w:szCs w:val="40"/>
          <w:highlight w:val="none"/>
          <w:lang w:val="en-US" w:eastAsia="zh-CN"/>
        </w:rPr>
        <w:t>，并将项目绩效目标细化分解为具体的绩效指标，具体情况如下：</w:t>
      </w:r>
    </w:p>
    <w:p>
      <w:pPr>
        <w:pStyle w:val="3"/>
        <w:keepNext/>
        <w:keepLines w:val="0"/>
        <w:pageBreakBefore w:val="0"/>
        <w:kinsoku/>
        <w:wordWrap/>
        <w:overflowPunct/>
        <w:topLinePunct w:val="0"/>
        <w:autoSpaceDE/>
        <w:autoSpaceDN/>
        <w:bidi w:val="0"/>
        <w:adjustRightInd/>
        <w:snapToGrid/>
        <w:spacing w:line="600" w:lineRule="exact"/>
        <w:ind w:left="0" w:leftChars="0" w:firstLine="0" w:firstLineChars="0"/>
        <w:jc w:val="center"/>
        <w:rPr>
          <w:rFonts w:hint="eastAsia"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 xml:space="preserve">表 </w:t>
      </w:r>
      <w:r>
        <w:rPr>
          <w:rFonts w:hint="eastAsia" w:ascii="宋体" w:hAnsi="宋体" w:eastAsia="宋体" w:cs="宋体"/>
          <w:b/>
          <w:bCs/>
          <w:color w:val="auto"/>
          <w:kern w:val="0"/>
          <w:sz w:val="28"/>
          <w:szCs w:val="28"/>
          <w:highlight w:val="none"/>
          <w:u w:color="000000"/>
          <w:lang w:val="en-US" w:eastAsia="zh-CN" w:bidi="ar-SA"/>
        </w:rPr>
        <w:fldChar w:fldCharType="begin"/>
      </w:r>
      <w:r>
        <w:rPr>
          <w:rFonts w:hint="eastAsia" w:ascii="宋体" w:hAnsi="宋体" w:eastAsia="宋体" w:cs="宋体"/>
          <w:b/>
          <w:bCs/>
          <w:color w:val="auto"/>
          <w:kern w:val="0"/>
          <w:sz w:val="28"/>
          <w:szCs w:val="28"/>
          <w:highlight w:val="none"/>
          <w:u w:color="000000"/>
          <w:lang w:val="en-US" w:eastAsia="zh-CN" w:bidi="ar-SA"/>
        </w:rPr>
        <w:instrText xml:space="preserve"> SEQ 表 \* ARABIC </w:instrText>
      </w:r>
      <w:r>
        <w:rPr>
          <w:rFonts w:hint="eastAsia" w:ascii="宋体" w:hAnsi="宋体" w:eastAsia="宋体" w:cs="宋体"/>
          <w:b/>
          <w:bCs/>
          <w:color w:val="auto"/>
          <w:kern w:val="0"/>
          <w:sz w:val="28"/>
          <w:szCs w:val="28"/>
          <w:highlight w:val="none"/>
          <w:u w:color="000000"/>
          <w:lang w:val="en-US" w:eastAsia="zh-CN" w:bidi="ar-SA"/>
        </w:rPr>
        <w:fldChar w:fldCharType="separate"/>
      </w:r>
      <w:r>
        <w:rPr>
          <w:rFonts w:hint="eastAsia" w:ascii="宋体" w:hAnsi="宋体" w:eastAsia="宋体" w:cs="宋体"/>
          <w:b/>
          <w:bCs/>
          <w:color w:val="auto"/>
          <w:kern w:val="0"/>
          <w:sz w:val="28"/>
          <w:szCs w:val="28"/>
          <w:highlight w:val="none"/>
          <w:u w:color="000000"/>
          <w:lang w:val="en-US" w:eastAsia="zh-CN" w:bidi="ar-SA"/>
        </w:rPr>
        <w:t>3</w:t>
      </w:r>
      <w:r>
        <w:rPr>
          <w:rFonts w:hint="eastAsia" w:ascii="宋体" w:hAnsi="宋体" w:eastAsia="宋体" w:cs="宋体"/>
          <w:b/>
          <w:bCs/>
          <w:color w:val="auto"/>
          <w:kern w:val="0"/>
          <w:sz w:val="28"/>
          <w:szCs w:val="28"/>
          <w:highlight w:val="none"/>
          <w:u w:color="000000"/>
          <w:lang w:val="en-US" w:eastAsia="zh-CN" w:bidi="ar-SA"/>
        </w:rPr>
        <w:fldChar w:fldCharType="end"/>
      </w:r>
      <w:r>
        <w:rPr>
          <w:rFonts w:hint="eastAsia" w:ascii="宋体" w:hAnsi="宋体" w:eastAsia="宋体" w:cs="宋体"/>
          <w:b/>
          <w:bCs/>
          <w:color w:val="auto"/>
          <w:kern w:val="0"/>
          <w:sz w:val="28"/>
          <w:szCs w:val="28"/>
          <w:highlight w:val="none"/>
          <w:u w:color="000000"/>
          <w:lang w:val="en-US" w:eastAsia="zh-CN" w:bidi="ar-SA"/>
        </w:rPr>
        <w:t xml:space="preserve"> </w:t>
      </w:r>
      <w:r>
        <w:rPr>
          <w:rFonts w:hint="eastAsia" w:ascii="宋体" w:hAnsi="宋体" w:eastAsia="宋体" w:cs="宋体"/>
          <w:b/>
          <w:bCs/>
          <w:color w:val="auto"/>
          <w:kern w:val="0"/>
          <w:sz w:val="28"/>
          <w:szCs w:val="28"/>
          <w:highlight w:val="none"/>
          <w:u w:color="000000"/>
          <w:lang w:val="en-US" w:eastAsia="zh-CN"/>
        </w:rPr>
        <w:t>DCMM贯标奖补资金</w:t>
      </w:r>
      <w:r>
        <w:rPr>
          <w:rFonts w:hint="eastAsia" w:ascii="宋体" w:hAnsi="宋体" w:eastAsia="宋体" w:cs="宋体"/>
          <w:b/>
          <w:bCs/>
          <w:color w:val="auto"/>
          <w:kern w:val="0"/>
          <w:sz w:val="28"/>
          <w:szCs w:val="28"/>
          <w:highlight w:val="none"/>
          <w:u w:color="000000"/>
          <w:lang w:val="en-US" w:eastAsia="zh-CN" w:bidi="ar-SA"/>
        </w:rPr>
        <w:t>项目绩效目标表</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68"/>
        <w:gridCol w:w="1240"/>
        <w:gridCol w:w="1557"/>
        <w:gridCol w:w="2794"/>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5" w:hRule="atLeast"/>
          <w:tblHeader/>
        </w:trPr>
        <w:tc>
          <w:tcPr>
            <w:tcW w:w="727"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w:t>
            </w:r>
          </w:p>
        </w:tc>
        <w:tc>
          <w:tcPr>
            <w:tcW w:w="711"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893"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1602"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065" w:type="pct"/>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727" w:type="pct"/>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2024年度绩效指标</w:t>
            </w:r>
          </w:p>
        </w:tc>
        <w:tc>
          <w:tcPr>
            <w:tcW w:w="71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成本指标</w:t>
            </w:r>
          </w:p>
        </w:tc>
        <w:tc>
          <w:tcPr>
            <w:tcW w:w="89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经济成本</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单个企业奖补资金</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产出指标</w:t>
            </w:r>
          </w:p>
        </w:tc>
        <w:tc>
          <w:tcPr>
            <w:tcW w:w="893"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DCMM贯标评估企业数量</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4"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893"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省级DCMM试点企业数量</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893"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质量指标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企业通过认证的比例</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893"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奖补企业政策符合度</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89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时效指标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奖补资金发放时间</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≤11月份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效益指标</w:t>
            </w:r>
          </w:p>
        </w:tc>
        <w:tc>
          <w:tcPr>
            <w:tcW w:w="89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经济效益</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全市数字经济核心产业收入</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保持增长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指标</w:t>
            </w:r>
          </w:p>
        </w:tc>
        <w:tc>
          <w:tcPr>
            <w:tcW w:w="89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受奖补企业满意度</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27" w:type="pct"/>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2025年度绩效指标</w:t>
            </w:r>
          </w:p>
        </w:tc>
        <w:tc>
          <w:tcPr>
            <w:tcW w:w="711"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93"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经济成本</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单个DCMM二级及以上贯标认证并纳入省级DCMM试点奖补资金标准</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893"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累计获DCMM二级及以上贯标认证并纳入省级DCMM试点奖补资金</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3"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93"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DCMM贯标评估企业累计数量</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893"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省级DCMM试点企业累计数量</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893" w:type="pct"/>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支持企业政策申报条件符合率</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893"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资金使用合规性</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4"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89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资金支付时间</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≤10月份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27" w:type="pct"/>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9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160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“绿色门槛”制度符合度</w:t>
            </w:r>
          </w:p>
        </w:tc>
        <w:tc>
          <w:tcPr>
            <w:tcW w:w="1065" w:type="pc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bl>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2.</w:t>
      </w:r>
      <w:r>
        <w:rPr>
          <w:rFonts w:hint="eastAsia" w:ascii="仿宋_GB2312" w:hAnsi="仿宋_GB2312" w:eastAsia="仿宋_GB2312" w:cs="仿宋_GB2312"/>
          <w:sz w:val="32"/>
          <w:szCs w:val="40"/>
          <w:highlight w:val="none"/>
        </w:rPr>
        <w:t>生物医药产业奖补</w:t>
      </w:r>
      <w:r>
        <w:rPr>
          <w:rFonts w:hint="eastAsia" w:ascii="仿宋_GB2312" w:hAnsi="仿宋_GB2312" w:eastAsia="仿宋_GB2312" w:cs="仿宋_GB2312"/>
          <w:sz w:val="32"/>
          <w:szCs w:val="40"/>
          <w:highlight w:val="none"/>
          <w:lang w:val="en-US" w:eastAsia="zh-CN"/>
        </w:rPr>
        <w:t>资金</w:t>
      </w:r>
      <w:r>
        <w:rPr>
          <w:rFonts w:hint="eastAsia" w:ascii="仿宋_GB2312" w:hAnsi="仿宋_GB2312" w:eastAsia="仿宋_GB2312" w:cs="仿宋_GB2312"/>
          <w:sz w:val="32"/>
          <w:szCs w:val="40"/>
          <w:highlight w:val="none"/>
        </w:rPr>
        <w:t>项目</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1</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总体目标</w:t>
      </w:r>
    </w:p>
    <w:p>
      <w:pPr>
        <w:spacing w:line="600" w:lineRule="exact"/>
        <w:ind w:firstLine="640" w:firstLineChars="200"/>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eastAsia="zh-CN"/>
        </w:rPr>
        <w:t>通过奖补生物医药产业相关项目，激励企业加大研发投入，加速成果转化进程，从而有力推动我市生物医药产业的高质量发展。</w:t>
      </w:r>
    </w:p>
    <w:p>
      <w:pPr>
        <w:numPr>
          <w:ilvl w:val="0"/>
          <w:numId w:val="0"/>
        </w:num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2</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年度目标</w:t>
      </w:r>
    </w:p>
    <w:p>
      <w:pPr>
        <w:spacing w:line="600" w:lineRule="exact"/>
        <w:ind w:firstLine="640" w:firstLineChars="200"/>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lang w:val="en-US" w:eastAsia="zh-CN"/>
        </w:rPr>
        <w:t>市工信局根据自身发展要求，编制了</w:t>
      </w:r>
      <w:r>
        <w:rPr>
          <w:rFonts w:hint="eastAsia" w:ascii="仿宋_GB2312" w:hAnsi="仿宋_GB2312" w:eastAsia="仿宋_GB2312" w:cs="仿宋_GB2312"/>
          <w:sz w:val="32"/>
          <w:szCs w:val="40"/>
          <w:highlight w:val="none"/>
        </w:rPr>
        <w:t>生物医药产业奖补</w:t>
      </w:r>
      <w:r>
        <w:rPr>
          <w:rFonts w:hint="eastAsia" w:ascii="仿宋_GB2312" w:hAnsi="仿宋_GB2312" w:eastAsia="仿宋_GB2312" w:cs="仿宋_GB2312"/>
          <w:sz w:val="32"/>
          <w:szCs w:val="40"/>
          <w:highlight w:val="none"/>
          <w:lang w:val="en-US" w:eastAsia="zh-CN"/>
        </w:rPr>
        <w:t>资金项目</w:t>
      </w:r>
      <w:r>
        <w:rPr>
          <w:rFonts w:hint="eastAsia" w:ascii="仿宋_GB2312" w:hAnsi="仿宋_GB2312" w:eastAsia="仿宋_GB2312" w:cs="仿宋_GB2312"/>
          <w:sz w:val="32"/>
          <w:szCs w:val="40"/>
          <w:highlight w:val="none"/>
          <w:lang w:val="en-US"/>
        </w:rPr>
        <w:t>的绩效目标</w:t>
      </w:r>
      <w:r>
        <w:rPr>
          <w:rFonts w:hint="eastAsia" w:ascii="仿宋_GB2312" w:hAnsi="仿宋_GB2312" w:eastAsia="仿宋_GB2312" w:cs="仿宋_GB2312"/>
          <w:sz w:val="32"/>
          <w:szCs w:val="40"/>
          <w:highlight w:val="none"/>
          <w:lang w:val="en-US" w:eastAsia="zh-CN"/>
        </w:rPr>
        <w:t>，并将项目绩效目标细化分解为具体的绩效指标，具体情况如下：</w:t>
      </w:r>
    </w:p>
    <w:p>
      <w:pPr>
        <w:pStyle w:val="3"/>
        <w:spacing w:line="600" w:lineRule="exact"/>
        <w:ind w:left="0" w:leftChars="0" w:firstLine="0" w:firstLineChars="0"/>
        <w:jc w:val="center"/>
        <w:rPr>
          <w:rFonts w:hint="eastAsia"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 xml:space="preserve">表 </w:t>
      </w:r>
      <w:r>
        <w:rPr>
          <w:rFonts w:hint="eastAsia" w:ascii="宋体" w:hAnsi="宋体" w:eastAsia="宋体" w:cs="宋体"/>
          <w:b/>
          <w:bCs/>
          <w:color w:val="auto"/>
          <w:kern w:val="0"/>
          <w:sz w:val="28"/>
          <w:szCs w:val="28"/>
          <w:highlight w:val="none"/>
          <w:u w:color="000000"/>
          <w:lang w:val="en-US" w:eastAsia="zh-CN" w:bidi="ar-SA"/>
        </w:rPr>
        <w:fldChar w:fldCharType="begin"/>
      </w:r>
      <w:r>
        <w:rPr>
          <w:rFonts w:hint="eastAsia" w:ascii="宋体" w:hAnsi="宋体" w:eastAsia="宋体" w:cs="宋体"/>
          <w:b/>
          <w:bCs/>
          <w:color w:val="auto"/>
          <w:kern w:val="0"/>
          <w:sz w:val="28"/>
          <w:szCs w:val="28"/>
          <w:highlight w:val="none"/>
          <w:u w:color="000000"/>
          <w:lang w:val="en-US" w:eastAsia="zh-CN" w:bidi="ar-SA"/>
        </w:rPr>
        <w:instrText xml:space="preserve"> SEQ 表 \* ARABIC </w:instrText>
      </w:r>
      <w:r>
        <w:rPr>
          <w:rFonts w:hint="eastAsia" w:ascii="宋体" w:hAnsi="宋体" w:eastAsia="宋体" w:cs="宋体"/>
          <w:b/>
          <w:bCs/>
          <w:color w:val="auto"/>
          <w:kern w:val="0"/>
          <w:sz w:val="28"/>
          <w:szCs w:val="28"/>
          <w:highlight w:val="none"/>
          <w:u w:color="000000"/>
          <w:lang w:val="en-US" w:eastAsia="zh-CN" w:bidi="ar-SA"/>
        </w:rPr>
        <w:fldChar w:fldCharType="separate"/>
      </w:r>
      <w:r>
        <w:rPr>
          <w:rFonts w:hint="eastAsia" w:ascii="宋体" w:hAnsi="宋体" w:eastAsia="宋体" w:cs="宋体"/>
          <w:b/>
          <w:bCs/>
          <w:color w:val="auto"/>
          <w:kern w:val="0"/>
          <w:sz w:val="28"/>
          <w:szCs w:val="28"/>
          <w:highlight w:val="none"/>
          <w:u w:color="000000"/>
          <w:lang w:val="en-US" w:eastAsia="zh-CN" w:bidi="ar-SA"/>
        </w:rPr>
        <w:t>4</w:t>
      </w:r>
      <w:r>
        <w:rPr>
          <w:rFonts w:hint="eastAsia" w:ascii="宋体" w:hAnsi="宋体" w:eastAsia="宋体" w:cs="宋体"/>
          <w:b/>
          <w:bCs/>
          <w:color w:val="auto"/>
          <w:kern w:val="0"/>
          <w:sz w:val="28"/>
          <w:szCs w:val="28"/>
          <w:highlight w:val="none"/>
          <w:u w:color="000000"/>
          <w:lang w:val="en-US" w:eastAsia="zh-CN" w:bidi="ar-SA"/>
        </w:rPr>
        <w:fldChar w:fldCharType="end"/>
      </w:r>
      <w:r>
        <w:rPr>
          <w:rFonts w:hint="eastAsia" w:ascii="宋体" w:hAnsi="宋体" w:eastAsia="宋体" w:cs="宋体"/>
          <w:b/>
          <w:bCs/>
          <w:color w:val="auto"/>
          <w:kern w:val="0"/>
          <w:sz w:val="28"/>
          <w:szCs w:val="28"/>
          <w:highlight w:val="none"/>
          <w:u w:color="000000"/>
          <w:lang w:val="en-US" w:eastAsia="zh-CN" w:bidi="ar-SA"/>
        </w:rPr>
        <w:t xml:space="preserve"> </w:t>
      </w:r>
      <w:r>
        <w:rPr>
          <w:rFonts w:hint="eastAsia" w:ascii="宋体" w:hAnsi="宋体" w:eastAsia="宋体" w:cs="宋体"/>
          <w:b/>
          <w:bCs/>
          <w:color w:val="auto"/>
          <w:kern w:val="0"/>
          <w:sz w:val="28"/>
          <w:szCs w:val="28"/>
          <w:highlight w:val="none"/>
          <w:u w:color="000000"/>
        </w:rPr>
        <w:t>生物医药产业奖补</w:t>
      </w:r>
      <w:r>
        <w:rPr>
          <w:rFonts w:hint="eastAsia" w:ascii="宋体" w:hAnsi="宋体" w:eastAsia="宋体" w:cs="宋体"/>
          <w:b/>
          <w:bCs/>
          <w:color w:val="auto"/>
          <w:kern w:val="0"/>
          <w:sz w:val="28"/>
          <w:szCs w:val="28"/>
          <w:highlight w:val="none"/>
          <w:u w:color="000000"/>
          <w:lang w:val="en-US" w:eastAsia="zh-CN"/>
        </w:rPr>
        <w:t>资金</w:t>
      </w:r>
      <w:r>
        <w:rPr>
          <w:rFonts w:hint="eastAsia" w:ascii="宋体" w:hAnsi="宋体" w:eastAsia="宋体" w:cs="宋体"/>
          <w:b/>
          <w:bCs/>
          <w:color w:val="auto"/>
          <w:kern w:val="0"/>
          <w:sz w:val="28"/>
          <w:szCs w:val="28"/>
          <w:highlight w:val="none"/>
          <w:u w:color="000000"/>
          <w:lang w:val="en-US" w:eastAsia="zh-CN" w:bidi="ar-SA"/>
        </w:rPr>
        <w:t>项目绩效目标表</w:t>
      </w:r>
    </w:p>
    <w:tbl>
      <w:tblPr>
        <w:tblStyle w:val="12"/>
        <w:tblW w:w="4916" w:type="pct"/>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3"/>
        <w:gridCol w:w="1228"/>
        <w:gridCol w:w="1549"/>
        <w:gridCol w:w="2680"/>
        <w:gridCol w:w="2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blHeader/>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年度</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2024年度绩效指标</w:t>
            </w:r>
          </w:p>
        </w:tc>
        <w:tc>
          <w:tcPr>
            <w:tcW w:w="7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经济成本指标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生物医药产业高质量发展支持奖补金额</w:t>
            </w:r>
          </w:p>
        </w:tc>
        <w:tc>
          <w:tcPr>
            <w:tcW w:w="1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仿制药质量和疗效一致性评价奖补金额</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海洋经济高质量发展海洋药物及生物制品产业发展支持奖补金额</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海洋经济高质量发展海洋药物及生物制品产业发展支持项目</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仿制药质量和疗效一致性评价奖补项目</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生物医药产业高质量发展支持项目</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高质量发展达标率</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企业政策符合度</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奖补资金发放时间</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≤10月份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9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政策知晓度</w:t>
            </w:r>
          </w:p>
        </w:tc>
        <w:tc>
          <w:tcPr>
            <w:tcW w:w="13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受奖励企业满意度</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2025年度绩效指标</w:t>
            </w:r>
          </w:p>
        </w:tc>
        <w:tc>
          <w:tcPr>
            <w:tcW w:w="7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成本指标</w:t>
            </w:r>
          </w:p>
        </w:tc>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经济成本指标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生物医药产业高质量发展支持奖补金额</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≤2625.5万元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仿制药质量和疗效一致性评价奖补金额</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0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产出指标</w:t>
            </w:r>
          </w:p>
        </w:tc>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生物医药产业高质量发展支持项目数量</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仿制药质量和疗效一致性评价奖补项目数量</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9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质量指标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企业政策符合度</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企业“绿色门槛”符合度</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3"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kern w:val="0"/>
                <w:sz w:val="24"/>
                <w:szCs w:val="24"/>
                <w:u w:val="none"/>
                <w:lang w:val="en-US" w:eastAsia="zh-CN" w:bidi="ar"/>
              </w:rPr>
            </w:pP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时效指标</w:t>
            </w:r>
          </w:p>
        </w:tc>
        <w:tc>
          <w:tcPr>
            <w:tcW w:w="1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项目评审时间</w:t>
            </w:r>
          </w:p>
        </w:tc>
        <w:tc>
          <w:tcPr>
            <w:tcW w:w="13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≤2个月</w:t>
            </w:r>
          </w:p>
        </w:tc>
      </w:tr>
    </w:tbl>
    <w:p>
      <w:pPr>
        <w:spacing w:line="600" w:lineRule="exact"/>
        <w:ind w:firstLine="640" w:firstLineChars="200"/>
        <w:outlineLvl w:val="0"/>
        <w:rPr>
          <w:rFonts w:hint="eastAsia" w:ascii="黑体" w:hAnsi="黑体" w:eastAsia="黑体" w:cs="黑体"/>
          <w:sz w:val="32"/>
          <w:szCs w:val="40"/>
          <w:highlight w:val="none"/>
        </w:rPr>
      </w:pPr>
      <w:bookmarkStart w:id="3" w:name="_Toc1321"/>
      <w:r>
        <w:rPr>
          <w:rFonts w:hint="eastAsia" w:ascii="黑体" w:hAnsi="黑体" w:eastAsia="黑体" w:cs="黑体"/>
          <w:sz w:val="32"/>
          <w:szCs w:val="40"/>
          <w:highlight w:val="none"/>
        </w:rPr>
        <w:t>二、绩效评价工作开展情况</w:t>
      </w:r>
      <w:bookmarkEnd w:id="3"/>
    </w:p>
    <w:p>
      <w:pPr>
        <w:spacing w:line="600" w:lineRule="exact"/>
        <w:ind w:firstLine="640" w:firstLineChars="200"/>
        <w:outlineLvl w:val="1"/>
        <w:rPr>
          <w:rFonts w:hint="eastAsia" w:ascii="楷体_GB2312" w:hAnsi="楷体_GB2312" w:eastAsia="楷体_GB2312" w:cs="楷体_GB2312"/>
          <w:sz w:val="32"/>
          <w:szCs w:val="40"/>
          <w:highlight w:val="none"/>
        </w:rPr>
      </w:pPr>
      <w:bookmarkStart w:id="4" w:name="_Toc25397"/>
      <w:r>
        <w:rPr>
          <w:rFonts w:hint="eastAsia" w:ascii="楷体_GB2312" w:hAnsi="楷体_GB2312" w:eastAsia="楷体_GB2312" w:cs="楷体_GB2312"/>
          <w:sz w:val="32"/>
          <w:szCs w:val="40"/>
          <w:highlight w:val="none"/>
        </w:rPr>
        <w:t>（一）评价目的、评价对象和范围</w:t>
      </w:r>
      <w:bookmarkEnd w:id="4"/>
    </w:p>
    <w:p>
      <w:pPr>
        <w:keepNext w:val="0"/>
        <w:keepLines w:val="0"/>
        <w:pageBreakBefore w:val="0"/>
        <w:widowControl/>
        <w:suppressLineNumbers w:val="0"/>
        <w:shd w:val="clear"/>
        <w:kinsoku/>
        <w:wordWrap/>
        <w:overflowPunct/>
        <w:topLinePunct w:val="0"/>
        <w:autoSpaceDN/>
        <w:bidi w:val="0"/>
        <w:adjustRightInd/>
        <w:snapToGrid/>
        <w:spacing w:beforeAutospacing="0" w:afterAutospacing="0" w:line="600" w:lineRule="exact"/>
        <w:ind w:left="0" w:right="0" w:firstLine="640" w:firstLineChars="200"/>
        <w:jc w:val="both"/>
        <w:textAlignment w:val="baseline"/>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1.评价目的</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600" w:lineRule="exact"/>
        <w:ind w:left="0" w:right="0" w:firstLine="640" w:firstLineChars="200"/>
        <w:jc w:val="both"/>
        <w:textAlignment w:val="auto"/>
        <w:rPr>
          <w:rFonts w:hint="default" w:ascii="仿宋_GB2312" w:hAnsi="仿宋_GB2312" w:eastAsia="仿宋_GB2312" w:cs="仿宋_GB2312"/>
          <w:snapToGrid w:val="0"/>
          <w:color w:val="auto"/>
          <w:spacing w:val="0"/>
          <w:kern w:val="0"/>
          <w:position w:val="0"/>
          <w:sz w:val="32"/>
          <w:szCs w:val="32"/>
          <w:highlight w:val="none"/>
          <w:lang w:val="en-US" w:eastAsia="zh-CN" w:bidi="ar-SA"/>
        </w:rPr>
      </w:pP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 w:bidi="ar"/>
        </w:rPr>
        <w:t>通过</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开展</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 w:bidi="ar"/>
        </w:rPr>
        <w:t>绩效评价，</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了解</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DCMM贯标、</w:t>
      </w:r>
      <w:r>
        <w:rPr>
          <w:rFonts w:hint="eastAsia" w:ascii="仿宋_GB2312" w:hAnsi="仿宋_GB2312" w:eastAsia="仿宋_GB2312" w:cs="仿宋_GB2312"/>
          <w:sz w:val="32"/>
          <w:szCs w:val="40"/>
          <w:highlight w:val="none"/>
        </w:rPr>
        <w:t>生物医药产业奖补</w:t>
      </w:r>
      <w:r>
        <w:rPr>
          <w:rFonts w:hint="eastAsia" w:ascii="仿宋_GB2312" w:hAnsi="仿宋_GB2312" w:eastAsia="仿宋_GB2312" w:cs="仿宋_GB2312"/>
          <w:sz w:val="32"/>
          <w:szCs w:val="40"/>
          <w:highlight w:val="none"/>
          <w:lang w:val="en-US" w:eastAsia="zh-CN"/>
        </w:rPr>
        <w:t>资金</w:t>
      </w:r>
      <w:r>
        <w:rPr>
          <w:rFonts w:hint="eastAsia" w:ascii="仿宋_GB2312" w:hAnsi="仿宋_GB2312" w:eastAsia="仿宋_GB2312" w:cs="仿宋_GB2312"/>
          <w:sz w:val="32"/>
          <w:szCs w:val="40"/>
          <w:highlight w:val="none"/>
        </w:rPr>
        <w:t>项目</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的落实情况。</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在全面梳理</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政策</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设计</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合理性、政策实施</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规范</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性</w:t>
      </w:r>
      <w:r>
        <w:rPr>
          <w:rFonts w:hint="eastAsia" w:ascii="仿宋_GB2312" w:hAnsi="仿宋_GB2312" w:eastAsia="仿宋_GB2312" w:cs="仿宋_GB2312"/>
          <w:snapToGrid w:val="0"/>
          <w:color w:val="auto"/>
          <w:spacing w:val="0"/>
          <w:kern w:val="0"/>
          <w:position w:val="0"/>
          <w:sz w:val="32"/>
          <w:szCs w:val="32"/>
          <w:highlight w:val="none"/>
          <w:lang w:val="en-US" w:eastAsia="zh" w:bidi="ar-SA"/>
        </w:rPr>
        <w:t>、</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政策效果有效性的基础上，</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重点</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分析DCMM贯标、生物医药产业奖补措施是否科学合理、申报流程是否规范严谨、奖补资金是否及时发放、政策带动效果是否显著有效等，</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找出存在的问题</w:t>
      </w:r>
      <w:r>
        <w:rPr>
          <w:rFonts w:hint="eastAsia" w:ascii="仿宋_GB2312" w:hAnsi="仿宋_GB2312" w:eastAsia="仿宋_GB2312" w:cs="仿宋_GB2312"/>
          <w:snapToGrid w:val="0"/>
          <w:color w:val="auto"/>
          <w:spacing w:val="0"/>
          <w:kern w:val="0"/>
          <w:position w:val="0"/>
          <w:sz w:val="32"/>
          <w:szCs w:val="32"/>
          <w:highlight w:val="none"/>
          <w:lang w:val="en-US" w:eastAsia="zh-CN" w:bidi="ar-SA"/>
        </w:rPr>
        <w:t>并分析</w:t>
      </w:r>
      <w:r>
        <w:rPr>
          <w:rFonts w:hint="default" w:ascii="仿宋_GB2312" w:hAnsi="仿宋_GB2312" w:eastAsia="仿宋_GB2312" w:cs="仿宋_GB2312"/>
          <w:snapToGrid w:val="0"/>
          <w:color w:val="auto"/>
          <w:spacing w:val="0"/>
          <w:kern w:val="0"/>
          <w:position w:val="0"/>
          <w:sz w:val="32"/>
          <w:szCs w:val="32"/>
          <w:highlight w:val="none"/>
          <w:lang w:val="en-US" w:eastAsia="zh-CN" w:bidi="ar-SA"/>
        </w:rPr>
        <w:t>原因。</w:t>
      </w:r>
    </w:p>
    <w:p>
      <w:pPr>
        <w:keepNext w:val="0"/>
        <w:keepLines w:val="0"/>
        <w:pageBreakBefore w:val="0"/>
        <w:widowControl/>
        <w:suppressLineNumbers w:val="0"/>
        <w:shd w:val="clear"/>
        <w:kinsoku/>
        <w:wordWrap/>
        <w:overflowPunct/>
        <w:topLinePunct w:val="0"/>
        <w:autoSpaceDN/>
        <w:bidi w:val="0"/>
        <w:adjustRightInd/>
        <w:snapToGrid/>
        <w:spacing w:beforeAutospacing="0" w:afterAutospacing="0" w:line="600" w:lineRule="exact"/>
        <w:ind w:left="0" w:right="0" w:firstLine="640" w:firstLineChars="200"/>
        <w:jc w:val="both"/>
        <w:textAlignment w:val="baseline"/>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2.评价对象</w:t>
      </w:r>
    </w:p>
    <w:p>
      <w:pPr>
        <w:spacing w:line="600" w:lineRule="exact"/>
        <w:ind w:firstLine="640" w:firstLineChars="200"/>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u w:val="none"/>
          <w:lang w:val="en-US" w:eastAsia="zh-CN" w:bidi="ar"/>
        </w:rPr>
        <w:t>评</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价对象为2024年度及2025年度青岛市支持新兴产业发展资金，共涉及奖补资金5178.9万元。其中包括DCMM贯标奖补资金1410万元以及</w:t>
      </w:r>
      <w:r>
        <w:rPr>
          <w:rFonts w:hint="eastAsia" w:ascii="仿宋_GB2312" w:hAnsi="仿宋_GB2312" w:eastAsia="仿宋_GB2312" w:cs="仿宋_GB2312"/>
          <w:sz w:val="32"/>
          <w:szCs w:val="40"/>
          <w:highlight w:val="none"/>
          <w:lang w:val="en-US" w:eastAsia="zh-CN"/>
        </w:rPr>
        <w:t>生物医药产业奖补资金</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3768.9万元。</w:t>
      </w:r>
    </w:p>
    <w:p>
      <w:pPr>
        <w:spacing w:line="600" w:lineRule="exact"/>
        <w:ind w:firstLine="640" w:firstLineChars="200"/>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3.评价范围</w:t>
      </w:r>
    </w:p>
    <w:p>
      <w:pPr>
        <w:widowControl/>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i w:val="0"/>
          <w:iCs w:val="0"/>
          <w:caps w:val="0"/>
          <w:color w:val="000000"/>
          <w:spacing w:val="0"/>
          <w:kern w:val="0"/>
          <w:sz w:val="32"/>
          <w:szCs w:val="32"/>
          <w:highlight w:val="none"/>
          <w:u w:val="none"/>
          <w:lang w:val="en-US" w:eastAsia="zh-CN" w:bidi="ar"/>
        </w:rPr>
        <w:t>本次绩效评价的</w:t>
      </w:r>
      <w:r>
        <w:rPr>
          <w:rFonts w:hint="eastAsia" w:ascii="仿宋_GB2312" w:hAnsi="仿宋_GB2312" w:eastAsia="仿宋_GB2312" w:cs="仿宋_GB2312"/>
          <w:b w:val="0"/>
          <w:bCs w:val="0"/>
          <w:i w:val="0"/>
          <w:iCs w:val="0"/>
          <w:caps w:val="0"/>
          <w:color w:val="000000"/>
          <w:spacing w:val="0"/>
          <w:kern w:val="0"/>
          <w:sz w:val="32"/>
          <w:szCs w:val="32"/>
          <w:highlight w:val="none"/>
          <w:u w:val="none"/>
          <w:lang w:val="en-US" w:eastAsia="zh-CN" w:bidi="ar"/>
        </w:rPr>
        <w:t>范围涵盖在2024年度及2025年度</w:t>
      </w:r>
      <w:r>
        <w:rPr>
          <w:rFonts w:hint="eastAsia" w:ascii="仿宋_GB2312" w:hAnsi="仿宋_GB2312" w:eastAsia="仿宋_GB2312" w:cs="仿宋_GB2312"/>
          <w:sz w:val="32"/>
          <w:szCs w:val="40"/>
          <w:highlight w:val="none"/>
          <w:lang w:val="en-US" w:eastAsia="zh-CN"/>
        </w:rPr>
        <w:t>所有获得奖补的受奖补企业</w:t>
      </w:r>
      <w:r>
        <w:rPr>
          <w:rFonts w:hint="eastAsia" w:ascii="仿宋_GB2312" w:hAnsi="仿宋_GB2312" w:eastAsia="仿宋_GB2312" w:cs="仿宋_GB2312"/>
          <w:strike w:val="0"/>
          <w:sz w:val="32"/>
          <w:szCs w:val="40"/>
          <w:highlight w:val="none"/>
          <w:lang w:val="en-US" w:eastAsia="zh-CN"/>
        </w:rPr>
        <w:t>。其中，DCMM贯标奖补资金项目的评价范围为141家企业，</w:t>
      </w:r>
      <w:r>
        <w:rPr>
          <w:rFonts w:hint="eastAsia" w:ascii="仿宋_GB2312" w:hAnsi="仿宋_GB2312" w:eastAsia="仿宋_GB2312" w:cs="仿宋_GB2312"/>
          <w:sz w:val="32"/>
          <w:szCs w:val="40"/>
          <w:highlight w:val="none"/>
          <w:lang w:val="en-US" w:eastAsia="zh-CN"/>
        </w:rPr>
        <w:t>覆盖青岛市10个区（市）；</w:t>
      </w:r>
      <w:r>
        <w:rPr>
          <w:rFonts w:hint="eastAsia" w:ascii="仿宋_GB2312" w:hAnsi="仿宋_GB2312" w:eastAsia="仿宋_GB2312" w:cs="仿宋_GB2312"/>
          <w:strike w:val="0"/>
          <w:sz w:val="32"/>
          <w:szCs w:val="40"/>
          <w:highlight w:val="none"/>
          <w:lang w:val="en-US" w:eastAsia="zh-CN"/>
        </w:rPr>
        <w:t>生物医药奖补资金</w:t>
      </w:r>
      <w:r>
        <w:rPr>
          <w:rFonts w:hint="eastAsia" w:ascii="仿宋_GB2312" w:hAnsi="仿宋_GB2312" w:eastAsia="仿宋_GB2312" w:cs="仿宋_GB2312"/>
          <w:strike w:val="0"/>
          <w:color w:val="000000"/>
          <w:kern w:val="0"/>
          <w:sz w:val="32"/>
          <w:szCs w:val="32"/>
          <w:highlight w:val="none"/>
          <w:u w:val="none"/>
          <w:lang w:val="en-US" w:eastAsia="zh-CN" w:bidi="ar"/>
        </w:rPr>
        <w:t>项目的评价范围为23家企</w:t>
      </w:r>
      <w:r>
        <w:rPr>
          <w:rFonts w:hint="eastAsia" w:ascii="仿宋_GB2312" w:hAnsi="仿宋_GB2312" w:eastAsia="仿宋_GB2312" w:cs="仿宋_GB2312"/>
          <w:strike w:val="0"/>
          <w:sz w:val="32"/>
          <w:szCs w:val="40"/>
          <w:highlight w:val="none"/>
          <w:lang w:val="en-US" w:eastAsia="zh-CN" w:bidi="ar"/>
        </w:rPr>
        <w:t>业，</w:t>
      </w:r>
      <w:r>
        <w:rPr>
          <w:rFonts w:hint="eastAsia" w:ascii="仿宋_GB2312" w:hAnsi="仿宋_GB2312" w:eastAsia="仿宋_GB2312" w:cs="仿宋_GB2312"/>
          <w:sz w:val="32"/>
          <w:szCs w:val="40"/>
          <w:highlight w:val="none"/>
          <w:lang w:val="en-US" w:eastAsia="zh-CN" w:bidi="ar"/>
        </w:rPr>
        <w:t>覆盖青岛市6个区（市）。</w:t>
      </w:r>
    </w:p>
    <w:p>
      <w:pPr>
        <w:spacing w:line="600" w:lineRule="exact"/>
        <w:ind w:firstLine="640" w:firstLineChars="200"/>
        <w:outlineLvl w:val="1"/>
        <w:rPr>
          <w:rFonts w:hint="eastAsia" w:ascii="楷体_GB2312" w:hAnsi="楷体_GB2312" w:eastAsia="楷体_GB2312" w:cs="楷体_GB2312"/>
          <w:sz w:val="32"/>
          <w:szCs w:val="40"/>
          <w:highlight w:val="none"/>
        </w:rPr>
      </w:pPr>
      <w:bookmarkStart w:id="5" w:name="_Toc11122"/>
      <w:r>
        <w:rPr>
          <w:rFonts w:hint="eastAsia" w:ascii="楷体_GB2312" w:hAnsi="楷体_GB2312" w:eastAsia="楷体_GB2312" w:cs="楷体_GB2312"/>
          <w:sz w:val="32"/>
          <w:szCs w:val="40"/>
          <w:highlight w:val="none"/>
        </w:rPr>
        <w:t>（二）评价思路、评价重点、评价指标体系和评价标准</w:t>
      </w:r>
      <w:bookmarkEnd w:id="5"/>
    </w:p>
    <w:p>
      <w:pPr>
        <w:spacing w:line="600" w:lineRule="exact"/>
        <w:ind w:firstLine="640" w:firstLineChars="200"/>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1.评价思路</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hAnsi="宋体" w:cs="仿宋_GB2312"/>
          <w:b w:val="0"/>
          <w:bCs w:val="0"/>
          <w:color w:val="000000"/>
          <w:kern w:val="0"/>
          <w:sz w:val="32"/>
          <w:szCs w:val="32"/>
          <w:highlight w:val="none"/>
          <w:lang w:val="en-US" w:eastAsia="zh-CN" w:bidi="ar"/>
        </w:rPr>
      </w:pPr>
      <w:r>
        <w:rPr>
          <w:rFonts w:hint="eastAsia" w:ascii="仿宋_GB2312" w:hAnsi="仿宋_GB2312" w:eastAsia="仿宋_GB2312" w:cs="仿宋_GB2312"/>
          <w:sz w:val="32"/>
          <w:szCs w:val="40"/>
          <w:highlight w:val="none"/>
          <w:lang w:val="en-US" w:eastAsia="zh-CN"/>
        </w:rPr>
        <w:t>本次评价遵循“科学规范、绩效相关、公开透明、</w:t>
      </w:r>
      <w:r>
        <w:rPr>
          <w:rFonts w:hint="default" w:ascii="仿宋_GB2312" w:hAnsi="仿宋_GB2312" w:eastAsia="仿宋_GB2312" w:cs="仿宋_GB2312"/>
          <w:sz w:val="32"/>
          <w:szCs w:val="40"/>
          <w:highlight w:val="none"/>
          <w:lang w:val="en-US" w:eastAsia="zh-CN"/>
        </w:rPr>
        <w:t>独立评价</w:t>
      </w:r>
      <w:r>
        <w:rPr>
          <w:rFonts w:hint="eastAsia" w:ascii="仿宋_GB2312" w:hAnsi="仿宋_GB2312" w:eastAsia="仿宋_GB2312" w:cs="仿宋_GB2312"/>
          <w:sz w:val="32"/>
          <w:szCs w:val="40"/>
          <w:highlight w:val="none"/>
          <w:lang w:val="en-US" w:eastAsia="zh-CN"/>
        </w:rPr>
        <w:t>”的原则，并结合项目特点，从项目整体实施情况、申报项目管理、项目效益三个核心维度展开系统分析评价。</w:t>
      </w: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sz w:val="32"/>
          <w:szCs w:val="40"/>
          <w:highlight w:val="none"/>
          <w:lang w:val="en-US" w:eastAsia="zh-CN"/>
        </w:rPr>
        <w:t>项目整体实施情况。对青岛市支持新兴产业发展资金项目进行整体评价与分析，通过与其他省份同类项目进行横向对比，系统梳理可借鉴的优秀经验与先进做法，找出青岛市支持新兴产业发展资金项目可能存在的短板与不足，并提出优化改进意见建议</w:t>
      </w: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sz w:val="32"/>
          <w:szCs w:val="40"/>
          <w:highlight w:val="none"/>
          <w:lang w:val="en-US" w:eastAsia="zh-CN"/>
        </w:rPr>
        <w:t>申报项目管理。聚焦2024年度和2025年度申报的项目，对其申报全流程资料进行复核，重点汇总主管部门在区（市）初审、市级复审、社会公示等关键环节中的问题与不足，推动项目申报流程的规范化、精细化提升。</w:t>
      </w:r>
      <w:r>
        <w:rPr>
          <w:rFonts w:hint="eastAsia" w:ascii="仿宋_GB2312" w:hAnsi="仿宋_GB2312" w:eastAsia="仿宋_GB2312" w:cs="仿宋_GB2312"/>
          <w:b/>
          <w:bCs/>
          <w:sz w:val="32"/>
          <w:szCs w:val="40"/>
          <w:highlight w:val="none"/>
          <w:lang w:val="en-US" w:eastAsia="zh-CN"/>
        </w:rPr>
        <w:t>三是</w:t>
      </w:r>
      <w:r>
        <w:rPr>
          <w:rFonts w:hint="eastAsia" w:ascii="仿宋_GB2312" w:hAnsi="仿宋_GB2312" w:eastAsia="仿宋_GB2312" w:cs="仿宋_GB2312"/>
          <w:sz w:val="32"/>
          <w:szCs w:val="40"/>
          <w:highlight w:val="none"/>
          <w:lang w:val="en-US" w:eastAsia="zh-CN"/>
        </w:rPr>
        <w:t>总结项目效益。梳理项目档案资料，分析成果所产生的经济效益和社会效益，最终汇总形成项目年度整体实施情况与评价评分，为后续项目管理提供支撑。</w:t>
      </w:r>
    </w:p>
    <w:p>
      <w:pPr>
        <w:spacing w:line="600" w:lineRule="exact"/>
        <w:ind w:firstLine="640" w:firstLineChars="200"/>
        <w:rPr>
          <w:rFonts w:hint="eastAsia" w:ascii="仿宋_GB2312" w:hAnsi="仿宋_GB2312" w:eastAsia="仿宋_GB2312" w:cs="仿宋_GB2312"/>
          <w:color w:val="0000FF"/>
          <w:sz w:val="32"/>
          <w:szCs w:val="40"/>
          <w:highlight w:val="none"/>
        </w:rPr>
      </w:pPr>
      <w:r>
        <w:rPr>
          <w:rFonts w:hint="eastAsia" w:ascii="仿宋_GB2312" w:hAnsi="仿宋_GB2312" w:eastAsia="仿宋_GB2312" w:cs="仿宋_GB2312"/>
          <w:sz w:val="32"/>
          <w:szCs w:val="40"/>
          <w:highlight w:val="none"/>
        </w:rPr>
        <w:t>2.评价重点</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综合青岛市支持新兴产业发展资金项目的实施情况，重点关注资金管理是否合理、申报过程是否合规、项目绩效产出是否有实际成效。</w:t>
      </w:r>
    </w:p>
    <w:p>
      <w:pPr>
        <w:spacing w:line="600" w:lineRule="exact"/>
        <w:ind w:firstLine="640" w:firstLineChars="200"/>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3.评价指标体系</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default" w:ascii="仿宋_GB2312" w:hAnsi="仿宋_GB2312" w:eastAsia="仿宋_GB2312" w:cs="仿宋_GB2312"/>
          <w:sz w:val="32"/>
          <w:szCs w:val="40"/>
          <w:highlight w:val="none"/>
          <w:lang w:val="en-US" w:eastAsia="zh-CN"/>
        </w:rPr>
        <w:t>为客观公正地反映</w:t>
      </w:r>
      <w:r>
        <w:rPr>
          <w:rFonts w:hint="eastAsia" w:ascii="仿宋_GB2312" w:hAnsi="仿宋_GB2312" w:eastAsia="仿宋_GB2312" w:cs="仿宋_GB2312"/>
          <w:sz w:val="32"/>
          <w:szCs w:val="40"/>
          <w:highlight w:val="none"/>
          <w:lang w:val="en-US" w:eastAsia="zh-CN"/>
        </w:rPr>
        <w:t>支持新兴产业发展资金项目的实施效果</w:t>
      </w:r>
      <w:r>
        <w:rPr>
          <w:rFonts w:hint="default" w:ascii="仿宋_GB2312" w:hAnsi="仿宋_GB2312" w:eastAsia="仿宋_GB2312" w:cs="仿宋_GB2312"/>
          <w:sz w:val="32"/>
          <w:szCs w:val="40"/>
          <w:highlight w:val="none"/>
          <w:lang w:val="en-US" w:eastAsia="zh-CN"/>
        </w:rPr>
        <w:t>，</w:t>
      </w:r>
      <w:r>
        <w:rPr>
          <w:rFonts w:hint="eastAsia" w:ascii="仿宋_GB2312" w:hAnsi="仿宋_GB2312" w:eastAsia="仿宋_GB2312" w:cs="仿宋_GB2312"/>
          <w:sz w:val="32"/>
          <w:szCs w:val="40"/>
          <w:highlight w:val="none"/>
          <w:lang w:val="en-US" w:eastAsia="zh-CN"/>
        </w:rPr>
        <w:t>评价工作组根据《青岛市财政局关于印发〈青岛市市级项目支出绩效财政评价和部门评价工作规程〉的通知》（青财绩〔2025〕6号）要求，聚焦核心指标设置指标体系，构建“3+X”核心绩效评价指标框架（预算执行率、资金使用合规性、制度执行有效性3项共性指标+产出、效益类差异化个性指标），</w:t>
      </w:r>
      <w:r>
        <w:rPr>
          <w:rFonts w:hint="default" w:ascii="仿宋_GB2312" w:hAnsi="仿宋_GB2312" w:eastAsia="仿宋_GB2312" w:cs="仿宋_GB2312"/>
          <w:sz w:val="32"/>
          <w:szCs w:val="40"/>
          <w:highlight w:val="none"/>
          <w:lang w:val="en-US" w:eastAsia="zh-CN"/>
        </w:rPr>
        <w:t>总分值设定为100分。从</w:t>
      </w:r>
      <w:r>
        <w:rPr>
          <w:rFonts w:hint="eastAsia" w:ascii="仿宋_GB2312" w:hAnsi="仿宋_GB2312" w:eastAsia="仿宋_GB2312" w:cs="仿宋_GB2312"/>
          <w:sz w:val="32"/>
          <w:szCs w:val="40"/>
          <w:highlight w:val="none"/>
          <w:lang w:val="en-US" w:eastAsia="zh-CN"/>
        </w:rPr>
        <w:t>过程</w:t>
      </w:r>
      <w:r>
        <w:rPr>
          <w:rFonts w:hint="default" w:ascii="仿宋_GB2312" w:hAnsi="仿宋_GB2312" w:eastAsia="仿宋_GB2312" w:cs="仿宋_GB2312"/>
          <w:sz w:val="32"/>
          <w:szCs w:val="40"/>
          <w:highlight w:val="none"/>
          <w:lang w:val="en-US" w:eastAsia="zh-CN"/>
        </w:rPr>
        <w:t>、</w:t>
      </w:r>
      <w:r>
        <w:rPr>
          <w:rFonts w:hint="eastAsia" w:ascii="仿宋_GB2312" w:hAnsi="仿宋_GB2312" w:eastAsia="仿宋_GB2312" w:cs="仿宋_GB2312"/>
          <w:sz w:val="32"/>
          <w:szCs w:val="40"/>
          <w:highlight w:val="none"/>
          <w:lang w:val="en-US" w:eastAsia="zh-CN"/>
        </w:rPr>
        <w:t>产出、效益3</w:t>
      </w:r>
      <w:r>
        <w:rPr>
          <w:rFonts w:hint="default" w:ascii="仿宋_GB2312" w:hAnsi="仿宋_GB2312" w:eastAsia="仿宋_GB2312" w:cs="仿宋_GB2312"/>
          <w:sz w:val="32"/>
          <w:szCs w:val="40"/>
          <w:highlight w:val="none"/>
          <w:lang w:val="en-US" w:eastAsia="zh-CN"/>
        </w:rPr>
        <w:t>个维度制定绩效评价指标体系，下设</w:t>
      </w:r>
      <w:r>
        <w:rPr>
          <w:rFonts w:hint="eastAsia" w:ascii="仿宋_GB2312" w:hAnsi="仿宋_GB2312" w:eastAsia="仿宋_GB2312" w:cs="仿宋_GB2312"/>
          <w:sz w:val="32"/>
          <w:szCs w:val="40"/>
          <w:highlight w:val="none"/>
          <w:lang w:val="en-US" w:eastAsia="zh-CN"/>
        </w:rPr>
        <w:t>8</w:t>
      </w:r>
      <w:r>
        <w:rPr>
          <w:rFonts w:hint="default" w:ascii="仿宋_GB2312" w:hAnsi="仿宋_GB2312" w:eastAsia="仿宋_GB2312" w:cs="仿宋_GB2312"/>
          <w:sz w:val="32"/>
          <w:szCs w:val="40"/>
          <w:highlight w:val="none"/>
          <w:lang w:val="en-US" w:eastAsia="zh-CN"/>
        </w:rPr>
        <w:t>个二级指标</w:t>
      </w:r>
      <w:r>
        <w:rPr>
          <w:rFonts w:hint="eastAsia" w:ascii="仿宋_GB2312" w:hAnsi="仿宋_GB2312" w:eastAsia="仿宋_GB2312" w:cs="仿宋_GB2312"/>
          <w:sz w:val="32"/>
          <w:szCs w:val="40"/>
          <w:highlight w:val="none"/>
          <w:lang w:val="en-US" w:eastAsia="zh-CN"/>
        </w:rPr>
        <w:t>，</w:t>
      </w:r>
      <w:r>
        <w:rPr>
          <w:rFonts w:hint="default" w:ascii="仿宋_GB2312" w:hAnsi="仿宋_GB2312" w:eastAsia="仿宋_GB2312" w:cs="仿宋_GB2312"/>
          <w:sz w:val="32"/>
          <w:szCs w:val="40"/>
          <w:highlight w:val="none"/>
          <w:lang w:val="en-US" w:eastAsia="zh-CN"/>
        </w:rPr>
        <w:t>主要采用</w:t>
      </w:r>
      <w:r>
        <w:rPr>
          <w:rFonts w:hint="eastAsia" w:ascii="仿宋_GB2312" w:hAnsi="仿宋_GB2312" w:eastAsia="仿宋_GB2312" w:cs="仿宋_GB2312"/>
          <w:sz w:val="32"/>
          <w:szCs w:val="40"/>
          <w:highlight w:val="none"/>
          <w:lang w:val="en-US" w:eastAsia="zh-CN"/>
        </w:rPr>
        <w:t>座谈访谈、</w:t>
      </w:r>
      <w:r>
        <w:rPr>
          <w:rFonts w:hint="default" w:ascii="仿宋_GB2312" w:hAnsi="仿宋_GB2312" w:eastAsia="仿宋_GB2312" w:cs="仿宋_GB2312"/>
          <w:sz w:val="32"/>
          <w:szCs w:val="40"/>
          <w:highlight w:val="none"/>
          <w:lang w:val="en-US" w:eastAsia="zh-CN"/>
        </w:rPr>
        <w:t>资料核查、社会调查</w:t>
      </w:r>
      <w:r>
        <w:rPr>
          <w:rFonts w:hint="eastAsia" w:ascii="仿宋_GB2312" w:hAnsi="仿宋_GB2312" w:eastAsia="仿宋_GB2312" w:cs="仿宋_GB2312"/>
          <w:sz w:val="32"/>
          <w:szCs w:val="40"/>
          <w:highlight w:val="none"/>
          <w:lang w:val="en-US" w:eastAsia="zh-CN"/>
        </w:rPr>
        <w:t>等</w:t>
      </w:r>
      <w:r>
        <w:rPr>
          <w:rFonts w:hint="default" w:ascii="仿宋_GB2312" w:hAnsi="仿宋_GB2312" w:eastAsia="仿宋_GB2312" w:cs="仿宋_GB2312"/>
          <w:sz w:val="32"/>
          <w:szCs w:val="40"/>
          <w:highlight w:val="none"/>
          <w:lang w:val="en-US" w:eastAsia="zh-CN"/>
        </w:rPr>
        <w:t>方式进行</w:t>
      </w:r>
      <w:r>
        <w:rPr>
          <w:rFonts w:hint="eastAsia" w:ascii="仿宋_GB2312" w:hAnsi="仿宋_GB2312" w:eastAsia="仿宋_GB2312" w:cs="仿宋_GB2312"/>
          <w:sz w:val="32"/>
          <w:szCs w:val="40"/>
          <w:highlight w:val="none"/>
          <w:lang w:val="en-US" w:eastAsia="zh-CN"/>
        </w:rPr>
        <w:t>资料</w:t>
      </w:r>
      <w:r>
        <w:rPr>
          <w:rFonts w:hint="default" w:ascii="仿宋_GB2312" w:hAnsi="仿宋_GB2312" w:eastAsia="仿宋_GB2312" w:cs="仿宋_GB2312"/>
          <w:sz w:val="32"/>
          <w:szCs w:val="40"/>
          <w:highlight w:val="none"/>
          <w:lang w:val="en-US" w:eastAsia="zh-CN"/>
        </w:rPr>
        <w:t>收集</w:t>
      </w:r>
      <w:r>
        <w:rPr>
          <w:rFonts w:hint="eastAsia" w:ascii="仿宋_GB2312" w:hAnsi="仿宋_GB2312" w:eastAsia="仿宋_GB2312" w:cs="仿宋_GB2312"/>
          <w:sz w:val="32"/>
          <w:szCs w:val="40"/>
          <w:highlight w:val="none"/>
          <w:lang w:val="en-US" w:eastAsia="zh-CN"/>
        </w:rPr>
        <w:t>。</w:t>
      </w:r>
    </w:p>
    <w:p>
      <w:pPr>
        <w:spacing w:line="600" w:lineRule="exact"/>
        <w:ind w:firstLine="640" w:firstLineChars="200"/>
        <w:rPr>
          <w:rFonts w:hint="eastAsia" w:ascii="仿宋_GB2312" w:hAnsi="仿宋_GB2312" w:eastAsia="仿宋_GB2312" w:cs="仿宋_GB2312"/>
          <w:color w:val="0000FF"/>
          <w:sz w:val="32"/>
          <w:szCs w:val="40"/>
          <w:highlight w:val="none"/>
        </w:rPr>
      </w:pPr>
      <w:r>
        <w:rPr>
          <w:rFonts w:hint="eastAsia" w:ascii="仿宋_GB2312" w:hAnsi="仿宋_GB2312" w:eastAsia="仿宋_GB2312" w:cs="仿宋_GB2312"/>
          <w:sz w:val="32"/>
          <w:szCs w:val="40"/>
          <w:highlight w:val="none"/>
        </w:rPr>
        <w:t>4.评价标准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40"/>
          <w:lang w:val="en-US" w:eastAsia="zh-CN"/>
        </w:rPr>
      </w:pPr>
      <w:r>
        <w:rPr>
          <w:rFonts w:hint="eastAsia" w:ascii="仿宋_GB2312" w:hAnsi="仿宋_GB2312" w:eastAsia="仿宋_GB2312" w:cs="仿宋_GB2312"/>
          <w:color w:val="000000"/>
          <w:sz w:val="32"/>
          <w:szCs w:val="40"/>
          <w:lang w:val="en-US" w:eastAsia="zh-CN"/>
        </w:rPr>
        <w:t>绩效评价结果采取评分和评级相结合的方式，总分设置为100分，等级划分为四档：90（含）</w:t>
      </w:r>
      <w:r>
        <w:rPr>
          <w:rFonts w:hint="eastAsia" w:ascii="仿宋_GB2312" w:hAnsi="仿宋_GB2312" w:cs="仿宋_GB2312"/>
          <w:color w:val="000000"/>
          <w:sz w:val="32"/>
          <w:szCs w:val="40"/>
          <w:lang w:val="en-US" w:eastAsia="zh-CN"/>
        </w:rPr>
        <w:t>—</w:t>
      </w:r>
      <w:r>
        <w:rPr>
          <w:rFonts w:hint="eastAsia" w:ascii="仿宋_GB2312" w:hAnsi="仿宋_GB2312" w:eastAsia="仿宋_GB2312" w:cs="仿宋_GB2312"/>
          <w:color w:val="000000"/>
          <w:sz w:val="32"/>
          <w:szCs w:val="40"/>
          <w:lang w:val="en-US" w:eastAsia="zh-CN"/>
        </w:rPr>
        <w:t>100分为优、80（含）</w:t>
      </w:r>
      <w:r>
        <w:rPr>
          <w:rFonts w:hint="eastAsia" w:ascii="仿宋_GB2312" w:hAnsi="仿宋_GB2312" w:cs="仿宋_GB2312"/>
          <w:color w:val="000000"/>
          <w:sz w:val="32"/>
          <w:szCs w:val="40"/>
          <w:lang w:val="en-US" w:eastAsia="zh-CN"/>
        </w:rPr>
        <w:t>—</w:t>
      </w:r>
      <w:r>
        <w:rPr>
          <w:rFonts w:hint="eastAsia" w:ascii="仿宋_GB2312" w:hAnsi="仿宋_GB2312" w:eastAsia="仿宋_GB2312" w:cs="仿宋_GB2312"/>
          <w:color w:val="000000"/>
          <w:sz w:val="32"/>
          <w:szCs w:val="40"/>
          <w:lang w:val="en-US" w:eastAsia="zh-CN"/>
        </w:rPr>
        <w:t>90分为良、60（含）</w:t>
      </w:r>
      <w:r>
        <w:rPr>
          <w:rFonts w:hint="eastAsia" w:ascii="仿宋_GB2312" w:hAnsi="仿宋_GB2312" w:cs="仿宋_GB2312"/>
          <w:color w:val="000000"/>
          <w:sz w:val="32"/>
          <w:szCs w:val="40"/>
          <w:lang w:val="en-US" w:eastAsia="zh-CN"/>
        </w:rPr>
        <w:t>—</w:t>
      </w:r>
      <w:r>
        <w:rPr>
          <w:rFonts w:hint="eastAsia" w:ascii="仿宋_GB2312" w:hAnsi="仿宋_GB2312" w:eastAsia="仿宋_GB2312" w:cs="仿宋_GB2312"/>
          <w:color w:val="000000"/>
          <w:sz w:val="32"/>
          <w:szCs w:val="40"/>
          <w:lang w:val="en-US" w:eastAsia="zh-CN"/>
        </w:rPr>
        <w:t>80分为中、60分以下为差。</w:t>
      </w:r>
    </w:p>
    <w:p>
      <w:pPr>
        <w:spacing w:line="600" w:lineRule="exact"/>
        <w:ind w:firstLine="640" w:firstLineChars="200"/>
        <w:outlineLvl w:val="1"/>
        <w:rPr>
          <w:rFonts w:hint="eastAsia" w:ascii="楷体_GB2312" w:hAnsi="楷体_GB2312" w:eastAsia="楷体_GB2312" w:cs="楷体_GB2312"/>
          <w:sz w:val="32"/>
          <w:szCs w:val="40"/>
          <w:highlight w:val="none"/>
        </w:rPr>
      </w:pPr>
      <w:bookmarkStart w:id="6" w:name="_Toc23881"/>
      <w:r>
        <w:rPr>
          <w:rFonts w:hint="eastAsia" w:ascii="楷体_GB2312" w:hAnsi="楷体_GB2312" w:eastAsia="楷体_GB2312" w:cs="楷体_GB2312"/>
          <w:sz w:val="32"/>
          <w:szCs w:val="40"/>
          <w:highlight w:val="none"/>
        </w:rPr>
        <w:t>（三）评价组织实施与评价方法</w:t>
      </w:r>
      <w:bookmarkEnd w:id="6"/>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1.评价组织实施</w:t>
      </w:r>
    </w:p>
    <w:p>
      <w:pPr>
        <w:keepNext w:val="0"/>
        <w:keepLines w:val="0"/>
        <w:pageBreakBefore w:val="0"/>
        <w:shd w:val="clear"/>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40"/>
        </w:rPr>
      </w:pPr>
      <w:r>
        <w:rPr>
          <w:rFonts w:hint="eastAsia" w:ascii="仿宋_GB2312" w:hAnsi="仿宋_GB2312" w:eastAsia="仿宋_GB2312" w:cs="仿宋_GB2312"/>
          <w:color w:val="000000"/>
          <w:sz w:val="32"/>
          <w:szCs w:val="40"/>
        </w:rPr>
        <w:t>本</w:t>
      </w:r>
      <w:r>
        <w:rPr>
          <w:rFonts w:hint="eastAsia" w:ascii="仿宋_GB2312" w:hAnsi="仿宋_GB2312" w:eastAsia="仿宋_GB2312" w:cs="仿宋_GB2312"/>
          <w:color w:val="000000"/>
          <w:sz w:val="32"/>
          <w:szCs w:val="40"/>
          <w:lang w:val="en-US" w:eastAsia="zh-CN"/>
        </w:rPr>
        <w:t>次</w:t>
      </w:r>
      <w:r>
        <w:rPr>
          <w:rFonts w:hint="eastAsia" w:ascii="仿宋_GB2312" w:hAnsi="仿宋_GB2312" w:eastAsia="仿宋_GB2312" w:cs="仿宋_GB2312"/>
          <w:color w:val="000000"/>
          <w:sz w:val="32"/>
          <w:szCs w:val="40"/>
        </w:rPr>
        <w:t>评价主要分为前期准备、组织实施、绩效评价报告撰写与提交</w:t>
      </w:r>
      <w:r>
        <w:rPr>
          <w:rFonts w:hint="eastAsia" w:ascii="仿宋_GB2312" w:hAnsi="仿宋_GB2312" w:eastAsia="仿宋_GB2312" w:cs="仿宋_GB2312"/>
          <w:color w:val="000000"/>
          <w:sz w:val="32"/>
          <w:szCs w:val="40"/>
          <w:lang w:val="en-US" w:eastAsia="zh-CN"/>
        </w:rPr>
        <w:t>三</w:t>
      </w:r>
      <w:r>
        <w:rPr>
          <w:rFonts w:hint="eastAsia" w:ascii="仿宋_GB2312" w:hAnsi="仿宋_GB2312" w:eastAsia="仿宋_GB2312" w:cs="仿宋_GB2312"/>
          <w:color w:val="000000"/>
          <w:sz w:val="32"/>
          <w:szCs w:val="40"/>
        </w:rPr>
        <w:t>个阶段。</w:t>
      </w:r>
    </w:p>
    <w:p>
      <w:pPr>
        <w:spacing w:line="600" w:lineRule="exact"/>
        <w:ind w:firstLine="640" w:firstLineChars="200"/>
        <w:rPr>
          <w:rFonts w:hint="default" w:ascii="仿宋_GB2312" w:hAnsi="仿宋_GB2312" w:eastAsia="仿宋_GB2312" w:cs="仿宋_GB2312"/>
          <w:sz w:val="32"/>
          <w:szCs w:val="40"/>
          <w:highlight w:val="none"/>
          <w:lang w:val="en-US" w:eastAsia="zh-CN"/>
        </w:rPr>
      </w:pPr>
      <w:bookmarkStart w:id="7" w:name="_Toc7040"/>
      <w:bookmarkStart w:id="8" w:name="_Toc22642"/>
      <w:bookmarkStart w:id="9" w:name="_Toc1376620491"/>
      <w:r>
        <w:rPr>
          <w:rFonts w:hint="eastAsia" w:ascii="仿宋_GB2312" w:hAnsi="仿宋_GB2312" w:eastAsia="仿宋_GB2312" w:cs="仿宋_GB2312"/>
          <w:sz w:val="32"/>
          <w:szCs w:val="40"/>
          <w:highlight w:val="none"/>
          <w:lang w:val="zh-CN" w:eastAsia="zh-CN"/>
        </w:rPr>
        <w:t>（1）</w:t>
      </w:r>
      <w:r>
        <w:rPr>
          <w:rFonts w:hint="eastAsia" w:ascii="仿宋_GB2312" w:hAnsi="仿宋_GB2312" w:eastAsia="仿宋_GB2312" w:cs="仿宋_GB2312"/>
          <w:sz w:val="32"/>
          <w:szCs w:val="40"/>
          <w:highlight w:val="none"/>
          <w:lang w:val="en-US" w:eastAsia="zh-CN"/>
        </w:rPr>
        <w:t>前期准备</w:t>
      </w:r>
      <w:bookmarkEnd w:id="7"/>
      <w:bookmarkEnd w:id="8"/>
      <w:r>
        <w:rPr>
          <w:rFonts w:hint="eastAsia" w:ascii="仿宋_GB2312" w:hAnsi="仿宋_GB2312" w:eastAsia="仿宋_GB2312" w:cs="仿宋_GB2312"/>
          <w:sz w:val="32"/>
          <w:szCs w:val="40"/>
          <w:highlight w:val="none"/>
          <w:lang w:val="en-US" w:eastAsia="zh-CN"/>
        </w:rPr>
        <w:t>（2025年9月9日—25日）</w:t>
      </w:r>
    </w:p>
    <w:p>
      <w:pPr>
        <w:spacing w:line="600" w:lineRule="exact"/>
        <w:ind w:firstLine="640" w:firstLineChars="200"/>
        <w:rPr>
          <w:rFonts w:hint="eastAsia" w:ascii="仿宋_GB2312" w:hAnsi="仿宋_GB2312" w:eastAsia="仿宋_GB2312" w:cs="仿宋_GB2312"/>
          <w:sz w:val="32"/>
          <w:szCs w:val="40"/>
          <w:highlight w:val="none"/>
          <w:lang w:val="zh-CN" w:eastAsia="zh-CN"/>
        </w:rPr>
      </w:pPr>
      <w:r>
        <w:rPr>
          <w:rFonts w:hint="eastAsia" w:ascii="仿宋_GB2312" w:hAnsi="仿宋_GB2312" w:eastAsia="仿宋_GB2312" w:cs="仿宋_GB2312"/>
          <w:sz w:val="32"/>
          <w:szCs w:val="40"/>
          <w:highlight w:val="none"/>
          <w:lang w:val="en-US" w:eastAsia="zh-CN"/>
        </w:rPr>
        <w:t>按照市财政局相关要求，</w:t>
      </w:r>
      <w:r>
        <w:rPr>
          <w:rFonts w:hint="eastAsia" w:ascii="仿宋_GB2312" w:hAnsi="仿宋_GB2312" w:eastAsia="仿宋_GB2312" w:cs="仿宋_GB2312"/>
          <w:sz w:val="32"/>
          <w:szCs w:val="40"/>
          <w:highlight w:val="none"/>
          <w:lang w:val="zh-CN" w:eastAsia="zh-CN"/>
        </w:rPr>
        <w:t>成立评价工作组。</w:t>
      </w:r>
      <w:r>
        <w:rPr>
          <w:rFonts w:hint="eastAsia" w:ascii="仿宋_GB2312" w:hAnsi="仿宋_GB2312" w:eastAsia="仿宋_GB2312" w:cs="仿宋_GB2312"/>
          <w:sz w:val="32"/>
          <w:szCs w:val="40"/>
          <w:highlight w:val="none"/>
          <w:lang w:val="en-US" w:eastAsia="zh-CN"/>
        </w:rPr>
        <w:t>评价工作组与</w:t>
      </w:r>
      <w:r>
        <w:rPr>
          <w:rFonts w:hint="eastAsia" w:ascii="仿宋_GB2312" w:hAnsi="仿宋_GB2312" w:eastAsia="仿宋_GB2312" w:cs="仿宋_GB2312"/>
          <w:sz w:val="32"/>
          <w:szCs w:val="40"/>
          <w:highlight w:val="none"/>
          <w:lang w:val="zh-CN" w:eastAsia="zh-CN"/>
        </w:rPr>
        <w:t>市工信局</w:t>
      </w:r>
      <w:r>
        <w:rPr>
          <w:rFonts w:hint="eastAsia" w:ascii="仿宋_GB2312" w:hAnsi="仿宋_GB2312" w:eastAsia="仿宋_GB2312" w:cs="仿宋_GB2312"/>
          <w:sz w:val="32"/>
          <w:szCs w:val="40"/>
          <w:highlight w:val="none"/>
          <w:lang w:val="en-US" w:eastAsia="zh-CN"/>
        </w:rPr>
        <w:t>等项目负责人开展座谈、调研，充</w:t>
      </w:r>
      <w:r>
        <w:rPr>
          <w:rFonts w:hint="eastAsia" w:ascii="仿宋_GB2312" w:hAnsi="仿宋_GB2312" w:eastAsia="仿宋_GB2312" w:cs="仿宋_GB2312"/>
          <w:sz w:val="32"/>
          <w:szCs w:val="40"/>
          <w:highlight w:val="none"/>
          <w:lang w:val="zh-CN" w:eastAsia="zh-CN"/>
        </w:rPr>
        <w:t>分了解</w:t>
      </w:r>
      <w:r>
        <w:rPr>
          <w:rFonts w:hint="eastAsia" w:ascii="仿宋_GB2312" w:hAnsi="仿宋_GB2312" w:eastAsia="仿宋_GB2312" w:cs="仿宋_GB2312"/>
          <w:sz w:val="32"/>
          <w:szCs w:val="40"/>
          <w:highlight w:val="none"/>
          <w:lang w:val="en-US" w:eastAsia="zh-CN"/>
        </w:rPr>
        <w:t>项目实施情况</w:t>
      </w:r>
      <w:r>
        <w:rPr>
          <w:rFonts w:hint="eastAsia" w:ascii="仿宋_GB2312" w:hAnsi="仿宋_GB2312" w:eastAsia="仿宋_GB2312" w:cs="仿宋_GB2312"/>
          <w:sz w:val="32"/>
          <w:szCs w:val="40"/>
          <w:highlight w:val="none"/>
          <w:lang w:val="zh-CN" w:eastAsia="zh-CN"/>
        </w:rPr>
        <w:t>、</w:t>
      </w:r>
      <w:r>
        <w:rPr>
          <w:rFonts w:hint="eastAsia" w:ascii="仿宋_GB2312" w:hAnsi="仿宋_GB2312" w:eastAsia="仿宋_GB2312" w:cs="仿宋_GB2312"/>
          <w:sz w:val="32"/>
          <w:szCs w:val="40"/>
          <w:highlight w:val="none"/>
          <w:lang w:val="en-US" w:eastAsia="zh-CN"/>
        </w:rPr>
        <w:t>资金兑现情况</w:t>
      </w:r>
      <w:r>
        <w:rPr>
          <w:rFonts w:hint="eastAsia" w:ascii="仿宋_GB2312" w:hAnsi="仿宋_GB2312" w:eastAsia="仿宋_GB2312" w:cs="仿宋_GB2312"/>
          <w:sz w:val="32"/>
          <w:szCs w:val="40"/>
          <w:highlight w:val="none"/>
          <w:lang w:val="zh-CN" w:eastAsia="zh-CN"/>
        </w:rPr>
        <w:t>、</w:t>
      </w:r>
      <w:r>
        <w:rPr>
          <w:rFonts w:hint="eastAsia" w:ascii="仿宋_GB2312" w:hAnsi="仿宋_GB2312" w:eastAsia="仿宋_GB2312" w:cs="仿宋_GB2312"/>
          <w:sz w:val="32"/>
          <w:szCs w:val="40"/>
          <w:highlight w:val="none"/>
          <w:lang w:val="en-US" w:eastAsia="zh-CN"/>
        </w:rPr>
        <w:t>项目实施效果</w:t>
      </w:r>
      <w:r>
        <w:rPr>
          <w:rFonts w:hint="eastAsia" w:ascii="仿宋_GB2312" w:hAnsi="仿宋_GB2312" w:eastAsia="仿宋_GB2312" w:cs="仿宋_GB2312"/>
          <w:sz w:val="32"/>
          <w:szCs w:val="40"/>
          <w:highlight w:val="none"/>
          <w:lang w:val="zh-CN" w:eastAsia="zh-CN"/>
        </w:rPr>
        <w:t>等内容，</w:t>
      </w:r>
      <w:r>
        <w:rPr>
          <w:rFonts w:hint="eastAsia" w:ascii="仿宋_GB2312" w:hAnsi="仿宋_GB2312" w:eastAsia="仿宋_GB2312" w:cs="仿宋_GB2312"/>
          <w:sz w:val="32"/>
          <w:szCs w:val="40"/>
          <w:highlight w:val="none"/>
          <w:lang w:val="en-US" w:eastAsia="zh-CN"/>
        </w:rPr>
        <w:t>明确评价对象和评价重点，并编制实施</w:t>
      </w:r>
      <w:r>
        <w:rPr>
          <w:rFonts w:hint="eastAsia" w:ascii="仿宋_GB2312" w:hAnsi="仿宋_GB2312" w:eastAsia="仿宋_GB2312" w:cs="仿宋_GB2312"/>
          <w:sz w:val="32"/>
          <w:szCs w:val="40"/>
          <w:highlight w:val="none"/>
          <w:lang w:val="zh-CN" w:eastAsia="zh-CN"/>
        </w:rPr>
        <w:t>方案、</w:t>
      </w:r>
      <w:r>
        <w:rPr>
          <w:rFonts w:hint="eastAsia" w:ascii="仿宋_GB2312" w:hAnsi="仿宋_GB2312" w:eastAsia="仿宋_GB2312" w:cs="仿宋_GB2312"/>
          <w:sz w:val="32"/>
          <w:szCs w:val="40"/>
          <w:highlight w:val="none"/>
          <w:lang w:val="en-US" w:eastAsia="zh-CN"/>
        </w:rPr>
        <w:t>组织业务培训</w:t>
      </w:r>
      <w:r>
        <w:rPr>
          <w:rFonts w:hint="eastAsia" w:ascii="仿宋_GB2312" w:hAnsi="仿宋_GB2312" w:eastAsia="仿宋_GB2312" w:cs="仿宋_GB2312"/>
          <w:sz w:val="32"/>
          <w:szCs w:val="40"/>
          <w:highlight w:val="none"/>
          <w:lang w:val="zh-CN" w:eastAsia="zh-CN"/>
        </w:rPr>
        <w:t>。</w:t>
      </w:r>
    </w:p>
    <w:p>
      <w:pPr>
        <w:spacing w:line="600" w:lineRule="exact"/>
        <w:ind w:firstLine="640" w:firstLineChars="200"/>
        <w:rPr>
          <w:rFonts w:hint="eastAsia" w:ascii="仿宋_GB2312" w:hAnsi="仿宋_GB2312" w:eastAsia="仿宋_GB2312" w:cs="仿宋_GB2312"/>
          <w:sz w:val="32"/>
          <w:szCs w:val="40"/>
          <w:highlight w:val="none"/>
          <w:lang w:val="zh-CN" w:eastAsia="zh-CN"/>
        </w:rPr>
      </w:pPr>
      <w:bookmarkStart w:id="10" w:name="_Toc3161"/>
      <w:bookmarkStart w:id="11" w:name="_Toc30628"/>
      <w:r>
        <w:rPr>
          <w:rFonts w:hint="eastAsia" w:ascii="仿宋_GB2312" w:hAnsi="仿宋_GB2312" w:eastAsia="仿宋_GB2312" w:cs="仿宋_GB2312"/>
          <w:sz w:val="32"/>
          <w:szCs w:val="40"/>
          <w:highlight w:val="none"/>
          <w:lang w:val="zh-CN" w:eastAsia="zh-CN"/>
        </w:rPr>
        <w:t>（2）</w:t>
      </w:r>
      <w:r>
        <w:rPr>
          <w:rFonts w:hint="eastAsia" w:ascii="仿宋_GB2312" w:hAnsi="仿宋_GB2312" w:eastAsia="仿宋_GB2312" w:cs="仿宋_GB2312"/>
          <w:sz w:val="32"/>
          <w:szCs w:val="40"/>
          <w:highlight w:val="none"/>
          <w:lang w:val="en-US" w:eastAsia="zh-CN"/>
        </w:rPr>
        <w:t>组织实施</w:t>
      </w:r>
      <w:bookmarkEnd w:id="10"/>
      <w:bookmarkEnd w:id="11"/>
      <w:r>
        <w:rPr>
          <w:rFonts w:hint="eastAsia" w:ascii="仿宋_GB2312" w:hAnsi="仿宋_GB2312" w:eastAsia="仿宋_GB2312" w:cs="仿宋_GB2312"/>
          <w:sz w:val="32"/>
          <w:szCs w:val="40"/>
          <w:highlight w:val="none"/>
          <w:lang w:val="en-US" w:eastAsia="zh-CN"/>
        </w:rPr>
        <w:t>（2025年9月25日—10月17日）</w:t>
      </w:r>
    </w:p>
    <w:p>
      <w:pPr>
        <w:spacing w:line="600" w:lineRule="exact"/>
        <w:ind w:firstLine="640" w:firstLineChars="200"/>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①</w:t>
      </w:r>
      <w:r>
        <w:rPr>
          <w:rFonts w:hint="eastAsia" w:ascii="仿宋_GB2312" w:hAnsi="仿宋_GB2312" w:eastAsia="仿宋_GB2312" w:cs="仿宋_GB2312"/>
          <w:sz w:val="32"/>
          <w:szCs w:val="40"/>
          <w:highlight w:val="none"/>
          <w:lang w:val="zh-CN" w:eastAsia="zh-CN"/>
        </w:rPr>
        <w:t>非现场评价。评价工作组对市工信局</w:t>
      </w:r>
      <w:r>
        <w:rPr>
          <w:rFonts w:hint="eastAsia" w:ascii="仿宋_GB2312" w:hAnsi="仿宋_GB2312" w:eastAsia="仿宋_GB2312" w:cs="仿宋_GB2312"/>
          <w:sz w:val="32"/>
          <w:szCs w:val="40"/>
          <w:highlight w:val="none"/>
          <w:lang w:val="en-US" w:eastAsia="zh-CN"/>
        </w:rPr>
        <w:t>提供的相关资料和各种公开资料进行分类、汇总和分析，并进行逐项核实、登记，并采集相关数据形成基础数据表。</w:t>
      </w:r>
    </w:p>
    <w:p>
      <w:pPr>
        <w:spacing w:line="600" w:lineRule="exact"/>
        <w:ind w:firstLine="640" w:firstLineChars="200"/>
        <w:rPr>
          <w:rFonts w:hint="eastAsia" w:ascii="仿宋_GB2312" w:hAnsi="仿宋_GB2312" w:eastAsia="仿宋_GB2312" w:cs="仿宋_GB2312"/>
          <w:sz w:val="32"/>
          <w:szCs w:val="40"/>
          <w:highlight w:val="none"/>
          <w:lang w:val="zh-CN" w:eastAsia="zh-CN"/>
        </w:rPr>
      </w:pPr>
      <w:r>
        <w:rPr>
          <w:rFonts w:hint="eastAsia" w:ascii="仿宋_GB2312" w:hAnsi="仿宋_GB2312" w:eastAsia="仿宋_GB2312" w:cs="仿宋_GB2312"/>
          <w:sz w:val="32"/>
          <w:szCs w:val="40"/>
          <w:highlight w:val="none"/>
          <w:lang w:val="en-US" w:eastAsia="zh-CN"/>
        </w:rPr>
        <w:t>②</w:t>
      </w:r>
      <w:r>
        <w:rPr>
          <w:rFonts w:hint="eastAsia" w:ascii="仿宋_GB2312" w:hAnsi="仿宋_GB2312" w:eastAsia="仿宋_GB2312" w:cs="仿宋_GB2312"/>
          <w:sz w:val="32"/>
          <w:szCs w:val="40"/>
          <w:highlight w:val="none"/>
          <w:lang w:val="zh-CN" w:eastAsia="zh-CN"/>
        </w:rPr>
        <w:t>现场评价。</w:t>
      </w:r>
      <w:r>
        <w:rPr>
          <w:rFonts w:hint="eastAsia" w:ascii="仿宋_GB2312" w:hAnsi="仿宋_GB2312" w:eastAsia="仿宋_GB2312" w:cs="仿宋_GB2312"/>
          <w:sz w:val="32"/>
          <w:szCs w:val="40"/>
          <w:highlight w:val="none"/>
          <w:lang w:val="en-US" w:eastAsia="zh-CN"/>
        </w:rPr>
        <w:t>一是</w:t>
      </w:r>
      <w:r>
        <w:rPr>
          <w:rFonts w:hint="eastAsia" w:ascii="仿宋_GB2312" w:hAnsi="仿宋_GB2312" w:eastAsia="仿宋_GB2312" w:cs="仿宋_GB2312"/>
          <w:sz w:val="32"/>
          <w:szCs w:val="40"/>
          <w:highlight w:val="none"/>
          <w:lang w:val="zh-CN" w:eastAsia="zh-CN"/>
        </w:rPr>
        <w:t>采取座谈、访谈</w:t>
      </w:r>
      <w:r>
        <w:rPr>
          <w:rFonts w:hint="eastAsia" w:ascii="仿宋_GB2312" w:hAnsi="仿宋_GB2312" w:eastAsia="仿宋_GB2312" w:cs="仿宋_GB2312"/>
          <w:sz w:val="32"/>
          <w:szCs w:val="40"/>
          <w:highlight w:val="none"/>
          <w:lang w:val="en-US" w:eastAsia="zh-CN"/>
        </w:rPr>
        <w:t>与</w:t>
      </w:r>
      <w:r>
        <w:rPr>
          <w:rFonts w:hint="eastAsia" w:ascii="仿宋_GB2312" w:hAnsi="仿宋_GB2312" w:eastAsia="仿宋_GB2312" w:cs="仿宋_GB2312"/>
          <w:sz w:val="32"/>
          <w:szCs w:val="40"/>
          <w:highlight w:val="none"/>
          <w:lang w:val="zh-CN" w:eastAsia="zh-CN"/>
        </w:rPr>
        <w:t>市工信局</w:t>
      </w:r>
      <w:r>
        <w:rPr>
          <w:rFonts w:hint="eastAsia" w:ascii="仿宋_GB2312" w:hAnsi="仿宋_GB2312" w:eastAsia="仿宋_GB2312" w:cs="仿宋_GB2312"/>
          <w:sz w:val="32"/>
          <w:szCs w:val="40"/>
          <w:highlight w:val="none"/>
          <w:lang w:val="en-US" w:eastAsia="zh-CN"/>
        </w:rPr>
        <w:t>、受奖补企业主要负责人进行充分沟通，听取政策落实情况，工作计划及进展情况、资金管理和使用情况等方面的介绍，形成座谈记录或访谈记录。二是对提交的证明材料进行逐项核实、登记，并采集相关数据形成基础数据表。采集的评价数据和资料经被评价单位负责人现场签字并加盖公章后，记入评价工作底稿。三是对受奖补企业进行</w:t>
      </w:r>
      <w:r>
        <w:rPr>
          <w:rFonts w:hint="eastAsia" w:ascii="仿宋_GB2312" w:hAnsi="仿宋_GB2312" w:eastAsia="仿宋_GB2312" w:cs="仿宋_GB2312"/>
          <w:sz w:val="32"/>
          <w:szCs w:val="40"/>
          <w:highlight w:val="none"/>
          <w:lang w:val="zh-CN" w:eastAsia="zh-CN"/>
        </w:rPr>
        <w:t>实地</w:t>
      </w:r>
      <w:r>
        <w:rPr>
          <w:rFonts w:hint="eastAsia" w:ascii="仿宋_GB2312" w:hAnsi="仿宋_GB2312" w:eastAsia="仿宋_GB2312" w:cs="仿宋_GB2312"/>
          <w:sz w:val="32"/>
          <w:szCs w:val="40"/>
          <w:highlight w:val="none"/>
          <w:lang w:val="en-US" w:eastAsia="zh-CN"/>
        </w:rPr>
        <w:t>勘查</w:t>
      </w:r>
      <w:r>
        <w:rPr>
          <w:rFonts w:hint="eastAsia" w:ascii="仿宋_GB2312" w:hAnsi="仿宋_GB2312" w:eastAsia="仿宋_GB2312" w:cs="仿宋_GB2312"/>
          <w:sz w:val="32"/>
          <w:szCs w:val="40"/>
          <w:highlight w:val="none"/>
          <w:lang w:val="zh-CN" w:eastAsia="zh-CN"/>
        </w:rPr>
        <w:t>。</w:t>
      </w:r>
    </w:p>
    <w:p>
      <w:pPr>
        <w:spacing w:line="600" w:lineRule="exact"/>
        <w:ind w:firstLine="640" w:firstLineChars="200"/>
        <w:rPr>
          <w:rFonts w:hint="eastAsia" w:ascii="仿宋_GB2312" w:hAnsi="仿宋_GB2312" w:eastAsia="仿宋_GB2312" w:cs="仿宋_GB2312"/>
          <w:sz w:val="32"/>
          <w:szCs w:val="40"/>
          <w:highlight w:val="none"/>
          <w:lang w:val="zh-CN" w:eastAsia="zh-CN"/>
        </w:rPr>
      </w:pPr>
      <w:r>
        <w:rPr>
          <w:rFonts w:hint="eastAsia" w:ascii="仿宋_GB2312" w:hAnsi="仿宋_GB2312" w:eastAsia="仿宋_GB2312" w:cs="仿宋_GB2312"/>
          <w:sz w:val="32"/>
          <w:szCs w:val="40"/>
          <w:highlight w:val="none"/>
          <w:lang w:val="en-US" w:eastAsia="zh-CN"/>
        </w:rPr>
        <w:t>③梳理绩效评价问题清单</w:t>
      </w:r>
      <w:r>
        <w:rPr>
          <w:rFonts w:hint="eastAsia" w:ascii="仿宋_GB2312" w:hAnsi="仿宋_GB2312" w:eastAsia="仿宋_GB2312" w:cs="仿宋_GB2312"/>
          <w:sz w:val="32"/>
          <w:szCs w:val="40"/>
          <w:highlight w:val="none"/>
          <w:lang w:val="zh-CN" w:eastAsia="zh-CN"/>
        </w:rPr>
        <w:t>。评价工作组根据现场评价和非现场评价情况，</w:t>
      </w:r>
      <w:r>
        <w:rPr>
          <w:rFonts w:hint="eastAsia" w:ascii="仿宋_GB2312" w:hAnsi="仿宋_GB2312" w:eastAsia="仿宋_GB2312" w:cs="仿宋_GB2312"/>
          <w:sz w:val="32"/>
          <w:szCs w:val="40"/>
          <w:highlight w:val="none"/>
          <w:lang w:val="en-US" w:eastAsia="zh-CN"/>
        </w:rPr>
        <w:t>梳理</w:t>
      </w:r>
      <w:r>
        <w:rPr>
          <w:rFonts w:hint="eastAsia" w:ascii="仿宋_GB2312" w:hAnsi="仿宋_GB2312" w:eastAsia="仿宋_GB2312" w:cs="仿宋_GB2312"/>
          <w:sz w:val="32"/>
          <w:szCs w:val="40"/>
          <w:highlight w:val="none"/>
          <w:lang w:val="zh-CN" w:eastAsia="zh-CN"/>
        </w:rPr>
        <w:t>部门整体评价中发现的问题，</w:t>
      </w:r>
      <w:r>
        <w:rPr>
          <w:rFonts w:hint="eastAsia" w:ascii="仿宋_GB2312" w:hAnsi="仿宋_GB2312" w:eastAsia="仿宋_GB2312" w:cs="仿宋_GB2312"/>
          <w:sz w:val="32"/>
          <w:szCs w:val="40"/>
          <w:highlight w:val="none"/>
          <w:lang w:val="en-US" w:eastAsia="zh-CN"/>
        </w:rPr>
        <w:t>形成问题清单和</w:t>
      </w:r>
      <w:r>
        <w:rPr>
          <w:rFonts w:hint="eastAsia" w:ascii="仿宋_GB2312" w:hAnsi="仿宋_GB2312" w:eastAsia="仿宋_GB2312" w:cs="仿宋_GB2312"/>
          <w:sz w:val="32"/>
          <w:szCs w:val="40"/>
          <w:highlight w:val="none"/>
          <w:lang w:val="zh-CN" w:eastAsia="zh-CN"/>
        </w:rPr>
        <w:t>工作底稿。</w:t>
      </w:r>
    </w:p>
    <w:p>
      <w:pPr>
        <w:spacing w:line="600" w:lineRule="exact"/>
        <w:ind w:firstLine="640" w:firstLineChars="200"/>
        <w:rPr>
          <w:rFonts w:hint="default" w:ascii="仿宋_GB2312" w:hAnsi="仿宋_GB2312" w:eastAsia="仿宋_GB2312" w:cs="仿宋_GB2312"/>
          <w:sz w:val="32"/>
          <w:szCs w:val="40"/>
          <w:highlight w:val="none"/>
          <w:lang w:val="en-US" w:eastAsia="zh-CN"/>
        </w:rPr>
      </w:pPr>
      <w:bookmarkStart w:id="12" w:name="_Toc28794"/>
      <w:bookmarkStart w:id="13" w:name="_Toc21654"/>
      <w:r>
        <w:rPr>
          <w:rFonts w:hint="eastAsia" w:ascii="仿宋_GB2312" w:hAnsi="仿宋_GB2312" w:eastAsia="仿宋_GB2312" w:cs="仿宋_GB2312"/>
          <w:sz w:val="32"/>
          <w:szCs w:val="40"/>
          <w:highlight w:val="none"/>
          <w:lang w:val="zh-CN" w:eastAsia="zh-CN"/>
        </w:rPr>
        <w:t>（3）撰写</w:t>
      </w:r>
      <w:r>
        <w:rPr>
          <w:rFonts w:hint="eastAsia" w:ascii="仿宋_GB2312" w:hAnsi="仿宋_GB2312" w:eastAsia="仿宋_GB2312" w:cs="仿宋_GB2312"/>
          <w:sz w:val="32"/>
          <w:szCs w:val="40"/>
          <w:highlight w:val="none"/>
          <w:lang w:val="en-US" w:eastAsia="zh-CN"/>
        </w:rPr>
        <w:t>与提交评价</w:t>
      </w:r>
      <w:r>
        <w:rPr>
          <w:rFonts w:hint="eastAsia" w:ascii="仿宋_GB2312" w:hAnsi="仿宋_GB2312" w:eastAsia="仿宋_GB2312" w:cs="仿宋_GB2312"/>
          <w:sz w:val="32"/>
          <w:szCs w:val="40"/>
          <w:highlight w:val="none"/>
          <w:lang w:val="zh-CN" w:eastAsia="zh-CN"/>
        </w:rPr>
        <w:t>报告</w:t>
      </w:r>
      <w:bookmarkEnd w:id="12"/>
      <w:bookmarkEnd w:id="13"/>
      <w:r>
        <w:rPr>
          <w:rFonts w:hint="eastAsia" w:ascii="仿宋_GB2312" w:hAnsi="仿宋_GB2312" w:eastAsia="仿宋_GB2312" w:cs="仿宋_GB2312"/>
          <w:sz w:val="32"/>
          <w:szCs w:val="40"/>
          <w:highlight w:val="none"/>
          <w:lang w:val="en-US" w:eastAsia="zh-CN"/>
        </w:rPr>
        <w:t>（2025年10月18日—10月31日）</w:t>
      </w:r>
    </w:p>
    <w:p>
      <w:pPr>
        <w:spacing w:line="600" w:lineRule="exact"/>
        <w:ind w:firstLine="640" w:firstLineChars="200"/>
        <w:rPr>
          <w:rFonts w:hint="eastAsia" w:ascii="仿宋_GB2312" w:hAnsi="仿宋_GB2312" w:eastAsia="仿宋_GB2312" w:cs="仿宋_GB2312"/>
          <w:sz w:val="32"/>
          <w:szCs w:val="40"/>
          <w:highlight w:val="none"/>
          <w:lang w:val="zh-CN" w:eastAsia="zh-CN"/>
        </w:rPr>
      </w:pPr>
      <w:bookmarkStart w:id="14" w:name="_Toc16295"/>
      <w:bookmarkStart w:id="15" w:name="_Toc14647"/>
      <w:r>
        <w:rPr>
          <w:rFonts w:hint="eastAsia" w:ascii="仿宋_GB2312" w:hAnsi="仿宋_GB2312" w:eastAsia="仿宋_GB2312" w:cs="仿宋_GB2312"/>
          <w:sz w:val="32"/>
          <w:szCs w:val="40"/>
          <w:highlight w:val="none"/>
          <w:lang w:val="zh-CN" w:eastAsia="zh-CN"/>
        </w:rPr>
        <w:t>评价工作组在认真梳理、研究、分析现场评价和非现场评价情况的基础上，按照规定格式撰写绩效评价报告。</w:t>
      </w:r>
    </w:p>
    <w:bookmarkEnd w:id="9"/>
    <w:bookmarkEnd w:id="14"/>
    <w:bookmarkEnd w:id="15"/>
    <w:p>
      <w:pPr>
        <w:spacing w:line="600" w:lineRule="exact"/>
        <w:ind w:firstLine="640" w:firstLineChars="200"/>
        <w:rPr>
          <w:rFonts w:hint="eastAsia" w:ascii="仿宋_GB2312" w:hAnsi="仿宋_GB2312" w:eastAsia="仿宋_GB2312" w:cs="仿宋_GB2312"/>
          <w:sz w:val="32"/>
          <w:szCs w:val="40"/>
          <w:highlight w:val="none"/>
          <w:lang w:val="zh-CN" w:eastAsia="zh-CN"/>
        </w:rPr>
      </w:pPr>
      <w:r>
        <w:rPr>
          <w:rFonts w:hint="eastAsia" w:ascii="仿宋_GB2312" w:hAnsi="仿宋_GB2312" w:eastAsia="仿宋_GB2312" w:cs="仿宋_GB2312"/>
          <w:sz w:val="32"/>
          <w:szCs w:val="40"/>
          <w:highlight w:val="none"/>
          <w:lang w:val="zh-CN" w:eastAsia="zh-CN"/>
        </w:rPr>
        <w:t>2.评价方法</w:t>
      </w:r>
    </w:p>
    <w:p>
      <w:pPr>
        <w:spacing w:line="600" w:lineRule="exact"/>
        <w:ind w:firstLine="640" w:firstLineChars="200"/>
        <w:rPr>
          <w:rFonts w:hint="default" w:ascii="仿宋_GB2312" w:hAnsi="仿宋_GB2312" w:eastAsia="仿宋_GB2312" w:cs="仿宋_GB2312"/>
          <w:sz w:val="32"/>
          <w:szCs w:val="40"/>
          <w:highlight w:val="none"/>
          <w:lang w:val="zh-CN" w:eastAsia="zh-CN"/>
        </w:rPr>
      </w:pPr>
      <w:r>
        <w:rPr>
          <w:rFonts w:hint="default" w:ascii="仿宋_GB2312" w:hAnsi="仿宋_GB2312" w:eastAsia="仿宋_GB2312" w:cs="仿宋_GB2312"/>
          <w:sz w:val="32"/>
          <w:szCs w:val="40"/>
          <w:highlight w:val="none"/>
          <w:lang w:val="en-US" w:eastAsia="zh-CN"/>
        </w:rPr>
        <w:t>根据</w:t>
      </w:r>
      <w:r>
        <w:rPr>
          <w:rFonts w:hint="eastAsia" w:ascii="仿宋_GB2312" w:hAnsi="仿宋_GB2312" w:eastAsia="仿宋_GB2312" w:cs="仿宋_GB2312"/>
          <w:sz w:val="32"/>
          <w:szCs w:val="40"/>
          <w:highlight w:val="none"/>
          <w:lang w:val="en-US" w:eastAsia="zh-CN"/>
        </w:rPr>
        <w:t>支持新兴产业发展资金项目</w:t>
      </w:r>
      <w:r>
        <w:rPr>
          <w:rFonts w:hint="default" w:ascii="仿宋_GB2312" w:hAnsi="仿宋_GB2312" w:eastAsia="仿宋_GB2312" w:cs="仿宋_GB2312"/>
          <w:sz w:val="32"/>
          <w:szCs w:val="40"/>
          <w:highlight w:val="none"/>
          <w:lang w:val="en-US" w:eastAsia="zh-CN"/>
        </w:rPr>
        <w:t>特点，评价组拟采取比较法、因素分析法和公众评判法开展评价，具体采用资料核查，</w:t>
      </w:r>
      <w:r>
        <w:rPr>
          <w:rFonts w:hint="eastAsia" w:ascii="仿宋_GB2312" w:hAnsi="仿宋_GB2312" w:eastAsia="仿宋_GB2312" w:cs="仿宋_GB2312"/>
          <w:sz w:val="32"/>
          <w:szCs w:val="40"/>
          <w:highlight w:val="none"/>
          <w:lang w:val="en-US" w:eastAsia="zh-CN"/>
        </w:rPr>
        <w:t>实地</w:t>
      </w:r>
      <w:r>
        <w:rPr>
          <w:rFonts w:hint="default" w:ascii="仿宋_GB2312" w:hAnsi="仿宋_GB2312" w:eastAsia="仿宋_GB2312" w:cs="仿宋_GB2312"/>
          <w:sz w:val="32"/>
          <w:szCs w:val="40"/>
          <w:highlight w:val="none"/>
          <w:lang w:val="en-US" w:eastAsia="zh-CN"/>
        </w:rPr>
        <w:t>勘查，多层次访谈、座谈，专家评议</w:t>
      </w:r>
      <w:r>
        <w:rPr>
          <w:rFonts w:hint="eastAsia" w:ascii="仿宋_GB2312" w:hAnsi="仿宋_GB2312" w:eastAsia="仿宋_GB2312" w:cs="仿宋_GB2312"/>
          <w:sz w:val="32"/>
          <w:szCs w:val="40"/>
          <w:highlight w:val="none"/>
          <w:lang w:val="en-US" w:eastAsia="zh-CN"/>
        </w:rPr>
        <w:t>等方式</w:t>
      </w:r>
      <w:r>
        <w:rPr>
          <w:rFonts w:hint="default" w:ascii="仿宋_GB2312" w:hAnsi="仿宋_GB2312" w:eastAsia="仿宋_GB2312" w:cs="仿宋_GB2312"/>
          <w:sz w:val="32"/>
          <w:szCs w:val="40"/>
          <w:highlight w:val="none"/>
          <w:lang w:val="en-US" w:eastAsia="zh-CN"/>
        </w:rPr>
        <w:t>，结合绩效评价指标体系开展评价。</w:t>
      </w:r>
    </w:p>
    <w:p>
      <w:pPr>
        <w:spacing w:line="600" w:lineRule="exact"/>
        <w:ind w:firstLine="640" w:firstLineChars="200"/>
        <w:outlineLvl w:val="0"/>
        <w:rPr>
          <w:rFonts w:hint="eastAsia" w:ascii="黑体" w:hAnsi="黑体" w:eastAsia="黑体" w:cs="黑体"/>
          <w:sz w:val="32"/>
          <w:szCs w:val="40"/>
          <w:highlight w:val="none"/>
        </w:rPr>
      </w:pPr>
      <w:bookmarkStart w:id="16" w:name="_Toc21258"/>
      <w:r>
        <w:rPr>
          <w:rFonts w:hint="eastAsia" w:ascii="黑体" w:hAnsi="黑体" w:eastAsia="黑体" w:cs="黑体"/>
          <w:sz w:val="32"/>
          <w:szCs w:val="40"/>
          <w:highlight w:val="none"/>
        </w:rPr>
        <w:t>三、评价结论及分析</w:t>
      </w:r>
      <w:bookmarkEnd w:id="16"/>
    </w:p>
    <w:p>
      <w:pPr>
        <w:spacing w:line="600" w:lineRule="exact"/>
        <w:ind w:firstLine="640" w:firstLineChars="200"/>
        <w:outlineLvl w:val="1"/>
        <w:rPr>
          <w:rFonts w:hint="eastAsia" w:ascii="楷体_GB2312" w:hAnsi="楷体_GB2312" w:eastAsia="楷体_GB2312" w:cs="楷体_GB2312"/>
          <w:sz w:val="32"/>
          <w:szCs w:val="40"/>
          <w:highlight w:val="none"/>
        </w:rPr>
      </w:pPr>
      <w:bookmarkStart w:id="17" w:name="_Toc3878"/>
      <w:r>
        <w:rPr>
          <w:rFonts w:hint="eastAsia" w:ascii="楷体_GB2312" w:hAnsi="楷体_GB2312" w:eastAsia="楷体_GB2312" w:cs="楷体_GB2312"/>
          <w:sz w:val="32"/>
          <w:szCs w:val="40"/>
          <w:highlight w:val="none"/>
        </w:rPr>
        <w:t>（一）综合评价结论</w:t>
      </w:r>
      <w:bookmarkEnd w:id="17"/>
    </w:p>
    <w:p>
      <w:pPr>
        <w:spacing w:line="600" w:lineRule="exact"/>
        <w:ind w:firstLine="643" w:firstLineChars="200"/>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1.DCMM贯标奖补资金项目</w:t>
      </w:r>
    </w:p>
    <w:p>
      <w:pPr>
        <w:spacing w:line="600" w:lineRule="exact"/>
        <w:ind w:firstLine="640" w:firstLineChars="200"/>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该项目绩效评价得分86.44分（详见表5），评价结果为“良”</w:t>
      </w:r>
      <w:r>
        <w:rPr>
          <w:rFonts w:hint="default" w:ascii="仿宋_GB2312" w:hAnsi="仿宋_GB2312" w:eastAsia="仿宋_GB2312" w:cs="仿宋_GB2312"/>
          <w:sz w:val="32"/>
          <w:szCs w:val="40"/>
          <w:highlight w:val="none"/>
          <w:lang w:val="zh-TW" w:eastAsia="zh-CN"/>
        </w:rPr>
        <w:t>，具体得分情况如下表所示：</w:t>
      </w:r>
    </w:p>
    <w:p>
      <w:pPr>
        <w:pStyle w:val="3"/>
        <w:keepNext w:val="0"/>
        <w:keepLines w:val="0"/>
        <w:pageBreakBefore w:val="0"/>
        <w:kinsoku/>
        <w:wordWrap/>
        <w:overflowPunct/>
        <w:topLinePunct w:val="0"/>
        <w:autoSpaceDE/>
        <w:autoSpaceDN/>
        <w:bidi w:val="0"/>
        <w:adjustRightInd/>
        <w:snapToGrid/>
        <w:spacing w:line="600" w:lineRule="exact"/>
        <w:ind w:left="0" w:leftChars="0" w:firstLine="0" w:firstLineChars="0"/>
        <w:jc w:val="center"/>
        <w:rPr>
          <w:rFonts w:hint="eastAsia"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 xml:space="preserve">表 </w:t>
      </w:r>
      <w:r>
        <w:rPr>
          <w:rFonts w:hint="eastAsia" w:ascii="宋体" w:hAnsi="宋体" w:eastAsia="宋体" w:cs="宋体"/>
          <w:b/>
          <w:bCs/>
          <w:color w:val="auto"/>
          <w:kern w:val="0"/>
          <w:sz w:val="28"/>
          <w:szCs w:val="28"/>
          <w:highlight w:val="none"/>
          <w:u w:color="000000"/>
          <w:lang w:val="en-US" w:eastAsia="zh-CN" w:bidi="ar-SA"/>
        </w:rPr>
        <w:fldChar w:fldCharType="begin"/>
      </w:r>
      <w:r>
        <w:rPr>
          <w:rFonts w:hint="eastAsia" w:ascii="宋体" w:hAnsi="宋体" w:eastAsia="宋体" w:cs="宋体"/>
          <w:b/>
          <w:bCs/>
          <w:color w:val="auto"/>
          <w:kern w:val="0"/>
          <w:sz w:val="28"/>
          <w:szCs w:val="28"/>
          <w:highlight w:val="none"/>
          <w:u w:color="000000"/>
          <w:lang w:val="en-US" w:eastAsia="zh-CN" w:bidi="ar-SA"/>
        </w:rPr>
        <w:instrText xml:space="preserve"> SEQ 表 \* ARABIC </w:instrText>
      </w:r>
      <w:r>
        <w:rPr>
          <w:rFonts w:hint="eastAsia" w:ascii="宋体" w:hAnsi="宋体" w:eastAsia="宋体" w:cs="宋体"/>
          <w:b/>
          <w:bCs/>
          <w:color w:val="auto"/>
          <w:kern w:val="0"/>
          <w:sz w:val="28"/>
          <w:szCs w:val="28"/>
          <w:highlight w:val="none"/>
          <w:u w:color="000000"/>
          <w:lang w:val="en-US" w:eastAsia="zh-CN" w:bidi="ar-SA"/>
        </w:rPr>
        <w:fldChar w:fldCharType="separate"/>
      </w:r>
      <w:r>
        <w:rPr>
          <w:rFonts w:hint="eastAsia" w:ascii="宋体" w:hAnsi="宋体" w:eastAsia="宋体" w:cs="宋体"/>
          <w:b/>
          <w:bCs/>
          <w:color w:val="auto"/>
          <w:kern w:val="0"/>
          <w:sz w:val="28"/>
          <w:szCs w:val="28"/>
          <w:highlight w:val="none"/>
          <w:u w:color="000000"/>
          <w:lang w:val="en-US" w:eastAsia="zh-CN" w:bidi="ar-SA"/>
        </w:rPr>
        <w:t>5</w:t>
      </w:r>
      <w:r>
        <w:rPr>
          <w:rFonts w:hint="eastAsia" w:ascii="宋体" w:hAnsi="宋体" w:eastAsia="宋体" w:cs="宋体"/>
          <w:b/>
          <w:bCs/>
          <w:color w:val="auto"/>
          <w:kern w:val="0"/>
          <w:sz w:val="28"/>
          <w:szCs w:val="28"/>
          <w:highlight w:val="none"/>
          <w:u w:color="000000"/>
          <w:lang w:val="en-US" w:eastAsia="zh-CN" w:bidi="ar-SA"/>
        </w:rPr>
        <w:fldChar w:fldCharType="end"/>
      </w:r>
      <w:r>
        <w:rPr>
          <w:rFonts w:hint="eastAsia" w:ascii="宋体" w:hAnsi="宋体" w:eastAsia="宋体" w:cs="宋体"/>
          <w:b/>
          <w:bCs/>
          <w:color w:val="auto"/>
          <w:kern w:val="0"/>
          <w:sz w:val="28"/>
          <w:szCs w:val="28"/>
          <w:highlight w:val="none"/>
          <w:u w:color="000000"/>
          <w:lang w:val="en-US" w:eastAsia="zh-CN" w:bidi="ar-SA"/>
        </w:rPr>
        <w:t xml:space="preserve"> DCMM贯标奖补资金项目绩效评价得分情况表</w:t>
      </w:r>
    </w:p>
    <w:tbl>
      <w:tblPr>
        <w:tblStyle w:val="13"/>
        <w:tblW w:w="0" w:type="auto"/>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87"/>
        <w:gridCol w:w="208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一级指标</w:t>
            </w:r>
          </w:p>
        </w:tc>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指标分值</w:t>
            </w:r>
          </w:p>
        </w:tc>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得分</w:t>
            </w:r>
          </w:p>
        </w:tc>
        <w:tc>
          <w:tcPr>
            <w:tcW w:w="208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过程</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26.74</w:t>
            </w:r>
          </w:p>
        </w:tc>
        <w:tc>
          <w:tcPr>
            <w:tcW w:w="208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产出</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20.00</w:t>
            </w:r>
          </w:p>
        </w:tc>
        <w:tc>
          <w:tcPr>
            <w:tcW w:w="208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效益</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39.70</w:t>
            </w:r>
          </w:p>
        </w:tc>
        <w:tc>
          <w:tcPr>
            <w:tcW w:w="208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100</w:t>
            </w:r>
          </w:p>
        </w:tc>
        <w:tc>
          <w:tcPr>
            <w:tcW w:w="208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86.44</w:t>
            </w:r>
          </w:p>
        </w:tc>
        <w:tc>
          <w:tcPr>
            <w:tcW w:w="208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86.44%</w:t>
            </w:r>
          </w:p>
        </w:tc>
      </w:tr>
    </w:tbl>
    <w:p>
      <w:pPr>
        <w:keepNext/>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40"/>
          <w:highlight w:val="none"/>
          <w:lang w:eastAsia="zh-CN"/>
        </w:rPr>
      </w:pPr>
      <w:r>
        <w:rPr>
          <w:rFonts w:hint="eastAsia" w:ascii="仿宋_GB2312" w:hAnsi="仿宋_GB2312" w:eastAsia="仿宋_GB2312" w:cs="仿宋_GB2312"/>
          <w:b/>
          <w:bCs/>
          <w:sz w:val="32"/>
          <w:szCs w:val="40"/>
          <w:highlight w:val="none"/>
          <w:lang w:val="en-US" w:eastAsia="zh-CN"/>
        </w:rPr>
        <w:t>2.</w:t>
      </w:r>
      <w:r>
        <w:rPr>
          <w:rFonts w:hint="eastAsia" w:ascii="仿宋_GB2312" w:hAnsi="仿宋_GB2312" w:eastAsia="仿宋_GB2312" w:cs="仿宋_GB2312"/>
          <w:b/>
          <w:bCs/>
          <w:sz w:val="32"/>
          <w:szCs w:val="40"/>
          <w:highlight w:val="none"/>
        </w:rPr>
        <w:t>生物医药产业奖补</w:t>
      </w:r>
      <w:r>
        <w:rPr>
          <w:rFonts w:hint="eastAsia" w:ascii="仿宋_GB2312" w:hAnsi="仿宋_GB2312" w:eastAsia="仿宋_GB2312" w:cs="仿宋_GB2312"/>
          <w:b/>
          <w:bCs/>
          <w:sz w:val="32"/>
          <w:szCs w:val="40"/>
          <w:highlight w:val="none"/>
          <w:lang w:val="en-US" w:eastAsia="zh-CN"/>
        </w:rPr>
        <w:t>资金</w:t>
      </w:r>
      <w:r>
        <w:rPr>
          <w:rFonts w:hint="eastAsia" w:ascii="仿宋_GB2312" w:hAnsi="仿宋_GB2312" w:eastAsia="仿宋_GB2312" w:cs="仿宋_GB2312"/>
          <w:b/>
          <w:bCs/>
          <w:sz w:val="32"/>
          <w:szCs w:val="40"/>
          <w:highlight w:val="none"/>
        </w:rPr>
        <w:t>项目</w:t>
      </w:r>
    </w:p>
    <w:p>
      <w:pPr>
        <w:spacing w:line="600" w:lineRule="exact"/>
        <w:ind w:firstLine="640" w:firstLineChars="200"/>
        <w:rPr>
          <w:rFonts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该项目绩效评价得分</w:t>
      </w:r>
      <w:r>
        <w:rPr>
          <w:rFonts w:hint="eastAsia" w:ascii="仿宋_GB2312" w:hAnsi="仿宋_GB2312" w:eastAsia="仿宋_GB2312" w:cs="仿宋_GB2312"/>
          <w:sz w:val="32"/>
          <w:szCs w:val="40"/>
          <w:highlight w:val="none"/>
          <w:lang w:val="en-US" w:eastAsia="zh-CN"/>
        </w:rPr>
        <w:t>85.57</w:t>
      </w:r>
      <w:r>
        <w:rPr>
          <w:rFonts w:hint="eastAsia" w:ascii="仿宋_GB2312" w:hAnsi="仿宋_GB2312" w:eastAsia="仿宋_GB2312" w:cs="仿宋_GB2312"/>
          <w:sz w:val="32"/>
          <w:szCs w:val="40"/>
          <w:highlight w:val="none"/>
        </w:rPr>
        <w:t>分（详见表</w:t>
      </w:r>
      <w:r>
        <w:rPr>
          <w:rFonts w:hint="eastAsia" w:ascii="仿宋_GB2312" w:hAnsi="仿宋_GB2312" w:eastAsia="仿宋_GB2312" w:cs="仿宋_GB2312"/>
          <w:sz w:val="32"/>
          <w:szCs w:val="40"/>
          <w:highlight w:val="none"/>
          <w:lang w:val="en-US" w:eastAsia="zh-CN"/>
        </w:rPr>
        <w:t>6</w:t>
      </w:r>
      <w:r>
        <w:rPr>
          <w:rFonts w:hint="eastAsia" w:ascii="仿宋_GB2312" w:hAnsi="仿宋_GB2312" w:eastAsia="仿宋_GB2312" w:cs="仿宋_GB2312"/>
          <w:sz w:val="32"/>
          <w:szCs w:val="40"/>
          <w:highlight w:val="none"/>
        </w:rPr>
        <w:t>），评价结果为“</w:t>
      </w:r>
      <w:r>
        <w:rPr>
          <w:rFonts w:hint="eastAsia" w:ascii="仿宋_GB2312" w:hAnsi="仿宋_GB2312" w:eastAsia="仿宋_GB2312" w:cs="仿宋_GB2312"/>
          <w:sz w:val="32"/>
          <w:szCs w:val="40"/>
          <w:highlight w:val="none"/>
          <w:lang w:val="en-US" w:eastAsia="zh-CN"/>
        </w:rPr>
        <w:t>良</w:t>
      </w:r>
      <w:r>
        <w:rPr>
          <w:rFonts w:hint="eastAsia" w:ascii="仿宋_GB2312" w:hAnsi="仿宋_GB2312" w:eastAsia="仿宋_GB2312" w:cs="仿宋_GB2312"/>
          <w:sz w:val="32"/>
          <w:szCs w:val="40"/>
          <w:highlight w:val="none"/>
        </w:rPr>
        <w:t>”</w:t>
      </w:r>
      <w:r>
        <w:rPr>
          <w:rFonts w:hint="default" w:ascii="仿宋_GB2312" w:hAnsi="仿宋_GB2312" w:eastAsia="仿宋_GB2312" w:cs="仿宋_GB2312"/>
          <w:b w:val="0"/>
          <w:bCs w:val="0"/>
          <w:color w:val="auto"/>
          <w:kern w:val="2"/>
          <w:sz w:val="32"/>
          <w:szCs w:val="32"/>
          <w:lang w:val="zh-TW" w:eastAsia="zh-CN" w:bidi="ar-SA"/>
        </w:rPr>
        <w:t>，具体得分情况如下表所示：</w:t>
      </w:r>
    </w:p>
    <w:p>
      <w:pPr>
        <w:pStyle w:val="3"/>
        <w:spacing w:line="600" w:lineRule="exact"/>
        <w:ind w:left="0" w:leftChars="0" w:firstLine="0" w:firstLineChars="0"/>
        <w:jc w:val="center"/>
        <w:rPr>
          <w:rFonts w:hint="eastAsia"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 xml:space="preserve">表 </w:t>
      </w:r>
      <w:r>
        <w:rPr>
          <w:rFonts w:hint="eastAsia" w:ascii="宋体" w:hAnsi="宋体" w:eastAsia="宋体" w:cs="宋体"/>
          <w:b/>
          <w:bCs/>
          <w:color w:val="auto"/>
          <w:kern w:val="0"/>
          <w:sz w:val="28"/>
          <w:szCs w:val="28"/>
          <w:highlight w:val="none"/>
          <w:u w:color="000000"/>
          <w:lang w:val="en-US" w:eastAsia="zh-CN" w:bidi="ar-SA"/>
        </w:rPr>
        <w:fldChar w:fldCharType="begin"/>
      </w:r>
      <w:r>
        <w:rPr>
          <w:rFonts w:hint="eastAsia" w:ascii="宋体" w:hAnsi="宋体" w:eastAsia="宋体" w:cs="宋体"/>
          <w:b/>
          <w:bCs/>
          <w:color w:val="auto"/>
          <w:kern w:val="0"/>
          <w:sz w:val="28"/>
          <w:szCs w:val="28"/>
          <w:highlight w:val="none"/>
          <w:u w:color="000000"/>
          <w:lang w:val="en-US" w:eastAsia="zh-CN" w:bidi="ar-SA"/>
        </w:rPr>
        <w:instrText xml:space="preserve"> SEQ 表 \* ARABIC </w:instrText>
      </w:r>
      <w:r>
        <w:rPr>
          <w:rFonts w:hint="eastAsia" w:ascii="宋体" w:hAnsi="宋体" w:eastAsia="宋体" w:cs="宋体"/>
          <w:b/>
          <w:bCs/>
          <w:color w:val="auto"/>
          <w:kern w:val="0"/>
          <w:sz w:val="28"/>
          <w:szCs w:val="28"/>
          <w:highlight w:val="none"/>
          <w:u w:color="000000"/>
          <w:lang w:val="en-US" w:eastAsia="zh-CN" w:bidi="ar-SA"/>
        </w:rPr>
        <w:fldChar w:fldCharType="separate"/>
      </w:r>
      <w:r>
        <w:rPr>
          <w:rFonts w:hint="eastAsia" w:ascii="宋体" w:hAnsi="宋体" w:eastAsia="宋体" w:cs="宋体"/>
          <w:b/>
          <w:bCs/>
          <w:color w:val="auto"/>
          <w:kern w:val="0"/>
          <w:sz w:val="28"/>
          <w:szCs w:val="28"/>
          <w:highlight w:val="none"/>
          <w:u w:color="000000"/>
          <w:lang w:val="en-US" w:eastAsia="zh-CN" w:bidi="ar-SA"/>
        </w:rPr>
        <w:t>6</w:t>
      </w:r>
      <w:r>
        <w:rPr>
          <w:rFonts w:hint="eastAsia" w:ascii="宋体" w:hAnsi="宋体" w:eastAsia="宋体" w:cs="宋体"/>
          <w:b/>
          <w:bCs/>
          <w:color w:val="auto"/>
          <w:kern w:val="0"/>
          <w:sz w:val="28"/>
          <w:szCs w:val="28"/>
          <w:highlight w:val="none"/>
          <w:u w:color="000000"/>
          <w:lang w:val="en-US" w:eastAsia="zh-CN" w:bidi="ar-SA"/>
        </w:rPr>
        <w:fldChar w:fldCharType="end"/>
      </w:r>
      <w:r>
        <w:rPr>
          <w:rFonts w:hint="eastAsia" w:ascii="宋体" w:hAnsi="宋体" w:eastAsia="宋体" w:cs="宋体"/>
          <w:b/>
          <w:bCs/>
          <w:color w:val="auto"/>
          <w:kern w:val="0"/>
          <w:sz w:val="28"/>
          <w:szCs w:val="28"/>
          <w:highlight w:val="none"/>
          <w:u w:color="000000"/>
          <w:lang w:val="en-US" w:eastAsia="zh-CN" w:bidi="ar-SA"/>
        </w:rPr>
        <w:t xml:space="preserve"> 生物医药产业奖补资金项目绩效评价得分情况表</w:t>
      </w:r>
    </w:p>
    <w:tbl>
      <w:tblPr>
        <w:tblStyle w:val="13"/>
        <w:tblW w:w="0" w:type="auto"/>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87"/>
        <w:gridCol w:w="208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黑体" w:hAnsi="黑体" w:eastAsia="黑体" w:cs="黑体"/>
                <w:sz w:val="28"/>
                <w:szCs w:val="28"/>
                <w:highlight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黑体" w:hAnsi="黑体" w:eastAsia="黑体" w:cs="黑体"/>
                <w:sz w:val="28"/>
                <w:szCs w:val="28"/>
                <w:highlight w:val="none"/>
              </w:rPr>
            </w:pPr>
            <w:r>
              <w:rPr>
                <w:rFonts w:hint="eastAsia" w:ascii="宋体" w:hAnsi="宋体" w:eastAsia="宋体" w:cs="宋体"/>
                <w:b/>
                <w:bCs/>
                <w:i w:val="0"/>
                <w:iCs w:val="0"/>
                <w:color w:val="000000"/>
                <w:kern w:val="0"/>
                <w:sz w:val="24"/>
                <w:szCs w:val="24"/>
                <w:u w:val="none"/>
                <w:lang w:val="en-US" w:eastAsia="zh-CN" w:bidi="ar"/>
              </w:rPr>
              <w:t>指标分值</w:t>
            </w:r>
          </w:p>
        </w:tc>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黑体" w:hAnsi="黑体" w:eastAsia="黑体" w:cs="黑体"/>
                <w:sz w:val="28"/>
                <w:szCs w:val="28"/>
                <w:highlight w:val="none"/>
              </w:rPr>
            </w:pPr>
            <w:r>
              <w:rPr>
                <w:rFonts w:hint="eastAsia" w:ascii="宋体" w:hAnsi="宋体" w:eastAsia="宋体" w:cs="宋体"/>
                <w:b/>
                <w:bCs/>
                <w:i w:val="0"/>
                <w:iCs w:val="0"/>
                <w:color w:val="000000"/>
                <w:kern w:val="0"/>
                <w:sz w:val="24"/>
                <w:szCs w:val="24"/>
                <w:u w:val="none"/>
                <w:lang w:val="en-US" w:eastAsia="zh-CN" w:bidi="ar"/>
              </w:rPr>
              <w:t>得分</w:t>
            </w:r>
          </w:p>
        </w:tc>
        <w:tc>
          <w:tcPr>
            <w:tcW w:w="2088"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黑体" w:hAnsi="黑体" w:eastAsia="黑体" w:cs="黑体"/>
                <w:sz w:val="28"/>
                <w:szCs w:val="28"/>
                <w:highlight w:val="none"/>
              </w:rPr>
            </w:pPr>
            <w:r>
              <w:rPr>
                <w:rFonts w:hint="eastAsia" w:ascii="宋体" w:hAnsi="宋体" w:eastAsia="宋体" w:cs="宋体"/>
                <w:b/>
                <w:bCs/>
                <w:i w:val="0"/>
                <w:iCs w:val="0"/>
                <w:color w:val="000000"/>
                <w:kern w:val="0"/>
                <w:sz w:val="24"/>
                <w:szCs w:val="24"/>
                <w:u w:val="none"/>
                <w:lang w:val="en-US" w:eastAsia="zh-CN" w:bidi="ar"/>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仿宋_GB2312" w:hAnsi="仿宋_GB2312" w:eastAsia="仿宋_GB2312" w:cs="仿宋_GB2312"/>
                <w:sz w:val="28"/>
                <w:szCs w:val="28"/>
                <w:highlight w:val="none"/>
              </w:rPr>
            </w:pPr>
            <w:r>
              <w:rPr>
                <w:rFonts w:hint="eastAsia" w:ascii="宋体" w:hAnsi="宋体" w:eastAsia="宋体" w:cs="宋体"/>
                <w:i w:val="0"/>
                <w:iCs w:val="0"/>
                <w:color w:val="000000"/>
                <w:kern w:val="0"/>
                <w:sz w:val="24"/>
                <w:szCs w:val="24"/>
                <w:u w:val="none"/>
                <w:lang w:val="en-US" w:eastAsia="zh-CN" w:bidi="ar"/>
              </w:rPr>
              <w:t>过程</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27.49</w:t>
            </w:r>
          </w:p>
        </w:tc>
        <w:tc>
          <w:tcPr>
            <w:tcW w:w="2088"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仿宋_GB2312" w:hAnsi="仿宋_GB2312" w:eastAsia="仿宋_GB2312" w:cs="仿宋_GB2312"/>
                <w:sz w:val="28"/>
                <w:szCs w:val="28"/>
                <w:highlight w:val="none"/>
              </w:rPr>
            </w:pPr>
            <w:r>
              <w:rPr>
                <w:rFonts w:hint="eastAsia" w:ascii="宋体" w:hAnsi="宋体" w:eastAsia="宋体" w:cs="宋体"/>
                <w:i w:val="0"/>
                <w:iCs w:val="0"/>
                <w:color w:val="000000"/>
                <w:kern w:val="0"/>
                <w:sz w:val="24"/>
                <w:szCs w:val="24"/>
                <w:u w:val="none"/>
                <w:lang w:val="en-US" w:eastAsia="zh-CN" w:bidi="ar"/>
              </w:rPr>
              <w:t>产出</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16.19</w:t>
            </w:r>
          </w:p>
        </w:tc>
        <w:tc>
          <w:tcPr>
            <w:tcW w:w="2088"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仿宋_GB2312" w:hAnsi="仿宋_GB2312" w:eastAsia="仿宋_GB2312" w:cs="仿宋_GB2312"/>
                <w:sz w:val="28"/>
                <w:szCs w:val="28"/>
                <w:highlight w:val="none"/>
              </w:rPr>
            </w:pPr>
            <w:r>
              <w:rPr>
                <w:rFonts w:hint="eastAsia" w:ascii="宋体" w:hAnsi="宋体" w:eastAsia="宋体" w:cs="宋体"/>
                <w:i w:val="0"/>
                <w:iCs w:val="0"/>
                <w:color w:val="000000"/>
                <w:kern w:val="0"/>
                <w:sz w:val="24"/>
                <w:szCs w:val="24"/>
                <w:u w:val="none"/>
                <w:lang w:val="en-US" w:eastAsia="zh-CN" w:bidi="ar"/>
              </w:rPr>
              <w:t>效益</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41.89</w:t>
            </w:r>
          </w:p>
        </w:tc>
        <w:tc>
          <w:tcPr>
            <w:tcW w:w="2088"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7" w:type="dxa"/>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仿宋_GB2312" w:hAnsi="仿宋_GB2312" w:eastAsia="仿宋_GB2312" w:cs="仿宋_GB2312"/>
                <w:sz w:val="28"/>
                <w:szCs w:val="28"/>
                <w:highlight w:val="none"/>
              </w:rPr>
            </w:pPr>
            <w:r>
              <w:rPr>
                <w:rFonts w:hint="eastAsia" w:ascii="宋体" w:hAnsi="宋体" w:eastAsia="宋体" w:cs="宋体"/>
                <w:b/>
                <w:bCs/>
                <w:i w:val="0"/>
                <w:iCs w:val="0"/>
                <w:color w:val="000000"/>
                <w:kern w:val="0"/>
                <w:sz w:val="24"/>
                <w:szCs w:val="24"/>
                <w:u w:val="none"/>
                <w:lang w:val="en-US" w:eastAsia="zh-CN" w:bidi="ar"/>
              </w:rPr>
              <w:t>合计</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100</w:t>
            </w:r>
          </w:p>
        </w:tc>
        <w:tc>
          <w:tcPr>
            <w:tcW w:w="2087"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85.57</w:t>
            </w:r>
          </w:p>
        </w:tc>
        <w:tc>
          <w:tcPr>
            <w:tcW w:w="2088" w:type="dxa"/>
            <w:shd w:val="clear" w:color="auto" w:fill="auto"/>
            <w:vAlign w:val="center"/>
          </w:tcPr>
          <w:p>
            <w:pPr>
              <w:keepNext/>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85.57%</w:t>
            </w:r>
          </w:p>
        </w:tc>
      </w:tr>
    </w:tbl>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eastAsia" w:ascii="楷体_GB2312" w:hAnsi="楷体_GB2312" w:eastAsia="楷体_GB2312" w:cs="楷体_GB2312"/>
          <w:sz w:val="32"/>
          <w:szCs w:val="40"/>
          <w:highlight w:val="none"/>
        </w:rPr>
      </w:pPr>
      <w:bookmarkStart w:id="18" w:name="_Toc23757"/>
      <w:r>
        <w:rPr>
          <w:rFonts w:hint="eastAsia" w:ascii="楷体_GB2312" w:hAnsi="楷体_GB2312" w:eastAsia="楷体_GB2312" w:cs="楷体_GB2312"/>
          <w:sz w:val="32"/>
          <w:szCs w:val="40"/>
          <w:highlight w:val="none"/>
        </w:rPr>
        <w:t>（二）指标分析</w:t>
      </w:r>
      <w:bookmarkEnd w:id="18"/>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1.DCMM贯标奖补资金项目</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（1）过程指标分析</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指标分值为30.00分，评价得分26.74分，得分率89.13%。</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40"/>
          <w:highlight w:val="none"/>
          <w:lang w:val="en-US" w:eastAsia="zh-CN"/>
        </w:rPr>
      </w:pPr>
      <w:r>
        <w:rPr>
          <w:rFonts w:hint="eastAsia" w:ascii="仿宋_GB2312" w:hAnsi="仿宋_GB2312" w:eastAsia="仿宋_GB2312" w:cs="仿宋_GB2312"/>
          <w:b/>
          <w:bCs/>
          <w:color w:val="auto"/>
          <w:sz w:val="32"/>
          <w:highlight w:val="none"/>
          <w:lang w:val="en-US" w:eastAsia="zh-CN"/>
        </w:rPr>
        <w:t>资金管理方面</w:t>
      </w:r>
      <w:r>
        <w:rPr>
          <w:rFonts w:hint="eastAsia" w:ascii="仿宋_GB2312" w:hAnsi="仿宋_GB2312" w:eastAsia="仿宋_GB2312" w:cs="仿宋_GB2312"/>
          <w:b w:val="0"/>
          <w:bCs w:val="0"/>
          <w:sz w:val="32"/>
          <w:szCs w:val="40"/>
          <w:highlight w:val="none"/>
          <w:lang w:val="en-US" w:eastAsia="zh-CN"/>
        </w:rPr>
        <w:t>，DCMM贯标奖补资金项目2024年资金预算为480万元，市财政局按程序将资金下达至区（市）财政部门，由区（市）财政部门拨付至企业。截至评价日，受奖补企业共收到资金20万元。2025年资金预算为930万元，截至评价日，市财政局按程序将资金下达市工信局，市工信局已将预算资金“点对点”全额拨付至受奖补企业。。项目总预算资金为1410万元，总到位资金为1410万元，总执行资金为950万元，整体预算执行率为67.38%，资金使用符合国家财经法规和财务管理制度的规定。</w:t>
      </w:r>
      <w:r>
        <w:rPr>
          <w:rFonts w:hint="eastAsia" w:ascii="仿宋_GB2312" w:hAnsi="仿宋_GB2312" w:eastAsia="仿宋_GB2312" w:cs="仿宋_GB2312"/>
          <w:b/>
          <w:bCs/>
          <w:color w:val="auto"/>
          <w:sz w:val="32"/>
          <w:highlight w:val="none"/>
          <w:lang w:val="en-US" w:eastAsia="zh-CN"/>
        </w:rPr>
        <w:t>制度执行方面</w:t>
      </w:r>
      <w:r>
        <w:rPr>
          <w:rFonts w:hint="eastAsia" w:ascii="仿宋_GB2312" w:hAnsi="仿宋_GB2312" w:eastAsia="仿宋_GB2312" w:cs="仿宋_GB2312"/>
          <w:b w:val="0"/>
          <w:bCs w:val="0"/>
          <w:sz w:val="32"/>
          <w:szCs w:val="40"/>
          <w:highlight w:val="none"/>
          <w:lang w:val="en-US" w:eastAsia="zh-CN"/>
        </w:rPr>
        <w:t>，项目主管部门制定的财务与业务管理制度合法、合规且完备，区、市级工信局对申报项目的审核与认定流程规范。</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扣分原因主要为：</w:t>
      </w:r>
      <w:r>
        <w:rPr>
          <w:rFonts w:hint="eastAsia" w:ascii="仿宋_GB2312" w:hAnsi="仿宋_GB2312" w:eastAsia="仿宋_GB2312" w:cs="仿宋_GB2312"/>
          <w:b w:val="0"/>
          <w:bCs w:val="0"/>
          <w:sz w:val="32"/>
          <w:szCs w:val="40"/>
          <w:highlight w:val="none"/>
          <w:lang w:val="en-US" w:eastAsia="zh-CN"/>
        </w:rPr>
        <w:t>DCMM贯标奖补资金项目2024年资金预算为480万元，</w:t>
      </w:r>
      <w:r>
        <w:rPr>
          <w:rFonts w:hint="eastAsia" w:ascii="仿宋_GB2312" w:hAnsi="仿宋_GB2312" w:eastAsia="仿宋_GB2312" w:cs="仿宋_GB2312"/>
          <w:sz w:val="32"/>
          <w:szCs w:val="40"/>
          <w:highlight w:val="none"/>
          <w:lang w:val="en-US" w:eastAsia="zh-CN"/>
        </w:rPr>
        <w:t>截至评价日，受奖补企业仅收到奖补资金20万元。</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（2）产出指标分析</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指标分值为20.00分，评价得分20.00分，得分率100.00%。</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市工信局在项目落地实施过程中，严格按照《关于加快数字经济高质量发展的实施方案工信领域配套细则》等文件规定的操作流程与执行标准，对申报企业进行资格审查。本次评价过程中，未发现受奖补企业资格条件未达要求的情况。</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（3）效益指标分析</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指标分值为50.00分，评价得分39.70分，得分率79.40%。</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color w:val="auto"/>
          <w:sz w:val="32"/>
          <w:highlight w:val="none"/>
          <w:lang w:val="en-US" w:eastAsia="zh-CN"/>
        </w:rPr>
        <w:t>经济效益方面</w:t>
      </w:r>
      <w:r>
        <w:rPr>
          <w:rFonts w:hint="eastAsia" w:ascii="仿宋_GB2312" w:hAnsi="仿宋_GB2312" w:eastAsia="仿宋_GB2312" w:cs="仿宋_GB2312"/>
          <w:sz w:val="32"/>
          <w:szCs w:val="40"/>
          <w:highlight w:val="none"/>
          <w:lang w:val="en-US" w:eastAsia="zh-CN"/>
        </w:rPr>
        <w:t>，在获得奖补的141家数字经济企业中，共有90家企业的营业收入与往年同期相比实现增长，占比63.83%。</w:t>
      </w:r>
      <w:r>
        <w:rPr>
          <w:rFonts w:hint="eastAsia" w:ascii="仿宋_GB2312" w:hAnsi="仿宋_GB2312" w:eastAsia="仿宋_GB2312" w:cs="仿宋_GB2312"/>
          <w:b/>
          <w:bCs/>
          <w:kern w:val="2"/>
          <w:sz w:val="32"/>
          <w:szCs w:val="40"/>
          <w:highlight w:val="none"/>
          <w:lang w:val="en-US" w:eastAsia="zh-CN" w:bidi="ar-SA"/>
        </w:rPr>
        <w:t>社会效益方面</w:t>
      </w:r>
      <w:r>
        <w:rPr>
          <w:rFonts w:hint="eastAsia" w:ascii="仿宋_GB2312" w:hAnsi="仿宋_GB2312" w:eastAsia="仿宋_GB2312" w:cs="仿宋_GB2312"/>
          <w:kern w:val="2"/>
          <w:sz w:val="32"/>
          <w:szCs w:val="40"/>
          <w:highlight w:val="none"/>
          <w:lang w:val="en-US" w:eastAsia="zh-CN" w:bidi="ar-SA"/>
        </w:rPr>
        <w:t>，数字经济规划目标的达成以及专利授权和软件著作权数量的增长均取得了积极进展，为产业的创新发展注入了强大动力。</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spacing w:val="0"/>
          <w:sz w:val="32"/>
          <w:szCs w:val="40"/>
          <w:highlight w:val="none"/>
          <w:shd w:val="clear"/>
          <w:lang w:val="en-US" w:eastAsia="zh-CN"/>
        </w:rPr>
      </w:pPr>
      <w:r>
        <w:rPr>
          <w:rFonts w:hint="eastAsia" w:ascii="仿宋_GB2312" w:hAnsi="仿宋_GB2312" w:eastAsia="仿宋_GB2312" w:cs="仿宋_GB2312"/>
          <w:sz w:val="32"/>
          <w:szCs w:val="40"/>
          <w:highlight w:val="none"/>
          <w:lang w:val="en-US" w:eastAsia="zh-CN"/>
        </w:rPr>
        <w:t>扣分原因主要为：</w:t>
      </w: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sz w:val="32"/>
          <w:szCs w:val="40"/>
          <w:highlight w:val="none"/>
          <w:lang w:val="en-US" w:eastAsia="zh-CN"/>
        </w:rPr>
        <w:t>受奖补企业自我造血能力不佳</w:t>
      </w:r>
      <w:r>
        <w:rPr>
          <w:rFonts w:hint="eastAsia" w:ascii="仿宋_GB2312" w:hAnsi="仿宋_GB2312" w:eastAsia="仿宋_GB2312" w:cs="仿宋_GB2312"/>
          <w:i w:val="0"/>
          <w:iCs w:val="0"/>
          <w:caps w:val="0"/>
          <w:spacing w:val="0"/>
          <w:sz w:val="32"/>
          <w:szCs w:val="40"/>
          <w:highlight w:val="none"/>
          <w:shd w:val="clear"/>
          <w:lang w:val="en-US" w:eastAsia="zh-CN"/>
        </w:rPr>
        <w:t>。在获得奖补的141家数字经济企业中，有51家企业的营业收入出现下滑，占比36.17%；有15</w:t>
      </w:r>
      <w:r>
        <w:rPr>
          <w:rFonts w:hint="eastAsia" w:ascii="仿宋_GB2312" w:hAnsi="仿宋_GB2312" w:eastAsia="仿宋_GB2312" w:cs="仿宋_GB2312"/>
          <w:sz w:val="32"/>
          <w:szCs w:val="40"/>
          <w:highlight w:val="none"/>
          <w:lang w:val="en-US" w:eastAsia="zh-CN"/>
        </w:rPr>
        <w:t>家企业的发明专利授权无增长，</w:t>
      </w:r>
      <w:r>
        <w:rPr>
          <w:rFonts w:hint="eastAsia" w:ascii="仿宋_GB2312" w:hAnsi="仿宋_GB2312" w:eastAsia="仿宋_GB2312" w:cs="仿宋_GB2312"/>
          <w:i w:val="0"/>
          <w:iCs w:val="0"/>
          <w:caps w:val="0"/>
          <w:spacing w:val="0"/>
          <w:sz w:val="32"/>
          <w:szCs w:val="40"/>
          <w:highlight w:val="none"/>
          <w:shd w:val="clear"/>
          <w:lang w:val="en-US" w:eastAsia="zh-CN"/>
        </w:rPr>
        <w:t>占比10.64%；有</w:t>
      </w:r>
      <w:r>
        <w:rPr>
          <w:rFonts w:hint="eastAsia" w:ascii="仿宋_GB2312" w:hAnsi="仿宋_GB2312" w:eastAsia="仿宋_GB2312" w:cs="仿宋_GB2312"/>
          <w:sz w:val="32"/>
          <w:szCs w:val="40"/>
          <w:highlight w:val="none"/>
          <w:lang w:val="en-US" w:eastAsia="zh-CN"/>
        </w:rPr>
        <w:t>37家企业的软件著作权数量无增长，</w:t>
      </w:r>
      <w:r>
        <w:rPr>
          <w:rFonts w:hint="eastAsia" w:ascii="仿宋_GB2312" w:hAnsi="仿宋_GB2312" w:eastAsia="仿宋_GB2312" w:cs="仿宋_GB2312"/>
          <w:i w:val="0"/>
          <w:iCs w:val="0"/>
          <w:caps w:val="0"/>
          <w:spacing w:val="0"/>
          <w:sz w:val="32"/>
          <w:szCs w:val="40"/>
          <w:highlight w:val="none"/>
          <w:shd w:val="clear"/>
          <w:lang w:val="en-US" w:eastAsia="zh-CN"/>
        </w:rPr>
        <w:t>占比26.24%。</w:t>
      </w: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i w:val="0"/>
          <w:iCs w:val="0"/>
          <w:caps w:val="0"/>
          <w:spacing w:val="0"/>
          <w:sz w:val="32"/>
          <w:szCs w:val="40"/>
          <w:highlight w:val="none"/>
          <w:shd w:val="clear"/>
          <w:lang w:val="en-US" w:eastAsia="zh-CN"/>
        </w:rPr>
        <w:t>重点领域覆盖不全。2025年，青岛市已明确“10+1”重点产业发展方向，具体包括优先发展2个先导产业、突破发展5个新兴产业、提质发展3个优势产业、超前发展1批未来产业。但从当前DCMM贯标企业的领域分布来看，其覆盖范围未能涉及“10+1”重点产业中的智能网联新能源汽车、绿色能源、高端化工与新材料三大领域，未能实现重点产业领域的全面覆盖。</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2.</w:t>
      </w:r>
      <w:r>
        <w:rPr>
          <w:rFonts w:hint="eastAsia" w:ascii="仿宋_GB2312" w:hAnsi="仿宋_GB2312" w:eastAsia="仿宋_GB2312" w:cs="仿宋_GB2312"/>
          <w:sz w:val="32"/>
          <w:szCs w:val="40"/>
          <w:highlight w:val="none"/>
        </w:rPr>
        <w:t>生物医药产业奖补</w:t>
      </w:r>
      <w:r>
        <w:rPr>
          <w:rFonts w:hint="eastAsia" w:ascii="仿宋_GB2312" w:hAnsi="仿宋_GB2312" w:eastAsia="仿宋_GB2312" w:cs="仿宋_GB2312"/>
          <w:sz w:val="32"/>
          <w:szCs w:val="40"/>
          <w:highlight w:val="none"/>
          <w:lang w:val="en-US" w:eastAsia="zh-CN"/>
        </w:rPr>
        <w:t>资金</w:t>
      </w:r>
      <w:r>
        <w:rPr>
          <w:rFonts w:hint="eastAsia" w:ascii="仿宋_GB2312" w:hAnsi="仿宋_GB2312" w:eastAsia="仿宋_GB2312" w:cs="仿宋_GB2312"/>
          <w:sz w:val="32"/>
          <w:szCs w:val="40"/>
          <w:highlight w:val="none"/>
        </w:rPr>
        <w:t>项目</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（1）过程指标分析</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指标分值为30.00分，评价得分27.49分，得分率91.63%。</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color w:val="auto"/>
          <w:sz w:val="32"/>
          <w:highlight w:val="none"/>
          <w:lang w:val="en-US" w:eastAsia="zh-CN"/>
        </w:rPr>
        <w:t>资金管理方面</w:t>
      </w:r>
      <w:r>
        <w:rPr>
          <w:rFonts w:hint="eastAsia" w:ascii="仿宋_GB2312" w:hAnsi="仿宋_GB2312" w:eastAsia="仿宋_GB2312" w:cs="仿宋_GB2312"/>
          <w:sz w:val="32"/>
          <w:szCs w:val="40"/>
          <w:highlight w:val="none"/>
          <w:lang w:val="en-US" w:eastAsia="zh-CN"/>
        </w:rPr>
        <w:t>，生物医药产业奖补资金项目2024年资金预算为648.9万元，市财政局按程序将资金下达至区（市）财政部门，由区（市）财政部门拨付至企业。截至评价日，市财政局已将648.9万元全额拨付至区（市）财政部门，但受奖补企业仅收到78.9万元。2025年资金预算为3120万元，截至评价日，市财政局按程序将资金下达市工信局，市工信局已将预算资金“点对点”全额拨付至受奖补企业。综上，项目预算总金额为3768.9万元，到位资金3768.9万元，支出资金3198.9万元，整体预算执行率为84.88%，资金使用效率较高，资金使用符合国家财经法规和财务管理制度的规定。</w:t>
      </w:r>
      <w:r>
        <w:rPr>
          <w:rFonts w:hint="eastAsia" w:ascii="仿宋_GB2312" w:hAnsi="仿宋_GB2312" w:eastAsia="仿宋_GB2312" w:cs="仿宋_GB2312"/>
          <w:b/>
          <w:bCs/>
          <w:color w:val="auto"/>
          <w:sz w:val="32"/>
          <w:highlight w:val="none"/>
          <w:lang w:val="en-US" w:eastAsia="zh-CN"/>
        </w:rPr>
        <w:t>组织实施方面</w:t>
      </w:r>
      <w:r>
        <w:rPr>
          <w:rFonts w:hint="eastAsia" w:ascii="仿宋_GB2312" w:hAnsi="仿宋_GB2312" w:eastAsia="仿宋_GB2312" w:cs="仿宋_GB2312"/>
          <w:b w:val="0"/>
          <w:bCs w:val="0"/>
          <w:sz w:val="32"/>
          <w:szCs w:val="40"/>
          <w:highlight w:val="none"/>
          <w:lang w:val="en-US" w:eastAsia="zh-CN"/>
        </w:rPr>
        <w:t>，项目的</w:t>
      </w:r>
      <w:r>
        <w:rPr>
          <w:rFonts w:hint="eastAsia" w:ascii="仿宋_GB2312" w:hAnsi="仿宋_GB2312" w:eastAsia="仿宋_GB2312" w:cs="仿宋_GB2312"/>
          <w:sz w:val="32"/>
          <w:szCs w:val="40"/>
          <w:highlight w:val="none"/>
          <w:lang w:val="en-US" w:eastAsia="zh-CN"/>
        </w:rPr>
        <w:t>申报条件、奖补标准、申报材料清单及有效期明确清晰，与上级政策衔接紧密，审核流程合规，信息公示及时。</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扣分原因主要为：专家评审缺乏标准化规范，未制定明确的专家评审标准以及审核要点。</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（2）产出指标分析</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指标分值为20.00分，评价得分16.19分，得分率80.95%。</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val="0"/>
          <w:bCs w:val="0"/>
          <w:color w:val="auto"/>
          <w:sz w:val="32"/>
          <w:highlight w:val="none"/>
          <w:lang w:val="en-US" w:eastAsia="zh-CN"/>
        </w:rPr>
        <w:t>在奖补企业相符率方面</w:t>
      </w:r>
      <w:r>
        <w:rPr>
          <w:rFonts w:hint="eastAsia" w:ascii="仿宋_GB2312" w:hAnsi="仿宋_GB2312" w:eastAsia="仿宋_GB2312" w:cs="仿宋_GB2312"/>
          <w:b w:val="0"/>
          <w:bCs w:val="0"/>
          <w:sz w:val="32"/>
          <w:szCs w:val="40"/>
          <w:highlight w:val="none"/>
          <w:lang w:val="en-US" w:eastAsia="zh-CN"/>
        </w:rPr>
        <w:t>，主管部门严格核查企业申报资料的真实性与合规性，评价组对</w:t>
      </w:r>
      <w:r>
        <w:rPr>
          <w:rFonts w:hint="eastAsia" w:ascii="仿宋_GB2312" w:hAnsi="仿宋_GB2312" w:eastAsia="仿宋_GB2312" w:cs="仿宋_GB2312"/>
          <w:sz w:val="32"/>
          <w:szCs w:val="40"/>
          <w:highlight w:val="none"/>
          <w:lang w:val="en-US" w:eastAsia="zh-CN"/>
        </w:rPr>
        <w:t>23家受奖补企业提供的申报材料进行现场复核，未发现资质条件不符合要求的情况。</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扣分原因主要为：根据《项目申报指南》，2024年计划实施（可申报）的政策条款共计13条，但实际上2024年度仅落实7条，奖补措施落实率为53.84%</w:t>
      </w:r>
      <w:r>
        <w:rPr>
          <w:rFonts w:hint="eastAsia" w:ascii="仿宋_GB2312" w:hAnsi="仿宋_GB2312" w:eastAsia="仿宋_GB2312" w:cs="仿宋_GB2312"/>
          <w:i w:val="0"/>
          <w:iCs w:val="0"/>
          <w:caps w:val="0"/>
          <w:spacing w:val="0"/>
          <w:sz w:val="32"/>
          <w:szCs w:val="40"/>
          <w:highlight w:val="none"/>
          <w:shd w:val="clear"/>
          <w:lang w:val="en-US" w:eastAsia="zh-CN"/>
        </w:rPr>
        <w:t>；2025年计划实施（可申报）的政策条款共计10条，但实际仅落实7条，奖补措施落实率为70%。</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（3）效益指标分析</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指标分值为50.00分，评价得分41.89分，得分率83.78%。</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color w:val="auto"/>
          <w:sz w:val="32"/>
          <w:highlight w:val="none"/>
          <w:lang w:val="en-US" w:eastAsia="zh-CN"/>
        </w:rPr>
        <w:t>经济效益方面</w:t>
      </w:r>
      <w:r>
        <w:rPr>
          <w:rFonts w:hint="eastAsia" w:ascii="仿宋_GB2312" w:hAnsi="仿宋_GB2312" w:eastAsia="仿宋_GB2312" w:cs="仿宋_GB2312"/>
          <w:sz w:val="32"/>
          <w:szCs w:val="40"/>
          <w:highlight w:val="none"/>
          <w:lang w:val="en-US" w:eastAsia="zh-CN"/>
        </w:rPr>
        <w:t>，青岛市仿制药、生物医药、海洋药物及生物制品产业</w:t>
      </w:r>
      <w:r>
        <w:rPr>
          <w:rFonts w:hint="eastAsia" w:ascii="仿宋_GB2312" w:hAnsi="仿宋_GB2312" w:eastAsia="仿宋_GB2312" w:cs="仿宋_GB2312"/>
          <w:i w:val="0"/>
          <w:iCs w:val="0"/>
          <w:caps w:val="0"/>
          <w:spacing w:val="0"/>
          <w:sz w:val="32"/>
          <w:szCs w:val="40"/>
          <w:highlight w:val="none"/>
          <w:shd w:val="clear"/>
        </w:rPr>
        <w:t>整体运行平稳，为</w:t>
      </w:r>
      <w:r>
        <w:rPr>
          <w:rFonts w:hint="eastAsia" w:ascii="仿宋_GB2312" w:hAnsi="仿宋_GB2312" w:eastAsia="仿宋_GB2312" w:cs="仿宋_GB2312"/>
          <w:i w:val="0"/>
          <w:iCs w:val="0"/>
          <w:caps w:val="0"/>
          <w:spacing w:val="0"/>
          <w:sz w:val="32"/>
          <w:szCs w:val="40"/>
          <w:highlight w:val="none"/>
          <w:shd w:val="clear"/>
          <w:lang w:val="en-US" w:eastAsia="zh-CN"/>
        </w:rPr>
        <w:t>全市海洋经济及社会</w:t>
      </w:r>
      <w:r>
        <w:rPr>
          <w:rFonts w:hint="eastAsia" w:ascii="仿宋_GB2312" w:hAnsi="仿宋_GB2312" w:eastAsia="仿宋_GB2312" w:cs="仿宋_GB2312"/>
          <w:i w:val="0"/>
          <w:iCs w:val="0"/>
          <w:caps w:val="0"/>
          <w:spacing w:val="0"/>
          <w:sz w:val="32"/>
          <w:szCs w:val="40"/>
          <w:highlight w:val="none"/>
          <w:shd w:val="clear"/>
        </w:rPr>
        <w:t>发展提供了基础支撑，相关企业在产业营收规模与税收贡献上保持了一定水平，成为区域经济的重要组成部分</w:t>
      </w:r>
      <w:r>
        <w:rPr>
          <w:rFonts w:hint="eastAsia" w:ascii="仿宋_GB2312" w:hAnsi="仿宋_GB2312" w:eastAsia="仿宋_GB2312" w:cs="仿宋_GB2312"/>
          <w:sz w:val="32"/>
          <w:szCs w:val="40"/>
          <w:highlight w:val="none"/>
          <w:lang w:val="en-US" w:eastAsia="zh-CN"/>
        </w:rPr>
        <w:t>。</w:t>
      </w:r>
      <w:r>
        <w:rPr>
          <w:rFonts w:hint="eastAsia" w:ascii="仿宋_GB2312" w:hAnsi="仿宋_GB2312" w:eastAsia="仿宋_GB2312" w:cs="仿宋_GB2312"/>
          <w:b/>
          <w:bCs/>
          <w:color w:val="auto"/>
          <w:sz w:val="32"/>
          <w:highlight w:val="none"/>
          <w:lang w:val="en-US" w:eastAsia="zh-CN"/>
        </w:rPr>
        <w:t>社会效益方面</w:t>
      </w:r>
      <w:r>
        <w:rPr>
          <w:rFonts w:hint="eastAsia" w:ascii="仿宋_GB2312" w:hAnsi="仿宋_GB2312" w:eastAsia="仿宋_GB2312" w:cs="仿宋_GB2312"/>
          <w:sz w:val="32"/>
          <w:szCs w:val="40"/>
          <w:highlight w:val="none"/>
          <w:lang w:val="en-US" w:eastAsia="zh-CN"/>
        </w:rPr>
        <w:t>，大部分</w:t>
      </w:r>
      <w:r>
        <w:rPr>
          <w:rFonts w:hint="eastAsia" w:ascii="仿宋_GB2312" w:hAnsi="仿宋_GB2312" w:eastAsia="仿宋_GB2312" w:cs="仿宋_GB2312"/>
          <w:i w:val="0"/>
          <w:iCs w:val="0"/>
          <w:caps w:val="0"/>
          <w:spacing w:val="0"/>
          <w:sz w:val="32"/>
          <w:szCs w:val="40"/>
          <w:highlight w:val="none"/>
          <w:shd w:val="clear"/>
        </w:rPr>
        <w:t>生物医药</w:t>
      </w:r>
      <w:r>
        <w:rPr>
          <w:rFonts w:hint="eastAsia" w:ascii="仿宋_GB2312" w:hAnsi="仿宋_GB2312" w:eastAsia="仿宋_GB2312" w:cs="仿宋_GB2312"/>
          <w:i w:val="0"/>
          <w:iCs w:val="0"/>
          <w:caps w:val="0"/>
          <w:spacing w:val="0"/>
          <w:sz w:val="32"/>
          <w:szCs w:val="40"/>
          <w:highlight w:val="none"/>
          <w:shd w:val="clear"/>
          <w:lang w:val="en-US" w:eastAsia="zh-CN"/>
        </w:rPr>
        <w:t>企业</w:t>
      </w:r>
      <w:r>
        <w:rPr>
          <w:rFonts w:hint="eastAsia" w:ascii="仿宋_GB2312" w:hAnsi="仿宋_GB2312" w:eastAsia="仿宋_GB2312" w:cs="仿宋_GB2312"/>
          <w:i w:val="0"/>
          <w:iCs w:val="0"/>
          <w:caps w:val="0"/>
          <w:spacing w:val="0"/>
          <w:sz w:val="32"/>
          <w:szCs w:val="40"/>
          <w:highlight w:val="none"/>
          <w:shd w:val="clear"/>
        </w:rPr>
        <w:t>在人才引进与培养体系建设、领域内发明专利授权数量增长、重大科研项目承接能力等方面均取得积极进展，为产业创新发展注入了活力</w:t>
      </w:r>
      <w:r>
        <w:rPr>
          <w:rFonts w:hint="eastAsia" w:ascii="仿宋_GB2312" w:hAnsi="仿宋_GB2312" w:eastAsia="仿宋_GB2312" w:cs="仿宋_GB2312"/>
          <w:sz w:val="32"/>
          <w:szCs w:val="40"/>
          <w:highlight w:val="none"/>
          <w:lang w:val="en-US" w:eastAsia="zh-CN"/>
        </w:rPr>
        <w:t>。</w:t>
      </w:r>
      <w:r>
        <w:rPr>
          <w:rFonts w:hint="eastAsia" w:ascii="仿宋_GB2312" w:hAnsi="仿宋_GB2312" w:eastAsia="仿宋_GB2312" w:cs="仿宋_GB2312"/>
          <w:b/>
          <w:bCs/>
          <w:color w:val="auto"/>
          <w:sz w:val="32"/>
          <w:highlight w:val="none"/>
          <w:lang w:val="en-US" w:eastAsia="zh-CN"/>
        </w:rPr>
        <w:t>可持续发展方面</w:t>
      </w:r>
      <w:r>
        <w:rPr>
          <w:rFonts w:hint="eastAsia" w:ascii="仿宋_GB2312" w:hAnsi="仿宋_GB2312" w:eastAsia="仿宋_GB2312" w:cs="仿宋_GB2312"/>
          <w:sz w:val="32"/>
          <w:szCs w:val="40"/>
          <w:highlight w:val="none"/>
          <w:lang w:val="en-US" w:eastAsia="zh-CN"/>
        </w:rPr>
        <w:t>，</w:t>
      </w:r>
      <w:r>
        <w:rPr>
          <w:rFonts w:hint="eastAsia" w:ascii="仿宋_GB2312" w:hAnsi="仿宋_GB2312" w:eastAsia="仿宋_GB2312" w:cs="仿宋_GB2312"/>
          <w:i w:val="0"/>
          <w:iCs w:val="0"/>
          <w:kern w:val="2"/>
          <w:sz w:val="32"/>
          <w:szCs w:val="40"/>
          <w:highlight w:val="none"/>
          <w:u w:val="none"/>
          <w:lang w:val="en-US" w:eastAsia="zh-CN" w:bidi="ar"/>
        </w:rPr>
        <w:t>主管部门在往年对</w:t>
      </w:r>
      <w:r>
        <w:rPr>
          <w:rFonts w:hint="eastAsia" w:ascii="仿宋_GB2312" w:hAnsi="仿宋_GB2312" w:eastAsia="仿宋_GB2312" w:cs="仿宋_GB2312"/>
          <w:sz w:val="32"/>
          <w:szCs w:val="40"/>
          <w:highlight w:val="none"/>
          <w:lang w:val="en-US" w:eastAsia="zh-CN"/>
        </w:rPr>
        <w:t>生物医药产业政策的评价结果进行了严格检查，坚持高标准、严要求，对修订目标设置、完善产业政策、优化保障机制等方面进行了整改。</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扣分原因主要为：</w:t>
      </w: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i w:val="0"/>
          <w:iCs w:val="0"/>
          <w:caps w:val="0"/>
          <w:spacing w:val="0"/>
          <w:sz w:val="32"/>
          <w:szCs w:val="40"/>
          <w:highlight w:val="none"/>
          <w:shd w:val="clear"/>
        </w:rPr>
        <w:t>部分企业营收表现未达预期</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sz w:val="32"/>
          <w:szCs w:val="40"/>
          <w:highlight w:val="none"/>
          <w:lang w:val="en-US" w:eastAsia="zh-CN"/>
        </w:rPr>
        <w:t>4家受奖补企业产业营收未实现正增长。</w:t>
      </w: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i w:val="0"/>
          <w:iCs w:val="0"/>
          <w:caps w:val="0"/>
          <w:spacing w:val="0"/>
          <w:sz w:val="32"/>
          <w:szCs w:val="40"/>
          <w:highlight w:val="none"/>
          <w:shd w:val="clear"/>
        </w:rPr>
        <w:t>受奖补企业税收增长覆盖面不足</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rPr>
        <w:t>政策实施期间，共有2</w:t>
      </w:r>
      <w:r>
        <w:rPr>
          <w:rFonts w:hint="eastAsia" w:ascii="仿宋_GB2312" w:hAnsi="仿宋_GB2312" w:eastAsia="仿宋_GB2312" w:cs="仿宋_GB2312"/>
          <w:i w:val="0"/>
          <w:iCs w:val="0"/>
          <w:caps w:val="0"/>
          <w:spacing w:val="0"/>
          <w:sz w:val="32"/>
          <w:szCs w:val="40"/>
          <w:highlight w:val="none"/>
          <w:shd w:val="clear"/>
          <w:lang w:val="en-US" w:eastAsia="zh-CN"/>
        </w:rPr>
        <w:t>3</w:t>
      </w:r>
      <w:r>
        <w:rPr>
          <w:rFonts w:hint="eastAsia" w:ascii="仿宋_GB2312" w:hAnsi="仿宋_GB2312" w:eastAsia="仿宋_GB2312" w:cs="仿宋_GB2312"/>
          <w:i w:val="0"/>
          <w:iCs w:val="0"/>
          <w:caps w:val="0"/>
          <w:spacing w:val="0"/>
          <w:sz w:val="32"/>
          <w:szCs w:val="40"/>
          <w:highlight w:val="none"/>
          <w:shd w:val="clear"/>
        </w:rPr>
        <w:t>家企业获得政策扶持，</w:t>
      </w:r>
      <w:r>
        <w:rPr>
          <w:rFonts w:hint="eastAsia" w:ascii="仿宋_GB2312" w:hAnsi="仿宋_GB2312" w:eastAsia="仿宋_GB2312" w:cs="仿宋_GB2312"/>
          <w:i w:val="0"/>
          <w:iCs w:val="0"/>
          <w:caps w:val="0"/>
          <w:spacing w:val="0"/>
          <w:sz w:val="32"/>
          <w:szCs w:val="40"/>
          <w:highlight w:val="none"/>
          <w:shd w:val="clear"/>
          <w:lang w:val="en-US" w:eastAsia="zh-CN"/>
        </w:rPr>
        <w:t>其中仅14家企业的纳税额实现了正增长</w:t>
      </w:r>
      <w:r>
        <w:rPr>
          <w:rFonts w:hint="eastAsia" w:ascii="仿宋_GB2312" w:hAnsi="仿宋_GB2312" w:eastAsia="仿宋_GB2312" w:cs="仿宋_GB2312"/>
          <w:i w:val="0"/>
          <w:iCs w:val="0"/>
          <w:caps w:val="0"/>
          <w:spacing w:val="0"/>
          <w:sz w:val="32"/>
          <w:szCs w:val="40"/>
          <w:highlight w:val="none"/>
          <w:shd w:val="clear"/>
        </w:rPr>
        <w:t>，占比为5</w:t>
      </w:r>
      <w:r>
        <w:rPr>
          <w:rFonts w:hint="eastAsia" w:ascii="仿宋_GB2312" w:hAnsi="仿宋_GB2312" w:eastAsia="仿宋_GB2312" w:cs="仿宋_GB2312"/>
          <w:i w:val="0"/>
          <w:iCs w:val="0"/>
          <w:caps w:val="0"/>
          <w:spacing w:val="0"/>
          <w:sz w:val="32"/>
          <w:szCs w:val="40"/>
          <w:highlight w:val="none"/>
          <w:shd w:val="clear"/>
          <w:lang w:val="en-US" w:eastAsia="zh-CN"/>
        </w:rPr>
        <w:t>1.85</w:t>
      </w:r>
      <w:r>
        <w:rPr>
          <w:rFonts w:hint="eastAsia" w:ascii="仿宋_GB2312" w:hAnsi="仿宋_GB2312" w:eastAsia="仿宋_GB2312" w:cs="仿宋_GB2312"/>
          <w:i w:val="0"/>
          <w:iCs w:val="0"/>
          <w:caps w:val="0"/>
          <w:spacing w:val="0"/>
          <w:sz w:val="32"/>
          <w:szCs w:val="40"/>
          <w:highlight w:val="none"/>
          <w:shd w:val="clear"/>
        </w:rPr>
        <w:t>%</w:t>
      </w:r>
      <w:r>
        <w:rPr>
          <w:rFonts w:hint="eastAsia" w:ascii="仿宋_GB2312" w:hAnsi="仿宋_GB2312" w:eastAsia="仿宋_GB2312" w:cs="仿宋_GB2312"/>
          <w:sz w:val="32"/>
          <w:szCs w:val="40"/>
          <w:highlight w:val="none"/>
          <w:lang w:val="en-US" w:eastAsia="zh-CN"/>
        </w:rPr>
        <w:t>。</w:t>
      </w:r>
      <w:r>
        <w:rPr>
          <w:rFonts w:hint="eastAsia" w:ascii="仿宋_GB2312" w:hAnsi="仿宋_GB2312" w:eastAsia="仿宋_GB2312" w:cs="仿宋_GB2312"/>
          <w:b/>
          <w:bCs/>
          <w:sz w:val="32"/>
          <w:szCs w:val="40"/>
          <w:highlight w:val="none"/>
          <w:lang w:val="en-US" w:eastAsia="zh-CN"/>
        </w:rPr>
        <w:t>三是</w:t>
      </w:r>
      <w:r>
        <w:rPr>
          <w:rFonts w:hint="eastAsia" w:ascii="仿宋_GB2312" w:hAnsi="仿宋_GB2312" w:eastAsia="仿宋_GB2312" w:cs="仿宋_GB2312"/>
          <w:sz w:val="32"/>
          <w:szCs w:val="40"/>
          <w:highlight w:val="none"/>
          <w:lang w:val="en-US" w:eastAsia="zh-CN"/>
        </w:rPr>
        <w:t>部分受奖补企业未对产业发展起到引领作用。项目实施期内共申报38个项目，</w:t>
      </w:r>
      <w:r>
        <w:rPr>
          <w:rFonts w:hint="eastAsia" w:ascii="仿宋_GB2312" w:hAnsi="仿宋_GB2312" w:eastAsia="仿宋_GB2312" w:cs="仿宋_GB2312"/>
          <w:i w:val="0"/>
          <w:iCs w:val="0"/>
          <w:caps w:val="0"/>
          <w:spacing w:val="0"/>
          <w:sz w:val="32"/>
          <w:szCs w:val="40"/>
          <w:highlight w:val="none"/>
          <w:shd w:val="clear"/>
        </w:rPr>
        <w:t>有3家企业未开展人才引进或培养工作，3家企业未</w:t>
      </w:r>
      <w:r>
        <w:rPr>
          <w:rFonts w:hint="eastAsia" w:ascii="仿宋_GB2312" w:hAnsi="仿宋_GB2312" w:eastAsia="仿宋_GB2312" w:cs="仿宋_GB2312"/>
          <w:i w:val="0"/>
          <w:iCs w:val="0"/>
          <w:caps w:val="0"/>
          <w:spacing w:val="0"/>
          <w:sz w:val="32"/>
          <w:szCs w:val="40"/>
          <w:highlight w:val="none"/>
          <w:shd w:val="clear"/>
          <w:lang w:val="en-US" w:eastAsia="zh-CN"/>
        </w:rPr>
        <w:t>新增</w:t>
      </w:r>
      <w:r>
        <w:rPr>
          <w:rFonts w:hint="eastAsia" w:ascii="仿宋_GB2312" w:hAnsi="仿宋_GB2312" w:eastAsia="仿宋_GB2312" w:cs="仿宋_GB2312"/>
          <w:i w:val="0"/>
          <w:iCs w:val="0"/>
          <w:caps w:val="0"/>
          <w:spacing w:val="0"/>
          <w:sz w:val="32"/>
          <w:szCs w:val="40"/>
          <w:highlight w:val="none"/>
          <w:shd w:val="clear"/>
        </w:rPr>
        <w:t>生物医药领域发明专利授权，9家企业未承接或参与重大科研项目</w:t>
      </w:r>
      <w:r>
        <w:rPr>
          <w:rFonts w:hint="eastAsia" w:ascii="仿宋_GB2312" w:hAnsi="仿宋_GB2312" w:eastAsia="仿宋_GB2312" w:cs="仿宋_GB2312"/>
          <w:sz w:val="32"/>
          <w:szCs w:val="40"/>
          <w:highlight w:val="none"/>
          <w:lang w:val="en-US" w:eastAsia="zh-CN"/>
        </w:rPr>
        <w:t>。</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40"/>
          <w:highlight w:val="none"/>
        </w:rPr>
      </w:pPr>
      <w:bookmarkStart w:id="19" w:name="_Toc16073"/>
      <w:r>
        <w:rPr>
          <w:rFonts w:hint="eastAsia" w:ascii="黑体" w:hAnsi="黑体" w:eastAsia="黑体" w:cs="黑体"/>
          <w:sz w:val="32"/>
          <w:szCs w:val="40"/>
          <w:highlight w:val="none"/>
        </w:rPr>
        <w:t>四、项目实施成效</w:t>
      </w:r>
      <w:bookmarkEnd w:id="19"/>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default" w:ascii="楷体_GB2312" w:hAnsi="楷体_GB2312" w:eastAsia="楷体_GB2312" w:cs="楷体_GB2312"/>
          <w:sz w:val="32"/>
          <w:szCs w:val="40"/>
          <w:highlight w:val="none"/>
          <w:lang w:val="en-US" w:eastAsia="zh-CN"/>
        </w:rPr>
      </w:pPr>
      <w:bookmarkStart w:id="20" w:name="_Toc23625"/>
      <w:r>
        <w:rPr>
          <w:rFonts w:hint="eastAsia" w:ascii="楷体_GB2312" w:hAnsi="楷体_GB2312" w:eastAsia="楷体_GB2312" w:cs="楷体_GB2312"/>
          <w:sz w:val="32"/>
          <w:szCs w:val="40"/>
          <w:highlight w:val="none"/>
          <w:lang w:eastAsia="zh-CN"/>
        </w:rPr>
        <w:t>（</w:t>
      </w:r>
      <w:r>
        <w:rPr>
          <w:rFonts w:hint="eastAsia" w:ascii="楷体_GB2312" w:hAnsi="楷体_GB2312" w:eastAsia="楷体_GB2312" w:cs="楷体_GB2312"/>
          <w:sz w:val="32"/>
          <w:szCs w:val="40"/>
          <w:highlight w:val="none"/>
          <w:lang w:val="en-US" w:eastAsia="zh-CN"/>
        </w:rPr>
        <w:t>一</w:t>
      </w:r>
      <w:r>
        <w:rPr>
          <w:rFonts w:hint="eastAsia" w:ascii="楷体_GB2312" w:hAnsi="楷体_GB2312" w:eastAsia="楷体_GB2312" w:cs="楷体_GB2312"/>
          <w:sz w:val="32"/>
          <w:szCs w:val="40"/>
          <w:highlight w:val="none"/>
          <w:lang w:eastAsia="zh-CN"/>
        </w:rPr>
        <w:t>）</w:t>
      </w:r>
      <w:r>
        <w:rPr>
          <w:rFonts w:hint="eastAsia" w:ascii="楷体_GB2312" w:hAnsi="楷体_GB2312" w:eastAsia="楷体_GB2312" w:cs="楷体_GB2312"/>
          <w:sz w:val="32"/>
          <w:szCs w:val="40"/>
          <w:highlight w:val="none"/>
          <w:lang w:val="en-US" w:eastAsia="zh-CN"/>
        </w:rPr>
        <w:t>DCMM贯标奖补资金项目实施成效</w:t>
      </w:r>
      <w:bookmarkEnd w:id="20"/>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随着DCMM贯标奖补资金政策的稳步实施，青岛市数字经济企业获得了有力的资金支持，能够更深入地挖掘和利用自身的数据资源，充分释放数据的潜在价值。自政策实施以来，青岛市累计培育出年营业收入超过50亿元的数字经济龙头企业7家，山东省港口集团有限公司2024年度营收达1860.32亿元。在获得奖补的数字经济企业中，有90家企业的营业收入较往年同期实现增长，部分企业的增长率同比提升超过100%。</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default" w:ascii="楷体_GB2312" w:hAnsi="楷体_GB2312" w:eastAsia="楷体_GB2312" w:cs="楷体_GB2312"/>
          <w:sz w:val="32"/>
          <w:szCs w:val="40"/>
          <w:highlight w:val="none"/>
          <w:lang w:val="en-US" w:eastAsia="zh-CN"/>
        </w:rPr>
      </w:pPr>
      <w:bookmarkStart w:id="21" w:name="_Toc32482"/>
      <w:r>
        <w:rPr>
          <w:rFonts w:hint="eastAsia" w:ascii="楷体_GB2312" w:hAnsi="楷体_GB2312" w:eastAsia="楷体_GB2312" w:cs="楷体_GB2312"/>
          <w:sz w:val="32"/>
          <w:szCs w:val="40"/>
          <w:highlight w:val="none"/>
          <w:lang w:eastAsia="zh-CN"/>
        </w:rPr>
        <w:t>（</w:t>
      </w:r>
      <w:r>
        <w:rPr>
          <w:rFonts w:hint="eastAsia" w:ascii="楷体_GB2312" w:hAnsi="楷体_GB2312" w:eastAsia="楷体_GB2312" w:cs="楷体_GB2312"/>
          <w:sz w:val="32"/>
          <w:szCs w:val="40"/>
          <w:highlight w:val="none"/>
          <w:lang w:val="en-US" w:eastAsia="zh-CN"/>
        </w:rPr>
        <w:t>二</w:t>
      </w:r>
      <w:r>
        <w:rPr>
          <w:rFonts w:hint="eastAsia" w:ascii="楷体_GB2312" w:hAnsi="楷体_GB2312" w:eastAsia="楷体_GB2312" w:cs="楷体_GB2312"/>
          <w:sz w:val="32"/>
          <w:szCs w:val="40"/>
          <w:highlight w:val="none"/>
          <w:lang w:eastAsia="zh-CN"/>
        </w:rPr>
        <w:t>）</w:t>
      </w:r>
      <w:r>
        <w:rPr>
          <w:rFonts w:hint="eastAsia" w:ascii="楷体_GB2312" w:hAnsi="楷体_GB2312" w:eastAsia="楷体_GB2312" w:cs="楷体_GB2312"/>
          <w:sz w:val="32"/>
          <w:szCs w:val="40"/>
          <w:highlight w:val="none"/>
        </w:rPr>
        <w:t>生物医药产业奖补</w:t>
      </w:r>
      <w:r>
        <w:rPr>
          <w:rFonts w:hint="eastAsia" w:ascii="楷体_GB2312" w:hAnsi="楷体_GB2312" w:eastAsia="楷体_GB2312" w:cs="楷体_GB2312"/>
          <w:sz w:val="32"/>
          <w:szCs w:val="40"/>
          <w:highlight w:val="none"/>
          <w:lang w:val="en-US" w:eastAsia="zh-CN"/>
        </w:rPr>
        <w:t>资金</w:t>
      </w:r>
      <w:r>
        <w:rPr>
          <w:rFonts w:hint="eastAsia" w:ascii="楷体_GB2312" w:hAnsi="楷体_GB2312" w:eastAsia="楷体_GB2312" w:cs="楷体_GB2312"/>
          <w:sz w:val="32"/>
          <w:szCs w:val="40"/>
          <w:highlight w:val="none"/>
        </w:rPr>
        <w:t>项目</w:t>
      </w:r>
      <w:r>
        <w:rPr>
          <w:rFonts w:hint="eastAsia" w:ascii="楷体_GB2312" w:hAnsi="楷体_GB2312" w:eastAsia="楷体_GB2312" w:cs="楷体_GB2312"/>
          <w:sz w:val="32"/>
          <w:szCs w:val="40"/>
          <w:highlight w:val="none"/>
          <w:lang w:val="en-US" w:eastAsia="zh-CN"/>
        </w:rPr>
        <w:t>实施成效</w:t>
      </w:r>
      <w:bookmarkEnd w:id="21"/>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i w:val="0"/>
          <w:iCs w:val="0"/>
          <w:caps w:val="0"/>
          <w:spacing w:val="0"/>
          <w:sz w:val="32"/>
          <w:szCs w:val="40"/>
          <w:highlight w:val="none"/>
          <w:shd w:val="clear"/>
        </w:rPr>
        <w:t>近年来，青岛围绕生物医药产业高质量发展目标，通过精准实施产业奖补政策，靶向支持重点领域创新与产业化，在生命健康产业领域构建起多赛道协同发展的良好格局，为全市经济转型升级提供了重要支撑。</w:t>
      </w:r>
      <w:r>
        <w:rPr>
          <w:rFonts w:hint="eastAsia" w:ascii="仿宋_GB2312" w:hAnsi="仿宋_GB2312" w:eastAsia="仿宋_GB2312" w:cs="仿宋_GB2312"/>
          <w:i w:val="0"/>
          <w:iCs w:val="0"/>
          <w:caps w:val="0"/>
          <w:spacing w:val="0"/>
          <w:sz w:val="32"/>
          <w:szCs w:val="40"/>
          <w:highlight w:val="none"/>
          <w:shd w:val="clear"/>
          <w:lang w:val="en-US" w:eastAsia="zh-CN"/>
        </w:rPr>
        <w:t>受奖补</w:t>
      </w:r>
      <w:r>
        <w:rPr>
          <w:rFonts w:hint="eastAsia" w:ascii="仿宋_GB2312" w:hAnsi="仿宋_GB2312" w:eastAsia="仿宋_GB2312" w:cs="仿宋_GB2312"/>
          <w:i w:val="0"/>
          <w:iCs w:val="0"/>
          <w:caps w:val="0"/>
          <w:spacing w:val="0"/>
          <w:sz w:val="32"/>
          <w:szCs w:val="40"/>
          <w:highlight w:val="none"/>
          <w:shd w:val="clear"/>
        </w:rPr>
        <w:t>的23家企业中，20家</w:t>
      </w:r>
      <w:r>
        <w:rPr>
          <w:rFonts w:hint="eastAsia" w:ascii="仿宋_GB2312" w:hAnsi="仿宋_GB2312" w:eastAsia="仿宋_GB2312" w:cs="仿宋_GB2312"/>
          <w:i w:val="0"/>
          <w:iCs w:val="0"/>
          <w:caps w:val="0"/>
          <w:spacing w:val="0"/>
          <w:sz w:val="32"/>
          <w:szCs w:val="40"/>
          <w:highlight w:val="none"/>
          <w:shd w:val="clear"/>
          <w:lang w:val="en-US" w:eastAsia="zh-CN"/>
        </w:rPr>
        <w:t>企业</w:t>
      </w:r>
      <w:r>
        <w:rPr>
          <w:rFonts w:hint="eastAsia" w:ascii="仿宋_GB2312" w:hAnsi="仿宋_GB2312" w:eastAsia="仿宋_GB2312" w:cs="仿宋_GB2312"/>
          <w:i w:val="0"/>
          <w:iCs w:val="0"/>
          <w:caps w:val="0"/>
          <w:spacing w:val="0"/>
          <w:sz w:val="32"/>
          <w:szCs w:val="40"/>
          <w:highlight w:val="none"/>
          <w:shd w:val="clear"/>
        </w:rPr>
        <w:t>在人才引进培养、发明专利授权方面表现突出。</w:t>
      </w:r>
      <w:r>
        <w:rPr>
          <w:rFonts w:hint="eastAsia" w:ascii="仿宋_GB2312" w:hAnsi="仿宋_GB2312" w:eastAsia="仿宋_GB2312" w:cs="仿宋_GB2312"/>
          <w:i w:val="0"/>
          <w:iCs w:val="0"/>
          <w:caps w:val="0"/>
          <w:spacing w:val="0"/>
          <w:sz w:val="32"/>
          <w:szCs w:val="40"/>
          <w:highlight w:val="none"/>
          <w:shd w:val="clear"/>
          <w:lang w:val="en-US" w:eastAsia="zh-CN"/>
        </w:rPr>
        <w:t>在</w:t>
      </w:r>
      <w:r>
        <w:rPr>
          <w:rFonts w:hint="eastAsia" w:ascii="仿宋_GB2312" w:hAnsi="仿宋_GB2312" w:eastAsia="仿宋_GB2312" w:cs="仿宋_GB2312"/>
          <w:i w:val="0"/>
          <w:iCs w:val="0"/>
          <w:caps w:val="0"/>
          <w:spacing w:val="0"/>
          <w:sz w:val="32"/>
          <w:szCs w:val="40"/>
          <w:highlight w:val="none"/>
          <w:shd w:val="clear"/>
        </w:rPr>
        <w:t>海洋药物和生物制品领域，企业依托青岛海洋资源优势，深耕活性物质提取、创新药物研发等方向，成功开发多款自主知识产权产品，填补部分市场空白，进一步巩固青岛在该领域的优势地位。</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40"/>
          <w:highlight w:val="none"/>
        </w:rPr>
      </w:pPr>
      <w:bookmarkStart w:id="22" w:name="_Toc5502"/>
      <w:r>
        <w:rPr>
          <w:rFonts w:hint="eastAsia" w:ascii="黑体" w:hAnsi="黑体" w:eastAsia="黑体" w:cs="黑体"/>
          <w:sz w:val="32"/>
          <w:szCs w:val="40"/>
          <w:highlight w:val="none"/>
        </w:rPr>
        <w:t>五、发现的问题及原因分析</w:t>
      </w:r>
      <w:bookmarkEnd w:id="22"/>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default" w:ascii="楷体_GB2312" w:hAnsi="楷体_GB2312" w:eastAsia="楷体_GB2312" w:cs="楷体_GB2312"/>
          <w:sz w:val="32"/>
          <w:szCs w:val="40"/>
          <w:highlight w:val="none"/>
          <w:lang w:val="en-US" w:eastAsia="zh-CN"/>
        </w:rPr>
      </w:pPr>
      <w:bookmarkStart w:id="23" w:name="_Toc18275"/>
      <w:bookmarkStart w:id="24" w:name="_Toc30887"/>
      <w:r>
        <w:rPr>
          <w:rFonts w:hint="eastAsia" w:ascii="楷体_GB2312" w:hAnsi="楷体_GB2312" w:eastAsia="楷体_GB2312" w:cs="楷体_GB2312"/>
          <w:sz w:val="32"/>
          <w:szCs w:val="40"/>
          <w:highlight w:val="none"/>
          <w:lang w:val="en-US" w:eastAsia="zh-CN"/>
        </w:rPr>
        <w:t>（一）DCMM贯标奖补资金项目存在的问题</w:t>
      </w:r>
      <w:bookmarkEnd w:id="23"/>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default"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1.奖补条款缺少约束条件，奖补资金执行进度缓慢</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i w:val="0"/>
          <w:iCs w:val="0"/>
          <w:caps w:val="0"/>
          <w:spacing w:val="0"/>
          <w:sz w:val="32"/>
          <w:szCs w:val="40"/>
          <w:highlight w:val="none"/>
          <w:shd w:val="clear"/>
          <w:lang w:val="en-US" w:eastAsia="zh-CN"/>
        </w:rPr>
      </w:pPr>
      <w:r>
        <w:rPr>
          <w:rFonts w:hint="eastAsia" w:ascii="仿宋_GB2312" w:hAnsi="仿宋_GB2312" w:eastAsia="仿宋_GB2312" w:cs="仿宋_GB2312"/>
          <w:b/>
          <w:bCs/>
          <w:i w:val="0"/>
          <w:iCs w:val="0"/>
          <w:caps w:val="0"/>
          <w:spacing w:val="0"/>
          <w:sz w:val="32"/>
          <w:szCs w:val="40"/>
          <w:highlight w:val="none"/>
          <w:shd w:val="clear"/>
          <w:lang w:val="en-US" w:eastAsia="zh-CN"/>
        </w:rPr>
        <w:t>一是</w:t>
      </w:r>
      <w:r>
        <w:rPr>
          <w:rFonts w:hint="eastAsia" w:ascii="仿宋_GB2312" w:hAnsi="仿宋_GB2312" w:eastAsia="仿宋_GB2312" w:cs="仿宋_GB2312"/>
          <w:i w:val="0"/>
          <w:iCs w:val="0"/>
          <w:caps w:val="0"/>
          <w:spacing w:val="0"/>
          <w:sz w:val="32"/>
          <w:szCs w:val="40"/>
          <w:highlight w:val="none"/>
          <w:shd w:val="clear"/>
          <w:lang w:val="en-US" w:eastAsia="zh-CN"/>
        </w:rPr>
        <w:t>奖补条款缺少约束条件。行政规范性文件制发需全面论证必要性、可行性和合理性，同时评估行政措施的预期效果与潜在影响。但青岛市DCMM贯标奖补政策未设定奖补资金的总额上限或奖补企业数量上限，仅规定“在政策有效期内，符合条件的企业可申请该奖补”。2024年度，青岛市共发放DCMM贯标奖补资金480万元，奖补企业48家；2025年度共发放930万元，奖补企业93家，增长率达93.75%。由于政策缺少数量或金额约束机制，且取得国家二级及以上贯标认证和省级DCMM试点的门槛较低，奖补资金远超预期。</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仿宋_GB2312" w:hAnsi="仿宋_GB2312" w:eastAsia="仿宋_GB2312" w:cs="仿宋_GB2312"/>
          <w:i w:val="0"/>
          <w:iCs w:val="0"/>
          <w:caps w:val="0"/>
          <w:spacing w:val="0"/>
          <w:sz w:val="32"/>
          <w:szCs w:val="40"/>
          <w:highlight w:val="none"/>
          <w:shd w:val="clear"/>
          <w:lang w:val="en-US" w:eastAsia="zh-CN"/>
        </w:rPr>
      </w:pPr>
      <w:r>
        <w:rPr>
          <w:rFonts w:hint="eastAsia" w:ascii="仿宋_GB2312" w:hAnsi="仿宋_GB2312" w:eastAsia="仿宋_GB2312" w:cs="仿宋_GB2312"/>
          <w:b/>
          <w:bCs/>
          <w:i w:val="0"/>
          <w:iCs w:val="0"/>
          <w:caps w:val="0"/>
          <w:spacing w:val="0"/>
          <w:sz w:val="32"/>
          <w:szCs w:val="40"/>
          <w:highlight w:val="none"/>
          <w:shd w:val="clear"/>
          <w:lang w:val="en-US" w:eastAsia="zh-CN"/>
        </w:rPr>
        <w:t>二是</w:t>
      </w:r>
      <w:r>
        <w:rPr>
          <w:rFonts w:hint="eastAsia" w:ascii="仿宋_GB2312" w:hAnsi="仿宋_GB2312" w:eastAsia="仿宋_GB2312" w:cs="仿宋_GB2312"/>
          <w:i w:val="0"/>
          <w:iCs w:val="0"/>
          <w:caps w:val="0"/>
          <w:spacing w:val="0"/>
          <w:sz w:val="32"/>
          <w:szCs w:val="40"/>
          <w:highlight w:val="none"/>
          <w:shd w:val="clear"/>
          <w:lang w:val="en-US" w:eastAsia="zh-CN"/>
        </w:rPr>
        <w:t>2024年度奖补资金执行率偏低。DCMM贯标奖补资金项目2024年资金预算为480万元。截至评价日，市财政局已根据市工信局提报的预算安排建议，统筹将奖补资金拨付至各区（市）财政部门，但受奖补企业仅收到奖补资金20万元，2024年度预算执行率仅为4.17%。</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default"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2.重点产业领域覆盖不全，企业造血能力有待提升</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仿宋_GB2312" w:hAnsi="仿宋_GB2312" w:eastAsia="仿宋_GB2312" w:cs="仿宋_GB2312"/>
          <w:i w:val="0"/>
          <w:iCs w:val="0"/>
          <w:caps w:val="0"/>
          <w:spacing w:val="0"/>
          <w:sz w:val="32"/>
          <w:szCs w:val="40"/>
          <w:highlight w:val="none"/>
          <w:shd w:val="clear"/>
          <w:lang w:val="en-US" w:eastAsia="zh-CN"/>
        </w:rPr>
      </w:pP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i w:val="0"/>
          <w:iCs w:val="0"/>
          <w:caps w:val="0"/>
          <w:spacing w:val="0"/>
          <w:sz w:val="32"/>
          <w:szCs w:val="40"/>
          <w:highlight w:val="none"/>
          <w:shd w:val="clear"/>
          <w:lang w:val="en-US" w:eastAsia="zh-CN"/>
        </w:rPr>
        <w:t>部分企业营收表现未达预期。141家受奖补数字经济企业中，有51家企业2024年度营业收入较2023年度出现下滑，占比36.17%，企业清单详见附件4。</w:t>
      </w: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sz w:val="32"/>
          <w:szCs w:val="40"/>
          <w:highlight w:val="none"/>
          <w:lang w:val="en-US" w:eastAsia="zh-CN"/>
        </w:rPr>
        <w:t>专利授权与软件著作权增长有待提升。2022年至2024年间，</w:t>
      </w:r>
      <w:r>
        <w:rPr>
          <w:rFonts w:hint="eastAsia" w:ascii="仿宋_GB2312" w:hAnsi="仿宋_GB2312" w:eastAsia="仿宋_GB2312" w:cs="仿宋_GB2312"/>
          <w:i w:val="0"/>
          <w:iCs w:val="0"/>
          <w:caps w:val="0"/>
          <w:spacing w:val="0"/>
          <w:sz w:val="32"/>
          <w:szCs w:val="40"/>
          <w:highlight w:val="none"/>
          <w:shd w:val="clear"/>
          <w:lang w:val="en-US" w:eastAsia="zh-CN"/>
        </w:rPr>
        <w:t>141家受奖补数字经济企业中有</w:t>
      </w:r>
      <w:r>
        <w:rPr>
          <w:rFonts w:hint="eastAsia" w:ascii="仿宋_GB2312" w:hAnsi="仿宋_GB2312" w:eastAsia="仿宋_GB2312" w:cs="仿宋_GB2312"/>
          <w:sz w:val="32"/>
          <w:szCs w:val="40"/>
          <w:highlight w:val="none"/>
          <w:lang w:val="en-US" w:eastAsia="zh-CN"/>
        </w:rPr>
        <w:t>15家企业无新增授权发明专利，</w:t>
      </w:r>
      <w:r>
        <w:rPr>
          <w:rFonts w:hint="eastAsia" w:ascii="仿宋_GB2312" w:hAnsi="仿宋_GB2312" w:eastAsia="仿宋_GB2312" w:cs="仿宋_GB2312"/>
          <w:i w:val="0"/>
          <w:iCs w:val="0"/>
          <w:caps w:val="0"/>
          <w:spacing w:val="0"/>
          <w:sz w:val="32"/>
          <w:szCs w:val="40"/>
          <w:highlight w:val="none"/>
          <w:shd w:val="clear"/>
          <w:lang w:val="en-US" w:eastAsia="zh-CN"/>
        </w:rPr>
        <w:t>占比10.64%；有</w:t>
      </w:r>
      <w:r>
        <w:rPr>
          <w:rFonts w:hint="eastAsia" w:ascii="仿宋_GB2312" w:hAnsi="仿宋_GB2312" w:eastAsia="仿宋_GB2312" w:cs="仿宋_GB2312"/>
          <w:sz w:val="32"/>
          <w:szCs w:val="40"/>
          <w:highlight w:val="none"/>
          <w:lang w:val="en-US" w:eastAsia="zh-CN"/>
        </w:rPr>
        <w:t>37家企业无新增授权软件著作权，</w:t>
      </w:r>
      <w:r>
        <w:rPr>
          <w:rFonts w:hint="eastAsia" w:ascii="仿宋_GB2312" w:hAnsi="仿宋_GB2312" w:eastAsia="仿宋_GB2312" w:cs="仿宋_GB2312"/>
          <w:i w:val="0"/>
          <w:iCs w:val="0"/>
          <w:caps w:val="0"/>
          <w:spacing w:val="0"/>
          <w:sz w:val="32"/>
          <w:szCs w:val="40"/>
          <w:highlight w:val="none"/>
          <w:shd w:val="clear"/>
          <w:lang w:val="en-US" w:eastAsia="zh-CN"/>
        </w:rPr>
        <w:t>占比26.24%，企业清单详见附件5、附件6。</w:t>
      </w:r>
      <w:r>
        <w:rPr>
          <w:rFonts w:hint="eastAsia" w:ascii="仿宋_GB2312" w:hAnsi="仿宋_GB2312" w:eastAsia="仿宋_GB2312" w:cs="仿宋_GB2312"/>
          <w:b/>
          <w:bCs/>
          <w:i w:val="0"/>
          <w:iCs w:val="0"/>
          <w:caps w:val="0"/>
          <w:spacing w:val="0"/>
          <w:sz w:val="32"/>
          <w:szCs w:val="40"/>
          <w:highlight w:val="none"/>
          <w:shd w:val="clear"/>
          <w:lang w:val="en-US" w:eastAsia="zh-CN"/>
        </w:rPr>
        <w:t>三是</w:t>
      </w:r>
      <w:r>
        <w:rPr>
          <w:rFonts w:hint="eastAsia" w:ascii="仿宋_GB2312" w:hAnsi="仿宋_GB2312" w:eastAsia="仿宋_GB2312" w:cs="仿宋_GB2312"/>
          <w:b w:val="0"/>
          <w:bCs w:val="0"/>
          <w:i w:val="0"/>
          <w:iCs w:val="0"/>
          <w:caps w:val="0"/>
          <w:spacing w:val="0"/>
          <w:sz w:val="32"/>
          <w:szCs w:val="40"/>
          <w:highlight w:val="none"/>
          <w:shd w:val="clear"/>
          <w:lang w:val="en-US" w:eastAsia="zh-CN"/>
        </w:rPr>
        <w:t>重点领域覆盖不全。2025年，青岛市已明确“10+1”重点产业发展方向，具体包括优先发展2个先导产业、突破发展5个新兴产业、提质发展3个优势产业、超前发展1批未来产业。但从当前DCMM贯标企业的领域分布来看，其覆盖范围未能涉及“10+1”重点产业中的智能网联新能源汽车、绿色能源、高端化工与新材料三大领域，未能实现重点产业领域的全面覆盖。</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default" w:ascii="楷体_GB2312" w:hAnsi="楷体_GB2312" w:eastAsia="楷体_GB2312" w:cs="楷体_GB2312"/>
          <w:sz w:val="32"/>
          <w:szCs w:val="40"/>
          <w:highlight w:val="none"/>
          <w:lang w:val="en-US" w:eastAsia="zh-CN"/>
        </w:rPr>
      </w:pPr>
      <w:bookmarkStart w:id="25" w:name="_Toc15799"/>
      <w:r>
        <w:rPr>
          <w:rFonts w:hint="eastAsia" w:ascii="楷体_GB2312" w:hAnsi="楷体_GB2312" w:eastAsia="楷体_GB2312" w:cs="楷体_GB2312"/>
          <w:sz w:val="32"/>
          <w:szCs w:val="40"/>
          <w:highlight w:val="none"/>
          <w:lang w:val="en-US" w:eastAsia="zh-CN"/>
        </w:rPr>
        <w:t>（二）生物医药产业奖补资金项目存在的问题</w:t>
      </w:r>
      <w:bookmarkEnd w:id="25"/>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default"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1.专家评审过程存在短板，</w:t>
      </w:r>
      <w:bookmarkEnd w:id="24"/>
      <w:r>
        <w:rPr>
          <w:rFonts w:hint="eastAsia" w:ascii="仿宋_GB2312" w:hAnsi="仿宋_GB2312" w:eastAsia="仿宋_GB2312" w:cs="仿宋_GB2312"/>
          <w:b/>
          <w:bCs/>
          <w:sz w:val="32"/>
          <w:szCs w:val="40"/>
          <w:highlight w:val="none"/>
          <w:lang w:val="en-US" w:eastAsia="zh-CN"/>
        </w:rPr>
        <w:t>奖补资金执行进度缓慢</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b w:val="0"/>
          <w:bCs w:val="0"/>
          <w:sz w:val="32"/>
          <w:szCs w:val="40"/>
          <w:highlight w:val="none"/>
          <w:lang w:val="en-US" w:eastAsia="zh-CN"/>
        </w:rPr>
        <w:t>专家评审缺乏标准依据。主管部门每年组织专家对申报生物医药产业奖补资金的企业和项目进行评审。</w:t>
      </w:r>
      <w:r>
        <w:rPr>
          <w:rFonts w:hint="eastAsia" w:ascii="仿宋_GB2312" w:hAnsi="仿宋_GB2312" w:eastAsia="仿宋_GB2312" w:cs="仿宋_GB2312"/>
          <w:i w:val="0"/>
          <w:iCs w:val="0"/>
          <w:caps w:val="0"/>
          <w:spacing w:val="0"/>
          <w:sz w:val="32"/>
          <w:szCs w:val="40"/>
          <w:highlight w:val="none"/>
          <w:shd w:val="clear"/>
        </w:rPr>
        <w:t>一方面，评审标准</w:t>
      </w:r>
      <w:r>
        <w:rPr>
          <w:rFonts w:hint="eastAsia" w:ascii="仿宋_GB2312" w:hAnsi="仿宋_GB2312" w:eastAsia="仿宋_GB2312" w:cs="仿宋_GB2312"/>
          <w:i w:val="0"/>
          <w:iCs w:val="0"/>
          <w:caps w:val="0"/>
          <w:spacing w:val="0"/>
          <w:sz w:val="32"/>
          <w:szCs w:val="40"/>
          <w:highlight w:val="none"/>
          <w:shd w:val="clear"/>
          <w:lang w:val="en-US" w:eastAsia="zh-CN"/>
        </w:rPr>
        <w:t>应参考</w:t>
      </w:r>
      <w:r>
        <w:rPr>
          <w:rFonts w:hint="eastAsia" w:ascii="仿宋_GB2312" w:hAnsi="仿宋_GB2312" w:eastAsia="仿宋_GB2312" w:cs="仿宋_GB2312"/>
          <w:i w:val="0"/>
          <w:iCs w:val="0"/>
          <w:caps w:val="0"/>
          <w:spacing w:val="0"/>
          <w:sz w:val="32"/>
          <w:szCs w:val="40"/>
          <w:highlight w:val="none"/>
          <w:shd w:val="clear"/>
        </w:rPr>
        <w:t>《创新药物研发国家科技重大专项管理办法》《</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rPr>
        <w:t>十四五</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rPr>
        <w:t>生物医药产业发展规划》等国家级政策文件，采用定量与定性结合的评价方式</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lang w:val="en-US" w:eastAsia="zh-CN"/>
        </w:rPr>
        <w:t>设置</w:t>
      </w:r>
      <w:r>
        <w:rPr>
          <w:rFonts w:hint="eastAsia" w:ascii="仿宋_GB2312" w:hAnsi="仿宋_GB2312" w:eastAsia="仿宋_GB2312" w:cs="仿宋_GB2312"/>
          <w:i w:val="0"/>
          <w:iCs w:val="0"/>
          <w:caps w:val="0"/>
          <w:spacing w:val="0"/>
          <w:sz w:val="32"/>
          <w:szCs w:val="40"/>
          <w:highlight w:val="none"/>
          <w:shd w:val="clear"/>
          <w:lang w:eastAsia="zh-CN"/>
        </w:rPr>
        <w:t>可量化、可验证</w:t>
      </w:r>
      <w:r>
        <w:rPr>
          <w:rFonts w:hint="eastAsia" w:ascii="仿宋_GB2312" w:hAnsi="仿宋_GB2312" w:eastAsia="仿宋_GB2312" w:cs="仿宋_GB2312"/>
          <w:i w:val="0"/>
          <w:iCs w:val="0"/>
          <w:caps w:val="0"/>
          <w:spacing w:val="0"/>
          <w:sz w:val="32"/>
          <w:szCs w:val="40"/>
          <w:highlight w:val="none"/>
          <w:shd w:val="clear"/>
          <w:lang w:val="en-US" w:eastAsia="zh-CN"/>
        </w:rPr>
        <w:t>的评价指标</w:t>
      </w:r>
      <w:r>
        <w:rPr>
          <w:rFonts w:hint="eastAsia" w:ascii="仿宋_GB2312" w:hAnsi="仿宋_GB2312" w:eastAsia="仿宋_GB2312" w:cs="仿宋_GB2312"/>
          <w:i w:val="0"/>
          <w:iCs w:val="0"/>
          <w:caps w:val="0"/>
          <w:spacing w:val="0"/>
          <w:sz w:val="32"/>
          <w:szCs w:val="40"/>
          <w:highlight w:val="none"/>
          <w:shd w:val="clear"/>
          <w:lang w:eastAsia="zh-CN"/>
        </w:rPr>
        <w:t>，避免模糊表述。</w:t>
      </w:r>
      <w:r>
        <w:rPr>
          <w:rFonts w:hint="eastAsia" w:ascii="仿宋_GB2312" w:hAnsi="仿宋_GB2312" w:eastAsia="仿宋_GB2312" w:cs="仿宋_GB2312"/>
          <w:i w:val="0"/>
          <w:iCs w:val="0"/>
          <w:caps w:val="0"/>
          <w:spacing w:val="0"/>
          <w:sz w:val="32"/>
          <w:szCs w:val="40"/>
          <w:highlight w:val="none"/>
          <w:shd w:val="clear"/>
          <w:lang w:val="en-US" w:eastAsia="zh-CN"/>
        </w:rPr>
        <w:t>但项目的《专家评审表》缺乏明确的</w:t>
      </w:r>
      <w:r>
        <w:rPr>
          <w:rFonts w:hint="eastAsia" w:ascii="仿宋_GB2312" w:hAnsi="仿宋_GB2312" w:eastAsia="仿宋_GB2312" w:cs="仿宋_GB2312"/>
          <w:i w:val="0"/>
          <w:iCs w:val="0"/>
          <w:caps w:val="0"/>
          <w:spacing w:val="0"/>
          <w:sz w:val="32"/>
          <w:szCs w:val="40"/>
          <w:highlight w:val="none"/>
          <w:shd w:val="clear"/>
        </w:rPr>
        <w:t>评审标准</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rPr>
        <w:t>审核要点</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lang w:val="en-US" w:eastAsia="zh-CN"/>
        </w:rPr>
        <w:t>难以保证评审结果公平公正</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rPr>
        <w:t>另一方面，</w:t>
      </w:r>
      <w:r>
        <w:rPr>
          <w:rFonts w:hint="eastAsia" w:ascii="仿宋_GB2312" w:hAnsi="仿宋_GB2312" w:eastAsia="仿宋_GB2312" w:cs="仿宋_GB2312"/>
          <w:i w:val="0"/>
          <w:iCs w:val="0"/>
          <w:caps w:val="0"/>
          <w:spacing w:val="0"/>
          <w:sz w:val="32"/>
          <w:szCs w:val="40"/>
          <w:highlight w:val="none"/>
          <w:shd w:val="clear"/>
          <w:lang w:val="en-US" w:eastAsia="zh-CN"/>
        </w:rPr>
        <w:t>主管部门未提供评审</w:t>
      </w:r>
      <w:r>
        <w:rPr>
          <w:rFonts w:hint="eastAsia" w:ascii="仿宋_GB2312" w:hAnsi="仿宋_GB2312" w:eastAsia="仿宋_GB2312" w:cs="仿宋_GB2312"/>
          <w:i w:val="0"/>
          <w:iCs w:val="0"/>
          <w:caps w:val="0"/>
          <w:spacing w:val="0"/>
          <w:sz w:val="32"/>
          <w:szCs w:val="40"/>
          <w:highlight w:val="none"/>
          <w:shd w:val="clear"/>
        </w:rPr>
        <w:t>专家</w:t>
      </w:r>
      <w:r>
        <w:rPr>
          <w:rFonts w:hint="eastAsia" w:ascii="仿宋_GB2312" w:hAnsi="仿宋_GB2312" w:eastAsia="仿宋_GB2312" w:cs="仿宋_GB2312"/>
          <w:i w:val="0"/>
          <w:iCs w:val="0"/>
          <w:caps w:val="0"/>
          <w:spacing w:val="0"/>
          <w:sz w:val="32"/>
          <w:szCs w:val="40"/>
          <w:highlight w:val="none"/>
          <w:shd w:val="clear"/>
          <w:lang w:val="en-US" w:eastAsia="zh-CN"/>
        </w:rPr>
        <w:t>进行</w:t>
      </w:r>
      <w:r>
        <w:rPr>
          <w:rFonts w:hint="eastAsia" w:ascii="仿宋_GB2312" w:hAnsi="仿宋_GB2312" w:eastAsia="仿宋_GB2312" w:cs="仿宋_GB2312"/>
          <w:i w:val="0"/>
          <w:iCs w:val="0"/>
          <w:caps w:val="0"/>
          <w:spacing w:val="0"/>
          <w:sz w:val="32"/>
          <w:szCs w:val="40"/>
          <w:highlight w:val="none"/>
          <w:shd w:val="clear"/>
        </w:rPr>
        <w:t>现场评审的影像资料（如评审会议录像、现场核查照片等），无法对评审过程的完整性、合规</w:t>
      </w:r>
      <w:r>
        <w:rPr>
          <w:rFonts w:hint="eastAsia" w:ascii="仿宋_GB2312" w:hAnsi="仿宋_GB2312" w:eastAsia="仿宋_GB2312" w:cs="仿宋_GB2312"/>
          <w:b w:val="0"/>
          <w:bCs w:val="0"/>
          <w:sz w:val="32"/>
          <w:szCs w:val="40"/>
          <w:highlight w:val="none"/>
          <w:lang w:val="en-US" w:eastAsia="zh-CN"/>
        </w:rPr>
        <w:t>性进行事后追溯，也难以核实评审结论与现场实际情况是否一致，评审环节的监督与复核缺乏有效支撑。2025年9月，市工信局印发出台《青岛市工业和信息化局项目评审及专家选取操作规程》，对项目评审过程及专家提出了具体要求。</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val="0"/>
          <w:bCs w:val="0"/>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i w:val="0"/>
          <w:iCs w:val="0"/>
          <w:caps w:val="0"/>
          <w:spacing w:val="0"/>
          <w:sz w:val="32"/>
          <w:szCs w:val="40"/>
          <w:highlight w:val="none"/>
          <w:shd w:val="clear"/>
          <w:lang w:val="en-US" w:eastAsia="zh-CN"/>
        </w:rPr>
        <w:t>2024年度奖补资金执行率偏低。生物医药产业奖补资金项目2024年预算金额为648.9万元，由市财政局拨付至区（市）财政部门，区（市）财政部门再转拨至受奖补企业。截至评价日，市财政局已将648.9万元全额拨付至区（市）财政部门，但受奖补企业仅收到78.9万元，2024年度预算执行率仅为12.16%。</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default" w:ascii="仿宋_GB2312" w:hAnsi="仿宋_GB2312" w:eastAsia="仿宋_GB2312" w:cs="仿宋_GB2312"/>
          <w:b/>
          <w:bCs/>
          <w:sz w:val="32"/>
          <w:szCs w:val="40"/>
          <w:highlight w:val="none"/>
          <w:lang w:val="en-US" w:eastAsia="zh-CN"/>
        </w:rPr>
      </w:pPr>
      <w:bookmarkStart w:id="26" w:name="_Toc31413"/>
      <w:r>
        <w:rPr>
          <w:rFonts w:hint="eastAsia" w:ascii="仿宋_GB2312" w:hAnsi="仿宋_GB2312" w:eastAsia="仿宋_GB2312" w:cs="仿宋_GB2312"/>
          <w:b/>
          <w:bCs/>
          <w:sz w:val="32"/>
          <w:szCs w:val="40"/>
          <w:highlight w:val="none"/>
          <w:lang w:val="en-US" w:eastAsia="zh-CN"/>
        </w:rPr>
        <w:t>2.部分项目研发进度滞后，产业化承诺约束力度不强</w:t>
      </w:r>
      <w:bookmarkEnd w:id="26"/>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sz w:val="32"/>
          <w:szCs w:val="40"/>
          <w:highlight w:val="none"/>
          <w:lang w:val="en-US" w:eastAsia="zh-CN"/>
        </w:rPr>
        <w:t>部分项目研发进度滞后，实现产业化难度较高。评价组共对17个受奖补生物医药项目开展现场评价，其中有5个项目研发进度缓慢，占比29.41%，具体项目清单详见表7。</w:t>
      </w:r>
      <w:r>
        <w:rPr>
          <w:rFonts w:hint="eastAsia" w:ascii="仿宋_GB2312" w:hAnsi="仿宋_GB2312" w:eastAsia="仿宋_GB2312" w:cs="仿宋_GB2312"/>
          <w:i w:val="0"/>
          <w:iCs w:val="0"/>
          <w:caps w:val="0"/>
          <w:spacing w:val="0"/>
          <w:sz w:val="32"/>
          <w:szCs w:val="40"/>
          <w:highlight w:val="none"/>
          <w:shd w:val="clear"/>
        </w:rPr>
        <w:t>以青岛海洋生物医药研究院申报的两个</w:t>
      </w:r>
      <w:r>
        <w:rPr>
          <w:rFonts w:hint="eastAsia" w:ascii="仿宋_GB2312" w:hAnsi="仿宋_GB2312" w:eastAsia="仿宋_GB2312" w:cs="仿宋_GB2312"/>
          <w:i w:val="0"/>
          <w:iCs w:val="0"/>
          <w:caps w:val="0"/>
          <w:spacing w:val="0"/>
          <w:sz w:val="32"/>
          <w:szCs w:val="40"/>
          <w:highlight w:val="none"/>
          <w:shd w:val="clear"/>
          <w:lang w:val="en-US" w:eastAsia="zh-CN"/>
        </w:rPr>
        <w:t>项目</w:t>
      </w:r>
      <w:r>
        <w:rPr>
          <w:rFonts w:hint="eastAsia" w:ascii="仿宋_GB2312" w:hAnsi="仿宋_GB2312" w:eastAsia="仿宋_GB2312" w:cs="仿宋_GB2312"/>
          <w:i w:val="0"/>
          <w:iCs w:val="0"/>
          <w:caps w:val="0"/>
          <w:spacing w:val="0"/>
          <w:sz w:val="32"/>
          <w:szCs w:val="40"/>
          <w:highlight w:val="none"/>
          <w:shd w:val="clear"/>
        </w:rPr>
        <w:t>为例</w:t>
      </w:r>
      <w:r>
        <w:rPr>
          <w:rFonts w:hint="eastAsia" w:ascii="仿宋_GB2312" w:hAnsi="仿宋_GB2312" w:eastAsia="仿宋_GB2312" w:cs="仿宋_GB2312"/>
          <w:i w:val="0"/>
          <w:iCs w:val="0"/>
          <w:caps w:val="0"/>
          <w:spacing w:val="0"/>
          <w:sz w:val="32"/>
          <w:szCs w:val="40"/>
          <w:highlight w:val="none"/>
          <w:shd w:val="clear"/>
          <w:lang w:eastAsia="zh-CN"/>
        </w:rPr>
        <w:t>，</w:t>
      </w:r>
      <w:r>
        <w:rPr>
          <w:rFonts w:hint="eastAsia" w:ascii="仿宋_GB2312" w:hAnsi="仿宋_GB2312" w:eastAsia="仿宋_GB2312" w:cs="仿宋_GB2312"/>
          <w:i w:val="0"/>
          <w:iCs w:val="0"/>
          <w:caps w:val="0"/>
          <w:spacing w:val="0"/>
          <w:sz w:val="32"/>
          <w:szCs w:val="40"/>
          <w:highlight w:val="none"/>
          <w:shd w:val="clear"/>
          <w:lang w:val="en-US" w:eastAsia="zh-CN"/>
        </w:rPr>
        <w:t>“</w:t>
      </w:r>
      <w:r>
        <w:rPr>
          <w:rFonts w:hint="eastAsia" w:ascii="仿宋_GB2312" w:hAnsi="仿宋_GB2312" w:eastAsia="仿宋_GB2312" w:cs="仿宋_GB2312"/>
          <w:sz w:val="32"/>
          <w:szCs w:val="40"/>
          <w:highlight w:val="none"/>
          <w:lang w:val="en-US" w:eastAsia="zh-CN"/>
        </w:rPr>
        <w:t>以组蛋白去乙酰化酶为靶标的抗急性髓性白血病药物研发</w:t>
      </w:r>
      <w:r>
        <w:rPr>
          <w:rFonts w:hint="eastAsia" w:ascii="仿宋_GB2312" w:hAnsi="仿宋_GB2312" w:eastAsia="仿宋_GB2312" w:cs="仿宋_GB2312"/>
          <w:i w:val="0"/>
          <w:iCs w:val="0"/>
          <w:caps w:val="0"/>
          <w:spacing w:val="0"/>
          <w:sz w:val="32"/>
          <w:szCs w:val="40"/>
          <w:highlight w:val="none"/>
          <w:shd w:val="clear"/>
          <w:lang w:val="en-US" w:eastAsia="zh-CN"/>
        </w:rPr>
        <w:t>”</w:t>
      </w:r>
      <w:r>
        <w:rPr>
          <w:rFonts w:hint="eastAsia" w:ascii="仿宋_GB2312" w:hAnsi="仿宋_GB2312" w:eastAsia="仿宋_GB2312" w:cs="仿宋_GB2312"/>
          <w:sz w:val="32"/>
          <w:szCs w:val="40"/>
          <w:highlight w:val="none"/>
          <w:lang w:val="en-US" w:eastAsia="zh-CN"/>
        </w:rPr>
        <w:t>项目于2021年立项，研发过程中面临了较多的科学问题，截至评价日</w:t>
      </w:r>
      <w:r>
        <w:rPr>
          <w:rFonts w:hint="eastAsia" w:ascii="仿宋_GB2312" w:hAnsi="仿宋_GB2312" w:eastAsia="仿宋_GB2312" w:cs="仿宋_GB2312"/>
          <w:i w:val="0"/>
          <w:iCs w:val="0"/>
          <w:caps w:val="0"/>
          <w:spacing w:val="0"/>
          <w:sz w:val="32"/>
          <w:szCs w:val="40"/>
          <w:highlight w:val="none"/>
          <w:shd w:val="clear"/>
        </w:rPr>
        <w:t>仍停留在前期试验阶段</w:t>
      </w:r>
      <w:r>
        <w:rPr>
          <w:rFonts w:hint="eastAsia" w:ascii="仿宋_GB2312" w:hAnsi="仿宋_GB2312" w:eastAsia="仿宋_GB2312" w:cs="仿宋_GB2312"/>
          <w:sz w:val="32"/>
          <w:szCs w:val="40"/>
          <w:highlight w:val="none"/>
          <w:lang w:val="en-US" w:eastAsia="zh-CN"/>
        </w:rPr>
        <w:t>，尚未取得临床试验许可，后续还将进行改构、优化，进一步研究品种特点；“抗肿瘤药物KRAS抑制剂的开发”项目同样处于前期试验阶段，目前面临试验体对药物吸收困难的研发瓶颈，整体实施进度缓慢。</w:t>
      </w:r>
    </w:p>
    <w:p>
      <w:pPr>
        <w:pStyle w:val="3"/>
        <w:spacing w:line="600" w:lineRule="exact"/>
        <w:ind w:left="0" w:leftChars="0" w:firstLine="0" w:firstLineChars="0"/>
        <w:jc w:val="center"/>
        <w:rPr>
          <w:rFonts w:hint="default"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表 7 研发进度缓慢的生物医药项目清单</w:t>
      </w:r>
    </w:p>
    <w:tbl>
      <w:tblPr>
        <w:tblStyle w:val="12"/>
        <w:tblW w:w="5284" w:type="pct"/>
        <w:tblInd w:w="-2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2"/>
        <w:gridCol w:w="2275"/>
        <w:gridCol w:w="1828"/>
        <w:gridCol w:w="1286"/>
        <w:gridCol w:w="1298"/>
        <w:gridCol w:w="1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申报单位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奖补金额（万元）</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当前进度</w:t>
            </w: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以组蛋白去乙酰化酶为靶标的抗急性髓性白血病药物研发</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青岛海洋生物医药研究院</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处于前期试验阶段</w:t>
            </w: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预计2027年开展临床试验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抗肿瘤药物KRAS抑制剂的开发</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青岛海洋生物医药研究院</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处于前期试验阶段</w:t>
            </w: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预计2028年开展临床试验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基于MLRP3炎症小体抑制剂的抗痛风药物研发</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青岛海洋生物医药研究院</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33.1</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处于前期试验阶段</w:t>
            </w: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尚无计划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肿瘤浸润淋巴细胞（TIL）药物-HS-IT101注射液I类新药的研发</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青岛华赛伯曼医学细胞生物有限公司</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已完成一期临床试验</w:t>
            </w: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预计2028年具备产业化条件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人白介素-12注射液联合特瑞普利（PD-1）单抗治疗黑色素瘤及其他实体瘤临床前研究</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康立泰生物医药（青岛）有限公司</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尚未开始一期临床试验</w:t>
            </w:r>
          </w:p>
        </w:tc>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预计2028年具备产业化条件</w:t>
            </w:r>
          </w:p>
        </w:tc>
      </w:tr>
    </w:tbl>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sz w:val="32"/>
          <w:szCs w:val="40"/>
          <w:highlight w:val="none"/>
          <w:lang w:val="en-US" w:eastAsia="zh-CN"/>
        </w:rPr>
        <w:t>枸橼酸西地那非口崩片项目尚未按照承诺要求完成落地转化。2024年9月，青岛黄海制药有限责任公司申报的枸橼酸西地那非口崩片项目（2023年取得证书），在申请补助时承诺将在青岛市实现产业化生产。截至评价日，该项目产品“爱从容-枸橼酸西地那非口崩片”在青岛产业化进程缓慢，于2024年3月在青岛黄海制药三期车间完成产业化试生产并取得试生产报告。根据企业提供试生产信息，预计2026年在青岛实际投产。</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default" w:ascii="仿宋_GB2312" w:hAnsi="仿宋_GB2312" w:eastAsia="仿宋_GB2312" w:cs="仿宋_GB2312"/>
          <w:b/>
          <w:bCs/>
          <w:sz w:val="32"/>
          <w:szCs w:val="40"/>
          <w:highlight w:val="none"/>
          <w:lang w:val="en-US" w:eastAsia="zh-CN"/>
        </w:rPr>
      </w:pPr>
      <w:bookmarkStart w:id="27" w:name="_Toc884"/>
      <w:r>
        <w:rPr>
          <w:rFonts w:hint="eastAsia" w:ascii="仿宋_GB2312" w:hAnsi="仿宋_GB2312" w:eastAsia="仿宋_GB2312" w:cs="仿宋_GB2312"/>
          <w:b/>
          <w:bCs/>
          <w:sz w:val="32"/>
          <w:szCs w:val="40"/>
          <w:highlight w:val="none"/>
          <w:lang w:val="en-US" w:eastAsia="zh-CN"/>
        </w:rPr>
        <w:t>3.</w:t>
      </w:r>
      <w:bookmarkEnd w:id="27"/>
      <w:r>
        <w:rPr>
          <w:rFonts w:hint="eastAsia" w:ascii="仿宋_GB2312" w:hAnsi="仿宋_GB2312" w:eastAsia="仿宋_GB2312" w:cs="仿宋_GB2312"/>
          <w:b/>
          <w:bCs/>
          <w:sz w:val="32"/>
          <w:szCs w:val="40"/>
          <w:highlight w:val="none"/>
          <w:lang w:val="en-US" w:eastAsia="zh-CN"/>
        </w:rPr>
        <w:t>奖补条件比较宽松，支持重点不够明晰</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40"/>
          <w:highlight w:val="none"/>
          <w:shd w:val="clear"/>
          <w:lang w:val="en-US" w:eastAsia="zh-CN"/>
        </w:rPr>
      </w:pPr>
      <w:r>
        <w:rPr>
          <w:rFonts w:hint="eastAsia" w:ascii="仿宋_GB2312" w:hAnsi="仿宋_GB2312" w:eastAsia="仿宋_GB2312" w:cs="仿宋_GB2312"/>
          <w:b w:val="0"/>
          <w:bCs w:val="0"/>
          <w:sz w:val="32"/>
          <w:szCs w:val="40"/>
          <w:highlight w:val="none"/>
          <w:lang w:val="en-US" w:eastAsia="zh-CN"/>
        </w:rPr>
        <w:t>2025年6月，国家医保局、国家卫生健康委联合印发《支持创新药高质量发展的若干措施》，明确加大创新药研发支持力度，推动创新药高质量发展，凸显创新导向。而在仿制药领域，自2023年</w:t>
      </w:r>
      <w:r>
        <w:rPr>
          <w:rFonts w:hint="eastAsia" w:ascii="仿宋_GB2312" w:hAnsi="仿宋_GB2312" w:eastAsia="仿宋_GB2312" w:cs="仿宋_GB2312"/>
          <w:i w:val="0"/>
          <w:iCs w:val="0"/>
          <w:caps w:val="0"/>
          <w:color w:val="auto"/>
          <w:spacing w:val="0"/>
          <w:sz w:val="32"/>
          <w:szCs w:val="40"/>
          <w:highlight w:val="none"/>
          <w:shd w:val="clear"/>
          <w:lang w:eastAsia="zh-CN"/>
        </w:rPr>
        <w:t>《</w:t>
      </w:r>
      <w:r>
        <w:rPr>
          <w:rFonts w:hint="eastAsia" w:ascii="仿宋_GB2312" w:hAnsi="仿宋_GB2312" w:eastAsia="仿宋_GB2312" w:cs="仿宋_GB2312"/>
          <w:i w:val="0"/>
          <w:iCs w:val="0"/>
          <w:caps w:val="0"/>
          <w:color w:val="auto"/>
          <w:spacing w:val="0"/>
          <w:sz w:val="32"/>
          <w:szCs w:val="40"/>
          <w:highlight w:val="none"/>
          <w:shd w:val="clear"/>
        </w:rPr>
        <w:t>第三批鼓励仿制药品目录</w:t>
      </w:r>
      <w:r>
        <w:rPr>
          <w:rFonts w:hint="eastAsia" w:ascii="仿宋_GB2312" w:hAnsi="仿宋_GB2312" w:eastAsia="仿宋_GB2312" w:cs="仿宋_GB2312"/>
          <w:i w:val="0"/>
          <w:iCs w:val="0"/>
          <w:caps w:val="0"/>
          <w:color w:val="auto"/>
          <w:spacing w:val="0"/>
          <w:sz w:val="32"/>
          <w:szCs w:val="40"/>
          <w:highlight w:val="none"/>
          <w:shd w:val="clear"/>
          <w:lang w:eastAsia="zh-CN"/>
        </w:rPr>
        <w:t>》</w:t>
      </w:r>
      <w:r>
        <w:rPr>
          <w:rFonts w:hint="eastAsia" w:ascii="仿宋_GB2312" w:hAnsi="仿宋_GB2312" w:eastAsia="仿宋_GB2312" w:cs="仿宋_GB2312"/>
          <w:i w:val="0"/>
          <w:iCs w:val="0"/>
          <w:caps w:val="0"/>
          <w:color w:val="auto"/>
          <w:spacing w:val="0"/>
          <w:sz w:val="32"/>
          <w:szCs w:val="40"/>
          <w:highlight w:val="none"/>
          <w:shd w:val="clear"/>
          <w:lang w:val="en-US" w:eastAsia="zh-CN"/>
        </w:rPr>
        <w:t>公布后，国家未再出台关于新的鼓励研发措施，政策支持已逐步收紧。青岛市工信局发布的《2025年度仿制药质量和疗效一致性评价预算资金项目申报指南》（青工信字〔2024〕49号），未明确要求受奖补项目纳入国家鼓励仿制目录，且已奖补的6个仿制药项目均非目录范畴，奖补范围较宽松。鉴于该政策已到期，建议不再出台类似政策，集中资金支持创新药研发，契合国家政策导向。青岛市受奖补仿制药项目清单详见表8。</w:t>
      </w:r>
    </w:p>
    <w:p>
      <w:pPr>
        <w:pStyle w:val="3"/>
        <w:spacing w:line="600" w:lineRule="exact"/>
        <w:ind w:left="0" w:leftChars="0" w:firstLine="0" w:firstLineChars="0"/>
        <w:jc w:val="center"/>
        <w:rPr>
          <w:rFonts w:hint="default" w:ascii="宋体" w:hAnsi="宋体" w:eastAsia="宋体" w:cs="宋体"/>
          <w:b/>
          <w:bCs/>
          <w:color w:val="auto"/>
          <w:kern w:val="0"/>
          <w:sz w:val="28"/>
          <w:szCs w:val="28"/>
          <w:highlight w:val="none"/>
          <w:u w:color="000000"/>
          <w:lang w:val="en-US" w:eastAsia="zh-CN" w:bidi="ar-SA"/>
        </w:rPr>
      </w:pPr>
      <w:r>
        <w:rPr>
          <w:rFonts w:hint="eastAsia" w:ascii="宋体" w:hAnsi="宋体" w:eastAsia="宋体" w:cs="宋体"/>
          <w:b/>
          <w:bCs/>
          <w:color w:val="auto"/>
          <w:kern w:val="0"/>
          <w:sz w:val="28"/>
          <w:szCs w:val="28"/>
          <w:highlight w:val="none"/>
          <w:u w:color="000000"/>
          <w:lang w:val="en-US" w:eastAsia="zh-CN" w:bidi="ar-SA"/>
        </w:rPr>
        <w:t>表 8 受奖补仿制药项目清单</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9"/>
        <w:gridCol w:w="3565"/>
        <w:gridCol w:w="2217"/>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271" w:type="pct"/>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申报单位</w:t>
            </w: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奖补金额（万元）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复方电解质注射液（V）的</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研究与开发</w:t>
            </w:r>
          </w:p>
        </w:tc>
        <w:tc>
          <w:tcPr>
            <w:tcW w:w="1271"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华仁药业股份有限公司</w:t>
            </w: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低钙腹膜透析液（乳酸盐）的</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研究与开发</w:t>
            </w:r>
          </w:p>
        </w:tc>
        <w:tc>
          <w:tcPr>
            <w:tcW w:w="1271" w:type="pct"/>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碳酸氢钠林格注射液的</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研究与开发</w:t>
            </w:r>
          </w:p>
        </w:tc>
        <w:tc>
          <w:tcPr>
            <w:tcW w:w="1271" w:type="pct"/>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腹膜透析液的研究及制备工艺</w:t>
            </w:r>
          </w:p>
        </w:tc>
        <w:tc>
          <w:tcPr>
            <w:tcW w:w="1271" w:type="pct"/>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青岛瑞奈医疗科技有限公司</w:t>
            </w: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低钙腹膜透析液的研究及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制备工艺</w:t>
            </w:r>
          </w:p>
        </w:tc>
        <w:tc>
          <w:tcPr>
            <w:tcW w:w="1271" w:type="pct"/>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8"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44"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枸橼酸西地那非口崩片</w:t>
            </w:r>
          </w:p>
        </w:tc>
        <w:tc>
          <w:tcPr>
            <w:tcW w:w="1271" w:type="pc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青岛黄海制药有限责任公司</w:t>
            </w:r>
          </w:p>
        </w:tc>
        <w:tc>
          <w:tcPr>
            <w:tcW w:w="1225" w:type="pc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bl>
    <w:p>
      <w:pPr>
        <w:keepNext/>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黑体" w:hAnsi="黑体" w:eastAsia="黑体" w:cs="黑体"/>
          <w:sz w:val="32"/>
          <w:szCs w:val="40"/>
          <w:highlight w:val="none"/>
        </w:rPr>
      </w:pPr>
      <w:bookmarkStart w:id="28" w:name="_Toc12065"/>
      <w:r>
        <w:rPr>
          <w:rFonts w:hint="eastAsia" w:ascii="黑体" w:hAnsi="黑体" w:eastAsia="黑体" w:cs="黑体"/>
          <w:sz w:val="32"/>
          <w:szCs w:val="40"/>
          <w:highlight w:val="none"/>
        </w:rPr>
        <w:t>六、相关建议</w:t>
      </w:r>
      <w:bookmarkEnd w:id="28"/>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default" w:ascii="楷体_GB2312" w:hAnsi="楷体_GB2312" w:eastAsia="楷体_GB2312" w:cs="楷体_GB2312"/>
          <w:sz w:val="32"/>
          <w:szCs w:val="40"/>
          <w:highlight w:val="none"/>
          <w:lang w:val="en-US" w:eastAsia="zh-CN"/>
        </w:rPr>
      </w:pPr>
      <w:bookmarkStart w:id="29" w:name="_Toc13411"/>
      <w:bookmarkStart w:id="30" w:name="_Toc1441"/>
      <w:r>
        <w:rPr>
          <w:rFonts w:hint="eastAsia" w:ascii="楷体_GB2312" w:hAnsi="楷体_GB2312" w:eastAsia="楷体_GB2312" w:cs="楷体_GB2312"/>
          <w:sz w:val="32"/>
          <w:szCs w:val="40"/>
          <w:highlight w:val="none"/>
          <w:lang w:val="en-US" w:eastAsia="zh-CN"/>
        </w:rPr>
        <w:t>（一）DCMM贯标奖补资金项目的相关建议</w:t>
      </w:r>
      <w:bookmarkEnd w:id="29"/>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default"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奖补政策到期后不再延续实施</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i w:val="0"/>
          <w:iCs w:val="0"/>
          <w:caps w:val="0"/>
          <w:spacing w:val="0"/>
          <w:sz w:val="32"/>
          <w:szCs w:val="40"/>
          <w:highlight w:val="none"/>
          <w:shd w:val="clear"/>
          <w:lang w:val="en-US" w:eastAsia="zh-CN"/>
        </w:rPr>
      </w:pPr>
      <w:r>
        <w:rPr>
          <w:rFonts w:hint="eastAsia" w:ascii="仿宋_GB2312" w:hAnsi="仿宋_GB2312" w:eastAsia="仿宋_GB2312" w:cs="仿宋_GB2312"/>
          <w:i w:val="0"/>
          <w:iCs w:val="0"/>
          <w:caps w:val="0"/>
          <w:spacing w:val="0"/>
          <w:sz w:val="32"/>
          <w:szCs w:val="40"/>
          <w:highlight w:val="none"/>
          <w:shd w:val="clear"/>
          <w:lang w:eastAsia="zh-CN"/>
        </w:rPr>
        <w:t>依据《国务院办公厅关于加强行政规范性文件制定和监督管理工作的通知》要求，</w:t>
      </w:r>
      <w:r>
        <w:rPr>
          <w:rFonts w:hint="eastAsia" w:ascii="仿宋_GB2312" w:hAnsi="仿宋_GB2312" w:eastAsia="仿宋_GB2312" w:cs="仿宋_GB2312"/>
          <w:i w:val="0"/>
          <w:iCs w:val="0"/>
          <w:caps w:val="0"/>
          <w:spacing w:val="0"/>
          <w:sz w:val="32"/>
          <w:szCs w:val="40"/>
          <w:highlight w:val="none"/>
          <w:shd w:val="clear"/>
          <w:lang w:val="en-US" w:eastAsia="zh-CN"/>
        </w:rPr>
        <w:t>青岛市DCMM贯标奖补</w:t>
      </w:r>
      <w:r>
        <w:rPr>
          <w:rFonts w:hint="eastAsia" w:ascii="仿宋_GB2312" w:hAnsi="仿宋_GB2312" w:eastAsia="仿宋_GB2312" w:cs="仿宋_GB2312"/>
          <w:i w:val="0"/>
          <w:iCs w:val="0"/>
          <w:caps w:val="0"/>
          <w:spacing w:val="0"/>
          <w:sz w:val="32"/>
          <w:szCs w:val="40"/>
          <w:highlight w:val="none"/>
          <w:shd w:val="clear"/>
          <w:lang w:eastAsia="zh-CN"/>
        </w:rPr>
        <w:t>政策未设定奖补资金总额与企业申报数量上限，</w:t>
      </w:r>
      <w:r>
        <w:rPr>
          <w:rFonts w:hint="eastAsia" w:ascii="仿宋_GB2312" w:hAnsi="仿宋_GB2312" w:eastAsia="仿宋_GB2312" w:cs="仿宋_GB2312"/>
          <w:i w:val="0"/>
          <w:iCs w:val="0"/>
          <w:caps w:val="0"/>
          <w:spacing w:val="0"/>
          <w:sz w:val="32"/>
          <w:szCs w:val="40"/>
          <w:highlight w:val="none"/>
          <w:shd w:val="clear"/>
          <w:lang w:val="en-US" w:eastAsia="zh-CN"/>
        </w:rPr>
        <w:t>不符合</w:t>
      </w:r>
      <w:r>
        <w:rPr>
          <w:rFonts w:hint="eastAsia" w:ascii="仿宋_GB2312" w:hAnsi="仿宋_GB2312" w:eastAsia="仿宋_GB2312" w:cs="仿宋_GB2312"/>
          <w:i w:val="0"/>
          <w:iCs w:val="0"/>
          <w:caps w:val="0"/>
          <w:spacing w:val="0"/>
          <w:sz w:val="32"/>
          <w:szCs w:val="40"/>
          <w:highlight w:val="none"/>
          <w:shd w:val="clear"/>
          <w:lang w:eastAsia="zh-CN"/>
        </w:rPr>
        <w:t>“全面论证合理性、评估潜在影响”的</w:t>
      </w:r>
      <w:r>
        <w:rPr>
          <w:rFonts w:hint="eastAsia" w:ascii="仿宋_GB2312" w:hAnsi="仿宋_GB2312" w:eastAsia="仿宋_GB2312" w:cs="仿宋_GB2312"/>
          <w:i w:val="0"/>
          <w:iCs w:val="0"/>
          <w:caps w:val="0"/>
          <w:spacing w:val="0"/>
          <w:sz w:val="32"/>
          <w:szCs w:val="40"/>
          <w:highlight w:val="none"/>
          <w:shd w:val="clear"/>
          <w:lang w:val="en-US" w:eastAsia="zh-CN"/>
        </w:rPr>
        <w:t>相关</w:t>
      </w:r>
      <w:r>
        <w:rPr>
          <w:rFonts w:hint="eastAsia" w:ascii="仿宋_GB2312" w:hAnsi="仿宋_GB2312" w:eastAsia="仿宋_GB2312" w:cs="仿宋_GB2312"/>
          <w:i w:val="0"/>
          <w:iCs w:val="0"/>
          <w:caps w:val="0"/>
          <w:spacing w:val="0"/>
          <w:sz w:val="32"/>
          <w:szCs w:val="40"/>
          <w:highlight w:val="none"/>
          <w:shd w:val="clear"/>
          <w:lang w:eastAsia="zh-CN"/>
        </w:rPr>
        <w:t>要求。从执行数据看，2024—2025年奖补资金与企业数量均增长93.75%，</w:t>
      </w:r>
      <w:r>
        <w:rPr>
          <w:rFonts w:hint="eastAsia" w:ascii="仿宋_GB2312" w:hAnsi="仿宋_GB2312" w:eastAsia="仿宋_GB2312" w:cs="仿宋_GB2312"/>
          <w:i w:val="0"/>
          <w:iCs w:val="0"/>
          <w:caps w:val="0"/>
          <w:spacing w:val="0"/>
          <w:sz w:val="32"/>
          <w:szCs w:val="40"/>
          <w:highlight w:val="none"/>
          <w:shd w:val="clear"/>
          <w:lang w:val="en-US" w:eastAsia="zh-CN"/>
        </w:rPr>
        <w:t>敞口</w:t>
      </w:r>
      <w:r>
        <w:rPr>
          <w:rFonts w:hint="eastAsia" w:ascii="仿宋_GB2312" w:hAnsi="仿宋_GB2312" w:eastAsia="仿宋_GB2312" w:cs="仿宋_GB2312"/>
          <w:i w:val="0"/>
          <w:iCs w:val="0"/>
          <w:caps w:val="0"/>
          <w:spacing w:val="0"/>
          <w:sz w:val="32"/>
          <w:szCs w:val="40"/>
          <w:highlight w:val="none"/>
          <w:shd w:val="clear"/>
          <w:lang w:eastAsia="zh-CN"/>
        </w:rPr>
        <w:t>风险持续扩大，继续实施可能导致资金突破财政预算。</w:t>
      </w:r>
      <w:r>
        <w:rPr>
          <w:rFonts w:hint="eastAsia" w:ascii="仿宋_GB2312" w:hAnsi="仿宋_GB2312" w:eastAsia="仿宋_GB2312" w:cs="仿宋_GB2312"/>
          <w:i w:val="0"/>
          <w:iCs w:val="0"/>
          <w:caps w:val="0"/>
          <w:spacing w:val="0"/>
          <w:sz w:val="32"/>
          <w:szCs w:val="40"/>
          <w:highlight w:val="none"/>
          <w:shd w:val="clear"/>
          <w:lang w:val="en-US" w:eastAsia="zh-CN"/>
        </w:rPr>
        <w:t>建议主管部门在</w:t>
      </w:r>
      <w:r>
        <w:rPr>
          <w:rFonts w:hint="eastAsia" w:ascii="仿宋_GB2312" w:hAnsi="仿宋_GB2312" w:eastAsia="仿宋_GB2312" w:cs="仿宋_GB2312"/>
          <w:i w:val="0"/>
          <w:iCs w:val="0"/>
          <w:caps w:val="0"/>
          <w:spacing w:val="0"/>
          <w:sz w:val="32"/>
          <w:szCs w:val="40"/>
          <w:highlight w:val="none"/>
          <w:shd w:val="clear"/>
          <w:lang w:eastAsia="zh-CN"/>
        </w:rPr>
        <w:t>政策到期后，不再延续实施，确保政策合法合规、可行可控。</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outlineLvl w:val="1"/>
        <w:rPr>
          <w:rFonts w:hint="eastAsia" w:ascii="楷体_GB2312" w:hAnsi="楷体_GB2312" w:eastAsia="楷体_GB2312" w:cs="楷体_GB2312"/>
          <w:sz w:val="32"/>
          <w:szCs w:val="40"/>
          <w:highlight w:val="none"/>
          <w:lang w:val="en-US" w:eastAsia="zh-CN"/>
        </w:rPr>
      </w:pPr>
      <w:bookmarkStart w:id="31" w:name="_Toc21522"/>
      <w:r>
        <w:rPr>
          <w:rFonts w:hint="eastAsia" w:ascii="楷体_GB2312" w:hAnsi="楷体_GB2312" w:eastAsia="楷体_GB2312" w:cs="楷体_GB2312"/>
          <w:sz w:val="32"/>
          <w:szCs w:val="40"/>
          <w:highlight w:val="none"/>
          <w:lang w:val="en-US" w:eastAsia="zh-CN"/>
        </w:rPr>
        <w:t>（二）生物医药产业奖补资金项目的相关建议</w:t>
      </w:r>
      <w:bookmarkEnd w:id="31"/>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1.优化政策扶持导向，提升政策科学性与适配性</w:t>
      </w:r>
    </w:p>
    <w:p>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b w:val="0"/>
          <w:bCs w:val="0"/>
          <w:sz w:val="32"/>
          <w:szCs w:val="40"/>
          <w:highlight w:val="none"/>
          <w:lang w:val="en-US" w:eastAsia="zh-CN"/>
        </w:rPr>
        <w:t>建议全面取消仿制药奖补。依据国家医保局、国家卫生健康委《支持创新药高质量发展的若干措施》，当前国家政策核心导向是加大创新药研发支持。建议取消仿制药奖补措施，将资金集中投向创新药研发及关键技术攻关，精准契合国家产业政策方向，进一步聚焦生物医药产业创新核心，提升青岛生物医药产业的核心竞争力与高质量发展能级。</w:t>
      </w: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b w:val="0"/>
          <w:bCs w:val="0"/>
          <w:sz w:val="32"/>
          <w:szCs w:val="40"/>
          <w:highlight w:val="none"/>
          <w:lang w:val="en-US" w:eastAsia="zh-CN"/>
        </w:rPr>
        <w:t>聚焦工信主责主业，优化产业政策。工信部门负责执行的生物医药政策应更聚焦于产业端，减少研发投入、药械认证等与工信职责关联性不强的奖补政策。</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2.压实项目管理责任，健全长效监管机制</w:t>
      </w:r>
      <w:bookmarkEnd w:id="30"/>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一</w:t>
      </w:r>
      <w:r>
        <w:rPr>
          <w:rFonts w:hint="eastAsia" w:ascii="仿宋_GB2312" w:hAnsi="仿宋_GB2312" w:eastAsia="仿宋_GB2312" w:cs="仿宋_GB2312"/>
          <w:b/>
          <w:bCs/>
          <w:sz w:val="32"/>
          <w:szCs w:val="40"/>
          <w:highlight w:val="none"/>
          <w:lang w:val="en-US" w:eastAsia="zh-CN"/>
        </w:rPr>
        <w:t>是</w:t>
      </w:r>
      <w:r>
        <w:rPr>
          <w:rFonts w:hint="eastAsia" w:ascii="仿宋_GB2312" w:hAnsi="仿宋_GB2312" w:eastAsia="仿宋_GB2312" w:cs="仿宋_GB2312"/>
          <w:b w:val="0"/>
          <w:bCs w:val="0"/>
          <w:sz w:val="32"/>
          <w:szCs w:val="40"/>
          <w:highlight w:val="none"/>
          <w:lang w:val="en-US" w:eastAsia="zh-CN"/>
        </w:rPr>
        <w:t>研究</w:t>
      </w:r>
      <w:r>
        <w:rPr>
          <w:rFonts w:hint="eastAsia" w:ascii="仿宋_GB2312" w:hAnsi="仿宋_GB2312" w:eastAsia="仿宋_GB2312" w:cs="仿宋_GB2312"/>
          <w:sz w:val="32"/>
          <w:szCs w:val="40"/>
          <w:highlight w:val="none"/>
          <w:lang w:val="en-US" w:eastAsia="zh-CN"/>
        </w:rPr>
        <w:t>制定专家评审管理相关制度，明确评审标准、流程及评分细则，规范评审行为，同时要求留存专家评审现场影像资料、评审意见等档案，确保评审过程可追溯。</w:t>
      </w:r>
      <w:r>
        <w:rPr>
          <w:rFonts w:hint="eastAsia" w:ascii="仿宋_GB2312" w:hAnsi="仿宋_GB2312" w:eastAsia="仿宋_GB2312" w:cs="仿宋_GB2312"/>
          <w:b/>
          <w:bCs/>
          <w:i w:val="0"/>
          <w:iCs w:val="0"/>
          <w:caps w:val="0"/>
          <w:spacing w:val="0"/>
          <w:sz w:val="32"/>
          <w:szCs w:val="40"/>
          <w:highlight w:val="none"/>
          <w:shd w:val="clear"/>
          <w:lang w:val="en-US" w:eastAsia="zh-CN"/>
        </w:rPr>
        <w:t>二是</w:t>
      </w:r>
      <w:r>
        <w:rPr>
          <w:rFonts w:hint="eastAsia" w:ascii="仿宋_GB2312" w:hAnsi="仿宋_GB2312" w:eastAsia="仿宋_GB2312" w:cs="仿宋_GB2312"/>
          <w:b w:val="0"/>
          <w:bCs w:val="0"/>
          <w:i w:val="0"/>
          <w:iCs w:val="0"/>
          <w:caps w:val="0"/>
          <w:spacing w:val="0"/>
          <w:sz w:val="32"/>
          <w:szCs w:val="40"/>
          <w:highlight w:val="none"/>
          <w:shd w:val="clear"/>
          <w:lang w:val="en-US" w:eastAsia="zh-CN"/>
        </w:rPr>
        <w:t>优化资金拨付流程，督促区（市）尽快兑付资金，简化内部审批环节，推行线上申报审核，降低企业申领成本。</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eastAsia" w:ascii="仿宋_GB2312" w:hAnsi="仿宋_GB2312" w:eastAsia="仿宋_GB2312" w:cs="仿宋_GB2312"/>
          <w:b/>
          <w:bCs/>
          <w:sz w:val="32"/>
          <w:szCs w:val="40"/>
          <w:highlight w:val="none"/>
          <w:lang w:val="en-US" w:eastAsia="zh-CN"/>
        </w:rPr>
      </w:pPr>
      <w:bookmarkStart w:id="32" w:name="_Toc1371"/>
      <w:r>
        <w:rPr>
          <w:rFonts w:hint="eastAsia" w:ascii="仿宋_GB2312" w:hAnsi="仿宋_GB2312" w:eastAsia="仿宋_GB2312" w:cs="仿宋_GB2312"/>
          <w:b/>
          <w:bCs/>
          <w:sz w:val="32"/>
          <w:szCs w:val="40"/>
          <w:highlight w:val="none"/>
          <w:lang w:val="en-US" w:eastAsia="zh-CN"/>
        </w:rPr>
        <w:t>3.强化产业化过程管控，推动项目落地见效</w:t>
      </w:r>
      <w:bookmarkEnd w:id="32"/>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sz w:val="32"/>
          <w:szCs w:val="40"/>
          <w:highlight w:val="none"/>
          <w:lang w:val="en-US" w:eastAsia="zh-CN"/>
        </w:rPr>
        <w:t>加强研发进度跟踪，推动产业化提速。对海洋药物等研发周期长的项目，要求企业定期报送研发进展报告。对短期内确实难以实现产业化的项目，重新评估其可行性，必要时调整奖补方式或终止项目支持，将资金统筹用于更具产业化潜力的项目。二</w:t>
      </w:r>
      <w:r>
        <w:rPr>
          <w:rFonts w:hint="eastAsia" w:ascii="仿宋_GB2312" w:hAnsi="仿宋_GB2312" w:eastAsia="仿宋_GB2312" w:cs="仿宋_GB2312"/>
          <w:b/>
          <w:bCs/>
          <w:sz w:val="32"/>
          <w:szCs w:val="40"/>
          <w:highlight w:val="none"/>
          <w:lang w:val="en-US" w:eastAsia="zh-CN"/>
        </w:rPr>
        <w:t>是</w:t>
      </w:r>
      <w:r>
        <w:rPr>
          <w:rFonts w:hint="eastAsia" w:ascii="仿宋_GB2312" w:hAnsi="仿宋_GB2312" w:eastAsia="仿宋_GB2312" w:cs="仿宋_GB2312"/>
          <w:sz w:val="32"/>
          <w:szCs w:val="40"/>
          <w:highlight w:val="none"/>
          <w:lang w:val="en-US" w:eastAsia="zh-CN"/>
        </w:rPr>
        <w:t>强化产业化真实性审核，杜绝虚假申报。优化项目申报审核流程，对声称已实现产业化的项目，要求企业提供产品销售合同、发票、生产许可、产能证明等完整佐证材料，必要时组织现场核查。</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2"/>
        <w:rPr>
          <w:rFonts w:hint="eastAsia" w:ascii="仿宋_GB2312" w:hAnsi="仿宋_GB2312" w:eastAsia="仿宋_GB2312" w:cs="仿宋_GB2312"/>
          <w:b/>
          <w:bCs/>
          <w:sz w:val="32"/>
          <w:szCs w:val="40"/>
          <w:highlight w:val="none"/>
          <w:lang w:val="en-US" w:eastAsia="zh-CN"/>
        </w:rPr>
      </w:pPr>
      <w:bookmarkStart w:id="33" w:name="_Toc3339"/>
      <w:r>
        <w:rPr>
          <w:rFonts w:hint="eastAsia" w:ascii="仿宋_GB2312" w:hAnsi="仿宋_GB2312" w:eastAsia="仿宋_GB2312" w:cs="仿宋_GB2312"/>
          <w:b/>
          <w:bCs/>
          <w:sz w:val="32"/>
          <w:szCs w:val="40"/>
          <w:highlight w:val="none"/>
          <w:lang w:val="en-US" w:eastAsia="zh-CN"/>
        </w:rPr>
        <w:t>4.聚焦经济社会效益，提升资金使用</w:t>
      </w:r>
      <w:bookmarkEnd w:id="33"/>
      <w:r>
        <w:rPr>
          <w:rFonts w:hint="eastAsia" w:ascii="仿宋_GB2312" w:hAnsi="仿宋_GB2312" w:eastAsia="仿宋_GB2312" w:cs="仿宋_GB2312"/>
          <w:b/>
          <w:bCs/>
          <w:sz w:val="32"/>
          <w:szCs w:val="40"/>
          <w:highlight w:val="none"/>
          <w:lang w:val="en-US" w:eastAsia="zh-CN"/>
        </w:rPr>
        <w:t>绩效</w:t>
      </w:r>
    </w:p>
    <w:p>
      <w:pPr>
        <w:keepNext w:val="0"/>
        <w:keepLines w:val="0"/>
        <w:pageBreakBefore w:val="0"/>
        <w:widowControl w:val="0"/>
        <w:kinsoku/>
        <w:wordWrap/>
        <w:topLinePunct w:val="0"/>
        <w:autoSpaceDE/>
        <w:autoSpaceDN/>
        <w:bidi w:val="0"/>
        <w:adjustRightInd/>
        <w:snapToGrid/>
        <w:spacing w:line="600" w:lineRule="exact"/>
        <w:ind w:firstLine="643" w:firstLineChars="200"/>
        <w:textAlignment w:val="auto"/>
        <w:outlineLvl w:val="9"/>
      </w:pPr>
      <w:bookmarkStart w:id="34" w:name="_Toc2132"/>
      <w:r>
        <w:rPr>
          <w:rFonts w:hint="eastAsia" w:ascii="仿宋_GB2312" w:hAnsi="仿宋_GB2312" w:eastAsia="仿宋_GB2312" w:cs="仿宋_GB2312"/>
          <w:b/>
          <w:bCs/>
          <w:sz w:val="32"/>
          <w:szCs w:val="40"/>
          <w:highlight w:val="none"/>
          <w:lang w:val="en-US" w:eastAsia="zh-CN"/>
        </w:rPr>
        <w:t>一是</w:t>
      </w:r>
      <w:r>
        <w:rPr>
          <w:rFonts w:hint="eastAsia" w:ascii="仿宋_GB2312" w:hAnsi="仿宋_GB2312" w:eastAsia="仿宋_GB2312" w:cs="仿宋_GB2312"/>
          <w:b w:val="0"/>
          <w:bCs w:val="0"/>
          <w:sz w:val="32"/>
          <w:szCs w:val="40"/>
          <w:highlight w:val="none"/>
          <w:lang w:val="en-US" w:eastAsia="zh-CN"/>
        </w:rPr>
        <w:t>聚焦企业造血能力提升，搭建人才引育、科研协作对接平台，对未开展人才引进、未获发明专利、未参与重大科研项目的企业，配套开展定向培训和资源匹配，倒逼企业落实创新主体责任。</w:t>
      </w:r>
      <w:r>
        <w:rPr>
          <w:rFonts w:hint="eastAsia" w:ascii="仿宋_GB2312" w:hAnsi="仿宋_GB2312" w:eastAsia="仿宋_GB2312" w:cs="仿宋_GB2312"/>
          <w:b/>
          <w:bCs/>
          <w:sz w:val="32"/>
          <w:szCs w:val="40"/>
          <w:highlight w:val="none"/>
          <w:lang w:val="en-US" w:eastAsia="zh-CN"/>
        </w:rPr>
        <w:t>二是</w:t>
      </w:r>
      <w:r>
        <w:rPr>
          <w:rFonts w:hint="eastAsia" w:ascii="仿宋_GB2312" w:hAnsi="仿宋_GB2312" w:eastAsia="仿宋_GB2312" w:cs="仿宋_GB2312"/>
          <w:b w:val="0"/>
          <w:bCs w:val="0"/>
          <w:sz w:val="32"/>
          <w:szCs w:val="40"/>
          <w:highlight w:val="none"/>
          <w:lang w:val="en-US" w:eastAsia="zh-CN"/>
        </w:rPr>
        <w:t>建立动态考核机制，将人才队伍建设、专利授权、科研项目参与情况纳入项目申报、评审指标范围，对长期缺乏创新动作的企业，暂停其申报资格，确保奖补资金真正助力产业链高质量发展目标落地。</w:t>
      </w:r>
      <w:bookmarkEnd w:id="34"/>
      <w:bookmarkStart w:id="35" w:name="_GoBack"/>
      <w:bookmarkEnd w:id="35"/>
    </w:p>
    <w:sectPr>
      <w:footerReference r:id="rId3" w:type="default"/>
      <w:pgSz w:w="11906" w:h="16838"/>
      <w:pgMar w:top="2041" w:right="1701" w:bottom="2041" w:left="1701" w:header="851" w:footer="1361" w:gutter="0"/>
      <w:pgNumType w:fmt="decimal" w:start="1"/>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6"/>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D41FB"/>
    <w:multiLevelType w:val="singleLevel"/>
    <w:tmpl w:val="030D41F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836895"/>
    <w:rsid w:val="00F36281"/>
    <w:rsid w:val="013C6B15"/>
    <w:rsid w:val="021D3171"/>
    <w:rsid w:val="027C7861"/>
    <w:rsid w:val="03B871D1"/>
    <w:rsid w:val="03FD2384"/>
    <w:rsid w:val="053B09F6"/>
    <w:rsid w:val="05F7646A"/>
    <w:rsid w:val="07520CA6"/>
    <w:rsid w:val="08731747"/>
    <w:rsid w:val="097700BA"/>
    <w:rsid w:val="0A203ED0"/>
    <w:rsid w:val="0AB22444"/>
    <w:rsid w:val="0AD007F3"/>
    <w:rsid w:val="0B0A6906"/>
    <w:rsid w:val="0B21593B"/>
    <w:rsid w:val="0BD240F7"/>
    <w:rsid w:val="0D7B1B23"/>
    <w:rsid w:val="0E75794A"/>
    <w:rsid w:val="0FDB6FAB"/>
    <w:rsid w:val="10C05B2D"/>
    <w:rsid w:val="111143C2"/>
    <w:rsid w:val="11132834"/>
    <w:rsid w:val="118845C4"/>
    <w:rsid w:val="11F56FF4"/>
    <w:rsid w:val="125564A8"/>
    <w:rsid w:val="13403A76"/>
    <w:rsid w:val="1582093B"/>
    <w:rsid w:val="159E6C83"/>
    <w:rsid w:val="15BE6AF8"/>
    <w:rsid w:val="163944B9"/>
    <w:rsid w:val="168872CA"/>
    <w:rsid w:val="16D865DC"/>
    <w:rsid w:val="17097601"/>
    <w:rsid w:val="17C2017D"/>
    <w:rsid w:val="18155A97"/>
    <w:rsid w:val="1844012A"/>
    <w:rsid w:val="18930C66"/>
    <w:rsid w:val="18EC044C"/>
    <w:rsid w:val="199A0035"/>
    <w:rsid w:val="1A3431CD"/>
    <w:rsid w:val="1A733DF1"/>
    <w:rsid w:val="1AD01DAA"/>
    <w:rsid w:val="1B522B5E"/>
    <w:rsid w:val="1D511F29"/>
    <w:rsid w:val="1DB956D5"/>
    <w:rsid w:val="1F0776F5"/>
    <w:rsid w:val="1F4C4D3E"/>
    <w:rsid w:val="2047067E"/>
    <w:rsid w:val="205369A7"/>
    <w:rsid w:val="21BC7772"/>
    <w:rsid w:val="21DE21E0"/>
    <w:rsid w:val="24193E86"/>
    <w:rsid w:val="24FA7C4C"/>
    <w:rsid w:val="254B602F"/>
    <w:rsid w:val="25641190"/>
    <w:rsid w:val="25836895"/>
    <w:rsid w:val="25862F4C"/>
    <w:rsid w:val="25905B3D"/>
    <w:rsid w:val="265E5E01"/>
    <w:rsid w:val="27691DBC"/>
    <w:rsid w:val="27AA7DFC"/>
    <w:rsid w:val="27C66FFD"/>
    <w:rsid w:val="2907701A"/>
    <w:rsid w:val="2975132B"/>
    <w:rsid w:val="29F319B0"/>
    <w:rsid w:val="2A246E73"/>
    <w:rsid w:val="2C6960C5"/>
    <w:rsid w:val="2E8E614B"/>
    <w:rsid w:val="2F217A40"/>
    <w:rsid w:val="309A5B28"/>
    <w:rsid w:val="31380588"/>
    <w:rsid w:val="31932754"/>
    <w:rsid w:val="32C40DC5"/>
    <w:rsid w:val="3312190E"/>
    <w:rsid w:val="3322773D"/>
    <w:rsid w:val="358D0E58"/>
    <w:rsid w:val="35AA38E3"/>
    <w:rsid w:val="36110638"/>
    <w:rsid w:val="36377037"/>
    <w:rsid w:val="36712E0A"/>
    <w:rsid w:val="371A0180"/>
    <w:rsid w:val="37525961"/>
    <w:rsid w:val="377F6836"/>
    <w:rsid w:val="39231DA0"/>
    <w:rsid w:val="39A34EF1"/>
    <w:rsid w:val="39D30EB6"/>
    <w:rsid w:val="39F90AD2"/>
    <w:rsid w:val="3A152B8B"/>
    <w:rsid w:val="3A433F47"/>
    <w:rsid w:val="3A800FCA"/>
    <w:rsid w:val="3AD46967"/>
    <w:rsid w:val="3B493476"/>
    <w:rsid w:val="3B607A25"/>
    <w:rsid w:val="3BDD4737"/>
    <w:rsid w:val="3C107835"/>
    <w:rsid w:val="3C7050E2"/>
    <w:rsid w:val="3D747CFA"/>
    <w:rsid w:val="3D8A539D"/>
    <w:rsid w:val="40E12601"/>
    <w:rsid w:val="40FE3D87"/>
    <w:rsid w:val="41C537DA"/>
    <w:rsid w:val="41EA1096"/>
    <w:rsid w:val="41F97455"/>
    <w:rsid w:val="422B208E"/>
    <w:rsid w:val="42405C6B"/>
    <w:rsid w:val="425870CC"/>
    <w:rsid w:val="42EF2BD9"/>
    <w:rsid w:val="433B555F"/>
    <w:rsid w:val="434A7309"/>
    <w:rsid w:val="43DC78EF"/>
    <w:rsid w:val="43DD467F"/>
    <w:rsid w:val="440E56DC"/>
    <w:rsid w:val="441305BF"/>
    <w:rsid w:val="44854D17"/>
    <w:rsid w:val="44B1390C"/>
    <w:rsid w:val="45576E3F"/>
    <w:rsid w:val="46454EEA"/>
    <w:rsid w:val="468F1C33"/>
    <w:rsid w:val="48090EAA"/>
    <w:rsid w:val="49083594"/>
    <w:rsid w:val="497D1DCF"/>
    <w:rsid w:val="4990529B"/>
    <w:rsid w:val="4B2A772B"/>
    <w:rsid w:val="4C060C36"/>
    <w:rsid w:val="4D2105C8"/>
    <w:rsid w:val="4D5D7D72"/>
    <w:rsid w:val="4D7830B3"/>
    <w:rsid w:val="4E6F06FB"/>
    <w:rsid w:val="51362EEA"/>
    <w:rsid w:val="516A0EC2"/>
    <w:rsid w:val="51D95F5B"/>
    <w:rsid w:val="51E07E87"/>
    <w:rsid w:val="525F5585"/>
    <w:rsid w:val="52A55DB0"/>
    <w:rsid w:val="52AF4864"/>
    <w:rsid w:val="532B450A"/>
    <w:rsid w:val="53D166B5"/>
    <w:rsid w:val="5429307B"/>
    <w:rsid w:val="54302A13"/>
    <w:rsid w:val="54FE1085"/>
    <w:rsid w:val="577D41C1"/>
    <w:rsid w:val="57840753"/>
    <w:rsid w:val="58AE691E"/>
    <w:rsid w:val="5A9F3D1B"/>
    <w:rsid w:val="5C1E3356"/>
    <w:rsid w:val="5CF36FF6"/>
    <w:rsid w:val="5E112075"/>
    <w:rsid w:val="5EB8767A"/>
    <w:rsid w:val="5ED458A8"/>
    <w:rsid w:val="5F330007"/>
    <w:rsid w:val="601644C4"/>
    <w:rsid w:val="60673C75"/>
    <w:rsid w:val="606909E5"/>
    <w:rsid w:val="609D79A4"/>
    <w:rsid w:val="60F50F83"/>
    <w:rsid w:val="61283F23"/>
    <w:rsid w:val="61502151"/>
    <w:rsid w:val="61942FA4"/>
    <w:rsid w:val="631A54D6"/>
    <w:rsid w:val="652B4906"/>
    <w:rsid w:val="65C71D3C"/>
    <w:rsid w:val="65FF147F"/>
    <w:rsid w:val="68096DD6"/>
    <w:rsid w:val="682A7BCB"/>
    <w:rsid w:val="684B23DC"/>
    <w:rsid w:val="695B664F"/>
    <w:rsid w:val="69930062"/>
    <w:rsid w:val="6D062D75"/>
    <w:rsid w:val="6D7C7D51"/>
    <w:rsid w:val="6EA938B5"/>
    <w:rsid w:val="6EBE032E"/>
    <w:rsid w:val="6F0255EC"/>
    <w:rsid w:val="70053A5D"/>
    <w:rsid w:val="713734FD"/>
    <w:rsid w:val="71745A43"/>
    <w:rsid w:val="72C2772B"/>
    <w:rsid w:val="73D86F5F"/>
    <w:rsid w:val="74D516B9"/>
    <w:rsid w:val="751637A7"/>
    <w:rsid w:val="756868E3"/>
    <w:rsid w:val="75BC5035"/>
    <w:rsid w:val="761A3FD3"/>
    <w:rsid w:val="76C744E3"/>
    <w:rsid w:val="76C92E49"/>
    <w:rsid w:val="7763329E"/>
    <w:rsid w:val="77CC2E68"/>
    <w:rsid w:val="77DC4A4C"/>
    <w:rsid w:val="782C542B"/>
    <w:rsid w:val="78BF7237"/>
    <w:rsid w:val="79206F6D"/>
    <w:rsid w:val="79C33633"/>
    <w:rsid w:val="79C36276"/>
    <w:rsid w:val="79C56DAE"/>
    <w:rsid w:val="7AB02C3C"/>
    <w:rsid w:val="7C83559E"/>
    <w:rsid w:val="7DEC18C8"/>
    <w:rsid w:val="7E670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spacing w:line="330" w:lineRule="atLeast"/>
      <w:ind w:firstLine="420"/>
      <w:jc w:val="left"/>
    </w:pPr>
    <w:rPr>
      <w:rFonts w:ascii="宋体" w:hAnsi="宋体"/>
      <w:color w:val="000000"/>
      <w:kern w:val="0"/>
      <w:szCs w:val="21"/>
    </w:rPr>
  </w:style>
  <w:style w:type="paragraph" w:styleId="3">
    <w:name w:val="caption"/>
    <w:basedOn w:val="1"/>
    <w:next w:val="1"/>
    <w:semiHidden/>
    <w:unhideWhenUsed/>
    <w:qFormat/>
    <w:uiPriority w:val="0"/>
    <w:rPr>
      <w:rFonts w:ascii="Arial" w:hAnsi="Arial" w:eastAsia="黑体"/>
      <w:sz w:val="20"/>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eastAsia="宋体"/>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left="420" w:leftChars="200"/>
    </w:pPr>
  </w:style>
  <w:style w:type="paragraph" w:styleId="11">
    <w:name w:val="Title"/>
    <w:basedOn w:val="1"/>
    <w:next w:val="1"/>
    <w:qFormat/>
    <w:uiPriority w:val="0"/>
    <w:pPr>
      <w:adjustRightInd w:val="0"/>
      <w:snapToGrid w:val="0"/>
      <w:spacing w:line="360" w:lineRule="auto"/>
      <w:ind w:firstLine="800" w:firstLineChars="200"/>
      <w:jc w:val="left"/>
      <w:outlineLvl w:val="0"/>
    </w:pPr>
    <w:rPr>
      <w:rFonts w:ascii="Arial" w:hAnsi="Arial" w:eastAsia="仿宋"/>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footnote reference"/>
    <w:basedOn w:val="14"/>
    <w:qFormat/>
    <w:uiPriority w:val="0"/>
    <w:rPr>
      <w:vertAlign w:val="superscript"/>
    </w:rPr>
  </w:style>
  <w:style w:type="character" w:customStyle="1" w:styleId="17">
    <w:name w:val="font21"/>
    <w:basedOn w:val="14"/>
    <w:qFormat/>
    <w:uiPriority w:val="0"/>
    <w:rPr>
      <w:rFonts w:hint="eastAsia" w:ascii="宋体" w:hAnsi="宋体" w:eastAsia="宋体" w:cs="宋体"/>
      <w:b/>
      <w:bCs/>
      <w:color w:val="000000"/>
      <w:sz w:val="24"/>
      <w:szCs w:val="24"/>
      <w:u w:val="none"/>
    </w:rPr>
  </w:style>
  <w:style w:type="character" w:customStyle="1" w:styleId="18">
    <w:name w:val="font4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2b25a640-620b-4104-8722-ad8b37527e95</errorID>
      <errorWord>升</errorWord>
      <group>L1_Grammar</group>
      <groupName>语法问题</groupName>
      <ability>L2_Collocation</ability>
      <abilityName>搭配不当</abilityName>
      <candidateList>
        <item>高</item>
      </candidateList>
      <explain>句子中可能存在主谓、动宾、定语中心语、状语中心语、补语中心语、关联词搭配不当等问题。</explain>
      <paraID>58EDA923</paraID>
      <start>60</start>
      <end>61</end>
      <status>ignored</status>
      <modifiedWord/>
      <trackRevisions>false</trackRevisions>
    </reviewItem>
    <reviewItem>
      <errorID>b0a2c661-2d6e-4883-916c-0e7c336ade24</errorID>
      <errorWord>获</errorWord>
      <group>L1_Word</group>
      <groupName>字词问题</groupName>
      <ability>L2_Typo</ability>
      <abilityName>字词错误</abilityName>
      <candidateList>
        <item>获得</item>
      </candidateList>
      <explain>〈动〉取得；得到（多用于抽象事物）：～好评｜～宝贵的经验｜～显著的成绩。</explain>
      <paraID>7179F5F3</paraID>
      <start>2</start>
      <end>3</end>
      <status>unmodified</status>
      <modifiedWord/>
      <trackRevisions>false</trackRevisions>
    </reviewItem>
    <reviewItem>
      <errorID>85d6b9ca-a5c4-4663-b89f-68bf991d70f5</errorID>
      <errorWord>改构</errorWord>
      <group>L1_Word</group>
      <groupName>字词问题</groupName>
      <ability>L2_Typo</ability>
      <abilityName>字词错误</abilityName>
      <candidateList>
        <item>改良</item>
      </candidateList>
      <explain/>
      <paraID>7130FF31</paraID>
      <start>190</start>
      <end>192</end>
      <status>unmodified</status>
      <modifiedWord/>
      <trackRevisions>false</trackRevisions>
    </reviewItem>
    <reviewItem>
      <errorID>b4e18ef1-b60a-401e-bf4b-1f65a9afaa3c</errorID>
      <errorWord>不利于的</errorWord>
      <group>L1_Word</group>
      <groupName>字词问题</groupName>
      <ability>L2_Typo</ability>
      <abilityName>字词错误</abilityName>
      <candidateList>
        <item>不利于</item>
      </candidateList>
      <explain/>
      <paraID>752AF11C</paraID>
      <start>292</start>
      <end>295</end>
      <status>modified</status>
      <modifiedWord>不利于</modifiedWord>
      <trackRevisions>false</trackRevisions>
    </reviewItem>
    <reviewItem>
      <errorID>4dc79899-5cbd-4bf3-83fb-f619fbbeb27a</errorID>
      <errorWord>制</errorWord>
      <group>L1_Word</group>
      <groupName>字词问题</groupName>
      <ability>L2_Typo</ability>
      <abilityName>字词错误</abilityName>
      <candidateList>
        <item>制药</item>
      </candidateList>
      <explain/>
      <paraID>30F79494</paraID>
      <start>35</start>
      <end>36</end>
      <status>ignored</status>
      <modifiedWord/>
      <trackRevisions>false</trackRevisions>
    </reviewItem>
    <reviewItem>
      <errorID>24b6945e-bd45-4b45-8343-030f36c65480</errorID>
      <errorWord>改构</errorWord>
      <group>L1_Word</group>
      <groupName>字词问题</groupName>
      <ability>L2_Typo</ability>
      <abilityName>字词错误</abilityName>
      <candidateList>
        <item>改良</item>
      </candidateList>
      <explain/>
      <paraID>271CE419</paraID>
      <start>136</start>
      <end>138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45c002-3b58-4b70-9df9-894b385cd74d}">
  <ds:schemaRefs/>
</ds:datastoreItem>
</file>

<file path=docProps/app.xml><?xml version="1.0" encoding="utf-8"?>
<Properties xmlns="http://schemas.openxmlformats.org/officeDocument/2006/extended-properties" xmlns:vt="http://schemas.openxmlformats.org/officeDocument/2006/docPropsVTypes">
  <Template>Normal.dotm</Template>
  <Pages>64</Pages>
  <Words>99</Words>
  <Characters>106</Characters>
  <Lines>0</Lines>
  <Paragraphs>0</Paragraphs>
  <TotalTime>40</TotalTime>
  <ScaleCrop>false</ScaleCrop>
  <LinksUpToDate>false</LinksUpToDate>
  <CharactersWithSpaces>111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2025-11-04T05:25:00Z</dcterms:created>
  <dc:creator>fay</dc:creator>
  <cp:lastModifiedBy>Sky</cp:lastModifiedBy>
  <dcterms:modified xsi:type="dcterms:W3CDTF">2025-12-02T05:42:28Z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7B072A1A0CFF4A3C8EC4D1DB56D09F11_13</vt:lpwstr>
  </property>
  <property fmtid="{D5CDD505-2E9C-101B-9397-08002B2CF9AE}" pid="4" name="KSOTemplateDocerSaveRecord">
    <vt:lpwstr>eyJoZGlkIjoiMDYyMDk4NmEwY2EwY2M5NzU1MDAxYzRhODVlMzYxM2UiLCJ1c2VySWQiOiI1MjgyNzc4OTQifQ==</vt:lpwstr>
  </property>
</Properties>
</file>