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41F" w:rsidRDefault="00846C1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创新转型专项资金项目周期性绩效评价报告</w:t>
      </w:r>
    </w:p>
    <w:p w:rsidR="00F0641F" w:rsidRDefault="00F0641F">
      <w:pPr>
        <w:spacing w:line="600" w:lineRule="exact"/>
        <w:rPr>
          <w:rFonts w:ascii="楷体_GB2312" w:eastAsia="楷体_GB2312" w:hAnsi="楷体_GB2312" w:cs="楷体_GB2312"/>
          <w:sz w:val="32"/>
          <w:szCs w:val="40"/>
        </w:rPr>
      </w:pPr>
    </w:p>
    <w:p w:rsidR="00F0641F" w:rsidRDefault="00846C11">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一、项目基本情况</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（一）项目概况</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项目背景</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为加快新型工业化发展，推进全市中小企业转型升级</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提升企业创新能力和专业化水平，鼓励配套企业协同发展。青岛市人民政府印发《关于贯彻落实省支持八大发展战略财政政策加快重点产业高质量发展若干政策的通知》</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青政字〔</w:t>
      </w:r>
      <w:r>
        <w:rPr>
          <w:rFonts w:ascii="仿宋_GB2312" w:eastAsia="仿宋_GB2312" w:hAnsi="仿宋_GB2312" w:cs="仿宋_GB2312" w:hint="eastAsia"/>
          <w:sz w:val="32"/>
          <w:szCs w:val="40"/>
        </w:rPr>
        <w:t>2021</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21</w:t>
      </w:r>
      <w:r>
        <w:rPr>
          <w:rFonts w:ascii="仿宋_GB2312" w:eastAsia="仿宋_GB2312" w:hAnsi="仿宋_GB2312" w:cs="仿宋_GB2312" w:hint="eastAsia"/>
          <w:sz w:val="32"/>
          <w:szCs w:val="40"/>
        </w:rPr>
        <w:t>号</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、《青岛市</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年“促进经济巩固向好、加快绿色低碳高质量发展”政策清单（第一批）》（青政发〔</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号），要求对符合条件的专精特新中小企业（含专精特新“小巨人”企业）开展技术改造补助，给予用自主研发的“专精特新”产品</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技术</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为青岛市家电、机械装备等产业重点骨干企业配套的小微企业补助</w:t>
      </w:r>
      <w:r>
        <w:rPr>
          <w:rFonts w:ascii="仿宋_GB2312" w:eastAsia="仿宋_GB2312" w:hAnsi="仿宋_GB2312" w:cs="仿宋_GB2312" w:hint="eastAsia"/>
          <w:sz w:val="32"/>
          <w:szCs w:val="40"/>
        </w:rPr>
        <w:t>。</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项目主要内容</w:t>
      </w:r>
    </w:p>
    <w:p w:rsidR="00F0641F" w:rsidRDefault="00846C11">
      <w:pPr>
        <w:pStyle w:val="Chy"/>
        <w:adjustRightInd w:val="0"/>
        <w:snapToGrid w:val="0"/>
        <w:spacing w:line="600" w:lineRule="exact"/>
        <w:ind w:firstLine="640"/>
        <w:rPr>
          <w:rFonts w:ascii="仿宋_GB2312" w:hAnsi="仿宋_GB2312" w:cs="仿宋_GB2312"/>
          <w:color w:val="000000"/>
          <w:szCs w:val="40"/>
        </w:rPr>
      </w:pPr>
      <w:r>
        <w:rPr>
          <w:rFonts w:ascii="仿宋_GB2312" w:hAnsi="仿宋_GB2312" w:cs="仿宋_GB2312" w:hint="eastAsia"/>
          <w:szCs w:val="40"/>
        </w:rPr>
        <w:t>青岛市民营经济发展局、青岛市财政局等</w:t>
      </w:r>
      <w:r>
        <w:rPr>
          <w:rFonts w:ascii="仿宋_GB2312" w:hAnsi="仿宋_GB2312" w:cs="仿宋_GB2312" w:hint="eastAsia"/>
          <w:szCs w:val="40"/>
        </w:rPr>
        <w:t>4</w:t>
      </w:r>
      <w:r>
        <w:rPr>
          <w:rFonts w:ascii="仿宋_GB2312" w:hAnsi="仿宋_GB2312" w:cs="仿宋_GB2312" w:hint="eastAsia"/>
          <w:szCs w:val="40"/>
        </w:rPr>
        <w:t>部门</w:t>
      </w:r>
      <w:r>
        <w:rPr>
          <w:rFonts w:ascii="仿宋_GB2312" w:hAnsi="仿宋_GB2312" w:cs="仿宋_GB2312" w:hint="eastAsia"/>
          <w:szCs w:val="40"/>
        </w:rPr>
        <w:t>2022</w:t>
      </w:r>
      <w:r>
        <w:rPr>
          <w:rFonts w:ascii="仿宋_GB2312" w:hAnsi="仿宋_GB2312" w:cs="仿宋_GB2312" w:hint="eastAsia"/>
          <w:szCs w:val="40"/>
        </w:rPr>
        <w:t>年</w:t>
      </w:r>
      <w:r>
        <w:rPr>
          <w:rFonts w:ascii="仿宋_GB2312" w:hAnsi="仿宋_GB2312" w:cs="仿宋_GB2312" w:hint="eastAsia"/>
          <w:szCs w:val="40"/>
        </w:rPr>
        <w:t>9</w:t>
      </w:r>
      <w:r>
        <w:rPr>
          <w:rFonts w:ascii="仿宋_GB2312" w:hAnsi="仿宋_GB2312" w:cs="仿宋_GB2312" w:hint="eastAsia"/>
          <w:szCs w:val="40"/>
        </w:rPr>
        <w:t>月印发《青岛市小微企业创新转型项目实施细则</w:t>
      </w:r>
      <w:r>
        <w:rPr>
          <w:rFonts w:ascii="仿宋_GB2312" w:hAnsi="仿宋_GB2312" w:cs="仿宋_GB2312" w:hint="eastAsia"/>
          <w:szCs w:val="40"/>
        </w:rPr>
        <w:t>(</w:t>
      </w:r>
      <w:r>
        <w:rPr>
          <w:rFonts w:ascii="仿宋_GB2312" w:hAnsi="仿宋_GB2312" w:cs="仿宋_GB2312" w:hint="eastAsia"/>
          <w:szCs w:val="40"/>
        </w:rPr>
        <w:t>暂行</w:t>
      </w:r>
      <w:r>
        <w:rPr>
          <w:rFonts w:ascii="仿宋_GB2312" w:hAnsi="仿宋_GB2312" w:cs="仿宋_GB2312" w:hint="eastAsia"/>
          <w:szCs w:val="40"/>
        </w:rPr>
        <w:t>)</w:t>
      </w:r>
      <w:r>
        <w:rPr>
          <w:rFonts w:ascii="仿宋_GB2312" w:hAnsi="仿宋_GB2312" w:cs="仿宋_GB2312" w:hint="eastAsia"/>
          <w:szCs w:val="40"/>
        </w:rPr>
        <w:t>》（青民发规〔</w:t>
      </w:r>
      <w:r>
        <w:rPr>
          <w:rFonts w:ascii="仿宋_GB2312" w:hAnsi="仿宋_GB2312" w:cs="仿宋_GB2312" w:hint="eastAsia"/>
          <w:szCs w:val="40"/>
        </w:rPr>
        <w:t>2022</w:t>
      </w:r>
      <w:r>
        <w:rPr>
          <w:rFonts w:ascii="仿宋_GB2312" w:hAnsi="仿宋_GB2312" w:cs="仿宋_GB2312" w:hint="eastAsia"/>
          <w:szCs w:val="40"/>
        </w:rPr>
        <w:t>〕</w:t>
      </w:r>
      <w:r>
        <w:rPr>
          <w:rFonts w:ascii="仿宋_GB2312" w:hAnsi="仿宋_GB2312" w:cs="仿宋_GB2312" w:hint="eastAsia"/>
          <w:szCs w:val="40"/>
        </w:rPr>
        <w:t>3</w:t>
      </w:r>
      <w:r>
        <w:rPr>
          <w:rFonts w:ascii="仿宋_GB2312" w:hAnsi="仿宋_GB2312" w:cs="仿宋_GB2312" w:hint="eastAsia"/>
          <w:szCs w:val="40"/>
        </w:rPr>
        <w:t>号）、</w:t>
      </w:r>
      <w:r>
        <w:rPr>
          <w:rFonts w:ascii="仿宋_GB2312" w:hAnsi="仿宋_GB2312" w:cs="仿宋_GB2312" w:hint="eastAsia"/>
          <w:szCs w:val="40"/>
        </w:rPr>
        <w:t>2023</w:t>
      </w:r>
      <w:r>
        <w:rPr>
          <w:rFonts w:ascii="仿宋_GB2312" w:hAnsi="仿宋_GB2312" w:cs="仿宋_GB2312" w:hint="eastAsia"/>
          <w:szCs w:val="40"/>
        </w:rPr>
        <w:t>年</w:t>
      </w:r>
      <w:r>
        <w:rPr>
          <w:rFonts w:ascii="仿宋_GB2312" w:hAnsi="仿宋_GB2312" w:cs="仿宋_GB2312" w:hint="eastAsia"/>
          <w:szCs w:val="40"/>
        </w:rPr>
        <w:t>8</w:t>
      </w:r>
      <w:r>
        <w:rPr>
          <w:rFonts w:ascii="仿宋_GB2312" w:hAnsi="仿宋_GB2312" w:cs="仿宋_GB2312" w:hint="eastAsia"/>
          <w:szCs w:val="40"/>
        </w:rPr>
        <w:t>月印发《关于做好</w:t>
      </w:r>
      <w:r>
        <w:rPr>
          <w:rFonts w:ascii="仿宋_GB2312" w:hAnsi="仿宋_GB2312" w:cs="仿宋_GB2312" w:hint="eastAsia"/>
          <w:szCs w:val="40"/>
        </w:rPr>
        <w:t>2023</w:t>
      </w:r>
      <w:r>
        <w:rPr>
          <w:rFonts w:ascii="仿宋_GB2312" w:hAnsi="仿宋_GB2312" w:cs="仿宋_GB2312" w:hint="eastAsia"/>
          <w:szCs w:val="40"/>
        </w:rPr>
        <w:t>年青岛市小微企业创新转型项目申报工作的通知》（青民发字〔</w:t>
      </w:r>
      <w:r>
        <w:rPr>
          <w:rFonts w:ascii="仿宋_GB2312" w:hAnsi="仿宋_GB2312" w:cs="仿宋_GB2312" w:hint="eastAsia"/>
          <w:szCs w:val="40"/>
        </w:rPr>
        <w:t>2023</w:t>
      </w:r>
      <w:r>
        <w:rPr>
          <w:rFonts w:ascii="仿宋_GB2312" w:hAnsi="仿宋_GB2312" w:cs="仿宋_GB2312" w:hint="eastAsia"/>
          <w:szCs w:val="40"/>
        </w:rPr>
        <w:t>〕</w:t>
      </w:r>
      <w:r>
        <w:rPr>
          <w:rFonts w:ascii="仿宋_GB2312" w:hAnsi="仿宋_GB2312" w:cs="仿宋_GB2312" w:hint="eastAsia"/>
          <w:szCs w:val="40"/>
        </w:rPr>
        <w:t>13</w:t>
      </w:r>
      <w:r>
        <w:rPr>
          <w:rFonts w:ascii="仿宋_GB2312" w:hAnsi="仿宋_GB2312" w:cs="仿宋_GB2312" w:hint="eastAsia"/>
          <w:szCs w:val="40"/>
        </w:rPr>
        <w:t>号）。具体如下表所示。</w:t>
      </w:r>
    </w:p>
    <w:p w:rsidR="00F0641F" w:rsidRDefault="00846C11">
      <w:pPr>
        <w:pStyle w:val="2"/>
        <w:widowControl w:val="0"/>
        <w:spacing w:after="0" w:line="560" w:lineRule="exact"/>
        <w:ind w:firstLine="560"/>
        <w:jc w:val="center"/>
        <w:rPr>
          <w:rFonts w:ascii="Times New Roman" w:eastAsia="仿宋" w:hAnsi="Times New Roman"/>
          <w:sz w:val="32"/>
          <w:szCs w:val="32"/>
        </w:rPr>
      </w:pPr>
      <w:r>
        <w:rPr>
          <w:rFonts w:ascii="Times New Roman" w:eastAsia="黑体" w:hAnsi="Times New Roman"/>
          <w:sz w:val="28"/>
          <w:szCs w:val="28"/>
        </w:rPr>
        <w:lastRenderedPageBreak/>
        <w:t>表</w:t>
      </w:r>
      <w:r>
        <w:rPr>
          <w:rFonts w:ascii="Times New Roman" w:eastAsia="黑体" w:hAnsi="Times New Roman"/>
          <w:sz w:val="28"/>
          <w:szCs w:val="28"/>
        </w:rPr>
        <w:t>1</w:t>
      </w:r>
      <w:r>
        <w:rPr>
          <w:rFonts w:ascii="Times New Roman" w:eastAsia="黑体" w:hAnsi="Times New Roman" w:hint="eastAsia"/>
          <w:sz w:val="28"/>
          <w:szCs w:val="28"/>
        </w:rPr>
        <w:t>.</w:t>
      </w:r>
      <w:r>
        <w:rPr>
          <w:rFonts w:ascii="Times New Roman" w:eastAsia="黑体" w:hAnsi="Times New Roman"/>
          <w:sz w:val="28"/>
          <w:szCs w:val="28"/>
        </w:rPr>
        <w:t>1 202</w:t>
      </w:r>
      <w:r>
        <w:rPr>
          <w:rFonts w:ascii="Times New Roman" w:eastAsia="黑体" w:hAnsi="Times New Roman" w:hint="eastAsia"/>
          <w:sz w:val="28"/>
          <w:szCs w:val="28"/>
        </w:rPr>
        <w:t>4</w:t>
      </w:r>
      <w:r>
        <w:rPr>
          <w:rFonts w:ascii="Times New Roman" w:eastAsia="黑体" w:hAnsi="Times New Roman" w:hint="eastAsia"/>
          <w:sz w:val="28"/>
          <w:szCs w:val="28"/>
        </w:rPr>
        <w:t>年青岛市</w:t>
      </w:r>
      <w:r>
        <w:rPr>
          <w:rFonts w:eastAsia="黑体" w:hint="eastAsia"/>
          <w:sz w:val="28"/>
          <w:szCs w:val="28"/>
        </w:rPr>
        <w:t>创新转型专项资金项目</w:t>
      </w:r>
      <w:r>
        <w:rPr>
          <w:rFonts w:ascii="Times New Roman" w:eastAsia="黑体" w:hAnsi="Times New Roman"/>
          <w:sz w:val="28"/>
          <w:szCs w:val="28"/>
        </w:rPr>
        <w:t>政策</w:t>
      </w:r>
      <w:r>
        <w:rPr>
          <w:rFonts w:ascii="Times New Roman" w:eastAsia="黑体" w:hAnsi="Times New Roman" w:hint="eastAsia"/>
          <w:sz w:val="28"/>
          <w:szCs w:val="28"/>
        </w:rPr>
        <w:t>表</w:t>
      </w:r>
    </w:p>
    <w:tbl>
      <w:tblPr>
        <w:tblW w:w="51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1815"/>
        <w:gridCol w:w="2432"/>
        <w:gridCol w:w="4044"/>
      </w:tblGrid>
      <w:tr w:rsidR="00F0641F">
        <w:trPr>
          <w:trHeight w:val="464"/>
          <w:jc w:val="center"/>
        </w:trPr>
        <w:tc>
          <w:tcPr>
            <w:tcW w:w="387" w:type="pct"/>
            <w:vAlign w:val="center"/>
          </w:tcPr>
          <w:p w:rsidR="00F0641F" w:rsidRDefault="00846C11">
            <w:pPr>
              <w:jc w:val="center"/>
              <w:rPr>
                <w:rFonts w:eastAsia="等线" w:cs="Times New Roman"/>
                <w:b/>
                <w:bCs/>
                <w:color w:val="000000"/>
                <w:szCs w:val="21"/>
              </w:rPr>
            </w:pPr>
            <w:r>
              <w:rPr>
                <w:rFonts w:eastAsia="等线" w:cs="Times New Roman" w:hint="eastAsia"/>
                <w:b/>
                <w:bCs/>
                <w:color w:val="000000"/>
                <w:szCs w:val="21"/>
              </w:rPr>
              <w:t>序号</w:t>
            </w:r>
          </w:p>
        </w:tc>
        <w:tc>
          <w:tcPr>
            <w:tcW w:w="1010" w:type="pct"/>
            <w:vAlign w:val="center"/>
          </w:tcPr>
          <w:p w:rsidR="00F0641F" w:rsidRDefault="00846C11">
            <w:pPr>
              <w:jc w:val="center"/>
              <w:rPr>
                <w:rFonts w:eastAsia="等线" w:cs="Times New Roman"/>
                <w:b/>
                <w:bCs/>
                <w:color w:val="000000"/>
                <w:szCs w:val="21"/>
              </w:rPr>
            </w:pPr>
            <w:r>
              <w:rPr>
                <w:rFonts w:eastAsia="等线" w:cs="Times New Roman" w:hint="eastAsia"/>
                <w:b/>
                <w:bCs/>
                <w:color w:val="000000"/>
                <w:szCs w:val="21"/>
              </w:rPr>
              <w:t>项目支持重点</w:t>
            </w:r>
          </w:p>
        </w:tc>
        <w:tc>
          <w:tcPr>
            <w:tcW w:w="1352" w:type="pct"/>
            <w:vAlign w:val="center"/>
          </w:tcPr>
          <w:p w:rsidR="00F0641F" w:rsidRDefault="00846C11">
            <w:pPr>
              <w:jc w:val="center"/>
              <w:rPr>
                <w:rFonts w:ascii="Times New Roman" w:eastAsia="等线" w:hAnsi="Times New Roman" w:cs="Times New Roman"/>
                <w:b/>
                <w:bCs/>
                <w:color w:val="000000"/>
                <w:szCs w:val="21"/>
              </w:rPr>
            </w:pPr>
            <w:r>
              <w:rPr>
                <w:rFonts w:eastAsia="等线" w:cs="Times New Roman" w:hint="eastAsia"/>
                <w:b/>
                <w:bCs/>
                <w:color w:val="000000"/>
                <w:szCs w:val="21"/>
              </w:rPr>
              <w:t>基础条件</w:t>
            </w:r>
          </w:p>
        </w:tc>
        <w:tc>
          <w:tcPr>
            <w:tcW w:w="2249" w:type="pct"/>
            <w:vAlign w:val="center"/>
          </w:tcPr>
          <w:p w:rsidR="00F0641F" w:rsidRDefault="00846C11">
            <w:pPr>
              <w:jc w:val="center"/>
              <w:rPr>
                <w:rFonts w:eastAsia="等线" w:cs="Times New Roman"/>
                <w:b/>
                <w:bCs/>
                <w:color w:val="000000"/>
                <w:szCs w:val="21"/>
              </w:rPr>
            </w:pPr>
            <w:r>
              <w:rPr>
                <w:rFonts w:eastAsia="等线" w:cs="Times New Roman" w:hint="eastAsia"/>
                <w:b/>
                <w:bCs/>
                <w:color w:val="000000"/>
                <w:szCs w:val="21"/>
              </w:rPr>
              <w:t>项目申报条件</w:t>
            </w:r>
          </w:p>
        </w:tc>
      </w:tr>
      <w:tr w:rsidR="00F0641F">
        <w:trPr>
          <w:trHeight w:val="1505"/>
          <w:jc w:val="center"/>
        </w:trPr>
        <w:tc>
          <w:tcPr>
            <w:tcW w:w="387" w:type="pct"/>
            <w:vAlign w:val="center"/>
          </w:tcPr>
          <w:p w:rsidR="00F0641F" w:rsidRDefault="00846C11">
            <w:pPr>
              <w:spacing w:line="280" w:lineRule="exact"/>
              <w:jc w:val="center"/>
              <w:rPr>
                <w:rFonts w:ascii="仿宋_GB2312" w:eastAsia="仿宋_GB2312" w:hAnsi="等线"/>
                <w:color w:val="000000"/>
                <w:szCs w:val="21"/>
              </w:rPr>
            </w:pPr>
            <w:r>
              <w:rPr>
                <w:rFonts w:ascii="仿宋_GB2312" w:eastAsia="仿宋_GB2312" w:hAnsi="等线" w:hint="eastAsia"/>
                <w:color w:val="000000"/>
                <w:szCs w:val="21"/>
              </w:rPr>
              <w:t>1</w:t>
            </w:r>
          </w:p>
        </w:tc>
        <w:tc>
          <w:tcPr>
            <w:tcW w:w="1010" w:type="pc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支持小微企业加强技术改造。鼓励符合条件的“专精特新”小微企业</w:t>
            </w:r>
            <w:r>
              <w:rPr>
                <w:rFonts w:ascii="仿宋_GB2312" w:eastAsia="仿宋_GB2312" w:hAnsi="等线" w:hint="eastAsia"/>
                <w:color w:val="000000"/>
                <w:szCs w:val="21"/>
              </w:rPr>
              <w:t>技改</w:t>
            </w:r>
            <w:r>
              <w:rPr>
                <w:rFonts w:ascii="仿宋_GB2312" w:eastAsia="仿宋_GB2312" w:hAnsi="等线" w:hint="eastAsia"/>
                <w:color w:val="000000"/>
                <w:szCs w:val="21"/>
              </w:rPr>
              <w:t>,</w:t>
            </w:r>
            <w:r>
              <w:rPr>
                <w:rFonts w:ascii="仿宋_GB2312" w:eastAsia="仿宋_GB2312" w:hAnsi="等线" w:hint="eastAsia"/>
                <w:color w:val="000000"/>
                <w:szCs w:val="21"/>
              </w:rPr>
              <w:t>对新上设备投资额达到</w:t>
            </w:r>
            <w:r>
              <w:rPr>
                <w:rFonts w:ascii="仿宋_GB2312" w:eastAsia="仿宋_GB2312" w:hAnsi="等线" w:hint="eastAsia"/>
                <w:color w:val="000000"/>
                <w:szCs w:val="21"/>
              </w:rPr>
              <w:t>100</w:t>
            </w:r>
            <w:r>
              <w:rPr>
                <w:rFonts w:ascii="仿宋_GB2312" w:eastAsia="仿宋_GB2312" w:hAnsi="等线" w:hint="eastAsia"/>
                <w:color w:val="000000"/>
                <w:szCs w:val="21"/>
              </w:rPr>
              <w:t>万元以上的</w:t>
            </w:r>
            <w:r>
              <w:rPr>
                <w:rFonts w:ascii="仿宋_GB2312" w:eastAsia="仿宋_GB2312" w:hAnsi="等线" w:hint="eastAsia"/>
                <w:color w:val="000000"/>
                <w:szCs w:val="21"/>
              </w:rPr>
              <w:t>,</w:t>
            </w:r>
            <w:r>
              <w:rPr>
                <w:rFonts w:ascii="仿宋_GB2312" w:eastAsia="仿宋_GB2312" w:hAnsi="等线" w:hint="eastAsia"/>
                <w:color w:val="000000"/>
                <w:szCs w:val="21"/>
              </w:rPr>
              <w:t>设备投资额的</w:t>
            </w:r>
            <w:r>
              <w:rPr>
                <w:rFonts w:ascii="仿宋_GB2312" w:eastAsia="仿宋_GB2312" w:hAnsi="等线" w:hint="eastAsia"/>
                <w:color w:val="000000"/>
                <w:szCs w:val="21"/>
              </w:rPr>
              <w:t>20%</w:t>
            </w:r>
            <w:r>
              <w:rPr>
                <w:rFonts w:ascii="仿宋_GB2312" w:eastAsia="仿宋_GB2312" w:hAnsi="等线" w:hint="eastAsia"/>
                <w:color w:val="000000"/>
                <w:szCs w:val="21"/>
              </w:rPr>
              <w:t>予以奖补，根据申报主体不同，可享受最高</w:t>
            </w:r>
            <w:r>
              <w:rPr>
                <w:rFonts w:ascii="仿宋_GB2312" w:eastAsia="仿宋_GB2312" w:hAnsi="等线" w:hint="eastAsia"/>
                <w:color w:val="000000"/>
                <w:szCs w:val="21"/>
              </w:rPr>
              <w:t>60</w:t>
            </w:r>
            <w:r>
              <w:rPr>
                <w:rFonts w:ascii="仿宋_GB2312" w:eastAsia="仿宋_GB2312" w:hAnsi="等线" w:hint="eastAsia"/>
                <w:color w:val="000000"/>
                <w:szCs w:val="21"/>
              </w:rPr>
              <w:t>万元、</w:t>
            </w:r>
            <w:r>
              <w:rPr>
                <w:rFonts w:ascii="仿宋_GB2312" w:eastAsia="仿宋_GB2312" w:hAnsi="等线" w:hint="eastAsia"/>
                <w:color w:val="000000"/>
                <w:szCs w:val="21"/>
              </w:rPr>
              <w:t>80</w:t>
            </w:r>
            <w:r>
              <w:rPr>
                <w:rFonts w:ascii="仿宋_GB2312" w:eastAsia="仿宋_GB2312" w:hAnsi="等线" w:hint="eastAsia"/>
                <w:color w:val="000000"/>
                <w:szCs w:val="21"/>
              </w:rPr>
              <w:t>万元、</w:t>
            </w:r>
            <w:r>
              <w:rPr>
                <w:rFonts w:ascii="仿宋_GB2312" w:eastAsia="仿宋_GB2312" w:hAnsi="等线" w:hint="eastAsia"/>
                <w:color w:val="000000"/>
                <w:szCs w:val="21"/>
              </w:rPr>
              <w:t>100</w:t>
            </w:r>
            <w:r>
              <w:rPr>
                <w:rFonts w:ascii="仿宋_GB2312" w:eastAsia="仿宋_GB2312" w:hAnsi="等线" w:hint="eastAsia"/>
                <w:color w:val="000000"/>
                <w:szCs w:val="21"/>
              </w:rPr>
              <w:t>万元奖补</w:t>
            </w:r>
          </w:p>
        </w:tc>
        <w:tc>
          <w:tcPr>
            <w:tcW w:w="1352" w:type="pct"/>
            <w:vMerge w:val="restar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1</w:t>
            </w:r>
            <w:r>
              <w:rPr>
                <w:rFonts w:ascii="仿宋_GB2312" w:eastAsia="仿宋_GB2312" w:hAnsi="等线" w:hint="eastAsia"/>
                <w:color w:val="000000"/>
                <w:szCs w:val="21"/>
              </w:rPr>
              <w:t>）申报主体为在青岛市辖区内注册登记，具有独立法人资格和健全的财务管理制度，合法经营且符合工业和信息化部、国家统计局、国家发展和改革委员会、财政部《关于印发中小企业划型标准规定的通知》（工信部联企业〔</w:t>
            </w:r>
            <w:r>
              <w:rPr>
                <w:rFonts w:ascii="仿宋_GB2312" w:eastAsia="仿宋_GB2312" w:hAnsi="等线" w:hint="eastAsia"/>
                <w:color w:val="000000"/>
                <w:szCs w:val="21"/>
              </w:rPr>
              <w:t>2011</w:t>
            </w:r>
            <w:r>
              <w:rPr>
                <w:rFonts w:ascii="仿宋_GB2312" w:eastAsia="仿宋_GB2312" w:hAnsi="等线" w:hint="eastAsia"/>
                <w:color w:val="000000"/>
                <w:szCs w:val="21"/>
              </w:rPr>
              <w:t>〕</w:t>
            </w:r>
            <w:r>
              <w:rPr>
                <w:rFonts w:ascii="仿宋_GB2312" w:eastAsia="仿宋_GB2312" w:hAnsi="等线" w:hint="eastAsia"/>
                <w:color w:val="000000"/>
                <w:szCs w:val="21"/>
              </w:rPr>
              <w:t>300</w:t>
            </w:r>
            <w:r>
              <w:rPr>
                <w:rFonts w:ascii="仿宋_GB2312" w:eastAsia="仿宋_GB2312" w:hAnsi="等线" w:hint="eastAsia"/>
                <w:color w:val="000000"/>
                <w:szCs w:val="21"/>
              </w:rPr>
              <w:t>号）中的小型和微型工业制造业企业。</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2</w:t>
            </w:r>
            <w:r>
              <w:rPr>
                <w:rFonts w:ascii="仿宋_GB2312" w:eastAsia="仿宋_GB2312" w:hAnsi="等线" w:hint="eastAsia"/>
                <w:color w:val="000000"/>
                <w:szCs w:val="21"/>
              </w:rPr>
              <w:t>）申报主体为有效期内的“专精特新”企业和有效期内的专精特新“小巨人”企业。</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3</w:t>
            </w:r>
            <w:r>
              <w:rPr>
                <w:rFonts w:ascii="仿宋_GB2312" w:eastAsia="仿宋_GB2312" w:hAnsi="等线" w:hint="eastAsia"/>
                <w:color w:val="000000"/>
                <w:szCs w:val="21"/>
              </w:rPr>
              <w:t>）申报主体要符合“绿色门槛”要求《山东</w:t>
            </w:r>
            <w:r>
              <w:rPr>
                <w:rFonts w:ascii="仿宋_GB2312" w:eastAsia="仿宋_GB2312" w:hAnsi="等线" w:hint="eastAsia"/>
                <w:color w:val="000000"/>
                <w:szCs w:val="21"/>
              </w:rPr>
              <w:t>省财政厅等</w:t>
            </w:r>
            <w:r>
              <w:rPr>
                <w:rFonts w:ascii="仿宋_GB2312" w:eastAsia="仿宋_GB2312" w:hAnsi="等线" w:hint="eastAsia"/>
                <w:color w:val="000000"/>
                <w:szCs w:val="21"/>
              </w:rPr>
              <w:t>16</w:t>
            </w:r>
            <w:r>
              <w:rPr>
                <w:rFonts w:ascii="仿宋_GB2312" w:eastAsia="仿宋_GB2312" w:hAnsi="等线" w:hint="eastAsia"/>
                <w:color w:val="000000"/>
                <w:szCs w:val="21"/>
              </w:rPr>
              <w:t>部门印发〈关于深入推进财政涉企资金“绿色门槛”制度的实施意见〉的通知》（鲁财资环〔</w:t>
            </w:r>
            <w:r>
              <w:rPr>
                <w:rFonts w:ascii="仿宋_GB2312" w:eastAsia="仿宋_GB2312" w:hAnsi="等线" w:hint="eastAsia"/>
                <w:color w:val="000000"/>
                <w:szCs w:val="21"/>
              </w:rPr>
              <w:t>2022</w:t>
            </w:r>
            <w:r>
              <w:rPr>
                <w:rFonts w:ascii="仿宋_GB2312" w:eastAsia="仿宋_GB2312" w:hAnsi="等线" w:hint="eastAsia"/>
                <w:color w:val="000000"/>
                <w:szCs w:val="21"/>
              </w:rPr>
              <w:t>〕</w:t>
            </w:r>
            <w:r>
              <w:rPr>
                <w:rFonts w:ascii="仿宋_GB2312" w:eastAsia="仿宋_GB2312" w:hAnsi="等线" w:hint="eastAsia"/>
                <w:color w:val="000000"/>
                <w:szCs w:val="21"/>
              </w:rPr>
              <w:t>29</w:t>
            </w:r>
            <w:r>
              <w:rPr>
                <w:rFonts w:ascii="仿宋_GB2312" w:eastAsia="仿宋_GB2312" w:hAnsi="等线" w:hint="eastAsia"/>
                <w:color w:val="000000"/>
                <w:szCs w:val="21"/>
              </w:rPr>
              <w:t>号）。</w:t>
            </w:r>
          </w:p>
        </w:tc>
        <w:tc>
          <w:tcPr>
            <w:tcW w:w="2249" w:type="pc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申报小微企业技术改造项目需满足各项基础条件，同时符合以下条件：</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1</w:t>
            </w:r>
            <w:r>
              <w:rPr>
                <w:rFonts w:ascii="仿宋_GB2312" w:eastAsia="仿宋_GB2312" w:hAnsi="等线" w:hint="eastAsia"/>
                <w:color w:val="000000"/>
                <w:szCs w:val="21"/>
              </w:rPr>
              <w:t>）申报主体在设备申报周期内的投资额</w:t>
            </w:r>
            <w:r>
              <w:rPr>
                <w:rFonts w:ascii="仿宋_GB2312" w:eastAsia="仿宋_GB2312" w:hAnsi="等线" w:hint="eastAsia"/>
                <w:color w:val="000000"/>
                <w:szCs w:val="21"/>
              </w:rPr>
              <w:t>(</w:t>
            </w:r>
            <w:r>
              <w:rPr>
                <w:rFonts w:ascii="仿宋_GB2312" w:eastAsia="仿宋_GB2312" w:hAnsi="等线" w:hint="eastAsia"/>
                <w:color w:val="000000"/>
                <w:szCs w:val="21"/>
              </w:rPr>
              <w:t>不含增值税的原值</w:t>
            </w:r>
            <w:r>
              <w:rPr>
                <w:rFonts w:ascii="仿宋_GB2312" w:eastAsia="仿宋_GB2312" w:hAnsi="等线" w:hint="eastAsia"/>
                <w:color w:val="000000"/>
                <w:szCs w:val="21"/>
              </w:rPr>
              <w:t>)</w:t>
            </w:r>
            <w:r>
              <w:rPr>
                <w:rFonts w:ascii="仿宋_GB2312" w:eastAsia="仿宋_GB2312" w:hAnsi="等线" w:hint="eastAsia"/>
                <w:color w:val="000000"/>
                <w:szCs w:val="21"/>
              </w:rPr>
              <w:t>达到</w:t>
            </w:r>
            <w:r>
              <w:rPr>
                <w:rFonts w:ascii="仿宋_GB2312" w:eastAsia="仿宋_GB2312" w:hAnsi="等线" w:hint="eastAsia"/>
                <w:color w:val="000000"/>
                <w:szCs w:val="21"/>
              </w:rPr>
              <w:t>100</w:t>
            </w:r>
            <w:r>
              <w:rPr>
                <w:rFonts w:ascii="仿宋_GB2312" w:eastAsia="仿宋_GB2312" w:hAnsi="等线" w:hint="eastAsia"/>
                <w:color w:val="000000"/>
                <w:szCs w:val="21"/>
              </w:rPr>
              <w:t>万元及以上。申报周期是指</w:t>
            </w:r>
            <w:r>
              <w:rPr>
                <w:rFonts w:ascii="仿宋_GB2312" w:eastAsia="仿宋_GB2312" w:hAnsi="等线" w:hint="eastAsia"/>
                <w:color w:val="000000"/>
                <w:szCs w:val="21"/>
              </w:rPr>
              <w:t>2021</w:t>
            </w:r>
            <w:r>
              <w:rPr>
                <w:rFonts w:ascii="仿宋_GB2312" w:eastAsia="仿宋_GB2312" w:hAnsi="等线" w:hint="eastAsia"/>
                <w:color w:val="000000"/>
                <w:szCs w:val="21"/>
              </w:rPr>
              <w:t>年</w:t>
            </w:r>
            <w:r>
              <w:rPr>
                <w:rFonts w:ascii="仿宋_GB2312" w:eastAsia="仿宋_GB2312" w:hAnsi="等线" w:hint="eastAsia"/>
                <w:color w:val="000000"/>
                <w:szCs w:val="21"/>
              </w:rPr>
              <w:t>7</w:t>
            </w:r>
            <w:r>
              <w:rPr>
                <w:rFonts w:ascii="仿宋_GB2312" w:eastAsia="仿宋_GB2312" w:hAnsi="等线" w:hint="eastAsia"/>
                <w:color w:val="000000"/>
                <w:szCs w:val="21"/>
              </w:rPr>
              <w:t>月</w:t>
            </w:r>
            <w:r>
              <w:rPr>
                <w:rFonts w:ascii="仿宋_GB2312" w:eastAsia="仿宋_GB2312" w:hAnsi="等线" w:hint="eastAsia"/>
                <w:color w:val="000000"/>
                <w:szCs w:val="21"/>
              </w:rPr>
              <w:t>1</w:t>
            </w:r>
            <w:r>
              <w:rPr>
                <w:rFonts w:ascii="仿宋_GB2312" w:eastAsia="仿宋_GB2312" w:hAnsi="等线" w:hint="eastAsia"/>
                <w:color w:val="000000"/>
                <w:szCs w:val="21"/>
              </w:rPr>
              <w:t>日</w:t>
            </w:r>
            <w:r>
              <w:rPr>
                <w:rFonts w:ascii="仿宋_GB2312" w:eastAsia="仿宋_GB2312" w:hAnsi="等线" w:hint="eastAsia"/>
                <w:color w:val="000000"/>
                <w:szCs w:val="21"/>
              </w:rPr>
              <w:t>-2022</w:t>
            </w:r>
            <w:r>
              <w:rPr>
                <w:rFonts w:ascii="仿宋_GB2312" w:eastAsia="仿宋_GB2312" w:hAnsi="等线" w:hint="eastAsia"/>
                <w:color w:val="000000"/>
                <w:szCs w:val="21"/>
              </w:rPr>
              <w:t>年</w:t>
            </w:r>
            <w:r>
              <w:rPr>
                <w:rFonts w:ascii="仿宋_GB2312" w:eastAsia="仿宋_GB2312" w:hAnsi="等线" w:hint="eastAsia"/>
                <w:color w:val="000000"/>
                <w:szCs w:val="21"/>
              </w:rPr>
              <w:t>12</w:t>
            </w:r>
            <w:r>
              <w:rPr>
                <w:rFonts w:ascii="仿宋_GB2312" w:eastAsia="仿宋_GB2312" w:hAnsi="等线" w:hint="eastAsia"/>
                <w:color w:val="000000"/>
                <w:szCs w:val="21"/>
              </w:rPr>
              <w:t>月</w:t>
            </w:r>
            <w:r>
              <w:rPr>
                <w:rFonts w:ascii="仿宋_GB2312" w:eastAsia="仿宋_GB2312" w:hAnsi="等线" w:hint="eastAsia"/>
                <w:color w:val="000000"/>
                <w:szCs w:val="21"/>
              </w:rPr>
              <w:t>31</w:t>
            </w:r>
            <w:r>
              <w:rPr>
                <w:rFonts w:ascii="仿宋_GB2312" w:eastAsia="仿宋_GB2312" w:hAnsi="等线" w:hint="eastAsia"/>
                <w:color w:val="000000"/>
                <w:szCs w:val="21"/>
              </w:rPr>
              <w:t>日。申报投资设备需计入企业“固定资产”会计科目核算，未转入固定资产核算的设备不纳入企业设备投资额范围。（</w:t>
            </w:r>
            <w:r>
              <w:rPr>
                <w:rFonts w:ascii="仿宋_GB2312" w:eastAsia="仿宋_GB2312" w:hAnsi="等线" w:hint="eastAsia"/>
                <w:color w:val="000000"/>
                <w:szCs w:val="21"/>
              </w:rPr>
              <w:t>2</w:t>
            </w:r>
            <w:r>
              <w:rPr>
                <w:rFonts w:ascii="仿宋_GB2312" w:eastAsia="仿宋_GB2312" w:hAnsi="等线" w:hint="eastAsia"/>
                <w:color w:val="000000"/>
                <w:szCs w:val="21"/>
              </w:rPr>
              <w:t>）设备是指申报主体已投入使用的研发、生产和检验检测设备（设备生产年限应在</w:t>
            </w:r>
            <w:r>
              <w:rPr>
                <w:rFonts w:ascii="仿宋_GB2312" w:eastAsia="仿宋_GB2312" w:hAnsi="等线" w:hint="eastAsia"/>
                <w:color w:val="000000"/>
                <w:szCs w:val="21"/>
              </w:rPr>
              <w:t>2018</w:t>
            </w:r>
            <w:r>
              <w:rPr>
                <w:rFonts w:ascii="仿宋_GB2312" w:eastAsia="仿宋_GB2312" w:hAnsi="等线" w:hint="eastAsia"/>
                <w:color w:val="000000"/>
                <w:szCs w:val="21"/>
              </w:rPr>
              <w:t>年</w:t>
            </w:r>
            <w:r>
              <w:rPr>
                <w:rFonts w:ascii="仿宋_GB2312" w:eastAsia="仿宋_GB2312" w:hAnsi="等线" w:hint="eastAsia"/>
                <w:color w:val="000000"/>
                <w:szCs w:val="21"/>
              </w:rPr>
              <w:t>1</w:t>
            </w:r>
            <w:r>
              <w:rPr>
                <w:rFonts w:ascii="仿宋_GB2312" w:eastAsia="仿宋_GB2312" w:hAnsi="等线" w:hint="eastAsia"/>
                <w:color w:val="000000"/>
                <w:szCs w:val="21"/>
              </w:rPr>
              <w:t>月</w:t>
            </w:r>
            <w:r>
              <w:rPr>
                <w:rFonts w:ascii="仿宋_GB2312" w:eastAsia="仿宋_GB2312" w:hAnsi="等线" w:hint="eastAsia"/>
                <w:color w:val="000000"/>
                <w:szCs w:val="21"/>
              </w:rPr>
              <w:t>1</w:t>
            </w:r>
            <w:r>
              <w:rPr>
                <w:rFonts w:ascii="仿宋_GB2312" w:eastAsia="仿宋_GB2312" w:hAnsi="等线" w:hint="eastAsia"/>
                <w:color w:val="000000"/>
                <w:szCs w:val="21"/>
              </w:rPr>
              <w:t>日至</w:t>
            </w:r>
            <w:r>
              <w:rPr>
                <w:rFonts w:ascii="仿宋_GB2312" w:eastAsia="仿宋_GB2312" w:hAnsi="等线" w:hint="eastAsia"/>
                <w:color w:val="000000"/>
                <w:szCs w:val="21"/>
              </w:rPr>
              <w:t>2022</w:t>
            </w:r>
            <w:r>
              <w:rPr>
                <w:rFonts w:ascii="仿宋_GB2312" w:eastAsia="仿宋_GB2312" w:hAnsi="等线" w:hint="eastAsia"/>
                <w:color w:val="000000"/>
                <w:szCs w:val="21"/>
              </w:rPr>
              <w:t>年</w:t>
            </w:r>
            <w:r>
              <w:rPr>
                <w:rFonts w:ascii="仿宋_GB2312" w:eastAsia="仿宋_GB2312" w:hAnsi="等线" w:hint="eastAsia"/>
                <w:color w:val="000000"/>
                <w:szCs w:val="21"/>
              </w:rPr>
              <w:t>12</w:t>
            </w:r>
            <w:r>
              <w:rPr>
                <w:rFonts w:ascii="仿宋_GB2312" w:eastAsia="仿宋_GB2312" w:hAnsi="等线" w:hint="eastAsia"/>
                <w:color w:val="000000"/>
                <w:szCs w:val="21"/>
              </w:rPr>
              <w:t>月</w:t>
            </w:r>
            <w:r>
              <w:rPr>
                <w:rFonts w:ascii="仿宋_GB2312" w:eastAsia="仿宋_GB2312" w:hAnsi="等线" w:hint="eastAsia"/>
                <w:color w:val="000000"/>
                <w:szCs w:val="21"/>
              </w:rPr>
              <w:t>31</w:t>
            </w:r>
            <w:r>
              <w:rPr>
                <w:rFonts w:ascii="仿宋_GB2312" w:eastAsia="仿宋_GB2312" w:hAnsi="等线" w:hint="eastAsia"/>
                <w:color w:val="000000"/>
                <w:szCs w:val="21"/>
              </w:rPr>
              <w:t>日期间内），不包括二手设备、关联交易设备和政府投资项目设备，且单台设备价格</w:t>
            </w:r>
            <w:r>
              <w:rPr>
                <w:rFonts w:ascii="仿宋_GB2312" w:eastAsia="仿宋_GB2312" w:hAnsi="等线" w:hint="eastAsia"/>
                <w:color w:val="000000"/>
                <w:szCs w:val="21"/>
              </w:rPr>
              <w:t>(</w:t>
            </w:r>
            <w:r>
              <w:rPr>
                <w:rFonts w:ascii="仿宋_GB2312" w:eastAsia="仿宋_GB2312" w:hAnsi="等线" w:hint="eastAsia"/>
                <w:color w:val="000000"/>
                <w:szCs w:val="21"/>
              </w:rPr>
              <w:t>指不含增值税的原值</w:t>
            </w:r>
            <w:r>
              <w:rPr>
                <w:rFonts w:ascii="仿宋_GB2312" w:eastAsia="仿宋_GB2312" w:hAnsi="等线" w:hint="eastAsia"/>
                <w:color w:val="000000"/>
                <w:szCs w:val="21"/>
              </w:rPr>
              <w:t>)</w:t>
            </w:r>
            <w:r>
              <w:rPr>
                <w:rFonts w:ascii="仿宋_GB2312" w:eastAsia="仿宋_GB2312" w:hAnsi="等线" w:hint="eastAsia"/>
                <w:color w:val="000000"/>
                <w:szCs w:val="21"/>
              </w:rPr>
              <w:t>不低于</w:t>
            </w:r>
            <w:r>
              <w:rPr>
                <w:rFonts w:ascii="仿宋_GB2312" w:eastAsia="仿宋_GB2312" w:hAnsi="等线" w:hint="eastAsia"/>
                <w:color w:val="000000"/>
                <w:szCs w:val="21"/>
              </w:rPr>
              <w:t>1</w:t>
            </w:r>
            <w:r>
              <w:rPr>
                <w:rFonts w:ascii="仿宋_GB2312" w:eastAsia="仿宋_GB2312" w:hAnsi="等线" w:hint="eastAsia"/>
                <w:color w:val="000000"/>
                <w:szCs w:val="21"/>
              </w:rPr>
              <w:t>万元。（</w:t>
            </w:r>
            <w:r>
              <w:rPr>
                <w:rFonts w:ascii="仿宋_GB2312" w:eastAsia="仿宋_GB2312" w:hAnsi="等线" w:hint="eastAsia"/>
                <w:color w:val="000000"/>
                <w:szCs w:val="21"/>
              </w:rPr>
              <w:t>3</w:t>
            </w:r>
            <w:r>
              <w:rPr>
                <w:rFonts w:ascii="仿宋_GB2312" w:eastAsia="仿宋_GB2312" w:hAnsi="等线" w:hint="eastAsia"/>
                <w:color w:val="000000"/>
                <w:szCs w:val="21"/>
              </w:rPr>
              <w:t>）设备投资发生年度以增值税发票开票日期或进口增值税专用缴款书填发日期为准。（</w:t>
            </w:r>
            <w:r>
              <w:rPr>
                <w:rFonts w:ascii="仿宋_GB2312" w:eastAsia="仿宋_GB2312" w:hAnsi="等线" w:hint="eastAsia"/>
                <w:color w:val="000000"/>
                <w:szCs w:val="21"/>
              </w:rPr>
              <w:t>4</w:t>
            </w:r>
            <w:r>
              <w:rPr>
                <w:rFonts w:ascii="仿宋_GB2312" w:eastAsia="仿宋_GB2312" w:hAnsi="等线" w:hint="eastAsia"/>
                <w:color w:val="000000"/>
                <w:szCs w:val="21"/>
              </w:rPr>
              <w:t>）设备所属项目应为已建成使用的工业技改项目、非新建项目，且申报设备在青岛市辖区内使用。（</w:t>
            </w:r>
            <w:r>
              <w:rPr>
                <w:rFonts w:ascii="仿宋_GB2312" w:eastAsia="仿宋_GB2312" w:hAnsi="等线" w:hint="eastAsia"/>
                <w:color w:val="000000"/>
                <w:szCs w:val="21"/>
              </w:rPr>
              <w:t>5</w:t>
            </w:r>
            <w:r>
              <w:rPr>
                <w:rFonts w:ascii="仿宋_GB2312" w:eastAsia="仿宋_GB2312" w:hAnsi="等线" w:hint="eastAsia"/>
                <w:color w:val="000000"/>
                <w:szCs w:val="21"/>
              </w:rPr>
              <w:t>）申报主体</w:t>
            </w:r>
            <w:r>
              <w:rPr>
                <w:rFonts w:ascii="仿宋_GB2312" w:eastAsia="仿宋_GB2312" w:hAnsi="等线" w:hint="eastAsia"/>
                <w:color w:val="000000"/>
                <w:szCs w:val="21"/>
              </w:rPr>
              <w:t>2022</w:t>
            </w:r>
            <w:r>
              <w:rPr>
                <w:rFonts w:ascii="仿宋_GB2312" w:eastAsia="仿宋_GB2312" w:hAnsi="等线" w:hint="eastAsia"/>
                <w:color w:val="000000"/>
                <w:szCs w:val="21"/>
              </w:rPr>
              <w:t>年度未获得小微企业技术改造项目奖补政策扶持。（</w:t>
            </w:r>
            <w:r>
              <w:rPr>
                <w:rFonts w:ascii="仿宋_GB2312" w:eastAsia="仿宋_GB2312" w:hAnsi="等线" w:hint="eastAsia"/>
                <w:color w:val="000000"/>
                <w:szCs w:val="21"/>
              </w:rPr>
              <w:t>6</w:t>
            </w:r>
            <w:r>
              <w:rPr>
                <w:rFonts w:ascii="仿宋_GB2312" w:eastAsia="仿宋_GB2312" w:hAnsi="等线" w:hint="eastAsia"/>
                <w:color w:val="000000"/>
                <w:szCs w:val="21"/>
              </w:rPr>
              <w:t>）申报主体未获得市工业和信息化局</w:t>
            </w:r>
            <w:r>
              <w:rPr>
                <w:rFonts w:ascii="仿宋_GB2312" w:eastAsia="仿宋_GB2312" w:hAnsi="等线" w:hint="eastAsia"/>
                <w:color w:val="000000"/>
                <w:szCs w:val="21"/>
              </w:rPr>
              <w:t>2022</w:t>
            </w:r>
            <w:r>
              <w:rPr>
                <w:rFonts w:ascii="仿宋_GB2312" w:eastAsia="仿宋_GB2312" w:hAnsi="等线" w:hint="eastAsia"/>
                <w:color w:val="000000"/>
                <w:szCs w:val="21"/>
              </w:rPr>
              <w:t>年度、</w:t>
            </w:r>
            <w:r>
              <w:rPr>
                <w:rFonts w:ascii="仿宋_GB2312" w:eastAsia="仿宋_GB2312" w:hAnsi="等线" w:hint="eastAsia"/>
                <w:color w:val="000000"/>
                <w:szCs w:val="21"/>
              </w:rPr>
              <w:t>2023</w:t>
            </w:r>
            <w:r>
              <w:rPr>
                <w:rFonts w:ascii="仿宋_GB2312" w:eastAsia="仿宋_GB2312" w:hAnsi="等线" w:hint="eastAsia"/>
                <w:color w:val="000000"/>
                <w:szCs w:val="21"/>
              </w:rPr>
              <w:t>年度技术改造设备投资奖补政策扶持。</w:t>
            </w:r>
          </w:p>
        </w:tc>
      </w:tr>
      <w:tr w:rsidR="00F0641F">
        <w:trPr>
          <w:trHeight w:val="748"/>
          <w:jc w:val="center"/>
        </w:trPr>
        <w:tc>
          <w:tcPr>
            <w:tcW w:w="387" w:type="pct"/>
            <w:vAlign w:val="center"/>
          </w:tcPr>
          <w:p w:rsidR="00F0641F" w:rsidRDefault="00846C11">
            <w:pPr>
              <w:spacing w:line="280" w:lineRule="exact"/>
              <w:jc w:val="center"/>
              <w:rPr>
                <w:rFonts w:ascii="仿宋_GB2312" w:eastAsia="仿宋_GB2312" w:hAnsi="等线"/>
                <w:color w:val="000000"/>
                <w:szCs w:val="21"/>
              </w:rPr>
            </w:pPr>
            <w:r>
              <w:rPr>
                <w:rFonts w:ascii="仿宋_GB2312" w:eastAsia="仿宋_GB2312" w:hAnsi="等线" w:hint="eastAsia"/>
                <w:color w:val="000000"/>
                <w:szCs w:val="21"/>
              </w:rPr>
              <w:t>2</w:t>
            </w:r>
          </w:p>
        </w:tc>
        <w:tc>
          <w:tcPr>
            <w:tcW w:w="1010" w:type="pc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支持产业链协作配套。对“专精特新”小微企业</w:t>
            </w:r>
            <w:r>
              <w:rPr>
                <w:rFonts w:ascii="仿宋_GB2312" w:eastAsia="仿宋_GB2312" w:hAnsi="等线" w:hint="eastAsia"/>
                <w:color w:val="000000"/>
                <w:szCs w:val="21"/>
              </w:rPr>
              <w:t>用具有自主知识产权的产品为青岛市重点骨干企业的主营产品进行配套的，按其年度新增配套额的</w:t>
            </w:r>
            <w:r>
              <w:rPr>
                <w:rFonts w:ascii="仿宋_GB2312" w:eastAsia="仿宋_GB2312" w:hAnsi="等线" w:hint="eastAsia"/>
                <w:color w:val="000000"/>
                <w:szCs w:val="21"/>
              </w:rPr>
              <w:t>5%</w:t>
            </w:r>
            <w:r>
              <w:rPr>
                <w:rFonts w:ascii="仿宋_GB2312" w:eastAsia="仿宋_GB2312" w:hAnsi="等线" w:hint="eastAsia"/>
                <w:color w:val="000000"/>
                <w:szCs w:val="21"/>
              </w:rPr>
              <w:t>，给予最高</w:t>
            </w:r>
            <w:r>
              <w:rPr>
                <w:rFonts w:ascii="仿宋_GB2312" w:eastAsia="仿宋_GB2312" w:hAnsi="等线" w:hint="eastAsia"/>
                <w:color w:val="000000"/>
                <w:szCs w:val="21"/>
              </w:rPr>
              <w:t>50</w:t>
            </w:r>
            <w:r>
              <w:rPr>
                <w:rFonts w:ascii="仿宋_GB2312" w:eastAsia="仿宋_GB2312" w:hAnsi="等线" w:hint="eastAsia"/>
                <w:color w:val="000000"/>
                <w:szCs w:val="21"/>
              </w:rPr>
              <w:t>万元的资金补助。</w:t>
            </w:r>
          </w:p>
        </w:tc>
        <w:tc>
          <w:tcPr>
            <w:tcW w:w="1352" w:type="pct"/>
            <w:vMerge/>
            <w:vAlign w:val="center"/>
          </w:tcPr>
          <w:p w:rsidR="00F0641F" w:rsidRDefault="00F0641F">
            <w:pPr>
              <w:spacing w:line="280" w:lineRule="exact"/>
              <w:jc w:val="left"/>
              <w:rPr>
                <w:rFonts w:ascii="仿宋_GB2312" w:eastAsia="仿宋_GB2312" w:hAnsi="等线"/>
                <w:color w:val="000000"/>
                <w:szCs w:val="21"/>
              </w:rPr>
            </w:pPr>
          </w:p>
        </w:tc>
        <w:tc>
          <w:tcPr>
            <w:tcW w:w="2249" w:type="pc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申报小微企业产业链配套项目需满足各项基础条件，同时符合以下条件：（</w:t>
            </w:r>
            <w:r>
              <w:rPr>
                <w:rFonts w:ascii="仿宋_GB2312" w:eastAsia="仿宋_GB2312" w:hAnsi="等线" w:hint="eastAsia"/>
                <w:color w:val="000000"/>
                <w:szCs w:val="21"/>
              </w:rPr>
              <w:t>1</w:t>
            </w:r>
            <w:r>
              <w:rPr>
                <w:rFonts w:ascii="仿宋_GB2312" w:eastAsia="仿宋_GB2312" w:hAnsi="等线" w:hint="eastAsia"/>
                <w:color w:val="000000"/>
                <w:szCs w:val="21"/>
              </w:rPr>
              <w:t>）申报主体享受该项目支持的产品（以下简称配套产品）应具有自主知识产权，且为青岛市重点骨干企业的主营产品进行配套。（</w:t>
            </w:r>
            <w:r>
              <w:rPr>
                <w:rFonts w:ascii="仿宋_GB2312" w:eastAsia="仿宋_GB2312" w:hAnsi="等线" w:hint="eastAsia"/>
                <w:color w:val="000000"/>
                <w:szCs w:val="21"/>
              </w:rPr>
              <w:t>2</w:t>
            </w:r>
            <w:r>
              <w:rPr>
                <w:rFonts w:ascii="仿宋_GB2312" w:eastAsia="仿宋_GB2312" w:hAnsi="等线" w:hint="eastAsia"/>
                <w:color w:val="000000"/>
                <w:szCs w:val="21"/>
              </w:rPr>
              <w:t>）重点骨干企业是指青岛市家电、机械装备、橡胶、汽车、轨道交通装备、船舶海工、电子信息等产业大型企业（以市统计局提供名单为依据），特别是</w:t>
            </w:r>
            <w:r>
              <w:rPr>
                <w:rFonts w:ascii="仿宋_GB2312" w:eastAsia="仿宋_GB2312" w:hAnsi="等线" w:hint="eastAsia"/>
                <w:color w:val="000000"/>
                <w:szCs w:val="21"/>
              </w:rPr>
              <w:t>24</w:t>
            </w:r>
            <w:r>
              <w:rPr>
                <w:rFonts w:ascii="仿宋_GB2312" w:eastAsia="仿宋_GB2312" w:hAnsi="等线" w:hint="eastAsia"/>
                <w:color w:val="000000"/>
                <w:szCs w:val="21"/>
              </w:rPr>
              <w:t>条重点产业链先进制造业产业链链主企业（</w:t>
            </w:r>
            <w:r>
              <w:rPr>
                <w:rFonts w:ascii="仿宋_GB2312" w:eastAsia="仿宋_GB2312" w:hAnsi="等线" w:hint="eastAsia"/>
                <w:color w:val="000000"/>
                <w:szCs w:val="21"/>
              </w:rPr>
              <w:t>3</w:t>
            </w:r>
            <w:r>
              <w:rPr>
                <w:rFonts w:ascii="仿宋_GB2312" w:eastAsia="仿宋_GB2312" w:hAnsi="等线" w:hint="eastAsia"/>
                <w:color w:val="000000"/>
                <w:szCs w:val="21"/>
              </w:rPr>
              <w:t>）申报主体</w:t>
            </w:r>
            <w:r>
              <w:rPr>
                <w:rFonts w:ascii="仿宋_GB2312" w:eastAsia="仿宋_GB2312" w:hAnsi="等线" w:hint="eastAsia"/>
                <w:color w:val="000000"/>
                <w:szCs w:val="21"/>
              </w:rPr>
              <w:t>2022</w:t>
            </w:r>
            <w:r>
              <w:rPr>
                <w:rFonts w:ascii="仿宋_GB2312" w:eastAsia="仿宋_GB2312" w:hAnsi="等线" w:hint="eastAsia"/>
                <w:color w:val="000000"/>
                <w:szCs w:val="21"/>
              </w:rPr>
              <w:t>年度为单</w:t>
            </w:r>
            <w:r>
              <w:rPr>
                <w:rFonts w:ascii="仿宋_GB2312" w:eastAsia="仿宋_GB2312" w:hAnsi="等线" w:hint="eastAsia"/>
                <w:color w:val="000000"/>
                <w:szCs w:val="21"/>
              </w:rPr>
              <w:t>户重点骨干企业提供配套产品的金额（不含增值税）与</w:t>
            </w:r>
            <w:r>
              <w:rPr>
                <w:rFonts w:ascii="仿宋_GB2312" w:eastAsia="仿宋_GB2312" w:hAnsi="等线" w:hint="eastAsia"/>
                <w:color w:val="000000"/>
                <w:szCs w:val="21"/>
              </w:rPr>
              <w:t>2021</w:t>
            </w:r>
            <w:r>
              <w:rPr>
                <w:rFonts w:ascii="仿宋_GB2312" w:eastAsia="仿宋_GB2312" w:hAnsi="等线" w:hint="eastAsia"/>
                <w:color w:val="000000"/>
                <w:szCs w:val="21"/>
              </w:rPr>
              <w:t>年度相比增长</w:t>
            </w:r>
            <w:r>
              <w:rPr>
                <w:rFonts w:ascii="仿宋_GB2312" w:eastAsia="仿宋_GB2312" w:hAnsi="等线" w:hint="eastAsia"/>
                <w:color w:val="000000"/>
                <w:szCs w:val="21"/>
              </w:rPr>
              <w:t>200</w:t>
            </w:r>
            <w:r>
              <w:rPr>
                <w:rFonts w:ascii="仿宋_GB2312" w:eastAsia="仿宋_GB2312" w:hAnsi="等线" w:hint="eastAsia"/>
                <w:color w:val="000000"/>
                <w:szCs w:val="21"/>
              </w:rPr>
              <w:t>万元及以上。（</w:t>
            </w:r>
            <w:r>
              <w:rPr>
                <w:rFonts w:ascii="仿宋_GB2312" w:eastAsia="仿宋_GB2312" w:hAnsi="等线" w:hint="eastAsia"/>
                <w:color w:val="000000"/>
                <w:szCs w:val="21"/>
              </w:rPr>
              <w:t>4</w:t>
            </w:r>
            <w:r>
              <w:rPr>
                <w:rFonts w:ascii="仿宋_GB2312" w:eastAsia="仿宋_GB2312" w:hAnsi="等线" w:hint="eastAsia"/>
                <w:color w:val="000000"/>
                <w:szCs w:val="21"/>
              </w:rPr>
              <w:t>）配套产品金额发生年度以增值税专用发票开票日期为准。（</w:t>
            </w:r>
            <w:r>
              <w:rPr>
                <w:rFonts w:ascii="仿宋_GB2312" w:eastAsia="仿宋_GB2312" w:hAnsi="等线" w:hint="eastAsia"/>
                <w:color w:val="000000"/>
                <w:szCs w:val="21"/>
              </w:rPr>
              <w:t>5</w:t>
            </w:r>
            <w:r>
              <w:rPr>
                <w:rFonts w:ascii="仿宋_GB2312" w:eastAsia="仿宋_GB2312" w:hAnsi="等线" w:hint="eastAsia"/>
                <w:color w:val="000000"/>
                <w:szCs w:val="21"/>
              </w:rPr>
              <w:t>）申报主体与被配套重点骨干企业无关联关系。</w:t>
            </w:r>
          </w:p>
        </w:tc>
      </w:tr>
    </w:tbl>
    <w:p w:rsidR="00F0641F" w:rsidRDefault="00846C11">
      <w:pPr>
        <w:pStyle w:val="Chy"/>
        <w:adjustRightInd w:val="0"/>
        <w:snapToGrid w:val="0"/>
        <w:spacing w:line="600" w:lineRule="exact"/>
        <w:ind w:firstLine="640"/>
        <w:rPr>
          <w:rFonts w:ascii="仿宋_GB2312" w:hAnsi="仿宋_GB2312" w:cs="仿宋_GB2312"/>
          <w:color w:val="000000"/>
          <w:szCs w:val="32"/>
        </w:rPr>
      </w:pPr>
      <w:r>
        <w:rPr>
          <w:rFonts w:ascii="仿宋_GB2312" w:hAnsi="仿宋_GB2312" w:cs="仿宋_GB2312" w:hint="eastAsia"/>
          <w:szCs w:val="40"/>
        </w:rPr>
        <w:lastRenderedPageBreak/>
        <w:t>青岛市民营经济发展局、青岛市财政局等</w:t>
      </w:r>
      <w:r>
        <w:rPr>
          <w:rFonts w:ascii="仿宋_GB2312" w:hAnsi="仿宋_GB2312" w:cs="仿宋_GB2312" w:hint="eastAsia"/>
          <w:szCs w:val="40"/>
        </w:rPr>
        <w:t>4</w:t>
      </w:r>
      <w:r>
        <w:rPr>
          <w:rFonts w:ascii="仿宋_GB2312" w:hAnsi="仿宋_GB2312" w:cs="仿宋_GB2312" w:hint="eastAsia"/>
          <w:szCs w:val="40"/>
        </w:rPr>
        <w:t>部门</w:t>
      </w:r>
      <w:r>
        <w:rPr>
          <w:rFonts w:ascii="仿宋_GB2312" w:hAnsi="仿宋_GB2312" w:cs="仿宋_GB2312" w:hint="eastAsia"/>
          <w:szCs w:val="40"/>
        </w:rPr>
        <w:t>2024</w:t>
      </w:r>
      <w:r>
        <w:rPr>
          <w:rFonts w:ascii="仿宋_GB2312" w:hAnsi="仿宋_GB2312" w:cs="仿宋_GB2312" w:hint="eastAsia"/>
          <w:szCs w:val="40"/>
        </w:rPr>
        <w:t>年</w:t>
      </w:r>
      <w:r>
        <w:rPr>
          <w:rFonts w:ascii="仿宋_GB2312" w:hAnsi="仿宋_GB2312" w:cs="仿宋_GB2312" w:hint="eastAsia"/>
          <w:szCs w:val="40"/>
        </w:rPr>
        <w:t>3</w:t>
      </w:r>
      <w:r>
        <w:rPr>
          <w:rFonts w:ascii="仿宋_GB2312" w:hAnsi="仿宋_GB2312" w:cs="仿宋_GB2312" w:hint="eastAsia"/>
          <w:szCs w:val="40"/>
        </w:rPr>
        <w:t>月印发《青岛市专精特新企业技术改造项目实施细则》（青民发字〔</w:t>
      </w:r>
      <w:r>
        <w:rPr>
          <w:rFonts w:ascii="仿宋_GB2312" w:hAnsi="仿宋_GB2312" w:cs="仿宋_GB2312" w:hint="eastAsia"/>
          <w:szCs w:val="40"/>
        </w:rPr>
        <w:t>2024</w:t>
      </w:r>
      <w:r>
        <w:rPr>
          <w:rFonts w:ascii="仿宋_GB2312" w:hAnsi="仿宋_GB2312" w:cs="仿宋_GB2312" w:hint="eastAsia"/>
          <w:szCs w:val="40"/>
        </w:rPr>
        <w:t>〕</w:t>
      </w:r>
      <w:r>
        <w:rPr>
          <w:rFonts w:ascii="仿宋_GB2312" w:hAnsi="仿宋_GB2312" w:cs="仿宋_GB2312" w:hint="eastAsia"/>
          <w:szCs w:val="40"/>
        </w:rPr>
        <w:t>5</w:t>
      </w:r>
      <w:r>
        <w:rPr>
          <w:rFonts w:ascii="仿宋_GB2312" w:hAnsi="仿宋_GB2312" w:cs="仿宋_GB2312" w:hint="eastAsia"/>
          <w:szCs w:val="40"/>
        </w:rPr>
        <w:t>号）、</w:t>
      </w:r>
      <w:r>
        <w:rPr>
          <w:rFonts w:ascii="仿宋_GB2312" w:hAnsi="仿宋_GB2312" w:cs="仿宋_GB2312" w:hint="eastAsia"/>
          <w:szCs w:val="40"/>
        </w:rPr>
        <w:t>2024</w:t>
      </w:r>
      <w:r>
        <w:rPr>
          <w:rFonts w:ascii="仿宋_GB2312" w:hAnsi="仿宋_GB2312" w:cs="仿宋_GB2312" w:hint="eastAsia"/>
          <w:szCs w:val="40"/>
        </w:rPr>
        <w:t>年</w:t>
      </w:r>
      <w:r>
        <w:rPr>
          <w:rFonts w:ascii="仿宋_GB2312" w:hAnsi="仿宋_GB2312" w:cs="仿宋_GB2312" w:hint="eastAsia"/>
          <w:szCs w:val="40"/>
        </w:rPr>
        <w:t>8</w:t>
      </w:r>
      <w:r>
        <w:rPr>
          <w:rFonts w:ascii="仿宋_GB2312" w:hAnsi="仿宋_GB2312" w:cs="仿宋_GB2312" w:hint="eastAsia"/>
          <w:szCs w:val="40"/>
        </w:rPr>
        <w:t>月印发《关于做好</w:t>
      </w:r>
      <w:r>
        <w:rPr>
          <w:rFonts w:ascii="仿宋_GB2312" w:hAnsi="仿宋_GB2312" w:cs="仿宋_GB2312" w:hint="eastAsia"/>
          <w:szCs w:val="40"/>
        </w:rPr>
        <w:t>2024</w:t>
      </w:r>
      <w:r>
        <w:rPr>
          <w:rFonts w:ascii="仿宋_GB2312" w:hAnsi="仿宋_GB2312" w:cs="仿宋_GB2312" w:hint="eastAsia"/>
          <w:szCs w:val="40"/>
        </w:rPr>
        <w:t>年青岛市专精特新企业技术改造项目申报工作的通知》（青民发字〔</w:t>
      </w:r>
      <w:r>
        <w:rPr>
          <w:rFonts w:ascii="仿宋_GB2312" w:hAnsi="仿宋_GB2312" w:cs="仿宋_GB2312" w:hint="eastAsia"/>
          <w:szCs w:val="40"/>
        </w:rPr>
        <w:t>2024</w:t>
      </w:r>
      <w:r>
        <w:rPr>
          <w:rFonts w:ascii="仿宋_GB2312" w:hAnsi="仿宋_GB2312" w:cs="仿宋_GB2312" w:hint="eastAsia"/>
          <w:szCs w:val="40"/>
        </w:rPr>
        <w:t>〕</w:t>
      </w:r>
      <w:r>
        <w:rPr>
          <w:rFonts w:ascii="仿宋_GB2312" w:hAnsi="仿宋_GB2312" w:cs="仿宋_GB2312" w:hint="eastAsia"/>
          <w:szCs w:val="40"/>
        </w:rPr>
        <w:t>25</w:t>
      </w:r>
      <w:r>
        <w:rPr>
          <w:rFonts w:ascii="仿宋_GB2312" w:hAnsi="仿宋_GB2312" w:cs="仿宋_GB2312" w:hint="eastAsia"/>
          <w:szCs w:val="40"/>
        </w:rPr>
        <w:t>号）。</w:t>
      </w:r>
      <w:r>
        <w:rPr>
          <w:rFonts w:ascii="仿宋_GB2312" w:hAnsi="仿宋_GB2312" w:cs="仿宋_GB2312" w:hint="eastAsia"/>
          <w:color w:val="000000"/>
          <w:szCs w:val="32"/>
        </w:rPr>
        <w:t>具体如下表所示。</w:t>
      </w:r>
    </w:p>
    <w:p w:rsidR="00F0641F" w:rsidRDefault="00846C11">
      <w:pPr>
        <w:pStyle w:val="2"/>
        <w:widowControl w:val="0"/>
        <w:spacing w:after="0" w:line="560" w:lineRule="exact"/>
        <w:ind w:firstLine="560"/>
        <w:jc w:val="center"/>
        <w:rPr>
          <w:rFonts w:ascii="Times New Roman" w:eastAsia="仿宋" w:hAnsi="Times New Roman"/>
          <w:sz w:val="32"/>
          <w:szCs w:val="32"/>
        </w:rPr>
      </w:pPr>
      <w:r>
        <w:rPr>
          <w:rFonts w:ascii="Times New Roman" w:eastAsia="黑体" w:hAnsi="Times New Roman"/>
          <w:sz w:val="28"/>
          <w:szCs w:val="28"/>
        </w:rPr>
        <w:t>表</w:t>
      </w:r>
      <w:r>
        <w:rPr>
          <w:rFonts w:ascii="Times New Roman" w:eastAsia="黑体" w:hAnsi="Times New Roman"/>
          <w:sz w:val="28"/>
          <w:szCs w:val="28"/>
        </w:rPr>
        <w:t>1</w:t>
      </w:r>
      <w:r>
        <w:rPr>
          <w:rFonts w:ascii="Times New Roman" w:eastAsia="黑体" w:hAnsi="Times New Roman" w:hint="eastAsia"/>
          <w:sz w:val="28"/>
          <w:szCs w:val="28"/>
        </w:rPr>
        <w:t>.2</w:t>
      </w:r>
      <w:r>
        <w:rPr>
          <w:rFonts w:ascii="Times New Roman" w:eastAsia="黑体" w:hAnsi="Times New Roman"/>
          <w:sz w:val="28"/>
          <w:szCs w:val="28"/>
        </w:rPr>
        <w:t xml:space="preserve"> 202</w:t>
      </w:r>
      <w:r>
        <w:rPr>
          <w:rFonts w:ascii="Times New Roman" w:eastAsia="黑体" w:hAnsi="Times New Roman" w:hint="eastAsia"/>
          <w:sz w:val="28"/>
          <w:szCs w:val="28"/>
        </w:rPr>
        <w:t>5</w:t>
      </w:r>
      <w:r>
        <w:rPr>
          <w:rFonts w:ascii="Times New Roman" w:eastAsia="黑体" w:hAnsi="Times New Roman" w:hint="eastAsia"/>
          <w:sz w:val="28"/>
          <w:szCs w:val="28"/>
        </w:rPr>
        <w:t>年青岛市</w:t>
      </w:r>
      <w:r>
        <w:rPr>
          <w:rFonts w:eastAsia="黑体" w:hint="eastAsia"/>
          <w:sz w:val="28"/>
          <w:szCs w:val="28"/>
        </w:rPr>
        <w:t>创新转型专项资金项目</w:t>
      </w:r>
      <w:r>
        <w:rPr>
          <w:rFonts w:ascii="Times New Roman" w:eastAsia="黑体" w:hAnsi="Times New Roman"/>
          <w:sz w:val="28"/>
          <w:szCs w:val="28"/>
        </w:rPr>
        <w:t>政策</w:t>
      </w:r>
      <w:r>
        <w:rPr>
          <w:rFonts w:ascii="Times New Roman" w:eastAsia="黑体" w:hAnsi="Times New Roman" w:hint="eastAsia"/>
          <w:sz w:val="28"/>
          <w:szCs w:val="28"/>
        </w:rPr>
        <w:t>表</w:t>
      </w:r>
    </w:p>
    <w:p w:rsidR="00F0641F" w:rsidRDefault="00F0641F"/>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1813"/>
        <w:gridCol w:w="6483"/>
      </w:tblGrid>
      <w:tr w:rsidR="00F0641F">
        <w:trPr>
          <w:trHeight w:val="300"/>
        </w:trPr>
        <w:tc>
          <w:tcPr>
            <w:tcW w:w="244" w:type="pct"/>
            <w:vAlign w:val="center"/>
          </w:tcPr>
          <w:p w:rsidR="00F0641F" w:rsidRDefault="00846C11">
            <w:pPr>
              <w:jc w:val="center"/>
              <w:rPr>
                <w:rFonts w:ascii="黑体" w:eastAsia="黑体" w:hAnsi="黑体" w:cs="黑体"/>
                <w:b/>
                <w:bCs/>
                <w:color w:val="000000"/>
                <w:szCs w:val="21"/>
              </w:rPr>
            </w:pPr>
            <w:r>
              <w:rPr>
                <w:rFonts w:ascii="黑体" w:eastAsia="黑体" w:hAnsi="黑体" w:cs="黑体" w:hint="eastAsia"/>
                <w:b/>
                <w:bCs/>
                <w:color w:val="000000"/>
                <w:szCs w:val="21"/>
              </w:rPr>
              <w:t>序号</w:t>
            </w:r>
          </w:p>
        </w:tc>
        <w:tc>
          <w:tcPr>
            <w:tcW w:w="1040" w:type="pct"/>
            <w:vAlign w:val="center"/>
          </w:tcPr>
          <w:p w:rsidR="00F0641F" w:rsidRDefault="00846C11">
            <w:pPr>
              <w:jc w:val="center"/>
              <w:rPr>
                <w:rFonts w:ascii="黑体" w:eastAsia="黑体" w:hAnsi="黑体" w:cs="黑体"/>
                <w:b/>
                <w:bCs/>
                <w:color w:val="000000"/>
                <w:szCs w:val="21"/>
              </w:rPr>
            </w:pPr>
            <w:r>
              <w:rPr>
                <w:rFonts w:ascii="黑体" w:eastAsia="黑体" w:hAnsi="黑体" w:cs="黑体" w:hint="eastAsia"/>
                <w:b/>
                <w:bCs/>
                <w:color w:val="000000"/>
                <w:szCs w:val="21"/>
              </w:rPr>
              <w:t>奖补标准</w:t>
            </w:r>
          </w:p>
        </w:tc>
        <w:tc>
          <w:tcPr>
            <w:tcW w:w="3715" w:type="pct"/>
            <w:vAlign w:val="center"/>
          </w:tcPr>
          <w:p w:rsidR="00F0641F" w:rsidRDefault="00846C11">
            <w:pPr>
              <w:jc w:val="center"/>
              <w:rPr>
                <w:rFonts w:ascii="黑体" w:eastAsia="黑体" w:hAnsi="黑体" w:cs="黑体"/>
                <w:b/>
                <w:bCs/>
                <w:color w:val="000000"/>
                <w:szCs w:val="21"/>
              </w:rPr>
            </w:pPr>
            <w:r>
              <w:rPr>
                <w:rFonts w:ascii="黑体" w:eastAsia="黑体" w:hAnsi="黑体" w:cs="黑体" w:hint="eastAsia"/>
                <w:b/>
                <w:bCs/>
                <w:color w:val="000000"/>
                <w:szCs w:val="21"/>
              </w:rPr>
              <w:t>项目申报条件</w:t>
            </w:r>
          </w:p>
        </w:tc>
      </w:tr>
      <w:tr w:rsidR="00F0641F">
        <w:trPr>
          <w:trHeight w:val="5299"/>
        </w:trPr>
        <w:tc>
          <w:tcPr>
            <w:tcW w:w="244" w:type="pct"/>
            <w:vAlign w:val="center"/>
          </w:tcPr>
          <w:p w:rsidR="00F0641F" w:rsidRDefault="00846C11">
            <w:pPr>
              <w:spacing w:line="280" w:lineRule="exact"/>
              <w:jc w:val="center"/>
              <w:rPr>
                <w:rFonts w:ascii="仿宋_GB2312" w:eastAsia="仿宋_GB2312" w:hAnsi="等线"/>
                <w:color w:val="000000"/>
                <w:szCs w:val="21"/>
              </w:rPr>
            </w:pPr>
            <w:r>
              <w:rPr>
                <w:rFonts w:ascii="仿宋_GB2312" w:eastAsia="仿宋_GB2312" w:hAnsi="等线" w:hint="eastAsia"/>
                <w:color w:val="000000"/>
                <w:szCs w:val="21"/>
              </w:rPr>
              <w:t>1</w:t>
            </w:r>
          </w:p>
        </w:tc>
        <w:tc>
          <w:tcPr>
            <w:tcW w:w="1040" w:type="pc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专精特新企业技术改造项目，专精特新企业技术改造项目奖补资金</w:t>
            </w:r>
            <w:r>
              <w:rPr>
                <w:rFonts w:ascii="仿宋_GB2312" w:eastAsia="仿宋_GB2312" w:hAnsi="等线" w:hint="eastAsia"/>
                <w:color w:val="000000"/>
                <w:szCs w:val="21"/>
              </w:rPr>
              <w:t>=</w:t>
            </w:r>
            <w:r>
              <w:rPr>
                <w:rFonts w:ascii="仿宋_GB2312" w:eastAsia="仿宋_GB2312" w:hAnsi="等线" w:hint="eastAsia"/>
                <w:color w:val="000000"/>
                <w:szCs w:val="21"/>
              </w:rPr>
              <w:t>企业设备投资额×奖补比例（</w:t>
            </w:r>
            <w:r>
              <w:rPr>
                <w:rFonts w:ascii="仿宋_GB2312" w:eastAsia="仿宋_GB2312" w:hAnsi="等线" w:hint="eastAsia"/>
                <w:color w:val="000000"/>
                <w:szCs w:val="21"/>
              </w:rPr>
              <w:t>12%</w:t>
            </w:r>
            <w:r>
              <w:rPr>
                <w:rFonts w:ascii="仿宋_GB2312" w:eastAsia="仿宋_GB2312" w:hAnsi="等线" w:hint="eastAsia"/>
                <w:color w:val="000000"/>
                <w:szCs w:val="21"/>
              </w:rPr>
              <w:t>），申报主体当年获得奖补资金最高不超过</w:t>
            </w:r>
            <w:r>
              <w:rPr>
                <w:rFonts w:ascii="仿宋_GB2312" w:eastAsia="仿宋_GB2312" w:hAnsi="等线" w:hint="eastAsia"/>
                <w:color w:val="000000"/>
                <w:szCs w:val="21"/>
              </w:rPr>
              <w:t>100</w:t>
            </w:r>
            <w:r>
              <w:rPr>
                <w:rFonts w:ascii="仿宋_GB2312" w:eastAsia="仿宋_GB2312" w:hAnsi="等线" w:hint="eastAsia"/>
                <w:color w:val="000000"/>
                <w:szCs w:val="21"/>
              </w:rPr>
              <w:t>万元。</w:t>
            </w:r>
          </w:p>
        </w:tc>
        <w:tc>
          <w:tcPr>
            <w:tcW w:w="3715" w:type="pct"/>
            <w:vAlign w:val="center"/>
          </w:tcPr>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1</w:t>
            </w:r>
            <w:r>
              <w:rPr>
                <w:rFonts w:ascii="仿宋_GB2312" w:eastAsia="仿宋_GB2312" w:hAnsi="等线" w:hint="eastAsia"/>
                <w:color w:val="000000"/>
                <w:szCs w:val="21"/>
              </w:rPr>
              <w:t>）申报主体须在申报年度（</w:t>
            </w:r>
            <w:r>
              <w:rPr>
                <w:rFonts w:ascii="仿宋_GB2312" w:eastAsia="仿宋_GB2312" w:hAnsi="等线" w:hint="eastAsia"/>
                <w:color w:val="000000"/>
                <w:szCs w:val="21"/>
              </w:rPr>
              <w:t>2024</w:t>
            </w:r>
            <w:r>
              <w:rPr>
                <w:rFonts w:ascii="仿宋_GB2312" w:eastAsia="仿宋_GB2312" w:hAnsi="等线" w:hint="eastAsia"/>
                <w:color w:val="000000"/>
                <w:szCs w:val="21"/>
              </w:rPr>
              <w:t>年）和设备投资年度（</w:t>
            </w:r>
            <w:r>
              <w:rPr>
                <w:rFonts w:ascii="仿宋_GB2312" w:eastAsia="仿宋_GB2312" w:hAnsi="等线" w:hint="eastAsia"/>
                <w:color w:val="000000"/>
                <w:szCs w:val="21"/>
              </w:rPr>
              <w:t>2023</w:t>
            </w:r>
            <w:r>
              <w:rPr>
                <w:rFonts w:ascii="仿宋_GB2312" w:eastAsia="仿宋_GB2312" w:hAnsi="等线" w:hint="eastAsia"/>
                <w:color w:val="000000"/>
                <w:szCs w:val="21"/>
              </w:rPr>
              <w:t>年）均为我市有效期内的专精特新中小企业或专精特新“小巨人”企业。</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2</w:t>
            </w:r>
            <w:r>
              <w:rPr>
                <w:rFonts w:ascii="仿宋_GB2312" w:eastAsia="仿宋_GB2312" w:hAnsi="等线" w:hint="eastAsia"/>
                <w:color w:val="000000"/>
                <w:szCs w:val="21"/>
              </w:rPr>
              <w:t>）申报主体应财务管理制度健全，合法合规经营，近</w:t>
            </w:r>
            <w:r>
              <w:rPr>
                <w:rFonts w:ascii="仿宋_GB2312" w:eastAsia="仿宋_GB2312" w:hAnsi="等线" w:hint="eastAsia"/>
                <w:color w:val="000000"/>
                <w:szCs w:val="21"/>
              </w:rPr>
              <w:t>3</w:t>
            </w:r>
            <w:r>
              <w:rPr>
                <w:rFonts w:ascii="仿宋_GB2312" w:eastAsia="仿宋_GB2312" w:hAnsi="等线" w:hint="eastAsia"/>
                <w:color w:val="000000"/>
                <w:szCs w:val="21"/>
              </w:rPr>
              <w:t>年内无重大违法违规行为，符合“绿色门槛”制度要求，并每年按时登录工信部优质中小企业梯度培育平台更新企业信息。</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3</w:t>
            </w:r>
            <w:r>
              <w:rPr>
                <w:rFonts w:ascii="仿宋_GB2312" w:eastAsia="仿宋_GB2312" w:hAnsi="等线" w:hint="eastAsia"/>
                <w:color w:val="000000"/>
                <w:szCs w:val="21"/>
              </w:rPr>
              <w:t>）申报主体在设备投资年度内的投资额</w:t>
            </w:r>
            <w:r>
              <w:rPr>
                <w:rFonts w:ascii="仿宋_GB2312" w:eastAsia="仿宋_GB2312" w:hAnsi="等线" w:hint="eastAsia"/>
                <w:color w:val="000000"/>
                <w:szCs w:val="21"/>
              </w:rPr>
              <w:t>(</w:t>
            </w:r>
            <w:r>
              <w:rPr>
                <w:rFonts w:ascii="仿宋_GB2312" w:eastAsia="仿宋_GB2312" w:hAnsi="等线" w:hint="eastAsia"/>
                <w:color w:val="000000"/>
                <w:szCs w:val="21"/>
              </w:rPr>
              <w:t>不含增值税的原值</w:t>
            </w:r>
            <w:r>
              <w:rPr>
                <w:rFonts w:ascii="仿宋_GB2312" w:eastAsia="仿宋_GB2312" w:hAnsi="等线" w:hint="eastAsia"/>
                <w:color w:val="000000"/>
                <w:szCs w:val="21"/>
              </w:rPr>
              <w:t>)</w:t>
            </w:r>
            <w:r>
              <w:rPr>
                <w:rFonts w:ascii="仿宋_GB2312" w:eastAsia="仿宋_GB2312" w:hAnsi="等线" w:hint="eastAsia"/>
                <w:color w:val="000000"/>
                <w:szCs w:val="21"/>
              </w:rPr>
              <w:t>达到</w:t>
            </w:r>
            <w:r>
              <w:rPr>
                <w:rFonts w:ascii="仿宋_GB2312" w:eastAsia="仿宋_GB2312" w:hAnsi="等线" w:hint="eastAsia"/>
                <w:color w:val="000000"/>
                <w:szCs w:val="21"/>
              </w:rPr>
              <w:t>100</w:t>
            </w:r>
            <w:r>
              <w:rPr>
                <w:rFonts w:ascii="仿宋_GB2312" w:eastAsia="仿宋_GB2312" w:hAnsi="等线" w:hint="eastAsia"/>
                <w:color w:val="000000"/>
                <w:szCs w:val="21"/>
              </w:rPr>
              <w:t>万元以上。设备投资年度是指</w:t>
            </w:r>
            <w:r>
              <w:rPr>
                <w:rFonts w:ascii="仿宋_GB2312" w:eastAsia="仿宋_GB2312" w:hAnsi="等线" w:hint="eastAsia"/>
                <w:color w:val="000000"/>
                <w:szCs w:val="21"/>
              </w:rPr>
              <w:t>2023</w:t>
            </w:r>
            <w:r>
              <w:rPr>
                <w:rFonts w:ascii="仿宋_GB2312" w:eastAsia="仿宋_GB2312" w:hAnsi="等线" w:hint="eastAsia"/>
                <w:color w:val="000000"/>
                <w:szCs w:val="21"/>
              </w:rPr>
              <w:t>年</w:t>
            </w:r>
            <w:r>
              <w:rPr>
                <w:rFonts w:ascii="仿宋_GB2312" w:eastAsia="仿宋_GB2312" w:hAnsi="等线" w:hint="eastAsia"/>
                <w:color w:val="000000"/>
                <w:szCs w:val="21"/>
              </w:rPr>
              <w:t>1</w:t>
            </w:r>
            <w:r>
              <w:rPr>
                <w:rFonts w:ascii="仿宋_GB2312" w:eastAsia="仿宋_GB2312" w:hAnsi="等线" w:hint="eastAsia"/>
                <w:color w:val="000000"/>
                <w:szCs w:val="21"/>
              </w:rPr>
              <w:t>月</w:t>
            </w:r>
            <w:r>
              <w:rPr>
                <w:rFonts w:ascii="仿宋_GB2312" w:eastAsia="仿宋_GB2312" w:hAnsi="等线" w:hint="eastAsia"/>
                <w:color w:val="000000"/>
                <w:szCs w:val="21"/>
              </w:rPr>
              <w:t>1</w:t>
            </w:r>
            <w:r>
              <w:rPr>
                <w:rFonts w:ascii="仿宋_GB2312" w:eastAsia="仿宋_GB2312" w:hAnsi="等线" w:hint="eastAsia"/>
                <w:color w:val="000000"/>
                <w:szCs w:val="21"/>
              </w:rPr>
              <w:t>日至</w:t>
            </w:r>
            <w:r>
              <w:rPr>
                <w:rFonts w:ascii="仿宋_GB2312" w:eastAsia="仿宋_GB2312" w:hAnsi="等线" w:hint="eastAsia"/>
                <w:color w:val="000000"/>
                <w:szCs w:val="21"/>
              </w:rPr>
              <w:t>12</w:t>
            </w:r>
            <w:r>
              <w:rPr>
                <w:rFonts w:ascii="仿宋_GB2312" w:eastAsia="仿宋_GB2312" w:hAnsi="等线" w:hint="eastAsia"/>
                <w:color w:val="000000"/>
                <w:szCs w:val="21"/>
              </w:rPr>
              <w:t>月</w:t>
            </w:r>
            <w:r>
              <w:rPr>
                <w:rFonts w:ascii="仿宋_GB2312" w:eastAsia="仿宋_GB2312" w:hAnsi="等线" w:hint="eastAsia"/>
                <w:color w:val="000000"/>
                <w:szCs w:val="21"/>
              </w:rPr>
              <w:t>31</w:t>
            </w:r>
            <w:r>
              <w:rPr>
                <w:rFonts w:ascii="仿宋_GB2312" w:eastAsia="仿宋_GB2312" w:hAnsi="等线" w:hint="eastAsia"/>
                <w:color w:val="000000"/>
                <w:szCs w:val="21"/>
              </w:rPr>
              <w:t>日。</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设备是指申报主体已投入使用的研发、生产和检验检测设备；设备生产年限应在申报年上年度</w:t>
            </w:r>
            <w:r>
              <w:rPr>
                <w:rFonts w:ascii="仿宋_GB2312" w:eastAsia="仿宋_GB2312" w:hAnsi="等线" w:hint="eastAsia"/>
                <w:color w:val="000000"/>
                <w:szCs w:val="21"/>
              </w:rPr>
              <w:t>12</w:t>
            </w:r>
            <w:r>
              <w:rPr>
                <w:rFonts w:ascii="仿宋_GB2312" w:eastAsia="仿宋_GB2312" w:hAnsi="等线" w:hint="eastAsia"/>
                <w:color w:val="000000"/>
                <w:szCs w:val="21"/>
              </w:rPr>
              <w:t>月</w:t>
            </w:r>
            <w:r>
              <w:rPr>
                <w:rFonts w:ascii="仿宋_GB2312" w:eastAsia="仿宋_GB2312" w:hAnsi="等线" w:hint="eastAsia"/>
                <w:color w:val="000000"/>
                <w:szCs w:val="21"/>
              </w:rPr>
              <w:t>31</w:t>
            </w:r>
            <w:r>
              <w:rPr>
                <w:rFonts w:ascii="仿宋_GB2312" w:eastAsia="仿宋_GB2312" w:hAnsi="等线" w:hint="eastAsia"/>
                <w:color w:val="000000"/>
                <w:szCs w:val="21"/>
              </w:rPr>
              <w:t>日起前推</w:t>
            </w:r>
            <w:r>
              <w:rPr>
                <w:rFonts w:ascii="仿宋_GB2312" w:eastAsia="仿宋_GB2312" w:hAnsi="等线" w:hint="eastAsia"/>
                <w:color w:val="000000"/>
                <w:szCs w:val="21"/>
              </w:rPr>
              <w:t>3</w:t>
            </w:r>
            <w:r>
              <w:rPr>
                <w:rFonts w:ascii="仿宋_GB2312" w:eastAsia="仿宋_GB2312" w:hAnsi="等线" w:hint="eastAsia"/>
                <w:color w:val="000000"/>
                <w:szCs w:val="21"/>
              </w:rPr>
              <w:t>年以内</w:t>
            </w:r>
            <w:r>
              <w:rPr>
                <w:rFonts w:ascii="仿宋_GB2312" w:eastAsia="仿宋_GB2312" w:hAnsi="等线" w:hint="eastAsia"/>
                <w:color w:val="000000"/>
                <w:szCs w:val="21"/>
              </w:rPr>
              <w:t>(</w:t>
            </w:r>
            <w:r>
              <w:rPr>
                <w:rFonts w:ascii="仿宋_GB2312" w:eastAsia="仿宋_GB2312" w:hAnsi="等线" w:hint="eastAsia"/>
                <w:color w:val="000000"/>
                <w:szCs w:val="21"/>
              </w:rPr>
              <w:t>即</w:t>
            </w:r>
            <w:r>
              <w:rPr>
                <w:rFonts w:ascii="仿宋_GB2312" w:eastAsia="仿宋_GB2312" w:hAnsi="等线" w:hint="eastAsia"/>
                <w:color w:val="000000"/>
                <w:szCs w:val="21"/>
              </w:rPr>
              <w:t>2021</w:t>
            </w:r>
            <w:r>
              <w:rPr>
                <w:rFonts w:ascii="仿宋_GB2312" w:eastAsia="仿宋_GB2312" w:hAnsi="等线" w:hint="eastAsia"/>
                <w:color w:val="000000"/>
                <w:szCs w:val="21"/>
              </w:rPr>
              <w:t>年</w:t>
            </w:r>
            <w:r>
              <w:rPr>
                <w:rFonts w:ascii="仿宋_GB2312" w:eastAsia="仿宋_GB2312" w:hAnsi="等线" w:hint="eastAsia"/>
                <w:color w:val="000000"/>
                <w:szCs w:val="21"/>
              </w:rPr>
              <w:t>1</w:t>
            </w:r>
            <w:r>
              <w:rPr>
                <w:rFonts w:ascii="仿宋_GB2312" w:eastAsia="仿宋_GB2312" w:hAnsi="等线" w:hint="eastAsia"/>
                <w:color w:val="000000"/>
                <w:szCs w:val="21"/>
              </w:rPr>
              <w:t>月</w:t>
            </w:r>
            <w:r>
              <w:rPr>
                <w:rFonts w:ascii="仿宋_GB2312" w:eastAsia="仿宋_GB2312" w:hAnsi="等线" w:hint="eastAsia"/>
                <w:color w:val="000000"/>
                <w:szCs w:val="21"/>
              </w:rPr>
              <w:t>1</w:t>
            </w:r>
            <w:r>
              <w:rPr>
                <w:rFonts w:ascii="仿宋_GB2312" w:eastAsia="仿宋_GB2312" w:hAnsi="等线" w:hint="eastAsia"/>
                <w:color w:val="000000"/>
                <w:szCs w:val="21"/>
              </w:rPr>
              <w:t>日至</w:t>
            </w:r>
            <w:r>
              <w:rPr>
                <w:rFonts w:ascii="仿宋_GB2312" w:eastAsia="仿宋_GB2312" w:hAnsi="等线" w:hint="eastAsia"/>
                <w:color w:val="000000"/>
                <w:szCs w:val="21"/>
              </w:rPr>
              <w:t>2023</w:t>
            </w:r>
            <w:r>
              <w:rPr>
                <w:rFonts w:ascii="仿宋_GB2312" w:eastAsia="仿宋_GB2312" w:hAnsi="等线" w:hint="eastAsia"/>
                <w:color w:val="000000"/>
                <w:szCs w:val="21"/>
              </w:rPr>
              <w:t>年</w:t>
            </w:r>
            <w:r>
              <w:rPr>
                <w:rFonts w:ascii="仿宋_GB2312" w:eastAsia="仿宋_GB2312" w:hAnsi="等线" w:hint="eastAsia"/>
                <w:color w:val="000000"/>
                <w:szCs w:val="21"/>
              </w:rPr>
              <w:t>12</w:t>
            </w:r>
            <w:r>
              <w:rPr>
                <w:rFonts w:ascii="仿宋_GB2312" w:eastAsia="仿宋_GB2312" w:hAnsi="等线" w:hint="eastAsia"/>
                <w:color w:val="000000"/>
                <w:szCs w:val="21"/>
              </w:rPr>
              <w:t>月</w:t>
            </w:r>
            <w:r>
              <w:rPr>
                <w:rFonts w:ascii="仿宋_GB2312" w:eastAsia="仿宋_GB2312" w:hAnsi="等线" w:hint="eastAsia"/>
                <w:color w:val="000000"/>
                <w:szCs w:val="21"/>
              </w:rPr>
              <w:t>31</w:t>
            </w:r>
            <w:r>
              <w:rPr>
                <w:rFonts w:ascii="仿宋_GB2312" w:eastAsia="仿宋_GB2312" w:hAnsi="等线" w:hint="eastAsia"/>
                <w:color w:val="000000"/>
                <w:szCs w:val="21"/>
              </w:rPr>
              <w:t>日），不包括二手设备、关联交易设备和政府投资项目设备，且单台设备价格</w:t>
            </w:r>
            <w:r>
              <w:rPr>
                <w:rFonts w:ascii="仿宋_GB2312" w:eastAsia="仿宋_GB2312" w:hAnsi="等线" w:hint="eastAsia"/>
                <w:color w:val="000000"/>
                <w:szCs w:val="21"/>
              </w:rPr>
              <w:t>(</w:t>
            </w:r>
            <w:r>
              <w:rPr>
                <w:rFonts w:ascii="仿宋_GB2312" w:eastAsia="仿宋_GB2312" w:hAnsi="等线" w:hint="eastAsia"/>
                <w:color w:val="000000"/>
                <w:szCs w:val="21"/>
              </w:rPr>
              <w:t>指不含增值税的原值</w:t>
            </w:r>
            <w:r>
              <w:rPr>
                <w:rFonts w:ascii="仿宋_GB2312" w:eastAsia="仿宋_GB2312" w:hAnsi="等线" w:hint="eastAsia"/>
                <w:color w:val="000000"/>
                <w:szCs w:val="21"/>
              </w:rPr>
              <w:t>)</w:t>
            </w:r>
            <w:r>
              <w:rPr>
                <w:rFonts w:ascii="仿宋_GB2312" w:eastAsia="仿宋_GB2312" w:hAnsi="等线" w:hint="eastAsia"/>
                <w:color w:val="000000"/>
                <w:szCs w:val="21"/>
              </w:rPr>
              <w:t>不低于</w:t>
            </w:r>
            <w:r>
              <w:rPr>
                <w:rFonts w:ascii="仿宋_GB2312" w:eastAsia="仿宋_GB2312" w:hAnsi="等线" w:hint="eastAsia"/>
                <w:color w:val="000000"/>
                <w:szCs w:val="21"/>
              </w:rPr>
              <w:t>1</w:t>
            </w:r>
            <w:r>
              <w:rPr>
                <w:rFonts w:ascii="仿宋_GB2312" w:eastAsia="仿宋_GB2312" w:hAnsi="等线" w:hint="eastAsia"/>
                <w:color w:val="000000"/>
                <w:szCs w:val="21"/>
              </w:rPr>
              <w:t>万元；设备需计入企业“固定资产”会计科目核算，未转入固定资产核算的设备不纳入企业设备投资额范围。</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4</w:t>
            </w:r>
            <w:r>
              <w:rPr>
                <w:rFonts w:ascii="仿宋_GB2312" w:eastAsia="仿宋_GB2312" w:hAnsi="等线" w:hint="eastAsia"/>
                <w:color w:val="000000"/>
                <w:szCs w:val="21"/>
              </w:rPr>
              <w:t>）申报主体提供的增值税发票（增</w:t>
            </w:r>
            <w:r>
              <w:rPr>
                <w:rFonts w:ascii="仿宋_GB2312" w:eastAsia="仿宋_GB2312" w:hAnsi="等线" w:hint="eastAsia"/>
                <w:color w:val="000000"/>
                <w:szCs w:val="21"/>
              </w:rPr>
              <w:t>值税专用发票或增值税普通发票，下同）开票日期或进口增值税专用缴款书填发日期，应符合设备投资年度时限有关要求。</w:t>
            </w:r>
          </w:p>
          <w:p w:rsidR="00F0641F" w:rsidRDefault="00846C11">
            <w:pPr>
              <w:spacing w:line="280" w:lineRule="exact"/>
              <w:jc w:val="left"/>
              <w:rPr>
                <w:rFonts w:ascii="仿宋_GB2312" w:eastAsia="仿宋_GB2312" w:hAnsi="等线"/>
                <w:color w:val="000000"/>
                <w:szCs w:val="21"/>
              </w:rPr>
            </w:pPr>
            <w:r>
              <w:rPr>
                <w:rFonts w:ascii="仿宋_GB2312" w:eastAsia="仿宋_GB2312" w:hAnsi="等线" w:hint="eastAsia"/>
                <w:color w:val="000000"/>
                <w:szCs w:val="21"/>
              </w:rPr>
              <w:t>（</w:t>
            </w:r>
            <w:r>
              <w:rPr>
                <w:rFonts w:ascii="仿宋_GB2312" w:eastAsia="仿宋_GB2312" w:hAnsi="等线" w:hint="eastAsia"/>
                <w:color w:val="000000"/>
                <w:szCs w:val="21"/>
              </w:rPr>
              <w:t>5</w:t>
            </w:r>
            <w:r>
              <w:rPr>
                <w:rFonts w:ascii="仿宋_GB2312" w:eastAsia="仿宋_GB2312" w:hAnsi="等线" w:hint="eastAsia"/>
                <w:color w:val="000000"/>
                <w:szCs w:val="21"/>
              </w:rPr>
              <w:t>）设备所属项目应为已建成使用的技改项目，非新建项目。申报设备在我市辖区内使用，且处于运行状态。</w:t>
            </w:r>
          </w:p>
        </w:tc>
      </w:tr>
    </w:tbl>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项目实施情况</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青岛市民营经济发展局（以下简称</w:t>
      </w:r>
      <w:r>
        <w:rPr>
          <w:rFonts w:ascii="仿宋_GB2312" w:eastAsia="仿宋_GB2312" w:hAnsi="仿宋" w:cs="仿宋" w:hint="eastAsia"/>
          <w:sz w:val="32"/>
          <w:szCs w:val="32"/>
        </w:rPr>
        <w:t>市民营经济局</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2023</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8</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30</w:t>
      </w:r>
      <w:r>
        <w:rPr>
          <w:rFonts w:ascii="仿宋_GB2312" w:eastAsia="仿宋_GB2312" w:hAnsi="仿宋_GB2312" w:cs="仿宋_GB2312" w:hint="eastAsia"/>
          <w:sz w:val="32"/>
          <w:szCs w:val="40"/>
        </w:rPr>
        <w:t>日印发《关于做好</w:t>
      </w:r>
      <w:r>
        <w:rPr>
          <w:rFonts w:ascii="仿宋_GB2312" w:eastAsia="仿宋_GB2312" w:hAnsi="仿宋_GB2312" w:cs="仿宋_GB2312" w:hint="eastAsia"/>
          <w:sz w:val="32"/>
          <w:szCs w:val="40"/>
        </w:rPr>
        <w:t>2023</w:t>
      </w:r>
      <w:r>
        <w:rPr>
          <w:rFonts w:ascii="仿宋_GB2312" w:eastAsia="仿宋_GB2312" w:hAnsi="仿宋_GB2312" w:cs="仿宋_GB2312" w:hint="eastAsia"/>
          <w:sz w:val="32"/>
          <w:szCs w:val="40"/>
        </w:rPr>
        <w:t>年青岛市小微企业创新转型项目申报工作的通知》（青民发字〔</w:t>
      </w:r>
      <w:r>
        <w:rPr>
          <w:rFonts w:ascii="仿宋_GB2312" w:eastAsia="仿宋_GB2312" w:hAnsi="仿宋_GB2312" w:cs="仿宋_GB2312" w:hint="eastAsia"/>
          <w:sz w:val="32"/>
          <w:szCs w:val="40"/>
        </w:rPr>
        <w:t>2023</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13</w:t>
      </w:r>
      <w:r>
        <w:rPr>
          <w:rFonts w:ascii="仿宋_GB2312" w:eastAsia="仿宋_GB2312" w:hAnsi="仿宋_GB2312" w:cs="仿宋_GB2312" w:hint="eastAsia"/>
          <w:sz w:val="32"/>
          <w:szCs w:val="40"/>
        </w:rPr>
        <w:t>号）。各区</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市</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lastRenderedPageBreak/>
        <w:t>民营经济（中小企业）主管部门初审推荐企业</w:t>
      </w:r>
      <w:r>
        <w:rPr>
          <w:rFonts w:ascii="仿宋_GB2312" w:eastAsia="仿宋_GB2312" w:hAnsi="仿宋_GB2312" w:cs="仿宋_GB2312" w:hint="eastAsia"/>
          <w:sz w:val="32"/>
          <w:szCs w:val="40"/>
        </w:rPr>
        <w:t>771</w:t>
      </w:r>
      <w:r>
        <w:rPr>
          <w:rFonts w:ascii="仿宋_GB2312" w:eastAsia="仿宋_GB2312" w:hAnsi="仿宋_GB2312" w:cs="仿宋_GB2312" w:hint="eastAsia"/>
          <w:sz w:val="32"/>
          <w:szCs w:val="40"/>
        </w:rPr>
        <w:t>家。市民营经济局委托的第三方机构，审核确认符合奖补条件</w:t>
      </w:r>
      <w:r>
        <w:rPr>
          <w:rFonts w:ascii="仿宋_GB2312" w:eastAsia="仿宋_GB2312" w:hAnsi="仿宋_GB2312" w:cs="仿宋_GB2312" w:hint="eastAsia"/>
          <w:sz w:val="32"/>
          <w:szCs w:val="40"/>
        </w:rPr>
        <w:t>的企业为</w:t>
      </w:r>
      <w:r>
        <w:rPr>
          <w:rFonts w:ascii="仿宋_GB2312" w:eastAsia="仿宋_GB2312" w:hAnsi="仿宋_GB2312" w:cs="仿宋_GB2312" w:hint="eastAsia"/>
          <w:sz w:val="32"/>
          <w:szCs w:val="40"/>
        </w:rPr>
        <w:t>670</w:t>
      </w:r>
      <w:r>
        <w:rPr>
          <w:rFonts w:ascii="仿宋_GB2312" w:eastAsia="仿宋_GB2312" w:hAnsi="仿宋_GB2312" w:cs="仿宋_GB2312" w:hint="eastAsia"/>
          <w:sz w:val="32"/>
          <w:szCs w:val="40"/>
        </w:rPr>
        <w:t>家，拟奖补资金金额</w:t>
      </w:r>
      <w:r>
        <w:rPr>
          <w:rFonts w:ascii="仿宋_GB2312" w:eastAsia="仿宋_GB2312" w:hAnsi="仿宋_GB2312" w:cs="仿宋_GB2312" w:hint="eastAsia"/>
          <w:sz w:val="32"/>
          <w:szCs w:val="40"/>
        </w:rPr>
        <w:t>27,281.22</w:t>
      </w:r>
      <w:r>
        <w:rPr>
          <w:rFonts w:ascii="仿宋_GB2312" w:eastAsia="仿宋_GB2312" w:hAnsi="仿宋_GB2312" w:cs="仿宋_GB2312" w:hint="eastAsia"/>
          <w:sz w:val="32"/>
          <w:szCs w:val="40"/>
        </w:rPr>
        <w:t>万元。</w:t>
      </w:r>
      <w:r>
        <w:rPr>
          <w:rFonts w:ascii="仿宋_GB2312" w:eastAsia="仿宋_GB2312" w:hAnsi="仿宋" w:cs="仿宋" w:hint="eastAsia"/>
          <w:sz w:val="32"/>
          <w:szCs w:val="32"/>
        </w:rPr>
        <w:t>市民营经济局于</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26</w:t>
      </w:r>
      <w:r>
        <w:rPr>
          <w:rFonts w:ascii="仿宋_GB2312" w:eastAsia="仿宋_GB2312" w:hAnsi="仿宋_GB2312" w:cs="仿宋_GB2312" w:hint="eastAsia"/>
          <w:sz w:val="32"/>
          <w:szCs w:val="40"/>
        </w:rPr>
        <w:t>日至</w:t>
      </w: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日对拟扶持企业名单进行公示。</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 w:cs="仿宋" w:hint="eastAsia"/>
          <w:sz w:val="32"/>
          <w:szCs w:val="32"/>
        </w:rPr>
        <w:t>市民营经济局</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8</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23</w:t>
      </w:r>
      <w:r>
        <w:rPr>
          <w:rFonts w:ascii="仿宋_GB2312" w:eastAsia="仿宋_GB2312" w:hAnsi="仿宋_GB2312" w:cs="仿宋_GB2312" w:hint="eastAsia"/>
          <w:sz w:val="32"/>
          <w:szCs w:val="40"/>
        </w:rPr>
        <w:t>日印发《关于做好</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年青岛市专精特新企业技术改造项目申报工作的通知》（青民发字〔</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25</w:t>
      </w:r>
      <w:r>
        <w:rPr>
          <w:rFonts w:ascii="仿宋_GB2312" w:eastAsia="仿宋_GB2312" w:hAnsi="仿宋_GB2312" w:cs="仿宋_GB2312" w:hint="eastAsia"/>
          <w:sz w:val="32"/>
          <w:szCs w:val="40"/>
        </w:rPr>
        <w:t>号）。各区</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市</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民营经济（中小企业）主管部门初审推荐企业</w:t>
      </w:r>
      <w:r>
        <w:rPr>
          <w:rFonts w:ascii="仿宋_GB2312" w:eastAsia="仿宋_GB2312" w:hAnsi="仿宋_GB2312" w:cs="仿宋_GB2312" w:hint="eastAsia"/>
          <w:sz w:val="32"/>
          <w:szCs w:val="40"/>
        </w:rPr>
        <w:t>589</w:t>
      </w:r>
      <w:r>
        <w:rPr>
          <w:rFonts w:ascii="仿宋_GB2312" w:eastAsia="仿宋_GB2312" w:hAnsi="仿宋_GB2312" w:cs="仿宋_GB2312" w:hint="eastAsia"/>
          <w:sz w:val="32"/>
          <w:szCs w:val="40"/>
        </w:rPr>
        <w:t>家。市民营经济局委托的第三方机构，审核确认符合奖补条件的企业为</w:t>
      </w:r>
      <w:r>
        <w:rPr>
          <w:rFonts w:ascii="仿宋_GB2312" w:eastAsia="仿宋_GB2312" w:hAnsi="仿宋_GB2312" w:cs="仿宋_GB2312" w:hint="eastAsia"/>
          <w:sz w:val="32"/>
          <w:szCs w:val="40"/>
        </w:rPr>
        <w:t>519</w:t>
      </w:r>
      <w:r>
        <w:rPr>
          <w:rFonts w:ascii="仿宋_GB2312" w:eastAsia="仿宋_GB2312" w:hAnsi="仿宋_GB2312" w:cs="仿宋_GB2312" w:hint="eastAsia"/>
          <w:sz w:val="32"/>
          <w:szCs w:val="40"/>
        </w:rPr>
        <w:t>家，拟奖补资金金额</w:t>
      </w:r>
      <w:r>
        <w:rPr>
          <w:rFonts w:ascii="仿宋_GB2312" w:eastAsia="仿宋_GB2312" w:hAnsi="仿宋_GB2312" w:cs="仿宋_GB2312" w:hint="eastAsia"/>
          <w:sz w:val="32"/>
          <w:szCs w:val="40"/>
        </w:rPr>
        <w:t>14,608.41</w:t>
      </w:r>
      <w:r>
        <w:rPr>
          <w:rFonts w:ascii="仿宋_GB2312" w:eastAsia="仿宋_GB2312" w:hAnsi="仿宋_GB2312" w:cs="仿宋_GB2312" w:hint="eastAsia"/>
          <w:sz w:val="32"/>
          <w:szCs w:val="40"/>
        </w:rPr>
        <w:t>万元。</w:t>
      </w:r>
      <w:r>
        <w:rPr>
          <w:rFonts w:ascii="仿宋_GB2312" w:eastAsia="仿宋_GB2312" w:hAnsi="仿宋" w:cs="仿宋" w:hint="eastAsia"/>
          <w:sz w:val="32"/>
          <w:szCs w:val="32"/>
        </w:rPr>
        <w:t>市民营经济局于</w:t>
      </w:r>
      <w:r>
        <w:rPr>
          <w:rFonts w:ascii="仿宋_GB2312" w:eastAsia="仿宋_GB2312" w:hAnsi="仿宋_GB2312" w:cs="仿宋_GB2312" w:hint="eastAsia"/>
          <w:sz w:val="32"/>
          <w:szCs w:val="40"/>
        </w:rPr>
        <w:t>2025</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10</w:t>
      </w:r>
      <w:r>
        <w:rPr>
          <w:rFonts w:ascii="仿宋_GB2312" w:eastAsia="仿宋_GB2312" w:hAnsi="仿宋_GB2312" w:cs="仿宋_GB2312" w:hint="eastAsia"/>
          <w:sz w:val="32"/>
          <w:szCs w:val="40"/>
        </w:rPr>
        <w:t>日至</w:t>
      </w:r>
      <w:r>
        <w:rPr>
          <w:rFonts w:ascii="仿宋_GB2312" w:eastAsia="仿宋_GB2312" w:hAnsi="仿宋_GB2312" w:cs="仿宋_GB2312" w:hint="eastAsia"/>
          <w:sz w:val="32"/>
          <w:szCs w:val="40"/>
        </w:rPr>
        <w:t>14</w:t>
      </w:r>
      <w:r>
        <w:rPr>
          <w:rFonts w:ascii="仿宋_GB2312" w:eastAsia="仿宋_GB2312" w:hAnsi="仿宋_GB2312" w:cs="仿宋_GB2312" w:hint="eastAsia"/>
          <w:sz w:val="32"/>
          <w:szCs w:val="40"/>
        </w:rPr>
        <w:t>日对拟扶持企业名单进行公示。</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资金投入及</w:t>
      </w:r>
      <w:r>
        <w:rPr>
          <w:rFonts w:ascii="仿宋_GB2312" w:eastAsia="仿宋_GB2312" w:hAnsi="仿宋_GB2312" w:cs="仿宋_GB2312" w:hint="eastAsia"/>
          <w:sz w:val="32"/>
          <w:szCs w:val="40"/>
        </w:rPr>
        <w:t>使用情况</w:t>
      </w:r>
    </w:p>
    <w:p w:rsidR="00F0641F" w:rsidRDefault="00846C11">
      <w:pPr>
        <w:pStyle w:val="Chy"/>
        <w:adjustRightInd w:val="0"/>
        <w:snapToGrid w:val="0"/>
        <w:spacing w:line="600" w:lineRule="exact"/>
        <w:ind w:firstLine="640"/>
        <w:rPr>
          <w:rFonts w:ascii="仿宋_GB2312" w:hAnsi="仿宋_GB2312" w:cs="仿宋_GB2312"/>
          <w:color w:val="000000"/>
          <w:szCs w:val="32"/>
        </w:rPr>
      </w:pPr>
      <w:r>
        <w:rPr>
          <w:rFonts w:ascii="仿宋_GB2312" w:hAnsi="仿宋_GB2312" w:cs="仿宋_GB2312" w:hint="eastAsia"/>
          <w:szCs w:val="40"/>
        </w:rPr>
        <w:t>2024</w:t>
      </w:r>
      <w:r>
        <w:rPr>
          <w:rFonts w:ascii="仿宋_GB2312" w:hAnsi="仿宋_GB2312" w:cs="仿宋_GB2312" w:hint="eastAsia"/>
          <w:szCs w:val="40"/>
        </w:rPr>
        <w:t>年度创新转型专项资金项目预算</w:t>
      </w:r>
      <w:r>
        <w:rPr>
          <w:rFonts w:ascii="仿宋_GB2312" w:hAnsi="仿宋_GB2312" w:cs="仿宋_GB2312" w:hint="eastAsia"/>
          <w:szCs w:val="40"/>
        </w:rPr>
        <w:t>28,350.00</w:t>
      </w:r>
      <w:r>
        <w:rPr>
          <w:rFonts w:ascii="仿宋_GB2312" w:hAnsi="仿宋_GB2312" w:cs="仿宋_GB2312" w:hint="eastAsia"/>
          <w:szCs w:val="40"/>
        </w:rPr>
        <w:t>万元</w:t>
      </w:r>
      <w:r>
        <w:rPr>
          <w:rFonts w:ascii="仿宋_GB2312" w:hAnsi="仿宋_GB2312" w:cs="仿宋_GB2312" w:hint="eastAsia"/>
          <w:szCs w:val="40"/>
        </w:rPr>
        <w:t>,</w:t>
      </w:r>
      <w:r>
        <w:rPr>
          <w:rFonts w:ascii="仿宋_GB2312" w:hAnsi="仿宋_GB2312" w:cs="仿宋_GB2312" w:hint="eastAsia"/>
          <w:szCs w:val="40"/>
        </w:rPr>
        <w:t>实际执行数</w:t>
      </w:r>
      <w:r>
        <w:rPr>
          <w:rFonts w:ascii="仿宋_GB2312" w:hAnsi="仿宋_GB2312" w:cs="仿宋_GB2312" w:hint="eastAsia"/>
          <w:szCs w:val="40"/>
        </w:rPr>
        <w:t>1,419.93</w:t>
      </w:r>
      <w:r>
        <w:rPr>
          <w:rFonts w:ascii="仿宋_GB2312" w:hAnsi="仿宋_GB2312" w:cs="仿宋_GB2312" w:hint="eastAsia"/>
          <w:szCs w:val="40"/>
        </w:rPr>
        <w:t>万元，预算执行率</w:t>
      </w:r>
      <w:r>
        <w:rPr>
          <w:rFonts w:ascii="仿宋_GB2312" w:hAnsi="仿宋_GB2312" w:cs="仿宋_GB2312" w:hint="eastAsia"/>
          <w:szCs w:val="40"/>
        </w:rPr>
        <w:t>5.01%</w:t>
      </w:r>
      <w:r>
        <w:rPr>
          <w:rFonts w:ascii="仿宋_GB2312" w:hAnsi="仿宋_GB2312" w:cs="仿宋_GB2312" w:hint="eastAsia"/>
          <w:szCs w:val="40"/>
        </w:rPr>
        <w:t>。</w:t>
      </w:r>
      <w:r>
        <w:rPr>
          <w:rFonts w:ascii="仿宋_GB2312" w:hAnsi="仿宋_GB2312" w:cs="仿宋_GB2312" w:hint="eastAsia"/>
          <w:szCs w:val="40"/>
        </w:rPr>
        <w:t>2024</w:t>
      </w:r>
      <w:r>
        <w:rPr>
          <w:rFonts w:ascii="仿宋_GB2312" w:hAnsi="仿宋_GB2312" w:cs="仿宋_GB2312" w:hint="eastAsia"/>
          <w:szCs w:val="40"/>
        </w:rPr>
        <w:t>年度奖补资金由青岛市财政局统筹拨付至各区（市）财政部门，再由各区（市）财政部门拨付至受奖补企业。</w:t>
      </w:r>
      <w:r>
        <w:rPr>
          <w:rFonts w:ascii="仿宋_GB2312" w:hAnsi="仿宋_GB2312" w:cs="仿宋_GB2312" w:hint="eastAsia"/>
          <w:color w:val="000000"/>
          <w:szCs w:val="32"/>
        </w:rPr>
        <w:t>具体如下表所示。</w:t>
      </w:r>
    </w:p>
    <w:p w:rsidR="00F0641F" w:rsidRDefault="00846C11" w:rsidP="007013E9">
      <w:pPr>
        <w:pStyle w:val="2"/>
        <w:widowControl w:val="0"/>
        <w:spacing w:afterLines="50" w:line="560" w:lineRule="exact"/>
        <w:ind w:firstLine="0"/>
        <w:jc w:val="center"/>
        <w:rPr>
          <w:rFonts w:ascii="黑体" w:eastAsia="黑体" w:hAnsi="黑体" w:cs="黑体"/>
          <w:sz w:val="28"/>
          <w:szCs w:val="28"/>
        </w:rPr>
      </w:pPr>
      <w:r>
        <w:rPr>
          <w:rFonts w:ascii="黑体" w:eastAsia="黑体" w:hAnsi="黑体" w:cs="黑体" w:hint="eastAsia"/>
          <w:sz w:val="28"/>
          <w:szCs w:val="28"/>
        </w:rPr>
        <w:t>表</w:t>
      </w:r>
      <w:r>
        <w:rPr>
          <w:rFonts w:ascii="黑体" w:eastAsia="黑体" w:hAnsi="黑体" w:cs="黑体" w:hint="eastAsia"/>
          <w:sz w:val="28"/>
          <w:szCs w:val="28"/>
        </w:rPr>
        <w:t>1.3 2024</w:t>
      </w:r>
      <w:r>
        <w:rPr>
          <w:rFonts w:ascii="黑体" w:eastAsia="黑体" w:hAnsi="黑体" w:cs="黑体" w:hint="eastAsia"/>
          <w:sz w:val="28"/>
          <w:szCs w:val="28"/>
        </w:rPr>
        <w:t>年度创新转型专项资金项目预算情况表</w:t>
      </w:r>
    </w:p>
    <w:p w:rsidR="00F0641F" w:rsidRDefault="00846C11">
      <w:pPr>
        <w:jc w:val="right"/>
        <w:rPr>
          <w:rFonts w:ascii="黑体" w:eastAsia="黑体" w:hAnsi="黑体" w:cs="黑体"/>
          <w:b/>
          <w:bCs/>
          <w:color w:val="000000"/>
          <w:sz w:val="18"/>
          <w:szCs w:val="18"/>
        </w:rPr>
      </w:pPr>
      <w:r>
        <w:rPr>
          <w:rFonts w:ascii="黑体" w:eastAsia="黑体" w:hAnsi="黑体" w:cs="黑体" w:hint="eastAsia"/>
          <w:b/>
          <w:bCs/>
          <w:color w:val="000000"/>
          <w:sz w:val="18"/>
          <w:szCs w:val="18"/>
        </w:rPr>
        <w:t>金额单位：万元</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5"/>
        <w:gridCol w:w="1821"/>
        <w:gridCol w:w="2133"/>
        <w:gridCol w:w="1979"/>
      </w:tblGrid>
      <w:tr w:rsidR="00F0641F">
        <w:trPr>
          <w:trHeight w:val="456"/>
          <w:tblHeader/>
          <w:jc w:val="center"/>
        </w:trPr>
        <w:tc>
          <w:tcPr>
            <w:tcW w:w="2365" w:type="dxa"/>
            <w:noWrap/>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单位</w:t>
            </w:r>
          </w:p>
        </w:tc>
        <w:tc>
          <w:tcPr>
            <w:tcW w:w="1821"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2024</w:t>
            </w:r>
            <w:r>
              <w:rPr>
                <w:rFonts w:ascii="黑体" w:eastAsia="黑体" w:hAnsi="黑体" w:cs="黑体" w:hint="eastAsia"/>
                <w:b/>
                <w:bCs/>
                <w:color w:val="000000"/>
                <w:sz w:val="18"/>
                <w:szCs w:val="18"/>
              </w:rPr>
              <w:t>年度预算</w:t>
            </w:r>
          </w:p>
        </w:tc>
        <w:tc>
          <w:tcPr>
            <w:tcW w:w="2133"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2024</w:t>
            </w:r>
            <w:r>
              <w:rPr>
                <w:rFonts w:ascii="黑体" w:eastAsia="黑体" w:hAnsi="黑体" w:cs="黑体" w:hint="eastAsia"/>
                <w:b/>
                <w:bCs/>
                <w:color w:val="000000"/>
                <w:sz w:val="18"/>
                <w:szCs w:val="18"/>
              </w:rPr>
              <w:t>年度预算执行</w:t>
            </w:r>
          </w:p>
        </w:tc>
        <w:tc>
          <w:tcPr>
            <w:tcW w:w="1979"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预算执行率</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市南区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207.00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市北区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208.00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李沧区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541.00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lastRenderedPageBreak/>
              <w:t>崂山区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737.00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西海岸新区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4,357.00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城阳区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6,421.00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即墨区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3,951.00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胶州市</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6,726.00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平度市</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1,996.00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莱西市</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1,926.00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141.44</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7.34%</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高新区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705.00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704.71</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99.96%</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自贸片区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575.00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573.78</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99.79%</w:t>
            </w:r>
          </w:p>
        </w:tc>
      </w:tr>
      <w:tr w:rsidR="00F0641F">
        <w:trPr>
          <w:trHeight w:val="399"/>
          <w:jc w:val="center"/>
        </w:trPr>
        <w:tc>
          <w:tcPr>
            <w:tcW w:w="2365" w:type="dxa"/>
            <w:noWrap/>
            <w:vAlign w:val="center"/>
          </w:tcPr>
          <w:p w:rsidR="00F0641F" w:rsidRDefault="00846C11">
            <w:pPr>
              <w:jc w:val="center"/>
              <w:rPr>
                <w:rFonts w:ascii="仿宋_GB2312" w:eastAsia="仿宋_GB2312" w:hAnsi="等线"/>
                <w:b/>
                <w:bCs/>
                <w:color w:val="000000"/>
                <w:sz w:val="18"/>
                <w:szCs w:val="18"/>
              </w:rPr>
            </w:pPr>
            <w:r>
              <w:rPr>
                <w:rFonts w:ascii="仿宋_GB2312" w:eastAsia="仿宋_GB2312" w:hAnsi="等线" w:hint="eastAsia"/>
                <w:b/>
                <w:bCs/>
                <w:color w:val="000000"/>
                <w:sz w:val="18"/>
                <w:szCs w:val="18"/>
              </w:rPr>
              <w:t>合计</w:t>
            </w:r>
          </w:p>
        </w:tc>
        <w:tc>
          <w:tcPr>
            <w:tcW w:w="1821" w:type="dxa"/>
            <w:noWrap/>
            <w:vAlign w:val="center"/>
          </w:tcPr>
          <w:p w:rsidR="00F0641F" w:rsidRDefault="00846C11">
            <w:pPr>
              <w:widowControl/>
              <w:jc w:val="right"/>
              <w:textAlignment w:val="center"/>
              <w:rPr>
                <w:rFonts w:ascii="仿宋_GB2312" w:eastAsia="仿宋_GB2312" w:hAnsi="等线"/>
                <w:b/>
                <w:bCs/>
                <w:color w:val="000000"/>
                <w:sz w:val="18"/>
                <w:szCs w:val="18"/>
              </w:rPr>
            </w:pPr>
            <w:r>
              <w:rPr>
                <w:rFonts w:ascii="仿宋_GB2312" w:eastAsia="仿宋_GB2312" w:hAnsi="宋体" w:cs="仿宋_GB2312" w:hint="eastAsia"/>
                <w:b/>
                <w:bCs/>
                <w:color w:val="000000"/>
                <w:kern w:val="0"/>
                <w:sz w:val="18"/>
                <w:szCs w:val="18"/>
                <w:lang/>
              </w:rPr>
              <w:t xml:space="preserve">28,350.00 </w:t>
            </w:r>
          </w:p>
        </w:tc>
        <w:tc>
          <w:tcPr>
            <w:tcW w:w="2133" w:type="dxa"/>
            <w:noWrap/>
            <w:vAlign w:val="center"/>
          </w:tcPr>
          <w:p w:rsidR="00F0641F" w:rsidRDefault="00846C11">
            <w:pPr>
              <w:widowControl/>
              <w:jc w:val="right"/>
              <w:textAlignment w:val="center"/>
              <w:rPr>
                <w:rFonts w:ascii="仿宋_GB2312" w:eastAsia="仿宋_GB2312" w:hAnsi="宋体" w:cs="仿宋_GB2312"/>
                <w:b/>
                <w:bCs/>
                <w:color w:val="000000"/>
                <w:kern w:val="0"/>
                <w:sz w:val="18"/>
                <w:szCs w:val="18"/>
                <w:lang/>
              </w:rPr>
            </w:pPr>
            <w:r>
              <w:rPr>
                <w:rFonts w:ascii="仿宋_GB2312" w:eastAsia="仿宋_GB2312" w:hAnsi="宋体" w:cs="仿宋_GB2312" w:hint="eastAsia"/>
                <w:b/>
                <w:bCs/>
                <w:color w:val="000000"/>
                <w:kern w:val="0"/>
                <w:sz w:val="18"/>
                <w:szCs w:val="18"/>
                <w:lang/>
              </w:rPr>
              <w:t>1,419.93</w:t>
            </w:r>
          </w:p>
        </w:tc>
        <w:tc>
          <w:tcPr>
            <w:tcW w:w="1979" w:type="dxa"/>
            <w:noWrap/>
            <w:vAlign w:val="center"/>
          </w:tcPr>
          <w:p w:rsidR="00F0641F" w:rsidRDefault="00846C11">
            <w:pPr>
              <w:widowControl/>
              <w:jc w:val="right"/>
              <w:textAlignment w:val="center"/>
              <w:rPr>
                <w:rFonts w:ascii="仿宋_GB2312" w:eastAsia="仿宋_GB2312" w:hAnsi="宋体" w:cs="仿宋_GB2312"/>
                <w:b/>
                <w:bCs/>
                <w:color w:val="000000"/>
                <w:kern w:val="0"/>
                <w:sz w:val="18"/>
                <w:szCs w:val="18"/>
                <w:lang/>
              </w:rPr>
            </w:pPr>
            <w:r>
              <w:rPr>
                <w:rFonts w:ascii="仿宋_GB2312" w:eastAsia="仿宋_GB2312" w:hAnsi="宋体" w:cs="仿宋_GB2312" w:hint="eastAsia"/>
                <w:b/>
                <w:bCs/>
                <w:color w:val="000000"/>
                <w:kern w:val="0"/>
                <w:sz w:val="18"/>
                <w:szCs w:val="18"/>
                <w:lang/>
              </w:rPr>
              <w:t>5.01%</w:t>
            </w:r>
          </w:p>
        </w:tc>
      </w:tr>
    </w:tbl>
    <w:p w:rsidR="00F0641F" w:rsidRDefault="00846C11">
      <w:pPr>
        <w:pStyle w:val="Chy"/>
        <w:adjustRightInd w:val="0"/>
        <w:snapToGrid w:val="0"/>
        <w:spacing w:line="600" w:lineRule="exact"/>
        <w:ind w:firstLine="640"/>
        <w:rPr>
          <w:rFonts w:ascii="仿宋_GB2312" w:hAnsi="仿宋_GB2312" w:cs="仿宋_GB2312"/>
          <w:color w:val="000000"/>
          <w:szCs w:val="32"/>
        </w:rPr>
      </w:pPr>
      <w:r>
        <w:rPr>
          <w:rFonts w:ascii="仿宋_GB2312" w:hAnsi="仿宋_GB2312" w:cs="仿宋_GB2312" w:hint="eastAsia"/>
          <w:szCs w:val="40"/>
        </w:rPr>
        <w:t>2025</w:t>
      </w:r>
      <w:r>
        <w:rPr>
          <w:rFonts w:ascii="仿宋_GB2312" w:hAnsi="仿宋_GB2312" w:cs="仿宋_GB2312" w:hint="eastAsia"/>
          <w:szCs w:val="40"/>
        </w:rPr>
        <w:t>年度创新转型专项</w:t>
      </w:r>
      <w:r>
        <w:rPr>
          <w:rFonts w:ascii="仿宋_GB2312" w:hAnsi="仿宋_GB2312" w:cs="仿宋_GB2312" w:hint="eastAsia"/>
          <w:szCs w:val="40"/>
        </w:rPr>
        <w:t>资金项目预算</w:t>
      </w:r>
      <w:r>
        <w:rPr>
          <w:rFonts w:ascii="仿宋_GB2312" w:hAnsi="仿宋_GB2312" w:cs="仿宋_GB2312" w:hint="eastAsia"/>
          <w:szCs w:val="40"/>
        </w:rPr>
        <w:t>15,705.00</w:t>
      </w:r>
      <w:r>
        <w:rPr>
          <w:rFonts w:ascii="仿宋_GB2312" w:hAnsi="仿宋_GB2312" w:cs="仿宋_GB2312" w:hint="eastAsia"/>
          <w:szCs w:val="40"/>
        </w:rPr>
        <w:t>万元</w:t>
      </w:r>
      <w:r>
        <w:rPr>
          <w:rFonts w:ascii="仿宋_GB2312" w:hAnsi="仿宋_GB2312" w:cs="仿宋_GB2312" w:hint="eastAsia"/>
          <w:szCs w:val="40"/>
        </w:rPr>
        <w:t>,2025</w:t>
      </w:r>
      <w:r>
        <w:rPr>
          <w:rFonts w:ascii="仿宋_GB2312" w:hAnsi="仿宋_GB2312" w:cs="仿宋_GB2312" w:hint="eastAsia"/>
          <w:szCs w:val="40"/>
        </w:rPr>
        <w:t>年度实际执行数</w:t>
      </w:r>
      <w:r>
        <w:rPr>
          <w:rFonts w:ascii="仿宋_GB2312" w:hAnsi="仿宋_GB2312" w:cs="仿宋_GB2312" w:hint="eastAsia"/>
          <w:szCs w:val="40"/>
        </w:rPr>
        <w:t>14,608.41</w:t>
      </w:r>
      <w:r>
        <w:rPr>
          <w:rFonts w:ascii="仿宋_GB2312" w:hAnsi="仿宋_GB2312" w:cs="仿宋_GB2312" w:hint="eastAsia"/>
          <w:szCs w:val="40"/>
        </w:rPr>
        <w:t>万元，预算执行率</w:t>
      </w:r>
      <w:r>
        <w:rPr>
          <w:rFonts w:ascii="仿宋_GB2312" w:hAnsi="仿宋_GB2312" w:cs="仿宋_GB2312" w:hint="eastAsia"/>
          <w:szCs w:val="40"/>
        </w:rPr>
        <w:t>93.02%</w:t>
      </w:r>
      <w:r>
        <w:rPr>
          <w:rFonts w:ascii="仿宋_GB2312" w:hAnsi="仿宋_GB2312" w:cs="仿宋_GB2312" w:hint="eastAsia"/>
          <w:szCs w:val="40"/>
        </w:rPr>
        <w:t>。</w:t>
      </w:r>
      <w:r>
        <w:rPr>
          <w:rFonts w:ascii="仿宋_GB2312" w:hAnsi="仿宋_GB2312" w:cs="仿宋_GB2312" w:hint="eastAsia"/>
          <w:szCs w:val="40"/>
        </w:rPr>
        <w:t>2025</w:t>
      </w:r>
      <w:r>
        <w:rPr>
          <w:rFonts w:ascii="仿宋_GB2312" w:hAnsi="仿宋_GB2312" w:cs="仿宋_GB2312" w:hint="eastAsia"/>
          <w:szCs w:val="40"/>
        </w:rPr>
        <w:t>年度奖补资金实行提级管理，统一由市级直接拨付至受奖补企业，有效提高财政资金使用效率。</w:t>
      </w:r>
      <w:r>
        <w:rPr>
          <w:rFonts w:ascii="仿宋_GB2312" w:hAnsi="仿宋_GB2312" w:cs="仿宋_GB2312" w:hint="eastAsia"/>
          <w:color w:val="000000"/>
          <w:szCs w:val="32"/>
        </w:rPr>
        <w:t>具体如下表所示。</w:t>
      </w:r>
    </w:p>
    <w:p w:rsidR="00F0641F" w:rsidRDefault="00846C11" w:rsidP="007013E9">
      <w:pPr>
        <w:pStyle w:val="2"/>
        <w:widowControl w:val="0"/>
        <w:spacing w:afterLines="50" w:line="560" w:lineRule="exact"/>
        <w:ind w:firstLine="0"/>
        <w:jc w:val="center"/>
        <w:rPr>
          <w:rFonts w:ascii="黑体" w:eastAsia="黑体" w:hAnsi="黑体" w:cs="黑体"/>
          <w:sz w:val="28"/>
          <w:szCs w:val="28"/>
        </w:rPr>
      </w:pPr>
      <w:r>
        <w:rPr>
          <w:rFonts w:ascii="黑体" w:eastAsia="黑体" w:hAnsi="黑体" w:cs="黑体" w:hint="eastAsia"/>
          <w:sz w:val="28"/>
          <w:szCs w:val="28"/>
        </w:rPr>
        <w:t>表</w:t>
      </w:r>
      <w:r>
        <w:rPr>
          <w:rFonts w:ascii="黑体" w:eastAsia="黑体" w:hAnsi="黑体" w:cs="黑体" w:hint="eastAsia"/>
          <w:sz w:val="28"/>
          <w:szCs w:val="28"/>
        </w:rPr>
        <w:t>1.4 2025</w:t>
      </w:r>
      <w:r>
        <w:rPr>
          <w:rFonts w:ascii="黑体" w:eastAsia="黑体" w:hAnsi="黑体" w:cs="黑体" w:hint="eastAsia"/>
          <w:sz w:val="28"/>
          <w:szCs w:val="28"/>
        </w:rPr>
        <w:t>年度创新转型专项资金项目预算情况表</w:t>
      </w:r>
    </w:p>
    <w:p w:rsidR="00F0641F" w:rsidRDefault="00846C11">
      <w:pPr>
        <w:jc w:val="right"/>
        <w:rPr>
          <w:rFonts w:ascii="黑体" w:eastAsia="黑体" w:hAnsi="黑体" w:cs="黑体"/>
          <w:b/>
          <w:bCs/>
          <w:color w:val="000000"/>
          <w:sz w:val="18"/>
          <w:szCs w:val="18"/>
        </w:rPr>
      </w:pPr>
      <w:r>
        <w:rPr>
          <w:rFonts w:ascii="黑体" w:eastAsia="黑体" w:hAnsi="黑体" w:cs="黑体" w:hint="eastAsia"/>
          <w:b/>
          <w:bCs/>
          <w:color w:val="000000"/>
          <w:sz w:val="18"/>
          <w:szCs w:val="18"/>
        </w:rPr>
        <w:t>金额单位：万元</w:t>
      </w: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32"/>
        <w:gridCol w:w="1875"/>
        <w:gridCol w:w="2116"/>
        <w:gridCol w:w="1955"/>
      </w:tblGrid>
      <w:tr w:rsidR="00F0641F">
        <w:trPr>
          <w:trHeight w:val="574"/>
          <w:tblHeader/>
          <w:jc w:val="center"/>
        </w:trPr>
        <w:tc>
          <w:tcPr>
            <w:tcW w:w="2332" w:type="dxa"/>
            <w:noWrap/>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单位</w:t>
            </w:r>
          </w:p>
        </w:tc>
        <w:tc>
          <w:tcPr>
            <w:tcW w:w="1875"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2025</w:t>
            </w:r>
            <w:r>
              <w:rPr>
                <w:rFonts w:ascii="黑体" w:eastAsia="黑体" w:hAnsi="黑体" w:cs="黑体" w:hint="eastAsia"/>
                <w:b/>
                <w:bCs/>
                <w:color w:val="000000"/>
                <w:sz w:val="18"/>
                <w:szCs w:val="18"/>
              </w:rPr>
              <w:t>年度预算</w:t>
            </w:r>
          </w:p>
        </w:tc>
        <w:tc>
          <w:tcPr>
            <w:tcW w:w="2116"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2025</w:t>
            </w:r>
            <w:r>
              <w:rPr>
                <w:rFonts w:ascii="黑体" w:eastAsia="黑体" w:hAnsi="黑体" w:cs="黑体" w:hint="eastAsia"/>
                <w:b/>
                <w:bCs/>
                <w:color w:val="000000"/>
                <w:sz w:val="18"/>
                <w:szCs w:val="18"/>
              </w:rPr>
              <w:t>年度预算执行</w:t>
            </w:r>
          </w:p>
        </w:tc>
        <w:tc>
          <w:tcPr>
            <w:tcW w:w="1955"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预算执行率</w:t>
            </w:r>
          </w:p>
        </w:tc>
      </w:tr>
      <w:tr w:rsidR="00F0641F">
        <w:trPr>
          <w:trHeight w:val="574"/>
          <w:jc w:val="center"/>
        </w:trPr>
        <w:tc>
          <w:tcPr>
            <w:tcW w:w="2332"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市民营经济局本级</w:t>
            </w:r>
          </w:p>
        </w:tc>
        <w:tc>
          <w:tcPr>
            <w:tcW w:w="1875"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15,705.00 </w:t>
            </w:r>
          </w:p>
        </w:tc>
        <w:tc>
          <w:tcPr>
            <w:tcW w:w="2116"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14,608.41</w:t>
            </w:r>
          </w:p>
        </w:tc>
        <w:tc>
          <w:tcPr>
            <w:tcW w:w="1955"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93.02%</w:t>
            </w:r>
          </w:p>
        </w:tc>
      </w:tr>
      <w:tr w:rsidR="00F0641F">
        <w:trPr>
          <w:trHeight w:val="503"/>
          <w:jc w:val="center"/>
        </w:trPr>
        <w:tc>
          <w:tcPr>
            <w:tcW w:w="2332" w:type="dxa"/>
            <w:noWrap/>
            <w:vAlign w:val="center"/>
          </w:tcPr>
          <w:p w:rsidR="00F0641F" w:rsidRDefault="00846C11">
            <w:pPr>
              <w:jc w:val="center"/>
              <w:rPr>
                <w:rFonts w:ascii="仿宋_GB2312" w:eastAsia="仿宋_GB2312" w:hAnsi="等线"/>
                <w:b/>
                <w:bCs/>
                <w:color w:val="000000"/>
                <w:sz w:val="18"/>
                <w:szCs w:val="18"/>
              </w:rPr>
            </w:pPr>
            <w:r>
              <w:rPr>
                <w:rFonts w:ascii="仿宋_GB2312" w:eastAsia="仿宋_GB2312" w:hAnsi="等线" w:hint="eastAsia"/>
                <w:b/>
                <w:bCs/>
                <w:color w:val="000000"/>
                <w:sz w:val="18"/>
                <w:szCs w:val="18"/>
              </w:rPr>
              <w:t>合计</w:t>
            </w:r>
          </w:p>
        </w:tc>
        <w:tc>
          <w:tcPr>
            <w:tcW w:w="1875" w:type="dxa"/>
            <w:noWrap/>
            <w:vAlign w:val="center"/>
          </w:tcPr>
          <w:p w:rsidR="00F0641F" w:rsidRDefault="00846C11">
            <w:pPr>
              <w:widowControl/>
              <w:jc w:val="right"/>
              <w:textAlignment w:val="center"/>
              <w:rPr>
                <w:rFonts w:ascii="仿宋_GB2312" w:eastAsia="仿宋_GB2312" w:hAnsi="等线"/>
                <w:b/>
                <w:bCs/>
                <w:color w:val="000000"/>
                <w:sz w:val="18"/>
                <w:szCs w:val="18"/>
              </w:rPr>
            </w:pPr>
            <w:r>
              <w:rPr>
                <w:rFonts w:ascii="仿宋_GB2312" w:eastAsia="仿宋_GB2312" w:hAnsi="宋体" w:cs="仿宋_GB2312" w:hint="eastAsia"/>
                <w:b/>
                <w:bCs/>
                <w:color w:val="000000"/>
                <w:kern w:val="0"/>
                <w:sz w:val="18"/>
                <w:szCs w:val="18"/>
                <w:lang/>
              </w:rPr>
              <w:t xml:space="preserve">15,705.00 </w:t>
            </w:r>
          </w:p>
        </w:tc>
        <w:tc>
          <w:tcPr>
            <w:tcW w:w="2116" w:type="dxa"/>
            <w:noWrap/>
            <w:vAlign w:val="center"/>
          </w:tcPr>
          <w:p w:rsidR="00F0641F" w:rsidRDefault="00846C11">
            <w:pPr>
              <w:widowControl/>
              <w:jc w:val="right"/>
              <w:textAlignment w:val="center"/>
              <w:rPr>
                <w:rFonts w:ascii="仿宋_GB2312" w:eastAsia="仿宋_GB2312" w:hAnsi="宋体" w:cs="仿宋_GB2312"/>
                <w:b/>
                <w:bCs/>
                <w:color w:val="000000"/>
                <w:kern w:val="0"/>
                <w:sz w:val="18"/>
                <w:szCs w:val="18"/>
                <w:lang/>
              </w:rPr>
            </w:pPr>
            <w:r>
              <w:rPr>
                <w:rFonts w:ascii="仿宋_GB2312" w:eastAsia="仿宋_GB2312" w:hAnsi="宋体" w:cs="仿宋_GB2312" w:hint="eastAsia"/>
                <w:b/>
                <w:bCs/>
                <w:color w:val="000000"/>
                <w:kern w:val="0"/>
                <w:sz w:val="18"/>
                <w:szCs w:val="18"/>
                <w:lang/>
              </w:rPr>
              <w:t>14,608.41</w:t>
            </w:r>
          </w:p>
        </w:tc>
        <w:tc>
          <w:tcPr>
            <w:tcW w:w="1955" w:type="dxa"/>
            <w:noWrap/>
            <w:vAlign w:val="center"/>
          </w:tcPr>
          <w:p w:rsidR="00F0641F" w:rsidRDefault="00846C11">
            <w:pPr>
              <w:widowControl/>
              <w:jc w:val="right"/>
              <w:textAlignment w:val="center"/>
              <w:rPr>
                <w:rFonts w:ascii="仿宋_GB2312" w:eastAsia="仿宋_GB2312" w:hAnsi="宋体" w:cs="仿宋_GB2312"/>
                <w:b/>
                <w:bCs/>
                <w:color w:val="000000"/>
                <w:kern w:val="0"/>
                <w:sz w:val="18"/>
                <w:szCs w:val="18"/>
                <w:lang/>
              </w:rPr>
            </w:pPr>
            <w:r>
              <w:rPr>
                <w:rFonts w:ascii="仿宋_GB2312" w:eastAsia="仿宋_GB2312" w:hAnsi="宋体" w:cs="仿宋_GB2312" w:hint="eastAsia"/>
                <w:b/>
                <w:bCs/>
                <w:color w:val="000000"/>
                <w:kern w:val="0"/>
                <w:sz w:val="18"/>
                <w:szCs w:val="18"/>
                <w:lang/>
              </w:rPr>
              <w:t>93.02%</w:t>
            </w:r>
          </w:p>
        </w:tc>
      </w:tr>
    </w:tbl>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（二）项目绩效目标</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总体目标</w:t>
      </w:r>
    </w:p>
    <w:p w:rsidR="00F0641F" w:rsidRDefault="00846C11">
      <w:pPr>
        <w:spacing w:line="600" w:lineRule="exact"/>
        <w:ind w:firstLineChars="200" w:firstLine="640"/>
        <w:rPr>
          <w:rFonts w:ascii="仿宋_GB2312" w:eastAsia="仿宋_GB2312" w:hAnsi="仿宋_GB2312" w:cs="仿宋_GB2312"/>
          <w:sz w:val="30"/>
          <w:szCs w:val="30"/>
        </w:rPr>
      </w:pPr>
      <w:r>
        <w:rPr>
          <w:rFonts w:ascii="仿宋_GB2312" w:eastAsia="仿宋_GB2312" w:hAnsi="仿宋_GB2312" w:cs="仿宋_GB2312" w:hint="eastAsia"/>
          <w:sz w:val="32"/>
          <w:szCs w:val="40"/>
        </w:rPr>
        <w:t>通过资金扶持，鼓励支持企业开展设备更新迭代和转型升级，提升企</w:t>
      </w:r>
      <w:r>
        <w:rPr>
          <w:rFonts w:ascii="仿宋_GB2312" w:eastAsia="仿宋_GB2312" w:hAnsi="仿宋_GB2312" w:cs="仿宋_GB2312" w:hint="eastAsia"/>
          <w:sz w:val="30"/>
          <w:szCs w:val="30"/>
        </w:rPr>
        <w:t>业创新能力和专业化发展水平，引导企业坚定走专精</w:t>
      </w:r>
      <w:r>
        <w:rPr>
          <w:rFonts w:ascii="仿宋_GB2312" w:eastAsia="仿宋_GB2312" w:hAnsi="仿宋_GB2312" w:cs="仿宋_GB2312" w:hint="eastAsia"/>
          <w:sz w:val="30"/>
          <w:szCs w:val="30"/>
        </w:rPr>
        <w:lastRenderedPageBreak/>
        <w:t>特新发展道路，推动专精特新中小企业绿色低碳高质量发展。</w:t>
      </w:r>
    </w:p>
    <w:p w:rsidR="00F0641F" w:rsidRDefault="00846C11">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年度目标</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年度主要绩效指标：支持小微企业产业链配套项目数量≥</w:t>
      </w:r>
      <w:r>
        <w:rPr>
          <w:rFonts w:ascii="仿宋_GB2312" w:eastAsia="仿宋_GB2312" w:hAnsi="仿宋_GB2312" w:cs="仿宋_GB2312" w:hint="eastAsia"/>
          <w:sz w:val="32"/>
          <w:szCs w:val="40"/>
        </w:rPr>
        <w:t>12</w:t>
      </w:r>
      <w:r>
        <w:rPr>
          <w:rFonts w:ascii="仿宋_GB2312" w:eastAsia="仿宋_GB2312" w:hAnsi="仿宋_GB2312" w:cs="仿宋_GB2312" w:hint="eastAsia"/>
          <w:sz w:val="32"/>
          <w:szCs w:val="40"/>
        </w:rPr>
        <w:t>个、支持小微企业技术改造项目数量≥</w:t>
      </w:r>
      <w:r>
        <w:rPr>
          <w:rFonts w:ascii="仿宋_GB2312" w:eastAsia="仿宋_GB2312" w:hAnsi="仿宋_GB2312" w:cs="仿宋_GB2312" w:hint="eastAsia"/>
          <w:sz w:val="32"/>
          <w:szCs w:val="40"/>
        </w:rPr>
        <w:t>687</w:t>
      </w:r>
      <w:r>
        <w:rPr>
          <w:rFonts w:ascii="仿宋_GB2312" w:eastAsia="仿宋_GB2312" w:hAnsi="仿宋_GB2312" w:cs="仿宋_GB2312" w:hint="eastAsia"/>
          <w:sz w:val="32"/>
          <w:szCs w:val="40"/>
        </w:rPr>
        <w:t>个、拉动投资金额≥</w:t>
      </w:r>
      <w:r>
        <w:rPr>
          <w:rFonts w:ascii="仿宋_GB2312" w:eastAsia="仿宋_GB2312" w:hAnsi="仿宋_GB2312" w:cs="仿宋_GB2312" w:hint="eastAsia"/>
          <w:sz w:val="32"/>
          <w:szCs w:val="40"/>
        </w:rPr>
        <w:t>14</w:t>
      </w:r>
      <w:r>
        <w:rPr>
          <w:rFonts w:ascii="仿宋_GB2312" w:eastAsia="仿宋_GB2312" w:hAnsi="仿宋_GB2312" w:cs="仿宋_GB2312" w:hint="eastAsia"/>
          <w:sz w:val="32"/>
          <w:szCs w:val="40"/>
        </w:rPr>
        <w:t>亿元、获扶持企业满意度≥</w:t>
      </w:r>
      <w:r>
        <w:rPr>
          <w:rFonts w:ascii="仿宋_GB2312" w:eastAsia="仿宋_GB2312" w:hAnsi="仿宋_GB2312" w:cs="仿宋_GB2312" w:hint="eastAsia"/>
          <w:sz w:val="32"/>
          <w:szCs w:val="40"/>
        </w:rPr>
        <w:t>70%</w:t>
      </w:r>
      <w:r>
        <w:rPr>
          <w:rFonts w:ascii="仿宋_GB2312" w:eastAsia="仿宋_GB2312" w:hAnsi="仿宋_GB2312" w:cs="仿宋_GB2312" w:hint="eastAsia"/>
          <w:sz w:val="32"/>
          <w:szCs w:val="40"/>
        </w:rPr>
        <w:t>。</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2025</w:t>
      </w:r>
      <w:r>
        <w:rPr>
          <w:rFonts w:ascii="仿宋_GB2312" w:eastAsia="仿宋_GB2312" w:hAnsi="仿宋_GB2312" w:cs="仿宋_GB2312" w:hint="eastAsia"/>
          <w:sz w:val="32"/>
          <w:szCs w:val="40"/>
        </w:rPr>
        <w:t>年度主要绩效指标：支持专精特新企业技术改造项目数量≥</w:t>
      </w:r>
      <w:r>
        <w:rPr>
          <w:rFonts w:ascii="仿宋_GB2312" w:eastAsia="仿宋_GB2312" w:hAnsi="仿宋_GB2312" w:cs="仿宋_GB2312" w:hint="eastAsia"/>
          <w:sz w:val="32"/>
          <w:szCs w:val="40"/>
        </w:rPr>
        <w:t>538</w:t>
      </w:r>
      <w:r>
        <w:rPr>
          <w:rFonts w:ascii="仿宋_GB2312" w:eastAsia="仿宋_GB2312" w:hAnsi="仿宋_GB2312" w:cs="仿宋_GB2312" w:hint="eastAsia"/>
          <w:sz w:val="32"/>
          <w:szCs w:val="40"/>
        </w:rPr>
        <w:t>个、拉动企业固定资产投资金额≥</w:t>
      </w:r>
      <w:r>
        <w:rPr>
          <w:rFonts w:ascii="仿宋_GB2312" w:eastAsia="仿宋_GB2312" w:hAnsi="仿宋_GB2312" w:cs="仿宋_GB2312" w:hint="eastAsia"/>
          <w:sz w:val="32"/>
          <w:szCs w:val="40"/>
        </w:rPr>
        <w:t>14</w:t>
      </w:r>
      <w:r>
        <w:rPr>
          <w:rFonts w:ascii="仿宋_GB2312" w:eastAsia="仿宋_GB2312" w:hAnsi="仿宋_GB2312" w:cs="仿宋_GB2312" w:hint="eastAsia"/>
          <w:sz w:val="32"/>
          <w:szCs w:val="40"/>
        </w:rPr>
        <w:t>亿元、获扶持企业满意度≥</w:t>
      </w:r>
      <w:r>
        <w:rPr>
          <w:rFonts w:ascii="仿宋_GB2312" w:eastAsia="仿宋_GB2312" w:hAnsi="仿宋_GB2312" w:cs="仿宋_GB2312" w:hint="eastAsia"/>
          <w:sz w:val="32"/>
          <w:szCs w:val="40"/>
        </w:rPr>
        <w:t>90%</w:t>
      </w:r>
      <w:r>
        <w:rPr>
          <w:rFonts w:ascii="仿宋_GB2312" w:eastAsia="仿宋_GB2312" w:hAnsi="仿宋_GB2312" w:cs="仿宋_GB2312" w:hint="eastAsia"/>
          <w:sz w:val="32"/>
          <w:szCs w:val="40"/>
        </w:rPr>
        <w:t>。</w:t>
      </w:r>
    </w:p>
    <w:p w:rsidR="00F0641F" w:rsidRDefault="00846C11">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二、绩效评价工作开展情况</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（一</w:t>
      </w:r>
      <w:r>
        <w:rPr>
          <w:rFonts w:ascii="楷体_GB2312" w:eastAsia="楷体_GB2312" w:hAnsi="楷体_GB2312" w:cs="楷体_GB2312" w:hint="eastAsia"/>
          <w:sz w:val="32"/>
          <w:szCs w:val="40"/>
        </w:rPr>
        <w:t>）评价目的、评价对象和范围</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评价目的</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通过对创新转型专项资金项目立项的合法性和合规性、项目实施的科学性和有效性、资金使用的经济性和效益性等做出客观评价，推动提升财政资源配置效率和使用效益，优化公共资源配置，节约公共支出成本，增强预算编制的精准性和有效性。</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评价对象</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创新转型专项资金项目</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评价范围</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2024-2025</w:t>
      </w:r>
      <w:r>
        <w:rPr>
          <w:rFonts w:ascii="仿宋_GB2312" w:eastAsia="仿宋_GB2312" w:hAnsi="仿宋_GB2312" w:cs="仿宋_GB2312" w:hint="eastAsia"/>
          <w:sz w:val="32"/>
          <w:szCs w:val="40"/>
        </w:rPr>
        <w:t>年度预算</w:t>
      </w:r>
      <w:r>
        <w:rPr>
          <w:rFonts w:ascii="仿宋_GB2312" w:eastAsia="仿宋_GB2312" w:hAnsi="仿宋_GB2312" w:cs="仿宋_GB2312" w:hint="eastAsia"/>
          <w:sz w:val="32"/>
          <w:szCs w:val="40"/>
        </w:rPr>
        <w:t>44,055.00</w:t>
      </w:r>
      <w:r>
        <w:rPr>
          <w:rFonts w:ascii="仿宋_GB2312" w:eastAsia="仿宋_GB2312" w:hAnsi="仿宋_GB2312" w:cs="仿宋_GB2312" w:hint="eastAsia"/>
          <w:sz w:val="32"/>
          <w:szCs w:val="40"/>
        </w:rPr>
        <w:t>万元所对应的绩效目标完成情况及</w:t>
      </w:r>
      <w:r>
        <w:rPr>
          <w:rFonts w:ascii="仿宋_GB2312" w:eastAsia="仿宋_GB2312" w:hAnsi="仿宋_GB2312" w:cs="仿宋_GB2312" w:hint="eastAsia"/>
          <w:sz w:val="32"/>
          <w:szCs w:val="32"/>
        </w:rPr>
        <w:t>实施成效。</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lastRenderedPageBreak/>
        <w:t>（二）评价思路、评价重点、评价指标体系和评价标准</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评价思路</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了解创新转型专项</w:t>
      </w:r>
      <w:r>
        <w:rPr>
          <w:rFonts w:ascii="仿宋_GB2312" w:eastAsia="仿宋_GB2312" w:hAnsi="仿宋_GB2312" w:cs="仿宋_GB2312" w:hint="eastAsia"/>
          <w:sz w:val="32"/>
          <w:szCs w:val="40"/>
        </w:rPr>
        <w:t>资金项目工作实施、资金使用、效益发挥等预期目标实现程度，及时发现项目组织实施与资金管理中存在的问题和薄弱环节，评价项目组织申报的规范性、企业奖补审核的准确性，发现问题，提出改进意见和建议，进一步规范创新转型专项资金的使用管理，强化财政支出绩效理念，为以后财政对创新转型专项资金的投入提供参考。</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评价重点</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）项目决策方面：全面了解创新转型专项资金项目的立项背景、项目实施范围的明确性以及项目立项依据的符合性、绩效目标设定的合理性及绩效指标设置的明确性等。</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）项目过程管理方面：收集相关管理制度、措施的制</w:t>
      </w:r>
      <w:r>
        <w:rPr>
          <w:rFonts w:ascii="仿宋_GB2312" w:eastAsia="仿宋_GB2312" w:hAnsi="仿宋_GB2312" w:cs="仿宋_GB2312" w:hint="eastAsia"/>
          <w:sz w:val="32"/>
          <w:szCs w:val="40"/>
        </w:rPr>
        <w:t>订和执行情况，预算安排和使用情况，创新转型专项资金项目工作计划制定和实际实施情况等。</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项目产出效益方面：重点关注产业链配套项目支持企业数量、技术改造项目支持企业数量，企业在专业化水平和创新能力提升情况、拉动企业固定资产投资情况等，通过以上产出和效益指标的考核，结合满意度调查情况，综合评价项目效益实现情况。</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评价指标体系</w:t>
      </w:r>
    </w:p>
    <w:p w:rsidR="00F0641F" w:rsidRDefault="00846C11">
      <w:pPr>
        <w:spacing w:line="600" w:lineRule="exact"/>
        <w:ind w:firstLineChars="200" w:firstLine="640"/>
        <w:rPr>
          <w:rFonts w:ascii="仿宋_GB2312" w:eastAsia="仿宋_GB2312" w:hAnsi="Times New Roman" w:cs="Times New Roman"/>
          <w:sz w:val="32"/>
          <w:szCs w:val="32"/>
        </w:rPr>
      </w:pPr>
      <w:r>
        <w:rPr>
          <w:rFonts w:ascii="仿宋_GB2312" w:eastAsia="仿宋_GB2312" w:cs="Times New Roman" w:hint="eastAsia"/>
          <w:sz w:val="32"/>
          <w:szCs w:val="32"/>
        </w:rPr>
        <w:lastRenderedPageBreak/>
        <w:t>本次绩效评价</w:t>
      </w:r>
      <w:r>
        <w:rPr>
          <w:rFonts w:ascii="仿宋_GB2312" w:eastAsia="仿宋_GB2312" w:hAnsi="仿宋_GB2312" w:cs="仿宋_GB2312" w:hint="eastAsia"/>
          <w:sz w:val="32"/>
          <w:szCs w:val="32"/>
        </w:rPr>
        <w:t>从项目决策、过程、产出和效益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个维度制定绩效评价指标体系，指标权重占比为决策</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、过程</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、产出</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和效益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w:t>
      </w:r>
    </w:p>
    <w:p w:rsidR="00F0641F" w:rsidRDefault="00846C11">
      <w:pPr>
        <w:pStyle w:val="p0"/>
        <w:widowControl w:val="0"/>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）项目决策情况。包括项目立项、绩效目标和资金投入</w:t>
      </w:r>
      <w:r>
        <w:rPr>
          <w:rFonts w:ascii="仿宋_GB2312" w:eastAsia="仿宋_GB2312" w:hint="eastAsia"/>
          <w:sz w:val="32"/>
          <w:szCs w:val="32"/>
        </w:rPr>
        <w:t>3</w:t>
      </w:r>
      <w:r>
        <w:rPr>
          <w:rFonts w:ascii="仿宋_GB2312" w:eastAsia="仿宋_GB2312" w:hint="eastAsia"/>
          <w:sz w:val="32"/>
          <w:szCs w:val="32"/>
        </w:rPr>
        <w:t>个二级指标，重点关注项目立项前期论证是否充分、立项程序是否规范；绩效目标是否合理、明确；预算编制是否科学；资金分配是否合理等。</w:t>
      </w:r>
    </w:p>
    <w:p w:rsidR="00F0641F" w:rsidRDefault="00846C11">
      <w:pPr>
        <w:pStyle w:val="p0"/>
        <w:widowControl w:val="0"/>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）项目过程情况。包括资金管理和组织实施</w:t>
      </w:r>
      <w:r>
        <w:rPr>
          <w:rFonts w:ascii="仿宋_GB2312" w:eastAsia="仿宋_GB2312" w:hint="eastAsia"/>
          <w:sz w:val="32"/>
          <w:szCs w:val="32"/>
        </w:rPr>
        <w:t>2</w:t>
      </w:r>
      <w:r>
        <w:rPr>
          <w:rFonts w:ascii="仿宋_GB2312" w:eastAsia="仿宋_GB2312" w:hint="eastAsia"/>
          <w:sz w:val="32"/>
          <w:szCs w:val="32"/>
        </w:rPr>
        <w:t>个二级指标，重点关注资金使用情况、项目财务与业务制度建设及执行情况等。</w:t>
      </w:r>
    </w:p>
    <w:p w:rsidR="00F0641F" w:rsidRDefault="00846C11">
      <w:pPr>
        <w:pStyle w:val="p0"/>
        <w:widowControl w:val="0"/>
        <w:adjustRightInd w:val="0"/>
        <w:snapToGrid w:val="0"/>
        <w:spacing w:line="600" w:lineRule="exact"/>
        <w:ind w:firstLineChars="200" w:firstLine="640"/>
        <w:rPr>
          <w:rFonts w:ascii="仿宋_GB2312" w:eastAsia="仿宋_GB2312" w:cs="Times New Roman"/>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Ansi="Times New Roman" w:cs="Times New Roman" w:hint="eastAsia"/>
          <w:sz w:val="32"/>
          <w:szCs w:val="32"/>
        </w:rPr>
        <w:t>项目产出情况。</w:t>
      </w:r>
      <w:r>
        <w:rPr>
          <w:rFonts w:ascii="仿宋_GB2312" w:eastAsia="仿宋_GB2312" w:cs="Times New Roman" w:hint="eastAsia"/>
          <w:sz w:val="32"/>
          <w:szCs w:val="32"/>
        </w:rPr>
        <w:t>包括项目产出数量、质量、时效及成本</w:t>
      </w:r>
      <w:r>
        <w:rPr>
          <w:rFonts w:ascii="仿宋_GB2312" w:eastAsia="仿宋_GB2312" w:cs="Times New Roman" w:hint="eastAsia"/>
          <w:sz w:val="32"/>
          <w:szCs w:val="32"/>
        </w:rPr>
        <w:t>4</w:t>
      </w:r>
      <w:r>
        <w:rPr>
          <w:rFonts w:ascii="仿宋_GB2312" w:eastAsia="仿宋_GB2312" w:cs="Times New Roman" w:hint="eastAsia"/>
          <w:sz w:val="32"/>
          <w:szCs w:val="32"/>
        </w:rPr>
        <w:t>个二级指标，</w:t>
      </w:r>
      <w:r>
        <w:rPr>
          <w:rFonts w:ascii="仿宋_GB2312" w:eastAsia="仿宋_GB2312" w:hAnsi="Times New Roman" w:cs="Times New Roman" w:hint="eastAsia"/>
          <w:sz w:val="32"/>
          <w:szCs w:val="32"/>
        </w:rPr>
        <w:t>重点关注项目</w:t>
      </w:r>
      <w:r>
        <w:rPr>
          <w:rFonts w:ascii="仿宋_GB2312" w:eastAsia="仿宋_GB2312" w:hAnsi="仿宋_GB2312" w:cs="仿宋_GB2312" w:hint="eastAsia"/>
          <w:sz w:val="32"/>
          <w:szCs w:val="40"/>
        </w:rPr>
        <w:t>支持企业数量、企业专业化水平和创新能力提升、区（市）初审推荐工作</w:t>
      </w:r>
      <w:r>
        <w:rPr>
          <w:rFonts w:ascii="仿宋_GB2312" w:eastAsia="仿宋_GB2312" w:cs="Times New Roman" w:hint="eastAsia"/>
          <w:sz w:val="32"/>
          <w:szCs w:val="32"/>
        </w:rPr>
        <w:t>完成时效情况、项目实施过程中成本支出控制情况</w:t>
      </w:r>
      <w:r>
        <w:rPr>
          <w:rFonts w:ascii="仿宋_GB2312" w:eastAsia="仿宋_GB2312" w:hint="eastAsia"/>
          <w:sz w:val="32"/>
          <w:szCs w:val="32"/>
        </w:rPr>
        <w:t>等</w:t>
      </w:r>
      <w:r>
        <w:rPr>
          <w:rFonts w:ascii="仿宋_GB2312" w:eastAsia="仿宋_GB2312" w:cs="Times New Roman" w:hint="eastAsia"/>
          <w:sz w:val="32"/>
          <w:szCs w:val="32"/>
        </w:rPr>
        <w:t>。</w:t>
      </w:r>
    </w:p>
    <w:p w:rsidR="00F0641F" w:rsidRDefault="00846C11">
      <w:pPr>
        <w:pStyle w:val="p0"/>
        <w:widowControl w:val="0"/>
        <w:adjustRightInd w:val="0"/>
        <w:snapToGrid w:val="0"/>
        <w:spacing w:line="600" w:lineRule="exact"/>
        <w:ind w:firstLineChars="200" w:firstLine="640"/>
        <w:rPr>
          <w:rFonts w:ascii="仿宋_GB2312" w:eastAsia="仿宋_GB2312" w:hAnsi="仿宋_GB2312" w:cs="仿宋_GB2312"/>
          <w:sz w:val="32"/>
          <w:szCs w:val="40"/>
        </w:rPr>
      </w:pPr>
      <w:r>
        <w:rPr>
          <w:rFonts w:ascii="仿宋_GB2312" w:eastAsia="仿宋_GB2312" w:cs="Times New Roman" w:hint="eastAsia"/>
          <w:sz w:val="32"/>
          <w:szCs w:val="32"/>
        </w:rPr>
        <w:t>（</w:t>
      </w:r>
      <w:r>
        <w:rPr>
          <w:rFonts w:ascii="仿宋_GB2312" w:eastAsia="仿宋_GB2312" w:cs="Times New Roman" w:hint="eastAsia"/>
          <w:sz w:val="32"/>
          <w:szCs w:val="32"/>
        </w:rPr>
        <w:t>4</w:t>
      </w:r>
      <w:r>
        <w:rPr>
          <w:rFonts w:ascii="仿宋_GB2312" w:eastAsia="仿宋_GB2312" w:cs="Times New Roman" w:hint="eastAsia"/>
          <w:sz w:val="32"/>
          <w:szCs w:val="32"/>
        </w:rPr>
        <w:t>）项目效益情况。</w:t>
      </w:r>
      <w:r>
        <w:rPr>
          <w:rFonts w:ascii="仿宋_GB2312" w:eastAsia="仿宋_GB2312" w:cs="Times New Roman" w:hint="eastAsia"/>
          <w:sz w:val="32"/>
          <w:szCs w:val="32"/>
        </w:rPr>
        <w:t>包括经济效益、生态效益、可持续影响和服务对象满意度</w:t>
      </w:r>
      <w:r>
        <w:rPr>
          <w:rFonts w:ascii="仿宋_GB2312" w:eastAsia="仿宋_GB2312" w:cs="Times New Roman" w:hint="eastAsia"/>
          <w:sz w:val="32"/>
          <w:szCs w:val="32"/>
        </w:rPr>
        <w:t>4</w:t>
      </w:r>
      <w:r>
        <w:rPr>
          <w:rFonts w:ascii="仿宋_GB2312" w:eastAsia="仿宋_GB2312" w:cs="Times New Roman" w:hint="eastAsia"/>
          <w:sz w:val="32"/>
          <w:szCs w:val="32"/>
        </w:rPr>
        <w:t>个二级指标，重点关注项目拉动企业固定资产投资情况、奖补企业在营业收入及上缴税金等方面增长情况、“绿色门槛”符合度、获扶持企业存续率、获扶持企业满意度</w:t>
      </w:r>
      <w:r>
        <w:rPr>
          <w:rFonts w:ascii="仿宋_GB2312" w:eastAsia="仿宋_GB2312" w:hint="eastAsia"/>
          <w:sz w:val="32"/>
          <w:szCs w:val="32"/>
        </w:rPr>
        <w:t>等</w:t>
      </w:r>
      <w:r>
        <w:rPr>
          <w:rFonts w:ascii="仿宋_GB2312" w:eastAsia="仿宋_GB2312" w:cs="Times New Roman" w:hint="eastAsia"/>
          <w:sz w:val="32"/>
          <w:szCs w:val="32"/>
        </w:rPr>
        <w:t>。</w:t>
      </w:r>
      <w:r>
        <w:rPr>
          <w:rFonts w:ascii="仿宋_GB2312" w:eastAsia="仿宋_GB2312" w:hAnsi="Times New Roman" w:cs="Times New Roman" w:hint="eastAsia"/>
          <w:kern w:val="2"/>
          <w:sz w:val="32"/>
          <w:szCs w:val="32"/>
        </w:rPr>
        <w:t>具体指标体系设计及评分方法详见附件</w:t>
      </w:r>
      <w:r>
        <w:rPr>
          <w:rFonts w:ascii="仿宋_GB2312" w:eastAsia="仿宋_GB2312" w:hAnsi="Times New Roman" w:cs="Times New Roman" w:hint="eastAsia"/>
          <w:kern w:val="2"/>
          <w:sz w:val="32"/>
          <w:szCs w:val="32"/>
        </w:rPr>
        <w:t>1</w:t>
      </w:r>
      <w:r>
        <w:rPr>
          <w:rFonts w:ascii="仿宋_GB2312" w:eastAsia="仿宋_GB2312" w:hAnsi="Times New Roman" w:cs="Times New Roman" w:hint="eastAsia"/>
          <w:kern w:val="2"/>
          <w:sz w:val="32"/>
          <w:szCs w:val="32"/>
        </w:rPr>
        <w:t>。</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评价标准</w:t>
      </w:r>
    </w:p>
    <w:p w:rsidR="00F0641F" w:rsidRDefault="00846C11">
      <w:pPr>
        <w:adjustRightInd w:val="0"/>
        <w:snapToGrid w:val="0"/>
        <w:spacing w:line="59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绩效评价标准制定过程中，依据相关管理办法，参考相关</w:t>
      </w:r>
      <w:r>
        <w:rPr>
          <w:rFonts w:ascii="仿宋_GB2312" w:eastAsia="仿宋_GB2312" w:hAnsi="仿宋_GB2312" w:cs="仿宋_GB2312" w:hint="eastAsia"/>
          <w:sz w:val="32"/>
          <w:szCs w:val="40"/>
        </w:rPr>
        <w:lastRenderedPageBreak/>
        <w:t>行业专家意见，针对项目特点及具体评价指标，确定绩效评价要点和评价标准。具体评定标准以《青岛市小微企业创新转型项目实施细则</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暂行</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》（青民发规〔</w:t>
      </w:r>
      <w:r>
        <w:rPr>
          <w:rFonts w:ascii="仿宋_GB2312" w:eastAsia="仿宋_GB2312" w:hAnsi="仿宋_GB2312" w:cs="仿宋_GB2312" w:hint="eastAsia"/>
          <w:sz w:val="32"/>
          <w:szCs w:val="40"/>
        </w:rPr>
        <w:t>2022</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号）、《青岛市专精特新企业技术改造项目实施细则》（</w:t>
      </w:r>
      <w:r>
        <w:rPr>
          <w:rFonts w:ascii="仿宋_GB2312" w:eastAsia="仿宋_GB2312" w:hAnsi="仿宋_GB2312" w:cs="仿宋_GB2312" w:hint="eastAsia"/>
          <w:sz w:val="32"/>
          <w:szCs w:val="40"/>
        </w:rPr>
        <w:t>青民发字〔</w:t>
      </w: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5</w:t>
      </w:r>
      <w:r>
        <w:rPr>
          <w:rFonts w:ascii="仿宋_GB2312" w:eastAsia="仿宋_GB2312" w:hAnsi="仿宋_GB2312" w:cs="仿宋_GB2312" w:hint="eastAsia"/>
          <w:sz w:val="32"/>
          <w:szCs w:val="40"/>
        </w:rPr>
        <w:t>号）等文件规定的申报条件、奖补标准等为依据，按照评价要点对项目实际执行情况进行量化评分。</w:t>
      </w:r>
    </w:p>
    <w:p w:rsidR="00F0641F" w:rsidRDefault="00846C11">
      <w:pPr>
        <w:adjustRightInd w:val="0"/>
        <w:snapToGrid w:val="0"/>
        <w:spacing w:line="59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项目评价结果总分为</w:t>
      </w:r>
      <w:r>
        <w:rPr>
          <w:rFonts w:ascii="仿宋_GB2312" w:eastAsia="仿宋_GB2312" w:hAnsi="仿宋_GB2312" w:cs="仿宋_GB2312" w:hint="eastAsia"/>
          <w:sz w:val="32"/>
          <w:szCs w:val="40"/>
        </w:rPr>
        <w:t>100</w:t>
      </w:r>
      <w:r>
        <w:rPr>
          <w:rFonts w:ascii="仿宋_GB2312" w:eastAsia="仿宋_GB2312" w:hAnsi="仿宋_GB2312" w:cs="仿宋_GB2312" w:hint="eastAsia"/>
          <w:sz w:val="32"/>
          <w:szCs w:val="40"/>
        </w:rPr>
        <w:t>分，根据《青岛市市级项目支出预算绩效管理结果应用办法》（青财绩〔</w:t>
      </w:r>
      <w:r>
        <w:rPr>
          <w:rFonts w:ascii="仿宋_GB2312" w:eastAsia="仿宋_GB2312" w:hAnsi="仿宋_GB2312" w:cs="仿宋_GB2312" w:hint="eastAsia"/>
          <w:sz w:val="32"/>
          <w:szCs w:val="40"/>
        </w:rPr>
        <w:t>2023</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5</w:t>
      </w:r>
      <w:r>
        <w:rPr>
          <w:rFonts w:ascii="仿宋_GB2312" w:eastAsia="仿宋_GB2312" w:hAnsi="仿宋_GB2312" w:cs="仿宋_GB2312" w:hint="eastAsia"/>
          <w:sz w:val="32"/>
          <w:szCs w:val="40"/>
        </w:rPr>
        <w:t>号），等级划分为四档：</w:t>
      </w:r>
      <w:r>
        <w:rPr>
          <w:rFonts w:ascii="仿宋_GB2312" w:eastAsia="仿宋_GB2312" w:hAnsi="仿宋_GB2312" w:cs="仿宋_GB2312" w:hint="eastAsia"/>
          <w:sz w:val="32"/>
          <w:szCs w:val="40"/>
        </w:rPr>
        <w:t>90</w:t>
      </w:r>
      <w:r>
        <w:rPr>
          <w:rFonts w:ascii="仿宋_GB2312" w:eastAsia="仿宋_GB2312" w:hAnsi="仿宋_GB2312" w:cs="仿宋_GB2312" w:hint="eastAsia"/>
          <w:sz w:val="32"/>
          <w:szCs w:val="40"/>
        </w:rPr>
        <w:t>（含）</w:t>
      </w:r>
      <w:r>
        <w:rPr>
          <w:rFonts w:ascii="仿宋_GB2312" w:eastAsia="仿宋_GB2312" w:hAnsi="仿宋_GB2312" w:cs="仿宋_GB2312" w:hint="eastAsia"/>
          <w:sz w:val="32"/>
          <w:szCs w:val="40"/>
        </w:rPr>
        <w:t>-100</w:t>
      </w:r>
      <w:r>
        <w:rPr>
          <w:rFonts w:ascii="仿宋_GB2312" w:eastAsia="仿宋_GB2312" w:hAnsi="仿宋_GB2312" w:cs="仿宋_GB2312" w:hint="eastAsia"/>
          <w:sz w:val="32"/>
          <w:szCs w:val="40"/>
        </w:rPr>
        <w:t>分为优；</w:t>
      </w:r>
      <w:r>
        <w:rPr>
          <w:rFonts w:ascii="仿宋_GB2312" w:eastAsia="仿宋_GB2312" w:hAnsi="仿宋_GB2312" w:cs="仿宋_GB2312" w:hint="eastAsia"/>
          <w:sz w:val="32"/>
          <w:szCs w:val="40"/>
        </w:rPr>
        <w:t>80</w:t>
      </w:r>
      <w:r>
        <w:rPr>
          <w:rFonts w:ascii="仿宋_GB2312" w:eastAsia="仿宋_GB2312" w:hAnsi="仿宋_GB2312" w:cs="仿宋_GB2312" w:hint="eastAsia"/>
          <w:sz w:val="32"/>
          <w:szCs w:val="40"/>
        </w:rPr>
        <w:t>（含）</w:t>
      </w:r>
      <w:r>
        <w:rPr>
          <w:rFonts w:ascii="仿宋_GB2312" w:eastAsia="仿宋_GB2312" w:hAnsi="仿宋_GB2312" w:cs="仿宋_GB2312" w:hint="eastAsia"/>
          <w:sz w:val="32"/>
          <w:szCs w:val="40"/>
        </w:rPr>
        <w:t>-90</w:t>
      </w:r>
      <w:r>
        <w:rPr>
          <w:rFonts w:ascii="仿宋_GB2312" w:eastAsia="仿宋_GB2312" w:hAnsi="仿宋_GB2312" w:cs="仿宋_GB2312" w:hint="eastAsia"/>
          <w:sz w:val="32"/>
          <w:szCs w:val="40"/>
        </w:rPr>
        <w:t>分为良；</w:t>
      </w:r>
      <w:r>
        <w:rPr>
          <w:rFonts w:ascii="仿宋_GB2312" w:eastAsia="仿宋_GB2312" w:hAnsi="仿宋_GB2312" w:cs="仿宋_GB2312" w:hint="eastAsia"/>
          <w:sz w:val="32"/>
          <w:szCs w:val="40"/>
        </w:rPr>
        <w:t>60</w:t>
      </w:r>
      <w:r>
        <w:rPr>
          <w:rFonts w:ascii="仿宋_GB2312" w:eastAsia="仿宋_GB2312" w:hAnsi="仿宋_GB2312" w:cs="仿宋_GB2312" w:hint="eastAsia"/>
          <w:sz w:val="32"/>
          <w:szCs w:val="40"/>
        </w:rPr>
        <w:t>（含）</w:t>
      </w:r>
      <w:r>
        <w:rPr>
          <w:rFonts w:ascii="仿宋_GB2312" w:eastAsia="仿宋_GB2312" w:hAnsi="仿宋_GB2312" w:cs="仿宋_GB2312" w:hint="eastAsia"/>
          <w:sz w:val="32"/>
          <w:szCs w:val="40"/>
        </w:rPr>
        <w:t>-80</w:t>
      </w:r>
      <w:r>
        <w:rPr>
          <w:rFonts w:ascii="仿宋_GB2312" w:eastAsia="仿宋_GB2312" w:hAnsi="仿宋_GB2312" w:cs="仿宋_GB2312" w:hint="eastAsia"/>
          <w:sz w:val="32"/>
          <w:szCs w:val="40"/>
        </w:rPr>
        <w:t>分为中；</w:t>
      </w:r>
      <w:r>
        <w:rPr>
          <w:rFonts w:ascii="仿宋_GB2312" w:eastAsia="仿宋_GB2312" w:hAnsi="仿宋_GB2312" w:cs="仿宋_GB2312" w:hint="eastAsia"/>
          <w:sz w:val="32"/>
          <w:szCs w:val="40"/>
        </w:rPr>
        <w:t>0-60</w:t>
      </w:r>
      <w:r>
        <w:rPr>
          <w:rFonts w:ascii="仿宋_GB2312" w:eastAsia="仿宋_GB2312" w:hAnsi="仿宋_GB2312" w:cs="仿宋_GB2312" w:hint="eastAsia"/>
          <w:sz w:val="32"/>
          <w:szCs w:val="40"/>
        </w:rPr>
        <w:t>分为差。</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（三）评价组织实施、评价方法</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评价组织实施</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）前期准备阶段（</w:t>
      </w:r>
      <w:r>
        <w:rPr>
          <w:rFonts w:ascii="仿宋_GB2312" w:eastAsia="仿宋_GB2312" w:hAnsi="仿宋_GB2312" w:cs="仿宋_GB2312" w:hint="eastAsia"/>
          <w:sz w:val="32"/>
          <w:szCs w:val="40"/>
        </w:rPr>
        <w:t>9</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8</w:t>
      </w:r>
      <w:r>
        <w:rPr>
          <w:rFonts w:ascii="仿宋_GB2312" w:eastAsia="仿宋_GB2312" w:hAnsi="仿宋_GB2312" w:cs="仿宋_GB2312" w:hint="eastAsia"/>
          <w:sz w:val="32"/>
          <w:szCs w:val="40"/>
        </w:rPr>
        <w:t>日至</w:t>
      </w:r>
      <w:r>
        <w:rPr>
          <w:rFonts w:ascii="仿宋_GB2312" w:eastAsia="仿宋_GB2312" w:hAnsi="仿宋_GB2312" w:cs="仿宋_GB2312" w:hint="eastAsia"/>
          <w:sz w:val="32"/>
          <w:szCs w:val="40"/>
        </w:rPr>
        <w:t>9</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19</w:t>
      </w:r>
      <w:r>
        <w:rPr>
          <w:rFonts w:ascii="仿宋_GB2312" w:eastAsia="仿宋_GB2312" w:hAnsi="仿宋_GB2312" w:cs="仿宋_GB2312" w:hint="eastAsia"/>
          <w:sz w:val="32"/>
          <w:szCs w:val="40"/>
        </w:rPr>
        <w:t>日）</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与</w:t>
      </w:r>
      <w:r>
        <w:rPr>
          <w:rFonts w:ascii="仿宋_GB2312" w:eastAsia="仿宋_GB2312" w:hAnsi="仿宋" w:cs="仿宋" w:hint="eastAsia"/>
          <w:sz w:val="32"/>
          <w:szCs w:val="32"/>
        </w:rPr>
        <w:t>市民营经济局</w:t>
      </w:r>
      <w:r>
        <w:rPr>
          <w:rFonts w:ascii="仿宋_GB2312" w:eastAsia="仿宋_GB2312" w:hAnsi="仿宋_GB2312" w:cs="仿宋_GB2312" w:hint="eastAsia"/>
          <w:sz w:val="32"/>
          <w:szCs w:val="40"/>
        </w:rPr>
        <w:t>进行充分沟通，了解项目的基本信息，收集项目立项文件、预算安排、项目年度目标、管理制度等文件资料；结合项目特点，形成评价工作方案、指标体系、问卷调查等。</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）组织实施阶段（</w:t>
      </w:r>
      <w:r>
        <w:rPr>
          <w:rFonts w:ascii="仿宋_GB2312" w:eastAsia="仿宋_GB2312" w:hAnsi="仿宋_GB2312" w:cs="仿宋_GB2312" w:hint="eastAsia"/>
          <w:sz w:val="32"/>
          <w:szCs w:val="40"/>
        </w:rPr>
        <w:t>9</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20</w:t>
      </w:r>
      <w:r>
        <w:rPr>
          <w:rFonts w:ascii="仿宋_GB2312" w:eastAsia="仿宋_GB2312" w:hAnsi="仿宋_GB2312" w:cs="仿宋_GB2312" w:hint="eastAsia"/>
          <w:sz w:val="32"/>
          <w:szCs w:val="40"/>
        </w:rPr>
        <w:t>日至</w:t>
      </w:r>
      <w:r>
        <w:rPr>
          <w:rFonts w:ascii="仿宋_GB2312" w:eastAsia="仿宋_GB2312" w:hAnsi="仿宋_GB2312" w:cs="仿宋_GB2312" w:hint="eastAsia"/>
          <w:sz w:val="32"/>
          <w:szCs w:val="40"/>
        </w:rPr>
        <w:t>10</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14</w:t>
      </w:r>
      <w:r>
        <w:rPr>
          <w:rFonts w:ascii="仿宋_GB2312" w:eastAsia="仿宋_GB2312" w:hAnsi="仿宋_GB2312" w:cs="仿宋_GB2312" w:hint="eastAsia"/>
          <w:sz w:val="32"/>
          <w:szCs w:val="40"/>
        </w:rPr>
        <w:t>日）</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按照工作方案，与</w:t>
      </w:r>
      <w:r>
        <w:rPr>
          <w:rFonts w:ascii="仿宋_GB2312" w:eastAsia="仿宋_GB2312" w:hAnsi="仿宋" w:cs="仿宋" w:hint="eastAsia"/>
          <w:sz w:val="32"/>
          <w:szCs w:val="32"/>
        </w:rPr>
        <w:t>市民营经济局</w:t>
      </w:r>
      <w:r>
        <w:rPr>
          <w:rFonts w:ascii="仿宋_GB2312" w:eastAsia="仿宋_GB2312" w:hAnsi="仿宋_GB2312" w:cs="仿宋_GB2312" w:hint="eastAsia"/>
          <w:sz w:val="32"/>
          <w:szCs w:val="40"/>
        </w:rPr>
        <w:t>进行沟通，收集相关数据，并对收集的数据汇总和分析。在收集、整理、分析相关资料基础上，按照绩效评价相关要求，综合考虑</w:t>
      </w:r>
      <w:r>
        <w:rPr>
          <w:rFonts w:ascii="仿宋_GB2312" w:eastAsia="仿宋_GB2312" w:hAnsi="仿宋_GB2312" w:cs="仿宋_GB2312" w:hint="eastAsia"/>
          <w:sz w:val="32"/>
          <w:szCs w:val="40"/>
        </w:rPr>
        <w:t>12</w:t>
      </w:r>
      <w:r>
        <w:rPr>
          <w:rFonts w:ascii="仿宋_GB2312" w:eastAsia="仿宋_GB2312" w:hAnsi="仿宋_GB2312" w:cs="仿宋_GB2312" w:hint="eastAsia"/>
          <w:sz w:val="32"/>
          <w:szCs w:val="40"/>
        </w:rPr>
        <w:t>个区</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市</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的企业</w:t>
      </w:r>
      <w:r>
        <w:rPr>
          <w:rFonts w:ascii="仿宋_GB2312" w:eastAsia="仿宋_GB2312" w:hAnsi="仿宋_GB2312" w:cs="仿宋_GB2312" w:hint="eastAsia"/>
          <w:sz w:val="32"/>
          <w:szCs w:val="40"/>
        </w:rPr>
        <w:lastRenderedPageBreak/>
        <w:t>数量、企业规模和资金规模等因素，选取</w:t>
      </w:r>
      <w:r>
        <w:rPr>
          <w:rFonts w:ascii="仿宋_GB2312" w:eastAsia="仿宋_GB2312" w:hAnsi="仿宋_GB2312" w:cs="仿宋_GB2312" w:hint="eastAsia"/>
          <w:sz w:val="32"/>
          <w:szCs w:val="40"/>
        </w:rPr>
        <w:t>11</w:t>
      </w:r>
      <w:r>
        <w:rPr>
          <w:rFonts w:ascii="仿宋_GB2312" w:eastAsia="仿宋_GB2312" w:hAnsi="仿宋_GB2312" w:cs="仿宋_GB2312" w:hint="eastAsia"/>
          <w:sz w:val="32"/>
          <w:szCs w:val="40"/>
        </w:rPr>
        <w:t>个区（市）的</w:t>
      </w:r>
      <w:r>
        <w:rPr>
          <w:rFonts w:ascii="仿宋_GB2312" w:eastAsia="仿宋_GB2312" w:hAnsi="仿宋_GB2312" w:cs="仿宋_GB2312" w:hint="eastAsia"/>
          <w:sz w:val="32"/>
          <w:szCs w:val="40"/>
        </w:rPr>
        <w:t>22</w:t>
      </w:r>
      <w:r>
        <w:rPr>
          <w:rFonts w:ascii="仿宋_GB2312" w:eastAsia="仿宋_GB2312" w:hAnsi="仿宋_GB2312" w:cs="仿宋_GB2312" w:hint="eastAsia"/>
          <w:sz w:val="32"/>
          <w:szCs w:val="40"/>
        </w:rPr>
        <w:t>家奖补企业进行现场调查，选取</w:t>
      </w:r>
      <w:r>
        <w:rPr>
          <w:rFonts w:ascii="仿宋_GB2312" w:eastAsia="仿宋_GB2312" w:hAnsi="仿宋_GB2312" w:cs="仿宋_GB2312" w:hint="eastAsia"/>
          <w:sz w:val="32"/>
          <w:szCs w:val="40"/>
        </w:rPr>
        <w:t>12</w:t>
      </w:r>
      <w:r>
        <w:rPr>
          <w:rFonts w:ascii="仿宋_GB2312" w:eastAsia="仿宋_GB2312" w:hAnsi="仿宋_GB2312" w:cs="仿宋_GB2312" w:hint="eastAsia"/>
          <w:sz w:val="32"/>
          <w:szCs w:val="40"/>
        </w:rPr>
        <w:t>个区（市）的</w:t>
      </w:r>
      <w:r>
        <w:rPr>
          <w:rFonts w:ascii="仿宋_GB2312" w:eastAsia="仿宋_GB2312" w:hAnsi="仿宋_GB2312" w:cs="仿宋_GB2312" w:hint="eastAsia"/>
          <w:sz w:val="32"/>
          <w:szCs w:val="40"/>
        </w:rPr>
        <w:t>484</w:t>
      </w:r>
      <w:r>
        <w:rPr>
          <w:rFonts w:ascii="仿宋_GB2312" w:eastAsia="仿宋_GB2312" w:hAnsi="仿宋_GB2312" w:cs="仿宋_GB2312" w:hint="eastAsia"/>
          <w:sz w:val="32"/>
          <w:szCs w:val="40"/>
        </w:rPr>
        <w:t>家奖补企业“政策通”平台申报材料进行档案调查</w:t>
      </w:r>
      <w:r>
        <w:rPr>
          <w:rFonts w:ascii="仿宋_GB2312" w:eastAsia="仿宋_GB2312" w:hAnsi="仿宋_GB2312" w:cs="仿宋_GB2312" w:hint="eastAsia"/>
          <w:sz w:val="32"/>
          <w:szCs w:val="40"/>
        </w:rPr>
        <w:t>，资金量占比</w:t>
      </w:r>
      <w:r>
        <w:rPr>
          <w:rFonts w:ascii="仿宋_GB2312" w:eastAsia="仿宋_GB2312" w:hAnsi="仿宋_GB2312" w:cs="仿宋_GB2312" w:hint="eastAsia"/>
          <w:sz w:val="32"/>
          <w:szCs w:val="40"/>
        </w:rPr>
        <w:t>60.17%</w:t>
      </w:r>
      <w:r>
        <w:rPr>
          <w:rFonts w:ascii="仿宋_GB2312" w:eastAsia="仿宋_GB2312" w:hAnsi="仿宋_GB2312" w:cs="仿宋_GB2312" w:hint="eastAsia"/>
          <w:sz w:val="32"/>
          <w:szCs w:val="40"/>
        </w:rPr>
        <w:t>。依据制定的调查方案，调研访谈项目实施情况，实地勘察生产设备状态。统计企业在研发投入及经济效益等方面的变动情况，包括：知识产权、研发投入、营业收入、上缴税金、资产总额、利润总额等数据资料。</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）报告形成阶段（</w:t>
      </w:r>
      <w:r>
        <w:rPr>
          <w:rFonts w:ascii="仿宋_GB2312" w:eastAsia="仿宋_GB2312" w:hAnsi="仿宋_GB2312" w:cs="仿宋_GB2312" w:hint="eastAsia"/>
          <w:sz w:val="32"/>
          <w:szCs w:val="40"/>
        </w:rPr>
        <w:t>10</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14</w:t>
      </w:r>
      <w:r>
        <w:rPr>
          <w:rFonts w:ascii="仿宋_GB2312" w:eastAsia="仿宋_GB2312" w:hAnsi="仿宋_GB2312" w:cs="仿宋_GB2312" w:hint="eastAsia"/>
          <w:sz w:val="32"/>
          <w:szCs w:val="40"/>
        </w:rPr>
        <w:t>日至</w:t>
      </w:r>
      <w:r>
        <w:rPr>
          <w:rFonts w:ascii="仿宋_GB2312" w:eastAsia="仿宋_GB2312" w:hAnsi="仿宋_GB2312" w:cs="仿宋_GB2312" w:hint="eastAsia"/>
          <w:sz w:val="32"/>
          <w:szCs w:val="40"/>
        </w:rPr>
        <w:t>10</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31</w:t>
      </w:r>
      <w:r>
        <w:rPr>
          <w:rFonts w:ascii="仿宋_GB2312" w:eastAsia="仿宋_GB2312" w:hAnsi="仿宋_GB2312" w:cs="仿宋_GB2312" w:hint="eastAsia"/>
          <w:sz w:val="32"/>
          <w:szCs w:val="40"/>
        </w:rPr>
        <w:t>日）</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根据提供的项目资料，召开综合评价会，根据指标体系进行打分评级。根据评价结果，撰写绩效评价报告，及时征求意见。根据反馈意见修改完善绩效评价报告，并提交最终版报告。</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评价方法</w:t>
      </w:r>
    </w:p>
    <w:p w:rsidR="00F0641F" w:rsidRDefault="00846C11">
      <w:pPr>
        <w:adjustRightInd w:val="0"/>
        <w:snapToGrid w:val="0"/>
        <w:spacing w:line="600" w:lineRule="exact"/>
        <w:ind w:firstLineChars="200" w:firstLine="640"/>
        <w:rPr>
          <w:rFonts w:ascii="仿宋_GB2312" w:eastAsia="仿宋_GB2312" w:hAnsi="仿宋" w:cs="仿宋"/>
          <w:sz w:val="32"/>
          <w:szCs w:val="32"/>
        </w:rPr>
      </w:pPr>
      <w:r>
        <w:rPr>
          <w:rFonts w:ascii="仿宋_GB2312" w:eastAsia="仿宋_GB2312" w:hAnsi="仿宋_GB2312" w:cs="仿宋_GB2312" w:hint="eastAsia"/>
          <w:sz w:val="32"/>
          <w:szCs w:val="32"/>
        </w:rPr>
        <w:t>本次评价主要采用成本效益法、比较法、因素分析法、公众评判法等方法，对</w:t>
      </w:r>
      <w:r>
        <w:rPr>
          <w:rFonts w:ascii="仿宋_GB2312" w:eastAsia="仿宋_GB2312" w:hint="eastAsia"/>
          <w:sz w:val="32"/>
          <w:szCs w:val="32"/>
        </w:rPr>
        <w:t>创新</w:t>
      </w:r>
      <w:r>
        <w:rPr>
          <w:rFonts w:ascii="仿宋_GB2312" w:eastAsia="仿宋_GB2312" w:hint="eastAsia"/>
          <w:sz w:val="32"/>
          <w:szCs w:val="32"/>
        </w:rPr>
        <w:t>转型专项资金项目预算</w:t>
      </w:r>
      <w:r>
        <w:rPr>
          <w:rFonts w:ascii="仿宋_GB2312" w:eastAsia="仿宋_GB2312" w:hAnsi="仿宋_GB2312" w:cs="仿宋_GB2312" w:hint="eastAsia"/>
          <w:sz w:val="32"/>
          <w:szCs w:val="32"/>
        </w:rPr>
        <w:t>资金实施效果进行综合分析评价。根据项目特点，主要采取现场抽查和社会调查的方式开展。</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w:t>
      </w:r>
      <w:r>
        <w:rPr>
          <w:rFonts w:ascii="仿宋_GB2312" w:eastAsia="仿宋_GB2312" w:hAnsi="仿宋" w:cs="仿宋" w:hint="eastAsia"/>
          <w:sz w:val="32"/>
          <w:szCs w:val="32"/>
        </w:rPr>
        <w:t>1</w:t>
      </w:r>
      <w:r>
        <w:rPr>
          <w:rFonts w:ascii="仿宋_GB2312" w:eastAsia="仿宋_GB2312" w:hAnsi="仿宋" w:cs="仿宋" w:hint="eastAsia"/>
          <w:sz w:val="32"/>
          <w:szCs w:val="32"/>
        </w:rPr>
        <w:t>）成本效益法。通过将一定时期内的支出所产生的效益与付出的成本进行对比分析，从而评价项目支出绩效的方法。</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w:t>
      </w:r>
      <w:r>
        <w:rPr>
          <w:rFonts w:ascii="仿宋_GB2312" w:eastAsia="仿宋_GB2312" w:hAnsi="仿宋" w:cs="仿宋" w:hint="eastAsia"/>
          <w:sz w:val="32"/>
          <w:szCs w:val="32"/>
        </w:rPr>
        <w:t>2</w:t>
      </w:r>
      <w:r>
        <w:rPr>
          <w:rFonts w:ascii="仿宋_GB2312" w:eastAsia="仿宋_GB2312" w:hAnsi="仿宋" w:cs="仿宋" w:hint="eastAsia"/>
          <w:sz w:val="32"/>
          <w:szCs w:val="32"/>
        </w:rPr>
        <w:t>）比较法。通过对绩效目标与实施效果、计划与实施情况的比较，综合分析绩效目标实现程度。</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w:t>
      </w:r>
      <w:r>
        <w:rPr>
          <w:rFonts w:ascii="仿宋_GB2312" w:eastAsia="仿宋_GB2312" w:hAnsi="仿宋" w:cs="仿宋" w:hint="eastAsia"/>
          <w:sz w:val="32"/>
          <w:szCs w:val="32"/>
        </w:rPr>
        <w:t>3</w:t>
      </w:r>
      <w:r>
        <w:rPr>
          <w:rFonts w:ascii="仿宋_GB2312" w:eastAsia="仿宋_GB2312" w:hAnsi="仿宋" w:cs="仿宋" w:hint="eastAsia"/>
          <w:sz w:val="32"/>
          <w:szCs w:val="32"/>
        </w:rPr>
        <w:t>）因素分析法。通过综合分析影响绩效目标实现、实</w:t>
      </w:r>
      <w:r>
        <w:rPr>
          <w:rFonts w:ascii="仿宋_GB2312" w:eastAsia="仿宋_GB2312" w:hAnsi="仿宋" w:cs="仿宋" w:hint="eastAsia"/>
          <w:sz w:val="32"/>
          <w:szCs w:val="32"/>
        </w:rPr>
        <w:lastRenderedPageBreak/>
        <w:t>施效果的内外因素，评价绩效目标实现程度；通过列举所有影响成本与收益的因素，进行综合分析，从而得出评价结果的方法。</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w:t>
      </w:r>
      <w:r>
        <w:rPr>
          <w:rFonts w:ascii="仿宋_GB2312" w:eastAsia="仿宋_GB2312" w:hAnsi="仿宋" w:cs="仿宋" w:hint="eastAsia"/>
          <w:sz w:val="32"/>
          <w:szCs w:val="32"/>
        </w:rPr>
        <w:t>4</w:t>
      </w:r>
      <w:r>
        <w:rPr>
          <w:rFonts w:ascii="仿宋_GB2312" w:eastAsia="仿宋_GB2312" w:hAnsi="仿宋" w:cs="仿宋" w:hint="eastAsia"/>
          <w:sz w:val="32"/>
          <w:szCs w:val="32"/>
        </w:rPr>
        <w:t>）公众评判法。是指通过专家评估、公众问卷及</w:t>
      </w:r>
      <w:r>
        <w:rPr>
          <w:rFonts w:ascii="仿宋_GB2312" w:eastAsia="仿宋_GB2312" w:hAnsi="仿宋" w:cs="仿宋" w:hint="eastAsia"/>
          <w:sz w:val="32"/>
          <w:szCs w:val="32"/>
        </w:rPr>
        <w:t>抽样调查等方式对预算支出绩效情况进行评价。</w:t>
      </w:r>
    </w:p>
    <w:p w:rsidR="00F0641F" w:rsidRDefault="00846C11">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三、评价结论及分析</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（一）综合评价结论</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sidRPr="001C6C8D">
        <w:rPr>
          <w:rFonts w:ascii="仿宋_GB2312" w:eastAsia="仿宋_GB2312" w:hAnsi="仿宋" w:cs="仿宋" w:hint="eastAsia"/>
          <w:sz w:val="32"/>
          <w:szCs w:val="32"/>
        </w:rPr>
        <w:t>该项目绩效评价得分</w:t>
      </w:r>
      <w:r w:rsidR="00C9511F" w:rsidRPr="001C6C8D">
        <w:rPr>
          <w:rFonts w:ascii="仿宋_GB2312" w:eastAsia="仿宋_GB2312" w:hAnsi="仿宋" w:cs="仿宋" w:hint="eastAsia"/>
          <w:sz w:val="32"/>
          <w:szCs w:val="32"/>
        </w:rPr>
        <w:t>89.73</w:t>
      </w:r>
      <w:r w:rsidRPr="001C6C8D">
        <w:rPr>
          <w:rFonts w:ascii="仿宋_GB2312" w:eastAsia="仿宋_GB2312" w:hAnsi="仿宋" w:cs="仿宋" w:hint="eastAsia"/>
          <w:sz w:val="32"/>
          <w:szCs w:val="32"/>
        </w:rPr>
        <w:t>分，评价结果为“</w:t>
      </w:r>
      <w:r w:rsidR="00C9511F" w:rsidRPr="001C6C8D">
        <w:rPr>
          <w:rFonts w:ascii="仿宋_GB2312" w:eastAsia="仿宋_GB2312" w:hAnsi="仿宋" w:cs="仿宋" w:hint="eastAsia"/>
          <w:sz w:val="32"/>
          <w:szCs w:val="32"/>
        </w:rPr>
        <w:t>良</w:t>
      </w:r>
      <w:r w:rsidRPr="001C6C8D">
        <w:rPr>
          <w:rFonts w:ascii="仿宋_GB2312" w:eastAsia="仿宋_GB2312" w:hAnsi="仿宋" w:cs="仿宋" w:hint="eastAsia"/>
          <w:sz w:val="32"/>
          <w:szCs w:val="32"/>
        </w:rPr>
        <w:t>”。</w:t>
      </w:r>
      <w:r>
        <w:rPr>
          <w:rFonts w:ascii="仿宋_GB2312" w:eastAsia="仿宋_GB2312" w:hAnsi="仿宋" w:cs="仿宋" w:hint="eastAsia"/>
          <w:sz w:val="32"/>
          <w:szCs w:val="32"/>
        </w:rPr>
        <w:t>项目奖补“专精特新”技术改造及产业链配套企业共</w:t>
      </w:r>
      <w:r>
        <w:rPr>
          <w:rFonts w:ascii="仿宋_GB2312" w:eastAsia="仿宋_GB2312" w:hAnsi="仿宋" w:cs="仿宋" w:hint="eastAsia"/>
          <w:sz w:val="32"/>
          <w:szCs w:val="32"/>
        </w:rPr>
        <w:t>1189</w:t>
      </w:r>
      <w:r>
        <w:rPr>
          <w:rFonts w:ascii="仿宋_GB2312" w:eastAsia="仿宋_GB2312" w:hAnsi="仿宋" w:cs="仿宋" w:hint="eastAsia"/>
          <w:sz w:val="32"/>
          <w:szCs w:val="32"/>
        </w:rPr>
        <w:t>家，拉动固定资产投资达到</w:t>
      </w:r>
      <w:r>
        <w:rPr>
          <w:rFonts w:ascii="仿宋_GB2312" w:eastAsia="仿宋_GB2312" w:hAnsi="仿宋" w:cs="仿宋" w:hint="eastAsia"/>
          <w:sz w:val="32"/>
          <w:szCs w:val="32"/>
        </w:rPr>
        <w:t>27.1</w:t>
      </w:r>
      <w:r>
        <w:rPr>
          <w:rFonts w:ascii="仿宋_GB2312" w:eastAsia="仿宋_GB2312" w:hAnsi="仿宋" w:cs="仿宋" w:hint="eastAsia"/>
          <w:sz w:val="32"/>
          <w:szCs w:val="32"/>
        </w:rPr>
        <w:t>亿元，有效促进企业技术改造投资增长、推动企业扩产增效。但项目实施过程中存在未及时收回不具备拨付条件的奖补资金等情况，需进一步强化绩效纠偏。</w:t>
      </w:r>
    </w:p>
    <w:p w:rsidR="00F0641F" w:rsidRDefault="00846C11">
      <w:pPr>
        <w:spacing w:line="600" w:lineRule="exact"/>
        <w:jc w:val="center"/>
        <w:rPr>
          <w:rFonts w:ascii="黑体" w:eastAsia="黑体" w:hAnsi="黑体" w:cs="黑体"/>
          <w:sz w:val="28"/>
          <w:szCs w:val="28"/>
        </w:rPr>
      </w:pPr>
      <w:r>
        <w:rPr>
          <w:rFonts w:ascii="黑体" w:eastAsia="黑体" w:hAnsi="黑体" w:cs="黑体" w:hint="eastAsia"/>
          <w:sz w:val="28"/>
          <w:szCs w:val="28"/>
        </w:rPr>
        <w:t>表</w:t>
      </w:r>
      <w:r>
        <w:rPr>
          <w:rFonts w:ascii="黑体" w:eastAsia="黑体" w:hAnsi="黑体" w:cs="黑体" w:hint="eastAsia"/>
          <w:sz w:val="28"/>
          <w:szCs w:val="28"/>
        </w:rPr>
        <w:t xml:space="preserve">3.1 </w:t>
      </w:r>
      <w:r>
        <w:rPr>
          <w:rFonts w:ascii="黑体" w:eastAsia="黑体" w:hAnsi="黑体" w:cs="黑体" w:hint="eastAsia"/>
          <w:sz w:val="28"/>
          <w:szCs w:val="28"/>
        </w:rPr>
        <w:t>创新转型专项资金项目绩效评价得分情况表</w:t>
      </w:r>
    </w:p>
    <w:tbl>
      <w:tblPr>
        <w:tblStyle w:val="a7"/>
        <w:tblW w:w="0" w:type="auto"/>
        <w:tblInd w:w="227" w:type="dxa"/>
        <w:tblLook w:val="04A0"/>
      </w:tblPr>
      <w:tblGrid>
        <w:gridCol w:w="2087"/>
        <w:gridCol w:w="2087"/>
        <w:gridCol w:w="2087"/>
        <w:gridCol w:w="2088"/>
      </w:tblGrid>
      <w:tr w:rsidR="00F0641F">
        <w:trPr>
          <w:trHeight w:hRule="exact" w:val="558"/>
        </w:trPr>
        <w:tc>
          <w:tcPr>
            <w:tcW w:w="2087" w:type="dxa"/>
            <w:vAlign w:val="center"/>
          </w:tcPr>
          <w:p w:rsidR="00F0641F" w:rsidRDefault="00846C11">
            <w:pPr>
              <w:spacing w:line="600" w:lineRule="exact"/>
              <w:jc w:val="center"/>
              <w:rPr>
                <w:rFonts w:ascii="黑体" w:eastAsia="黑体" w:hAnsi="黑体" w:cs="黑体"/>
                <w:sz w:val="28"/>
                <w:szCs w:val="28"/>
              </w:rPr>
            </w:pPr>
            <w:r>
              <w:rPr>
                <w:rFonts w:ascii="黑体" w:eastAsia="黑体" w:hAnsi="黑体" w:cs="黑体" w:hint="eastAsia"/>
                <w:sz w:val="28"/>
                <w:szCs w:val="28"/>
              </w:rPr>
              <w:t>一级指标</w:t>
            </w:r>
          </w:p>
        </w:tc>
        <w:tc>
          <w:tcPr>
            <w:tcW w:w="2087" w:type="dxa"/>
            <w:vAlign w:val="center"/>
          </w:tcPr>
          <w:p w:rsidR="00F0641F" w:rsidRDefault="00846C11">
            <w:pPr>
              <w:spacing w:line="600" w:lineRule="exact"/>
              <w:jc w:val="center"/>
              <w:rPr>
                <w:rFonts w:ascii="黑体" w:eastAsia="黑体" w:hAnsi="黑体" w:cs="黑体"/>
                <w:sz w:val="28"/>
                <w:szCs w:val="28"/>
              </w:rPr>
            </w:pPr>
            <w:r>
              <w:rPr>
                <w:rFonts w:ascii="黑体" w:eastAsia="黑体" w:hAnsi="黑体" w:cs="黑体" w:hint="eastAsia"/>
                <w:sz w:val="28"/>
                <w:szCs w:val="28"/>
              </w:rPr>
              <w:t>指标分值</w:t>
            </w:r>
          </w:p>
        </w:tc>
        <w:tc>
          <w:tcPr>
            <w:tcW w:w="2087" w:type="dxa"/>
            <w:vAlign w:val="center"/>
          </w:tcPr>
          <w:p w:rsidR="00F0641F" w:rsidRDefault="00846C11">
            <w:pPr>
              <w:spacing w:line="600" w:lineRule="exact"/>
              <w:jc w:val="center"/>
              <w:rPr>
                <w:rFonts w:ascii="黑体" w:eastAsia="黑体" w:hAnsi="黑体" w:cs="黑体"/>
                <w:sz w:val="28"/>
                <w:szCs w:val="28"/>
              </w:rPr>
            </w:pPr>
            <w:r>
              <w:rPr>
                <w:rFonts w:ascii="黑体" w:eastAsia="黑体" w:hAnsi="黑体" w:cs="黑体" w:hint="eastAsia"/>
                <w:sz w:val="28"/>
                <w:szCs w:val="28"/>
              </w:rPr>
              <w:t>得分</w:t>
            </w:r>
          </w:p>
        </w:tc>
        <w:tc>
          <w:tcPr>
            <w:tcW w:w="2088" w:type="dxa"/>
            <w:vAlign w:val="center"/>
          </w:tcPr>
          <w:p w:rsidR="00F0641F" w:rsidRDefault="00846C11">
            <w:pPr>
              <w:spacing w:line="600" w:lineRule="exact"/>
              <w:jc w:val="center"/>
              <w:rPr>
                <w:rFonts w:ascii="黑体" w:eastAsia="黑体" w:hAnsi="黑体" w:cs="黑体"/>
                <w:sz w:val="28"/>
                <w:szCs w:val="28"/>
              </w:rPr>
            </w:pPr>
            <w:r>
              <w:rPr>
                <w:rFonts w:ascii="黑体" w:eastAsia="黑体" w:hAnsi="黑体" w:cs="黑体" w:hint="eastAsia"/>
                <w:sz w:val="28"/>
                <w:szCs w:val="28"/>
              </w:rPr>
              <w:t>得分率</w:t>
            </w:r>
          </w:p>
        </w:tc>
      </w:tr>
      <w:tr w:rsidR="00C9511F">
        <w:trPr>
          <w:trHeight w:hRule="exact" w:val="567"/>
        </w:trPr>
        <w:tc>
          <w:tcPr>
            <w:tcW w:w="2087" w:type="dxa"/>
            <w:vAlign w:val="center"/>
          </w:tcPr>
          <w:p w:rsidR="00C9511F" w:rsidRDefault="00C9511F" w:rsidP="00C9511F">
            <w:pPr>
              <w:widowControl/>
              <w:jc w:val="center"/>
              <w:rPr>
                <w:rFonts w:ascii="仿宋_GB2312" w:eastAsia="仿宋_GB2312" w:hAnsi="仿宋_GB2312" w:cs="仿宋_GB2312"/>
                <w:sz w:val="24"/>
              </w:rPr>
            </w:pPr>
            <w:r>
              <w:rPr>
                <w:rFonts w:ascii="仿宋_GB2312" w:eastAsia="仿宋_GB2312" w:hAnsi="仿宋_GB2312" w:cs="仿宋_GB2312" w:hint="eastAsia"/>
                <w:sz w:val="24"/>
              </w:rPr>
              <w:t>决策</w:t>
            </w:r>
          </w:p>
        </w:tc>
        <w:tc>
          <w:tcPr>
            <w:tcW w:w="2087"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15</w:t>
            </w:r>
          </w:p>
        </w:tc>
        <w:tc>
          <w:tcPr>
            <w:tcW w:w="2087"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14.33</w:t>
            </w:r>
          </w:p>
        </w:tc>
        <w:tc>
          <w:tcPr>
            <w:tcW w:w="2088"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95.53%</w:t>
            </w:r>
          </w:p>
        </w:tc>
      </w:tr>
      <w:tr w:rsidR="00C9511F">
        <w:trPr>
          <w:trHeight w:hRule="exact" w:val="567"/>
        </w:trPr>
        <w:tc>
          <w:tcPr>
            <w:tcW w:w="2087" w:type="dxa"/>
            <w:vAlign w:val="center"/>
          </w:tcPr>
          <w:p w:rsidR="00C9511F" w:rsidRDefault="00C9511F" w:rsidP="00C9511F">
            <w:pPr>
              <w:widowControl/>
              <w:jc w:val="center"/>
              <w:rPr>
                <w:rFonts w:ascii="仿宋_GB2312" w:eastAsia="仿宋_GB2312" w:hAnsi="仿宋_GB2312" w:cs="仿宋_GB2312"/>
                <w:sz w:val="24"/>
              </w:rPr>
            </w:pPr>
            <w:r>
              <w:rPr>
                <w:rFonts w:ascii="仿宋_GB2312" w:eastAsia="仿宋_GB2312" w:hAnsi="仿宋_GB2312" w:cs="仿宋_GB2312" w:hint="eastAsia"/>
                <w:sz w:val="24"/>
              </w:rPr>
              <w:t>过程</w:t>
            </w:r>
          </w:p>
        </w:tc>
        <w:tc>
          <w:tcPr>
            <w:tcW w:w="2087"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20</w:t>
            </w:r>
          </w:p>
        </w:tc>
        <w:tc>
          <w:tcPr>
            <w:tcW w:w="2087"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17</w:t>
            </w:r>
          </w:p>
        </w:tc>
        <w:tc>
          <w:tcPr>
            <w:tcW w:w="2088"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85.00%</w:t>
            </w:r>
          </w:p>
        </w:tc>
      </w:tr>
      <w:tr w:rsidR="00C9511F">
        <w:trPr>
          <w:trHeight w:hRule="exact" w:val="567"/>
        </w:trPr>
        <w:tc>
          <w:tcPr>
            <w:tcW w:w="2087" w:type="dxa"/>
            <w:vAlign w:val="center"/>
          </w:tcPr>
          <w:p w:rsidR="00C9511F" w:rsidRDefault="00C9511F" w:rsidP="00C9511F">
            <w:pPr>
              <w:widowControl/>
              <w:jc w:val="center"/>
              <w:rPr>
                <w:rFonts w:ascii="仿宋_GB2312" w:eastAsia="仿宋_GB2312" w:hAnsi="仿宋_GB2312" w:cs="仿宋_GB2312"/>
                <w:sz w:val="24"/>
              </w:rPr>
            </w:pPr>
            <w:r>
              <w:rPr>
                <w:rFonts w:ascii="仿宋_GB2312" w:eastAsia="仿宋_GB2312" w:hAnsi="仿宋_GB2312" w:cs="仿宋_GB2312" w:hint="eastAsia"/>
                <w:sz w:val="24"/>
              </w:rPr>
              <w:t>产出</w:t>
            </w:r>
          </w:p>
        </w:tc>
        <w:tc>
          <w:tcPr>
            <w:tcW w:w="2087"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35</w:t>
            </w:r>
          </w:p>
        </w:tc>
        <w:tc>
          <w:tcPr>
            <w:tcW w:w="2087"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31.81</w:t>
            </w:r>
          </w:p>
        </w:tc>
        <w:tc>
          <w:tcPr>
            <w:tcW w:w="2088" w:type="dxa"/>
            <w:vAlign w:val="center"/>
          </w:tcPr>
          <w:p w:rsidR="00C9511F" w:rsidRDefault="00C9511F" w:rsidP="00C9511F">
            <w:pPr>
              <w:widowControl/>
              <w:jc w:val="center"/>
              <w:rPr>
                <w:rFonts w:ascii="仿宋_GB2312" w:eastAsia="仿宋_GB2312" w:hAnsi="仿宋_GB2312" w:cs="仿宋_GB2312"/>
                <w:sz w:val="24"/>
              </w:rPr>
            </w:pPr>
            <w:r w:rsidRPr="00C9511F">
              <w:rPr>
                <w:rFonts w:ascii="仿宋_GB2312" w:eastAsia="仿宋_GB2312" w:hAnsi="仿宋_GB2312" w:cs="仿宋_GB2312" w:hint="eastAsia"/>
                <w:sz w:val="24"/>
              </w:rPr>
              <w:t>90.89%</w:t>
            </w:r>
          </w:p>
        </w:tc>
      </w:tr>
      <w:tr w:rsidR="00C9511F">
        <w:trPr>
          <w:trHeight w:hRule="exact" w:val="567"/>
        </w:trPr>
        <w:tc>
          <w:tcPr>
            <w:tcW w:w="2087"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效益</w:t>
            </w:r>
          </w:p>
        </w:tc>
        <w:tc>
          <w:tcPr>
            <w:tcW w:w="2087"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30</w:t>
            </w:r>
          </w:p>
        </w:tc>
        <w:tc>
          <w:tcPr>
            <w:tcW w:w="2087"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26.59</w:t>
            </w:r>
          </w:p>
        </w:tc>
        <w:tc>
          <w:tcPr>
            <w:tcW w:w="2088"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88.63%</w:t>
            </w:r>
          </w:p>
        </w:tc>
      </w:tr>
      <w:tr w:rsidR="00C9511F">
        <w:trPr>
          <w:trHeight w:hRule="exact" w:val="567"/>
        </w:trPr>
        <w:tc>
          <w:tcPr>
            <w:tcW w:w="2087"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合计</w:t>
            </w:r>
          </w:p>
        </w:tc>
        <w:tc>
          <w:tcPr>
            <w:tcW w:w="2087"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100</w:t>
            </w:r>
          </w:p>
        </w:tc>
        <w:tc>
          <w:tcPr>
            <w:tcW w:w="2087"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89.73</w:t>
            </w:r>
          </w:p>
        </w:tc>
        <w:tc>
          <w:tcPr>
            <w:tcW w:w="2088" w:type="dxa"/>
            <w:vAlign w:val="center"/>
          </w:tcPr>
          <w:p w:rsidR="00C9511F" w:rsidRPr="001C6C8D" w:rsidRDefault="00C9511F" w:rsidP="00C9511F">
            <w:pPr>
              <w:widowControl/>
              <w:jc w:val="center"/>
              <w:rPr>
                <w:rFonts w:ascii="仿宋_GB2312" w:eastAsia="仿宋_GB2312" w:hAnsi="仿宋_GB2312" w:cs="仿宋_GB2312"/>
                <w:sz w:val="24"/>
              </w:rPr>
            </w:pPr>
            <w:r w:rsidRPr="001C6C8D">
              <w:rPr>
                <w:rFonts w:ascii="仿宋_GB2312" w:eastAsia="仿宋_GB2312" w:hAnsi="仿宋_GB2312" w:cs="仿宋_GB2312" w:hint="eastAsia"/>
                <w:sz w:val="24"/>
              </w:rPr>
              <w:t>89.73%</w:t>
            </w:r>
          </w:p>
        </w:tc>
      </w:tr>
    </w:tbl>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（二）指标分析</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决策指标分析</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lastRenderedPageBreak/>
        <w:t>创新转型专项资金项目依据青岛市人民政府印发《关于贯彻落实省支持八大发展战略财政政策加快重点产业高质量发展若干政策的通知》（青政字〔</w:t>
      </w:r>
      <w:r>
        <w:rPr>
          <w:rFonts w:ascii="仿宋_GB2312" w:eastAsia="仿宋_GB2312" w:hAnsi="仿宋" w:cs="仿宋" w:hint="eastAsia"/>
          <w:sz w:val="32"/>
          <w:szCs w:val="32"/>
        </w:rPr>
        <w:t>2021</w:t>
      </w:r>
      <w:r>
        <w:rPr>
          <w:rFonts w:ascii="仿宋_GB2312" w:eastAsia="仿宋_GB2312" w:hAnsi="仿宋" w:cs="仿宋" w:hint="eastAsia"/>
          <w:sz w:val="32"/>
          <w:szCs w:val="32"/>
        </w:rPr>
        <w:t>〕</w:t>
      </w:r>
      <w:r>
        <w:rPr>
          <w:rFonts w:ascii="仿宋_GB2312" w:eastAsia="仿宋_GB2312" w:hAnsi="仿宋" w:cs="仿宋" w:hint="eastAsia"/>
          <w:sz w:val="32"/>
          <w:szCs w:val="32"/>
        </w:rPr>
        <w:t xml:space="preserve">21 </w:t>
      </w:r>
      <w:r>
        <w:rPr>
          <w:rFonts w:ascii="仿宋_GB2312" w:eastAsia="仿宋_GB2312" w:hAnsi="仿宋" w:cs="仿宋" w:hint="eastAsia"/>
          <w:sz w:val="32"/>
          <w:szCs w:val="32"/>
        </w:rPr>
        <w:t>号）、《青岛市</w:t>
      </w:r>
      <w:r>
        <w:rPr>
          <w:rFonts w:ascii="仿宋_GB2312" w:eastAsia="仿宋_GB2312" w:hAnsi="仿宋" w:cs="仿宋" w:hint="eastAsia"/>
          <w:sz w:val="32"/>
          <w:szCs w:val="32"/>
        </w:rPr>
        <w:t>2024</w:t>
      </w:r>
      <w:r>
        <w:rPr>
          <w:rFonts w:ascii="仿宋_GB2312" w:eastAsia="仿宋_GB2312" w:hAnsi="仿宋" w:cs="仿宋" w:hint="eastAsia"/>
          <w:sz w:val="32"/>
          <w:szCs w:val="32"/>
        </w:rPr>
        <w:t>年“促进经济巩固向好、加快绿色低碳高质量发展”政策清单（第一批）的通知》（青政发〔</w:t>
      </w:r>
      <w:r>
        <w:rPr>
          <w:rFonts w:ascii="仿宋_GB2312" w:eastAsia="仿宋_GB2312" w:hAnsi="仿宋" w:cs="仿宋" w:hint="eastAsia"/>
          <w:sz w:val="32"/>
          <w:szCs w:val="32"/>
        </w:rPr>
        <w:t>2024</w:t>
      </w:r>
      <w:r>
        <w:rPr>
          <w:rFonts w:ascii="仿宋_GB2312" w:eastAsia="仿宋_GB2312" w:hAnsi="仿宋" w:cs="仿宋" w:hint="eastAsia"/>
          <w:sz w:val="32"/>
          <w:szCs w:val="32"/>
        </w:rPr>
        <w:t>〕</w:t>
      </w:r>
      <w:r>
        <w:rPr>
          <w:rFonts w:ascii="仿宋_GB2312" w:eastAsia="仿宋_GB2312" w:hAnsi="仿宋" w:cs="仿宋" w:hint="eastAsia"/>
          <w:sz w:val="32"/>
          <w:szCs w:val="32"/>
        </w:rPr>
        <w:t>2</w:t>
      </w:r>
      <w:r>
        <w:rPr>
          <w:rFonts w:ascii="仿宋_GB2312" w:eastAsia="仿宋_GB2312" w:hAnsi="仿宋" w:cs="仿宋" w:hint="eastAsia"/>
          <w:sz w:val="32"/>
          <w:szCs w:val="32"/>
        </w:rPr>
        <w:t>号）文件设立，项目与部门职责相符，属于市民营经济局部门履职所需；属于公共财政支持范围，符合中央、地方事权支出责任划分原则。但在绩效目标设置方面，存在满意度指标值设置偏低的情况。</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过程指标分析</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市民营经济局制定了《青岛市小微企业创新转型项目实施细则（暂行）》（青民发规〔</w:t>
      </w:r>
      <w:r>
        <w:rPr>
          <w:rFonts w:ascii="仿宋_GB2312" w:eastAsia="仿宋_GB2312" w:hAnsi="仿宋" w:cs="仿宋" w:hint="eastAsia"/>
          <w:sz w:val="32"/>
          <w:szCs w:val="32"/>
        </w:rPr>
        <w:t>2022</w:t>
      </w:r>
      <w:r>
        <w:rPr>
          <w:rFonts w:ascii="仿宋_GB2312" w:eastAsia="仿宋_GB2312" w:hAnsi="仿宋" w:cs="仿宋" w:hint="eastAsia"/>
          <w:sz w:val="32"/>
          <w:szCs w:val="32"/>
        </w:rPr>
        <w:t>〕</w:t>
      </w:r>
      <w:r>
        <w:rPr>
          <w:rFonts w:ascii="仿宋_GB2312" w:eastAsia="仿宋_GB2312" w:hAnsi="仿宋" w:cs="仿宋" w:hint="eastAsia"/>
          <w:sz w:val="32"/>
          <w:szCs w:val="32"/>
        </w:rPr>
        <w:t>3</w:t>
      </w:r>
      <w:r>
        <w:rPr>
          <w:rFonts w:ascii="仿宋_GB2312" w:eastAsia="仿宋_GB2312" w:hAnsi="仿宋" w:cs="仿宋" w:hint="eastAsia"/>
          <w:sz w:val="32"/>
          <w:szCs w:val="32"/>
        </w:rPr>
        <w:t>号）、《关于印发青岛市专精特新企业技术改造项目实施细则的通知》（青民发字〔</w:t>
      </w:r>
      <w:r>
        <w:rPr>
          <w:rFonts w:ascii="仿宋_GB2312" w:eastAsia="仿宋_GB2312" w:hAnsi="仿宋" w:cs="仿宋" w:hint="eastAsia"/>
          <w:sz w:val="32"/>
          <w:szCs w:val="32"/>
        </w:rPr>
        <w:t>2024</w:t>
      </w:r>
      <w:r>
        <w:rPr>
          <w:rFonts w:ascii="仿宋_GB2312" w:eastAsia="仿宋_GB2312" w:hAnsi="仿宋" w:cs="仿宋" w:hint="eastAsia"/>
          <w:sz w:val="32"/>
          <w:szCs w:val="32"/>
        </w:rPr>
        <w:t>〕</w:t>
      </w:r>
      <w:r>
        <w:rPr>
          <w:rFonts w:ascii="仿宋_GB2312" w:eastAsia="仿宋_GB2312" w:hAnsi="仿宋" w:cs="仿宋" w:hint="eastAsia"/>
          <w:sz w:val="32"/>
          <w:szCs w:val="32"/>
        </w:rPr>
        <w:t>5</w:t>
      </w:r>
      <w:r>
        <w:rPr>
          <w:rFonts w:ascii="仿宋_GB2312" w:eastAsia="仿宋_GB2312" w:hAnsi="仿宋" w:cs="仿宋" w:hint="eastAsia"/>
          <w:sz w:val="32"/>
          <w:szCs w:val="32"/>
        </w:rPr>
        <w:t>号）、《青岛市专精特新企业</w:t>
      </w:r>
      <w:r>
        <w:rPr>
          <w:rFonts w:ascii="仿宋_GB2312" w:eastAsia="仿宋_GB2312" w:hAnsi="仿宋" w:cs="仿宋" w:hint="eastAsia"/>
          <w:sz w:val="32"/>
          <w:szCs w:val="32"/>
        </w:rPr>
        <w:t>技术改造设备指导清单》等制度。组织开展了项目申报和评审工作，并结合申报情况提出了资金分配方案，项目相关档案资料基本齐全。但存在区（市）初审质量不高的情况。</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产出指标分析</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项目奖补产业链配套企业共</w:t>
      </w:r>
      <w:r>
        <w:rPr>
          <w:rFonts w:ascii="仿宋_GB2312" w:eastAsia="仿宋_GB2312" w:hAnsi="仿宋" w:cs="仿宋" w:hint="eastAsia"/>
          <w:sz w:val="32"/>
          <w:szCs w:val="32"/>
        </w:rPr>
        <w:t>12</w:t>
      </w:r>
      <w:r>
        <w:rPr>
          <w:rFonts w:ascii="仿宋_GB2312" w:eastAsia="仿宋_GB2312" w:hAnsi="仿宋" w:cs="仿宋" w:hint="eastAsia"/>
          <w:sz w:val="32"/>
          <w:szCs w:val="32"/>
        </w:rPr>
        <w:t>家、技术改造企业共</w:t>
      </w:r>
      <w:r>
        <w:rPr>
          <w:rFonts w:ascii="仿宋_GB2312" w:eastAsia="仿宋_GB2312" w:hAnsi="仿宋" w:cs="仿宋" w:hint="eastAsia"/>
          <w:sz w:val="32"/>
          <w:szCs w:val="32"/>
        </w:rPr>
        <w:t>1177</w:t>
      </w:r>
      <w:r>
        <w:rPr>
          <w:rFonts w:ascii="仿宋_GB2312" w:eastAsia="仿宋_GB2312" w:hAnsi="仿宋" w:cs="仿宋" w:hint="eastAsia"/>
          <w:sz w:val="32"/>
          <w:szCs w:val="32"/>
        </w:rPr>
        <w:t>家、获扶持企业在知识产权数量和研发投入方面体现了专业化水平和创新能力的提升。但存在支持企业技术改造数量未达到预期目标的情况。</w:t>
      </w:r>
    </w:p>
    <w:p w:rsidR="00F0641F" w:rsidRDefault="00846C11">
      <w:pPr>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4.</w:t>
      </w:r>
      <w:r>
        <w:rPr>
          <w:rFonts w:ascii="仿宋_GB2312" w:eastAsia="仿宋_GB2312" w:hAnsi="仿宋_GB2312" w:cs="仿宋_GB2312" w:hint="eastAsia"/>
          <w:sz w:val="32"/>
          <w:szCs w:val="40"/>
        </w:rPr>
        <w:t>效益指标分析</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项目拉动固定资产投资达到</w:t>
      </w:r>
      <w:r>
        <w:rPr>
          <w:rFonts w:ascii="仿宋_GB2312" w:eastAsia="仿宋_GB2312" w:hAnsi="仿宋" w:cs="仿宋" w:hint="eastAsia"/>
          <w:sz w:val="32"/>
          <w:szCs w:val="32"/>
        </w:rPr>
        <w:t>27.1</w:t>
      </w:r>
      <w:r>
        <w:rPr>
          <w:rFonts w:ascii="仿宋_GB2312" w:eastAsia="仿宋_GB2312" w:hAnsi="仿宋" w:cs="仿宋" w:hint="eastAsia"/>
          <w:sz w:val="32"/>
          <w:szCs w:val="32"/>
        </w:rPr>
        <w:t>亿元，促进制造业技改积极性作用显著。通过对</w:t>
      </w:r>
      <w:r>
        <w:rPr>
          <w:rFonts w:ascii="仿宋_GB2312" w:eastAsia="仿宋_GB2312" w:hAnsi="仿宋" w:cs="仿宋" w:hint="eastAsia"/>
          <w:sz w:val="32"/>
          <w:szCs w:val="32"/>
        </w:rPr>
        <w:t>506</w:t>
      </w:r>
      <w:r>
        <w:rPr>
          <w:rFonts w:ascii="仿宋_GB2312" w:eastAsia="仿宋_GB2312" w:hAnsi="仿宋" w:cs="仿宋" w:hint="eastAsia"/>
          <w:sz w:val="32"/>
          <w:szCs w:val="32"/>
        </w:rPr>
        <w:t>家获扶持企业经营情况进行统计汇总发现</w:t>
      </w:r>
      <w:r w:rsidRPr="001C6C8D">
        <w:rPr>
          <w:rFonts w:ascii="仿宋_GB2312" w:eastAsia="仿宋_GB2312" w:hAnsi="仿宋" w:cs="仿宋" w:hint="eastAsia"/>
          <w:sz w:val="32"/>
          <w:szCs w:val="32"/>
        </w:rPr>
        <w:t>，</w:t>
      </w:r>
      <w:r w:rsidR="00145DEF" w:rsidRPr="001C6C8D">
        <w:rPr>
          <w:rFonts w:ascii="仿宋_GB2312" w:eastAsia="仿宋_GB2312" w:hAnsi="仿宋" w:cs="仿宋" w:hint="eastAsia"/>
          <w:sz w:val="32"/>
          <w:szCs w:val="32"/>
        </w:rPr>
        <w:t>设备投资年度较上一年度的</w:t>
      </w:r>
      <w:r w:rsidRPr="001C6C8D">
        <w:rPr>
          <w:rFonts w:ascii="仿宋_GB2312" w:eastAsia="仿宋_GB2312" w:hAnsi="仿宋" w:cs="仿宋" w:hint="eastAsia"/>
          <w:sz w:val="32"/>
          <w:szCs w:val="32"/>
        </w:rPr>
        <w:t>营业收入增长</w:t>
      </w:r>
      <w:r w:rsidR="00610679" w:rsidRPr="001C6C8D">
        <w:rPr>
          <w:rFonts w:ascii="仿宋_GB2312" w:eastAsia="仿宋_GB2312" w:hAnsi="仿宋" w:cs="仿宋" w:hint="eastAsia"/>
          <w:sz w:val="32"/>
          <w:szCs w:val="32"/>
        </w:rPr>
        <w:t>3.39%</w:t>
      </w:r>
      <w:r w:rsidR="00145DEF" w:rsidRPr="001C6C8D">
        <w:rPr>
          <w:rFonts w:ascii="仿宋_GB2312" w:eastAsia="仿宋_GB2312" w:hAnsi="仿宋" w:cs="仿宋" w:hint="eastAsia"/>
          <w:sz w:val="32"/>
          <w:szCs w:val="32"/>
        </w:rPr>
        <w:t>、</w:t>
      </w:r>
      <w:r w:rsidRPr="001C6C8D">
        <w:rPr>
          <w:rFonts w:ascii="仿宋_GB2312" w:eastAsia="仿宋_GB2312" w:hAnsi="仿宋" w:cs="仿宋" w:hint="eastAsia"/>
          <w:sz w:val="32"/>
          <w:szCs w:val="32"/>
        </w:rPr>
        <w:t>上缴税金</w:t>
      </w:r>
      <w:r w:rsidR="007C69CF" w:rsidRPr="001C6C8D">
        <w:rPr>
          <w:rFonts w:ascii="仿宋_GB2312" w:eastAsia="仿宋_GB2312" w:hAnsi="仿宋" w:cs="仿宋" w:hint="eastAsia"/>
          <w:sz w:val="32"/>
          <w:szCs w:val="32"/>
        </w:rPr>
        <w:t>增长</w:t>
      </w:r>
      <w:r w:rsidR="00610679" w:rsidRPr="001C6C8D">
        <w:rPr>
          <w:rFonts w:ascii="仿宋_GB2312" w:eastAsia="仿宋_GB2312" w:hAnsi="仿宋" w:cs="仿宋" w:hint="eastAsia"/>
          <w:sz w:val="32"/>
          <w:szCs w:val="32"/>
        </w:rPr>
        <w:t>10.11%</w:t>
      </w:r>
      <w:r w:rsidR="00145DEF" w:rsidRPr="001C6C8D">
        <w:rPr>
          <w:rFonts w:ascii="仿宋_GB2312" w:eastAsia="仿宋_GB2312" w:hAnsi="仿宋" w:cs="仿宋" w:hint="eastAsia"/>
          <w:sz w:val="32"/>
          <w:szCs w:val="32"/>
        </w:rPr>
        <w:t>、</w:t>
      </w:r>
      <w:r w:rsidRPr="001C6C8D">
        <w:rPr>
          <w:rFonts w:ascii="仿宋_GB2312" w:eastAsia="仿宋_GB2312" w:hAnsi="仿宋" w:cs="仿宋" w:hint="eastAsia"/>
          <w:sz w:val="32"/>
          <w:szCs w:val="32"/>
        </w:rPr>
        <w:t>资产总额</w:t>
      </w:r>
      <w:r w:rsidR="007C69CF" w:rsidRPr="001C6C8D">
        <w:rPr>
          <w:rFonts w:ascii="仿宋_GB2312" w:eastAsia="仿宋_GB2312" w:hAnsi="仿宋" w:cs="仿宋" w:hint="eastAsia"/>
          <w:sz w:val="32"/>
          <w:szCs w:val="32"/>
        </w:rPr>
        <w:t>增长</w:t>
      </w:r>
      <w:r w:rsidR="00610679" w:rsidRPr="001C6C8D">
        <w:rPr>
          <w:rFonts w:ascii="仿宋_GB2312" w:eastAsia="仿宋_GB2312" w:hAnsi="仿宋" w:cs="仿宋" w:hint="eastAsia"/>
          <w:sz w:val="32"/>
          <w:szCs w:val="32"/>
        </w:rPr>
        <w:t>15.07%</w:t>
      </w:r>
      <w:r w:rsidR="00145DEF" w:rsidRPr="001C6C8D">
        <w:rPr>
          <w:rFonts w:ascii="仿宋_GB2312" w:eastAsia="仿宋_GB2312" w:hAnsi="仿宋" w:cs="仿宋" w:hint="eastAsia"/>
          <w:sz w:val="32"/>
          <w:szCs w:val="32"/>
        </w:rPr>
        <w:t>、</w:t>
      </w:r>
      <w:r w:rsidRPr="001C6C8D">
        <w:rPr>
          <w:rFonts w:ascii="仿宋_GB2312" w:eastAsia="仿宋_GB2312" w:hAnsi="仿宋" w:cs="仿宋" w:hint="eastAsia"/>
          <w:sz w:val="32"/>
          <w:szCs w:val="32"/>
        </w:rPr>
        <w:t>利润总额</w:t>
      </w:r>
      <w:r w:rsidR="007C69CF" w:rsidRPr="001C6C8D">
        <w:rPr>
          <w:rFonts w:ascii="仿宋_GB2312" w:eastAsia="仿宋_GB2312" w:hAnsi="仿宋" w:cs="仿宋" w:hint="eastAsia"/>
          <w:sz w:val="32"/>
          <w:szCs w:val="32"/>
        </w:rPr>
        <w:t>增长</w:t>
      </w:r>
      <w:r w:rsidR="00610679" w:rsidRPr="001C6C8D">
        <w:rPr>
          <w:rFonts w:ascii="仿宋_GB2312" w:eastAsia="仿宋_GB2312" w:hAnsi="仿宋" w:cs="仿宋" w:hint="eastAsia"/>
          <w:sz w:val="32"/>
          <w:szCs w:val="32"/>
        </w:rPr>
        <w:t>8.63%</w:t>
      </w:r>
      <w:r w:rsidR="00145DEF" w:rsidRPr="001C6C8D">
        <w:rPr>
          <w:rFonts w:ascii="仿宋_GB2312" w:eastAsia="仿宋_GB2312" w:hAnsi="仿宋" w:cs="仿宋" w:hint="eastAsia"/>
          <w:sz w:val="32"/>
          <w:szCs w:val="32"/>
        </w:rPr>
        <w:t>。</w:t>
      </w:r>
      <w:r>
        <w:rPr>
          <w:rFonts w:ascii="仿宋_GB2312" w:eastAsia="仿宋_GB2312" w:hAnsi="仿宋" w:cs="仿宋" w:hint="eastAsia"/>
          <w:sz w:val="32"/>
          <w:szCs w:val="32"/>
        </w:rPr>
        <w:t>获扶持企业存续率达到</w:t>
      </w:r>
      <w:r>
        <w:rPr>
          <w:rFonts w:ascii="仿宋_GB2312" w:eastAsia="仿宋_GB2312" w:hAnsi="仿宋" w:cs="仿宋" w:hint="eastAsia"/>
          <w:sz w:val="32"/>
          <w:szCs w:val="32"/>
        </w:rPr>
        <w:t>99.92%</w:t>
      </w:r>
      <w:r>
        <w:rPr>
          <w:rFonts w:ascii="仿宋_GB2312" w:eastAsia="仿宋_GB2312" w:hAnsi="仿宋" w:cs="仿宋" w:hint="eastAsia"/>
          <w:sz w:val="32"/>
          <w:szCs w:val="32"/>
        </w:rPr>
        <w:t>，对</w:t>
      </w:r>
      <w:r>
        <w:rPr>
          <w:rFonts w:ascii="仿宋_GB2312" w:eastAsia="仿宋_GB2312" w:hAnsi="仿宋" w:cs="仿宋" w:hint="eastAsia"/>
          <w:sz w:val="32"/>
          <w:szCs w:val="32"/>
        </w:rPr>
        <w:t>316</w:t>
      </w:r>
      <w:r>
        <w:rPr>
          <w:rFonts w:ascii="仿宋_GB2312" w:eastAsia="仿宋_GB2312" w:hAnsi="仿宋" w:cs="仿宋" w:hint="eastAsia"/>
          <w:sz w:val="32"/>
          <w:szCs w:val="32"/>
        </w:rPr>
        <w:t>家获扶持企业开展满意度调查，调查结果显示满意度</w:t>
      </w:r>
      <w:r>
        <w:rPr>
          <w:rFonts w:ascii="仿宋_GB2312" w:eastAsia="仿宋_GB2312" w:hAnsi="仿宋" w:cs="仿宋" w:hint="eastAsia"/>
          <w:sz w:val="32"/>
          <w:szCs w:val="32"/>
        </w:rPr>
        <w:t>95.60%</w:t>
      </w:r>
      <w:r>
        <w:rPr>
          <w:rFonts w:ascii="仿宋_GB2312" w:eastAsia="仿宋_GB2312" w:hAnsi="仿宋" w:cs="仿宋" w:hint="eastAsia"/>
          <w:sz w:val="32"/>
          <w:szCs w:val="32"/>
        </w:rPr>
        <w:t>。</w:t>
      </w:r>
    </w:p>
    <w:p w:rsidR="00F0641F" w:rsidRDefault="00846C11">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四、项目实施成效</w:t>
      </w:r>
    </w:p>
    <w:p w:rsidR="00F0641F" w:rsidRDefault="00846C11">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项目奖补产业链配套企业</w:t>
      </w:r>
      <w:r>
        <w:rPr>
          <w:rFonts w:ascii="仿宋_GB2312" w:eastAsia="仿宋_GB2312" w:hAnsi="仿宋" w:cs="仿宋" w:hint="eastAsia"/>
          <w:sz w:val="32"/>
          <w:szCs w:val="32"/>
        </w:rPr>
        <w:t>12</w:t>
      </w:r>
      <w:r>
        <w:rPr>
          <w:rFonts w:ascii="仿宋_GB2312" w:eastAsia="仿宋_GB2312" w:hAnsi="仿宋" w:cs="仿宋" w:hint="eastAsia"/>
          <w:sz w:val="32"/>
          <w:szCs w:val="32"/>
        </w:rPr>
        <w:t>家、技术改造企业</w:t>
      </w:r>
      <w:r>
        <w:rPr>
          <w:rFonts w:ascii="仿宋_GB2312" w:eastAsia="仿宋_GB2312" w:hAnsi="仿宋" w:cs="仿宋" w:hint="eastAsia"/>
          <w:sz w:val="32"/>
          <w:szCs w:val="32"/>
        </w:rPr>
        <w:t>1177</w:t>
      </w:r>
      <w:r>
        <w:rPr>
          <w:rFonts w:ascii="仿宋_GB2312" w:eastAsia="仿宋_GB2312" w:hAnsi="仿宋" w:cs="仿宋" w:hint="eastAsia"/>
          <w:sz w:val="32"/>
          <w:szCs w:val="32"/>
        </w:rPr>
        <w:t>家，拉动固定资产投资达到</w:t>
      </w:r>
      <w:r>
        <w:rPr>
          <w:rFonts w:ascii="仿宋_GB2312" w:eastAsia="仿宋_GB2312" w:hAnsi="仿宋" w:cs="仿宋" w:hint="eastAsia"/>
          <w:sz w:val="32"/>
          <w:szCs w:val="32"/>
        </w:rPr>
        <w:t>27.1</w:t>
      </w:r>
      <w:r>
        <w:rPr>
          <w:rFonts w:ascii="仿宋_GB2312" w:eastAsia="仿宋_GB2312" w:hAnsi="仿宋" w:cs="仿宋" w:hint="eastAsia"/>
          <w:sz w:val="32"/>
          <w:szCs w:val="32"/>
        </w:rPr>
        <w:t>亿元。市民营经济局、市财政局等</w:t>
      </w:r>
      <w:r>
        <w:rPr>
          <w:rFonts w:ascii="仿宋_GB2312" w:eastAsia="仿宋_GB2312" w:hAnsi="仿宋" w:cs="仿宋" w:hint="eastAsia"/>
          <w:sz w:val="32"/>
          <w:szCs w:val="32"/>
        </w:rPr>
        <w:t>4</w:t>
      </w:r>
      <w:r>
        <w:rPr>
          <w:rFonts w:ascii="仿宋_GB2312" w:eastAsia="仿宋_GB2312" w:hAnsi="仿宋" w:cs="仿宋" w:hint="eastAsia"/>
          <w:sz w:val="32"/>
          <w:szCs w:val="32"/>
        </w:rPr>
        <w:t>部门</w:t>
      </w:r>
      <w:r>
        <w:rPr>
          <w:rFonts w:ascii="仿宋_GB2312" w:eastAsia="仿宋_GB2312" w:hAnsi="仿宋" w:cs="仿宋" w:hint="eastAsia"/>
          <w:sz w:val="32"/>
          <w:szCs w:val="32"/>
        </w:rPr>
        <w:t>2022</w:t>
      </w:r>
      <w:r>
        <w:rPr>
          <w:rFonts w:ascii="仿宋_GB2312" w:eastAsia="仿宋_GB2312" w:hAnsi="仿宋" w:cs="仿宋" w:hint="eastAsia"/>
          <w:sz w:val="32"/>
          <w:szCs w:val="32"/>
        </w:rPr>
        <w:t>年</w:t>
      </w:r>
      <w:r>
        <w:rPr>
          <w:rFonts w:ascii="仿宋_GB2312" w:eastAsia="仿宋_GB2312" w:hAnsi="仿宋" w:cs="仿宋" w:hint="eastAsia"/>
          <w:sz w:val="32"/>
          <w:szCs w:val="32"/>
        </w:rPr>
        <w:t>9</w:t>
      </w:r>
      <w:r>
        <w:rPr>
          <w:rFonts w:ascii="仿宋_GB2312" w:eastAsia="仿宋_GB2312" w:hAnsi="仿宋" w:cs="仿宋" w:hint="eastAsia"/>
          <w:sz w:val="32"/>
          <w:szCs w:val="32"/>
        </w:rPr>
        <w:t>月印发《青岛市小微企业创新转型项目实施细则</w:t>
      </w:r>
      <w:r>
        <w:rPr>
          <w:rFonts w:ascii="仿宋_GB2312" w:eastAsia="仿宋_GB2312" w:hAnsi="仿宋" w:cs="仿宋" w:hint="eastAsia"/>
          <w:sz w:val="32"/>
          <w:szCs w:val="32"/>
        </w:rPr>
        <w:t>(</w:t>
      </w:r>
      <w:r>
        <w:rPr>
          <w:rFonts w:ascii="仿宋_GB2312" w:eastAsia="仿宋_GB2312" w:hAnsi="仿宋" w:cs="仿宋" w:hint="eastAsia"/>
          <w:sz w:val="32"/>
          <w:szCs w:val="32"/>
        </w:rPr>
        <w:t>暂行</w:t>
      </w:r>
      <w:r>
        <w:rPr>
          <w:rFonts w:ascii="仿宋_GB2312" w:eastAsia="仿宋_GB2312" w:hAnsi="仿宋" w:cs="仿宋" w:hint="eastAsia"/>
          <w:sz w:val="32"/>
          <w:szCs w:val="32"/>
        </w:rPr>
        <w:t>)</w:t>
      </w:r>
      <w:r>
        <w:rPr>
          <w:rFonts w:ascii="仿宋_GB2312" w:eastAsia="仿宋_GB2312" w:hAnsi="仿宋" w:cs="仿宋" w:hint="eastAsia"/>
          <w:sz w:val="32"/>
          <w:szCs w:val="32"/>
        </w:rPr>
        <w:t>》（青民发规</w:t>
      </w:r>
      <w:r>
        <w:rPr>
          <w:rFonts w:ascii="仿宋_GB2312" w:eastAsia="仿宋_GB2312" w:hAnsi="仿宋" w:cs="仿宋" w:hint="eastAsia"/>
          <w:sz w:val="32"/>
          <w:szCs w:val="32"/>
        </w:rPr>
        <w:t>〔</w:t>
      </w:r>
      <w:r>
        <w:rPr>
          <w:rFonts w:ascii="仿宋_GB2312" w:eastAsia="仿宋_GB2312" w:hAnsi="仿宋" w:cs="仿宋" w:hint="eastAsia"/>
          <w:sz w:val="32"/>
          <w:szCs w:val="32"/>
        </w:rPr>
        <w:t>2022</w:t>
      </w:r>
      <w:r>
        <w:rPr>
          <w:rFonts w:ascii="仿宋_GB2312" w:eastAsia="仿宋_GB2312" w:hAnsi="仿宋" w:cs="仿宋" w:hint="eastAsia"/>
          <w:sz w:val="32"/>
          <w:szCs w:val="32"/>
        </w:rPr>
        <w:t>〕</w:t>
      </w:r>
      <w:r>
        <w:rPr>
          <w:rFonts w:ascii="仿宋_GB2312" w:eastAsia="仿宋_GB2312" w:hAnsi="仿宋" w:cs="仿宋" w:hint="eastAsia"/>
          <w:sz w:val="32"/>
          <w:szCs w:val="32"/>
        </w:rPr>
        <w:t>3</w:t>
      </w:r>
      <w:r>
        <w:rPr>
          <w:rFonts w:ascii="仿宋_GB2312" w:eastAsia="仿宋_GB2312" w:hAnsi="仿宋" w:cs="仿宋" w:hint="eastAsia"/>
          <w:sz w:val="32"/>
          <w:szCs w:val="32"/>
        </w:rPr>
        <w:t>号）、</w:t>
      </w:r>
      <w:r>
        <w:rPr>
          <w:rFonts w:ascii="仿宋_GB2312" w:eastAsia="仿宋_GB2312" w:hAnsi="仿宋" w:cs="仿宋" w:hint="eastAsia"/>
          <w:sz w:val="32"/>
          <w:szCs w:val="32"/>
        </w:rPr>
        <w:t>2024</w:t>
      </w:r>
      <w:r>
        <w:rPr>
          <w:rFonts w:ascii="仿宋_GB2312" w:eastAsia="仿宋_GB2312" w:hAnsi="仿宋" w:cs="仿宋" w:hint="eastAsia"/>
          <w:sz w:val="32"/>
          <w:szCs w:val="32"/>
        </w:rPr>
        <w:t>年</w:t>
      </w:r>
      <w:r>
        <w:rPr>
          <w:rFonts w:ascii="仿宋_GB2312" w:eastAsia="仿宋_GB2312" w:hAnsi="仿宋" w:cs="仿宋" w:hint="eastAsia"/>
          <w:sz w:val="32"/>
          <w:szCs w:val="32"/>
        </w:rPr>
        <w:t>3</w:t>
      </w:r>
      <w:r>
        <w:rPr>
          <w:rFonts w:ascii="仿宋_GB2312" w:eastAsia="仿宋_GB2312" w:hAnsi="仿宋" w:cs="仿宋" w:hint="eastAsia"/>
          <w:sz w:val="32"/>
          <w:szCs w:val="32"/>
        </w:rPr>
        <w:t>月印发《青岛市专精特新企业技术改造项目实施细则》（青民发字〔</w:t>
      </w:r>
      <w:r>
        <w:rPr>
          <w:rFonts w:ascii="仿宋_GB2312" w:eastAsia="仿宋_GB2312" w:hAnsi="仿宋" w:cs="仿宋" w:hint="eastAsia"/>
          <w:sz w:val="32"/>
          <w:szCs w:val="32"/>
        </w:rPr>
        <w:t>2024</w:t>
      </w:r>
      <w:r>
        <w:rPr>
          <w:rFonts w:ascii="仿宋_GB2312" w:eastAsia="仿宋_GB2312" w:hAnsi="仿宋" w:cs="仿宋" w:hint="eastAsia"/>
          <w:sz w:val="32"/>
          <w:szCs w:val="32"/>
        </w:rPr>
        <w:t>〕</w:t>
      </w:r>
      <w:r>
        <w:rPr>
          <w:rFonts w:ascii="仿宋_GB2312" w:eastAsia="仿宋_GB2312" w:hAnsi="仿宋" w:cs="仿宋" w:hint="eastAsia"/>
          <w:sz w:val="32"/>
          <w:szCs w:val="32"/>
        </w:rPr>
        <w:t>5</w:t>
      </w:r>
      <w:r>
        <w:rPr>
          <w:rFonts w:ascii="仿宋_GB2312" w:eastAsia="仿宋_GB2312" w:hAnsi="仿宋" w:cs="仿宋" w:hint="eastAsia"/>
          <w:sz w:val="32"/>
          <w:szCs w:val="32"/>
        </w:rPr>
        <w:t>号），创新转型专项资金项目政策实施持续有效，政策支持的范围、条件、申报流程等内容明确。在推动传统产业改造提升、增强企业核心竞争力，提升产业基础高级化和产业链现代化水平等方面发挥了积极作用。</w:t>
      </w:r>
    </w:p>
    <w:p w:rsidR="00F0641F" w:rsidRDefault="00846C11">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五、发现的问题及原因分析</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（一）</w:t>
      </w:r>
      <w:r>
        <w:rPr>
          <w:rFonts w:ascii="楷体_GB2312" w:eastAsia="楷体_GB2312" w:hAnsi="楷体_GB2312" w:cs="楷体_GB2312" w:hint="eastAsia"/>
          <w:sz w:val="32"/>
          <w:szCs w:val="40"/>
        </w:rPr>
        <w:t>2024</w:t>
      </w:r>
      <w:r>
        <w:rPr>
          <w:rFonts w:ascii="楷体_GB2312" w:eastAsia="楷体_GB2312" w:hAnsi="楷体_GB2312" w:cs="楷体_GB2312" w:hint="eastAsia"/>
          <w:sz w:val="32"/>
          <w:szCs w:val="40"/>
        </w:rPr>
        <w:t>年度区（市）资金未及时拨付到位，未及时收回不具备拨付条件的拟奖补资金，影响财政资金效益发挥</w:t>
      </w:r>
    </w:p>
    <w:p w:rsidR="00F0641F" w:rsidRDefault="00846C11">
      <w:pPr>
        <w:pStyle w:val="Chy"/>
        <w:adjustRightInd w:val="0"/>
        <w:snapToGrid w:val="0"/>
        <w:spacing w:line="600" w:lineRule="exact"/>
        <w:ind w:firstLine="643"/>
        <w:rPr>
          <w:rFonts w:ascii="仿宋_GB2312" w:hAnsi="仿宋_GB2312" w:cs="仿宋_GB2312"/>
          <w:color w:val="000000"/>
          <w:szCs w:val="32"/>
        </w:rPr>
      </w:pPr>
      <w:r>
        <w:rPr>
          <w:rFonts w:ascii="仿宋_GB2312" w:hAnsi="仿宋" w:cs="仿宋" w:hint="eastAsia"/>
          <w:b/>
          <w:bCs/>
          <w:szCs w:val="32"/>
        </w:rPr>
        <w:t>一是</w:t>
      </w:r>
      <w:r>
        <w:rPr>
          <w:rFonts w:ascii="仿宋_GB2312" w:hAnsi="仿宋" w:cs="仿宋" w:hint="eastAsia"/>
          <w:szCs w:val="32"/>
        </w:rPr>
        <w:t>2024</w:t>
      </w:r>
      <w:r>
        <w:rPr>
          <w:rFonts w:ascii="仿宋_GB2312" w:hAnsi="仿宋" w:cs="仿宋" w:hint="eastAsia"/>
          <w:szCs w:val="32"/>
        </w:rPr>
        <w:t>年度项目预算金额</w:t>
      </w:r>
      <w:r>
        <w:rPr>
          <w:rFonts w:ascii="仿宋_GB2312" w:hAnsi="仿宋" w:cs="仿宋" w:hint="eastAsia"/>
          <w:szCs w:val="32"/>
        </w:rPr>
        <w:t>28350</w:t>
      </w:r>
      <w:r>
        <w:rPr>
          <w:rFonts w:ascii="仿宋_GB2312" w:hAnsi="仿宋" w:cs="仿宋" w:hint="eastAsia"/>
          <w:szCs w:val="32"/>
        </w:rPr>
        <w:t>万元，截至</w:t>
      </w:r>
      <w:r>
        <w:rPr>
          <w:rFonts w:ascii="仿宋_GB2312" w:hAnsi="仿宋" w:cs="仿宋" w:hint="eastAsia"/>
          <w:szCs w:val="32"/>
        </w:rPr>
        <w:t>2025</w:t>
      </w:r>
      <w:r>
        <w:rPr>
          <w:rFonts w:ascii="仿宋_GB2312" w:hAnsi="仿宋" w:cs="仿宋" w:hint="eastAsia"/>
          <w:szCs w:val="32"/>
        </w:rPr>
        <w:t>年</w:t>
      </w:r>
      <w:r>
        <w:rPr>
          <w:rFonts w:ascii="仿宋_GB2312" w:hAnsi="仿宋" w:cs="仿宋" w:hint="eastAsia"/>
          <w:szCs w:val="32"/>
        </w:rPr>
        <w:t>5</w:t>
      </w:r>
      <w:r>
        <w:rPr>
          <w:rFonts w:ascii="仿宋_GB2312" w:hAnsi="仿宋" w:cs="仿宋" w:hint="eastAsia"/>
          <w:szCs w:val="32"/>
        </w:rPr>
        <w:lastRenderedPageBreak/>
        <w:t>月底，区（市）实际拨付</w:t>
      </w:r>
      <w:r>
        <w:rPr>
          <w:rFonts w:ascii="仿宋_GB2312" w:hAnsi="仿宋" w:cs="仿宋" w:hint="eastAsia"/>
          <w:szCs w:val="32"/>
        </w:rPr>
        <w:t>企业奖补资金</w:t>
      </w:r>
      <w:r>
        <w:rPr>
          <w:rFonts w:ascii="仿宋_GB2312" w:hAnsi="仿宋" w:cs="仿宋" w:hint="eastAsia"/>
          <w:szCs w:val="32"/>
        </w:rPr>
        <w:t>1419.93</w:t>
      </w:r>
      <w:r>
        <w:rPr>
          <w:rFonts w:ascii="仿宋_GB2312" w:hAnsi="仿宋" w:cs="仿宋" w:hint="eastAsia"/>
          <w:szCs w:val="32"/>
        </w:rPr>
        <w:t>万元，拨付比率</w:t>
      </w:r>
      <w:r>
        <w:rPr>
          <w:rFonts w:ascii="仿宋_GB2312" w:hAnsi="仿宋" w:cs="仿宋" w:hint="eastAsia"/>
          <w:szCs w:val="32"/>
        </w:rPr>
        <w:t>5.01%</w:t>
      </w:r>
      <w:r>
        <w:rPr>
          <w:rFonts w:ascii="仿宋_GB2312" w:hAnsi="仿宋" w:cs="仿宋" w:hint="eastAsia"/>
          <w:szCs w:val="32"/>
        </w:rPr>
        <w:t>，其中城阳区、胶州市等</w:t>
      </w:r>
      <w:r>
        <w:rPr>
          <w:rFonts w:ascii="仿宋_GB2312" w:hAnsi="仿宋" w:cs="仿宋" w:hint="eastAsia"/>
          <w:szCs w:val="32"/>
        </w:rPr>
        <w:t>9</w:t>
      </w:r>
      <w:r>
        <w:rPr>
          <w:rFonts w:ascii="仿宋_GB2312" w:hAnsi="仿宋" w:cs="仿宋" w:hint="eastAsia"/>
          <w:szCs w:val="32"/>
        </w:rPr>
        <w:t>个区（市）实际拨付资金为</w:t>
      </w:r>
      <w:r>
        <w:rPr>
          <w:rFonts w:ascii="仿宋_GB2312" w:hAnsi="仿宋" w:cs="仿宋" w:hint="eastAsia"/>
          <w:szCs w:val="32"/>
        </w:rPr>
        <w:t>0</w:t>
      </w:r>
      <w:r>
        <w:rPr>
          <w:rFonts w:ascii="仿宋_GB2312" w:hAnsi="仿宋_GB2312" w:cs="仿宋_GB2312" w:hint="eastAsia"/>
          <w:szCs w:val="40"/>
        </w:rPr>
        <w:t>。</w:t>
      </w:r>
      <w:r>
        <w:rPr>
          <w:rFonts w:ascii="仿宋_GB2312" w:hAnsi="仿宋_GB2312" w:cs="仿宋_GB2312" w:hint="eastAsia"/>
          <w:color w:val="000000"/>
          <w:szCs w:val="32"/>
        </w:rPr>
        <w:t>具体如下表所示。</w:t>
      </w:r>
    </w:p>
    <w:p w:rsidR="00F0641F" w:rsidRDefault="00846C11" w:rsidP="007013E9">
      <w:pPr>
        <w:pStyle w:val="2"/>
        <w:widowControl w:val="0"/>
        <w:spacing w:afterLines="50" w:line="560" w:lineRule="exact"/>
        <w:ind w:firstLine="0"/>
        <w:jc w:val="center"/>
        <w:rPr>
          <w:rFonts w:ascii="黑体" w:eastAsia="黑体" w:hAnsi="黑体" w:cs="黑体"/>
          <w:sz w:val="28"/>
          <w:szCs w:val="28"/>
        </w:rPr>
      </w:pPr>
      <w:r>
        <w:rPr>
          <w:rFonts w:ascii="黑体" w:eastAsia="黑体" w:hAnsi="黑体" w:cs="黑体" w:hint="eastAsia"/>
          <w:sz w:val="28"/>
          <w:szCs w:val="28"/>
        </w:rPr>
        <w:t>表</w:t>
      </w:r>
      <w:r>
        <w:rPr>
          <w:rFonts w:ascii="黑体" w:eastAsia="黑体" w:hAnsi="黑体" w:cs="黑体" w:hint="eastAsia"/>
          <w:sz w:val="28"/>
          <w:szCs w:val="28"/>
        </w:rPr>
        <w:t>5.1 2024</w:t>
      </w:r>
      <w:r>
        <w:rPr>
          <w:rFonts w:ascii="黑体" w:eastAsia="黑体" w:hAnsi="黑体" w:cs="黑体" w:hint="eastAsia"/>
          <w:sz w:val="28"/>
          <w:szCs w:val="28"/>
        </w:rPr>
        <w:t>年度创新转型专项资金项目预算情况表</w:t>
      </w:r>
    </w:p>
    <w:p w:rsidR="00F0641F" w:rsidRDefault="00846C11">
      <w:pPr>
        <w:jc w:val="right"/>
        <w:rPr>
          <w:rFonts w:ascii="黑体" w:eastAsia="黑体" w:hAnsi="黑体" w:cs="黑体"/>
          <w:b/>
          <w:bCs/>
          <w:color w:val="000000"/>
          <w:sz w:val="18"/>
          <w:szCs w:val="18"/>
        </w:rPr>
      </w:pPr>
      <w:r>
        <w:rPr>
          <w:rFonts w:ascii="黑体" w:eastAsia="黑体" w:hAnsi="黑体" w:cs="黑体" w:hint="eastAsia"/>
          <w:b/>
          <w:bCs/>
          <w:color w:val="000000"/>
          <w:sz w:val="18"/>
          <w:szCs w:val="18"/>
        </w:rPr>
        <w:t>金额单位：万元</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5"/>
        <w:gridCol w:w="1821"/>
        <w:gridCol w:w="2133"/>
        <w:gridCol w:w="1979"/>
      </w:tblGrid>
      <w:tr w:rsidR="00F0641F">
        <w:trPr>
          <w:trHeight w:val="456"/>
          <w:tblHeader/>
          <w:jc w:val="center"/>
        </w:trPr>
        <w:tc>
          <w:tcPr>
            <w:tcW w:w="2365" w:type="dxa"/>
            <w:noWrap/>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单位</w:t>
            </w:r>
          </w:p>
        </w:tc>
        <w:tc>
          <w:tcPr>
            <w:tcW w:w="1821"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2024</w:t>
            </w:r>
            <w:r>
              <w:rPr>
                <w:rFonts w:ascii="黑体" w:eastAsia="黑体" w:hAnsi="黑体" w:cs="黑体" w:hint="eastAsia"/>
                <w:b/>
                <w:bCs/>
                <w:color w:val="000000"/>
                <w:sz w:val="18"/>
                <w:szCs w:val="18"/>
              </w:rPr>
              <w:t>年度预算</w:t>
            </w:r>
          </w:p>
        </w:tc>
        <w:tc>
          <w:tcPr>
            <w:tcW w:w="2133"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2024</w:t>
            </w:r>
            <w:r>
              <w:rPr>
                <w:rFonts w:ascii="黑体" w:eastAsia="黑体" w:hAnsi="黑体" w:cs="黑体" w:hint="eastAsia"/>
                <w:b/>
                <w:bCs/>
                <w:color w:val="000000"/>
                <w:sz w:val="18"/>
                <w:szCs w:val="18"/>
              </w:rPr>
              <w:t>年度预算执行</w:t>
            </w:r>
          </w:p>
        </w:tc>
        <w:tc>
          <w:tcPr>
            <w:tcW w:w="1979" w:type="dxa"/>
            <w:vAlign w:val="center"/>
          </w:tcPr>
          <w:p w:rsidR="00F0641F" w:rsidRDefault="00846C11">
            <w:pPr>
              <w:jc w:val="center"/>
              <w:rPr>
                <w:rFonts w:ascii="黑体" w:eastAsia="黑体" w:hAnsi="黑体" w:cs="黑体"/>
                <w:b/>
                <w:bCs/>
                <w:color w:val="000000"/>
                <w:sz w:val="18"/>
                <w:szCs w:val="18"/>
              </w:rPr>
            </w:pPr>
            <w:r>
              <w:rPr>
                <w:rFonts w:ascii="黑体" w:eastAsia="黑体" w:hAnsi="黑体" w:cs="黑体" w:hint="eastAsia"/>
                <w:b/>
                <w:bCs/>
                <w:color w:val="000000"/>
                <w:sz w:val="18"/>
                <w:szCs w:val="18"/>
              </w:rPr>
              <w:t>预算执行率</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市南区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207.00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市北区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208.00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李沧区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541.00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崂山区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737.00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西海岸新区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4,357.00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城阳区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6,421.00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即墨区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3,951.00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胶州市</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6,726.00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平度市</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1,996.00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莱西市</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1,926.00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141.44</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7.34%</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高新区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705.00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704.71</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99.96%</w:t>
            </w:r>
          </w:p>
        </w:tc>
      </w:tr>
      <w:tr w:rsidR="00F0641F">
        <w:trPr>
          <w:trHeight w:val="390"/>
          <w:jc w:val="center"/>
        </w:trPr>
        <w:tc>
          <w:tcPr>
            <w:tcW w:w="2365" w:type="dxa"/>
            <w:noWrap/>
            <w:vAlign w:val="center"/>
          </w:tcPr>
          <w:p w:rsidR="00F0641F" w:rsidRDefault="00846C11">
            <w:pPr>
              <w:jc w:val="center"/>
              <w:rPr>
                <w:rFonts w:ascii="仿宋_GB2312" w:eastAsia="仿宋_GB2312" w:hAnsi="等线"/>
                <w:color w:val="000000"/>
                <w:sz w:val="18"/>
                <w:szCs w:val="18"/>
              </w:rPr>
            </w:pPr>
            <w:r>
              <w:rPr>
                <w:rFonts w:ascii="仿宋_GB2312" w:eastAsia="仿宋_GB2312" w:hAnsi="等线" w:hint="eastAsia"/>
                <w:color w:val="000000"/>
                <w:sz w:val="18"/>
                <w:szCs w:val="18"/>
              </w:rPr>
              <w:t>自贸片区</w:t>
            </w:r>
          </w:p>
        </w:tc>
        <w:tc>
          <w:tcPr>
            <w:tcW w:w="1821" w:type="dxa"/>
            <w:noWrap/>
            <w:vAlign w:val="center"/>
          </w:tcPr>
          <w:p w:rsidR="00F0641F" w:rsidRDefault="00846C11">
            <w:pPr>
              <w:widowControl/>
              <w:jc w:val="right"/>
              <w:textAlignment w:val="center"/>
              <w:rPr>
                <w:rFonts w:ascii="仿宋_GB2312" w:eastAsia="仿宋_GB2312" w:hAnsi="等线"/>
                <w:color w:val="000000"/>
                <w:sz w:val="18"/>
                <w:szCs w:val="18"/>
              </w:rPr>
            </w:pPr>
            <w:r>
              <w:rPr>
                <w:rFonts w:ascii="仿宋_GB2312" w:eastAsia="仿宋_GB2312" w:hAnsi="宋体" w:cs="仿宋_GB2312" w:hint="eastAsia"/>
                <w:color w:val="000000"/>
                <w:kern w:val="0"/>
                <w:sz w:val="18"/>
                <w:szCs w:val="18"/>
                <w:lang/>
              </w:rPr>
              <w:t xml:space="preserve">575.00 </w:t>
            </w:r>
          </w:p>
        </w:tc>
        <w:tc>
          <w:tcPr>
            <w:tcW w:w="2133"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573.78</w:t>
            </w:r>
          </w:p>
        </w:tc>
        <w:tc>
          <w:tcPr>
            <w:tcW w:w="1979" w:type="dxa"/>
            <w:noWrap/>
            <w:vAlign w:val="center"/>
          </w:tcPr>
          <w:p w:rsidR="00F0641F" w:rsidRDefault="00846C11">
            <w:pPr>
              <w:widowControl/>
              <w:jc w:val="right"/>
              <w:textAlignment w:val="center"/>
              <w:rPr>
                <w:rFonts w:ascii="仿宋_GB2312" w:eastAsia="仿宋_GB2312" w:hAnsi="宋体" w:cs="仿宋_GB2312"/>
                <w:color w:val="000000"/>
                <w:kern w:val="0"/>
                <w:sz w:val="18"/>
                <w:szCs w:val="18"/>
                <w:lang/>
              </w:rPr>
            </w:pPr>
            <w:r>
              <w:rPr>
                <w:rFonts w:ascii="仿宋_GB2312" w:eastAsia="仿宋_GB2312" w:hAnsi="宋体" w:cs="仿宋_GB2312" w:hint="eastAsia"/>
                <w:color w:val="000000"/>
                <w:kern w:val="0"/>
                <w:sz w:val="18"/>
                <w:szCs w:val="18"/>
                <w:lang/>
              </w:rPr>
              <w:t>99.79%</w:t>
            </w:r>
          </w:p>
        </w:tc>
      </w:tr>
      <w:tr w:rsidR="00F0641F">
        <w:trPr>
          <w:trHeight w:val="399"/>
          <w:jc w:val="center"/>
        </w:trPr>
        <w:tc>
          <w:tcPr>
            <w:tcW w:w="2365" w:type="dxa"/>
            <w:noWrap/>
            <w:vAlign w:val="center"/>
          </w:tcPr>
          <w:p w:rsidR="00F0641F" w:rsidRDefault="00846C11">
            <w:pPr>
              <w:jc w:val="center"/>
              <w:rPr>
                <w:rFonts w:ascii="仿宋_GB2312" w:eastAsia="仿宋_GB2312" w:hAnsi="等线"/>
                <w:b/>
                <w:bCs/>
                <w:color w:val="000000"/>
                <w:sz w:val="18"/>
                <w:szCs w:val="18"/>
              </w:rPr>
            </w:pPr>
            <w:r>
              <w:rPr>
                <w:rFonts w:ascii="仿宋_GB2312" w:eastAsia="仿宋_GB2312" w:hAnsi="等线" w:hint="eastAsia"/>
                <w:b/>
                <w:bCs/>
                <w:color w:val="000000"/>
                <w:sz w:val="18"/>
                <w:szCs w:val="18"/>
              </w:rPr>
              <w:t>合计</w:t>
            </w:r>
          </w:p>
        </w:tc>
        <w:tc>
          <w:tcPr>
            <w:tcW w:w="1821" w:type="dxa"/>
            <w:noWrap/>
            <w:vAlign w:val="center"/>
          </w:tcPr>
          <w:p w:rsidR="00F0641F" w:rsidRDefault="00846C11">
            <w:pPr>
              <w:widowControl/>
              <w:jc w:val="right"/>
              <w:textAlignment w:val="center"/>
              <w:rPr>
                <w:rFonts w:ascii="仿宋_GB2312" w:eastAsia="仿宋_GB2312" w:hAnsi="等线"/>
                <w:b/>
                <w:bCs/>
                <w:color w:val="000000"/>
                <w:sz w:val="18"/>
                <w:szCs w:val="18"/>
              </w:rPr>
            </w:pPr>
            <w:r>
              <w:rPr>
                <w:rFonts w:ascii="仿宋_GB2312" w:eastAsia="仿宋_GB2312" w:hAnsi="宋体" w:cs="仿宋_GB2312" w:hint="eastAsia"/>
                <w:b/>
                <w:bCs/>
                <w:color w:val="000000"/>
                <w:kern w:val="0"/>
                <w:sz w:val="18"/>
                <w:szCs w:val="18"/>
                <w:lang/>
              </w:rPr>
              <w:t xml:space="preserve">28,350.00 </w:t>
            </w:r>
          </w:p>
        </w:tc>
        <w:tc>
          <w:tcPr>
            <w:tcW w:w="2133" w:type="dxa"/>
            <w:noWrap/>
            <w:vAlign w:val="center"/>
          </w:tcPr>
          <w:p w:rsidR="00F0641F" w:rsidRDefault="00846C11">
            <w:pPr>
              <w:widowControl/>
              <w:jc w:val="right"/>
              <w:textAlignment w:val="center"/>
              <w:rPr>
                <w:rFonts w:ascii="仿宋_GB2312" w:eastAsia="仿宋_GB2312" w:hAnsi="宋体" w:cs="仿宋_GB2312"/>
                <w:b/>
                <w:bCs/>
                <w:color w:val="000000"/>
                <w:kern w:val="0"/>
                <w:sz w:val="18"/>
                <w:szCs w:val="18"/>
                <w:lang/>
              </w:rPr>
            </w:pPr>
            <w:r>
              <w:rPr>
                <w:rFonts w:ascii="仿宋_GB2312" w:eastAsia="仿宋_GB2312" w:hAnsi="宋体" w:cs="仿宋_GB2312" w:hint="eastAsia"/>
                <w:b/>
                <w:bCs/>
                <w:color w:val="000000"/>
                <w:kern w:val="0"/>
                <w:sz w:val="18"/>
                <w:szCs w:val="18"/>
                <w:lang/>
              </w:rPr>
              <w:t>1,419.93</w:t>
            </w:r>
          </w:p>
        </w:tc>
        <w:tc>
          <w:tcPr>
            <w:tcW w:w="1979" w:type="dxa"/>
            <w:noWrap/>
            <w:vAlign w:val="center"/>
          </w:tcPr>
          <w:p w:rsidR="00F0641F" w:rsidRDefault="00846C11">
            <w:pPr>
              <w:widowControl/>
              <w:jc w:val="right"/>
              <w:textAlignment w:val="center"/>
              <w:rPr>
                <w:rFonts w:ascii="仿宋_GB2312" w:eastAsia="仿宋_GB2312" w:hAnsi="宋体" w:cs="仿宋_GB2312"/>
                <w:b/>
                <w:bCs/>
                <w:color w:val="000000"/>
                <w:kern w:val="0"/>
                <w:sz w:val="18"/>
                <w:szCs w:val="18"/>
                <w:lang/>
              </w:rPr>
            </w:pPr>
            <w:r>
              <w:rPr>
                <w:rFonts w:ascii="仿宋_GB2312" w:eastAsia="仿宋_GB2312" w:hAnsi="宋体" w:cs="仿宋_GB2312" w:hint="eastAsia"/>
                <w:b/>
                <w:bCs/>
                <w:color w:val="000000"/>
                <w:kern w:val="0"/>
                <w:sz w:val="18"/>
                <w:szCs w:val="18"/>
                <w:lang/>
              </w:rPr>
              <w:t>5.01%</w:t>
            </w:r>
          </w:p>
        </w:tc>
      </w:tr>
    </w:tbl>
    <w:p w:rsidR="00F0641F" w:rsidRDefault="00846C11">
      <w:pPr>
        <w:spacing w:line="600" w:lineRule="exact"/>
        <w:ind w:firstLineChars="200" w:firstLine="643"/>
        <w:rPr>
          <w:rFonts w:ascii="仿宋_GB2312" w:eastAsia="仿宋_GB2312" w:hAnsi="仿宋" w:cs="仿宋"/>
          <w:sz w:val="32"/>
          <w:szCs w:val="32"/>
        </w:rPr>
      </w:pPr>
      <w:r>
        <w:rPr>
          <w:rFonts w:ascii="仿宋_GB2312" w:eastAsia="仿宋_GB2312" w:hAnsi="仿宋" w:cs="仿宋" w:hint="eastAsia"/>
          <w:b/>
          <w:bCs/>
          <w:sz w:val="32"/>
          <w:szCs w:val="32"/>
        </w:rPr>
        <w:t>二是</w:t>
      </w:r>
      <w:r>
        <w:rPr>
          <w:rFonts w:ascii="仿宋_GB2312" w:eastAsia="仿宋_GB2312" w:hAnsi="仿宋" w:cs="仿宋" w:hint="eastAsia"/>
          <w:sz w:val="32"/>
          <w:szCs w:val="32"/>
        </w:rPr>
        <w:t>青岛市财政局</w:t>
      </w:r>
      <w:r>
        <w:rPr>
          <w:rFonts w:ascii="仿宋_GB2312" w:eastAsia="仿宋_GB2312" w:hAnsi="仿宋" w:cs="仿宋" w:hint="eastAsia"/>
          <w:sz w:val="32"/>
          <w:szCs w:val="32"/>
        </w:rPr>
        <w:t>2024</w:t>
      </w:r>
      <w:r>
        <w:rPr>
          <w:rFonts w:ascii="仿宋_GB2312" w:eastAsia="仿宋_GB2312" w:hAnsi="仿宋" w:cs="仿宋" w:hint="eastAsia"/>
          <w:sz w:val="32"/>
          <w:szCs w:val="32"/>
        </w:rPr>
        <w:t>年</w:t>
      </w:r>
      <w:r>
        <w:rPr>
          <w:rFonts w:ascii="仿宋_GB2312" w:eastAsia="仿宋_GB2312" w:hAnsi="仿宋" w:cs="仿宋" w:hint="eastAsia"/>
          <w:sz w:val="32"/>
          <w:szCs w:val="32"/>
        </w:rPr>
        <w:t>4</w:t>
      </w:r>
      <w:r>
        <w:rPr>
          <w:rFonts w:ascii="仿宋_GB2312" w:eastAsia="仿宋_GB2312" w:hAnsi="仿宋" w:cs="仿宋" w:hint="eastAsia"/>
          <w:sz w:val="32"/>
          <w:szCs w:val="32"/>
        </w:rPr>
        <w:t>月</w:t>
      </w:r>
      <w:r>
        <w:rPr>
          <w:rFonts w:ascii="仿宋_GB2312" w:eastAsia="仿宋_GB2312" w:hAnsi="仿宋" w:cs="仿宋" w:hint="eastAsia"/>
          <w:sz w:val="32"/>
          <w:szCs w:val="32"/>
        </w:rPr>
        <w:t>16</w:t>
      </w:r>
      <w:r>
        <w:rPr>
          <w:rFonts w:ascii="仿宋_GB2312" w:eastAsia="仿宋_GB2312" w:hAnsi="仿宋" w:cs="仿宋" w:hint="eastAsia"/>
          <w:sz w:val="32"/>
          <w:szCs w:val="32"/>
        </w:rPr>
        <w:t>日印发《关于清算</w:t>
      </w:r>
      <w:r>
        <w:rPr>
          <w:rFonts w:ascii="仿宋_GB2312" w:eastAsia="仿宋_GB2312" w:hAnsi="仿宋" w:cs="仿宋" w:hint="eastAsia"/>
          <w:sz w:val="32"/>
          <w:szCs w:val="32"/>
        </w:rPr>
        <w:t>2024</w:t>
      </w:r>
      <w:r>
        <w:rPr>
          <w:rFonts w:ascii="仿宋_GB2312" w:eastAsia="仿宋_GB2312" w:hAnsi="仿宋" w:cs="仿宋" w:hint="eastAsia"/>
          <w:sz w:val="32"/>
          <w:szCs w:val="32"/>
        </w:rPr>
        <w:t>年度中小企业发展（小微企业创新转型）资金的通知》（青财企指〔</w:t>
      </w:r>
      <w:r>
        <w:rPr>
          <w:rFonts w:ascii="仿宋_GB2312" w:eastAsia="仿宋_GB2312" w:hAnsi="仿宋" w:cs="仿宋" w:hint="eastAsia"/>
          <w:sz w:val="32"/>
          <w:szCs w:val="32"/>
        </w:rPr>
        <w:t>2024</w:t>
      </w:r>
      <w:r>
        <w:rPr>
          <w:rFonts w:ascii="仿宋_GB2312" w:eastAsia="仿宋_GB2312" w:hAnsi="仿宋" w:cs="仿宋" w:hint="eastAsia"/>
          <w:sz w:val="32"/>
          <w:szCs w:val="32"/>
        </w:rPr>
        <w:t>〕</w:t>
      </w:r>
      <w:r>
        <w:rPr>
          <w:rFonts w:ascii="仿宋_GB2312" w:eastAsia="仿宋_GB2312" w:hAnsi="仿宋" w:cs="仿宋" w:hint="eastAsia"/>
          <w:sz w:val="32"/>
          <w:szCs w:val="32"/>
        </w:rPr>
        <w:t>8</w:t>
      </w:r>
      <w:r>
        <w:rPr>
          <w:rFonts w:ascii="仿宋_GB2312" w:eastAsia="仿宋_GB2312" w:hAnsi="仿宋" w:cs="仿宋" w:hint="eastAsia"/>
          <w:sz w:val="32"/>
          <w:szCs w:val="32"/>
        </w:rPr>
        <w:t>号），将</w:t>
      </w:r>
      <w:r>
        <w:rPr>
          <w:rFonts w:ascii="仿宋_GB2312" w:eastAsia="仿宋_GB2312" w:hAnsi="仿宋" w:cs="仿宋" w:hint="eastAsia"/>
          <w:sz w:val="32"/>
          <w:szCs w:val="32"/>
        </w:rPr>
        <w:t>2024</w:t>
      </w:r>
      <w:r>
        <w:rPr>
          <w:rFonts w:ascii="仿宋_GB2312" w:eastAsia="仿宋_GB2312" w:hAnsi="仿宋" w:cs="仿宋" w:hint="eastAsia"/>
          <w:sz w:val="32"/>
          <w:szCs w:val="32"/>
        </w:rPr>
        <w:t>年度拟奖补资金拨付至各区（市），其中拟奖补西</w:t>
      </w:r>
      <w:r>
        <w:rPr>
          <w:rFonts w:ascii="仿宋_GB2312" w:eastAsia="仿宋_GB2312" w:hAnsi="仿宋" w:cs="仿宋" w:hint="eastAsia"/>
          <w:sz w:val="32"/>
          <w:szCs w:val="32"/>
        </w:rPr>
        <w:t>海岸新区青岛宇阳橡胶有限公司</w:t>
      </w:r>
      <w:r>
        <w:rPr>
          <w:rFonts w:ascii="仿宋_GB2312" w:eastAsia="仿宋_GB2312" w:hAnsi="仿宋" w:cs="仿宋" w:hint="eastAsia"/>
          <w:sz w:val="32"/>
          <w:szCs w:val="32"/>
        </w:rPr>
        <w:t>60</w:t>
      </w:r>
      <w:r>
        <w:rPr>
          <w:rFonts w:ascii="仿宋_GB2312" w:eastAsia="仿宋_GB2312" w:hAnsi="仿宋" w:cs="仿宋" w:hint="eastAsia"/>
          <w:sz w:val="32"/>
          <w:szCs w:val="32"/>
        </w:rPr>
        <w:t>万元，评价发现，该公司已于</w:t>
      </w:r>
      <w:r>
        <w:rPr>
          <w:rFonts w:ascii="仿宋_GB2312" w:eastAsia="仿宋_GB2312" w:hAnsi="仿宋" w:cs="仿宋" w:hint="eastAsia"/>
          <w:sz w:val="32"/>
          <w:szCs w:val="32"/>
        </w:rPr>
        <w:t>2024</w:t>
      </w:r>
      <w:r>
        <w:rPr>
          <w:rFonts w:ascii="仿宋_GB2312" w:eastAsia="仿宋_GB2312" w:hAnsi="仿宋" w:cs="仿宋" w:hint="eastAsia"/>
          <w:sz w:val="32"/>
          <w:szCs w:val="32"/>
        </w:rPr>
        <w:t>年</w:t>
      </w:r>
      <w:r>
        <w:rPr>
          <w:rFonts w:ascii="仿宋_GB2312" w:eastAsia="仿宋_GB2312" w:hAnsi="仿宋" w:cs="仿宋" w:hint="eastAsia"/>
          <w:sz w:val="32"/>
          <w:szCs w:val="32"/>
        </w:rPr>
        <w:t>11</w:t>
      </w:r>
      <w:r>
        <w:rPr>
          <w:rFonts w:ascii="仿宋_GB2312" w:eastAsia="仿宋_GB2312" w:hAnsi="仿宋" w:cs="仿宋" w:hint="eastAsia"/>
          <w:sz w:val="32"/>
          <w:szCs w:val="32"/>
        </w:rPr>
        <w:t>月</w:t>
      </w:r>
      <w:r>
        <w:rPr>
          <w:rFonts w:ascii="仿宋_GB2312" w:eastAsia="仿宋_GB2312" w:hAnsi="仿宋" w:cs="仿宋" w:hint="eastAsia"/>
          <w:sz w:val="32"/>
          <w:szCs w:val="32"/>
        </w:rPr>
        <w:t>28</w:t>
      </w:r>
      <w:r>
        <w:rPr>
          <w:rFonts w:ascii="仿宋_GB2312" w:eastAsia="仿宋_GB2312" w:hAnsi="仿宋" w:cs="仿宋" w:hint="eastAsia"/>
          <w:sz w:val="32"/>
          <w:szCs w:val="32"/>
        </w:rPr>
        <w:t>日注销，公司法人资格终止，拟奖补资金已不具备拨付条件。</w:t>
      </w:r>
    </w:p>
    <w:p w:rsidR="00F0641F" w:rsidRDefault="00846C11">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lastRenderedPageBreak/>
        <w:t>（二）区（市）初审质量不高，审核准确性有待进一步提高</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经区（市）初审推荐企业</w:t>
      </w:r>
      <w:r>
        <w:rPr>
          <w:rFonts w:ascii="仿宋_GB2312" w:eastAsia="仿宋_GB2312" w:hAnsi="仿宋" w:cs="仿宋" w:hint="eastAsia"/>
          <w:sz w:val="32"/>
          <w:szCs w:val="32"/>
        </w:rPr>
        <w:t>1360</w:t>
      </w:r>
      <w:r>
        <w:rPr>
          <w:rFonts w:ascii="仿宋_GB2312" w:eastAsia="仿宋_GB2312" w:hAnsi="仿宋" w:cs="仿宋" w:hint="eastAsia"/>
          <w:sz w:val="32"/>
          <w:szCs w:val="32"/>
        </w:rPr>
        <w:t>家，市民营经济局委托第三方机构开展市级审定拟奖补企业</w:t>
      </w:r>
      <w:r>
        <w:rPr>
          <w:rFonts w:ascii="仿宋_GB2312" w:eastAsia="仿宋_GB2312" w:hAnsi="仿宋" w:cs="仿宋" w:hint="eastAsia"/>
          <w:sz w:val="32"/>
          <w:szCs w:val="32"/>
        </w:rPr>
        <w:t>1189</w:t>
      </w:r>
      <w:r>
        <w:rPr>
          <w:rFonts w:ascii="仿宋_GB2312" w:eastAsia="仿宋_GB2312" w:hAnsi="仿宋" w:cs="仿宋" w:hint="eastAsia"/>
          <w:sz w:val="32"/>
          <w:szCs w:val="32"/>
        </w:rPr>
        <w:t>家，审减</w:t>
      </w:r>
      <w:r>
        <w:rPr>
          <w:rFonts w:ascii="仿宋_GB2312" w:eastAsia="仿宋_GB2312" w:hAnsi="仿宋" w:cs="仿宋" w:hint="eastAsia"/>
          <w:sz w:val="32"/>
          <w:szCs w:val="32"/>
        </w:rPr>
        <w:t>171</w:t>
      </w:r>
      <w:r>
        <w:rPr>
          <w:rFonts w:ascii="仿宋_GB2312" w:eastAsia="仿宋_GB2312" w:hAnsi="仿宋" w:cs="仿宋" w:hint="eastAsia"/>
          <w:sz w:val="32"/>
          <w:szCs w:val="32"/>
        </w:rPr>
        <w:t>家，审减比例</w:t>
      </w:r>
      <w:r>
        <w:rPr>
          <w:rFonts w:ascii="仿宋_GB2312" w:eastAsia="仿宋_GB2312" w:hAnsi="仿宋" w:cs="仿宋" w:hint="eastAsia"/>
          <w:sz w:val="32"/>
          <w:szCs w:val="32"/>
        </w:rPr>
        <w:t>12.57%</w:t>
      </w:r>
      <w:r>
        <w:rPr>
          <w:rFonts w:ascii="仿宋_GB2312" w:eastAsia="仿宋_GB2312" w:hAnsi="仿宋" w:cs="仿宋" w:hint="eastAsia"/>
          <w:sz w:val="32"/>
          <w:szCs w:val="32"/>
        </w:rPr>
        <w:t>。其中，因申报条件符合性（如：不符合“绿色门槛”要求等）和提报申请材料的完整性（如：缺少财务报表、无违法违规记录证明等）原因核减企业共</w:t>
      </w:r>
      <w:r>
        <w:rPr>
          <w:rFonts w:ascii="仿宋_GB2312" w:eastAsia="仿宋_GB2312" w:hAnsi="仿宋" w:cs="仿宋" w:hint="eastAsia"/>
          <w:sz w:val="32"/>
          <w:szCs w:val="32"/>
        </w:rPr>
        <w:t>29</w:t>
      </w:r>
      <w:r>
        <w:rPr>
          <w:rFonts w:ascii="仿宋_GB2312" w:eastAsia="仿宋_GB2312" w:hAnsi="仿宋" w:cs="仿宋" w:hint="eastAsia"/>
          <w:sz w:val="32"/>
          <w:szCs w:val="32"/>
        </w:rPr>
        <w:t>家。</w:t>
      </w:r>
    </w:p>
    <w:p w:rsidR="00F0641F" w:rsidRDefault="00846C11">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六、相关建议</w:t>
      </w:r>
    </w:p>
    <w:p w:rsidR="00F0641F" w:rsidRDefault="00846C11">
      <w:pPr>
        <w:adjustRightInd w:val="0"/>
        <w:snapToGrid w:val="0"/>
        <w:spacing w:line="600" w:lineRule="exact"/>
        <w:ind w:firstLineChars="200" w:firstLine="640"/>
        <w:outlineLvl w:val="0"/>
        <w:rPr>
          <w:rFonts w:ascii="楷体_GB2312" w:eastAsia="楷体_GB2312" w:hAnsi="楷体_GB2312" w:cs="楷体_GB2312"/>
          <w:sz w:val="32"/>
          <w:szCs w:val="40"/>
        </w:rPr>
      </w:pPr>
      <w:r>
        <w:rPr>
          <w:rFonts w:ascii="楷体_GB2312" w:eastAsia="楷体_GB2312" w:hAnsi="楷体_GB2312" w:cs="楷体_GB2312" w:hint="eastAsia"/>
          <w:sz w:val="32"/>
          <w:szCs w:val="40"/>
        </w:rPr>
        <w:t>（一）开展资金拨付“清零”行动，收回不</w:t>
      </w:r>
      <w:r>
        <w:rPr>
          <w:rFonts w:ascii="楷体_GB2312" w:eastAsia="楷体_GB2312" w:hAnsi="楷体_GB2312" w:cs="楷体_GB2312" w:hint="eastAsia"/>
          <w:sz w:val="32"/>
          <w:szCs w:val="40"/>
        </w:rPr>
        <w:t>具备拨付条件的奖补资金，优化预算管理与资金调整效率。</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sidRPr="001C6C8D">
        <w:rPr>
          <w:rFonts w:ascii="仿宋_GB2312" w:eastAsia="仿宋_GB2312" w:hAnsi="仿宋" w:cs="仿宋" w:hint="eastAsia"/>
          <w:sz w:val="32"/>
          <w:szCs w:val="32"/>
        </w:rPr>
        <w:t>一是建议</w:t>
      </w:r>
      <w:r w:rsidR="00C84DB6" w:rsidRPr="001C6C8D">
        <w:rPr>
          <w:rFonts w:ascii="仿宋_GB2312" w:eastAsia="仿宋_GB2312" w:hAnsi="仿宋" w:cs="仿宋" w:hint="eastAsia"/>
          <w:sz w:val="32"/>
          <w:szCs w:val="32"/>
        </w:rPr>
        <w:t>市民营经济局每季度调度各区(市)前期已拨付资金兑现情况。各区(市)统筹财力情况，合理安排拨款时序，加快奖补资金兑现。</w:t>
      </w:r>
    </w:p>
    <w:p w:rsidR="00F0641F" w:rsidRDefault="00846C11">
      <w:pPr>
        <w:adjustRightInd w:val="0"/>
        <w:snapToGrid w:val="0"/>
        <w:spacing w:line="600" w:lineRule="exact"/>
        <w:ind w:firstLineChars="200" w:firstLine="643"/>
        <w:outlineLvl w:val="0"/>
        <w:rPr>
          <w:rFonts w:ascii="仿宋_GB2312" w:eastAsia="仿宋_GB2312" w:hAnsi="仿宋" w:cs="仿宋"/>
          <w:sz w:val="32"/>
          <w:szCs w:val="32"/>
        </w:rPr>
      </w:pPr>
      <w:r>
        <w:rPr>
          <w:rFonts w:ascii="仿宋_GB2312" w:eastAsia="仿宋_GB2312" w:hAnsi="仿宋" w:cs="仿宋" w:hint="eastAsia"/>
          <w:b/>
          <w:bCs/>
          <w:sz w:val="32"/>
          <w:szCs w:val="32"/>
        </w:rPr>
        <w:t>二是</w:t>
      </w:r>
      <w:r>
        <w:rPr>
          <w:rFonts w:ascii="仿宋_GB2312" w:eastAsia="仿宋_GB2312" w:hAnsi="仿宋" w:cs="仿宋" w:hint="eastAsia"/>
          <w:sz w:val="32"/>
          <w:szCs w:val="32"/>
        </w:rPr>
        <w:t>建议市民营经济局按规定程序收回</w:t>
      </w:r>
      <w:r>
        <w:rPr>
          <w:rFonts w:ascii="仿宋_GB2312" w:eastAsia="仿宋_GB2312" w:hAnsi="仿宋" w:cs="仿宋" w:hint="eastAsia"/>
          <w:sz w:val="32"/>
          <w:szCs w:val="32"/>
        </w:rPr>
        <w:t>2024</w:t>
      </w:r>
      <w:r>
        <w:rPr>
          <w:rFonts w:ascii="仿宋_GB2312" w:eastAsia="仿宋_GB2312" w:hAnsi="仿宋" w:cs="仿宋" w:hint="eastAsia"/>
          <w:sz w:val="32"/>
          <w:szCs w:val="32"/>
        </w:rPr>
        <w:t>年度下达西海岸新区已注销企业青岛宇阳橡胶有限公司拟奖补资金</w:t>
      </w:r>
      <w:r>
        <w:rPr>
          <w:rFonts w:ascii="仿宋_GB2312" w:eastAsia="仿宋_GB2312" w:hAnsi="仿宋" w:cs="仿宋" w:hint="eastAsia"/>
          <w:sz w:val="32"/>
          <w:szCs w:val="32"/>
        </w:rPr>
        <w:t>60</w:t>
      </w:r>
      <w:r>
        <w:rPr>
          <w:rFonts w:ascii="仿宋_GB2312" w:eastAsia="仿宋_GB2312" w:hAnsi="仿宋" w:cs="仿宋" w:hint="eastAsia"/>
          <w:sz w:val="32"/>
          <w:szCs w:val="32"/>
        </w:rPr>
        <w:t>万元，提高财政资金使用效率。</w:t>
      </w:r>
    </w:p>
    <w:p w:rsidR="00F0641F" w:rsidRDefault="00846C11">
      <w:pPr>
        <w:adjustRightInd w:val="0"/>
        <w:snapToGrid w:val="0"/>
        <w:spacing w:line="600" w:lineRule="exact"/>
        <w:ind w:firstLineChars="200" w:firstLine="640"/>
        <w:outlineLvl w:val="0"/>
        <w:rPr>
          <w:rFonts w:ascii="楷体_GB2312" w:eastAsia="楷体_GB2312" w:hAnsi="楷体_GB2312" w:cs="楷体_GB2312"/>
          <w:sz w:val="32"/>
          <w:szCs w:val="40"/>
        </w:rPr>
      </w:pPr>
      <w:r>
        <w:rPr>
          <w:rFonts w:ascii="楷体_GB2312" w:eastAsia="楷体_GB2312" w:hAnsi="楷体_GB2312" w:cs="楷体_GB2312" w:hint="eastAsia"/>
          <w:sz w:val="32"/>
          <w:szCs w:val="40"/>
        </w:rPr>
        <w:t>（二）强化审核力度，提高评审质量。</w:t>
      </w:r>
    </w:p>
    <w:p w:rsidR="00F0641F" w:rsidRDefault="00846C11">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建议市民营经济局压实区</w:t>
      </w:r>
      <w:r>
        <w:rPr>
          <w:rFonts w:ascii="仿宋_GB2312" w:eastAsia="仿宋_GB2312" w:hAnsi="仿宋" w:cs="仿宋" w:hint="eastAsia"/>
          <w:sz w:val="32"/>
          <w:szCs w:val="32"/>
        </w:rPr>
        <w:t>(</w:t>
      </w:r>
      <w:r>
        <w:rPr>
          <w:rFonts w:ascii="仿宋_GB2312" w:eastAsia="仿宋_GB2312" w:hAnsi="仿宋" w:cs="仿宋" w:hint="eastAsia"/>
          <w:sz w:val="32"/>
          <w:szCs w:val="32"/>
        </w:rPr>
        <w:t>市</w:t>
      </w:r>
      <w:r>
        <w:rPr>
          <w:rFonts w:ascii="仿宋_GB2312" w:eastAsia="仿宋_GB2312" w:hAnsi="仿宋" w:cs="仿宋" w:hint="eastAsia"/>
          <w:sz w:val="32"/>
          <w:szCs w:val="32"/>
        </w:rPr>
        <w:t>)</w:t>
      </w:r>
      <w:r>
        <w:rPr>
          <w:rFonts w:ascii="仿宋_GB2312" w:eastAsia="仿宋_GB2312" w:hAnsi="仿宋" w:cs="仿宋" w:hint="eastAsia"/>
          <w:sz w:val="32"/>
          <w:szCs w:val="32"/>
        </w:rPr>
        <w:t>民营经济</w:t>
      </w:r>
      <w:r>
        <w:rPr>
          <w:rFonts w:ascii="仿宋_GB2312" w:eastAsia="仿宋_GB2312" w:hAnsi="仿宋" w:cs="仿宋" w:hint="eastAsia"/>
          <w:sz w:val="32"/>
          <w:szCs w:val="32"/>
        </w:rPr>
        <w:t>(</w:t>
      </w:r>
      <w:r>
        <w:rPr>
          <w:rFonts w:ascii="仿宋_GB2312" w:eastAsia="仿宋_GB2312" w:hAnsi="仿宋" w:cs="仿宋" w:hint="eastAsia"/>
          <w:sz w:val="32"/>
          <w:szCs w:val="32"/>
        </w:rPr>
        <w:t>中小企业</w:t>
      </w:r>
      <w:r>
        <w:rPr>
          <w:rFonts w:ascii="仿宋_GB2312" w:eastAsia="仿宋_GB2312" w:hAnsi="仿宋" w:cs="仿宋" w:hint="eastAsia"/>
          <w:sz w:val="32"/>
          <w:szCs w:val="32"/>
        </w:rPr>
        <w:t>)</w:t>
      </w:r>
      <w:r>
        <w:rPr>
          <w:rFonts w:ascii="仿宋_GB2312" w:eastAsia="仿宋_GB2312" w:hAnsi="仿宋" w:cs="仿宋" w:hint="eastAsia"/>
          <w:sz w:val="32"/>
          <w:szCs w:val="32"/>
        </w:rPr>
        <w:t>主管部门的初审推荐责任，进一步加强政策宣贯解读和申报辅导，帮助企业完善申报材料，并严格把握企业的申报条件符合性和申请材料的完整性，提高企业申报材料初审质量。</w:t>
      </w:r>
    </w:p>
    <w:p w:rsidR="00F0641F" w:rsidRDefault="00846C11">
      <w:pPr>
        <w:adjustRightInd w:val="0"/>
        <w:snapToGrid w:val="0"/>
        <w:spacing w:line="580" w:lineRule="exact"/>
        <w:ind w:firstLineChars="200" w:firstLine="640"/>
        <w:outlineLvl w:val="0"/>
        <w:rPr>
          <w:rFonts w:ascii="黑体" w:eastAsia="黑体" w:hAnsi="黑体" w:cs="黑体"/>
          <w:sz w:val="32"/>
          <w:szCs w:val="40"/>
        </w:rPr>
      </w:pPr>
      <w:bookmarkStart w:id="0" w:name="_Toc11762"/>
      <w:r>
        <w:rPr>
          <w:rFonts w:ascii="黑体" w:eastAsia="黑体" w:hAnsi="黑体" w:cs="黑体" w:hint="eastAsia"/>
          <w:sz w:val="32"/>
          <w:szCs w:val="40"/>
        </w:rPr>
        <w:lastRenderedPageBreak/>
        <w:t>七、其他需要说明的事项</w:t>
      </w:r>
      <w:bookmarkEnd w:id="0"/>
    </w:p>
    <w:p w:rsidR="00F0641F" w:rsidRDefault="00846C11" w:rsidP="007013E9">
      <w:pPr>
        <w:adjustRightInd w:val="0"/>
        <w:snapToGrid w:val="0"/>
        <w:spacing w:line="600" w:lineRule="exact"/>
        <w:ind w:firstLineChars="200" w:firstLine="640"/>
        <w:outlineLvl w:val="0"/>
        <w:rPr>
          <w:rFonts w:ascii="仿宋_GB2312" w:eastAsia="仿宋_GB2312" w:hAnsi="仿宋" w:cs="仿宋"/>
          <w:sz w:val="32"/>
          <w:szCs w:val="32"/>
        </w:rPr>
      </w:pPr>
      <w:r>
        <w:rPr>
          <w:rFonts w:ascii="仿宋_GB2312" w:eastAsia="仿宋_GB2312" w:hAnsi="仿宋" w:cs="仿宋" w:hint="eastAsia"/>
          <w:sz w:val="32"/>
          <w:szCs w:val="32"/>
        </w:rPr>
        <w:t>2025</w:t>
      </w:r>
      <w:r>
        <w:rPr>
          <w:rFonts w:ascii="仿宋_GB2312" w:eastAsia="仿宋_GB2312" w:hAnsi="仿宋" w:cs="仿宋" w:hint="eastAsia"/>
          <w:sz w:val="32"/>
          <w:szCs w:val="32"/>
        </w:rPr>
        <w:t>年度创新转型专项资金项目预算</w:t>
      </w:r>
      <w:r>
        <w:rPr>
          <w:rFonts w:ascii="仿宋_GB2312" w:eastAsia="仿宋_GB2312" w:hAnsi="仿宋" w:cs="仿宋" w:hint="eastAsia"/>
          <w:sz w:val="32"/>
          <w:szCs w:val="32"/>
        </w:rPr>
        <w:t>15,705.00</w:t>
      </w:r>
      <w:r>
        <w:rPr>
          <w:rFonts w:ascii="仿宋_GB2312" w:eastAsia="仿宋_GB2312" w:hAnsi="仿宋" w:cs="仿宋" w:hint="eastAsia"/>
          <w:sz w:val="32"/>
          <w:szCs w:val="32"/>
        </w:rPr>
        <w:t>万元。经市民营经济发展局委托的第三方机构审核，最终核定奖补资</w:t>
      </w:r>
      <w:r w:rsidRPr="001C6C8D">
        <w:rPr>
          <w:rFonts w:ascii="仿宋_GB2312" w:eastAsia="仿宋_GB2312" w:hAnsi="仿宋" w:cs="仿宋" w:hint="eastAsia"/>
          <w:sz w:val="32"/>
          <w:szCs w:val="32"/>
        </w:rPr>
        <w:t>金总额</w:t>
      </w:r>
      <w:r w:rsidRPr="001C6C8D">
        <w:rPr>
          <w:rFonts w:ascii="仿宋_GB2312" w:eastAsia="仿宋_GB2312" w:hAnsi="仿宋" w:cs="仿宋" w:hint="eastAsia"/>
          <w:sz w:val="32"/>
          <w:szCs w:val="32"/>
        </w:rPr>
        <w:t>14,608.41</w:t>
      </w:r>
      <w:r w:rsidRPr="001C6C8D">
        <w:rPr>
          <w:rFonts w:ascii="仿宋_GB2312" w:eastAsia="仿宋_GB2312" w:hAnsi="仿宋" w:cs="仿宋" w:hint="eastAsia"/>
          <w:sz w:val="32"/>
          <w:szCs w:val="32"/>
        </w:rPr>
        <w:t>万元</w:t>
      </w:r>
      <w:r w:rsidR="00C53D40" w:rsidRPr="001C6C8D">
        <w:rPr>
          <w:rFonts w:ascii="仿宋_GB2312" w:eastAsia="仿宋_GB2312" w:hAnsi="仿宋" w:cs="仿宋" w:hint="eastAsia"/>
          <w:sz w:val="32"/>
          <w:szCs w:val="32"/>
        </w:rPr>
        <w:t>，</w:t>
      </w:r>
      <w:r w:rsidRPr="001C6C8D">
        <w:rPr>
          <w:rFonts w:ascii="仿宋_GB2312" w:eastAsia="仿宋_GB2312" w:hAnsi="仿宋" w:cs="仿宋" w:hint="eastAsia"/>
          <w:sz w:val="32"/>
          <w:szCs w:val="32"/>
        </w:rPr>
        <w:t>该奖补资金已全部拨付至相关企业</w:t>
      </w:r>
      <w:r w:rsidR="00C53D40" w:rsidRPr="001C6C8D">
        <w:rPr>
          <w:rFonts w:ascii="仿宋_GB2312" w:eastAsia="仿宋_GB2312" w:hAnsi="仿宋" w:cs="仿宋" w:hint="eastAsia"/>
          <w:sz w:val="32"/>
          <w:szCs w:val="32"/>
        </w:rPr>
        <w:t>。</w:t>
      </w:r>
      <w:r w:rsidRPr="001C6C8D">
        <w:rPr>
          <w:rFonts w:ascii="仿宋_GB2312" w:eastAsia="仿宋_GB2312" w:hAnsi="仿宋" w:cs="仿宋" w:hint="eastAsia"/>
          <w:sz w:val="32"/>
          <w:szCs w:val="32"/>
        </w:rPr>
        <w:t>市民营经济局</w:t>
      </w:r>
      <w:r w:rsidR="00C53D40" w:rsidRPr="001C6C8D">
        <w:rPr>
          <w:rFonts w:ascii="仿宋_GB2312" w:eastAsia="仿宋_GB2312" w:hAnsi="仿宋" w:cs="仿宋" w:hint="eastAsia"/>
          <w:sz w:val="32"/>
          <w:szCs w:val="32"/>
        </w:rPr>
        <w:t>已将</w:t>
      </w:r>
      <w:r w:rsidRPr="001C6C8D">
        <w:rPr>
          <w:rFonts w:ascii="仿宋_GB2312" w:eastAsia="仿宋_GB2312" w:hAnsi="仿宋" w:cs="仿宋" w:hint="eastAsia"/>
          <w:sz w:val="32"/>
          <w:szCs w:val="32"/>
        </w:rPr>
        <w:t>结余资金</w:t>
      </w:r>
      <w:r w:rsidR="00C53D40" w:rsidRPr="001C6C8D">
        <w:rPr>
          <w:rFonts w:ascii="仿宋_GB2312" w:eastAsia="仿宋_GB2312" w:hAnsi="仿宋" w:cs="仿宋" w:hint="eastAsia"/>
          <w:sz w:val="32"/>
          <w:szCs w:val="32"/>
        </w:rPr>
        <w:t>1,096.59万元</w:t>
      </w:r>
      <w:r w:rsidRPr="001C6C8D">
        <w:rPr>
          <w:rFonts w:ascii="仿宋_GB2312" w:eastAsia="仿宋_GB2312" w:hAnsi="仿宋" w:cs="仿宋" w:hint="eastAsia"/>
          <w:sz w:val="32"/>
          <w:szCs w:val="32"/>
        </w:rPr>
        <w:t>上缴市财政。</w:t>
      </w:r>
    </w:p>
    <w:sectPr w:rsidR="00F0641F" w:rsidSect="00F817E8">
      <w:footerReference w:type="default" r:id="rId7"/>
      <w:pgSz w:w="11906" w:h="16838"/>
      <w:pgMar w:top="2041" w:right="1701" w:bottom="2041" w:left="1701" w:header="851" w:footer="1361" w:gutter="0"/>
      <w:pgNumType w:start="1"/>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C11" w:rsidRDefault="00846C11">
      <w:r>
        <w:separator/>
      </w:r>
    </w:p>
  </w:endnote>
  <w:endnote w:type="continuationSeparator" w:id="1">
    <w:p w:rsidR="00846C11" w:rsidRDefault="00846C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41F" w:rsidRDefault="00F817E8">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filled="f" stroked="f" strokeweight=".5pt">
          <v:textbox style="mso-fit-shape-to-text:t" inset="0,0,0,0">
            <w:txbxContent>
              <w:p w:rsidR="00F0641F" w:rsidRDefault="00846C11">
                <w:pPr>
                  <w:pStyle w:val="a4"/>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w:t>
                </w:r>
                <w:r>
                  <w:rPr>
                    <w:rFonts w:asciiTheme="majorEastAsia" w:eastAsiaTheme="majorEastAsia" w:hAnsiTheme="majorEastAsia" w:cstheme="majorEastAsia" w:hint="eastAsia"/>
                    <w:sz w:val="24"/>
                  </w:rPr>
                  <w:t xml:space="preserve"> </w:t>
                </w:r>
                <w:r w:rsidR="00F817E8">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  \* MERGEFORMAT </w:instrText>
                </w:r>
                <w:r w:rsidR="00F817E8">
                  <w:rPr>
                    <w:rFonts w:asciiTheme="majorEastAsia" w:eastAsiaTheme="majorEastAsia" w:hAnsiTheme="majorEastAsia" w:cstheme="majorEastAsia" w:hint="eastAsia"/>
                    <w:sz w:val="24"/>
                  </w:rPr>
                  <w:fldChar w:fldCharType="separate"/>
                </w:r>
                <w:r w:rsidR="007013E9">
                  <w:rPr>
                    <w:rFonts w:asciiTheme="majorEastAsia" w:eastAsiaTheme="majorEastAsia" w:hAnsiTheme="majorEastAsia" w:cstheme="majorEastAsia"/>
                    <w:noProof/>
                    <w:sz w:val="24"/>
                  </w:rPr>
                  <w:t>15</w:t>
                </w:r>
                <w:r w:rsidR="00F817E8">
                  <w:rPr>
                    <w:rFonts w:asciiTheme="majorEastAsia" w:eastAsiaTheme="majorEastAsia" w:hAnsiTheme="majorEastAsia" w:cstheme="majorEastAsia" w:hint="eastAsia"/>
                    <w:sz w:val="24"/>
                  </w:rPr>
                  <w:fldChar w:fldCharType="end"/>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C11" w:rsidRDefault="00846C11">
      <w:r>
        <w:separator/>
      </w:r>
    </w:p>
  </w:footnote>
  <w:footnote w:type="continuationSeparator" w:id="1">
    <w:p w:rsidR="00846C11" w:rsidRDefault="00846C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09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21272E"/>
    <w:rsid w:val="000F6E16"/>
    <w:rsid w:val="001031D7"/>
    <w:rsid w:val="00107D3F"/>
    <w:rsid w:val="00140050"/>
    <w:rsid w:val="00145DEF"/>
    <w:rsid w:val="001C6C8D"/>
    <w:rsid w:val="0021272E"/>
    <w:rsid w:val="00243C1C"/>
    <w:rsid w:val="00291497"/>
    <w:rsid w:val="002F67BF"/>
    <w:rsid w:val="00610679"/>
    <w:rsid w:val="007013E9"/>
    <w:rsid w:val="007C69CF"/>
    <w:rsid w:val="00846C11"/>
    <w:rsid w:val="008C071A"/>
    <w:rsid w:val="008F2AE2"/>
    <w:rsid w:val="008F2B73"/>
    <w:rsid w:val="009F7C6C"/>
    <w:rsid w:val="00BC757B"/>
    <w:rsid w:val="00C339C4"/>
    <w:rsid w:val="00C53D40"/>
    <w:rsid w:val="00C84DB6"/>
    <w:rsid w:val="00C9511F"/>
    <w:rsid w:val="00D328CE"/>
    <w:rsid w:val="00DB1E98"/>
    <w:rsid w:val="00F0641F"/>
    <w:rsid w:val="00F817E8"/>
    <w:rsid w:val="00FE7B94"/>
    <w:rsid w:val="00FF5BB9"/>
    <w:rsid w:val="01455A42"/>
    <w:rsid w:val="01D94A0C"/>
    <w:rsid w:val="01DB7ED5"/>
    <w:rsid w:val="024261A6"/>
    <w:rsid w:val="02E9307F"/>
    <w:rsid w:val="030A0A72"/>
    <w:rsid w:val="03545836"/>
    <w:rsid w:val="0373620A"/>
    <w:rsid w:val="03D83F85"/>
    <w:rsid w:val="03E47515"/>
    <w:rsid w:val="04464DA1"/>
    <w:rsid w:val="04467040"/>
    <w:rsid w:val="0451447E"/>
    <w:rsid w:val="045B27D8"/>
    <w:rsid w:val="047D34C5"/>
    <w:rsid w:val="04836179"/>
    <w:rsid w:val="04874344"/>
    <w:rsid w:val="04877EA0"/>
    <w:rsid w:val="054C7DEB"/>
    <w:rsid w:val="05AF1B60"/>
    <w:rsid w:val="05EF3111"/>
    <w:rsid w:val="0655268C"/>
    <w:rsid w:val="06734B80"/>
    <w:rsid w:val="06A8466F"/>
    <w:rsid w:val="06BA630B"/>
    <w:rsid w:val="06CB4FA1"/>
    <w:rsid w:val="06F9011A"/>
    <w:rsid w:val="07260C60"/>
    <w:rsid w:val="07797F74"/>
    <w:rsid w:val="07BB2A7D"/>
    <w:rsid w:val="07DD1B2D"/>
    <w:rsid w:val="07E61381"/>
    <w:rsid w:val="081B05C8"/>
    <w:rsid w:val="081D7713"/>
    <w:rsid w:val="08485B98"/>
    <w:rsid w:val="08625F30"/>
    <w:rsid w:val="08660312"/>
    <w:rsid w:val="08782A49"/>
    <w:rsid w:val="08862702"/>
    <w:rsid w:val="08CB596A"/>
    <w:rsid w:val="08EE6740"/>
    <w:rsid w:val="08FA2581"/>
    <w:rsid w:val="09D27E0F"/>
    <w:rsid w:val="0A4003A7"/>
    <w:rsid w:val="0A73026D"/>
    <w:rsid w:val="0A9E7CF1"/>
    <w:rsid w:val="0ACF3715"/>
    <w:rsid w:val="0AD32091"/>
    <w:rsid w:val="0B3D5440"/>
    <w:rsid w:val="0B6158EF"/>
    <w:rsid w:val="0BA07177"/>
    <w:rsid w:val="0C207036"/>
    <w:rsid w:val="0C2D2B48"/>
    <w:rsid w:val="0C7451AE"/>
    <w:rsid w:val="0C874EE1"/>
    <w:rsid w:val="0CA21D1B"/>
    <w:rsid w:val="0CF12B59"/>
    <w:rsid w:val="0D35196A"/>
    <w:rsid w:val="0D562B05"/>
    <w:rsid w:val="0DB02216"/>
    <w:rsid w:val="0E2844A2"/>
    <w:rsid w:val="0EA35DC8"/>
    <w:rsid w:val="0EE70967"/>
    <w:rsid w:val="0EF53592"/>
    <w:rsid w:val="0F0C4D22"/>
    <w:rsid w:val="0F1C7638"/>
    <w:rsid w:val="0F275C39"/>
    <w:rsid w:val="0F7013DA"/>
    <w:rsid w:val="0FC1070A"/>
    <w:rsid w:val="0FEF6A7E"/>
    <w:rsid w:val="10302F3B"/>
    <w:rsid w:val="105146E8"/>
    <w:rsid w:val="10534422"/>
    <w:rsid w:val="106A3C74"/>
    <w:rsid w:val="109776BD"/>
    <w:rsid w:val="10AC0EB3"/>
    <w:rsid w:val="116006F3"/>
    <w:rsid w:val="1169092A"/>
    <w:rsid w:val="11A845A5"/>
    <w:rsid w:val="11CE42C7"/>
    <w:rsid w:val="11FB4122"/>
    <w:rsid w:val="126A1858"/>
    <w:rsid w:val="12A957B3"/>
    <w:rsid w:val="12C24CBD"/>
    <w:rsid w:val="12D77EA0"/>
    <w:rsid w:val="12E85257"/>
    <w:rsid w:val="13272F7A"/>
    <w:rsid w:val="136B5021"/>
    <w:rsid w:val="137F578F"/>
    <w:rsid w:val="138D0F00"/>
    <w:rsid w:val="13E23345"/>
    <w:rsid w:val="13FA4410"/>
    <w:rsid w:val="145204CA"/>
    <w:rsid w:val="1461776C"/>
    <w:rsid w:val="14832432"/>
    <w:rsid w:val="14A90919"/>
    <w:rsid w:val="14C842E9"/>
    <w:rsid w:val="14CB5B87"/>
    <w:rsid w:val="15485AA9"/>
    <w:rsid w:val="156A6C7D"/>
    <w:rsid w:val="15D13671"/>
    <w:rsid w:val="16832BBD"/>
    <w:rsid w:val="17166D9B"/>
    <w:rsid w:val="17242B35"/>
    <w:rsid w:val="17387357"/>
    <w:rsid w:val="1745602F"/>
    <w:rsid w:val="178642C9"/>
    <w:rsid w:val="17AD6DF3"/>
    <w:rsid w:val="17D962EE"/>
    <w:rsid w:val="17EF3C37"/>
    <w:rsid w:val="181F7418"/>
    <w:rsid w:val="186755E9"/>
    <w:rsid w:val="186C142F"/>
    <w:rsid w:val="188E07F0"/>
    <w:rsid w:val="18A961DF"/>
    <w:rsid w:val="18CB084B"/>
    <w:rsid w:val="19067AD5"/>
    <w:rsid w:val="199D5E77"/>
    <w:rsid w:val="19DB4ABE"/>
    <w:rsid w:val="19EF056A"/>
    <w:rsid w:val="19EF2318"/>
    <w:rsid w:val="1A262DA7"/>
    <w:rsid w:val="1AAB436E"/>
    <w:rsid w:val="1AE07EE3"/>
    <w:rsid w:val="1AE25CC7"/>
    <w:rsid w:val="1B027E29"/>
    <w:rsid w:val="1B22706E"/>
    <w:rsid w:val="1B4318B7"/>
    <w:rsid w:val="1B9E5DA3"/>
    <w:rsid w:val="1B9F26B9"/>
    <w:rsid w:val="1BB4423A"/>
    <w:rsid w:val="1BE22134"/>
    <w:rsid w:val="1C006A5E"/>
    <w:rsid w:val="1C2B486D"/>
    <w:rsid w:val="1C4E1577"/>
    <w:rsid w:val="1C8261A0"/>
    <w:rsid w:val="1CB763CB"/>
    <w:rsid w:val="1CD06430"/>
    <w:rsid w:val="1CFC0F25"/>
    <w:rsid w:val="1D4B1D72"/>
    <w:rsid w:val="1D5036C6"/>
    <w:rsid w:val="1D665076"/>
    <w:rsid w:val="1DD238FA"/>
    <w:rsid w:val="1DD844A0"/>
    <w:rsid w:val="1DE50360"/>
    <w:rsid w:val="1E1730EC"/>
    <w:rsid w:val="1E5D3CF4"/>
    <w:rsid w:val="1E7E58C5"/>
    <w:rsid w:val="1E893BB9"/>
    <w:rsid w:val="1EA044C3"/>
    <w:rsid w:val="1F037D2D"/>
    <w:rsid w:val="1F525822"/>
    <w:rsid w:val="1FC128ED"/>
    <w:rsid w:val="1FFC2EAD"/>
    <w:rsid w:val="20012DA5"/>
    <w:rsid w:val="200F6826"/>
    <w:rsid w:val="208A783B"/>
    <w:rsid w:val="20D81D57"/>
    <w:rsid w:val="213A031C"/>
    <w:rsid w:val="213D57CB"/>
    <w:rsid w:val="21410299"/>
    <w:rsid w:val="218E05B6"/>
    <w:rsid w:val="21A701B7"/>
    <w:rsid w:val="21EE7F72"/>
    <w:rsid w:val="21FA7AAB"/>
    <w:rsid w:val="2243177A"/>
    <w:rsid w:val="22835CF3"/>
    <w:rsid w:val="22A91B2C"/>
    <w:rsid w:val="2304679B"/>
    <w:rsid w:val="23495BE6"/>
    <w:rsid w:val="238916A4"/>
    <w:rsid w:val="23A03C41"/>
    <w:rsid w:val="23BE21BE"/>
    <w:rsid w:val="23DC1D1C"/>
    <w:rsid w:val="23F22901"/>
    <w:rsid w:val="23FC5F73"/>
    <w:rsid w:val="240B5FA0"/>
    <w:rsid w:val="24223CEC"/>
    <w:rsid w:val="24286B52"/>
    <w:rsid w:val="246A1A10"/>
    <w:rsid w:val="246D27B7"/>
    <w:rsid w:val="24EA3E14"/>
    <w:rsid w:val="25284340"/>
    <w:rsid w:val="25396B3D"/>
    <w:rsid w:val="255A0F8D"/>
    <w:rsid w:val="25867323"/>
    <w:rsid w:val="259048CC"/>
    <w:rsid w:val="2600110B"/>
    <w:rsid w:val="26691F41"/>
    <w:rsid w:val="26F02C86"/>
    <w:rsid w:val="272356CA"/>
    <w:rsid w:val="27682660"/>
    <w:rsid w:val="27935170"/>
    <w:rsid w:val="279A3902"/>
    <w:rsid w:val="27B34984"/>
    <w:rsid w:val="27CE7A10"/>
    <w:rsid w:val="27E92A9C"/>
    <w:rsid w:val="281731DB"/>
    <w:rsid w:val="286B210C"/>
    <w:rsid w:val="288E1ECE"/>
    <w:rsid w:val="28E43974"/>
    <w:rsid w:val="2946520E"/>
    <w:rsid w:val="29D25478"/>
    <w:rsid w:val="29D91F28"/>
    <w:rsid w:val="29E11C7D"/>
    <w:rsid w:val="29F64FFC"/>
    <w:rsid w:val="2A0F7BD4"/>
    <w:rsid w:val="2A5E676F"/>
    <w:rsid w:val="2A992557"/>
    <w:rsid w:val="2AE45217"/>
    <w:rsid w:val="2AFE23BA"/>
    <w:rsid w:val="2B0B2D29"/>
    <w:rsid w:val="2B1A6A27"/>
    <w:rsid w:val="2B251F35"/>
    <w:rsid w:val="2B8756CA"/>
    <w:rsid w:val="2C0C0F54"/>
    <w:rsid w:val="2C1B5360"/>
    <w:rsid w:val="2C212804"/>
    <w:rsid w:val="2C4F6032"/>
    <w:rsid w:val="2C55425C"/>
    <w:rsid w:val="2C68749E"/>
    <w:rsid w:val="2CA84CAA"/>
    <w:rsid w:val="2CF25F4F"/>
    <w:rsid w:val="2D81293A"/>
    <w:rsid w:val="2D8172D3"/>
    <w:rsid w:val="2D965382"/>
    <w:rsid w:val="2D9F5688"/>
    <w:rsid w:val="2DC8748F"/>
    <w:rsid w:val="2DCE1B4F"/>
    <w:rsid w:val="2E01707A"/>
    <w:rsid w:val="2EB652FF"/>
    <w:rsid w:val="2ED2272F"/>
    <w:rsid w:val="2EE0388D"/>
    <w:rsid w:val="2EF1598B"/>
    <w:rsid w:val="2EFE0AC1"/>
    <w:rsid w:val="2F1F5FD6"/>
    <w:rsid w:val="2F8F217B"/>
    <w:rsid w:val="2FB20E33"/>
    <w:rsid w:val="2FDE1FDD"/>
    <w:rsid w:val="2FE57FED"/>
    <w:rsid w:val="2FF272BC"/>
    <w:rsid w:val="3041265D"/>
    <w:rsid w:val="305E47CD"/>
    <w:rsid w:val="306727B0"/>
    <w:rsid w:val="30741747"/>
    <w:rsid w:val="307C26FF"/>
    <w:rsid w:val="307F4548"/>
    <w:rsid w:val="30993591"/>
    <w:rsid w:val="30F71D86"/>
    <w:rsid w:val="310962B6"/>
    <w:rsid w:val="3135687C"/>
    <w:rsid w:val="316B2849"/>
    <w:rsid w:val="319D6E9C"/>
    <w:rsid w:val="320329AC"/>
    <w:rsid w:val="321542A7"/>
    <w:rsid w:val="32364B30"/>
    <w:rsid w:val="323836A0"/>
    <w:rsid w:val="3277529B"/>
    <w:rsid w:val="3317670F"/>
    <w:rsid w:val="3333106F"/>
    <w:rsid w:val="33460769"/>
    <w:rsid w:val="33995376"/>
    <w:rsid w:val="342E5ABE"/>
    <w:rsid w:val="34B955A4"/>
    <w:rsid w:val="34E00D83"/>
    <w:rsid w:val="34F7095C"/>
    <w:rsid w:val="34FE3CD8"/>
    <w:rsid w:val="350420A0"/>
    <w:rsid w:val="3512449E"/>
    <w:rsid w:val="35327830"/>
    <w:rsid w:val="35945DDB"/>
    <w:rsid w:val="35B92201"/>
    <w:rsid w:val="36464563"/>
    <w:rsid w:val="36543D61"/>
    <w:rsid w:val="3674246C"/>
    <w:rsid w:val="36897CD7"/>
    <w:rsid w:val="36C92122"/>
    <w:rsid w:val="3701395E"/>
    <w:rsid w:val="37425D25"/>
    <w:rsid w:val="374B2E2B"/>
    <w:rsid w:val="37A04592"/>
    <w:rsid w:val="37AB1B1C"/>
    <w:rsid w:val="37C01BB6"/>
    <w:rsid w:val="37D7385C"/>
    <w:rsid w:val="38191CEF"/>
    <w:rsid w:val="382E539B"/>
    <w:rsid w:val="3830716D"/>
    <w:rsid w:val="38554BAC"/>
    <w:rsid w:val="385775AE"/>
    <w:rsid w:val="388F6D48"/>
    <w:rsid w:val="38920276"/>
    <w:rsid w:val="3892596C"/>
    <w:rsid w:val="38CB73BE"/>
    <w:rsid w:val="39277A97"/>
    <w:rsid w:val="392D700C"/>
    <w:rsid w:val="399A24DA"/>
    <w:rsid w:val="39A036EF"/>
    <w:rsid w:val="39A75836"/>
    <w:rsid w:val="39D95EB0"/>
    <w:rsid w:val="39EC79D0"/>
    <w:rsid w:val="3A465E06"/>
    <w:rsid w:val="3A5E69D2"/>
    <w:rsid w:val="3AC727C9"/>
    <w:rsid w:val="3AFB6916"/>
    <w:rsid w:val="3AFF64F9"/>
    <w:rsid w:val="3B1B038C"/>
    <w:rsid w:val="3B1F2605"/>
    <w:rsid w:val="3B824942"/>
    <w:rsid w:val="3BA30D13"/>
    <w:rsid w:val="3BB45705"/>
    <w:rsid w:val="3BBD1E1E"/>
    <w:rsid w:val="3C024B19"/>
    <w:rsid w:val="3C1C47D9"/>
    <w:rsid w:val="3C335C3C"/>
    <w:rsid w:val="3C7D2235"/>
    <w:rsid w:val="3C9211CB"/>
    <w:rsid w:val="3D6D1026"/>
    <w:rsid w:val="3D6E37B6"/>
    <w:rsid w:val="3DA04DBA"/>
    <w:rsid w:val="3DC14D0B"/>
    <w:rsid w:val="3DF5589F"/>
    <w:rsid w:val="3E9450B8"/>
    <w:rsid w:val="3E974F01"/>
    <w:rsid w:val="3E9E7513"/>
    <w:rsid w:val="3EBA5D06"/>
    <w:rsid w:val="3F4A7E6C"/>
    <w:rsid w:val="3F555E6F"/>
    <w:rsid w:val="3F6F1FDE"/>
    <w:rsid w:val="3F872B7F"/>
    <w:rsid w:val="3FDD1AF8"/>
    <w:rsid w:val="3FE47979"/>
    <w:rsid w:val="40896772"/>
    <w:rsid w:val="40EA513C"/>
    <w:rsid w:val="4177481D"/>
    <w:rsid w:val="41895D03"/>
    <w:rsid w:val="41A71BEF"/>
    <w:rsid w:val="41E97960"/>
    <w:rsid w:val="41FC4308"/>
    <w:rsid w:val="42132798"/>
    <w:rsid w:val="42564F8A"/>
    <w:rsid w:val="4292190E"/>
    <w:rsid w:val="429251F5"/>
    <w:rsid w:val="42B702D9"/>
    <w:rsid w:val="432D4123"/>
    <w:rsid w:val="43C73D8C"/>
    <w:rsid w:val="441A4FFE"/>
    <w:rsid w:val="445923FA"/>
    <w:rsid w:val="44B431FB"/>
    <w:rsid w:val="44BD4C3D"/>
    <w:rsid w:val="44E01B99"/>
    <w:rsid w:val="450C60CA"/>
    <w:rsid w:val="45B53C1D"/>
    <w:rsid w:val="45EC3A2B"/>
    <w:rsid w:val="45ED3300"/>
    <w:rsid w:val="45F8417E"/>
    <w:rsid w:val="4606774B"/>
    <w:rsid w:val="4612161E"/>
    <w:rsid w:val="462D194E"/>
    <w:rsid w:val="46B12F19"/>
    <w:rsid w:val="46C67DD9"/>
    <w:rsid w:val="46CE4EDF"/>
    <w:rsid w:val="470D1EAB"/>
    <w:rsid w:val="47217D5C"/>
    <w:rsid w:val="474527C4"/>
    <w:rsid w:val="474C2E23"/>
    <w:rsid w:val="476C2FC5"/>
    <w:rsid w:val="476E5041"/>
    <w:rsid w:val="476F7310"/>
    <w:rsid w:val="47EE514A"/>
    <w:rsid w:val="47F36533"/>
    <w:rsid w:val="480935A0"/>
    <w:rsid w:val="481B5E95"/>
    <w:rsid w:val="484852DF"/>
    <w:rsid w:val="48C447EC"/>
    <w:rsid w:val="48C8615F"/>
    <w:rsid w:val="48DF378B"/>
    <w:rsid w:val="490529D6"/>
    <w:rsid w:val="491C4628"/>
    <w:rsid w:val="49284D7B"/>
    <w:rsid w:val="49465201"/>
    <w:rsid w:val="49627B61"/>
    <w:rsid w:val="497C50C6"/>
    <w:rsid w:val="498B765A"/>
    <w:rsid w:val="499032D8"/>
    <w:rsid w:val="49A65CF5"/>
    <w:rsid w:val="4A067188"/>
    <w:rsid w:val="4A742241"/>
    <w:rsid w:val="4ACE485E"/>
    <w:rsid w:val="4ADA7FD1"/>
    <w:rsid w:val="4B1F43C5"/>
    <w:rsid w:val="4B3C4E66"/>
    <w:rsid w:val="4B484119"/>
    <w:rsid w:val="4B600B49"/>
    <w:rsid w:val="4BC03FFE"/>
    <w:rsid w:val="4BDE5BC4"/>
    <w:rsid w:val="4C5B0FC3"/>
    <w:rsid w:val="4C8C71C7"/>
    <w:rsid w:val="4CCC2A8E"/>
    <w:rsid w:val="4CEF541A"/>
    <w:rsid w:val="4D2A06C1"/>
    <w:rsid w:val="4D447CA9"/>
    <w:rsid w:val="4D665E71"/>
    <w:rsid w:val="4DA523EF"/>
    <w:rsid w:val="4DC07B35"/>
    <w:rsid w:val="4E616639"/>
    <w:rsid w:val="4E8B5ACA"/>
    <w:rsid w:val="4ED42914"/>
    <w:rsid w:val="4EE8499E"/>
    <w:rsid w:val="4F164A55"/>
    <w:rsid w:val="4F5E1490"/>
    <w:rsid w:val="4F6A4937"/>
    <w:rsid w:val="4F8A6E24"/>
    <w:rsid w:val="500277F4"/>
    <w:rsid w:val="508872DA"/>
    <w:rsid w:val="5090254B"/>
    <w:rsid w:val="50BC0F04"/>
    <w:rsid w:val="50F556CC"/>
    <w:rsid w:val="50F57ED1"/>
    <w:rsid w:val="510328E3"/>
    <w:rsid w:val="511068E9"/>
    <w:rsid w:val="51234FC4"/>
    <w:rsid w:val="51315CAA"/>
    <w:rsid w:val="515E4C83"/>
    <w:rsid w:val="51712E1B"/>
    <w:rsid w:val="51741D97"/>
    <w:rsid w:val="51C824CD"/>
    <w:rsid w:val="523E6E33"/>
    <w:rsid w:val="52515AE5"/>
    <w:rsid w:val="52D13534"/>
    <w:rsid w:val="52E635B0"/>
    <w:rsid w:val="53106EC4"/>
    <w:rsid w:val="53235BF3"/>
    <w:rsid w:val="53310CD0"/>
    <w:rsid w:val="5416591D"/>
    <w:rsid w:val="541B35D1"/>
    <w:rsid w:val="54240834"/>
    <w:rsid w:val="54260108"/>
    <w:rsid w:val="54C117CC"/>
    <w:rsid w:val="5503044A"/>
    <w:rsid w:val="5559788D"/>
    <w:rsid w:val="556B68E0"/>
    <w:rsid w:val="556B6EC3"/>
    <w:rsid w:val="558077B3"/>
    <w:rsid w:val="55823A64"/>
    <w:rsid w:val="55A03EEB"/>
    <w:rsid w:val="55FD4C24"/>
    <w:rsid w:val="56236D75"/>
    <w:rsid w:val="567875A3"/>
    <w:rsid w:val="567C03D1"/>
    <w:rsid w:val="56BC5001"/>
    <w:rsid w:val="56C97FE2"/>
    <w:rsid w:val="56CA31BB"/>
    <w:rsid w:val="56EE4340"/>
    <w:rsid w:val="56FE68E2"/>
    <w:rsid w:val="570B7A8A"/>
    <w:rsid w:val="573D4215"/>
    <w:rsid w:val="57727B09"/>
    <w:rsid w:val="57E15C79"/>
    <w:rsid w:val="5866339A"/>
    <w:rsid w:val="58823E3D"/>
    <w:rsid w:val="588B4AFA"/>
    <w:rsid w:val="58A4593B"/>
    <w:rsid w:val="58C919AA"/>
    <w:rsid w:val="58F22CAF"/>
    <w:rsid w:val="593D72D5"/>
    <w:rsid w:val="597417E6"/>
    <w:rsid w:val="5986542E"/>
    <w:rsid w:val="59903907"/>
    <w:rsid w:val="59C812C8"/>
    <w:rsid w:val="5A272E2C"/>
    <w:rsid w:val="5A38479B"/>
    <w:rsid w:val="5A812C86"/>
    <w:rsid w:val="5A9E508A"/>
    <w:rsid w:val="5ABA77FD"/>
    <w:rsid w:val="5AC461A2"/>
    <w:rsid w:val="5ADC0752"/>
    <w:rsid w:val="5B644842"/>
    <w:rsid w:val="5B8E7E2C"/>
    <w:rsid w:val="5C06602D"/>
    <w:rsid w:val="5C1C01B7"/>
    <w:rsid w:val="5C3830CF"/>
    <w:rsid w:val="5C532A95"/>
    <w:rsid w:val="5C9D56F0"/>
    <w:rsid w:val="5CF8285E"/>
    <w:rsid w:val="5D8B3A30"/>
    <w:rsid w:val="5E0314BA"/>
    <w:rsid w:val="5E127A61"/>
    <w:rsid w:val="5E1E4546"/>
    <w:rsid w:val="5E2E309D"/>
    <w:rsid w:val="5E3B36E2"/>
    <w:rsid w:val="5E3E24F3"/>
    <w:rsid w:val="5E914D18"/>
    <w:rsid w:val="5EAB452D"/>
    <w:rsid w:val="5F011E9E"/>
    <w:rsid w:val="5F0E5B91"/>
    <w:rsid w:val="5F114598"/>
    <w:rsid w:val="5F8506A4"/>
    <w:rsid w:val="5F903DA8"/>
    <w:rsid w:val="5F951C44"/>
    <w:rsid w:val="5FA02694"/>
    <w:rsid w:val="5FC5111D"/>
    <w:rsid w:val="60326087"/>
    <w:rsid w:val="60443049"/>
    <w:rsid w:val="605361DC"/>
    <w:rsid w:val="60F45EE7"/>
    <w:rsid w:val="610E08A2"/>
    <w:rsid w:val="61610FEB"/>
    <w:rsid w:val="61AF3E33"/>
    <w:rsid w:val="620D46B6"/>
    <w:rsid w:val="62AE304C"/>
    <w:rsid w:val="62DE4196"/>
    <w:rsid w:val="62F11C95"/>
    <w:rsid w:val="633A0AC0"/>
    <w:rsid w:val="63785F7E"/>
    <w:rsid w:val="642D54E3"/>
    <w:rsid w:val="64874BF3"/>
    <w:rsid w:val="64A137DB"/>
    <w:rsid w:val="64A27E5C"/>
    <w:rsid w:val="64B55B17"/>
    <w:rsid w:val="64DE19BE"/>
    <w:rsid w:val="654C2E85"/>
    <w:rsid w:val="65907AD8"/>
    <w:rsid w:val="65D50729"/>
    <w:rsid w:val="662242CD"/>
    <w:rsid w:val="6632293D"/>
    <w:rsid w:val="669C0700"/>
    <w:rsid w:val="66C676A3"/>
    <w:rsid w:val="670F2C7E"/>
    <w:rsid w:val="670F6CB1"/>
    <w:rsid w:val="67746F20"/>
    <w:rsid w:val="677C605D"/>
    <w:rsid w:val="67B27625"/>
    <w:rsid w:val="67B83F99"/>
    <w:rsid w:val="67F72090"/>
    <w:rsid w:val="67FB1D31"/>
    <w:rsid w:val="68090FCF"/>
    <w:rsid w:val="68091DC3"/>
    <w:rsid w:val="68195B7C"/>
    <w:rsid w:val="682D335C"/>
    <w:rsid w:val="68513691"/>
    <w:rsid w:val="686E049F"/>
    <w:rsid w:val="689F0032"/>
    <w:rsid w:val="68E5013A"/>
    <w:rsid w:val="696B697F"/>
    <w:rsid w:val="698646A7"/>
    <w:rsid w:val="698B6E18"/>
    <w:rsid w:val="699851AD"/>
    <w:rsid w:val="69B217BD"/>
    <w:rsid w:val="6A191A36"/>
    <w:rsid w:val="6AA36DED"/>
    <w:rsid w:val="6B303356"/>
    <w:rsid w:val="6BBC0F0E"/>
    <w:rsid w:val="6BF40694"/>
    <w:rsid w:val="6C0438E3"/>
    <w:rsid w:val="6C2B055A"/>
    <w:rsid w:val="6C6544EE"/>
    <w:rsid w:val="6C692C46"/>
    <w:rsid w:val="6C7522FC"/>
    <w:rsid w:val="6C9932E7"/>
    <w:rsid w:val="6CA64085"/>
    <w:rsid w:val="6CCB7647"/>
    <w:rsid w:val="6CDF6306"/>
    <w:rsid w:val="6CE32BE3"/>
    <w:rsid w:val="6D142D9C"/>
    <w:rsid w:val="6D2B6926"/>
    <w:rsid w:val="6D4A2C62"/>
    <w:rsid w:val="6E386E8A"/>
    <w:rsid w:val="6E7736BC"/>
    <w:rsid w:val="6EE92007"/>
    <w:rsid w:val="6F9901FE"/>
    <w:rsid w:val="6FAF4FFE"/>
    <w:rsid w:val="6FE40595"/>
    <w:rsid w:val="6FEA072C"/>
    <w:rsid w:val="6FF9337E"/>
    <w:rsid w:val="70074E3A"/>
    <w:rsid w:val="70301F1E"/>
    <w:rsid w:val="7039177F"/>
    <w:rsid w:val="704355ED"/>
    <w:rsid w:val="70AC7FE9"/>
    <w:rsid w:val="70BB598D"/>
    <w:rsid w:val="70F51137"/>
    <w:rsid w:val="70FA04FB"/>
    <w:rsid w:val="716A5126"/>
    <w:rsid w:val="716C6309"/>
    <w:rsid w:val="71957DA3"/>
    <w:rsid w:val="723247FB"/>
    <w:rsid w:val="72E2393D"/>
    <w:rsid w:val="72F316A6"/>
    <w:rsid w:val="732857F3"/>
    <w:rsid w:val="73360A29"/>
    <w:rsid w:val="73A8387A"/>
    <w:rsid w:val="73CC7691"/>
    <w:rsid w:val="73F13E37"/>
    <w:rsid w:val="74031DBD"/>
    <w:rsid w:val="74832BB6"/>
    <w:rsid w:val="749A63B4"/>
    <w:rsid w:val="74A810B1"/>
    <w:rsid w:val="74AB2123"/>
    <w:rsid w:val="74AC140B"/>
    <w:rsid w:val="74AD77E0"/>
    <w:rsid w:val="74E23798"/>
    <w:rsid w:val="75003CE4"/>
    <w:rsid w:val="75150722"/>
    <w:rsid w:val="758D6DD9"/>
    <w:rsid w:val="759F0D1C"/>
    <w:rsid w:val="75A650F5"/>
    <w:rsid w:val="75C17839"/>
    <w:rsid w:val="7601232C"/>
    <w:rsid w:val="76447CB9"/>
    <w:rsid w:val="76525DAB"/>
    <w:rsid w:val="766D79C1"/>
    <w:rsid w:val="768252F7"/>
    <w:rsid w:val="768F5B89"/>
    <w:rsid w:val="76CB3D9D"/>
    <w:rsid w:val="77660698"/>
    <w:rsid w:val="77690189"/>
    <w:rsid w:val="777803CC"/>
    <w:rsid w:val="77943778"/>
    <w:rsid w:val="77C335BA"/>
    <w:rsid w:val="77ED7D29"/>
    <w:rsid w:val="785904E4"/>
    <w:rsid w:val="78AE484C"/>
    <w:rsid w:val="78CD4D0D"/>
    <w:rsid w:val="79162175"/>
    <w:rsid w:val="795A3CDE"/>
    <w:rsid w:val="796B01E8"/>
    <w:rsid w:val="7991596C"/>
    <w:rsid w:val="79B06543"/>
    <w:rsid w:val="7A476A24"/>
    <w:rsid w:val="7A593ECA"/>
    <w:rsid w:val="7A68724D"/>
    <w:rsid w:val="7A85352B"/>
    <w:rsid w:val="7A886A8A"/>
    <w:rsid w:val="7AE91D77"/>
    <w:rsid w:val="7AE96D2F"/>
    <w:rsid w:val="7B254927"/>
    <w:rsid w:val="7B822242"/>
    <w:rsid w:val="7B8F5E87"/>
    <w:rsid w:val="7BB15EA8"/>
    <w:rsid w:val="7BDA78A7"/>
    <w:rsid w:val="7BDD7A67"/>
    <w:rsid w:val="7BE73D72"/>
    <w:rsid w:val="7BF56F4D"/>
    <w:rsid w:val="7C3353E9"/>
    <w:rsid w:val="7C3A0345"/>
    <w:rsid w:val="7CC13AEF"/>
    <w:rsid w:val="7CE808FB"/>
    <w:rsid w:val="7CE92B42"/>
    <w:rsid w:val="7D4A035D"/>
    <w:rsid w:val="7D913864"/>
    <w:rsid w:val="7DD91F65"/>
    <w:rsid w:val="7E1766FF"/>
    <w:rsid w:val="7EA146AC"/>
    <w:rsid w:val="7ED06E49"/>
    <w:rsid w:val="7EDB1C12"/>
    <w:rsid w:val="7EFE3CC8"/>
    <w:rsid w:val="7F483A16"/>
    <w:rsid w:val="7F5C682A"/>
    <w:rsid w:val="7F631961"/>
    <w:rsid w:val="7F7973D7"/>
    <w:rsid w:val="7F9E2999"/>
    <w:rsid w:val="7FFB18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Body Text Firs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F817E8"/>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F817E8"/>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rsid w:val="00F817E8"/>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F817E8"/>
    <w:pPr>
      <w:ind w:firstLine="420"/>
    </w:pPr>
  </w:style>
  <w:style w:type="paragraph" w:styleId="a3">
    <w:name w:val="Body Text Indent"/>
    <w:basedOn w:val="a"/>
    <w:next w:val="a"/>
    <w:qFormat/>
    <w:rsid w:val="00F817E8"/>
    <w:pPr>
      <w:widowControl/>
      <w:spacing w:before="100" w:beforeAutospacing="1" w:after="100" w:afterAutospacing="1"/>
      <w:jc w:val="left"/>
    </w:pPr>
    <w:rPr>
      <w:rFonts w:ascii="宋体" w:eastAsia="宋体" w:hAnsi="宋体"/>
      <w:kern w:val="0"/>
      <w:sz w:val="24"/>
    </w:rPr>
  </w:style>
  <w:style w:type="paragraph" w:styleId="a4">
    <w:name w:val="footer"/>
    <w:basedOn w:val="a"/>
    <w:qFormat/>
    <w:rsid w:val="00F817E8"/>
    <w:pPr>
      <w:tabs>
        <w:tab w:val="center" w:pos="4153"/>
        <w:tab w:val="right" w:pos="8306"/>
      </w:tabs>
      <w:snapToGrid w:val="0"/>
      <w:jc w:val="left"/>
    </w:pPr>
    <w:rPr>
      <w:sz w:val="18"/>
    </w:rPr>
  </w:style>
  <w:style w:type="paragraph" w:styleId="a5">
    <w:name w:val="header"/>
    <w:basedOn w:val="a"/>
    <w:qFormat/>
    <w:rsid w:val="00F817E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basedOn w:val="a"/>
    <w:next w:val="a"/>
    <w:qFormat/>
    <w:rsid w:val="00F817E8"/>
    <w:pPr>
      <w:adjustRightInd w:val="0"/>
      <w:snapToGrid w:val="0"/>
      <w:spacing w:line="360" w:lineRule="auto"/>
      <w:ind w:firstLineChars="200" w:firstLine="800"/>
      <w:jc w:val="left"/>
      <w:outlineLvl w:val="0"/>
    </w:pPr>
    <w:rPr>
      <w:rFonts w:ascii="Arial" w:eastAsia="仿宋" w:hAnsi="Arial"/>
      <w:sz w:val="32"/>
      <w:szCs w:val="32"/>
    </w:rPr>
  </w:style>
  <w:style w:type="table" w:styleId="a7">
    <w:name w:val="Table Grid"/>
    <w:basedOn w:val="a1"/>
    <w:qFormat/>
    <w:rsid w:val="00F817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F817E8"/>
    <w:rPr>
      <w:b/>
    </w:rPr>
  </w:style>
  <w:style w:type="character" w:styleId="a9">
    <w:name w:val="Hyperlink"/>
    <w:basedOn w:val="a0"/>
    <w:qFormat/>
    <w:rsid w:val="00F817E8"/>
    <w:rPr>
      <w:color w:val="0000FF"/>
      <w:u w:val="single"/>
    </w:rPr>
  </w:style>
  <w:style w:type="paragraph" w:customStyle="1" w:styleId="Style3">
    <w:name w:val="_Style 3"/>
    <w:basedOn w:val="a"/>
    <w:next w:val="aa"/>
    <w:uiPriority w:val="99"/>
    <w:unhideWhenUsed/>
    <w:qFormat/>
    <w:rsid w:val="00F817E8"/>
    <w:pPr>
      <w:spacing w:line="360" w:lineRule="auto"/>
      <w:ind w:firstLineChars="200" w:firstLine="420"/>
      <w:jc w:val="left"/>
    </w:pPr>
    <w:rPr>
      <w:rFonts w:ascii="Times New Roman" w:eastAsia="仿宋" w:hAnsi="Times New Roman"/>
      <w:sz w:val="32"/>
      <w:lang w:eastAsia="zh-TW"/>
    </w:rPr>
  </w:style>
  <w:style w:type="paragraph" w:styleId="aa">
    <w:name w:val="List Paragraph"/>
    <w:basedOn w:val="a"/>
    <w:uiPriority w:val="34"/>
    <w:qFormat/>
    <w:rsid w:val="00F817E8"/>
    <w:pPr>
      <w:ind w:firstLineChars="200" w:firstLine="420"/>
    </w:pPr>
  </w:style>
  <w:style w:type="paragraph" w:customStyle="1" w:styleId="Chy">
    <w:name w:val="Chy报告正文"/>
    <w:basedOn w:val="a"/>
    <w:next w:val="a"/>
    <w:qFormat/>
    <w:rsid w:val="00F817E8"/>
    <w:pPr>
      <w:spacing w:line="560" w:lineRule="exact"/>
      <w:ind w:firstLineChars="200" w:firstLine="200"/>
    </w:pPr>
    <w:rPr>
      <w:rFonts w:ascii="宋体" w:eastAsia="仿宋_GB2312" w:hAnsi="宋体"/>
      <w:sz w:val="32"/>
      <w:szCs w:val="28"/>
    </w:rPr>
  </w:style>
  <w:style w:type="paragraph" w:customStyle="1" w:styleId="p0">
    <w:name w:val="p0"/>
    <w:basedOn w:val="a"/>
    <w:qFormat/>
    <w:rsid w:val="00F817E8"/>
    <w:pPr>
      <w:widowControl/>
    </w:pPr>
    <w:rPr>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1277</Words>
  <Characters>7283</Characters>
  <Application>Microsoft Office Word</Application>
  <DocSecurity>0</DocSecurity>
  <Lines>60</Lines>
  <Paragraphs>17</Paragraphs>
  <ScaleCrop>false</ScaleCrop>
  <Company>WRGHO.COM</Company>
  <LinksUpToDate>false</LinksUpToDate>
  <CharactersWithSpaces>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cp:revision>
  <cp:lastPrinted>2025-08-04T08:07:00Z</cp:lastPrinted>
  <dcterms:created xsi:type="dcterms:W3CDTF">2023-09-14T09:07:00Z</dcterms:created>
  <dcterms:modified xsi:type="dcterms:W3CDTF">2025-12-09T06:46:00Z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DFC741ED01F84B5BAAC804E705909F5C_12</vt:lpwstr>
  </property>
  <property fmtid="{D5CDD505-2E9C-101B-9397-08002B2CF9AE}" pid="4" name="KSOTemplateDocerSaveRecord">
    <vt:lpwstr>eyJoZGlkIjoiYjJjOTQxYzhjODMyMDAzZmE0MDJkMWFkNmJlNDkwYTUiLCJ1c2VySWQiOiI2Mjc3MTQ2NTgifQ==</vt:lpwstr>
  </property>
</Properties>
</file>