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4ECBC">
      <w:pPr>
        <w:keepNext w:val="0"/>
        <w:keepLines w:val="0"/>
        <w:pageBreakBefore w:val="0"/>
        <w:kinsoku/>
        <w:wordWrap/>
        <w:overflowPunct/>
        <w:topLinePunct w:val="0"/>
        <w:autoSpaceDE/>
        <w:autoSpaceDN/>
        <w:bidi w:val="0"/>
        <w:spacing w:before="120" w:after="120" w:line="560" w:lineRule="exact"/>
        <w:jc w:val="center"/>
        <w:textAlignment w:val="auto"/>
        <w:rPr>
          <w:rFonts w:hint="default" w:ascii="Times New Roman" w:hAnsi="Times New Roman" w:eastAsia="黑体" w:cs="Times New Roman"/>
          <w:color w:val="auto"/>
          <w:sz w:val="32"/>
          <w:szCs w:val="32"/>
          <w:highlight w:val="none"/>
          <w:lang w:val="en-US" w:eastAsia="zh-CN"/>
        </w:rPr>
      </w:pPr>
    </w:p>
    <w:p w14:paraId="1FFBCF77">
      <w:pPr>
        <w:keepNext w:val="0"/>
        <w:keepLines w:val="0"/>
        <w:pageBreakBefore w:val="0"/>
        <w:widowControl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_GBK" w:cs="Times New Roman"/>
          <w:color w:val="auto"/>
          <w:sz w:val="44"/>
          <w:szCs w:val="44"/>
          <w:highlight w:val="none"/>
        </w:rPr>
      </w:pPr>
      <w:bookmarkStart w:id="103" w:name="_GoBack"/>
      <w:r>
        <w:rPr>
          <w:rFonts w:hint="eastAsia" w:ascii="Times New Roman" w:hAnsi="Times New Roman" w:eastAsia="方正小标宋_GBK" w:cs="Times New Roman"/>
          <w:b w:val="0"/>
          <w:bCs w:val="0"/>
          <w:color w:val="auto"/>
          <w:sz w:val="44"/>
          <w:szCs w:val="44"/>
          <w:highlight w:val="none"/>
          <w:lang w:val="en-US" w:eastAsia="zh-CN"/>
        </w:rPr>
        <w:t>社会福利救助及民政事务资金</w:t>
      </w:r>
      <w:r>
        <w:rPr>
          <w:rFonts w:hint="default" w:ascii="Times New Roman" w:hAnsi="Times New Roman" w:eastAsia="方正小标宋_GBK" w:cs="Times New Roman"/>
          <w:b w:val="0"/>
          <w:bCs/>
          <w:color w:val="auto"/>
          <w:sz w:val="44"/>
          <w:szCs w:val="44"/>
          <w:highlight w:val="none"/>
          <w:lang w:val="en-US" w:eastAsia="zh-CN"/>
        </w:rPr>
        <w:br w:type="textWrapping"/>
      </w:r>
      <w:r>
        <w:rPr>
          <w:rFonts w:hint="default" w:ascii="Times New Roman" w:hAnsi="Times New Roman" w:eastAsia="方正小标宋_GBK" w:cs="Times New Roman"/>
          <w:b w:val="0"/>
          <w:bCs/>
          <w:color w:val="auto"/>
          <w:sz w:val="44"/>
          <w:szCs w:val="44"/>
          <w:highlight w:val="none"/>
        </w:rPr>
        <w:t>绩效评价</w:t>
      </w:r>
      <w:r>
        <w:rPr>
          <w:rFonts w:hint="default" w:ascii="Times New Roman" w:hAnsi="Times New Roman" w:eastAsia="方正小标宋_GBK" w:cs="Times New Roman"/>
          <w:color w:val="auto"/>
          <w:sz w:val="44"/>
          <w:szCs w:val="44"/>
          <w:highlight w:val="none"/>
        </w:rPr>
        <w:t>报告</w:t>
      </w:r>
    </w:p>
    <w:bookmarkEnd w:id="103"/>
    <w:p w14:paraId="17DA913B">
      <w:pPr>
        <w:keepNext w:val="0"/>
        <w:keepLines w:val="0"/>
        <w:pageBreakBefore w:val="0"/>
        <w:widowControl w:val="0"/>
        <w:kinsoku/>
        <w:wordWrap/>
        <w:overflowPunct/>
        <w:topLinePunct w:val="0"/>
        <w:autoSpaceDE/>
        <w:autoSpaceDN/>
        <w:bidi w:val="0"/>
        <w:spacing w:line="560" w:lineRule="exact"/>
        <w:ind w:left="0"/>
        <w:jc w:val="left"/>
        <w:textAlignment w:val="auto"/>
        <w:rPr>
          <w:rFonts w:hint="default" w:ascii="Times New Roman" w:hAnsi="Times New Roman" w:eastAsia="黑体" w:cs="Times New Roman"/>
          <w:bCs/>
          <w:color w:val="auto"/>
          <w:sz w:val="32"/>
          <w:szCs w:val="32"/>
          <w:highlight w:val="none"/>
        </w:rPr>
      </w:pPr>
    </w:p>
    <w:p w14:paraId="3135C955">
      <w:pPr>
        <w:keepNext w:val="0"/>
        <w:keepLines w:val="0"/>
        <w:pageBreakBefore w:val="0"/>
        <w:widowControl w:val="0"/>
        <w:kinsoku/>
        <w:wordWrap/>
        <w:overflowPunct/>
        <w:topLinePunct w:val="0"/>
        <w:autoSpaceDE/>
        <w:autoSpaceDN/>
        <w:bidi w:val="0"/>
        <w:spacing w:line="560" w:lineRule="exact"/>
        <w:ind w:left="0" w:firstLine="640" w:firstLineChars="200"/>
        <w:jc w:val="left"/>
        <w:textAlignment w:val="auto"/>
        <w:outlineLvl w:val="0"/>
        <w:rPr>
          <w:rFonts w:hint="default" w:ascii="Times New Roman" w:hAnsi="Times New Roman" w:eastAsia="黑体" w:cs="Times New Roman"/>
          <w:bCs/>
          <w:color w:val="auto"/>
          <w:sz w:val="32"/>
          <w:szCs w:val="32"/>
          <w:highlight w:val="none"/>
          <w:lang w:eastAsia="zh-CN"/>
        </w:rPr>
      </w:pPr>
      <w:bookmarkStart w:id="0" w:name="_Toc27432"/>
      <w:bookmarkStart w:id="1" w:name="_Toc19741"/>
      <w:bookmarkStart w:id="2" w:name="_Toc29872"/>
      <w:bookmarkStart w:id="3" w:name="_Toc6514"/>
      <w:r>
        <w:rPr>
          <w:rFonts w:hint="default" w:ascii="Times New Roman" w:hAnsi="Times New Roman" w:eastAsia="黑体" w:cs="Times New Roman"/>
          <w:bCs/>
          <w:color w:val="auto"/>
          <w:sz w:val="32"/>
          <w:szCs w:val="32"/>
          <w:highlight w:val="none"/>
        </w:rPr>
        <w:t>一、项目基本情况</w:t>
      </w:r>
      <w:bookmarkEnd w:id="0"/>
      <w:bookmarkEnd w:id="1"/>
      <w:bookmarkEnd w:id="2"/>
      <w:bookmarkEnd w:id="3"/>
    </w:p>
    <w:p w14:paraId="4C1BC485">
      <w:pPr>
        <w:keepNext w:val="0"/>
        <w:keepLines w:val="0"/>
        <w:pageBreakBefore w:val="0"/>
        <w:widowControl w:val="0"/>
        <w:kinsoku/>
        <w:wordWrap/>
        <w:overflowPunct/>
        <w:topLinePunct w:val="0"/>
        <w:autoSpaceDE/>
        <w:autoSpaceDN/>
        <w:bidi w:val="0"/>
        <w:spacing w:line="560" w:lineRule="exact"/>
        <w:ind w:left="0" w:firstLine="640" w:firstLineChars="200"/>
        <w:textAlignment w:val="auto"/>
        <w:outlineLvl w:val="1"/>
        <w:rPr>
          <w:rFonts w:hint="default" w:ascii="Times New Roman" w:hAnsi="Times New Roman" w:eastAsia="楷体_GB2312" w:cs="Times New Roman"/>
          <w:color w:val="auto"/>
          <w:sz w:val="32"/>
          <w:szCs w:val="32"/>
          <w:highlight w:val="none"/>
          <w:lang w:val="en-US" w:eastAsia="zh-CN"/>
        </w:rPr>
      </w:pPr>
      <w:bookmarkStart w:id="4" w:name="_Toc15342"/>
      <w:bookmarkStart w:id="5" w:name="_Toc31844"/>
      <w:bookmarkStart w:id="6" w:name="_Toc7062"/>
      <w:bookmarkStart w:id="7" w:name="_Toc12081"/>
      <w:r>
        <w:rPr>
          <w:rFonts w:hint="default" w:ascii="Times New Roman" w:hAnsi="Times New Roman" w:eastAsia="楷体_GB2312" w:cs="Times New Roman"/>
          <w:color w:val="auto"/>
          <w:sz w:val="32"/>
          <w:szCs w:val="32"/>
          <w:highlight w:val="none"/>
          <w:lang w:val="en-US" w:eastAsia="zh-CN"/>
        </w:rPr>
        <w:t>（一）项目背景</w:t>
      </w:r>
      <w:bookmarkEnd w:id="4"/>
      <w:bookmarkEnd w:id="5"/>
      <w:bookmarkEnd w:id="6"/>
      <w:bookmarkEnd w:id="7"/>
    </w:p>
    <w:p w14:paraId="637AD1FD">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bookmarkStart w:id="8" w:name="_Toc26469"/>
      <w:bookmarkStart w:id="9" w:name="_Toc8327"/>
      <w:r>
        <w:rPr>
          <w:rFonts w:hint="eastAsia" w:ascii="Times New Roman" w:hAnsi="Times New Roman" w:eastAsia="仿宋_GB2312" w:cs="Times New Roman"/>
          <w:color w:val="auto"/>
          <w:sz w:val="32"/>
          <w:szCs w:val="32"/>
          <w:highlight w:val="none"/>
          <w:lang w:val="en-US" w:eastAsia="zh-CN"/>
        </w:rPr>
        <w:t>为积极应对人口老龄化社会现状，增强养老服务机构、综合养老服务中心规范建设、合规管理的使命感和责任感，</w:t>
      </w:r>
      <w:r>
        <w:rPr>
          <w:rFonts w:hint="eastAsia" w:ascii="Times New Roman" w:hAnsi="Times New Roman" w:eastAsia="仿宋_GB2312" w:cs="Times New Roman"/>
          <w:color w:val="auto"/>
          <w:kern w:val="0"/>
          <w:sz w:val="32"/>
          <w:szCs w:val="32"/>
          <w:highlight w:val="none"/>
          <w:lang w:val="en-US" w:eastAsia="zh-CN" w:bidi="ar-SA"/>
        </w:rPr>
        <w:t>减轻养老机构运营压力，</w:t>
      </w:r>
      <w:r>
        <w:rPr>
          <w:rFonts w:hint="eastAsia" w:ascii="Times New Roman" w:hAnsi="Times New Roman" w:eastAsia="仿宋_GB2312" w:cs="Times New Roman"/>
          <w:color w:val="auto"/>
          <w:sz w:val="32"/>
          <w:szCs w:val="32"/>
          <w:highlight w:val="none"/>
          <w:lang w:val="en-US" w:eastAsia="zh-CN"/>
        </w:rPr>
        <w:t>全面促进青岛市养老行业规范化、标准化建设，实现青岛市养老服务质量的全面提升，以及养老服务可持续、高质量发展。</w:t>
      </w:r>
    </w:p>
    <w:p w14:paraId="6378474B">
      <w:pPr>
        <w:keepNext w:val="0"/>
        <w:keepLines w:val="0"/>
        <w:pageBreakBefore w:val="0"/>
        <w:widowControl w:val="0"/>
        <w:kinsoku/>
        <w:wordWrap/>
        <w:overflowPunct/>
        <w:topLinePunct w:val="0"/>
        <w:autoSpaceDE/>
        <w:autoSpaceDN/>
        <w:bidi w:val="0"/>
        <w:spacing w:line="560" w:lineRule="exact"/>
        <w:ind w:left="0" w:firstLine="640" w:firstLineChars="200"/>
        <w:textAlignment w:val="auto"/>
        <w:outlineLvl w:val="9"/>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青岛市民政局贯彻落实《国务院办公厅关于推进养老服务发展的意见》（国办发[2019]5号）、《关于推进基本养老服务体系建设的意见》(中办发[2022]42号)精神，根据山东省人民政府办公厅《关于推进养老服务发展的实施意见》（鲁政办发[2019]31号）、《关于推进基本养老服务体系建设的实施意见》 (鲁政办发[2022]18号)、青岛市人民政府《关于深化养老服务改革全面提升养老服务水平的实施意见》（青政发[2019]32号）、《</w:t>
      </w:r>
      <w:r>
        <w:rPr>
          <w:rFonts w:hint="eastAsia" w:ascii="Times New Roman" w:hAnsi="Times New Roman" w:eastAsia="仿宋_GB2312" w:cs="Times New Roman"/>
          <w:color w:val="auto"/>
          <w:sz w:val="32"/>
          <w:szCs w:val="32"/>
          <w:highlight w:val="none"/>
        </w:rPr>
        <w:t>关于印发青岛市进一步优化完善综合养老服务措施的通知》（青政办发</w:t>
      </w:r>
      <w:r>
        <w:rPr>
          <w:rFonts w:hint="eastAsia" w:ascii="Times New Roman" w:hAnsi="Times New Roman" w:eastAsia="仿宋_GB2312" w:cs="Times New Roman"/>
          <w:color w:val="auto"/>
          <w:sz w:val="32"/>
          <w:szCs w:val="32"/>
          <w:highlight w:val="none"/>
          <w:lang w:eastAsia="zh-CN"/>
        </w:rPr>
        <w:t>[2022]</w:t>
      </w:r>
      <w:r>
        <w:rPr>
          <w:rFonts w:hint="eastAsia" w:ascii="Times New Roman" w:hAnsi="Times New Roman" w:eastAsia="仿宋_GB2312" w:cs="Times New Roman"/>
          <w:color w:val="auto"/>
          <w:sz w:val="32"/>
          <w:szCs w:val="32"/>
          <w:highlight w:val="none"/>
        </w:rPr>
        <w:t>10号）</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《青岛市进一步优化完善居家社区养老服务措施的实施细则》（青民</w:t>
      </w:r>
      <w:r>
        <w:rPr>
          <w:rFonts w:hint="eastAsia" w:ascii="Times New Roman" w:hAnsi="Times New Roman" w:eastAsia="仿宋_GB2312" w:cs="Times New Roman"/>
          <w:color w:val="auto"/>
          <w:sz w:val="32"/>
          <w:szCs w:val="32"/>
          <w:highlight w:val="none"/>
          <w:lang w:eastAsia="zh-CN"/>
        </w:rPr>
        <w:t>[2022]</w:t>
      </w:r>
      <w:r>
        <w:rPr>
          <w:rFonts w:hint="eastAsia" w:ascii="Times New Roman" w:hAnsi="Times New Roman" w:eastAsia="仿宋_GB2312" w:cs="Times New Roman"/>
          <w:color w:val="auto"/>
          <w:sz w:val="32"/>
          <w:szCs w:val="32"/>
          <w:highlight w:val="none"/>
        </w:rPr>
        <w:t>101号）</w:t>
      </w:r>
      <w:r>
        <w:rPr>
          <w:rFonts w:hint="eastAsia" w:ascii="Times New Roman" w:hAnsi="Times New Roman" w:eastAsia="仿宋_GB2312" w:cs="Times New Roman"/>
          <w:color w:val="auto"/>
          <w:sz w:val="32"/>
          <w:szCs w:val="32"/>
          <w:highlight w:val="none"/>
          <w:lang w:val="en-US" w:eastAsia="zh-CN"/>
        </w:rPr>
        <w:t>等相关规定，制定了《关于健全完善各类养老服务补贴的通知》(青民[2020]14号）、《青岛市养老服务补贴实施办法》(青民[2024]6号)，对符合《养老机构等级划分与评定国家标准实施指南（试行）》等三星/级及以上标准的</w:t>
      </w:r>
      <w:r>
        <w:rPr>
          <w:rFonts w:hint="default" w:ascii="Times New Roman" w:hAnsi="Times New Roman" w:eastAsia="仿宋_GB2312" w:cs="Times New Roman"/>
          <w:color w:val="auto"/>
          <w:sz w:val="32"/>
          <w:szCs w:val="32"/>
          <w:highlight w:val="none"/>
          <w:lang w:val="en-US" w:eastAsia="zh-CN"/>
        </w:rPr>
        <w:t>星</w:t>
      </w:r>
      <w:r>
        <w:rPr>
          <w:rFonts w:hint="eastAsia" w:ascii="Times New Roman" w:hAnsi="Times New Roman" w:eastAsia="仿宋_GB2312" w:cs="Times New Roman"/>
          <w:color w:val="auto"/>
          <w:sz w:val="32"/>
          <w:szCs w:val="32"/>
          <w:highlight w:val="none"/>
          <w:lang w:val="en-US" w:eastAsia="zh-CN"/>
        </w:rPr>
        <w:t>级</w:t>
      </w:r>
      <w:r>
        <w:rPr>
          <w:rFonts w:hint="default" w:ascii="Times New Roman" w:hAnsi="Times New Roman" w:eastAsia="仿宋_GB2312" w:cs="Times New Roman"/>
          <w:color w:val="auto"/>
          <w:sz w:val="32"/>
          <w:szCs w:val="32"/>
          <w:highlight w:val="none"/>
          <w:lang w:val="en-US" w:eastAsia="zh-CN"/>
        </w:rPr>
        <w:t>养老机构</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街道（镇）综合养老服务中心</w:t>
      </w:r>
      <w:r>
        <w:rPr>
          <w:rFonts w:hint="eastAsia" w:ascii="Times New Roman" w:hAnsi="Times New Roman" w:eastAsia="仿宋_GB2312" w:cs="Times New Roman"/>
          <w:color w:val="auto"/>
          <w:sz w:val="32"/>
          <w:szCs w:val="32"/>
          <w:highlight w:val="none"/>
          <w:lang w:val="en-US" w:eastAsia="zh-CN"/>
        </w:rPr>
        <w:t>进行运营资金奖励。</w:t>
      </w:r>
    </w:p>
    <w:p w14:paraId="46C1339E">
      <w:pPr>
        <w:keepNext w:val="0"/>
        <w:keepLines w:val="0"/>
        <w:pageBreakBefore w:val="0"/>
        <w:widowControl w:val="0"/>
        <w:kinsoku/>
        <w:wordWrap/>
        <w:overflowPunct/>
        <w:topLinePunct w:val="0"/>
        <w:autoSpaceDE/>
        <w:autoSpaceDN/>
        <w:bidi w:val="0"/>
        <w:spacing w:line="560" w:lineRule="exact"/>
        <w:ind w:left="0" w:firstLine="640" w:firstLineChars="200"/>
        <w:textAlignment w:val="auto"/>
        <w:outlineLvl w:val="9"/>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同时，为进一步规范和改进养老机构、</w:t>
      </w:r>
      <w:r>
        <w:rPr>
          <w:rFonts w:hint="default" w:ascii="Times New Roman" w:hAnsi="Times New Roman" w:eastAsia="仿宋_GB2312" w:cs="Times New Roman"/>
          <w:color w:val="auto"/>
          <w:sz w:val="32"/>
          <w:szCs w:val="32"/>
          <w:highlight w:val="none"/>
          <w:lang w:val="en-US" w:eastAsia="zh-CN"/>
        </w:rPr>
        <w:t>街道（镇）综合养老服务中心</w:t>
      </w:r>
      <w:r>
        <w:rPr>
          <w:rFonts w:hint="eastAsia" w:ascii="Times New Roman" w:hAnsi="Times New Roman" w:eastAsia="仿宋_GB2312" w:cs="Times New Roman"/>
          <w:color w:val="auto"/>
          <w:sz w:val="32"/>
          <w:szCs w:val="32"/>
          <w:highlight w:val="none"/>
          <w:lang w:val="en-US" w:eastAsia="zh-CN"/>
        </w:rPr>
        <w:t>服务质量等级评定工作，制定《青岛市养老机构服务质量等级评定办法》(青民[2020]108号）、《青岛市街道（镇）综合养老服务中心运营等级评定方案》（青民[2023]69号），对</w:t>
      </w:r>
      <w:r>
        <w:rPr>
          <w:rFonts w:hint="default" w:ascii="Times New Roman" w:hAnsi="Times New Roman" w:eastAsia="仿宋_GB2312" w:cs="Times New Roman"/>
          <w:color w:val="auto"/>
          <w:sz w:val="32"/>
          <w:szCs w:val="32"/>
          <w:highlight w:val="none"/>
          <w:lang w:val="en-US" w:eastAsia="zh-CN"/>
        </w:rPr>
        <w:t>养老机构</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街道（镇）综合养老服务中心</w:t>
      </w:r>
      <w:r>
        <w:rPr>
          <w:rFonts w:hint="eastAsia" w:ascii="Times New Roman" w:hAnsi="Times New Roman" w:eastAsia="仿宋_GB2312" w:cs="Times New Roman"/>
          <w:color w:val="auto"/>
          <w:sz w:val="32"/>
          <w:szCs w:val="32"/>
          <w:highlight w:val="none"/>
          <w:lang w:val="en-US" w:eastAsia="zh-CN"/>
        </w:rPr>
        <w:t>评星工作进行具体规范。</w:t>
      </w:r>
    </w:p>
    <w:p w14:paraId="21F5C171">
      <w:pPr>
        <w:keepNext w:val="0"/>
        <w:keepLines w:val="0"/>
        <w:pageBreakBefore w:val="0"/>
        <w:widowControl w:val="0"/>
        <w:kinsoku/>
        <w:wordWrap/>
        <w:overflowPunct/>
        <w:topLinePunct w:val="0"/>
        <w:autoSpaceDE/>
        <w:autoSpaceDN/>
        <w:bidi w:val="0"/>
        <w:spacing w:line="560" w:lineRule="exact"/>
        <w:ind w:left="0" w:firstLine="640" w:firstLineChars="200"/>
        <w:textAlignment w:val="auto"/>
        <w:outlineLvl w:val="1"/>
        <w:rPr>
          <w:rFonts w:hint="default" w:ascii="Times New Roman" w:hAnsi="Times New Roman" w:eastAsia="楷体_GB2312" w:cs="Times New Roman"/>
          <w:color w:val="auto"/>
          <w:sz w:val="32"/>
          <w:szCs w:val="32"/>
          <w:highlight w:val="none"/>
          <w:lang w:val="en-US" w:eastAsia="zh-CN"/>
        </w:rPr>
      </w:pPr>
      <w:bookmarkStart w:id="10" w:name="_Toc24473"/>
      <w:bookmarkStart w:id="11" w:name="_Toc32159"/>
      <w:r>
        <w:rPr>
          <w:rFonts w:hint="default" w:ascii="Times New Roman" w:hAnsi="Times New Roman" w:eastAsia="楷体_GB2312" w:cs="Times New Roman"/>
          <w:color w:val="auto"/>
          <w:sz w:val="32"/>
          <w:szCs w:val="32"/>
          <w:highlight w:val="none"/>
          <w:lang w:val="en-US" w:eastAsia="zh-CN"/>
        </w:rPr>
        <w:t>（二）项目内容及实施情况</w:t>
      </w:r>
      <w:bookmarkEnd w:id="8"/>
      <w:bookmarkEnd w:id="9"/>
      <w:bookmarkEnd w:id="10"/>
      <w:bookmarkEnd w:id="11"/>
    </w:p>
    <w:p w14:paraId="1EB4656B">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left"/>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1.项目主要内容</w:t>
      </w:r>
    </w:p>
    <w:p w14:paraId="2D3128B9">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本项目包含星级养老机构评定奖补资金、2023年街道（镇）综合养老服务中心运营奖励资金两个子项目。</w:t>
      </w:r>
    </w:p>
    <w:p w14:paraId="142C1F81">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（1）星级养老机构评定奖补资金</w:t>
      </w:r>
    </w:p>
    <w:p w14:paraId="106650C3">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奖励对象：市级及以上民政部门评定的三星级（含）及以上普惠性养老机构。</w:t>
      </w:r>
    </w:p>
    <w:p w14:paraId="552B57AB">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评定方法：由市民政局按照《养老机构等级划分与评定国家标准实施指南（试行）》、《青岛市养老机构服务质量等级评定办法》(青民[2020]108号）的相关规定，通过政府购买服务方式委托第三方进行评定。</w:t>
      </w:r>
    </w:p>
    <w:p w14:paraId="2B100430">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奖励标准：养老机构评定等级有效期四年，有效期内给予三星、四星、五星级养老机构10万元、15万元、20万元一次性奖励补贴，于管理期内每年拨付25%。</w:t>
      </w:r>
    </w:p>
    <w:p w14:paraId="44CD22C6">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（2）2023年街道（镇）综合养老服务中心运营奖励资金</w:t>
      </w:r>
    </w:p>
    <w:p w14:paraId="22C27221">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仿宋_GB2312" w:hAnsi="??" w:eastAsia="仿宋_GB2312" w:cs="仿宋_GB2312"/>
          <w:kern w:val="0"/>
          <w:sz w:val="32"/>
          <w:szCs w:val="32"/>
          <w:lang w:eastAsia="zh-CN"/>
        </w:rPr>
      </w:pPr>
      <w:r>
        <w:rPr>
          <w:rFonts w:hint="eastAsia" w:ascii="Times New Roman" w:hAnsi="Times New Roman" w:eastAsia="仿宋_GB2312" w:cs="Times New Roman"/>
          <w:color w:val="auto"/>
          <w:sz w:val="32"/>
          <w:szCs w:val="32"/>
          <w:highlight w:val="none"/>
          <w:lang w:val="en-US" w:eastAsia="zh-CN"/>
        </w:rPr>
        <w:t>奖励对象：</w:t>
      </w:r>
      <w:r>
        <w:rPr>
          <w:rFonts w:hint="eastAsia" w:ascii="仿宋_GB2312" w:hAnsi="??" w:eastAsia="仿宋_GB2312" w:cs="仿宋_GB2312"/>
          <w:kern w:val="0"/>
          <w:sz w:val="32"/>
          <w:szCs w:val="32"/>
        </w:rPr>
        <w:t>自备案登记起</w:t>
      </w:r>
      <w:r>
        <w:rPr>
          <w:rFonts w:hint="eastAsia" w:ascii="仿宋_GB2312" w:hAnsi="??" w:eastAsia="仿宋_GB2312" w:cs="仿宋_GB2312"/>
          <w:kern w:val="0"/>
          <w:sz w:val="32"/>
          <w:szCs w:val="32"/>
          <w:lang w:val="en-US" w:eastAsia="zh-CN"/>
        </w:rPr>
        <w:t>持续</w:t>
      </w:r>
      <w:r>
        <w:rPr>
          <w:rFonts w:hint="eastAsia" w:ascii="仿宋_GB2312" w:hAnsi="??" w:eastAsia="仿宋_GB2312" w:cs="仿宋_GB2312"/>
          <w:kern w:val="0"/>
          <w:sz w:val="32"/>
          <w:szCs w:val="32"/>
        </w:rPr>
        <w:t>运营满一年，被评定为五级、四级、三级</w:t>
      </w:r>
      <w:r>
        <w:rPr>
          <w:rFonts w:hint="eastAsia" w:ascii="仿宋_GB2312" w:hAnsi="??" w:eastAsia="仿宋_GB2312" w:cs="仿宋_GB2312"/>
          <w:kern w:val="0"/>
          <w:sz w:val="32"/>
          <w:szCs w:val="32"/>
          <w:lang w:eastAsia="zh-CN"/>
        </w:rPr>
        <w:t>，</w:t>
      </w:r>
      <w:r>
        <w:rPr>
          <w:rFonts w:hint="eastAsia" w:ascii="仿宋_GB2312" w:hAnsi="??" w:eastAsia="仿宋_GB2312" w:cs="仿宋_GB2312"/>
          <w:kern w:val="0"/>
          <w:sz w:val="32"/>
          <w:szCs w:val="32"/>
        </w:rPr>
        <w:t>具备机构养老服务、镇街（社区）居家养老服务和助餐服务等功能并正常开展服务的街道（镇）综合养老服务中心</w:t>
      </w:r>
      <w:r>
        <w:rPr>
          <w:rFonts w:hint="eastAsia" w:ascii="仿宋_GB2312" w:hAnsi="??" w:eastAsia="仿宋_GB2312" w:cs="仿宋_GB2312"/>
          <w:kern w:val="0"/>
          <w:sz w:val="32"/>
          <w:szCs w:val="32"/>
          <w:lang w:eastAsia="zh-CN"/>
        </w:rPr>
        <w:t>。</w:t>
      </w:r>
    </w:p>
    <w:p w14:paraId="7202B5A0">
      <w:pPr>
        <w:widowControl/>
        <w:spacing w:line="580" w:lineRule="exact"/>
        <w:ind w:firstLine="640" w:firstLineChars="200"/>
        <w:jc w:val="left"/>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评定方法：</w:t>
      </w:r>
      <w:r>
        <w:rPr>
          <w:rFonts w:hint="eastAsia" w:ascii="仿宋_GB2312" w:hAnsi="??" w:eastAsia="仿宋_GB2312" w:cs="仿宋_GB2312"/>
          <w:kern w:val="0"/>
          <w:sz w:val="32"/>
          <w:szCs w:val="32"/>
        </w:rPr>
        <w:t>每年度开展街道（镇）综合养老服务中心运营等级评定，街道（镇）综合养老服务中心向区（市）民政部门提出申请，区（市）民政部门审核同意后，报</w:t>
      </w:r>
      <w:r>
        <w:rPr>
          <w:rFonts w:hint="eastAsia" w:ascii="仿宋_GB2312" w:hAnsi="??" w:eastAsia="仿宋_GB2312" w:cs="仿宋_GB2312"/>
          <w:kern w:val="0"/>
          <w:sz w:val="32"/>
          <w:szCs w:val="32"/>
          <w:lang w:val="en-US" w:eastAsia="zh-CN"/>
        </w:rPr>
        <w:t>青岛</w:t>
      </w:r>
      <w:r>
        <w:rPr>
          <w:rFonts w:hint="eastAsia" w:ascii="仿宋_GB2312" w:hAnsi="??" w:eastAsia="仿宋_GB2312" w:cs="仿宋_GB2312"/>
          <w:kern w:val="0"/>
          <w:sz w:val="32"/>
          <w:szCs w:val="32"/>
        </w:rPr>
        <w:t>市民政部门，</w:t>
      </w:r>
      <w:r>
        <w:rPr>
          <w:rFonts w:hint="eastAsia" w:ascii="仿宋_GB2312" w:hAnsi="??" w:eastAsia="仿宋_GB2312" w:cs="仿宋_GB2312"/>
          <w:kern w:val="0"/>
          <w:sz w:val="32"/>
          <w:szCs w:val="32"/>
          <w:lang w:val="en-US" w:eastAsia="zh-CN"/>
        </w:rPr>
        <w:t>青岛</w:t>
      </w:r>
      <w:r>
        <w:rPr>
          <w:rFonts w:hint="eastAsia" w:ascii="仿宋_GB2312" w:hAnsi="??" w:eastAsia="仿宋_GB2312" w:cs="仿宋_GB2312"/>
          <w:kern w:val="0"/>
          <w:sz w:val="32"/>
          <w:szCs w:val="32"/>
        </w:rPr>
        <w:t>市民政部门委托第三方评估组织</w:t>
      </w:r>
      <w:r>
        <w:rPr>
          <w:rFonts w:hint="eastAsia" w:eastAsia="仿宋_GB2312" w:cs="仿宋_GB2312"/>
          <w:kern w:val="0"/>
          <w:sz w:val="32"/>
          <w:szCs w:val="32"/>
        </w:rPr>
        <w:t>收集运营等级评定资料，组织专家评审确定等级评定结果</w:t>
      </w:r>
      <w:r>
        <w:rPr>
          <w:rFonts w:hint="eastAsia" w:ascii="Times New Roman" w:hAnsi="Times New Roman" w:eastAsia="仿宋_GB2312" w:cs="Times New Roman"/>
          <w:color w:val="auto"/>
          <w:sz w:val="32"/>
          <w:szCs w:val="32"/>
          <w:highlight w:val="none"/>
          <w:lang w:val="en-US" w:eastAsia="zh-CN"/>
        </w:rPr>
        <w:t>。</w:t>
      </w:r>
    </w:p>
    <w:p w14:paraId="08BA088C">
      <w:pPr>
        <w:widowControl/>
        <w:spacing w:line="580" w:lineRule="exact"/>
        <w:ind w:firstLine="640" w:firstLineChars="200"/>
        <w:jc w:val="left"/>
        <w:rPr>
          <w:rFonts w:hint="eastAsia" w:ascii="Times New Roman" w:hAnsi="Times New Roman" w:eastAsia="仿宋_GB2312" w:cs="Times New Roman"/>
          <w:color w:val="auto"/>
          <w:kern w:val="2"/>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奖励标准：</w:t>
      </w:r>
      <w:r>
        <w:rPr>
          <w:rFonts w:hint="eastAsia" w:ascii="Times New Roman" w:hAnsi="Times New Roman" w:eastAsia="仿宋_GB2312" w:cs="Times New Roman"/>
          <w:color w:val="auto"/>
          <w:kern w:val="2"/>
          <w:sz w:val="32"/>
          <w:szCs w:val="32"/>
          <w:highlight w:val="none"/>
        </w:rPr>
        <w:t>对</w:t>
      </w:r>
      <w:r>
        <w:rPr>
          <w:rFonts w:hint="eastAsia" w:ascii="Times New Roman" w:hAnsi="Times New Roman" w:eastAsia="仿宋_GB2312" w:cs="Times New Roman"/>
          <w:color w:val="auto"/>
          <w:sz w:val="32"/>
          <w:szCs w:val="32"/>
          <w:highlight w:val="none"/>
          <w:lang w:val="en-US" w:eastAsia="zh-CN"/>
        </w:rPr>
        <w:t>评定为五级、四级、三级的街道（镇）综合养老服务中心分别给予60万元、30万元、20万元的运营奖励，同时，</w:t>
      </w:r>
      <w:r>
        <w:rPr>
          <w:rFonts w:hint="eastAsia" w:ascii="Times New Roman" w:hAnsi="Times New Roman" w:eastAsia="仿宋_GB2312" w:cs="Times New Roman"/>
          <w:color w:val="auto"/>
          <w:kern w:val="2"/>
          <w:sz w:val="32"/>
          <w:szCs w:val="32"/>
          <w:highlight w:val="none"/>
        </w:rPr>
        <w:t>享受奖励的街道（镇）综合养老服务中心数量不超过全市街道（镇）综合养老服务中心总数的50%，其中五级不超过10%，四级不超过15%，三级不超过25%</w:t>
      </w:r>
      <w:r>
        <w:rPr>
          <w:rFonts w:hint="eastAsia" w:ascii="Times New Roman" w:hAnsi="Times New Roman" w:eastAsia="仿宋_GB2312" w:cs="Times New Roman"/>
          <w:color w:val="auto"/>
          <w:kern w:val="2"/>
          <w:sz w:val="32"/>
          <w:szCs w:val="32"/>
          <w:highlight w:val="none"/>
          <w:lang w:eastAsia="zh-CN"/>
        </w:rPr>
        <w:t>。</w:t>
      </w:r>
    </w:p>
    <w:p w14:paraId="236C128E">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left"/>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2.项目具体实施情况</w:t>
      </w:r>
    </w:p>
    <w:p w14:paraId="3D087045">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（1）星级养老机构评定奖补资金</w:t>
      </w:r>
    </w:p>
    <w:p w14:paraId="0DDA8EB5">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星级养老机构评定奖补资金项目管理期四年，每年拨付25%资金，因2023年未进行养老机构星级评估，2024年星级养老机构评定奖补资金包含2020年度、2021年度、2022年度三年养老机构星级评定奖补资金的25%。</w:t>
      </w:r>
    </w:p>
    <w:p w14:paraId="6D0C3C28">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default" w:ascii="Times New Roman" w:hAnsi="Times New Roman" w:eastAsia="仿宋_GB2312" w:cs="Times New Roman"/>
          <w:color w:val="auto"/>
          <w:sz w:val="32"/>
          <w:szCs w:val="32"/>
          <w:highlight w:val="yellow"/>
          <w:lang w:val="en-US" w:eastAsia="zh-CN"/>
        </w:rPr>
      </w:pPr>
      <w:r>
        <w:rPr>
          <w:rFonts w:hint="eastAsia" w:ascii="Times New Roman" w:hAnsi="Times New Roman" w:eastAsia="仿宋_GB2312" w:cs="Times New Roman"/>
          <w:color w:val="auto"/>
          <w:sz w:val="32"/>
          <w:szCs w:val="32"/>
          <w:highlight w:val="none"/>
          <w:lang w:val="en-US" w:eastAsia="zh-CN"/>
        </w:rPr>
        <w:t>青岛市民政局于2020年11月组织“2020年度养老机构星级评定项目”采购工作，</w:t>
      </w:r>
      <w:r>
        <w:rPr>
          <w:rFonts w:hint="eastAsia" w:ascii="Times New Roman" w:hAnsi="Times New Roman" w:eastAsia="仿宋_GB2312" w:cs="Times New Roman"/>
          <w:color w:val="auto"/>
          <w:kern w:val="0"/>
          <w:sz w:val="32"/>
          <w:szCs w:val="32"/>
          <w:highlight w:val="none"/>
          <w:lang w:val="en-US" w:eastAsia="zh-CN" w:bidi="ar-SA"/>
        </w:rPr>
        <w:t>采用竞争性磋商的采购方式</w:t>
      </w:r>
      <w:r>
        <w:rPr>
          <w:rFonts w:hint="eastAsia" w:ascii="Times New Roman" w:hAnsi="Times New Roman" w:eastAsia="仿宋_GB2312" w:cs="Times New Roman"/>
          <w:color w:val="auto"/>
          <w:sz w:val="32"/>
          <w:szCs w:val="32"/>
          <w:highlight w:val="none"/>
          <w:lang w:val="en-US" w:eastAsia="zh-CN"/>
        </w:rPr>
        <w:t>确定青岛市养老服务协会（第一包）、山东泰山社会服务业发展促进中心（第二包）为养老机构星级评定的第三方机构，签署《养老机构星级评定项目采购合同》，同时，由中标单位组织2020年度养老机构星级评定工作，按照《青岛市养老机构服务质量等级评定办法》的规定对评定结果进行公示。市民政局2021年第23次党组会、2022年第25次党组会分别决定，2021年度、2022年度养老机构等级评定项目由山东泰山社会服务业发展促进中心负责承办。实际</w:t>
      </w:r>
      <w:r>
        <w:rPr>
          <w:rFonts w:hint="eastAsia" w:ascii="Times New Roman" w:hAnsi="Times New Roman" w:eastAsia="仿宋_GB2312" w:cs="Times New Roman"/>
          <w:color w:val="auto"/>
          <w:kern w:val="0"/>
          <w:sz w:val="32"/>
          <w:szCs w:val="32"/>
          <w:highlight w:val="none"/>
          <w:lang w:val="en-US" w:eastAsia="zh-CN" w:bidi="ar-SA"/>
        </w:rPr>
        <w:t>于2024年11月6日向评定获奖的</w:t>
      </w:r>
      <w:r>
        <w:rPr>
          <w:rFonts w:hint="eastAsia" w:ascii="Times New Roman" w:hAnsi="Times New Roman" w:eastAsia="仿宋_GB2312" w:cs="Times New Roman"/>
          <w:color w:val="auto"/>
          <w:sz w:val="32"/>
          <w:szCs w:val="32"/>
          <w:highlight w:val="none"/>
          <w:lang w:val="en-US" w:eastAsia="zh-CN"/>
        </w:rPr>
        <w:t>养老机构支付2024年度25%比例的奖励</w:t>
      </w:r>
      <w:r>
        <w:rPr>
          <w:rFonts w:hint="eastAsia" w:ascii="Times New Roman" w:hAnsi="Times New Roman" w:eastAsia="仿宋_GB2312" w:cs="Times New Roman"/>
          <w:color w:val="auto"/>
          <w:kern w:val="0"/>
          <w:sz w:val="32"/>
          <w:szCs w:val="32"/>
          <w:highlight w:val="none"/>
          <w:lang w:val="en-US" w:eastAsia="zh-CN" w:bidi="ar-SA"/>
        </w:rPr>
        <w:t>资金。</w:t>
      </w:r>
    </w:p>
    <w:p w14:paraId="3E4EA0A6">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val="0"/>
        <w:spacing w:line="560" w:lineRule="exact"/>
        <w:ind w:left="0" w:lef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（2）2023年街道（镇）综合养老服务中心运营奖励资金</w:t>
      </w:r>
    </w:p>
    <w:p w14:paraId="5C63508C">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val="0"/>
        <w:spacing w:line="560" w:lineRule="exact"/>
        <w:ind w:left="0" w:lef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青岛市民政局于</w:t>
      </w:r>
      <w:r>
        <w:rPr>
          <w:rFonts w:hint="default" w:ascii="Times New Roman" w:hAnsi="Times New Roman" w:eastAsia="仿宋_GB2312" w:cs="Times New Roman"/>
          <w:color w:val="auto"/>
          <w:kern w:val="0"/>
          <w:sz w:val="32"/>
          <w:szCs w:val="32"/>
          <w:highlight w:val="none"/>
          <w:lang w:val="en-US" w:eastAsia="zh-CN" w:bidi="ar-SA"/>
        </w:rPr>
        <w:t>2023</w:t>
      </w:r>
      <w:r>
        <w:rPr>
          <w:rFonts w:hint="eastAsia" w:ascii="Times New Roman" w:hAnsi="Times New Roman" w:eastAsia="仿宋_GB2312" w:cs="Times New Roman"/>
          <w:color w:val="auto"/>
          <w:kern w:val="0"/>
          <w:sz w:val="32"/>
          <w:szCs w:val="32"/>
          <w:highlight w:val="none"/>
          <w:lang w:val="en-US" w:eastAsia="zh-CN" w:bidi="ar-SA"/>
        </w:rPr>
        <w:t>年</w:t>
      </w:r>
      <w:r>
        <w:rPr>
          <w:rFonts w:hint="default" w:ascii="Times New Roman" w:hAnsi="Times New Roman" w:eastAsia="仿宋_GB2312" w:cs="Times New Roman"/>
          <w:color w:val="auto"/>
          <w:kern w:val="0"/>
          <w:sz w:val="32"/>
          <w:szCs w:val="32"/>
          <w:highlight w:val="none"/>
          <w:lang w:val="en-US" w:eastAsia="zh-CN" w:bidi="ar-SA"/>
        </w:rPr>
        <w:t>11</w:t>
      </w:r>
      <w:r>
        <w:rPr>
          <w:rFonts w:hint="eastAsia" w:ascii="Times New Roman" w:hAnsi="Times New Roman" w:eastAsia="仿宋_GB2312" w:cs="Times New Roman"/>
          <w:color w:val="auto"/>
          <w:kern w:val="0"/>
          <w:sz w:val="32"/>
          <w:szCs w:val="32"/>
          <w:highlight w:val="none"/>
          <w:lang w:val="en-US" w:eastAsia="zh-CN" w:bidi="ar-SA"/>
        </w:rPr>
        <w:t>月组织“青岛市镇街级综合养老服务中心等级评定项目”采购工作，采用竞争性谈判的采购方式确定山东安养养老服务促进中心为青岛市镇街级综合养老服务中心等级评定项目的成交供应商，并于2</w:t>
      </w:r>
      <w:r>
        <w:rPr>
          <w:rFonts w:hint="default" w:ascii="Times New Roman" w:hAnsi="Times New Roman" w:eastAsia="仿宋_GB2312" w:cs="Times New Roman"/>
          <w:color w:val="auto"/>
          <w:kern w:val="0"/>
          <w:sz w:val="32"/>
          <w:szCs w:val="32"/>
          <w:highlight w:val="none"/>
          <w:lang w:val="en-US" w:eastAsia="zh-CN" w:bidi="ar-SA"/>
        </w:rPr>
        <w:t>023</w:t>
      </w:r>
      <w:r>
        <w:rPr>
          <w:rFonts w:hint="eastAsia" w:ascii="Times New Roman" w:hAnsi="Times New Roman" w:eastAsia="仿宋_GB2312" w:cs="Times New Roman"/>
          <w:color w:val="auto"/>
          <w:kern w:val="0"/>
          <w:sz w:val="32"/>
          <w:szCs w:val="32"/>
          <w:highlight w:val="none"/>
          <w:lang w:val="en-US" w:eastAsia="zh-CN" w:bidi="ar-SA"/>
        </w:rPr>
        <w:t>年</w:t>
      </w:r>
      <w:r>
        <w:rPr>
          <w:rFonts w:hint="default" w:ascii="Times New Roman" w:hAnsi="Times New Roman" w:eastAsia="仿宋_GB2312" w:cs="Times New Roman"/>
          <w:color w:val="auto"/>
          <w:kern w:val="0"/>
          <w:sz w:val="32"/>
          <w:szCs w:val="32"/>
          <w:highlight w:val="none"/>
          <w:lang w:val="en-US" w:eastAsia="zh-CN" w:bidi="ar-SA"/>
        </w:rPr>
        <w:t>11</w:t>
      </w:r>
      <w:r>
        <w:rPr>
          <w:rFonts w:hint="eastAsia" w:ascii="Times New Roman" w:hAnsi="Times New Roman" w:eastAsia="仿宋_GB2312" w:cs="Times New Roman"/>
          <w:color w:val="auto"/>
          <w:kern w:val="0"/>
          <w:sz w:val="32"/>
          <w:szCs w:val="32"/>
          <w:highlight w:val="none"/>
          <w:lang w:val="en-US" w:eastAsia="zh-CN" w:bidi="ar-SA"/>
        </w:rPr>
        <w:t>月</w:t>
      </w:r>
      <w:r>
        <w:rPr>
          <w:rFonts w:hint="default" w:ascii="Times New Roman" w:hAnsi="Times New Roman" w:eastAsia="仿宋_GB2312" w:cs="Times New Roman"/>
          <w:color w:val="auto"/>
          <w:kern w:val="0"/>
          <w:sz w:val="32"/>
          <w:szCs w:val="32"/>
          <w:highlight w:val="none"/>
          <w:lang w:val="en-US" w:eastAsia="zh-CN" w:bidi="ar-SA"/>
        </w:rPr>
        <w:t>20</w:t>
      </w:r>
      <w:r>
        <w:rPr>
          <w:rFonts w:hint="eastAsia" w:ascii="Times New Roman" w:hAnsi="Times New Roman" w:eastAsia="仿宋_GB2312" w:cs="Times New Roman"/>
          <w:color w:val="auto"/>
          <w:kern w:val="0"/>
          <w:sz w:val="32"/>
          <w:szCs w:val="32"/>
          <w:highlight w:val="none"/>
          <w:lang w:val="en-US" w:eastAsia="zh-CN" w:bidi="ar-SA"/>
        </w:rPr>
        <w:t>日与山东安养养老服务促进中心签订《青岛市镇街级综合养老服务中心等级评定项目采购合同》。同时，山东安养养老服务促进中心组织青岛市镇街级综合养老服务中心等级评定工作，于</w:t>
      </w:r>
      <w:r>
        <w:rPr>
          <w:rFonts w:hint="default" w:ascii="Times New Roman" w:hAnsi="Times New Roman" w:eastAsia="仿宋_GB2312" w:cs="Times New Roman"/>
          <w:color w:val="auto"/>
          <w:kern w:val="0"/>
          <w:sz w:val="32"/>
          <w:szCs w:val="32"/>
          <w:highlight w:val="none"/>
          <w:lang w:val="en-US" w:eastAsia="zh-CN" w:bidi="ar-SA"/>
        </w:rPr>
        <w:t>2024年1月31日至2024年2月6日</w:t>
      </w:r>
      <w:r>
        <w:rPr>
          <w:rFonts w:hint="eastAsia" w:ascii="Times New Roman" w:hAnsi="Times New Roman" w:eastAsia="仿宋_GB2312" w:cs="Times New Roman"/>
          <w:color w:val="auto"/>
          <w:kern w:val="0"/>
          <w:sz w:val="32"/>
          <w:szCs w:val="32"/>
          <w:highlight w:val="none"/>
          <w:lang w:val="en-US" w:eastAsia="zh-CN" w:bidi="ar-SA"/>
        </w:rPr>
        <w:t>期间对评定结果进行公示，于</w:t>
      </w:r>
      <w:r>
        <w:rPr>
          <w:rFonts w:hint="default" w:ascii="Times New Roman" w:hAnsi="Times New Roman" w:eastAsia="仿宋_GB2312" w:cs="Times New Roman"/>
          <w:color w:val="auto"/>
          <w:kern w:val="0"/>
          <w:sz w:val="32"/>
          <w:szCs w:val="32"/>
          <w:highlight w:val="none"/>
          <w:lang w:val="en-US" w:eastAsia="zh-CN" w:bidi="ar-SA"/>
        </w:rPr>
        <w:t>2024年3月21日向获评奖励的综合养老服务中心支付奖励资金</w:t>
      </w:r>
      <w:r>
        <w:rPr>
          <w:rFonts w:hint="eastAsia" w:ascii="Times New Roman" w:hAnsi="Times New Roman" w:eastAsia="仿宋_GB2312" w:cs="Times New Roman"/>
          <w:color w:val="auto"/>
          <w:kern w:val="0"/>
          <w:sz w:val="32"/>
          <w:szCs w:val="32"/>
          <w:highlight w:val="none"/>
          <w:lang w:val="en-US" w:eastAsia="zh-CN" w:bidi="ar-SA"/>
        </w:rPr>
        <w:t>。</w:t>
      </w:r>
    </w:p>
    <w:p w14:paraId="548D5BCC">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left"/>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3.项目组织管理</w:t>
      </w:r>
    </w:p>
    <w:p w14:paraId="2AFC9A81">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spacing w:line="560" w:lineRule="exact"/>
        <w:ind w:left="0" w:firstLine="640" w:firstLineChars="200"/>
        <w:jc w:val="both"/>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（1）星级养老机构评定奖补资金</w:t>
      </w:r>
    </w:p>
    <w:p w14:paraId="6FECC0AE">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青岛</w:t>
      </w:r>
      <w:r>
        <w:rPr>
          <w:rFonts w:hint="default" w:ascii="Times New Roman" w:hAnsi="Times New Roman" w:eastAsia="仿宋_GB2312" w:cs="Times New Roman"/>
          <w:color w:val="auto"/>
          <w:kern w:val="0"/>
          <w:sz w:val="32"/>
          <w:szCs w:val="32"/>
          <w:highlight w:val="none"/>
          <w:lang w:val="en-US" w:eastAsia="zh-CN" w:bidi="ar-SA"/>
        </w:rPr>
        <w:t>市民政局</w:t>
      </w:r>
      <w:r>
        <w:rPr>
          <w:rFonts w:hint="eastAsia" w:ascii="Times New Roman" w:hAnsi="Times New Roman" w:eastAsia="仿宋_GB2312" w:cs="Times New Roman"/>
          <w:color w:val="auto"/>
          <w:kern w:val="0"/>
          <w:sz w:val="32"/>
          <w:szCs w:val="32"/>
          <w:highlight w:val="none"/>
          <w:lang w:val="en-US" w:eastAsia="zh-CN" w:bidi="ar-SA"/>
        </w:rPr>
        <w:t>：</w:t>
      </w:r>
      <w:r>
        <w:rPr>
          <w:rFonts w:hint="default" w:ascii="Times New Roman" w:hAnsi="Times New Roman" w:eastAsia="仿宋_GB2312" w:cs="Times New Roman"/>
          <w:color w:val="auto"/>
          <w:kern w:val="0"/>
          <w:sz w:val="32"/>
          <w:szCs w:val="32"/>
          <w:highlight w:val="none"/>
          <w:lang w:val="en-US" w:eastAsia="zh-CN" w:bidi="ar-SA"/>
        </w:rPr>
        <w:t>养老机构等级评定工作的行政主管部门，负责养老机构等级评定的组织推进、标准制定和监督管理。</w:t>
      </w:r>
    </w:p>
    <w:p w14:paraId="2E2C7996">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val="0"/>
        <w:spacing w:line="560" w:lineRule="exact"/>
        <w:ind w:left="0" w:lef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评定委员会</w:t>
      </w:r>
      <w:r>
        <w:rPr>
          <w:rFonts w:hint="eastAsia" w:ascii="Times New Roman" w:hAnsi="Times New Roman" w:eastAsia="仿宋_GB2312" w:cs="Times New Roman"/>
          <w:color w:val="auto"/>
          <w:kern w:val="0"/>
          <w:sz w:val="32"/>
          <w:szCs w:val="32"/>
          <w:highlight w:val="none"/>
          <w:lang w:val="en-US" w:eastAsia="zh-CN" w:bidi="ar-SA"/>
        </w:rPr>
        <w:t>：</w:t>
      </w:r>
      <w:r>
        <w:rPr>
          <w:rFonts w:hint="default" w:ascii="Times New Roman" w:hAnsi="Times New Roman" w:eastAsia="仿宋_GB2312" w:cs="Times New Roman"/>
          <w:color w:val="auto"/>
          <w:kern w:val="0"/>
          <w:sz w:val="32"/>
          <w:szCs w:val="32"/>
          <w:highlight w:val="none"/>
          <w:lang w:val="en-US" w:eastAsia="zh-CN" w:bidi="ar-SA"/>
        </w:rPr>
        <w:t>在青岛市民政局的指导监督下，委托相关单位或者聘请第三方评估机构成立青岛市养老机构服务质量等级评定委员会</w:t>
      </w:r>
      <w:r>
        <w:rPr>
          <w:rFonts w:hint="eastAsia" w:ascii="Times New Roman" w:hAnsi="Times New Roman" w:eastAsia="仿宋_GB2312" w:cs="Times New Roman"/>
          <w:color w:val="auto"/>
          <w:kern w:val="0"/>
          <w:sz w:val="32"/>
          <w:szCs w:val="32"/>
          <w:highlight w:val="none"/>
          <w:lang w:val="en-US" w:eastAsia="zh-CN" w:bidi="ar-SA"/>
        </w:rPr>
        <w:t>。</w:t>
      </w:r>
      <w:r>
        <w:rPr>
          <w:rFonts w:hint="default" w:ascii="Times New Roman" w:hAnsi="Times New Roman" w:eastAsia="仿宋_GB2312" w:cs="Times New Roman"/>
          <w:color w:val="auto"/>
          <w:kern w:val="0"/>
          <w:sz w:val="32"/>
          <w:szCs w:val="32"/>
          <w:highlight w:val="none"/>
          <w:lang w:val="en-US" w:eastAsia="zh-CN" w:bidi="ar-SA"/>
        </w:rPr>
        <w:t>负责各等级养老机构评审、复评、评价结果审核认定、评估争议</w:t>
      </w:r>
      <w:r>
        <w:rPr>
          <w:rFonts w:hint="eastAsia" w:ascii="Times New Roman" w:hAnsi="Times New Roman" w:eastAsia="仿宋_GB2312" w:cs="Times New Roman"/>
          <w:color w:val="auto"/>
          <w:kern w:val="0"/>
          <w:sz w:val="32"/>
          <w:szCs w:val="32"/>
          <w:highlight w:val="none"/>
          <w:lang w:val="en-US" w:eastAsia="zh-CN" w:bidi="ar-SA"/>
        </w:rPr>
        <w:t>协调</w:t>
      </w:r>
      <w:r>
        <w:rPr>
          <w:rFonts w:hint="default" w:ascii="Times New Roman" w:hAnsi="Times New Roman" w:eastAsia="仿宋_GB2312" w:cs="Times New Roman"/>
          <w:color w:val="auto"/>
          <w:kern w:val="0"/>
          <w:sz w:val="32"/>
          <w:szCs w:val="32"/>
          <w:highlight w:val="none"/>
          <w:lang w:val="en-US" w:eastAsia="zh-CN" w:bidi="ar-SA"/>
        </w:rPr>
        <w:t>，以及养老机构服务质量等级评定证书、牌匾发放等等级评定工作。组建现场评审专家工作组、组织召开市等级评定委员会全体会议和各项评审组织工作等</w:t>
      </w:r>
      <w:r>
        <w:rPr>
          <w:rFonts w:hint="eastAsia" w:ascii="Times New Roman" w:hAnsi="Times New Roman" w:eastAsia="仿宋_GB2312" w:cs="Times New Roman"/>
          <w:color w:val="auto"/>
          <w:kern w:val="0"/>
          <w:sz w:val="32"/>
          <w:szCs w:val="32"/>
          <w:highlight w:val="none"/>
          <w:lang w:val="en-US" w:eastAsia="zh-CN" w:bidi="ar-SA"/>
        </w:rPr>
        <w:t>。</w:t>
      </w:r>
    </w:p>
    <w:p w14:paraId="4A2DF4F5">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各</w:t>
      </w:r>
      <w:r>
        <w:rPr>
          <w:rFonts w:hint="default" w:ascii="Times New Roman" w:hAnsi="Times New Roman" w:eastAsia="仿宋_GB2312" w:cs="Times New Roman"/>
          <w:color w:val="auto"/>
          <w:kern w:val="0"/>
          <w:sz w:val="32"/>
          <w:szCs w:val="32"/>
          <w:highlight w:val="none"/>
          <w:lang w:val="en-US" w:eastAsia="zh-CN" w:bidi="ar-SA"/>
        </w:rPr>
        <w:t>区</w:t>
      </w:r>
      <w:r>
        <w:rPr>
          <w:rFonts w:hint="eastAsia" w:ascii="Times New Roman" w:hAnsi="Times New Roman" w:eastAsia="仿宋_GB2312" w:cs="Times New Roman"/>
          <w:color w:val="auto"/>
          <w:kern w:val="0"/>
          <w:sz w:val="32"/>
          <w:szCs w:val="32"/>
          <w:highlight w:val="none"/>
          <w:lang w:val="en-US" w:eastAsia="zh-CN" w:bidi="ar-SA"/>
        </w:rPr>
        <w:t>（市）</w:t>
      </w:r>
      <w:r>
        <w:rPr>
          <w:rFonts w:hint="default" w:ascii="Times New Roman" w:hAnsi="Times New Roman" w:eastAsia="仿宋_GB2312" w:cs="Times New Roman"/>
          <w:color w:val="auto"/>
          <w:kern w:val="0"/>
          <w:sz w:val="32"/>
          <w:szCs w:val="32"/>
          <w:highlight w:val="none"/>
          <w:lang w:val="en-US" w:eastAsia="zh-CN" w:bidi="ar-SA"/>
        </w:rPr>
        <w:t>民政局</w:t>
      </w:r>
      <w:r>
        <w:rPr>
          <w:rFonts w:hint="eastAsia" w:ascii="Times New Roman" w:hAnsi="Times New Roman" w:eastAsia="仿宋_GB2312" w:cs="Times New Roman"/>
          <w:color w:val="auto"/>
          <w:kern w:val="0"/>
          <w:sz w:val="32"/>
          <w:szCs w:val="32"/>
          <w:highlight w:val="none"/>
          <w:lang w:val="en-US" w:eastAsia="zh-CN" w:bidi="ar-SA"/>
        </w:rPr>
        <w:t>：</w:t>
      </w:r>
      <w:r>
        <w:rPr>
          <w:rFonts w:hint="default" w:ascii="Times New Roman" w:hAnsi="Times New Roman" w:eastAsia="仿宋_GB2312" w:cs="Times New Roman"/>
          <w:color w:val="auto"/>
          <w:kern w:val="0"/>
          <w:sz w:val="32"/>
          <w:szCs w:val="32"/>
          <w:highlight w:val="none"/>
          <w:lang w:val="en-US" w:eastAsia="zh-CN" w:bidi="ar-SA"/>
        </w:rPr>
        <w:t>负责动员和指导本行政区域内养老机构等级评定工作，协助开展等级评定工作相关事项，对养老机构报送材料进行初审，提出评审意见。</w:t>
      </w:r>
    </w:p>
    <w:p w14:paraId="55DB0F8D">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（2）2023年街道（镇）综合养老服务中心运营奖励资金</w:t>
      </w:r>
    </w:p>
    <w:p w14:paraId="10D32D82">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青岛</w:t>
      </w:r>
      <w:r>
        <w:rPr>
          <w:rFonts w:hint="default" w:ascii="Times New Roman" w:hAnsi="Times New Roman" w:eastAsia="仿宋_GB2312" w:cs="Times New Roman"/>
          <w:color w:val="auto"/>
          <w:kern w:val="0"/>
          <w:sz w:val="32"/>
          <w:szCs w:val="32"/>
          <w:highlight w:val="none"/>
          <w:lang w:val="en-US" w:eastAsia="zh-CN" w:bidi="ar-SA"/>
        </w:rPr>
        <w:t>市民政局</w:t>
      </w:r>
      <w:r>
        <w:rPr>
          <w:rFonts w:hint="eastAsia" w:ascii="Times New Roman" w:hAnsi="Times New Roman" w:eastAsia="仿宋_GB2312" w:cs="Times New Roman"/>
          <w:color w:val="auto"/>
          <w:kern w:val="0"/>
          <w:sz w:val="32"/>
          <w:szCs w:val="32"/>
          <w:highlight w:val="none"/>
          <w:lang w:val="en-US" w:eastAsia="zh-CN" w:bidi="ar-SA"/>
        </w:rPr>
        <w:t>：</w:t>
      </w:r>
      <w:r>
        <w:rPr>
          <w:rFonts w:hint="eastAsia" w:ascii="Times New Roman" w:hAnsi="Times New Roman" w:eastAsia="仿宋_GB2312" w:cs="Times New Roman"/>
          <w:color w:val="auto"/>
          <w:sz w:val="32"/>
          <w:szCs w:val="32"/>
          <w:highlight w:val="none"/>
          <w:lang w:val="en-US" w:eastAsia="zh-CN"/>
        </w:rPr>
        <w:t>街道（镇）综合养老服务中心运营等级</w:t>
      </w:r>
      <w:r>
        <w:rPr>
          <w:rFonts w:hint="default" w:ascii="Times New Roman" w:hAnsi="Times New Roman" w:eastAsia="仿宋_GB2312" w:cs="Times New Roman"/>
          <w:color w:val="auto"/>
          <w:kern w:val="0"/>
          <w:sz w:val="32"/>
          <w:szCs w:val="32"/>
          <w:highlight w:val="none"/>
          <w:lang w:val="en-US" w:eastAsia="zh-CN" w:bidi="ar-SA"/>
        </w:rPr>
        <w:t>评定工作的行政主管部门，负责</w:t>
      </w:r>
      <w:r>
        <w:rPr>
          <w:rFonts w:hint="eastAsia" w:ascii="Times New Roman" w:hAnsi="Times New Roman" w:eastAsia="仿宋_GB2312" w:cs="Times New Roman"/>
          <w:color w:val="auto"/>
          <w:sz w:val="32"/>
          <w:szCs w:val="32"/>
          <w:highlight w:val="none"/>
          <w:lang w:val="en-US" w:eastAsia="zh-CN"/>
        </w:rPr>
        <w:t>街道（镇）综合养老服务中心运营等级</w:t>
      </w:r>
      <w:r>
        <w:rPr>
          <w:rFonts w:hint="default" w:ascii="Times New Roman" w:hAnsi="Times New Roman" w:eastAsia="仿宋_GB2312" w:cs="Times New Roman"/>
          <w:color w:val="auto"/>
          <w:kern w:val="0"/>
          <w:sz w:val="32"/>
          <w:szCs w:val="32"/>
          <w:highlight w:val="none"/>
          <w:lang w:val="en-US" w:eastAsia="zh-CN" w:bidi="ar-SA"/>
        </w:rPr>
        <w:t>评定的组织推进、标准制定和监督管理</w:t>
      </w:r>
      <w:r>
        <w:rPr>
          <w:rFonts w:hint="eastAsia" w:ascii="Times New Roman" w:hAnsi="Times New Roman" w:eastAsia="仿宋_GB2312" w:cs="Times New Roman"/>
          <w:color w:val="auto"/>
          <w:kern w:val="0"/>
          <w:sz w:val="32"/>
          <w:szCs w:val="32"/>
          <w:highlight w:val="none"/>
          <w:lang w:val="en-US" w:eastAsia="zh-CN" w:bidi="ar-SA"/>
        </w:rPr>
        <w:t>，并牵头成立综合养老服务中心运营等级评定委员会</w:t>
      </w:r>
      <w:r>
        <w:rPr>
          <w:rFonts w:hint="default" w:ascii="Times New Roman" w:hAnsi="Times New Roman" w:eastAsia="仿宋_GB2312" w:cs="Times New Roman"/>
          <w:color w:val="auto"/>
          <w:kern w:val="0"/>
          <w:sz w:val="32"/>
          <w:szCs w:val="32"/>
          <w:highlight w:val="none"/>
          <w:lang w:val="en-US" w:eastAsia="zh-CN" w:bidi="ar-SA"/>
        </w:rPr>
        <w:t>。</w:t>
      </w:r>
    </w:p>
    <w:p w14:paraId="1628FD2C">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val="0"/>
        <w:spacing w:line="560" w:lineRule="exact"/>
        <w:ind w:left="0" w:lef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评定委员会：</w:t>
      </w:r>
      <w:r>
        <w:rPr>
          <w:rFonts w:hint="default" w:ascii="Times New Roman" w:hAnsi="Times New Roman" w:eastAsia="仿宋_GB2312" w:cs="Times New Roman"/>
          <w:color w:val="auto"/>
          <w:kern w:val="0"/>
          <w:sz w:val="32"/>
          <w:szCs w:val="32"/>
          <w:highlight w:val="none"/>
          <w:lang w:val="en-US" w:eastAsia="zh-CN" w:bidi="ar-SA"/>
        </w:rPr>
        <w:t>制</w:t>
      </w:r>
      <w:r>
        <w:rPr>
          <w:rFonts w:hint="eastAsia" w:ascii="Times New Roman" w:hAnsi="Times New Roman" w:eastAsia="仿宋_GB2312" w:cs="Times New Roman"/>
          <w:color w:val="auto"/>
          <w:kern w:val="0"/>
          <w:sz w:val="32"/>
          <w:szCs w:val="32"/>
          <w:highlight w:val="none"/>
          <w:lang w:val="en-US" w:eastAsia="zh-CN" w:bidi="ar-SA"/>
        </w:rPr>
        <w:t>（修）</w:t>
      </w:r>
      <w:r>
        <w:rPr>
          <w:rFonts w:hint="default" w:ascii="Times New Roman" w:hAnsi="Times New Roman" w:eastAsia="仿宋_GB2312" w:cs="Times New Roman"/>
          <w:color w:val="auto"/>
          <w:kern w:val="0"/>
          <w:sz w:val="32"/>
          <w:szCs w:val="32"/>
          <w:highlight w:val="none"/>
          <w:lang w:val="en-US" w:eastAsia="zh-CN" w:bidi="ar-SA"/>
        </w:rPr>
        <w:t>订</w:t>
      </w:r>
      <w:r>
        <w:rPr>
          <w:rFonts w:hint="eastAsia" w:ascii="Times New Roman" w:hAnsi="Times New Roman" w:eastAsia="仿宋_GB2312" w:cs="Times New Roman"/>
          <w:color w:val="auto"/>
          <w:kern w:val="0"/>
          <w:sz w:val="32"/>
          <w:szCs w:val="32"/>
          <w:highlight w:val="none"/>
          <w:lang w:val="en-US" w:eastAsia="zh-CN" w:bidi="ar-SA"/>
        </w:rPr>
        <w:t>青岛</w:t>
      </w:r>
      <w:r>
        <w:rPr>
          <w:rFonts w:hint="default" w:ascii="Times New Roman" w:hAnsi="Times New Roman" w:eastAsia="仿宋_GB2312" w:cs="Times New Roman"/>
          <w:color w:val="auto"/>
          <w:kern w:val="0"/>
          <w:sz w:val="32"/>
          <w:szCs w:val="32"/>
          <w:highlight w:val="none"/>
          <w:lang w:val="en-US" w:eastAsia="zh-CN" w:bidi="ar-SA"/>
        </w:rPr>
        <w:t>市综合养老服务中心运营等级评定工作相关管理制度</w:t>
      </w:r>
      <w:r>
        <w:rPr>
          <w:rFonts w:hint="eastAsia" w:ascii="Times New Roman" w:hAnsi="Times New Roman" w:eastAsia="仿宋_GB2312" w:cs="Times New Roman"/>
          <w:color w:val="auto"/>
          <w:kern w:val="0"/>
          <w:sz w:val="32"/>
          <w:szCs w:val="32"/>
          <w:highlight w:val="none"/>
          <w:lang w:val="en-US" w:eastAsia="zh-CN" w:bidi="ar-SA"/>
        </w:rPr>
        <w:t>；指导地方开展综合养老服务中心运营等级评定和复核工作；负责指导开展综合养老服务中心运营等级评定复核及纠纷争议裁定工作，对违反规定的评定结果提出纠正意见；组织实施对综合养老服务中心运营等级评定工作抽查复核；对评定组织开展培训，对评定行为进行监督；核发等级牌匾等。</w:t>
      </w:r>
    </w:p>
    <w:p w14:paraId="55E617F1">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各</w:t>
      </w:r>
      <w:r>
        <w:rPr>
          <w:rFonts w:hint="default" w:ascii="Times New Roman" w:hAnsi="Times New Roman" w:eastAsia="仿宋_GB2312" w:cs="Times New Roman"/>
          <w:color w:val="auto"/>
          <w:kern w:val="0"/>
          <w:sz w:val="32"/>
          <w:szCs w:val="32"/>
          <w:highlight w:val="none"/>
          <w:lang w:val="en-US" w:eastAsia="zh-CN" w:bidi="ar-SA"/>
        </w:rPr>
        <w:t>区</w:t>
      </w:r>
      <w:r>
        <w:rPr>
          <w:rFonts w:hint="eastAsia" w:ascii="Times New Roman" w:hAnsi="Times New Roman" w:eastAsia="仿宋_GB2312" w:cs="Times New Roman"/>
          <w:color w:val="auto"/>
          <w:kern w:val="0"/>
          <w:sz w:val="32"/>
          <w:szCs w:val="32"/>
          <w:highlight w:val="none"/>
          <w:lang w:val="en-US" w:eastAsia="zh-CN" w:bidi="ar-SA"/>
        </w:rPr>
        <w:t>（市）</w:t>
      </w:r>
      <w:r>
        <w:rPr>
          <w:rFonts w:hint="default" w:ascii="Times New Roman" w:hAnsi="Times New Roman" w:eastAsia="仿宋_GB2312" w:cs="Times New Roman"/>
          <w:color w:val="auto"/>
          <w:kern w:val="0"/>
          <w:sz w:val="32"/>
          <w:szCs w:val="32"/>
          <w:highlight w:val="none"/>
          <w:lang w:val="en-US" w:eastAsia="zh-CN" w:bidi="ar-SA"/>
        </w:rPr>
        <w:t>民政局</w:t>
      </w:r>
      <w:r>
        <w:rPr>
          <w:rFonts w:hint="eastAsia" w:ascii="Times New Roman" w:hAnsi="Times New Roman" w:eastAsia="仿宋_GB2312" w:cs="Times New Roman"/>
          <w:color w:val="auto"/>
          <w:kern w:val="0"/>
          <w:sz w:val="32"/>
          <w:szCs w:val="32"/>
          <w:highlight w:val="none"/>
          <w:lang w:val="en-US" w:eastAsia="zh-CN" w:bidi="ar-SA"/>
        </w:rPr>
        <w:t>：参与评定工作，对</w:t>
      </w:r>
      <w:r>
        <w:rPr>
          <w:rFonts w:hint="default" w:ascii="Times New Roman" w:hAnsi="Times New Roman" w:eastAsia="仿宋_GB2312" w:cs="Times New Roman"/>
          <w:color w:val="auto"/>
          <w:kern w:val="0"/>
          <w:sz w:val="32"/>
          <w:szCs w:val="32"/>
          <w:highlight w:val="none"/>
          <w:lang w:val="en-US" w:eastAsia="zh-CN" w:bidi="ar-SA"/>
        </w:rPr>
        <w:t>综合养老服务中心运营情况、政策落实等方面工作给予打分。</w:t>
      </w:r>
    </w:p>
    <w:p w14:paraId="0CD1E2F1">
      <w:pPr>
        <w:keepNext w:val="0"/>
        <w:keepLines w:val="0"/>
        <w:pageBreakBefore w:val="0"/>
        <w:widowControl w:val="0"/>
        <w:kinsoku/>
        <w:wordWrap/>
        <w:overflowPunct/>
        <w:topLinePunct w:val="0"/>
        <w:autoSpaceDE/>
        <w:autoSpaceDN/>
        <w:bidi w:val="0"/>
        <w:spacing w:line="560" w:lineRule="exact"/>
        <w:ind w:left="0" w:firstLine="640" w:firstLineChars="200"/>
        <w:textAlignment w:val="auto"/>
        <w:outlineLvl w:val="1"/>
        <w:rPr>
          <w:rFonts w:hint="default" w:ascii="Times New Roman" w:hAnsi="Times New Roman" w:eastAsia="楷体_GB2312" w:cs="Times New Roman"/>
          <w:color w:val="auto"/>
          <w:sz w:val="32"/>
          <w:szCs w:val="32"/>
          <w:highlight w:val="none"/>
          <w:lang w:val="en-US" w:eastAsia="zh-CN"/>
        </w:rPr>
      </w:pPr>
      <w:bookmarkStart w:id="12" w:name="_Toc22199"/>
      <w:bookmarkStart w:id="13" w:name="_Toc14882"/>
      <w:bookmarkStart w:id="14" w:name="_Toc21935"/>
      <w:bookmarkStart w:id="15" w:name="_Toc25557"/>
      <w:r>
        <w:rPr>
          <w:rFonts w:hint="default" w:ascii="Times New Roman" w:hAnsi="Times New Roman" w:eastAsia="楷体_GB2312" w:cs="Times New Roman"/>
          <w:color w:val="auto"/>
          <w:sz w:val="32"/>
          <w:szCs w:val="32"/>
          <w:highlight w:val="none"/>
          <w:lang w:val="en-US" w:eastAsia="zh-CN"/>
        </w:rPr>
        <w:t>（三）项目资金情况</w:t>
      </w:r>
      <w:bookmarkEnd w:id="12"/>
      <w:bookmarkEnd w:id="13"/>
      <w:bookmarkEnd w:id="14"/>
      <w:bookmarkEnd w:id="15"/>
    </w:p>
    <w:p w14:paraId="180EE942">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val="0"/>
        <w:spacing w:line="560" w:lineRule="exact"/>
        <w:ind w:left="0" w:lef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青岛市财政局2024年2月5日印发《关于批复2024</w:t>
      </w:r>
      <w:r>
        <w:rPr>
          <w:rFonts w:hint="default" w:ascii="Times New Roman" w:hAnsi="Times New Roman" w:eastAsia="仿宋_GB2312" w:cs="Times New Roman"/>
          <w:color w:val="auto"/>
          <w:kern w:val="0"/>
          <w:sz w:val="32"/>
          <w:szCs w:val="32"/>
          <w:highlight w:val="none"/>
          <w:lang w:val="en-US" w:eastAsia="zh-CN" w:bidi="ar-SA"/>
        </w:rPr>
        <w:t>年市级部门预算的通知</w:t>
      </w:r>
      <w:r>
        <w:rPr>
          <w:rFonts w:hint="eastAsia" w:ascii="Times New Roman" w:hAnsi="Times New Roman" w:eastAsia="仿宋_GB2312" w:cs="Times New Roman"/>
          <w:color w:val="auto"/>
          <w:kern w:val="0"/>
          <w:sz w:val="32"/>
          <w:szCs w:val="32"/>
          <w:highlight w:val="none"/>
          <w:lang w:val="en-US" w:eastAsia="zh-CN" w:bidi="ar-SA"/>
        </w:rPr>
        <w:t>》（青财预指 [2024]1</w:t>
      </w:r>
      <w:r>
        <w:rPr>
          <w:rFonts w:hint="default" w:ascii="Times New Roman" w:hAnsi="Times New Roman" w:eastAsia="仿宋_GB2312" w:cs="Times New Roman"/>
          <w:color w:val="auto"/>
          <w:kern w:val="0"/>
          <w:sz w:val="32"/>
          <w:szCs w:val="32"/>
          <w:highlight w:val="none"/>
          <w:lang w:val="en-US" w:eastAsia="zh-CN" w:bidi="ar-SA"/>
        </w:rPr>
        <w:t>号</w:t>
      </w:r>
      <w:r>
        <w:rPr>
          <w:rFonts w:hint="eastAsia" w:ascii="Times New Roman" w:hAnsi="Times New Roman" w:eastAsia="仿宋_GB2312" w:cs="Times New Roman"/>
          <w:color w:val="auto"/>
          <w:kern w:val="0"/>
          <w:sz w:val="32"/>
          <w:szCs w:val="32"/>
          <w:highlight w:val="none"/>
          <w:lang w:val="en-US" w:eastAsia="zh-CN" w:bidi="ar-SA"/>
        </w:rPr>
        <w:t>），青岛市民政局2024年2月7日印发《关于批复2024年市级预算的通知》（青民字[2024]1号），下达青岛市民政局特定目标类、</w:t>
      </w:r>
      <w:r>
        <w:rPr>
          <w:rFonts w:hint="default" w:ascii="Times New Roman" w:hAnsi="Times New Roman" w:eastAsia="仿宋_GB2312" w:cs="Times New Roman"/>
          <w:color w:val="auto"/>
          <w:kern w:val="0"/>
          <w:sz w:val="32"/>
          <w:szCs w:val="32"/>
          <w:highlight w:val="none"/>
          <w:lang w:val="en-US" w:eastAsia="zh-CN" w:bidi="ar-SA"/>
        </w:rPr>
        <w:t>项目资金预算</w:t>
      </w:r>
      <w:r>
        <w:rPr>
          <w:rFonts w:hint="eastAsia" w:ascii="Times New Roman" w:hAnsi="Times New Roman" w:eastAsia="仿宋_GB2312" w:cs="Times New Roman"/>
          <w:color w:val="auto"/>
          <w:kern w:val="0"/>
          <w:sz w:val="32"/>
          <w:szCs w:val="32"/>
          <w:highlight w:val="none"/>
          <w:lang w:val="en-US" w:eastAsia="zh-CN" w:bidi="ar-SA"/>
        </w:rPr>
        <w:t>、</w:t>
      </w:r>
      <w:r>
        <w:rPr>
          <w:rFonts w:hint="default" w:ascii="Times New Roman" w:hAnsi="Times New Roman" w:eastAsia="仿宋_GB2312" w:cs="Times New Roman"/>
          <w:color w:val="auto"/>
          <w:kern w:val="0"/>
          <w:sz w:val="32"/>
          <w:szCs w:val="32"/>
          <w:highlight w:val="none"/>
          <w:lang w:val="en-US" w:eastAsia="zh-CN" w:bidi="ar-SA"/>
        </w:rPr>
        <w:t>预算绩效目标、政府采购预算和政府购买服务</w:t>
      </w:r>
      <w:r>
        <w:rPr>
          <w:rFonts w:hint="eastAsia" w:ascii="Times New Roman" w:hAnsi="Times New Roman" w:eastAsia="仿宋_GB2312" w:cs="Times New Roman"/>
          <w:color w:val="auto"/>
          <w:kern w:val="0"/>
          <w:sz w:val="32"/>
          <w:szCs w:val="32"/>
          <w:highlight w:val="none"/>
          <w:lang w:val="en-US" w:eastAsia="zh-CN" w:bidi="ar-SA"/>
        </w:rPr>
        <w:t>等</w:t>
      </w:r>
      <w:r>
        <w:rPr>
          <w:rFonts w:hint="default" w:ascii="Times New Roman" w:hAnsi="Times New Roman" w:eastAsia="仿宋_GB2312" w:cs="Times New Roman"/>
          <w:color w:val="auto"/>
          <w:kern w:val="0"/>
          <w:sz w:val="32"/>
          <w:szCs w:val="32"/>
          <w:highlight w:val="none"/>
          <w:lang w:val="en-US" w:eastAsia="zh-CN" w:bidi="ar-SA"/>
        </w:rPr>
        <w:t>预算</w:t>
      </w:r>
      <w:r>
        <w:rPr>
          <w:rFonts w:hint="eastAsia" w:ascii="Times New Roman" w:hAnsi="Times New Roman" w:eastAsia="仿宋_GB2312" w:cs="Times New Roman"/>
          <w:color w:val="auto"/>
          <w:kern w:val="0"/>
          <w:sz w:val="32"/>
          <w:szCs w:val="32"/>
          <w:highlight w:val="none"/>
          <w:lang w:val="en-US" w:eastAsia="zh-CN" w:bidi="ar-SA"/>
        </w:rPr>
        <w:t>批复。其中：</w:t>
      </w:r>
    </w:p>
    <w:p w14:paraId="7422E3CC">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val="0"/>
        <w:spacing w:line="560" w:lineRule="exact"/>
        <w:ind w:left="0" w:leftChars="0" w:firstLine="640" w:firstLineChars="200"/>
        <w:jc w:val="both"/>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（1）星级养老机构评定奖补资金</w:t>
      </w:r>
    </w:p>
    <w:p w14:paraId="00DDA1B0">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根据《关于健全完善各类养老服务补贴的通知》(青民[2020]14号）文件规定，</w:t>
      </w:r>
      <w:r>
        <w:rPr>
          <w:rFonts w:hint="default" w:ascii="Times New Roman" w:hAnsi="Times New Roman" w:eastAsia="仿宋_GB2312" w:cs="Times New Roman"/>
          <w:color w:val="auto"/>
          <w:sz w:val="32"/>
          <w:szCs w:val="32"/>
          <w:highlight w:val="none"/>
          <w:lang w:val="en-US" w:eastAsia="zh-CN"/>
        </w:rPr>
        <w:t>养老机构评定等级有效期4年，</w:t>
      </w:r>
      <w:r>
        <w:rPr>
          <w:rFonts w:hint="eastAsia" w:ascii="Times New Roman" w:hAnsi="Times New Roman" w:eastAsia="仿宋_GB2312" w:cs="Times New Roman"/>
          <w:color w:val="auto"/>
          <w:sz w:val="32"/>
          <w:szCs w:val="32"/>
          <w:highlight w:val="none"/>
          <w:lang w:val="en-US" w:eastAsia="zh-CN"/>
        </w:rPr>
        <w:t>有效期</w:t>
      </w:r>
      <w:r>
        <w:rPr>
          <w:rFonts w:hint="default" w:ascii="Times New Roman" w:hAnsi="Times New Roman" w:eastAsia="仿宋_GB2312" w:cs="Times New Roman"/>
          <w:color w:val="auto"/>
          <w:sz w:val="32"/>
          <w:szCs w:val="32"/>
          <w:highlight w:val="none"/>
          <w:lang w:val="en-US" w:eastAsia="zh-CN"/>
        </w:rPr>
        <w:t>内</w:t>
      </w:r>
      <w:r>
        <w:rPr>
          <w:rFonts w:hint="eastAsia" w:ascii="Times New Roman" w:hAnsi="Times New Roman" w:eastAsia="仿宋_GB2312" w:cs="Times New Roman"/>
          <w:color w:val="auto"/>
          <w:sz w:val="32"/>
          <w:szCs w:val="32"/>
          <w:highlight w:val="none"/>
          <w:lang w:val="en-US" w:eastAsia="zh-CN"/>
        </w:rPr>
        <w:t>给予</w:t>
      </w:r>
      <w:r>
        <w:rPr>
          <w:rFonts w:hint="default" w:ascii="Times New Roman" w:hAnsi="Times New Roman" w:eastAsia="仿宋_GB2312" w:cs="Times New Roman"/>
          <w:color w:val="auto"/>
          <w:sz w:val="32"/>
          <w:szCs w:val="32"/>
          <w:highlight w:val="none"/>
          <w:lang w:val="en-US" w:eastAsia="zh-CN"/>
        </w:rPr>
        <w:t>三星、四星、五星级养老机构的奖励金额分别为10万元、15万元、20万元，每年按奖励的25%比例拨付。</w:t>
      </w:r>
    </w:p>
    <w:p w14:paraId="2B33069C">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2024年青岛市星级养老机构奖补项目预算715万元，其中支付2020年评定结果预算310万元、支付2021年评定结果预算28.75万元、支付2022年评定结果预算16.25万元，支付2023年评定结果预算185万元，另外补充2021年</w:t>
      </w:r>
      <w:r>
        <w:rPr>
          <w:rFonts w:hint="eastAsia" w:ascii="Times New Roman" w:hAnsi="Times New Roman" w:eastAsia="仿宋_GB2312" w:cs="Times New Roman"/>
          <w:color w:val="auto"/>
          <w:sz w:val="32"/>
          <w:szCs w:val="32"/>
          <w:highlight w:val="none"/>
          <w:lang w:val="en-US" w:eastAsia="zh-CN"/>
        </w:rPr>
        <w:t>因预算编制不足当年</w:t>
      </w:r>
      <w:r>
        <w:rPr>
          <w:rFonts w:hint="default" w:ascii="Times New Roman" w:hAnsi="Times New Roman" w:eastAsia="仿宋_GB2312" w:cs="Times New Roman"/>
          <w:color w:val="auto"/>
          <w:sz w:val="32"/>
          <w:szCs w:val="32"/>
          <w:highlight w:val="none"/>
          <w:lang w:val="en-US" w:eastAsia="zh-CN"/>
        </w:rPr>
        <w:t>未</w:t>
      </w:r>
      <w:r>
        <w:rPr>
          <w:rFonts w:hint="eastAsia" w:ascii="Times New Roman" w:hAnsi="Times New Roman" w:eastAsia="仿宋_GB2312" w:cs="Times New Roman"/>
          <w:color w:val="auto"/>
          <w:sz w:val="32"/>
          <w:szCs w:val="32"/>
          <w:highlight w:val="none"/>
          <w:lang w:val="en-US" w:eastAsia="zh-CN"/>
        </w:rPr>
        <w:t>能</w:t>
      </w:r>
      <w:r>
        <w:rPr>
          <w:rFonts w:hint="default" w:ascii="Times New Roman" w:hAnsi="Times New Roman" w:eastAsia="仿宋_GB2312" w:cs="Times New Roman"/>
          <w:color w:val="auto"/>
          <w:sz w:val="32"/>
          <w:szCs w:val="32"/>
          <w:highlight w:val="none"/>
          <w:lang w:val="en-US" w:eastAsia="zh-CN"/>
        </w:rPr>
        <w:t>支付的</w:t>
      </w:r>
      <w:r>
        <w:rPr>
          <w:rFonts w:hint="eastAsia" w:ascii="Times New Roman" w:hAnsi="Times New Roman" w:eastAsia="仿宋_GB2312" w:cs="Times New Roman"/>
          <w:color w:val="auto"/>
          <w:sz w:val="32"/>
          <w:szCs w:val="32"/>
          <w:highlight w:val="none"/>
          <w:lang w:val="en-US" w:eastAsia="zh-CN"/>
        </w:rPr>
        <w:t>奖补资金</w:t>
      </w:r>
      <w:r>
        <w:rPr>
          <w:rFonts w:hint="default" w:ascii="Times New Roman" w:hAnsi="Times New Roman" w:eastAsia="仿宋_GB2312" w:cs="Times New Roman"/>
          <w:color w:val="auto"/>
          <w:sz w:val="32"/>
          <w:szCs w:val="32"/>
          <w:highlight w:val="none"/>
          <w:lang w:val="en-US" w:eastAsia="zh-CN"/>
        </w:rPr>
        <w:t>175万元</w:t>
      </w:r>
      <w:r>
        <w:rPr>
          <w:rFonts w:hint="eastAsia" w:ascii="Times New Roman" w:hAnsi="Times New Roman" w:eastAsia="仿宋_GB2312" w:cs="Times New Roman"/>
          <w:color w:val="auto"/>
          <w:sz w:val="32"/>
          <w:szCs w:val="32"/>
          <w:highlight w:val="none"/>
          <w:lang w:val="en-US" w:eastAsia="zh-CN"/>
        </w:rPr>
        <w:t>，预算资金来源于市级财政。</w:t>
      </w:r>
    </w:p>
    <w:p w14:paraId="2F5F6562">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截至2024年12月31日，对</w:t>
      </w:r>
      <w:r>
        <w:rPr>
          <w:rFonts w:hint="default" w:ascii="Times New Roman" w:hAnsi="Times New Roman" w:eastAsia="仿宋_GB2312" w:cs="Times New Roman"/>
          <w:color w:val="auto"/>
          <w:sz w:val="32"/>
          <w:szCs w:val="32"/>
          <w:highlight w:val="none"/>
          <w:lang w:val="en-US" w:eastAsia="zh-CN"/>
        </w:rPr>
        <w:t>青岛市星级养老机构</w:t>
      </w:r>
      <w:r>
        <w:rPr>
          <w:rFonts w:hint="eastAsia" w:ascii="Times New Roman" w:hAnsi="Times New Roman" w:eastAsia="仿宋_GB2312" w:cs="Times New Roman"/>
          <w:color w:val="auto"/>
          <w:sz w:val="32"/>
          <w:szCs w:val="32"/>
          <w:highlight w:val="none"/>
          <w:lang w:val="en-US" w:eastAsia="zh-CN"/>
        </w:rPr>
        <w:t>支付奖补资金525万元，具体支付明细见下表：</w:t>
      </w:r>
    </w:p>
    <w:p w14:paraId="2C7D9A05">
      <w:pPr>
        <w:keepNext w:val="0"/>
        <w:keepLines w:val="0"/>
        <w:pageBreakBefore w:val="0"/>
        <w:widowControl w:val="0"/>
        <w:kinsoku/>
        <w:wordWrap/>
        <w:overflowPunct/>
        <w:topLinePunct w:val="0"/>
        <w:autoSpaceDE/>
        <w:autoSpaceDN/>
        <w:bidi w:val="0"/>
        <w:adjustRightInd w:val="0"/>
        <w:snapToGrid w:val="0"/>
        <w:spacing w:line="560" w:lineRule="exact"/>
        <w:ind w:left="0"/>
        <w:jc w:val="center"/>
        <w:textAlignment w:val="auto"/>
        <w:rPr>
          <w:rFonts w:hint="default" w:ascii="Times New Roman" w:hAnsi="Times New Roman" w:eastAsia="黑体" w:cs="Times New Roman"/>
          <w:color w:val="auto"/>
          <w:sz w:val="28"/>
          <w:szCs w:val="28"/>
          <w:highlight w:val="none"/>
          <w:lang w:val="en-US" w:eastAsia="zh-CN"/>
        </w:rPr>
      </w:pPr>
      <w:r>
        <w:rPr>
          <w:rFonts w:hint="default" w:ascii="Times New Roman" w:hAnsi="Times New Roman" w:eastAsia="黑体" w:cs="Times New Roman"/>
          <w:color w:val="auto"/>
          <w:sz w:val="28"/>
          <w:szCs w:val="28"/>
          <w:highlight w:val="none"/>
          <w:lang w:val="en-US" w:eastAsia="zh-CN"/>
        </w:rPr>
        <w:t>202</w:t>
      </w:r>
      <w:r>
        <w:rPr>
          <w:rFonts w:hint="eastAsia" w:ascii="Times New Roman" w:hAnsi="Times New Roman" w:eastAsia="黑体" w:cs="Times New Roman"/>
          <w:color w:val="auto"/>
          <w:sz w:val="28"/>
          <w:szCs w:val="28"/>
          <w:highlight w:val="none"/>
          <w:lang w:val="en-US" w:eastAsia="zh-CN"/>
        </w:rPr>
        <w:t>4</w:t>
      </w:r>
      <w:r>
        <w:rPr>
          <w:rFonts w:hint="default" w:ascii="Times New Roman" w:hAnsi="Times New Roman" w:eastAsia="黑体" w:cs="Times New Roman"/>
          <w:color w:val="auto"/>
          <w:sz w:val="28"/>
          <w:szCs w:val="28"/>
          <w:highlight w:val="none"/>
          <w:lang w:val="en-US" w:eastAsia="zh-CN"/>
        </w:rPr>
        <w:t>年青岛市星级养老机构支付奖补资金支出明细表</w:t>
      </w:r>
    </w:p>
    <w:tbl>
      <w:tblPr>
        <w:tblStyle w:val="13"/>
        <w:tblW w:w="4998" w:type="pct"/>
        <w:tblInd w:w="0" w:type="dxa"/>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shd w:val="clear" w:color="auto" w:fill="auto"/>
        <w:tblLayout w:type="autofit"/>
        <w:tblCellMar>
          <w:top w:w="0" w:type="dxa"/>
          <w:left w:w="108" w:type="dxa"/>
          <w:bottom w:w="0" w:type="dxa"/>
          <w:right w:w="108" w:type="dxa"/>
        </w:tblCellMar>
      </w:tblPr>
      <w:tblGrid>
        <w:gridCol w:w="2980"/>
        <w:gridCol w:w="1080"/>
        <w:gridCol w:w="1803"/>
        <w:gridCol w:w="3704"/>
      </w:tblGrid>
      <w:tr w14:paraId="5CC83B6A">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280" w:hRule="atLeast"/>
        </w:trPr>
        <w:tc>
          <w:tcPr>
            <w:tcW w:w="1557" w:type="pct"/>
            <w:tcBorders>
              <w:tl2br w:val="nil"/>
              <w:tr2bl w:val="nil"/>
            </w:tcBorders>
            <w:shd w:val="clear" w:color="auto" w:fill="auto"/>
            <w:noWrap/>
            <w:vAlign w:val="center"/>
          </w:tcPr>
          <w:p w14:paraId="75DEF8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评选年度</w:t>
            </w:r>
          </w:p>
        </w:tc>
        <w:tc>
          <w:tcPr>
            <w:tcW w:w="563" w:type="pct"/>
            <w:tcBorders>
              <w:tl2br w:val="nil"/>
              <w:tr2bl w:val="nil"/>
            </w:tcBorders>
            <w:shd w:val="clear" w:color="auto" w:fill="auto"/>
            <w:noWrap/>
            <w:vAlign w:val="center"/>
          </w:tcPr>
          <w:p w14:paraId="0D26DC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星级</w:t>
            </w:r>
          </w:p>
        </w:tc>
        <w:tc>
          <w:tcPr>
            <w:tcW w:w="942" w:type="pct"/>
            <w:tcBorders>
              <w:tl2br w:val="nil"/>
              <w:tr2bl w:val="nil"/>
            </w:tcBorders>
            <w:shd w:val="clear" w:color="auto" w:fill="auto"/>
            <w:noWrap/>
            <w:vAlign w:val="center"/>
          </w:tcPr>
          <w:p w14:paraId="03D74B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机构数量</w:t>
            </w:r>
          </w:p>
        </w:tc>
        <w:tc>
          <w:tcPr>
            <w:tcW w:w="1935" w:type="pct"/>
            <w:tcBorders>
              <w:tl2br w:val="nil"/>
              <w:tr2bl w:val="nil"/>
            </w:tcBorders>
            <w:shd w:val="clear" w:color="auto" w:fill="auto"/>
            <w:noWrap/>
            <w:vAlign w:val="center"/>
          </w:tcPr>
          <w:p w14:paraId="3521F1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2024年支付奖补金额（万元）</w:t>
            </w:r>
          </w:p>
        </w:tc>
      </w:tr>
      <w:tr w14:paraId="1F0FAAC9">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280" w:hRule="atLeast"/>
        </w:trPr>
        <w:tc>
          <w:tcPr>
            <w:tcW w:w="1557" w:type="pct"/>
            <w:tcBorders>
              <w:tl2br w:val="nil"/>
              <w:tr2bl w:val="nil"/>
            </w:tcBorders>
            <w:shd w:val="clear" w:color="auto" w:fill="auto"/>
            <w:noWrap/>
            <w:vAlign w:val="center"/>
          </w:tcPr>
          <w:p w14:paraId="0419AB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2020年度</w:t>
            </w:r>
          </w:p>
        </w:tc>
        <w:tc>
          <w:tcPr>
            <w:tcW w:w="563" w:type="pct"/>
            <w:tcBorders>
              <w:tl2br w:val="nil"/>
              <w:tr2bl w:val="nil"/>
            </w:tcBorders>
            <w:shd w:val="clear" w:color="auto" w:fill="auto"/>
            <w:noWrap/>
            <w:vAlign w:val="center"/>
          </w:tcPr>
          <w:p w14:paraId="715AD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三星</w:t>
            </w:r>
          </w:p>
        </w:tc>
        <w:tc>
          <w:tcPr>
            <w:tcW w:w="942" w:type="pct"/>
            <w:tcBorders>
              <w:tl2br w:val="nil"/>
              <w:tr2bl w:val="nil"/>
            </w:tcBorders>
            <w:shd w:val="clear" w:color="auto" w:fill="auto"/>
            <w:noWrap/>
            <w:vAlign w:val="center"/>
          </w:tcPr>
          <w:p w14:paraId="1C518C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935" w:type="pct"/>
            <w:tcBorders>
              <w:tl2br w:val="nil"/>
              <w:tr2bl w:val="nil"/>
            </w:tcBorders>
            <w:shd w:val="clear" w:color="auto" w:fill="auto"/>
            <w:noWrap/>
            <w:vAlign w:val="center"/>
          </w:tcPr>
          <w:p w14:paraId="36F852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6EBB1274">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280" w:hRule="atLeast"/>
        </w:trPr>
        <w:tc>
          <w:tcPr>
            <w:tcW w:w="1557" w:type="pct"/>
            <w:tcBorders>
              <w:tl2br w:val="nil"/>
              <w:tr2bl w:val="nil"/>
            </w:tcBorders>
            <w:shd w:val="clear" w:color="auto" w:fill="auto"/>
            <w:noWrap/>
            <w:vAlign w:val="center"/>
          </w:tcPr>
          <w:p w14:paraId="1224A4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2020年度</w:t>
            </w:r>
          </w:p>
        </w:tc>
        <w:tc>
          <w:tcPr>
            <w:tcW w:w="563" w:type="pct"/>
            <w:tcBorders>
              <w:tl2br w:val="nil"/>
              <w:tr2bl w:val="nil"/>
            </w:tcBorders>
            <w:shd w:val="clear" w:color="auto" w:fill="auto"/>
            <w:noWrap/>
            <w:vAlign w:val="center"/>
          </w:tcPr>
          <w:p w14:paraId="662746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四星</w:t>
            </w:r>
          </w:p>
        </w:tc>
        <w:tc>
          <w:tcPr>
            <w:tcW w:w="942" w:type="pct"/>
            <w:tcBorders>
              <w:tl2br w:val="nil"/>
              <w:tr2bl w:val="nil"/>
            </w:tcBorders>
            <w:shd w:val="clear" w:color="auto" w:fill="auto"/>
            <w:noWrap/>
            <w:vAlign w:val="center"/>
          </w:tcPr>
          <w:p w14:paraId="1948EA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935" w:type="pct"/>
            <w:tcBorders>
              <w:tl2br w:val="nil"/>
              <w:tr2bl w:val="nil"/>
            </w:tcBorders>
            <w:shd w:val="clear" w:color="auto" w:fill="auto"/>
            <w:noWrap/>
            <w:vAlign w:val="center"/>
          </w:tcPr>
          <w:p w14:paraId="6D8CC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112.5</w:t>
            </w:r>
          </w:p>
        </w:tc>
      </w:tr>
      <w:tr w14:paraId="0EE3B8A1">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280" w:hRule="atLeast"/>
        </w:trPr>
        <w:tc>
          <w:tcPr>
            <w:tcW w:w="1557" w:type="pct"/>
            <w:tcBorders>
              <w:tl2br w:val="nil"/>
              <w:tr2bl w:val="nil"/>
            </w:tcBorders>
            <w:shd w:val="clear" w:color="auto" w:fill="auto"/>
            <w:noWrap/>
            <w:vAlign w:val="center"/>
          </w:tcPr>
          <w:p w14:paraId="22591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2020年度</w:t>
            </w:r>
          </w:p>
        </w:tc>
        <w:tc>
          <w:tcPr>
            <w:tcW w:w="563" w:type="pct"/>
            <w:tcBorders>
              <w:tl2br w:val="nil"/>
              <w:tr2bl w:val="nil"/>
            </w:tcBorders>
            <w:shd w:val="clear" w:color="auto" w:fill="auto"/>
            <w:noWrap/>
            <w:vAlign w:val="center"/>
          </w:tcPr>
          <w:p w14:paraId="1EB1D0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五星</w:t>
            </w:r>
          </w:p>
        </w:tc>
        <w:tc>
          <w:tcPr>
            <w:tcW w:w="942" w:type="pct"/>
            <w:tcBorders>
              <w:tl2br w:val="nil"/>
              <w:tr2bl w:val="nil"/>
            </w:tcBorders>
            <w:shd w:val="clear" w:color="auto" w:fill="auto"/>
            <w:noWrap/>
            <w:vAlign w:val="center"/>
          </w:tcPr>
          <w:p w14:paraId="18B95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935" w:type="pct"/>
            <w:tcBorders>
              <w:tl2br w:val="nil"/>
              <w:tr2bl w:val="nil"/>
            </w:tcBorders>
            <w:shd w:val="clear" w:color="auto" w:fill="auto"/>
            <w:noWrap/>
            <w:vAlign w:val="center"/>
          </w:tcPr>
          <w:p w14:paraId="4C1C9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r>
      <w:tr w14:paraId="42BFB2A5">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280" w:hRule="atLeast"/>
        </w:trPr>
        <w:tc>
          <w:tcPr>
            <w:tcW w:w="2121" w:type="pct"/>
            <w:gridSpan w:val="2"/>
            <w:tcBorders>
              <w:tl2br w:val="nil"/>
              <w:tr2bl w:val="nil"/>
            </w:tcBorders>
            <w:shd w:val="clear" w:color="auto" w:fill="auto"/>
            <w:noWrap/>
            <w:vAlign w:val="center"/>
          </w:tcPr>
          <w:p w14:paraId="33E258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2020年小计</w:t>
            </w:r>
          </w:p>
        </w:tc>
        <w:tc>
          <w:tcPr>
            <w:tcW w:w="942" w:type="pct"/>
            <w:tcBorders>
              <w:tl2br w:val="nil"/>
              <w:tr2bl w:val="nil"/>
            </w:tcBorders>
            <w:shd w:val="clear" w:color="auto" w:fill="auto"/>
            <w:noWrap/>
            <w:vAlign w:val="center"/>
          </w:tcPr>
          <w:p w14:paraId="141C9C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89</w:t>
            </w:r>
          </w:p>
        </w:tc>
        <w:tc>
          <w:tcPr>
            <w:tcW w:w="1935" w:type="pct"/>
            <w:tcBorders>
              <w:tl2br w:val="nil"/>
              <w:tr2bl w:val="nil"/>
            </w:tcBorders>
            <w:shd w:val="clear" w:color="auto" w:fill="auto"/>
            <w:noWrap/>
            <w:vAlign w:val="center"/>
          </w:tcPr>
          <w:p w14:paraId="1270C1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307.5</w:t>
            </w:r>
          </w:p>
        </w:tc>
      </w:tr>
      <w:tr w14:paraId="748B7E9E">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280" w:hRule="atLeast"/>
        </w:trPr>
        <w:tc>
          <w:tcPr>
            <w:tcW w:w="1557" w:type="pct"/>
            <w:tcBorders>
              <w:tl2br w:val="nil"/>
              <w:tr2bl w:val="nil"/>
            </w:tcBorders>
            <w:shd w:val="clear" w:color="auto" w:fill="auto"/>
            <w:noWrap/>
            <w:vAlign w:val="center"/>
          </w:tcPr>
          <w:p w14:paraId="3730FF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2021年度</w:t>
            </w:r>
          </w:p>
        </w:tc>
        <w:tc>
          <w:tcPr>
            <w:tcW w:w="563" w:type="pct"/>
            <w:tcBorders>
              <w:tl2br w:val="nil"/>
              <w:tr2bl w:val="nil"/>
            </w:tcBorders>
            <w:shd w:val="clear" w:color="auto" w:fill="auto"/>
            <w:noWrap/>
            <w:vAlign w:val="center"/>
          </w:tcPr>
          <w:p w14:paraId="3F5DF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三星</w:t>
            </w:r>
          </w:p>
        </w:tc>
        <w:tc>
          <w:tcPr>
            <w:tcW w:w="942" w:type="pct"/>
            <w:tcBorders>
              <w:tl2br w:val="nil"/>
              <w:tr2bl w:val="nil"/>
            </w:tcBorders>
            <w:shd w:val="clear" w:color="auto" w:fill="auto"/>
            <w:noWrap/>
            <w:vAlign w:val="center"/>
          </w:tcPr>
          <w:p w14:paraId="77D88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935" w:type="pct"/>
            <w:tcBorders>
              <w:tl2br w:val="nil"/>
              <w:tr2bl w:val="nil"/>
            </w:tcBorders>
            <w:shd w:val="clear" w:color="auto" w:fill="auto"/>
            <w:noWrap/>
            <w:vAlign w:val="center"/>
          </w:tcPr>
          <w:p w14:paraId="54E41E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14:paraId="7128F268">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280" w:hRule="atLeast"/>
        </w:trPr>
        <w:tc>
          <w:tcPr>
            <w:tcW w:w="1557" w:type="pct"/>
            <w:tcBorders>
              <w:tl2br w:val="nil"/>
              <w:tr2bl w:val="nil"/>
            </w:tcBorders>
            <w:shd w:val="clear" w:color="auto" w:fill="auto"/>
            <w:noWrap/>
            <w:vAlign w:val="center"/>
          </w:tcPr>
          <w:p w14:paraId="24C7B9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2021年度</w:t>
            </w:r>
          </w:p>
        </w:tc>
        <w:tc>
          <w:tcPr>
            <w:tcW w:w="563" w:type="pct"/>
            <w:tcBorders>
              <w:tl2br w:val="nil"/>
              <w:tr2bl w:val="nil"/>
            </w:tcBorders>
            <w:shd w:val="clear" w:color="auto" w:fill="auto"/>
            <w:noWrap/>
            <w:vAlign w:val="center"/>
          </w:tcPr>
          <w:p w14:paraId="79094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四星</w:t>
            </w:r>
          </w:p>
        </w:tc>
        <w:tc>
          <w:tcPr>
            <w:tcW w:w="942" w:type="pct"/>
            <w:tcBorders>
              <w:tl2br w:val="nil"/>
              <w:tr2bl w:val="nil"/>
            </w:tcBorders>
            <w:shd w:val="clear" w:color="auto" w:fill="auto"/>
            <w:noWrap/>
            <w:vAlign w:val="center"/>
          </w:tcPr>
          <w:p w14:paraId="42112C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35" w:type="pct"/>
            <w:tcBorders>
              <w:tl2br w:val="nil"/>
              <w:tr2bl w:val="nil"/>
            </w:tcBorders>
            <w:shd w:val="clear" w:color="auto" w:fill="auto"/>
            <w:noWrap/>
            <w:vAlign w:val="center"/>
          </w:tcPr>
          <w:p w14:paraId="67678C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r>
      <w:tr w14:paraId="2B4E3AC8">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280" w:hRule="atLeast"/>
        </w:trPr>
        <w:tc>
          <w:tcPr>
            <w:tcW w:w="2121" w:type="pct"/>
            <w:gridSpan w:val="2"/>
            <w:tcBorders>
              <w:tl2br w:val="nil"/>
              <w:tr2bl w:val="nil"/>
            </w:tcBorders>
            <w:shd w:val="clear" w:color="auto" w:fill="auto"/>
            <w:noWrap/>
            <w:vAlign w:val="center"/>
          </w:tcPr>
          <w:p w14:paraId="2B44DE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2021年度小计</w:t>
            </w:r>
          </w:p>
        </w:tc>
        <w:tc>
          <w:tcPr>
            <w:tcW w:w="942" w:type="pct"/>
            <w:tcBorders>
              <w:tl2br w:val="nil"/>
              <w:tr2bl w:val="nil"/>
            </w:tcBorders>
            <w:shd w:val="clear" w:color="auto" w:fill="auto"/>
            <w:noWrap/>
            <w:vAlign w:val="center"/>
          </w:tcPr>
          <w:p w14:paraId="1B84C8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1935" w:type="pct"/>
            <w:tcBorders>
              <w:tl2br w:val="nil"/>
              <w:tr2bl w:val="nil"/>
            </w:tcBorders>
            <w:shd w:val="clear" w:color="auto" w:fill="auto"/>
            <w:noWrap/>
            <w:vAlign w:val="center"/>
          </w:tcPr>
          <w:p w14:paraId="723B8E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28.75</w:t>
            </w:r>
          </w:p>
        </w:tc>
      </w:tr>
      <w:tr w14:paraId="69163939">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280" w:hRule="atLeast"/>
        </w:trPr>
        <w:tc>
          <w:tcPr>
            <w:tcW w:w="1557" w:type="pct"/>
            <w:tcBorders>
              <w:tl2br w:val="nil"/>
              <w:tr2bl w:val="nil"/>
            </w:tcBorders>
            <w:shd w:val="clear" w:color="auto" w:fill="auto"/>
            <w:noWrap/>
            <w:vAlign w:val="center"/>
          </w:tcPr>
          <w:p w14:paraId="6A1BE7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563" w:type="pct"/>
            <w:tcBorders>
              <w:tl2br w:val="nil"/>
              <w:tr2bl w:val="nil"/>
            </w:tcBorders>
            <w:shd w:val="clear" w:color="auto" w:fill="auto"/>
            <w:noWrap/>
            <w:vAlign w:val="center"/>
          </w:tcPr>
          <w:p w14:paraId="29E068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三星</w:t>
            </w:r>
          </w:p>
        </w:tc>
        <w:tc>
          <w:tcPr>
            <w:tcW w:w="942" w:type="pct"/>
            <w:tcBorders>
              <w:tl2br w:val="nil"/>
              <w:tr2bl w:val="nil"/>
            </w:tcBorders>
            <w:shd w:val="clear" w:color="auto" w:fill="auto"/>
            <w:noWrap/>
            <w:vAlign w:val="center"/>
          </w:tcPr>
          <w:p w14:paraId="78C54E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935" w:type="pct"/>
            <w:tcBorders>
              <w:tl2br w:val="nil"/>
              <w:tr2bl w:val="nil"/>
            </w:tcBorders>
            <w:shd w:val="clear" w:color="auto" w:fill="auto"/>
            <w:noWrap/>
            <w:vAlign w:val="center"/>
          </w:tcPr>
          <w:p w14:paraId="310E55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r>
      <w:tr w14:paraId="225AB0B1">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280" w:hRule="atLeast"/>
        </w:trPr>
        <w:tc>
          <w:tcPr>
            <w:tcW w:w="1557" w:type="pct"/>
            <w:tcBorders>
              <w:tl2br w:val="nil"/>
              <w:tr2bl w:val="nil"/>
            </w:tcBorders>
            <w:shd w:val="clear" w:color="auto" w:fill="auto"/>
            <w:noWrap/>
            <w:vAlign w:val="center"/>
          </w:tcPr>
          <w:p w14:paraId="1A27B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563" w:type="pct"/>
            <w:tcBorders>
              <w:tl2br w:val="nil"/>
              <w:tr2bl w:val="nil"/>
            </w:tcBorders>
            <w:shd w:val="clear" w:color="auto" w:fill="auto"/>
            <w:noWrap/>
            <w:vAlign w:val="center"/>
          </w:tcPr>
          <w:p w14:paraId="41DE2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四星</w:t>
            </w:r>
          </w:p>
        </w:tc>
        <w:tc>
          <w:tcPr>
            <w:tcW w:w="942" w:type="pct"/>
            <w:tcBorders>
              <w:tl2br w:val="nil"/>
              <w:tr2bl w:val="nil"/>
            </w:tcBorders>
            <w:shd w:val="clear" w:color="auto" w:fill="auto"/>
            <w:noWrap/>
            <w:vAlign w:val="center"/>
          </w:tcPr>
          <w:p w14:paraId="2433D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35" w:type="pct"/>
            <w:tcBorders>
              <w:tl2br w:val="nil"/>
              <w:tr2bl w:val="nil"/>
            </w:tcBorders>
            <w:shd w:val="clear" w:color="auto" w:fill="auto"/>
            <w:noWrap/>
            <w:vAlign w:val="center"/>
          </w:tcPr>
          <w:p w14:paraId="0E2F4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r>
      <w:tr w14:paraId="2F417D80">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280" w:hRule="atLeast"/>
        </w:trPr>
        <w:tc>
          <w:tcPr>
            <w:tcW w:w="2121" w:type="pct"/>
            <w:gridSpan w:val="2"/>
            <w:tcBorders>
              <w:tl2br w:val="nil"/>
              <w:tr2bl w:val="nil"/>
            </w:tcBorders>
            <w:shd w:val="clear" w:color="auto" w:fill="auto"/>
            <w:noWrap/>
            <w:vAlign w:val="center"/>
          </w:tcPr>
          <w:p w14:paraId="500A55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2022年度小计</w:t>
            </w:r>
          </w:p>
        </w:tc>
        <w:tc>
          <w:tcPr>
            <w:tcW w:w="942" w:type="pct"/>
            <w:tcBorders>
              <w:tl2br w:val="nil"/>
              <w:tr2bl w:val="nil"/>
            </w:tcBorders>
            <w:shd w:val="clear" w:color="auto" w:fill="auto"/>
            <w:noWrap/>
            <w:vAlign w:val="center"/>
          </w:tcPr>
          <w:p w14:paraId="58EF1B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1935" w:type="pct"/>
            <w:tcBorders>
              <w:tl2br w:val="nil"/>
              <w:tr2bl w:val="nil"/>
            </w:tcBorders>
            <w:shd w:val="clear" w:color="auto" w:fill="auto"/>
            <w:noWrap/>
            <w:vAlign w:val="center"/>
          </w:tcPr>
          <w:p w14:paraId="7A88C9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16.25</w:t>
            </w:r>
          </w:p>
        </w:tc>
      </w:tr>
      <w:tr w14:paraId="779CA0FF">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280" w:hRule="atLeast"/>
        </w:trPr>
        <w:tc>
          <w:tcPr>
            <w:tcW w:w="1557" w:type="pct"/>
            <w:tcBorders>
              <w:tl2br w:val="nil"/>
              <w:tr2bl w:val="nil"/>
            </w:tcBorders>
            <w:shd w:val="clear" w:color="auto" w:fill="auto"/>
            <w:noWrap/>
            <w:vAlign w:val="center"/>
          </w:tcPr>
          <w:p w14:paraId="3B0C8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2021年度（补）</w:t>
            </w:r>
          </w:p>
        </w:tc>
        <w:tc>
          <w:tcPr>
            <w:tcW w:w="563" w:type="pct"/>
            <w:tcBorders>
              <w:tl2br w:val="nil"/>
              <w:tr2bl w:val="nil"/>
            </w:tcBorders>
            <w:shd w:val="clear" w:color="auto" w:fill="auto"/>
            <w:noWrap/>
            <w:vAlign w:val="center"/>
          </w:tcPr>
          <w:p w14:paraId="14C0A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三星</w:t>
            </w:r>
          </w:p>
        </w:tc>
        <w:tc>
          <w:tcPr>
            <w:tcW w:w="942" w:type="pct"/>
            <w:tcBorders>
              <w:tl2br w:val="nil"/>
              <w:tr2bl w:val="nil"/>
            </w:tcBorders>
            <w:shd w:val="clear" w:color="auto" w:fill="auto"/>
            <w:noWrap/>
            <w:vAlign w:val="center"/>
          </w:tcPr>
          <w:p w14:paraId="64643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935" w:type="pct"/>
            <w:tcBorders>
              <w:tl2br w:val="nil"/>
              <w:tr2bl w:val="nil"/>
            </w:tcBorders>
            <w:shd w:val="clear" w:color="auto" w:fill="auto"/>
            <w:noWrap/>
            <w:vAlign w:val="center"/>
          </w:tcPr>
          <w:p w14:paraId="157596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r>
      <w:tr w14:paraId="3D0D3C05">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280" w:hRule="atLeast"/>
        </w:trPr>
        <w:tc>
          <w:tcPr>
            <w:tcW w:w="1557" w:type="pct"/>
            <w:tcBorders>
              <w:tl2br w:val="nil"/>
              <w:tr2bl w:val="nil"/>
            </w:tcBorders>
            <w:shd w:val="clear" w:color="auto" w:fill="auto"/>
            <w:noWrap/>
            <w:vAlign w:val="center"/>
          </w:tcPr>
          <w:p w14:paraId="19CB22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2021年度（补）</w:t>
            </w:r>
          </w:p>
        </w:tc>
        <w:tc>
          <w:tcPr>
            <w:tcW w:w="563" w:type="pct"/>
            <w:tcBorders>
              <w:tl2br w:val="nil"/>
              <w:tr2bl w:val="nil"/>
            </w:tcBorders>
            <w:shd w:val="clear" w:color="auto" w:fill="auto"/>
            <w:noWrap/>
            <w:vAlign w:val="center"/>
          </w:tcPr>
          <w:p w14:paraId="609454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四星</w:t>
            </w:r>
          </w:p>
        </w:tc>
        <w:tc>
          <w:tcPr>
            <w:tcW w:w="942" w:type="pct"/>
            <w:tcBorders>
              <w:tl2br w:val="nil"/>
              <w:tr2bl w:val="nil"/>
            </w:tcBorders>
            <w:shd w:val="clear" w:color="auto" w:fill="auto"/>
            <w:noWrap/>
            <w:vAlign w:val="center"/>
          </w:tcPr>
          <w:p w14:paraId="51FA0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935" w:type="pct"/>
            <w:tcBorders>
              <w:tl2br w:val="nil"/>
              <w:tr2bl w:val="nil"/>
            </w:tcBorders>
            <w:shd w:val="clear" w:color="auto" w:fill="auto"/>
            <w:noWrap/>
            <w:vAlign w:val="center"/>
          </w:tcPr>
          <w:p w14:paraId="164B3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67.5</w:t>
            </w:r>
          </w:p>
        </w:tc>
      </w:tr>
      <w:tr w14:paraId="2F9EC00E">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280" w:hRule="atLeast"/>
        </w:trPr>
        <w:tc>
          <w:tcPr>
            <w:tcW w:w="1557" w:type="pct"/>
            <w:tcBorders>
              <w:tl2br w:val="nil"/>
              <w:tr2bl w:val="nil"/>
            </w:tcBorders>
            <w:shd w:val="clear" w:color="auto" w:fill="auto"/>
            <w:noWrap/>
            <w:vAlign w:val="center"/>
          </w:tcPr>
          <w:p w14:paraId="1E2BC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2021年度（补）</w:t>
            </w:r>
          </w:p>
        </w:tc>
        <w:tc>
          <w:tcPr>
            <w:tcW w:w="563" w:type="pct"/>
            <w:tcBorders>
              <w:tl2br w:val="nil"/>
              <w:tr2bl w:val="nil"/>
            </w:tcBorders>
            <w:shd w:val="clear" w:color="auto" w:fill="auto"/>
            <w:noWrap/>
            <w:vAlign w:val="center"/>
          </w:tcPr>
          <w:p w14:paraId="34E01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五星</w:t>
            </w:r>
          </w:p>
        </w:tc>
        <w:tc>
          <w:tcPr>
            <w:tcW w:w="942" w:type="pct"/>
            <w:tcBorders>
              <w:tl2br w:val="nil"/>
              <w:tr2bl w:val="nil"/>
            </w:tcBorders>
            <w:shd w:val="clear" w:color="auto" w:fill="auto"/>
            <w:noWrap/>
            <w:vAlign w:val="center"/>
          </w:tcPr>
          <w:p w14:paraId="3AA24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35" w:type="pct"/>
            <w:tcBorders>
              <w:tl2br w:val="nil"/>
              <w:tr2bl w:val="nil"/>
            </w:tcBorders>
            <w:shd w:val="clear" w:color="auto" w:fill="auto"/>
            <w:noWrap/>
            <w:vAlign w:val="center"/>
          </w:tcPr>
          <w:p w14:paraId="456C84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r>
      <w:tr w14:paraId="432B6A78">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280" w:hRule="atLeast"/>
        </w:trPr>
        <w:tc>
          <w:tcPr>
            <w:tcW w:w="2121" w:type="pct"/>
            <w:gridSpan w:val="2"/>
            <w:tcBorders>
              <w:tl2br w:val="nil"/>
              <w:tr2bl w:val="nil"/>
            </w:tcBorders>
            <w:shd w:val="clear" w:color="auto" w:fill="auto"/>
            <w:noWrap/>
            <w:vAlign w:val="center"/>
          </w:tcPr>
          <w:p w14:paraId="0EF092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2021年度（补）小计</w:t>
            </w:r>
          </w:p>
        </w:tc>
        <w:tc>
          <w:tcPr>
            <w:tcW w:w="942" w:type="pct"/>
            <w:tcBorders>
              <w:tl2br w:val="nil"/>
              <w:tr2bl w:val="nil"/>
            </w:tcBorders>
            <w:shd w:val="clear" w:color="auto" w:fill="auto"/>
            <w:noWrap/>
            <w:vAlign w:val="center"/>
          </w:tcPr>
          <w:p w14:paraId="762184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w:t>
            </w:r>
          </w:p>
        </w:tc>
        <w:tc>
          <w:tcPr>
            <w:tcW w:w="1935" w:type="pct"/>
            <w:tcBorders>
              <w:tl2br w:val="nil"/>
              <w:tr2bl w:val="nil"/>
            </w:tcBorders>
            <w:shd w:val="clear" w:color="auto" w:fill="auto"/>
            <w:noWrap/>
            <w:vAlign w:val="center"/>
          </w:tcPr>
          <w:p w14:paraId="7341F7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172.5</w:t>
            </w:r>
          </w:p>
        </w:tc>
      </w:tr>
      <w:tr w14:paraId="1EADC8DC">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280" w:hRule="atLeast"/>
        </w:trPr>
        <w:tc>
          <w:tcPr>
            <w:tcW w:w="2121" w:type="pct"/>
            <w:gridSpan w:val="2"/>
            <w:tcBorders>
              <w:tl2br w:val="nil"/>
              <w:tr2bl w:val="nil"/>
            </w:tcBorders>
            <w:shd w:val="clear" w:color="auto" w:fill="auto"/>
            <w:noWrap/>
            <w:vAlign w:val="center"/>
          </w:tcPr>
          <w:p w14:paraId="3BB7C5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2024年支付合计</w:t>
            </w:r>
          </w:p>
        </w:tc>
        <w:tc>
          <w:tcPr>
            <w:tcW w:w="942" w:type="pct"/>
            <w:tcBorders>
              <w:tl2br w:val="nil"/>
              <w:tr2bl w:val="nil"/>
            </w:tcBorders>
            <w:shd w:val="clear" w:color="auto" w:fill="auto"/>
            <w:noWrap/>
            <w:vAlign w:val="center"/>
          </w:tcPr>
          <w:p w14:paraId="798E4F7D">
            <w:pPr>
              <w:jc w:val="center"/>
              <w:rPr>
                <w:rFonts w:hint="default" w:ascii="宋体" w:hAnsi="宋体" w:eastAsia="宋体" w:cs="宋体"/>
                <w:b/>
                <w:bCs/>
                <w:i w:val="0"/>
                <w:iCs w:val="0"/>
                <w:color w:val="000000"/>
                <w:sz w:val="22"/>
                <w:szCs w:val="22"/>
                <w:u w:val="none"/>
                <w:lang w:val="en-US" w:eastAsia="zh-CN"/>
              </w:rPr>
            </w:pPr>
          </w:p>
        </w:tc>
        <w:tc>
          <w:tcPr>
            <w:tcW w:w="1935" w:type="pct"/>
            <w:tcBorders>
              <w:tl2br w:val="nil"/>
              <w:tr2bl w:val="nil"/>
            </w:tcBorders>
            <w:shd w:val="clear" w:color="auto" w:fill="auto"/>
            <w:noWrap/>
            <w:vAlign w:val="center"/>
          </w:tcPr>
          <w:p w14:paraId="7FE48C59">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525.00</w:t>
            </w:r>
          </w:p>
        </w:tc>
      </w:tr>
    </w:tbl>
    <w:p w14:paraId="676FBFE3">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（2）2023年街道（镇）综合养老服务中心运营奖励资金</w:t>
      </w:r>
    </w:p>
    <w:p w14:paraId="208DB1F1">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根据《关于印发青岛市进一步优化完善居家社区养老服务措施的通知》（青政办发[2022]10号），建立市级牵头、区（市）参与、第三方实施的养老服务中心定期评估机制，对评估为五级、四级、三级的养老服务中心，按可量化分值分别给予最高不超过60万元、30万元、20万元的奖励。享受奖励补贴的养老服务中心数量不高于全市养老服务中心总数的50%。所需资金由区（市）兑现，市级财政对区（市）给予50%的奖励。</w:t>
      </w: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年街道（镇）综合养老服务中心运营奖励资</w:t>
      </w:r>
      <w:r>
        <w:rPr>
          <w:rFonts w:hint="eastAsia" w:ascii="Times New Roman" w:hAnsi="Times New Roman" w:eastAsia="仿宋_GB2312" w:cs="Times New Roman"/>
          <w:color w:val="auto"/>
          <w:sz w:val="32"/>
          <w:szCs w:val="32"/>
          <w:highlight w:val="none"/>
          <w:lang w:val="en-US" w:eastAsia="zh-CN"/>
        </w:rPr>
        <w:t>市级财政</w:t>
      </w:r>
      <w:r>
        <w:rPr>
          <w:rFonts w:hint="default" w:ascii="Times New Roman" w:hAnsi="Times New Roman" w:eastAsia="仿宋_GB2312" w:cs="Times New Roman"/>
          <w:color w:val="auto"/>
          <w:sz w:val="32"/>
          <w:szCs w:val="32"/>
          <w:highlight w:val="none"/>
          <w:lang w:val="en-US" w:eastAsia="zh-CN"/>
        </w:rPr>
        <w:t>预算1085万元。</w:t>
      </w:r>
    </w:p>
    <w:p w14:paraId="4A405EA1">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截至2024年12月31日，青岛市民政局支付2023年街道（镇）综合养老服务中心运营奖励1,085万元，具体支付明细见下表：</w:t>
      </w:r>
    </w:p>
    <w:p w14:paraId="4A951E06">
      <w:pPr>
        <w:keepNext w:val="0"/>
        <w:keepLines w:val="0"/>
        <w:pageBreakBefore w:val="0"/>
        <w:widowControl w:val="0"/>
        <w:kinsoku/>
        <w:wordWrap/>
        <w:overflowPunct/>
        <w:topLinePunct w:val="0"/>
        <w:autoSpaceDE/>
        <w:autoSpaceDN/>
        <w:bidi w:val="0"/>
        <w:adjustRightInd w:val="0"/>
        <w:snapToGrid w:val="0"/>
        <w:spacing w:line="560" w:lineRule="exact"/>
        <w:ind w:left="0"/>
        <w:jc w:val="center"/>
        <w:textAlignment w:val="auto"/>
        <w:rPr>
          <w:rFonts w:hint="default" w:ascii="Times New Roman" w:hAnsi="Times New Roman" w:eastAsia="黑体" w:cs="Times New Roman"/>
          <w:color w:val="auto"/>
          <w:sz w:val="28"/>
          <w:szCs w:val="28"/>
          <w:highlight w:val="none"/>
          <w:lang w:val="en-US" w:eastAsia="zh-CN"/>
        </w:rPr>
      </w:pPr>
      <w:r>
        <w:rPr>
          <w:rFonts w:hint="default" w:ascii="Times New Roman" w:hAnsi="Times New Roman" w:eastAsia="黑体" w:cs="Times New Roman"/>
          <w:color w:val="auto"/>
          <w:sz w:val="28"/>
          <w:szCs w:val="28"/>
          <w:highlight w:val="none"/>
          <w:lang w:val="en-US" w:eastAsia="zh-CN"/>
        </w:rPr>
        <w:t>202</w:t>
      </w:r>
      <w:r>
        <w:rPr>
          <w:rFonts w:hint="eastAsia" w:ascii="Times New Roman" w:hAnsi="Times New Roman" w:eastAsia="黑体" w:cs="Times New Roman"/>
          <w:color w:val="auto"/>
          <w:sz w:val="28"/>
          <w:szCs w:val="28"/>
          <w:highlight w:val="none"/>
          <w:lang w:val="en-US" w:eastAsia="zh-CN"/>
        </w:rPr>
        <w:t>3</w:t>
      </w:r>
      <w:r>
        <w:rPr>
          <w:rFonts w:hint="default" w:ascii="Times New Roman" w:hAnsi="Times New Roman" w:eastAsia="黑体" w:cs="Times New Roman"/>
          <w:color w:val="auto"/>
          <w:sz w:val="28"/>
          <w:szCs w:val="28"/>
          <w:highlight w:val="none"/>
          <w:lang w:val="en-US" w:eastAsia="zh-CN"/>
        </w:rPr>
        <w:t>年街道（镇）综合养老服务中心运营奖励资金明细表</w:t>
      </w:r>
    </w:p>
    <w:tbl>
      <w:tblPr>
        <w:tblStyle w:val="13"/>
        <w:tblW w:w="4998" w:type="pct"/>
        <w:tblInd w:w="0" w:type="dxa"/>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shd w:val="clear" w:color="auto" w:fill="auto"/>
        <w:tblLayout w:type="autofit"/>
        <w:tblCellMar>
          <w:top w:w="0" w:type="dxa"/>
          <w:left w:w="108" w:type="dxa"/>
          <w:bottom w:w="0" w:type="dxa"/>
          <w:right w:w="108" w:type="dxa"/>
        </w:tblCellMar>
      </w:tblPr>
      <w:tblGrid>
        <w:gridCol w:w="3188"/>
        <w:gridCol w:w="3188"/>
        <w:gridCol w:w="3191"/>
      </w:tblGrid>
      <w:tr w14:paraId="71C092E8">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280" w:hRule="atLeast"/>
        </w:trPr>
        <w:tc>
          <w:tcPr>
            <w:tcW w:w="1666" w:type="pct"/>
            <w:tcBorders>
              <w:tl2br w:val="nil"/>
              <w:tr2bl w:val="nil"/>
            </w:tcBorders>
            <w:shd w:val="clear" w:color="auto" w:fill="auto"/>
            <w:noWrap/>
            <w:vAlign w:val="center"/>
          </w:tcPr>
          <w:p w14:paraId="7B9D94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星级</w:t>
            </w:r>
          </w:p>
        </w:tc>
        <w:tc>
          <w:tcPr>
            <w:tcW w:w="1666" w:type="pct"/>
            <w:tcBorders>
              <w:tl2br w:val="nil"/>
              <w:tr2bl w:val="nil"/>
            </w:tcBorders>
            <w:shd w:val="clear" w:color="auto" w:fill="auto"/>
            <w:noWrap/>
            <w:vAlign w:val="center"/>
          </w:tcPr>
          <w:p w14:paraId="62F01E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机构数量</w:t>
            </w:r>
          </w:p>
        </w:tc>
        <w:tc>
          <w:tcPr>
            <w:tcW w:w="1667" w:type="pct"/>
            <w:tcBorders>
              <w:tl2br w:val="nil"/>
              <w:tr2bl w:val="nil"/>
            </w:tcBorders>
            <w:shd w:val="clear" w:color="auto" w:fill="auto"/>
            <w:noWrap/>
            <w:vAlign w:val="center"/>
          </w:tcPr>
          <w:p w14:paraId="292828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2024年支付奖补金额（万元）</w:t>
            </w:r>
          </w:p>
        </w:tc>
      </w:tr>
      <w:tr w14:paraId="6F622726">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280" w:hRule="atLeast"/>
        </w:trPr>
        <w:tc>
          <w:tcPr>
            <w:tcW w:w="1666" w:type="pct"/>
            <w:tcBorders>
              <w:tl2br w:val="nil"/>
              <w:tr2bl w:val="nil"/>
            </w:tcBorders>
            <w:shd w:val="clear" w:color="auto" w:fill="auto"/>
            <w:noWrap/>
            <w:vAlign w:val="center"/>
          </w:tcPr>
          <w:p w14:paraId="20BEE47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五级</w:t>
            </w:r>
          </w:p>
        </w:tc>
        <w:tc>
          <w:tcPr>
            <w:tcW w:w="1666" w:type="pct"/>
            <w:tcBorders>
              <w:tl2br w:val="nil"/>
              <w:tr2bl w:val="nil"/>
            </w:tcBorders>
            <w:shd w:val="clear" w:color="auto" w:fill="auto"/>
            <w:noWrap/>
            <w:vAlign w:val="center"/>
          </w:tcPr>
          <w:p w14:paraId="0EC9517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14</w:t>
            </w:r>
          </w:p>
        </w:tc>
        <w:tc>
          <w:tcPr>
            <w:tcW w:w="1667" w:type="pct"/>
            <w:tcBorders>
              <w:tl2br w:val="nil"/>
              <w:tr2bl w:val="nil"/>
            </w:tcBorders>
            <w:shd w:val="clear" w:color="auto" w:fill="auto"/>
            <w:noWrap/>
            <w:vAlign w:val="center"/>
          </w:tcPr>
          <w:p w14:paraId="32185DE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420</w:t>
            </w:r>
          </w:p>
        </w:tc>
      </w:tr>
      <w:tr w14:paraId="67FD1500">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280" w:hRule="atLeast"/>
        </w:trPr>
        <w:tc>
          <w:tcPr>
            <w:tcW w:w="1666" w:type="pct"/>
            <w:tcBorders>
              <w:tl2br w:val="nil"/>
              <w:tr2bl w:val="nil"/>
            </w:tcBorders>
            <w:shd w:val="clear" w:color="auto" w:fill="auto"/>
            <w:noWrap/>
            <w:vAlign w:val="center"/>
          </w:tcPr>
          <w:p w14:paraId="662F1E2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四级</w:t>
            </w:r>
          </w:p>
        </w:tc>
        <w:tc>
          <w:tcPr>
            <w:tcW w:w="1666" w:type="pct"/>
            <w:tcBorders>
              <w:tl2br w:val="nil"/>
              <w:tr2bl w:val="nil"/>
            </w:tcBorders>
            <w:shd w:val="clear" w:color="auto" w:fill="auto"/>
            <w:noWrap/>
            <w:vAlign w:val="center"/>
          </w:tcPr>
          <w:p w14:paraId="082F136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21</w:t>
            </w:r>
          </w:p>
        </w:tc>
        <w:tc>
          <w:tcPr>
            <w:tcW w:w="1667" w:type="pct"/>
            <w:tcBorders>
              <w:tl2br w:val="nil"/>
              <w:tr2bl w:val="nil"/>
            </w:tcBorders>
            <w:shd w:val="clear" w:color="auto" w:fill="auto"/>
            <w:noWrap/>
            <w:vAlign w:val="center"/>
          </w:tcPr>
          <w:p w14:paraId="1275CB5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315</w:t>
            </w:r>
          </w:p>
        </w:tc>
      </w:tr>
      <w:tr w14:paraId="34D0FC6D">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280" w:hRule="atLeast"/>
        </w:trPr>
        <w:tc>
          <w:tcPr>
            <w:tcW w:w="1666" w:type="pct"/>
            <w:tcBorders>
              <w:tl2br w:val="nil"/>
              <w:tr2bl w:val="nil"/>
            </w:tcBorders>
            <w:shd w:val="clear" w:color="auto" w:fill="auto"/>
            <w:noWrap/>
            <w:vAlign w:val="center"/>
          </w:tcPr>
          <w:p w14:paraId="701BDCF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三级</w:t>
            </w:r>
          </w:p>
        </w:tc>
        <w:tc>
          <w:tcPr>
            <w:tcW w:w="1666" w:type="pct"/>
            <w:tcBorders>
              <w:tl2br w:val="nil"/>
              <w:tr2bl w:val="nil"/>
            </w:tcBorders>
            <w:shd w:val="clear" w:color="auto" w:fill="auto"/>
            <w:noWrap/>
            <w:vAlign w:val="center"/>
          </w:tcPr>
          <w:p w14:paraId="11CCF031">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35</w:t>
            </w:r>
          </w:p>
        </w:tc>
        <w:tc>
          <w:tcPr>
            <w:tcW w:w="1667" w:type="pct"/>
            <w:tcBorders>
              <w:tl2br w:val="nil"/>
              <w:tr2bl w:val="nil"/>
            </w:tcBorders>
            <w:shd w:val="clear" w:color="auto" w:fill="auto"/>
            <w:noWrap/>
            <w:vAlign w:val="center"/>
          </w:tcPr>
          <w:p w14:paraId="2DE9B9C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350</w:t>
            </w:r>
          </w:p>
        </w:tc>
      </w:tr>
      <w:tr w14:paraId="47EA349E">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280" w:hRule="atLeast"/>
        </w:trPr>
        <w:tc>
          <w:tcPr>
            <w:tcW w:w="1666" w:type="pct"/>
            <w:tcBorders>
              <w:tl2br w:val="nil"/>
              <w:tr2bl w:val="nil"/>
            </w:tcBorders>
            <w:shd w:val="clear" w:color="auto" w:fill="auto"/>
            <w:noWrap/>
            <w:vAlign w:val="center"/>
          </w:tcPr>
          <w:p w14:paraId="57FE78CF">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合计</w:t>
            </w:r>
          </w:p>
        </w:tc>
        <w:tc>
          <w:tcPr>
            <w:tcW w:w="1666" w:type="pct"/>
            <w:tcBorders>
              <w:tl2br w:val="nil"/>
              <w:tr2bl w:val="nil"/>
            </w:tcBorders>
            <w:shd w:val="clear" w:color="auto" w:fill="auto"/>
            <w:noWrap/>
            <w:vAlign w:val="center"/>
          </w:tcPr>
          <w:p w14:paraId="53B43B4E">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70</w:t>
            </w:r>
          </w:p>
        </w:tc>
        <w:tc>
          <w:tcPr>
            <w:tcW w:w="1667" w:type="pct"/>
            <w:tcBorders>
              <w:tl2br w:val="nil"/>
              <w:tr2bl w:val="nil"/>
            </w:tcBorders>
            <w:shd w:val="clear" w:color="auto" w:fill="auto"/>
            <w:noWrap/>
            <w:vAlign w:val="center"/>
          </w:tcPr>
          <w:p w14:paraId="3C8F17F7">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1,085</w:t>
            </w:r>
          </w:p>
        </w:tc>
      </w:tr>
    </w:tbl>
    <w:p w14:paraId="3C7AABD9">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outlineLvl w:val="1"/>
        <w:rPr>
          <w:rFonts w:hint="default" w:ascii="Times New Roman" w:hAnsi="Times New Roman" w:eastAsia="楷体_GB2312" w:cs="Times New Roman"/>
          <w:color w:val="auto"/>
          <w:sz w:val="32"/>
          <w:szCs w:val="32"/>
          <w:highlight w:val="none"/>
          <w:lang w:val="en-US" w:eastAsia="zh-CN"/>
        </w:rPr>
      </w:pPr>
      <w:bookmarkStart w:id="16" w:name="_Toc29352"/>
      <w:bookmarkStart w:id="17" w:name="_Toc31543"/>
      <w:bookmarkStart w:id="18" w:name="_Toc31704"/>
      <w:bookmarkStart w:id="19" w:name="_Toc5038"/>
      <w:r>
        <w:rPr>
          <w:rFonts w:hint="default" w:ascii="Times New Roman" w:hAnsi="Times New Roman" w:eastAsia="楷体_GB2312" w:cs="Times New Roman"/>
          <w:color w:val="auto"/>
          <w:sz w:val="32"/>
          <w:szCs w:val="32"/>
          <w:highlight w:val="none"/>
          <w:lang w:val="en-US" w:eastAsia="zh-CN"/>
        </w:rPr>
        <w:t>（四）项目绩效目标</w:t>
      </w:r>
      <w:bookmarkEnd w:id="16"/>
      <w:bookmarkEnd w:id="17"/>
      <w:bookmarkEnd w:id="18"/>
      <w:bookmarkEnd w:id="19"/>
    </w:p>
    <w:p w14:paraId="34B43E0D">
      <w:pPr>
        <w:keepNext w:val="0"/>
        <w:keepLines w:val="0"/>
        <w:pageBreakBefore w:val="0"/>
        <w:tabs>
          <w:tab w:val="left" w:pos="2697"/>
        </w:tabs>
        <w:kinsoku/>
        <w:wordWrap/>
        <w:overflowPunct/>
        <w:topLinePunct w:val="0"/>
        <w:bidi w:val="0"/>
        <w:adjustRightInd/>
        <w:snapToGrid w:val="0"/>
        <w:spacing w:line="560" w:lineRule="exact"/>
        <w:ind w:firstLine="643" w:firstLineChars="200"/>
        <w:textAlignment w:val="auto"/>
        <w:rPr>
          <w:rFonts w:hint="default" w:ascii="Times New Roman" w:hAnsi="Times New Roman" w:eastAsia="仿宋_GB2312" w:cs="Times New Roman"/>
          <w:b/>
          <w:bCs/>
          <w:color w:val="auto"/>
          <w:kern w:val="0"/>
          <w:sz w:val="32"/>
          <w:szCs w:val="32"/>
          <w:highlight w:val="none"/>
          <w:lang w:val="en-US" w:eastAsia="zh-CN" w:bidi="ar-SA"/>
        </w:rPr>
      </w:pPr>
      <w:bookmarkStart w:id="20" w:name="_Toc8864"/>
      <w:r>
        <w:rPr>
          <w:rFonts w:hint="default" w:ascii="Times New Roman" w:hAnsi="Times New Roman" w:eastAsia="仿宋_GB2312" w:cs="Times New Roman"/>
          <w:b/>
          <w:bCs/>
          <w:color w:val="auto"/>
          <w:kern w:val="0"/>
          <w:sz w:val="32"/>
          <w:szCs w:val="32"/>
          <w:highlight w:val="none"/>
          <w:lang w:val="en-US" w:eastAsia="zh-CN" w:bidi="ar-SA"/>
        </w:rPr>
        <w:t>1.绩效总目标</w:t>
      </w:r>
      <w:bookmarkEnd w:id="20"/>
    </w:p>
    <w:p w14:paraId="29B7BFB5">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贯彻实施并积极应对人口老龄化国家战略，加强和改进养老机构、</w:t>
      </w:r>
      <w:r>
        <w:rPr>
          <w:rFonts w:hint="default" w:ascii="Times New Roman" w:hAnsi="Times New Roman" w:eastAsia="仿宋_GB2312" w:cs="Times New Roman"/>
          <w:color w:val="auto"/>
          <w:sz w:val="32"/>
          <w:szCs w:val="32"/>
          <w:highlight w:val="none"/>
          <w:lang w:val="en-US" w:eastAsia="zh-CN"/>
        </w:rPr>
        <w:t>街道（镇）综合养老服务中心</w:t>
      </w:r>
      <w:r>
        <w:rPr>
          <w:rFonts w:hint="eastAsia" w:ascii="Times New Roman" w:hAnsi="Times New Roman" w:eastAsia="仿宋_GB2312" w:cs="Times New Roman"/>
          <w:color w:val="auto"/>
          <w:sz w:val="32"/>
          <w:szCs w:val="32"/>
          <w:highlight w:val="none"/>
          <w:lang w:val="en-US" w:eastAsia="zh-CN"/>
        </w:rPr>
        <w:t>服务质量等级评定工作，有效提高养老服务机构、综合养老服务中心对评定工作重要性的认可，增强其规范建设、合规管理的使命感和责任感，促进青岛市养老行业规范化、标准化建设，全面提升养老服务质量，推进青岛市养老服务可持续、高质量发展。</w:t>
      </w:r>
    </w:p>
    <w:p w14:paraId="747DF581">
      <w:pPr>
        <w:keepNext w:val="0"/>
        <w:keepLines w:val="0"/>
        <w:pageBreakBefore w:val="0"/>
        <w:tabs>
          <w:tab w:val="left" w:pos="2697"/>
        </w:tabs>
        <w:kinsoku/>
        <w:wordWrap/>
        <w:overflowPunct/>
        <w:topLinePunct w:val="0"/>
        <w:bidi w:val="0"/>
        <w:adjustRightInd/>
        <w:snapToGrid w:val="0"/>
        <w:spacing w:line="560" w:lineRule="exact"/>
        <w:ind w:firstLine="643" w:firstLineChars="200"/>
        <w:textAlignment w:val="auto"/>
        <w:rPr>
          <w:rFonts w:hint="default" w:ascii="Times New Roman" w:hAnsi="Times New Roman" w:eastAsia="仿宋_GB2312" w:cs="Times New Roman"/>
          <w:b/>
          <w:bCs/>
          <w:color w:val="auto"/>
          <w:kern w:val="0"/>
          <w:sz w:val="32"/>
          <w:szCs w:val="32"/>
          <w:highlight w:val="none"/>
          <w:lang w:val="en-US" w:eastAsia="zh-CN" w:bidi="ar-SA"/>
        </w:rPr>
      </w:pPr>
      <w:bookmarkStart w:id="21" w:name="_Toc31609"/>
      <w:r>
        <w:rPr>
          <w:rFonts w:hint="default" w:ascii="Times New Roman" w:hAnsi="Times New Roman" w:eastAsia="仿宋_GB2312" w:cs="Times New Roman"/>
          <w:b/>
          <w:bCs/>
          <w:color w:val="auto"/>
          <w:kern w:val="0"/>
          <w:sz w:val="32"/>
          <w:szCs w:val="32"/>
          <w:highlight w:val="none"/>
          <w:lang w:val="en-US" w:eastAsia="zh-CN" w:bidi="ar-SA"/>
        </w:rPr>
        <w:t>2.项目年度目标</w:t>
      </w:r>
      <w:bookmarkEnd w:id="21"/>
    </w:p>
    <w:p w14:paraId="0A62F6BE">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val="0"/>
        <w:spacing w:line="560" w:lineRule="exact"/>
        <w:ind w:left="0" w:leftChars="0" w:firstLine="640" w:firstLineChars="200"/>
        <w:jc w:val="both"/>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（1）星级养老机构评定奖补资金</w:t>
      </w:r>
    </w:p>
    <w:p w14:paraId="56704206">
      <w:pPr>
        <w:keepNext w:val="0"/>
        <w:keepLines w:val="0"/>
        <w:pageBreakBefore w:val="0"/>
        <w:tabs>
          <w:tab w:val="left" w:pos="2697"/>
        </w:tabs>
        <w:kinsoku/>
        <w:wordWrap/>
        <w:overflowPunct/>
        <w:topLinePunct w:val="0"/>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根据</w:t>
      </w:r>
      <w:r>
        <w:rPr>
          <w:rFonts w:hint="default" w:ascii="Times New Roman" w:hAnsi="Times New Roman" w:eastAsia="仿宋_GB2312" w:cs="Times New Roman"/>
          <w:color w:val="auto"/>
          <w:kern w:val="0"/>
          <w:sz w:val="32"/>
          <w:szCs w:val="32"/>
          <w:highlight w:val="none"/>
          <w:lang w:val="en-US" w:eastAsia="zh-CN" w:bidi="ar-SA"/>
        </w:rPr>
        <w:t>项目支出绩效</w:t>
      </w:r>
      <w:r>
        <w:rPr>
          <w:rFonts w:hint="eastAsia" w:ascii="Times New Roman" w:hAnsi="Times New Roman" w:eastAsia="仿宋_GB2312" w:cs="Times New Roman"/>
          <w:color w:val="auto"/>
          <w:kern w:val="0"/>
          <w:sz w:val="32"/>
          <w:szCs w:val="32"/>
          <w:highlight w:val="none"/>
          <w:lang w:val="en-US" w:eastAsia="zh-CN" w:bidi="ar-SA"/>
        </w:rPr>
        <w:t>目标表，</w:t>
      </w:r>
      <w:r>
        <w:rPr>
          <w:rFonts w:hint="default" w:ascii="Times New Roman" w:hAnsi="Times New Roman" w:eastAsia="仿宋_GB2312" w:cs="Times New Roman"/>
          <w:color w:val="auto"/>
          <w:kern w:val="0"/>
          <w:sz w:val="32"/>
          <w:szCs w:val="32"/>
          <w:highlight w:val="none"/>
          <w:lang w:val="en-US" w:eastAsia="zh-CN" w:bidi="ar-SA"/>
        </w:rPr>
        <w:t>该项目年度</w:t>
      </w:r>
      <w:r>
        <w:rPr>
          <w:rFonts w:hint="eastAsia" w:ascii="Times New Roman" w:hAnsi="Times New Roman" w:eastAsia="仿宋_GB2312" w:cs="Times New Roman"/>
          <w:color w:val="auto"/>
          <w:kern w:val="0"/>
          <w:sz w:val="32"/>
          <w:szCs w:val="32"/>
          <w:highlight w:val="none"/>
          <w:lang w:val="en-US" w:eastAsia="zh-CN" w:bidi="ar-SA"/>
        </w:rPr>
        <w:t>目标为：完成星级养老机构等级评定奖补工作。其中，</w:t>
      </w:r>
      <w:r>
        <w:rPr>
          <w:rFonts w:hint="default" w:ascii="Times New Roman" w:hAnsi="Times New Roman" w:eastAsia="仿宋_GB2312" w:cs="Times New Roman"/>
          <w:color w:val="auto"/>
          <w:kern w:val="0"/>
          <w:sz w:val="32"/>
          <w:szCs w:val="32"/>
          <w:highlight w:val="none"/>
          <w:lang w:val="en-US" w:eastAsia="zh-CN" w:bidi="ar-SA"/>
        </w:rPr>
        <w:t>产出指标、效益指标如下：</w:t>
      </w:r>
    </w:p>
    <w:p w14:paraId="2A2D36FB">
      <w:pPr>
        <w:keepNext w:val="0"/>
        <w:keepLines w:val="0"/>
        <w:pageBreakBefore w:val="0"/>
        <w:widowControl w:val="0"/>
        <w:kinsoku/>
        <w:wordWrap/>
        <w:overflowPunct/>
        <w:topLinePunct w:val="0"/>
        <w:autoSpaceDE w:val="0"/>
        <w:autoSpaceDN w:val="0"/>
        <w:bidi w:val="0"/>
        <w:adjustRightInd/>
        <w:snapToGrid w:val="0"/>
        <w:spacing w:line="560" w:lineRule="exact"/>
        <w:ind w:left="0" w:leftChars="0" w:firstLine="640"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0"/>
          <w:sz w:val="32"/>
          <w:szCs w:val="32"/>
          <w:highlight w:val="none"/>
          <w:lang w:val="en-US" w:eastAsia="zh-CN" w:bidi="ar-SA"/>
        </w:rPr>
        <w:t>产出</w:t>
      </w:r>
      <w:r>
        <w:rPr>
          <w:rFonts w:hint="eastAsia" w:ascii="Times New Roman" w:hAnsi="Times New Roman" w:eastAsia="仿宋_GB2312" w:cs="Times New Roman"/>
          <w:b w:val="0"/>
          <w:bCs w:val="0"/>
          <w:color w:val="auto"/>
          <w:kern w:val="0"/>
          <w:sz w:val="32"/>
          <w:szCs w:val="32"/>
          <w:highlight w:val="none"/>
          <w:lang w:val="en-US" w:eastAsia="zh-CN" w:bidi="ar-SA"/>
        </w:rPr>
        <w:t>指标</w:t>
      </w:r>
      <w:r>
        <w:rPr>
          <w:rFonts w:hint="eastAsia" w:ascii="Times New Roman" w:hAnsi="Times New Roman" w:eastAsia="仿宋_GB2312" w:cs="Times New Roman"/>
          <w:color w:val="auto"/>
          <w:kern w:val="0"/>
          <w:sz w:val="32"/>
          <w:szCs w:val="32"/>
          <w:highlight w:val="none"/>
          <w:lang w:val="en-US" w:eastAsia="zh-CN"/>
        </w:rPr>
        <w:t>：完成奖补星级养老机构的数量104家；完成星级养老机构涵盖青岛10个区市；星级养老机构奖补资金标准达标率≥95%；奖补资金发放到位率=100%；星级养老机构资金拨付完成时间≤2024年12月25日。</w:t>
      </w:r>
    </w:p>
    <w:p w14:paraId="05D8E30A">
      <w:pPr>
        <w:keepNext w:val="0"/>
        <w:keepLines w:val="0"/>
        <w:pageBreakBefore w:val="0"/>
        <w:kinsoku/>
        <w:wordWrap/>
        <w:overflowPunct/>
        <w:topLinePunct w:val="0"/>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bidi="ar-SA"/>
        </w:rPr>
        <w:t>效益</w:t>
      </w:r>
      <w:r>
        <w:rPr>
          <w:rFonts w:hint="eastAsia" w:ascii="Times New Roman" w:hAnsi="Times New Roman" w:eastAsia="仿宋_GB2312" w:cs="Times New Roman"/>
          <w:b w:val="0"/>
          <w:bCs w:val="0"/>
          <w:color w:val="auto"/>
          <w:kern w:val="0"/>
          <w:sz w:val="32"/>
          <w:szCs w:val="32"/>
          <w:highlight w:val="none"/>
          <w:lang w:val="en-US" w:eastAsia="zh-CN" w:bidi="ar-SA"/>
        </w:rPr>
        <w:t>指标：</w:t>
      </w:r>
      <w:r>
        <w:rPr>
          <w:rFonts w:hint="default" w:ascii="Times New Roman" w:hAnsi="Times New Roman" w:eastAsia="仿宋_GB2312" w:cs="Times New Roman"/>
          <w:color w:val="auto"/>
          <w:kern w:val="0"/>
          <w:sz w:val="32"/>
          <w:szCs w:val="32"/>
          <w:highlight w:val="none"/>
        </w:rPr>
        <w:t>养老机构服务质量水平</w:t>
      </w:r>
      <w:r>
        <w:rPr>
          <w:rFonts w:hint="eastAsia" w:ascii="Times New Roman" w:hAnsi="Times New Roman" w:eastAsia="仿宋_GB2312" w:cs="Times New Roman"/>
          <w:color w:val="auto"/>
          <w:kern w:val="0"/>
          <w:sz w:val="32"/>
          <w:szCs w:val="32"/>
          <w:highlight w:val="none"/>
          <w:lang w:val="en-US" w:eastAsia="zh-CN"/>
        </w:rPr>
        <w:t>=10%。</w:t>
      </w:r>
    </w:p>
    <w:p w14:paraId="44F9F19C">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kern w:val="0"/>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2023年街道（镇）综合养老服务中心运营奖励资金</w:t>
      </w:r>
    </w:p>
    <w:p w14:paraId="53C53B52">
      <w:pPr>
        <w:keepNext w:val="0"/>
        <w:keepLines w:val="0"/>
        <w:pageBreakBefore w:val="0"/>
        <w:tabs>
          <w:tab w:val="left" w:pos="2697"/>
        </w:tabs>
        <w:kinsoku/>
        <w:wordWrap/>
        <w:overflowPunct/>
        <w:topLinePunct w:val="0"/>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根据</w:t>
      </w:r>
      <w:r>
        <w:rPr>
          <w:rFonts w:hint="default" w:ascii="Times New Roman" w:hAnsi="Times New Roman" w:eastAsia="仿宋_GB2312" w:cs="Times New Roman"/>
          <w:color w:val="auto"/>
          <w:kern w:val="0"/>
          <w:sz w:val="32"/>
          <w:szCs w:val="32"/>
          <w:highlight w:val="none"/>
          <w:lang w:val="en-US" w:eastAsia="zh-CN" w:bidi="ar-SA"/>
        </w:rPr>
        <w:t>项目支出绩效</w:t>
      </w:r>
      <w:r>
        <w:rPr>
          <w:rFonts w:hint="eastAsia" w:ascii="Times New Roman" w:hAnsi="Times New Roman" w:eastAsia="仿宋_GB2312" w:cs="Times New Roman"/>
          <w:color w:val="auto"/>
          <w:kern w:val="0"/>
          <w:sz w:val="32"/>
          <w:szCs w:val="32"/>
          <w:highlight w:val="none"/>
          <w:lang w:val="en-US" w:eastAsia="zh-CN" w:bidi="ar-SA"/>
        </w:rPr>
        <w:t>目标表，</w:t>
      </w:r>
      <w:r>
        <w:rPr>
          <w:rFonts w:hint="default" w:ascii="Times New Roman" w:hAnsi="Times New Roman" w:eastAsia="仿宋_GB2312" w:cs="Times New Roman"/>
          <w:color w:val="auto"/>
          <w:kern w:val="0"/>
          <w:sz w:val="32"/>
          <w:szCs w:val="32"/>
          <w:highlight w:val="none"/>
          <w:lang w:val="en-US" w:eastAsia="zh-CN" w:bidi="ar-SA"/>
        </w:rPr>
        <w:t>该项目年度</w:t>
      </w:r>
      <w:r>
        <w:rPr>
          <w:rFonts w:hint="eastAsia" w:ascii="Times New Roman" w:hAnsi="Times New Roman" w:eastAsia="仿宋_GB2312" w:cs="Times New Roman"/>
          <w:color w:val="auto"/>
          <w:kern w:val="0"/>
          <w:sz w:val="32"/>
          <w:szCs w:val="32"/>
          <w:highlight w:val="none"/>
          <w:lang w:val="en-US" w:eastAsia="zh-CN" w:bidi="ar-SA"/>
        </w:rPr>
        <w:t>目标为：为街道（镇）综合养老服务中心按照评估等级发放运营奖励，有效提高街道（镇）综合养老服务中心运营积极性，减轻运营压力，促进街道（镇）综合养老服务中心提高管理服务质量。其中，</w:t>
      </w:r>
      <w:r>
        <w:rPr>
          <w:rFonts w:hint="default" w:ascii="Times New Roman" w:hAnsi="Times New Roman" w:eastAsia="仿宋_GB2312" w:cs="Times New Roman"/>
          <w:color w:val="auto"/>
          <w:kern w:val="0"/>
          <w:sz w:val="32"/>
          <w:szCs w:val="32"/>
          <w:highlight w:val="none"/>
          <w:lang w:val="en-US" w:eastAsia="zh-CN" w:bidi="ar-SA"/>
        </w:rPr>
        <w:t>产出指标、效益指标如下：</w:t>
      </w:r>
    </w:p>
    <w:p w14:paraId="7BBB5B90">
      <w:pPr>
        <w:keepNext w:val="0"/>
        <w:keepLines w:val="0"/>
        <w:pageBreakBefore w:val="0"/>
        <w:widowControl w:val="0"/>
        <w:kinsoku/>
        <w:wordWrap/>
        <w:overflowPunct/>
        <w:topLinePunct w:val="0"/>
        <w:autoSpaceDE w:val="0"/>
        <w:autoSpaceDN w:val="0"/>
        <w:bidi w:val="0"/>
        <w:adjustRightInd/>
        <w:snapToGrid w:val="0"/>
        <w:spacing w:line="560" w:lineRule="exact"/>
        <w:ind w:left="0" w:leftChars="0" w:firstLine="640"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0"/>
          <w:sz w:val="32"/>
          <w:szCs w:val="32"/>
          <w:highlight w:val="none"/>
          <w:lang w:val="en-US" w:eastAsia="zh-CN" w:bidi="ar-SA"/>
        </w:rPr>
        <w:t>产出</w:t>
      </w:r>
      <w:r>
        <w:rPr>
          <w:rFonts w:hint="eastAsia" w:ascii="Times New Roman" w:hAnsi="Times New Roman" w:eastAsia="仿宋_GB2312" w:cs="Times New Roman"/>
          <w:b w:val="0"/>
          <w:bCs w:val="0"/>
          <w:color w:val="auto"/>
          <w:kern w:val="0"/>
          <w:sz w:val="32"/>
          <w:szCs w:val="32"/>
          <w:highlight w:val="none"/>
          <w:lang w:val="en-US" w:eastAsia="zh-CN" w:bidi="ar-SA"/>
        </w:rPr>
        <w:t>指标</w:t>
      </w:r>
      <w:r>
        <w:rPr>
          <w:rFonts w:hint="eastAsia" w:ascii="Times New Roman" w:hAnsi="Times New Roman" w:eastAsia="仿宋_GB2312" w:cs="Times New Roman"/>
          <w:color w:val="auto"/>
          <w:kern w:val="0"/>
          <w:sz w:val="32"/>
          <w:szCs w:val="32"/>
          <w:highlight w:val="none"/>
          <w:lang w:val="en-US" w:eastAsia="zh-CN"/>
        </w:rPr>
        <w:t>：参加街道（镇）综合养老服务中心等级评定数量142家；星级街道（镇）综合养老服务中心参评提报区市=10个区市；参评标准符合率≥90%；运营奖励符合率≥95%；审核完成时间≤2024年12月25日。</w:t>
      </w:r>
    </w:p>
    <w:p w14:paraId="619F79DE">
      <w:pPr>
        <w:keepNext w:val="0"/>
        <w:keepLines w:val="0"/>
        <w:pageBreakBefore w:val="0"/>
        <w:kinsoku/>
        <w:wordWrap/>
        <w:overflowPunct/>
        <w:topLinePunct w:val="0"/>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bidi="ar-SA"/>
        </w:rPr>
        <w:t>效益</w:t>
      </w:r>
      <w:r>
        <w:rPr>
          <w:rFonts w:hint="eastAsia" w:ascii="Times New Roman" w:hAnsi="Times New Roman" w:eastAsia="仿宋_GB2312" w:cs="Times New Roman"/>
          <w:b w:val="0"/>
          <w:bCs w:val="0"/>
          <w:color w:val="auto"/>
          <w:kern w:val="0"/>
          <w:sz w:val="32"/>
          <w:szCs w:val="32"/>
          <w:highlight w:val="none"/>
          <w:lang w:val="en-US" w:eastAsia="zh-CN" w:bidi="ar-SA"/>
        </w:rPr>
        <w:t>指标：</w:t>
      </w:r>
      <w:r>
        <w:rPr>
          <w:rFonts w:hint="default" w:ascii="Times New Roman" w:hAnsi="Times New Roman" w:eastAsia="仿宋_GB2312" w:cs="Times New Roman"/>
          <w:color w:val="auto"/>
          <w:kern w:val="0"/>
          <w:sz w:val="32"/>
          <w:szCs w:val="32"/>
          <w:highlight w:val="none"/>
        </w:rPr>
        <w:t>星级评定街道（镇）综合养老服务中心满意度</w:t>
      </w:r>
      <w:r>
        <w:rPr>
          <w:rFonts w:hint="eastAsia" w:ascii="Times New Roman" w:hAnsi="Times New Roman" w:eastAsia="仿宋_GB2312" w:cs="Times New Roman"/>
          <w:color w:val="auto"/>
          <w:kern w:val="0"/>
          <w:sz w:val="32"/>
          <w:szCs w:val="32"/>
          <w:highlight w:val="none"/>
          <w:lang w:val="en-US" w:eastAsia="zh-CN"/>
        </w:rPr>
        <w:t>≥90%。</w:t>
      </w:r>
    </w:p>
    <w:p w14:paraId="34DEC00B">
      <w:pPr>
        <w:keepNext w:val="0"/>
        <w:keepLines w:val="0"/>
        <w:pageBreakBefore w:val="0"/>
        <w:kinsoku/>
        <w:wordWrap/>
        <w:overflowPunct/>
        <w:topLinePunct w:val="0"/>
        <w:autoSpaceDE/>
        <w:autoSpaceDN/>
        <w:bidi w:val="0"/>
        <w:adjustRightInd/>
        <w:snapToGrid w:val="0"/>
        <w:spacing w:line="560" w:lineRule="exact"/>
        <w:ind w:firstLine="640" w:firstLineChars="200"/>
        <w:jc w:val="left"/>
        <w:textAlignment w:val="auto"/>
        <w:outlineLvl w:val="0"/>
        <w:rPr>
          <w:rFonts w:hint="default" w:ascii="Times New Roman" w:hAnsi="Times New Roman" w:eastAsia="黑体" w:cs="Times New Roman"/>
          <w:bCs/>
          <w:color w:val="auto"/>
          <w:sz w:val="32"/>
          <w:szCs w:val="32"/>
          <w:highlight w:val="none"/>
          <w:lang w:eastAsia="zh-CN"/>
        </w:rPr>
      </w:pPr>
      <w:bookmarkStart w:id="22" w:name="_Toc10291"/>
      <w:bookmarkStart w:id="23" w:name="_Toc11533"/>
      <w:bookmarkStart w:id="24" w:name="_Toc18999"/>
      <w:bookmarkStart w:id="25" w:name="_Toc3714"/>
      <w:r>
        <w:rPr>
          <w:rFonts w:hint="default" w:ascii="Times New Roman" w:hAnsi="Times New Roman" w:eastAsia="黑体" w:cs="Times New Roman"/>
          <w:bCs/>
          <w:color w:val="auto"/>
          <w:sz w:val="32"/>
          <w:szCs w:val="32"/>
          <w:highlight w:val="none"/>
          <w:lang w:eastAsia="zh-CN"/>
        </w:rPr>
        <w:t>二</w:t>
      </w:r>
      <w:r>
        <w:rPr>
          <w:rFonts w:hint="default" w:ascii="Times New Roman" w:hAnsi="Times New Roman" w:eastAsia="黑体" w:cs="Times New Roman"/>
          <w:bCs/>
          <w:color w:val="auto"/>
          <w:sz w:val="32"/>
          <w:szCs w:val="32"/>
          <w:highlight w:val="none"/>
        </w:rPr>
        <w:t>、</w:t>
      </w:r>
      <w:r>
        <w:rPr>
          <w:rFonts w:hint="default" w:ascii="Times New Roman" w:hAnsi="Times New Roman" w:eastAsia="黑体" w:cs="Times New Roman"/>
          <w:bCs/>
          <w:color w:val="auto"/>
          <w:sz w:val="32"/>
          <w:szCs w:val="32"/>
          <w:highlight w:val="none"/>
          <w:lang w:eastAsia="zh-CN"/>
        </w:rPr>
        <w:t>绩效</w:t>
      </w:r>
      <w:r>
        <w:rPr>
          <w:rFonts w:hint="default" w:ascii="Times New Roman" w:hAnsi="Times New Roman" w:eastAsia="黑体" w:cs="Times New Roman"/>
          <w:bCs/>
          <w:color w:val="auto"/>
          <w:sz w:val="32"/>
          <w:szCs w:val="32"/>
          <w:highlight w:val="none"/>
        </w:rPr>
        <w:t>评价</w:t>
      </w:r>
      <w:r>
        <w:rPr>
          <w:rFonts w:hint="default" w:ascii="Times New Roman" w:hAnsi="Times New Roman" w:eastAsia="黑体" w:cs="Times New Roman"/>
          <w:bCs/>
          <w:color w:val="auto"/>
          <w:sz w:val="32"/>
          <w:szCs w:val="32"/>
          <w:highlight w:val="none"/>
          <w:lang w:eastAsia="zh-CN"/>
        </w:rPr>
        <w:t>工作开展</w:t>
      </w:r>
      <w:r>
        <w:rPr>
          <w:rFonts w:hint="default" w:ascii="Times New Roman" w:hAnsi="Times New Roman" w:eastAsia="黑体" w:cs="Times New Roman"/>
          <w:bCs/>
          <w:color w:val="auto"/>
          <w:sz w:val="32"/>
          <w:szCs w:val="32"/>
          <w:highlight w:val="none"/>
        </w:rPr>
        <w:t>情况</w:t>
      </w:r>
      <w:bookmarkEnd w:id="22"/>
      <w:bookmarkEnd w:id="23"/>
      <w:bookmarkEnd w:id="24"/>
      <w:bookmarkEnd w:id="25"/>
    </w:p>
    <w:p w14:paraId="3AE10583">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outlineLvl w:val="1"/>
        <w:rPr>
          <w:rFonts w:hint="default" w:ascii="Times New Roman" w:hAnsi="Times New Roman" w:eastAsia="楷体_GB2312" w:cs="Times New Roman"/>
          <w:color w:val="auto"/>
          <w:sz w:val="32"/>
          <w:szCs w:val="32"/>
          <w:highlight w:val="none"/>
          <w:lang w:val="en-US" w:eastAsia="zh-CN"/>
        </w:rPr>
      </w:pPr>
      <w:bookmarkStart w:id="26" w:name="_Toc14221"/>
      <w:bookmarkStart w:id="27" w:name="_Toc986"/>
      <w:bookmarkStart w:id="28" w:name="_Toc10849"/>
      <w:bookmarkStart w:id="29" w:name="_Toc1072"/>
      <w:r>
        <w:rPr>
          <w:rFonts w:hint="default" w:ascii="Times New Roman" w:hAnsi="Times New Roman" w:eastAsia="楷体_GB2312" w:cs="Times New Roman"/>
          <w:color w:val="auto"/>
          <w:sz w:val="32"/>
          <w:szCs w:val="32"/>
          <w:highlight w:val="none"/>
          <w:lang w:val="en-US" w:eastAsia="zh-CN"/>
        </w:rPr>
        <w:t>（一）绩效评价目的、对象和范围</w:t>
      </w:r>
      <w:bookmarkEnd w:id="26"/>
      <w:bookmarkEnd w:id="27"/>
      <w:bookmarkEnd w:id="28"/>
      <w:bookmarkEnd w:id="29"/>
    </w:p>
    <w:p w14:paraId="035A1CB6">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通过</w:t>
      </w:r>
      <w:r>
        <w:rPr>
          <w:rFonts w:hint="eastAsia" w:ascii="Times New Roman" w:hAnsi="Times New Roman" w:eastAsia="仿宋_GB2312" w:cs="Times New Roman"/>
          <w:color w:val="auto"/>
          <w:kern w:val="0"/>
          <w:sz w:val="32"/>
          <w:szCs w:val="32"/>
          <w:highlight w:val="none"/>
          <w:lang w:val="en-US" w:eastAsia="zh-CN"/>
        </w:rPr>
        <w:t>对</w:t>
      </w:r>
      <w:r>
        <w:rPr>
          <w:rFonts w:hint="eastAsia" w:ascii="Times New Roman Regular" w:hAnsi="Times New Roman Regular" w:eastAsia="仿宋_GB2312" w:cs="Times New Roman Regular"/>
          <w:sz w:val="32"/>
          <w:szCs w:val="40"/>
          <w:highlight w:val="none"/>
          <w:lang w:val="en-US" w:eastAsia="zh-CN"/>
        </w:rPr>
        <w:t>星级养老机构评定奖补资金、2023年街道（镇）综合养老服务中心运营奖励资金进行绩效评价，包括</w:t>
      </w:r>
      <w:r>
        <w:rPr>
          <w:rFonts w:hint="eastAsia" w:ascii="Times New Roman Regular" w:hAnsi="Times New Roman Regular" w:eastAsia="仿宋_GB2312" w:cs="Times New Roman Regular"/>
          <w:sz w:val="32"/>
          <w:szCs w:val="40"/>
          <w:highlight w:val="none"/>
        </w:rPr>
        <w:t>资金使用的合规性、效益性</w:t>
      </w:r>
      <w:r>
        <w:rPr>
          <w:rFonts w:hint="eastAsia" w:ascii="Times New Roman Regular" w:hAnsi="Times New Roman Regular" w:eastAsia="仿宋_GB2312" w:cs="Times New Roman Regular"/>
          <w:sz w:val="32"/>
          <w:szCs w:val="40"/>
          <w:highlight w:val="none"/>
          <w:lang w:eastAsia="zh-CN"/>
        </w:rPr>
        <w:t>、管理科学性</w:t>
      </w:r>
      <w:r>
        <w:rPr>
          <w:rFonts w:hint="eastAsia" w:ascii="Times New Roman Regular" w:hAnsi="Times New Roman Regular" w:eastAsia="仿宋_GB2312" w:cs="Times New Roman Regular"/>
          <w:sz w:val="32"/>
          <w:szCs w:val="40"/>
          <w:highlight w:val="none"/>
          <w:lang w:val="en-US" w:eastAsia="zh-CN"/>
        </w:rPr>
        <w:t>等方面，</w:t>
      </w:r>
      <w:r>
        <w:rPr>
          <w:rFonts w:hint="default" w:ascii="Times New Roman" w:hAnsi="Times New Roman" w:eastAsia="仿宋_GB2312" w:cs="Times New Roman"/>
          <w:color w:val="auto"/>
          <w:kern w:val="0"/>
          <w:sz w:val="32"/>
          <w:szCs w:val="32"/>
          <w:highlight w:val="none"/>
          <w:lang w:val="en-US" w:eastAsia="zh-CN"/>
        </w:rPr>
        <w:t>发现项目存在的问题和不足，提出改进建议和措施，为</w:t>
      </w:r>
      <w:r>
        <w:rPr>
          <w:rFonts w:hint="eastAsia" w:ascii="Times New Roman Regular" w:hAnsi="Times New Roman Regular" w:eastAsia="仿宋_GB2312" w:cs="Times New Roman Regular"/>
          <w:sz w:val="32"/>
          <w:szCs w:val="40"/>
          <w:highlight w:val="none"/>
          <w:lang w:val="en-US" w:eastAsia="zh-CN"/>
        </w:rPr>
        <w:t>后续预算编制、项目优化</w:t>
      </w:r>
      <w:r>
        <w:rPr>
          <w:rFonts w:hint="default" w:ascii="Times New Roman" w:hAnsi="Times New Roman" w:eastAsia="仿宋_GB2312" w:cs="Times New Roman"/>
          <w:color w:val="auto"/>
          <w:kern w:val="0"/>
          <w:sz w:val="32"/>
          <w:szCs w:val="32"/>
          <w:highlight w:val="none"/>
          <w:lang w:val="en-US" w:eastAsia="zh-CN"/>
        </w:rPr>
        <w:t>提供决策依据和参考</w:t>
      </w:r>
      <w:r>
        <w:rPr>
          <w:rFonts w:hint="eastAsia" w:ascii="Times New Roman" w:hAnsi="Times New Roman" w:eastAsia="仿宋_GB2312" w:cs="Times New Roman"/>
          <w:color w:val="auto"/>
          <w:kern w:val="0"/>
          <w:sz w:val="32"/>
          <w:szCs w:val="32"/>
          <w:highlight w:val="none"/>
          <w:lang w:val="en-US" w:eastAsia="zh-CN"/>
        </w:rPr>
        <w:t>。</w:t>
      </w:r>
    </w:p>
    <w:p w14:paraId="39EA2472">
      <w:pPr>
        <w:keepNext w:val="0"/>
        <w:keepLines w:val="0"/>
        <w:pageBreakBefore w:val="0"/>
        <w:kinsoku/>
        <w:wordWrap/>
        <w:overflowPunct/>
        <w:topLinePunct w:val="0"/>
        <w:bidi w:val="0"/>
        <w:adjustRightInd/>
        <w:snapToGrid w:val="0"/>
        <w:spacing w:line="560" w:lineRule="exact"/>
        <w:ind w:left="0" w:leftChars="0" w:firstLine="640" w:firstLineChars="200"/>
        <w:jc w:val="both"/>
        <w:textAlignment w:val="auto"/>
        <w:rPr>
          <w:rFonts w:hint="default" w:ascii="Times New Roman" w:hAnsi="Times New Roman" w:cs="Times New Roman"/>
          <w:color w:val="auto"/>
          <w:sz w:val="32"/>
          <w:szCs w:val="32"/>
          <w:highlight w:val="none"/>
          <w:lang w:val="en-US"/>
        </w:rPr>
      </w:pPr>
      <w:r>
        <w:rPr>
          <w:rFonts w:hint="default" w:ascii="Times New Roman" w:hAnsi="Times New Roman" w:eastAsia="仿宋_GB2312" w:cs="Times New Roman"/>
          <w:color w:val="auto"/>
          <w:sz w:val="32"/>
          <w:szCs w:val="32"/>
          <w:highlight w:val="none"/>
          <w:lang w:val="en-US" w:eastAsia="zh-CN"/>
        </w:rPr>
        <w:t>本次评价的对象</w:t>
      </w:r>
      <w:r>
        <w:rPr>
          <w:rFonts w:hint="default" w:ascii="Times New Roman" w:hAnsi="Times New Roman" w:eastAsia="仿宋_GB2312" w:cs="Times New Roman"/>
          <w:color w:val="auto"/>
          <w:kern w:val="0"/>
          <w:sz w:val="32"/>
          <w:szCs w:val="32"/>
          <w:highlight w:val="none"/>
          <w:lang w:val="en-US" w:eastAsia="zh-CN" w:bidi="ar-SA"/>
        </w:rPr>
        <w:t>为</w:t>
      </w:r>
      <w:r>
        <w:rPr>
          <w:rFonts w:hint="eastAsia" w:ascii="Times New Roman" w:hAnsi="Times New Roman" w:eastAsia="仿宋_GB2312" w:cs="Times New Roman"/>
          <w:color w:val="auto"/>
          <w:kern w:val="0"/>
          <w:sz w:val="32"/>
          <w:szCs w:val="32"/>
          <w:highlight w:val="none"/>
          <w:lang w:val="en-US" w:eastAsia="zh-CN" w:bidi="ar-SA"/>
        </w:rPr>
        <w:t>星级</w:t>
      </w:r>
      <w:r>
        <w:rPr>
          <w:rFonts w:hint="default" w:ascii="Times New Roman" w:hAnsi="Times New Roman" w:eastAsia="仿宋_GB2312" w:cs="Times New Roman"/>
          <w:color w:val="auto"/>
          <w:kern w:val="0"/>
          <w:sz w:val="32"/>
          <w:szCs w:val="32"/>
          <w:highlight w:val="none"/>
          <w:lang w:val="en-US" w:eastAsia="zh-CN" w:bidi="ar-SA"/>
        </w:rPr>
        <w:t>养老机构评定奖补资金</w:t>
      </w:r>
      <w:r>
        <w:rPr>
          <w:rFonts w:hint="eastAsia" w:ascii="Times New Roman" w:hAnsi="Times New Roman" w:eastAsia="仿宋_GB2312" w:cs="Times New Roman"/>
          <w:color w:val="auto"/>
          <w:kern w:val="0"/>
          <w:sz w:val="32"/>
          <w:szCs w:val="32"/>
          <w:highlight w:val="none"/>
          <w:lang w:val="en-US" w:eastAsia="zh-CN" w:bidi="ar-SA"/>
        </w:rPr>
        <w:t>715万元</w:t>
      </w:r>
      <w:r>
        <w:rPr>
          <w:rFonts w:hint="default" w:ascii="Times New Roman" w:hAnsi="Times New Roman" w:eastAsia="仿宋_GB2312" w:cs="Times New Roman"/>
          <w:color w:val="auto"/>
          <w:kern w:val="0"/>
          <w:sz w:val="32"/>
          <w:szCs w:val="32"/>
          <w:highlight w:val="none"/>
          <w:lang w:val="en-US" w:eastAsia="zh-CN" w:bidi="ar-SA"/>
        </w:rPr>
        <w:t>、</w:t>
      </w:r>
      <w:r>
        <w:rPr>
          <w:rFonts w:hint="eastAsia" w:ascii="Times New Roman" w:hAnsi="Times New Roman" w:eastAsia="仿宋_GB2312" w:cs="Times New Roman"/>
          <w:color w:val="auto"/>
          <w:kern w:val="0"/>
          <w:sz w:val="32"/>
          <w:szCs w:val="32"/>
          <w:highlight w:val="none"/>
          <w:lang w:val="en-US" w:eastAsia="zh-CN" w:bidi="ar-SA"/>
        </w:rPr>
        <w:t>2023年</w:t>
      </w:r>
      <w:r>
        <w:rPr>
          <w:rFonts w:hint="default" w:ascii="Times New Roman" w:hAnsi="Times New Roman" w:eastAsia="仿宋_GB2312" w:cs="Times New Roman"/>
          <w:color w:val="auto"/>
          <w:kern w:val="0"/>
          <w:sz w:val="32"/>
          <w:szCs w:val="32"/>
          <w:highlight w:val="none"/>
          <w:lang w:val="en-US" w:eastAsia="zh-CN" w:bidi="ar-SA"/>
        </w:rPr>
        <w:t>街道（镇）综合养老服务中心运营奖励资金预算资金</w:t>
      </w:r>
      <w:r>
        <w:rPr>
          <w:rFonts w:hint="eastAsia" w:ascii="Times New Roman" w:hAnsi="Times New Roman" w:eastAsia="仿宋_GB2312" w:cs="Times New Roman"/>
          <w:color w:val="auto"/>
          <w:kern w:val="0"/>
          <w:sz w:val="32"/>
          <w:szCs w:val="32"/>
          <w:highlight w:val="none"/>
          <w:lang w:val="en-US" w:eastAsia="zh-CN" w:bidi="ar-SA"/>
        </w:rPr>
        <w:t>1085</w:t>
      </w:r>
      <w:r>
        <w:rPr>
          <w:rFonts w:hint="default" w:ascii="Times New Roman" w:hAnsi="Times New Roman" w:eastAsia="仿宋_GB2312" w:cs="Times New Roman"/>
          <w:color w:val="auto"/>
          <w:kern w:val="0"/>
          <w:sz w:val="32"/>
          <w:szCs w:val="32"/>
          <w:highlight w:val="none"/>
          <w:lang w:val="en-US" w:eastAsia="zh-CN" w:bidi="ar-SA"/>
        </w:rPr>
        <w:t>万元</w:t>
      </w:r>
      <w:r>
        <w:rPr>
          <w:rFonts w:hint="eastAsia" w:ascii="Times New Roman" w:hAnsi="Times New Roman" w:eastAsia="仿宋_GB2312" w:cs="Times New Roman"/>
          <w:color w:val="auto"/>
          <w:kern w:val="0"/>
          <w:sz w:val="32"/>
          <w:szCs w:val="32"/>
          <w:highlight w:val="none"/>
          <w:lang w:val="en-US" w:eastAsia="zh-CN" w:bidi="ar-SA"/>
        </w:rPr>
        <w:t>，项目合计1800万元。</w:t>
      </w:r>
      <w:r>
        <w:rPr>
          <w:rFonts w:hint="default" w:ascii="Times New Roman" w:hAnsi="Times New Roman" w:eastAsia="仿宋_GB2312" w:cs="Times New Roman"/>
          <w:color w:val="auto"/>
          <w:kern w:val="0"/>
          <w:sz w:val="32"/>
          <w:szCs w:val="32"/>
          <w:highlight w:val="none"/>
          <w:lang w:val="en-US" w:eastAsia="zh-CN" w:bidi="ar-SA"/>
        </w:rPr>
        <w:t>评价范围为本</w:t>
      </w:r>
      <w:r>
        <w:rPr>
          <w:rFonts w:hint="eastAsia" w:ascii="Times New Roman" w:hAnsi="Times New Roman" w:eastAsia="仿宋_GB2312" w:cs="Times New Roman"/>
          <w:color w:val="auto"/>
          <w:kern w:val="0"/>
          <w:sz w:val="32"/>
          <w:szCs w:val="32"/>
          <w:highlight w:val="none"/>
          <w:lang w:val="en-US" w:eastAsia="zh-CN" w:bidi="ar-SA"/>
        </w:rPr>
        <w:t>项目</w:t>
      </w:r>
      <w:r>
        <w:rPr>
          <w:rFonts w:hint="default" w:ascii="Times New Roman" w:hAnsi="Times New Roman" w:eastAsia="仿宋_GB2312" w:cs="Times New Roman"/>
          <w:color w:val="auto"/>
          <w:kern w:val="0"/>
          <w:sz w:val="32"/>
          <w:szCs w:val="32"/>
          <w:highlight w:val="none"/>
          <w:lang w:val="en-US" w:eastAsia="zh-CN" w:bidi="ar-SA"/>
        </w:rPr>
        <w:t>涉及的所有工作内容。</w:t>
      </w:r>
    </w:p>
    <w:p w14:paraId="62FBBF2C">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outlineLvl w:val="1"/>
        <w:rPr>
          <w:rFonts w:hint="default" w:ascii="Times New Roman" w:hAnsi="Times New Roman" w:eastAsia="楷体_GB2312" w:cs="Times New Roman"/>
          <w:color w:val="auto"/>
          <w:sz w:val="32"/>
          <w:szCs w:val="32"/>
          <w:highlight w:val="none"/>
          <w:lang w:val="en-US" w:eastAsia="zh-CN"/>
        </w:rPr>
      </w:pPr>
      <w:bookmarkStart w:id="30" w:name="_Toc28163"/>
      <w:bookmarkStart w:id="31" w:name="_Toc2418"/>
      <w:bookmarkStart w:id="32" w:name="_Toc29423"/>
      <w:bookmarkStart w:id="33" w:name="_Toc25123"/>
      <w:r>
        <w:rPr>
          <w:rFonts w:hint="default" w:ascii="Times New Roman" w:hAnsi="Times New Roman" w:eastAsia="楷体_GB2312" w:cs="Times New Roman"/>
          <w:color w:val="auto"/>
          <w:sz w:val="32"/>
          <w:szCs w:val="32"/>
          <w:highlight w:val="none"/>
          <w:lang w:val="en-US" w:eastAsia="zh-CN"/>
        </w:rPr>
        <w:t>（二）评价思路、评价重点、评价指标体系和评价标准</w:t>
      </w:r>
      <w:bookmarkEnd w:id="30"/>
      <w:bookmarkEnd w:id="31"/>
      <w:bookmarkEnd w:id="32"/>
      <w:bookmarkEnd w:id="33"/>
    </w:p>
    <w:p w14:paraId="58253C4F">
      <w:pPr>
        <w:keepNext w:val="0"/>
        <w:keepLines w:val="0"/>
        <w:pageBreakBefore w:val="0"/>
        <w:kinsoku/>
        <w:wordWrap/>
        <w:overflowPunct/>
        <w:topLinePunct w:val="0"/>
        <w:autoSpaceDE/>
        <w:autoSpaceDN/>
        <w:bidi w:val="0"/>
        <w:adjustRightInd/>
        <w:snapToGrid w:val="0"/>
        <w:spacing w:line="560" w:lineRule="exact"/>
        <w:ind w:firstLine="643" w:firstLineChars="200"/>
        <w:jc w:val="left"/>
        <w:textAlignment w:val="auto"/>
        <w:rPr>
          <w:rFonts w:hint="default" w:ascii="Times New Roman" w:hAnsi="Times New Roman" w:eastAsia="仿宋_GB2312" w:cs="Times New Roman"/>
          <w:b/>
          <w:bCs/>
          <w:color w:val="auto"/>
          <w:kern w:val="0"/>
          <w:sz w:val="32"/>
          <w:szCs w:val="32"/>
          <w:highlight w:val="none"/>
          <w:lang w:val="en-US" w:eastAsia="zh-CN" w:bidi="ar-SA"/>
        </w:rPr>
      </w:pPr>
      <w:r>
        <w:rPr>
          <w:rFonts w:hint="default" w:ascii="Times New Roman" w:hAnsi="Times New Roman" w:eastAsia="仿宋_GB2312" w:cs="Times New Roman"/>
          <w:b/>
          <w:bCs/>
          <w:color w:val="auto"/>
          <w:kern w:val="0"/>
          <w:sz w:val="32"/>
          <w:szCs w:val="32"/>
          <w:highlight w:val="none"/>
          <w:lang w:val="en-US" w:eastAsia="zh-CN" w:bidi="ar-SA"/>
        </w:rPr>
        <w:t>1.评价思路</w:t>
      </w:r>
    </w:p>
    <w:p w14:paraId="560FA68E">
      <w:pPr>
        <w:keepNext w:val="0"/>
        <w:keepLines w:val="0"/>
        <w:pageBreakBefore w:val="0"/>
        <w:kinsoku/>
        <w:wordWrap/>
        <w:overflowPunct/>
        <w:topLinePunct w:val="0"/>
        <w:bidi w:val="0"/>
        <w:adjustRightInd/>
        <w:snapToGrid w:val="0"/>
        <w:spacing w:line="560" w:lineRule="exact"/>
        <w:ind w:left="0" w:leftChars="0"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本次评价坚持</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经济、效率、效能、公平</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的原则，</w:t>
      </w:r>
      <w:r>
        <w:rPr>
          <w:rFonts w:hint="eastAsia" w:ascii="Times New Roman" w:hAnsi="Times New Roman" w:eastAsia="仿宋_GB2312" w:cs="Times New Roman"/>
          <w:color w:val="auto"/>
          <w:sz w:val="32"/>
          <w:szCs w:val="32"/>
          <w:highlight w:val="none"/>
          <w:lang w:val="en-US" w:eastAsia="zh-CN"/>
        </w:rPr>
        <w:t>根据《财政部关于印发《〈项目支出绩效评价管理办法〉的通知》（财预[2020]10号）和《2025年市级财政重点绩效评价实施方案》等文件要求，在充分吸收和借鉴项目支出绩效评价以及政府购买服务改革管理工作的基础上，设置决策、过程、产出、效益4个一级指标构成的评价指标体系和</w:t>
      </w:r>
      <w:r>
        <w:rPr>
          <w:rFonts w:hint="default" w:ascii="Times New Roman" w:hAnsi="Times New Roman" w:eastAsia="仿宋_GB2312" w:cs="Times New Roman"/>
          <w:color w:val="auto"/>
          <w:sz w:val="32"/>
          <w:szCs w:val="32"/>
          <w:highlight w:val="none"/>
          <w:lang w:val="en-US" w:eastAsia="zh-CN"/>
        </w:rPr>
        <w:t>具体评价方案</w:t>
      </w:r>
      <w:r>
        <w:rPr>
          <w:rFonts w:hint="eastAsia" w:ascii="Times New Roman" w:hAnsi="Times New Roman" w:eastAsia="仿宋_GB2312" w:cs="Times New Roman"/>
          <w:color w:val="auto"/>
          <w:sz w:val="32"/>
          <w:szCs w:val="32"/>
          <w:highlight w:val="none"/>
          <w:lang w:val="en-US" w:eastAsia="zh-CN"/>
        </w:rPr>
        <w:t>，系统科学评价本项目的产出和效益，并有针对性地提出改进和管理的建议，进一步增强绩效评价的针对性和有效性。</w:t>
      </w:r>
    </w:p>
    <w:p w14:paraId="2F043EDB">
      <w:pPr>
        <w:numPr>
          <w:ilvl w:val="0"/>
          <w:numId w:val="0"/>
        </w:numPr>
        <w:spacing w:line="600" w:lineRule="exact"/>
        <w:ind w:firstLine="640" w:firstLineChars="200"/>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kern w:val="2"/>
          <w:sz w:val="32"/>
          <w:szCs w:val="40"/>
          <w:lang w:val="en-US" w:eastAsia="zh-CN" w:bidi="ar-SA"/>
        </w:rPr>
        <w:t>2.</w:t>
      </w:r>
      <w:r>
        <w:rPr>
          <w:rFonts w:hint="default" w:ascii="Times New Roman" w:hAnsi="Times New Roman" w:eastAsia="仿宋_GB2312" w:cs="Times New Roman"/>
          <w:b/>
          <w:bCs/>
          <w:color w:val="auto"/>
          <w:kern w:val="0"/>
          <w:sz w:val="32"/>
          <w:szCs w:val="32"/>
          <w:highlight w:val="none"/>
          <w:lang w:val="en-US" w:eastAsia="zh-CN" w:bidi="ar-SA"/>
        </w:rPr>
        <w:t>评价重点</w:t>
      </w:r>
      <w:r>
        <w:rPr>
          <w:rFonts w:hint="eastAsia" w:ascii="Times New Roman" w:hAnsi="Times New Roman" w:eastAsia="仿宋_GB2312" w:cs="Times New Roman"/>
          <w:b/>
          <w:bCs/>
          <w:color w:val="auto"/>
          <w:kern w:val="0"/>
          <w:sz w:val="32"/>
          <w:szCs w:val="32"/>
          <w:highlight w:val="none"/>
          <w:lang w:val="en-US" w:eastAsia="zh-CN" w:bidi="ar-SA"/>
        </w:rPr>
        <w:t>。</w:t>
      </w:r>
    </w:p>
    <w:p w14:paraId="62862B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评价体系基于“决策—过程—产出—效益”的逻辑框架，重点评价以下内容：</w:t>
      </w:r>
    </w:p>
    <w:p w14:paraId="701479A2">
      <w:pPr>
        <w:spacing w:line="600" w:lineRule="exact"/>
        <w:ind w:firstLine="640" w:firstLineChars="200"/>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决策环节评价：主要对项目立项各方面细致评估，确保决策科学合理。具体包括审查立项合规性、评估绩效目标合理性、预算编制科学性。</w:t>
      </w:r>
    </w:p>
    <w:p w14:paraId="447AEC86">
      <w:pPr>
        <w:spacing w:line="600" w:lineRule="exact"/>
        <w:ind w:firstLine="640" w:firstLineChars="200"/>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过程环节评价：评价预算资金执行率并评估资金使用合规性，确保操作符合相关管理制度要求。对组织制度的完善性和制度执行的有效性进行评估，确保制度得到切实执行,并识别程序执行过程中的潜在弱点，提升管理效率和效果。</w:t>
      </w:r>
    </w:p>
    <w:p w14:paraId="411EC370">
      <w:pPr>
        <w:spacing w:line="600" w:lineRule="exact"/>
        <w:ind w:firstLine="640" w:firstLineChars="200"/>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产出方面评价：综合评价数量、质量、时效与成本四方面关键指标。数量指标包括奖补星级养老机构的数量、享受奖励的街道（镇）综合养老服务中心数量等，体现获得奖补养老机构、综合养老服务中心在青岛市的覆盖程度。质量指标包括第三方星级评定质量、资金支付准确性等，其中，第三方星级评定质量，反映第三方星级评定机构的选择、决策程序、合同签署是否符合国家政府采购相关管理制度的规定；第三方星级评定内容及现场评定程序是否符合《青岛市养老机构服务质量等级评定暂行办法》、《青岛市街道（镇）综合养老服务中心运营等级评定方案》等民政局评审办法的有关规定；第三方评定结果的交付验收是否符合合同约定并对评审工作的原始资料及时进行档案归档。时效指标反映养老机构等级评定的及时性、奖补资金支付的及时性，以及养老机构评定结果公示时长是否符合方案规定。成本达标率反映实际项目成本是否超出政策文件规定标准以及实际成本超出的程度。</w:t>
      </w:r>
    </w:p>
    <w:p w14:paraId="57CD144E">
      <w:pPr>
        <w:spacing w:line="600" w:lineRule="exact"/>
        <w:ind w:firstLine="640" w:firstLineChars="200"/>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效益方面评价：全面考量社会效益，包括奖补养老机构涵盖青岛区市的范围、各区市养老机构整体服务水平等，同时评估项目的可持续影响，即项目发展机制可持续性、社会效益可持续性以及养老机构或机构服务人员、养老机构入住老人/家属的满意度情况。</w:t>
      </w:r>
    </w:p>
    <w:p w14:paraId="631810EE">
      <w:pPr>
        <w:keepNext w:val="0"/>
        <w:keepLines w:val="0"/>
        <w:pageBreakBefore w:val="0"/>
        <w:kinsoku/>
        <w:wordWrap/>
        <w:overflowPunct/>
        <w:topLinePunct w:val="0"/>
        <w:autoSpaceDE/>
        <w:autoSpaceDN/>
        <w:bidi w:val="0"/>
        <w:adjustRightInd/>
        <w:snapToGrid w:val="0"/>
        <w:spacing w:beforeAutospacing="0" w:afterAutospacing="0" w:line="560" w:lineRule="exact"/>
        <w:ind w:firstLine="643" w:firstLineChars="200"/>
        <w:jc w:val="left"/>
        <w:textAlignment w:val="auto"/>
        <w:rPr>
          <w:rFonts w:hint="default" w:ascii="Times New Roman" w:hAnsi="Times New Roman" w:eastAsia="仿宋_GB2312" w:cs="Times New Roman"/>
          <w:b/>
          <w:bCs/>
          <w:color w:val="auto"/>
          <w:kern w:val="0"/>
          <w:sz w:val="32"/>
          <w:szCs w:val="32"/>
          <w:highlight w:val="none"/>
          <w:lang w:val="en-US" w:eastAsia="zh-CN" w:bidi="ar-SA"/>
        </w:rPr>
      </w:pPr>
      <w:r>
        <w:rPr>
          <w:rFonts w:hint="default" w:ascii="Times New Roman" w:hAnsi="Times New Roman" w:eastAsia="仿宋_GB2312" w:cs="Times New Roman"/>
          <w:b/>
          <w:bCs/>
          <w:color w:val="auto"/>
          <w:kern w:val="0"/>
          <w:sz w:val="32"/>
          <w:szCs w:val="32"/>
          <w:highlight w:val="none"/>
          <w:lang w:val="en-US" w:eastAsia="zh-CN" w:bidi="ar-SA"/>
        </w:rPr>
        <w:t>3.评价指标体系和评价标准</w:t>
      </w:r>
    </w:p>
    <w:p w14:paraId="4F578D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kern w:val="2"/>
          <w:sz w:val="32"/>
          <w:szCs w:val="32"/>
          <w:highlight w:val="none"/>
          <w:lang w:val="en-US" w:eastAsia="zh-CN" w:bidi="ar-SA"/>
        </w:rPr>
        <w:t>评价指标体系</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包括</w:t>
      </w:r>
      <w:r>
        <w:rPr>
          <w:rFonts w:hint="eastAsia" w:ascii="Times New Roman" w:hAnsi="Times New Roman" w:eastAsia="仿宋_GB2312" w:cs="Times New Roman"/>
          <w:b w:val="0"/>
          <w:bCs w:val="0"/>
          <w:color w:val="auto"/>
          <w:kern w:val="2"/>
          <w:sz w:val="32"/>
          <w:szCs w:val="32"/>
          <w:highlight w:val="none"/>
          <w:lang w:val="en-US" w:eastAsia="zh-CN" w:bidi="ar-SA"/>
        </w:rPr>
        <w:t>决策、过程、产出、效益4个一级指标</w:t>
      </w:r>
      <w:r>
        <w:rPr>
          <w:rFonts w:hint="default" w:ascii="Times New Roman" w:hAnsi="Times New Roman" w:eastAsia="仿宋_GB2312" w:cs="Times New Roman"/>
          <w:b w:val="0"/>
          <w:bCs w:val="0"/>
          <w:color w:val="auto"/>
          <w:kern w:val="2"/>
          <w:sz w:val="32"/>
          <w:szCs w:val="32"/>
          <w:highlight w:val="none"/>
          <w:lang w:val="en-US" w:eastAsia="zh-CN" w:bidi="ar-SA"/>
        </w:rPr>
        <w:t>，结合项目实际对三级指标</w:t>
      </w:r>
      <w:r>
        <w:rPr>
          <w:rFonts w:hint="eastAsia" w:ascii="Times New Roman" w:hAnsi="Times New Roman" w:eastAsia="仿宋_GB2312" w:cs="Times New Roman"/>
          <w:b w:val="0"/>
          <w:bCs w:val="0"/>
          <w:color w:val="auto"/>
          <w:kern w:val="2"/>
          <w:sz w:val="32"/>
          <w:szCs w:val="32"/>
          <w:highlight w:val="none"/>
          <w:lang w:val="en-US" w:eastAsia="zh-CN" w:bidi="ar-SA"/>
        </w:rPr>
        <w:t>、四级指标</w:t>
      </w:r>
      <w:r>
        <w:rPr>
          <w:rFonts w:hint="default" w:ascii="Times New Roman" w:hAnsi="Times New Roman" w:eastAsia="仿宋_GB2312" w:cs="Times New Roman"/>
          <w:b w:val="0"/>
          <w:bCs w:val="0"/>
          <w:color w:val="auto"/>
          <w:kern w:val="2"/>
          <w:sz w:val="32"/>
          <w:szCs w:val="32"/>
          <w:highlight w:val="none"/>
          <w:lang w:val="en-US" w:eastAsia="zh-CN" w:bidi="ar-SA"/>
        </w:rPr>
        <w:t>进行细化和调整，并根据项目的重要性确定</w:t>
      </w:r>
      <w:r>
        <w:rPr>
          <w:rFonts w:hint="eastAsia" w:ascii="Times New Roman" w:hAnsi="Times New Roman" w:eastAsia="仿宋_GB2312" w:cs="Times New Roman"/>
          <w:b w:val="0"/>
          <w:bCs w:val="0"/>
          <w:color w:val="auto"/>
          <w:kern w:val="2"/>
          <w:sz w:val="32"/>
          <w:szCs w:val="32"/>
          <w:highlight w:val="none"/>
          <w:lang w:val="en-US" w:eastAsia="zh-CN" w:bidi="ar-SA"/>
        </w:rPr>
        <w:t>各级</w:t>
      </w:r>
      <w:r>
        <w:rPr>
          <w:rFonts w:hint="default" w:ascii="Times New Roman" w:hAnsi="Times New Roman" w:eastAsia="仿宋_GB2312" w:cs="Times New Roman"/>
          <w:b w:val="0"/>
          <w:bCs w:val="0"/>
          <w:color w:val="auto"/>
          <w:kern w:val="2"/>
          <w:sz w:val="32"/>
          <w:szCs w:val="32"/>
          <w:highlight w:val="none"/>
          <w:lang w:val="en-US" w:eastAsia="zh-CN" w:bidi="ar-SA"/>
        </w:rPr>
        <w:t>指标的权重。</w:t>
      </w:r>
      <w:r>
        <w:rPr>
          <w:rFonts w:hint="eastAsia" w:ascii="Times New Roman" w:hAnsi="Times New Roman" w:eastAsia="仿宋_GB2312"/>
          <w:b w:val="0"/>
          <w:bCs w:val="0"/>
          <w:sz w:val="32"/>
          <w:szCs w:val="32"/>
          <w:lang w:eastAsia="zh-CN"/>
        </w:rPr>
        <w:t>在绩效评价指标体系的构建中，</w:t>
      </w:r>
      <w:r>
        <w:rPr>
          <w:rFonts w:hint="eastAsia" w:ascii="Times New Roman" w:hAnsi="Times New Roman" w:eastAsia="仿宋_GB2312"/>
          <w:b w:val="0"/>
          <w:bCs w:val="0"/>
          <w:sz w:val="32"/>
          <w:szCs w:val="32"/>
          <w:lang w:val="en-US" w:eastAsia="zh-CN"/>
        </w:rPr>
        <w:t>具体分值分配为：决策指标20分、过程指标20分、产出指标30分、</w:t>
      </w:r>
      <w:r>
        <w:rPr>
          <w:rFonts w:hint="default" w:ascii="Times New Roman" w:hAnsi="Times New Roman" w:eastAsia="仿宋_GB2312" w:cs="Times New Roman"/>
          <w:b w:val="0"/>
          <w:bCs w:val="0"/>
          <w:color w:val="auto"/>
          <w:sz w:val="32"/>
          <w:szCs w:val="32"/>
          <w:highlight w:val="none"/>
          <w:lang w:val="en-US" w:eastAsia="zh-CN"/>
        </w:rPr>
        <w:t>效益指标30分。下设项目立项、绩效目标、资金投入、资金管理、组织实施、产出数量、产出质量、产出时效、产出成本、项目效益、满意度等11个二级指标。详细评价指标体系详见附件1。</w:t>
      </w:r>
    </w:p>
    <w:p w14:paraId="787D5A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kern w:val="2"/>
          <w:sz w:val="32"/>
          <w:szCs w:val="32"/>
          <w:highlight w:val="none"/>
          <w:lang w:val="en-US" w:eastAsia="zh-CN" w:bidi="ar-SA"/>
        </w:rPr>
        <w:t>评价标准</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kern w:val="2"/>
          <w:sz w:val="32"/>
          <w:szCs w:val="32"/>
          <w:highlight w:val="none"/>
          <w:lang w:val="en-US" w:eastAsia="zh-CN" w:bidi="ar-SA"/>
        </w:rPr>
        <w:t>根据《青岛市市级项目支出预算绩效管理结果应用办法》（青财绩</w:t>
      </w:r>
      <w:r>
        <w:rPr>
          <w:rFonts w:hint="eastAsia" w:ascii="Times New Roman" w:hAnsi="Times New Roman" w:eastAsia="仿宋_GB2312" w:cs="Times New Roman"/>
          <w:b w:val="0"/>
          <w:bCs w:val="0"/>
          <w:color w:val="auto"/>
          <w:kern w:val="2"/>
          <w:sz w:val="32"/>
          <w:szCs w:val="32"/>
          <w:highlight w:val="none"/>
          <w:lang w:val="en-US" w:eastAsia="zh-CN" w:bidi="ar-SA"/>
        </w:rPr>
        <w:t>[2023]</w:t>
      </w:r>
      <w:r>
        <w:rPr>
          <w:rFonts w:hint="default" w:ascii="Times New Roman" w:hAnsi="Times New Roman" w:eastAsia="仿宋_GB2312" w:cs="Times New Roman"/>
          <w:b w:val="0"/>
          <w:bCs w:val="0"/>
          <w:color w:val="auto"/>
          <w:kern w:val="2"/>
          <w:sz w:val="32"/>
          <w:szCs w:val="32"/>
          <w:highlight w:val="none"/>
          <w:lang w:val="en-US" w:eastAsia="zh-CN" w:bidi="ar-SA"/>
        </w:rPr>
        <w:t>5号），</w:t>
      </w:r>
      <w:r>
        <w:rPr>
          <w:rFonts w:hint="default" w:ascii="Times New Roman" w:hAnsi="Times New Roman" w:eastAsia="仿宋_GB2312" w:cs="Times New Roman"/>
          <w:b w:val="0"/>
          <w:bCs w:val="0"/>
          <w:color w:val="auto"/>
          <w:sz w:val="32"/>
          <w:szCs w:val="32"/>
          <w:highlight w:val="none"/>
        </w:rPr>
        <w:t>绩效评价结果采取评分和评级相结合的方式，</w:t>
      </w:r>
      <w:r>
        <w:rPr>
          <w:rFonts w:hint="default" w:ascii="Times New Roman" w:hAnsi="Times New Roman" w:eastAsia="仿宋_GB2312" w:cs="Times New Roman"/>
          <w:b w:val="0"/>
          <w:bCs w:val="0"/>
          <w:color w:val="auto"/>
          <w:kern w:val="2"/>
          <w:sz w:val="32"/>
          <w:szCs w:val="32"/>
          <w:highlight w:val="none"/>
          <w:lang w:val="en-US" w:eastAsia="zh-CN" w:bidi="ar-SA"/>
        </w:rPr>
        <w:t>绩效评价等级划分为四档，</w:t>
      </w:r>
      <w:r>
        <w:rPr>
          <w:rFonts w:hint="default" w:ascii="Times New Roman" w:hAnsi="Times New Roman" w:eastAsia="仿宋_GB2312" w:cs="Times New Roman"/>
          <w:b w:val="0"/>
          <w:bCs w:val="0"/>
          <w:color w:val="auto"/>
          <w:sz w:val="32"/>
          <w:szCs w:val="32"/>
          <w:highlight w:val="none"/>
        </w:rPr>
        <w:t>总分设置为100分：90（含）-100分为优、80（含）-90分为良、60（含）-80分为中、60分以下为差</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详见下表：</w:t>
      </w:r>
    </w:p>
    <w:p w14:paraId="3E5D75C7">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br w:type="page"/>
      </w:r>
    </w:p>
    <w:p w14:paraId="203CD8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p>
    <w:tbl>
      <w:tblPr>
        <w:tblStyle w:val="13"/>
        <w:tblW w:w="5000" w:type="pct"/>
        <w:jc w:val="center"/>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912"/>
        <w:gridCol w:w="1912"/>
        <w:gridCol w:w="1912"/>
        <w:gridCol w:w="1912"/>
        <w:gridCol w:w="1923"/>
      </w:tblGrid>
      <w:tr w14:paraId="1D913A8C">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10" w:hRule="atLeast"/>
          <w:jc w:val="center"/>
        </w:trPr>
        <w:tc>
          <w:tcPr>
            <w:tcW w:w="5000" w:type="pct"/>
            <w:gridSpan w:val="5"/>
            <w:tcBorders>
              <w:tl2br w:val="nil"/>
              <w:tr2bl w:val="nil"/>
            </w:tcBorders>
            <w:noWrap w:val="0"/>
            <w:vAlign w:val="center"/>
          </w:tcPr>
          <w:p w14:paraId="63DA733F">
            <w:pPr>
              <w:jc w:val="center"/>
              <w:rPr>
                <w:rFonts w:hint="default" w:ascii="Times New Roman" w:hAnsi="Times New Roman" w:eastAsia="宋体" w:cs="Times New Roman"/>
                <w:b/>
                <w:bCs/>
                <w:sz w:val="22"/>
                <w:szCs w:val="22"/>
              </w:rPr>
            </w:pPr>
            <w:r>
              <w:rPr>
                <w:rFonts w:hint="default" w:ascii="Times New Roman" w:hAnsi="Times New Roman" w:eastAsia="宋体" w:cs="Times New Roman"/>
                <w:b/>
                <w:bCs/>
                <w:sz w:val="22"/>
                <w:szCs w:val="22"/>
              </w:rPr>
              <w:t>绩效评价结果评分分值与评价等级的对应关系</w:t>
            </w:r>
          </w:p>
        </w:tc>
      </w:tr>
      <w:tr w14:paraId="4C4C7CF9">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10" w:hRule="atLeast"/>
          <w:jc w:val="center"/>
        </w:trPr>
        <w:tc>
          <w:tcPr>
            <w:tcW w:w="999" w:type="pct"/>
            <w:tcBorders>
              <w:tl2br w:val="nil"/>
              <w:tr2bl w:val="nil"/>
            </w:tcBorders>
            <w:noWrap w:val="0"/>
            <w:vAlign w:val="center"/>
          </w:tcPr>
          <w:p w14:paraId="7CC47C3F">
            <w:pPr>
              <w:jc w:val="center"/>
              <w:rPr>
                <w:rFonts w:hint="default" w:ascii="Times New Roman" w:hAnsi="Times New Roman" w:eastAsia="宋体" w:cs="Times New Roman"/>
                <w:b w:val="0"/>
                <w:bCs w:val="0"/>
                <w:sz w:val="22"/>
                <w:szCs w:val="22"/>
              </w:rPr>
            </w:pPr>
            <w:r>
              <w:rPr>
                <w:rFonts w:hint="default" w:ascii="Times New Roman" w:hAnsi="Times New Roman" w:eastAsia="宋体" w:cs="Times New Roman"/>
                <w:b w:val="0"/>
                <w:bCs w:val="0"/>
                <w:sz w:val="22"/>
                <w:szCs w:val="22"/>
              </w:rPr>
              <w:t>评价等级</w:t>
            </w:r>
          </w:p>
        </w:tc>
        <w:tc>
          <w:tcPr>
            <w:tcW w:w="999" w:type="pct"/>
            <w:tcBorders>
              <w:tl2br w:val="nil"/>
              <w:tr2bl w:val="nil"/>
            </w:tcBorders>
            <w:noWrap w:val="0"/>
            <w:vAlign w:val="center"/>
          </w:tcPr>
          <w:p w14:paraId="759D0378">
            <w:pPr>
              <w:jc w:val="center"/>
              <w:rPr>
                <w:rFonts w:hint="default" w:ascii="Times New Roman" w:hAnsi="Times New Roman" w:eastAsia="宋体" w:cs="Times New Roman"/>
                <w:b w:val="0"/>
                <w:bCs w:val="0"/>
                <w:sz w:val="22"/>
                <w:szCs w:val="22"/>
              </w:rPr>
            </w:pPr>
            <w:r>
              <w:rPr>
                <w:rFonts w:hint="default" w:ascii="Times New Roman" w:hAnsi="Times New Roman" w:eastAsia="宋体" w:cs="Times New Roman"/>
                <w:b w:val="0"/>
                <w:bCs w:val="0"/>
                <w:sz w:val="22"/>
                <w:szCs w:val="22"/>
              </w:rPr>
              <w:t>优</w:t>
            </w:r>
          </w:p>
        </w:tc>
        <w:tc>
          <w:tcPr>
            <w:tcW w:w="999" w:type="pct"/>
            <w:tcBorders>
              <w:tl2br w:val="nil"/>
              <w:tr2bl w:val="nil"/>
            </w:tcBorders>
            <w:noWrap w:val="0"/>
            <w:vAlign w:val="center"/>
          </w:tcPr>
          <w:p w14:paraId="748CA997">
            <w:pPr>
              <w:jc w:val="center"/>
              <w:rPr>
                <w:rFonts w:hint="default" w:ascii="Times New Roman" w:hAnsi="Times New Roman" w:eastAsia="宋体" w:cs="Times New Roman"/>
                <w:b w:val="0"/>
                <w:bCs w:val="0"/>
                <w:sz w:val="22"/>
                <w:szCs w:val="22"/>
              </w:rPr>
            </w:pPr>
            <w:r>
              <w:rPr>
                <w:rFonts w:hint="default" w:ascii="Times New Roman" w:hAnsi="Times New Roman" w:eastAsia="宋体" w:cs="Times New Roman"/>
                <w:b w:val="0"/>
                <w:bCs w:val="0"/>
                <w:sz w:val="22"/>
                <w:szCs w:val="22"/>
              </w:rPr>
              <w:t>良</w:t>
            </w:r>
          </w:p>
        </w:tc>
        <w:tc>
          <w:tcPr>
            <w:tcW w:w="999" w:type="pct"/>
            <w:tcBorders>
              <w:tl2br w:val="nil"/>
              <w:tr2bl w:val="nil"/>
            </w:tcBorders>
            <w:noWrap w:val="0"/>
            <w:vAlign w:val="center"/>
          </w:tcPr>
          <w:p w14:paraId="2FB08D1D">
            <w:pPr>
              <w:jc w:val="center"/>
              <w:rPr>
                <w:rFonts w:hint="default" w:ascii="Times New Roman" w:hAnsi="Times New Roman" w:eastAsia="宋体" w:cs="Times New Roman"/>
                <w:b w:val="0"/>
                <w:bCs w:val="0"/>
                <w:sz w:val="22"/>
                <w:szCs w:val="22"/>
              </w:rPr>
            </w:pPr>
            <w:r>
              <w:rPr>
                <w:rFonts w:hint="default" w:ascii="Times New Roman" w:hAnsi="Times New Roman" w:eastAsia="宋体" w:cs="Times New Roman"/>
                <w:b w:val="0"/>
                <w:bCs w:val="0"/>
                <w:sz w:val="22"/>
                <w:szCs w:val="22"/>
              </w:rPr>
              <w:t>中</w:t>
            </w:r>
          </w:p>
        </w:tc>
        <w:tc>
          <w:tcPr>
            <w:tcW w:w="1002" w:type="pct"/>
            <w:tcBorders>
              <w:tl2br w:val="nil"/>
              <w:tr2bl w:val="nil"/>
            </w:tcBorders>
            <w:noWrap w:val="0"/>
            <w:vAlign w:val="center"/>
          </w:tcPr>
          <w:p w14:paraId="71E8700D">
            <w:pPr>
              <w:jc w:val="center"/>
              <w:rPr>
                <w:rFonts w:hint="default" w:ascii="Times New Roman" w:hAnsi="Times New Roman" w:eastAsia="宋体" w:cs="Times New Roman"/>
                <w:b w:val="0"/>
                <w:bCs w:val="0"/>
                <w:sz w:val="22"/>
                <w:szCs w:val="22"/>
              </w:rPr>
            </w:pPr>
            <w:r>
              <w:rPr>
                <w:rFonts w:hint="default" w:ascii="Times New Roman" w:hAnsi="Times New Roman" w:eastAsia="宋体" w:cs="Times New Roman"/>
                <w:b w:val="0"/>
                <w:bCs w:val="0"/>
                <w:sz w:val="22"/>
                <w:szCs w:val="22"/>
              </w:rPr>
              <w:t>差</w:t>
            </w:r>
          </w:p>
        </w:tc>
      </w:tr>
      <w:tr w14:paraId="7CDDBE53">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10" w:hRule="atLeast"/>
          <w:jc w:val="center"/>
        </w:trPr>
        <w:tc>
          <w:tcPr>
            <w:tcW w:w="999" w:type="pct"/>
            <w:tcBorders>
              <w:tl2br w:val="nil"/>
              <w:tr2bl w:val="nil"/>
            </w:tcBorders>
            <w:noWrap w:val="0"/>
            <w:vAlign w:val="center"/>
          </w:tcPr>
          <w:p w14:paraId="33A90A36">
            <w:pPr>
              <w:jc w:val="center"/>
              <w:rPr>
                <w:rFonts w:hint="default" w:ascii="Times New Roman" w:hAnsi="Times New Roman" w:eastAsia="宋体" w:cs="Times New Roman"/>
                <w:b w:val="0"/>
                <w:bCs w:val="0"/>
                <w:sz w:val="22"/>
                <w:szCs w:val="22"/>
              </w:rPr>
            </w:pPr>
            <w:r>
              <w:rPr>
                <w:rFonts w:hint="default" w:ascii="Times New Roman" w:hAnsi="Times New Roman" w:eastAsia="宋体" w:cs="Times New Roman"/>
                <w:b w:val="0"/>
                <w:bCs w:val="0"/>
                <w:sz w:val="22"/>
                <w:szCs w:val="22"/>
              </w:rPr>
              <w:t>评分分值（S）</w:t>
            </w:r>
          </w:p>
        </w:tc>
        <w:tc>
          <w:tcPr>
            <w:tcW w:w="999" w:type="pct"/>
            <w:tcBorders>
              <w:tl2br w:val="nil"/>
              <w:tr2bl w:val="nil"/>
            </w:tcBorders>
            <w:noWrap w:val="0"/>
            <w:vAlign w:val="center"/>
          </w:tcPr>
          <w:p w14:paraId="0BF5C02B">
            <w:pPr>
              <w:jc w:val="center"/>
              <w:rPr>
                <w:rFonts w:hint="default" w:ascii="Times New Roman" w:hAnsi="Times New Roman" w:eastAsia="宋体" w:cs="Times New Roman"/>
                <w:b w:val="0"/>
                <w:bCs w:val="0"/>
                <w:sz w:val="22"/>
                <w:szCs w:val="22"/>
              </w:rPr>
            </w:pPr>
            <w:r>
              <w:rPr>
                <w:rFonts w:hint="default" w:ascii="Times New Roman" w:hAnsi="Times New Roman" w:eastAsia="宋体" w:cs="Times New Roman"/>
                <w:b w:val="0"/>
                <w:bCs w:val="0"/>
                <w:sz w:val="22"/>
                <w:szCs w:val="22"/>
              </w:rPr>
              <w:t>S≥90</w:t>
            </w:r>
          </w:p>
        </w:tc>
        <w:tc>
          <w:tcPr>
            <w:tcW w:w="999" w:type="pct"/>
            <w:tcBorders>
              <w:tl2br w:val="nil"/>
              <w:tr2bl w:val="nil"/>
            </w:tcBorders>
            <w:noWrap w:val="0"/>
            <w:vAlign w:val="center"/>
          </w:tcPr>
          <w:p w14:paraId="3ABBD52A">
            <w:pPr>
              <w:jc w:val="center"/>
              <w:rPr>
                <w:rFonts w:hint="default" w:ascii="Times New Roman" w:hAnsi="Times New Roman" w:eastAsia="宋体" w:cs="Times New Roman"/>
                <w:b w:val="0"/>
                <w:bCs w:val="0"/>
                <w:sz w:val="22"/>
                <w:szCs w:val="22"/>
              </w:rPr>
            </w:pPr>
            <w:r>
              <w:rPr>
                <w:rFonts w:hint="default" w:ascii="Times New Roman" w:hAnsi="Times New Roman" w:eastAsia="宋体" w:cs="Times New Roman"/>
                <w:b w:val="0"/>
                <w:bCs w:val="0"/>
                <w:sz w:val="22"/>
                <w:szCs w:val="22"/>
              </w:rPr>
              <w:t>80≤S＜90</w:t>
            </w:r>
          </w:p>
        </w:tc>
        <w:tc>
          <w:tcPr>
            <w:tcW w:w="999" w:type="pct"/>
            <w:tcBorders>
              <w:tl2br w:val="nil"/>
              <w:tr2bl w:val="nil"/>
            </w:tcBorders>
            <w:noWrap w:val="0"/>
            <w:vAlign w:val="center"/>
          </w:tcPr>
          <w:p w14:paraId="29C77DB6">
            <w:pPr>
              <w:jc w:val="center"/>
              <w:rPr>
                <w:rFonts w:hint="default" w:ascii="Times New Roman" w:hAnsi="Times New Roman" w:eastAsia="宋体" w:cs="Times New Roman"/>
                <w:b w:val="0"/>
                <w:bCs w:val="0"/>
                <w:sz w:val="22"/>
                <w:szCs w:val="22"/>
              </w:rPr>
            </w:pPr>
            <w:r>
              <w:rPr>
                <w:rFonts w:hint="default" w:ascii="Times New Roman" w:hAnsi="Times New Roman" w:eastAsia="宋体" w:cs="Times New Roman"/>
                <w:b w:val="0"/>
                <w:bCs w:val="0"/>
                <w:sz w:val="22"/>
                <w:szCs w:val="22"/>
                <w:lang w:val="en-US" w:eastAsia="zh-CN"/>
              </w:rPr>
              <w:t>60</w:t>
            </w:r>
            <w:r>
              <w:rPr>
                <w:rFonts w:hint="default" w:ascii="Times New Roman" w:hAnsi="Times New Roman" w:eastAsia="宋体" w:cs="Times New Roman"/>
                <w:b w:val="0"/>
                <w:bCs w:val="0"/>
                <w:sz w:val="22"/>
                <w:szCs w:val="22"/>
              </w:rPr>
              <w:t>≤S＜80</w:t>
            </w:r>
          </w:p>
        </w:tc>
        <w:tc>
          <w:tcPr>
            <w:tcW w:w="1002" w:type="pct"/>
            <w:tcBorders>
              <w:tl2br w:val="nil"/>
              <w:tr2bl w:val="nil"/>
            </w:tcBorders>
            <w:noWrap w:val="0"/>
            <w:vAlign w:val="center"/>
          </w:tcPr>
          <w:p w14:paraId="1B6A339D">
            <w:pPr>
              <w:jc w:val="center"/>
              <w:rPr>
                <w:rFonts w:hint="default" w:ascii="Times New Roman" w:hAnsi="Times New Roman" w:eastAsia="宋体" w:cs="Times New Roman"/>
                <w:b w:val="0"/>
                <w:bCs w:val="0"/>
                <w:sz w:val="22"/>
                <w:szCs w:val="22"/>
                <w:lang w:val="en-US" w:eastAsia="zh-CN"/>
              </w:rPr>
            </w:pPr>
            <w:r>
              <w:rPr>
                <w:rFonts w:hint="default" w:ascii="Times New Roman" w:hAnsi="Times New Roman" w:eastAsia="宋体" w:cs="Times New Roman"/>
                <w:b w:val="0"/>
                <w:bCs w:val="0"/>
                <w:sz w:val="22"/>
                <w:szCs w:val="22"/>
              </w:rPr>
              <w:t>S＜</w:t>
            </w:r>
            <w:r>
              <w:rPr>
                <w:rFonts w:hint="default" w:ascii="Times New Roman" w:hAnsi="Times New Roman" w:eastAsia="宋体" w:cs="Times New Roman"/>
                <w:b w:val="0"/>
                <w:bCs w:val="0"/>
                <w:sz w:val="22"/>
                <w:szCs w:val="22"/>
                <w:lang w:val="en-US" w:eastAsia="zh-CN"/>
              </w:rPr>
              <w:t>60</w:t>
            </w:r>
          </w:p>
        </w:tc>
      </w:tr>
    </w:tbl>
    <w:p w14:paraId="6A08C037">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outlineLvl w:val="1"/>
        <w:rPr>
          <w:rFonts w:hint="default" w:ascii="Times New Roman" w:hAnsi="Times New Roman" w:eastAsia="楷体_GB2312" w:cs="Times New Roman"/>
          <w:color w:val="auto"/>
          <w:sz w:val="32"/>
          <w:szCs w:val="32"/>
          <w:highlight w:val="none"/>
          <w:lang w:val="en-US" w:eastAsia="zh-CN"/>
        </w:rPr>
      </w:pPr>
      <w:bookmarkStart w:id="34" w:name="_Toc4454"/>
      <w:bookmarkStart w:id="35" w:name="_Toc22227"/>
      <w:bookmarkStart w:id="36" w:name="_Toc834"/>
      <w:bookmarkStart w:id="37" w:name="_Toc30340"/>
      <w:r>
        <w:rPr>
          <w:rFonts w:hint="default" w:ascii="Times New Roman" w:hAnsi="Times New Roman" w:eastAsia="楷体_GB2312" w:cs="Times New Roman"/>
          <w:color w:val="auto"/>
          <w:sz w:val="32"/>
          <w:szCs w:val="32"/>
          <w:highlight w:val="none"/>
          <w:lang w:val="en-US" w:eastAsia="zh-CN"/>
        </w:rPr>
        <w:t>（三）评价组织实施与评价方法</w:t>
      </w:r>
      <w:bookmarkEnd w:id="34"/>
      <w:bookmarkEnd w:id="35"/>
      <w:bookmarkEnd w:id="36"/>
      <w:bookmarkEnd w:id="37"/>
    </w:p>
    <w:p w14:paraId="76BE9C3F">
      <w:pPr>
        <w:keepNext w:val="0"/>
        <w:keepLines w:val="0"/>
        <w:pageBreakBefore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b/>
          <w:bCs/>
          <w:color w:val="auto"/>
          <w:kern w:val="0"/>
          <w:sz w:val="32"/>
          <w:szCs w:val="32"/>
          <w:highlight w:val="none"/>
          <w:lang w:val="en-US" w:eastAsia="zh-CN" w:bidi="ar-SA"/>
        </w:rPr>
      </w:pPr>
      <w:r>
        <w:rPr>
          <w:rFonts w:hint="default" w:ascii="Times New Roman" w:hAnsi="Times New Roman" w:eastAsia="仿宋_GB2312" w:cs="Times New Roman"/>
          <w:b/>
          <w:bCs/>
          <w:color w:val="auto"/>
          <w:kern w:val="0"/>
          <w:sz w:val="32"/>
          <w:szCs w:val="32"/>
          <w:highlight w:val="none"/>
          <w:lang w:val="en-US" w:eastAsia="zh-CN" w:bidi="ar-SA"/>
        </w:rPr>
        <w:t>1.评价组织实施</w:t>
      </w:r>
    </w:p>
    <w:p w14:paraId="6B62F158">
      <w:pPr>
        <w:spacing w:line="600" w:lineRule="exact"/>
        <w:ind w:firstLine="640" w:firstLineChars="200"/>
        <w:rPr>
          <w:rFonts w:hint="eastAsia" w:ascii="Times New Roman Regular" w:hAnsi="Times New Roman Regular" w:eastAsia="仿宋_GB2312" w:cs="Times New Roman Regular"/>
          <w:kern w:val="0"/>
          <w:sz w:val="32"/>
          <w:szCs w:val="32"/>
          <w:lang w:eastAsia="zh-CN"/>
        </w:rPr>
      </w:pPr>
      <w:r>
        <w:rPr>
          <w:rFonts w:ascii="Times New Roman Regular" w:hAnsi="Times New Roman Regular" w:eastAsia="仿宋_GB2312" w:cs="Times New Roman Regular"/>
          <w:sz w:val="32"/>
          <w:szCs w:val="32"/>
        </w:rPr>
        <w:t>绩效评价工作主要包括前期准备、制定评价实施方案、现场评价、撰写与提交绩效评价报告等内容</w:t>
      </w:r>
      <w:r>
        <w:rPr>
          <w:rFonts w:ascii="Times New Roman Regular" w:hAnsi="Times New Roman Regular" w:eastAsia="仿宋_GB2312" w:cs="Times New Roman Regular"/>
          <w:kern w:val="0"/>
          <w:sz w:val="32"/>
          <w:szCs w:val="32"/>
        </w:rPr>
        <w:t>，</w:t>
      </w:r>
      <w:r>
        <w:rPr>
          <w:rFonts w:hint="eastAsia" w:ascii="Times New Roman Regular" w:hAnsi="Times New Roman Regular" w:eastAsia="仿宋_GB2312" w:cs="Times New Roman Regular"/>
          <w:kern w:val="0"/>
          <w:sz w:val="32"/>
          <w:szCs w:val="32"/>
          <w:lang w:val="en-US" w:eastAsia="zh-CN"/>
        </w:rPr>
        <w:t>根据</w:t>
      </w:r>
      <w:r>
        <w:rPr>
          <w:rFonts w:hint="eastAsia" w:ascii="Times New Roman" w:hAnsi="Times New Roman" w:eastAsia="仿宋_GB2312" w:cs="Times New Roman"/>
          <w:color w:val="auto"/>
          <w:sz w:val="32"/>
          <w:szCs w:val="32"/>
          <w:highlight w:val="none"/>
          <w:lang w:val="en-US" w:eastAsia="zh-CN"/>
        </w:rPr>
        <w:t>《2025年市级财政重点绩效评价实施方案》等文件要求，</w:t>
      </w:r>
      <w:r>
        <w:rPr>
          <w:rFonts w:ascii="Times New Roman Regular" w:hAnsi="Times New Roman Regular" w:eastAsia="仿宋_GB2312" w:cs="Times New Roman Regular"/>
          <w:kern w:val="0"/>
          <w:sz w:val="32"/>
          <w:szCs w:val="32"/>
        </w:rPr>
        <w:t>具体</w:t>
      </w:r>
      <w:r>
        <w:rPr>
          <w:rFonts w:hint="eastAsia" w:ascii="Times New Roman Regular" w:hAnsi="Times New Roman Regular" w:eastAsia="仿宋_GB2312" w:cs="Times New Roman Regular"/>
          <w:kern w:val="0"/>
          <w:sz w:val="32"/>
          <w:szCs w:val="32"/>
          <w:lang w:val="en-US" w:eastAsia="zh-CN"/>
        </w:rPr>
        <w:t>内容</w:t>
      </w:r>
      <w:r>
        <w:rPr>
          <w:rFonts w:ascii="Times New Roman Regular" w:hAnsi="Times New Roman Regular" w:eastAsia="仿宋_GB2312" w:cs="Times New Roman Regular"/>
          <w:kern w:val="0"/>
          <w:sz w:val="32"/>
          <w:szCs w:val="32"/>
        </w:rPr>
        <w:t>见</w:t>
      </w:r>
      <w:r>
        <w:rPr>
          <w:rFonts w:hint="eastAsia" w:ascii="Times New Roman Regular" w:hAnsi="Times New Roman Regular" w:eastAsia="仿宋_GB2312" w:cs="Times New Roman Regular"/>
          <w:kern w:val="0"/>
          <w:sz w:val="32"/>
          <w:szCs w:val="32"/>
          <w:lang w:val="en-US" w:eastAsia="zh-CN"/>
        </w:rPr>
        <w:t>下</w:t>
      </w:r>
      <w:r>
        <w:rPr>
          <w:rFonts w:ascii="Times New Roman Regular" w:hAnsi="Times New Roman Regular" w:eastAsia="仿宋_GB2312" w:cs="Times New Roman Regular"/>
          <w:kern w:val="0"/>
          <w:sz w:val="32"/>
          <w:szCs w:val="32"/>
        </w:rPr>
        <w:t>表</w:t>
      </w:r>
      <w:r>
        <w:rPr>
          <w:rFonts w:hint="eastAsia" w:ascii="Times New Roman Regular" w:hAnsi="Times New Roman Regular" w:eastAsia="仿宋_GB2312" w:cs="Times New Roman Regular"/>
          <w:kern w:val="0"/>
          <w:sz w:val="32"/>
          <w:szCs w:val="32"/>
          <w:lang w:eastAsia="zh-CN"/>
        </w:rPr>
        <w:t>：</w:t>
      </w:r>
    </w:p>
    <w:p w14:paraId="65D5757E">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567"/>
        <w:jc w:val="center"/>
        <w:textAlignment w:val="auto"/>
        <w:rPr>
          <w:rFonts w:ascii="Times New Roman" w:hAnsi="Times New Roman" w:eastAsia="仿宋_GB2312"/>
          <w:b/>
          <w:bCs/>
          <w:sz w:val="24"/>
          <w:szCs w:val="24"/>
        </w:rPr>
      </w:pPr>
      <w:r>
        <w:rPr>
          <w:rFonts w:ascii="Times New Roman Regular" w:hAnsi="Times New Roman Regular" w:eastAsia="黑体" w:cs="Times New Roman Regular"/>
          <w:sz w:val="24"/>
          <w:szCs w:val="24"/>
        </w:rPr>
        <w:t>评价实施</w:t>
      </w:r>
      <w:r>
        <w:rPr>
          <w:rFonts w:hint="eastAsia" w:ascii="Times New Roman Regular" w:hAnsi="Times New Roman Regular" w:eastAsia="黑体" w:cs="Times New Roman Regular"/>
          <w:sz w:val="24"/>
          <w:szCs w:val="24"/>
          <w:lang w:val="en-US" w:eastAsia="zh-CN"/>
        </w:rPr>
        <w:t>内容</w:t>
      </w:r>
      <w:r>
        <w:rPr>
          <w:rFonts w:ascii="Times New Roman Regular" w:hAnsi="Times New Roman Regular" w:eastAsia="黑体" w:cs="Times New Roman Regular"/>
          <w:sz w:val="24"/>
          <w:szCs w:val="24"/>
        </w:rPr>
        <w:t>及工作安排表</w:t>
      </w:r>
    </w:p>
    <w:tbl>
      <w:tblPr>
        <w:tblStyle w:val="13"/>
        <w:tblW w:w="4998"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shd w:val="clear" w:color="auto" w:fill="FFFFFF" w:themeFill="background1"/>
        <w:tblLayout w:type="autofit"/>
        <w:tblCellMar>
          <w:top w:w="0" w:type="dxa"/>
          <w:left w:w="108" w:type="dxa"/>
          <w:bottom w:w="0" w:type="dxa"/>
          <w:right w:w="108" w:type="dxa"/>
        </w:tblCellMar>
      </w:tblPr>
      <w:tblGrid>
        <w:gridCol w:w="1104"/>
        <w:gridCol w:w="2241"/>
        <w:gridCol w:w="6222"/>
      </w:tblGrid>
      <w:tr w14:paraId="1E5A3B97">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shd w:val="clear" w:color="auto" w:fill="FFFFFF" w:themeFill="background1"/>
          <w:tblCellMar>
            <w:top w:w="0" w:type="dxa"/>
            <w:left w:w="108" w:type="dxa"/>
            <w:bottom w:w="0" w:type="dxa"/>
            <w:right w:w="108" w:type="dxa"/>
          </w:tblCellMar>
        </w:tblPrEx>
        <w:trPr>
          <w:trHeight w:val="471" w:hRule="atLeast"/>
          <w:tblHeader/>
        </w:trPr>
        <w:tc>
          <w:tcPr>
            <w:tcW w:w="577" w:type="pct"/>
            <w:tcBorders>
              <w:tl2br w:val="nil"/>
              <w:tr2bl w:val="nil"/>
            </w:tcBorders>
            <w:shd w:val="clear" w:color="auto" w:fill="FFFFFF" w:themeFill="background1"/>
            <w:vAlign w:val="center"/>
          </w:tcPr>
          <w:p w14:paraId="068F7F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171" w:type="pct"/>
            <w:tcBorders>
              <w:tl2br w:val="nil"/>
              <w:tr2bl w:val="nil"/>
            </w:tcBorders>
            <w:shd w:val="clear" w:color="auto" w:fill="FFFFFF" w:themeFill="background1"/>
            <w:vAlign w:val="center"/>
          </w:tcPr>
          <w:p w14:paraId="74C657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工作程序</w:t>
            </w:r>
          </w:p>
        </w:tc>
        <w:tc>
          <w:tcPr>
            <w:tcW w:w="3251" w:type="pct"/>
            <w:tcBorders>
              <w:tl2br w:val="nil"/>
              <w:tr2bl w:val="nil"/>
            </w:tcBorders>
            <w:shd w:val="clear" w:color="auto" w:fill="FFFFFF" w:themeFill="background1"/>
            <w:vAlign w:val="center"/>
          </w:tcPr>
          <w:p w14:paraId="761E52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工作内容</w:t>
            </w:r>
          </w:p>
        </w:tc>
      </w:tr>
      <w:tr w14:paraId="3E8B5574">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1270" w:hRule="atLeast"/>
        </w:trPr>
        <w:tc>
          <w:tcPr>
            <w:tcW w:w="577" w:type="pct"/>
            <w:tcBorders>
              <w:tl2br w:val="nil"/>
              <w:tr2bl w:val="nil"/>
            </w:tcBorders>
            <w:shd w:val="clear" w:color="auto" w:fill="FFFFFF" w:themeFill="background1"/>
            <w:vAlign w:val="center"/>
          </w:tcPr>
          <w:p w14:paraId="2E32EF35">
            <w:pPr>
              <w:pStyle w:val="26"/>
              <w:tabs>
                <w:tab w:val="left" w:pos="753"/>
              </w:tabs>
              <w:snapToGrid w:val="0"/>
              <w:jc w:val="center"/>
              <w:rPr>
                <w:rFonts w:hint="eastAsia" w:ascii="宋体" w:hAnsi="宋体" w:cs="宋体"/>
                <w:kern w:val="0"/>
                <w:sz w:val="22"/>
                <w:szCs w:val="22"/>
              </w:rPr>
            </w:pPr>
            <w:r>
              <w:rPr>
                <w:rFonts w:hint="eastAsia" w:ascii="宋体" w:hAnsi="宋体" w:cs="宋体"/>
                <w:kern w:val="0"/>
                <w:sz w:val="22"/>
                <w:szCs w:val="22"/>
              </w:rPr>
              <w:t>1</w:t>
            </w:r>
          </w:p>
        </w:tc>
        <w:tc>
          <w:tcPr>
            <w:tcW w:w="1171" w:type="pct"/>
            <w:tcBorders>
              <w:tl2br w:val="nil"/>
              <w:tr2bl w:val="nil"/>
            </w:tcBorders>
            <w:shd w:val="clear" w:color="auto" w:fill="FFFFFF" w:themeFill="background1"/>
            <w:vAlign w:val="center"/>
          </w:tcPr>
          <w:p w14:paraId="3A4D212A">
            <w:pPr>
              <w:pStyle w:val="26"/>
              <w:tabs>
                <w:tab w:val="left" w:pos="753"/>
              </w:tabs>
              <w:snapToGrid w:val="0"/>
              <w:jc w:val="center"/>
              <w:rPr>
                <w:rFonts w:hint="eastAsia" w:ascii="宋体" w:hAnsi="宋体" w:cs="宋体"/>
                <w:kern w:val="0"/>
                <w:sz w:val="22"/>
                <w:szCs w:val="22"/>
              </w:rPr>
            </w:pPr>
            <w:r>
              <w:rPr>
                <w:rFonts w:hint="eastAsia" w:ascii="宋体" w:hAnsi="宋体" w:cs="宋体"/>
                <w:kern w:val="0"/>
                <w:sz w:val="22"/>
                <w:szCs w:val="22"/>
              </w:rPr>
              <w:t>前期准备</w:t>
            </w:r>
          </w:p>
        </w:tc>
        <w:tc>
          <w:tcPr>
            <w:tcW w:w="3251" w:type="pct"/>
            <w:tcBorders>
              <w:tl2br w:val="nil"/>
              <w:tr2bl w:val="nil"/>
            </w:tcBorders>
            <w:shd w:val="clear" w:color="auto" w:fill="FFFFFF" w:themeFill="background1"/>
            <w:vAlign w:val="center"/>
          </w:tcPr>
          <w:p w14:paraId="6BBDC5C9">
            <w:pPr>
              <w:pStyle w:val="26"/>
              <w:tabs>
                <w:tab w:val="left" w:pos="753"/>
              </w:tabs>
              <w:snapToGrid w:val="0"/>
              <w:jc w:val="left"/>
              <w:rPr>
                <w:rFonts w:hint="eastAsia" w:ascii="宋体" w:hAnsi="宋体" w:cs="宋体"/>
                <w:kern w:val="0"/>
                <w:sz w:val="22"/>
                <w:szCs w:val="22"/>
              </w:rPr>
            </w:pPr>
            <w:r>
              <w:rPr>
                <w:rFonts w:hint="eastAsia" w:ascii="宋体" w:hAnsi="宋体" w:cs="宋体"/>
                <w:kern w:val="0"/>
                <w:sz w:val="22"/>
                <w:szCs w:val="22"/>
              </w:rPr>
              <w:t>组建绩效评价组。了解被评价项目及相关单位业务情况，收集相关资料，充分了解项目立项、预算安排、实施内容、组织管理、绩效目标设置等内容，为编制评价方案奠定基础。</w:t>
            </w:r>
          </w:p>
        </w:tc>
      </w:tr>
      <w:tr w14:paraId="1F07111C">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471" w:hRule="atLeast"/>
        </w:trPr>
        <w:tc>
          <w:tcPr>
            <w:tcW w:w="577" w:type="pct"/>
            <w:tcBorders>
              <w:tl2br w:val="nil"/>
              <w:tr2bl w:val="nil"/>
            </w:tcBorders>
            <w:shd w:val="clear" w:color="auto" w:fill="FFFFFF" w:themeFill="background1"/>
            <w:vAlign w:val="center"/>
          </w:tcPr>
          <w:p w14:paraId="3595C910">
            <w:pPr>
              <w:pStyle w:val="26"/>
              <w:tabs>
                <w:tab w:val="left" w:pos="753"/>
              </w:tabs>
              <w:snapToGrid w:val="0"/>
              <w:jc w:val="center"/>
              <w:rPr>
                <w:rFonts w:hint="eastAsia" w:ascii="宋体" w:hAnsi="宋体" w:cs="宋体"/>
                <w:kern w:val="0"/>
                <w:sz w:val="22"/>
                <w:szCs w:val="22"/>
              </w:rPr>
            </w:pPr>
            <w:r>
              <w:rPr>
                <w:rFonts w:hint="eastAsia" w:ascii="宋体" w:hAnsi="宋体" w:cs="宋体"/>
                <w:kern w:val="0"/>
                <w:sz w:val="22"/>
                <w:szCs w:val="22"/>
              </w:rPr>
              <w:t>2</w:t>
            </w:r>
          </w:p>
        </w:tc>
        <w:tc>
          <w:tcPr>
            <w:tcW w:w="1171" w:type="pct"/>
            <w:tcBorders>
              <w:tl2br w:val="nil"/>
              <w:tr2bl w:val="nil"/>
            </w:tcBorders>
            <w:shd w:val="clear" w:color="auto" w:fill="FFFFFF" w:themeFill="background1"/>
            <w:vAlign w:val="center"/>
          </w:tcPr>
          <w:p w14:paraId="7ADF518D">
            <w:pPr>
              <w:pStyle w:val="26"/>
              <w:tabs>
                <w:tab w:val="left" w:pos="753"/>
              </w:tabs>
              <w:snapToGrid w:val="0"/>
              <w:jc w:val="center"/>
              <w:rPr>
                <w:rFonts w:hint="eastAsia" w:ascii="宋体" w:hAnsi="宋体" w:cs="宋体"/>
                <w:kern w:val="0"/>
                <w:sz w:val="22"/>
                <w:szCs w:val="22"/>
              </w:rPr>
            </w:pPr>
            <w:r>
              <w:rPr>
                <w:rFonts w:hint="eastAsia" w:ascii="宋体" w:hAnsi="宋体" w:cs="宋体"/>
                <w:kern w:val="0"/>
                <w:sz w:val="22"/>
                <w:szCs w:val="22"/>
              </w:rPr>
              <w:t>制定评价实施方案</w:t>
            </w:r>
          </w:p>
        </w:tc>
        <w:tc>
          <w:tcPr>
            <w:tcW w:w="3251" w:type="pct"/>
            <w:tcBorders>
              <w:tl2br w:val="nil"/>
              <w:tr2bl w:val="nil"/>
            </w:tcBorders>
            <w:shd w:val="clear" w:color="auto" w:fill="FFFFFF" w:themeFill="background1"/>
            <w:vAlign w:val="center"/>
          </w:tcPr>
          <w:p w14:paraId="72019223">
            <w:pPr>
              <w:pStyle w:val="26"/>
              <w:tabs>
                <w:tab w:val="left" w:pos="753"/>
              </w:tabs>
              <w:snapToGrid w:val="0"/>
              <w:jc w:val="left"/>
              <w:rPr>
                <w:rFonts w:hint="eastAsia" w:ascii="宋体" w:hAnsi="宋体" w:cs="宋体"/>
                <w:kern w:val="0"/>
                <w:sz w:val="22"/>
                <w:szCs w:val="22"/>
              </w:rPr>
            </w:pPr>
            <w:r>
              <w:rPr>
                <w:rFonts w:hint="eastAsia" w:ascii="宋体" w:hAnsi="宋体" w:cs="宋体"/>
                <w:kern w:val="0"/>
                <w:sz w:val="22"/>
                <w:szCs w:val="22"/>
              </w:rPr>
              <w:t>在调研、了解评价项目基本情况的基础上，对收集的材料进行整理分析，根据具体项目实际情况和绩效管理要求撰写评价方案并报送论证。</w:t>
            </w:r>
          </w:p>
        </w:tc>
      </w:tr>
      <w:tr w14:paraId="375CFA2A">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1036" w:hRule="atLeast"/>
        </w:trPr>
        <w:tc>
          <w:tcPr>
            <w:tcW w:w="577" w:type="pct"/>
            <w:tcBorders>
              <w:tl2br w:val="nil"/>
              <w:tr2bl w:val="nil"/>
            </w:tcBorders>
            <w:shd w:val="clear" w:color="auto" w:fill="FFFFFF" w:themeFill="background1"/>
            <w:vAlign w:val="center"/>
          </w:tcPr>
          <w:p w14:paraId="41528451">
            <w:pPr>
              <w:pStyle w:val="26"/>
              <w:tabs>
                <w:tab w:val="left" w:pos="753"/>
              </w:tabs>
              <w:snapToGrid w:val="0"/>
              <w:jc w:val="center"/>
              <w:rPr>
                <w:rFonts w:hint="eastAsia" w:ascii="宋体" w:hAnsi="宋体" w:cs="宋体"/>
                <w:kern w:val="0"/>
                <w:sz w:val="22"/>
                <w:szCs w:val="22"/>
              </w:rPr>
            </w:pPr>
            <w:r>
              <w:rPr>
                <w:rFonts w:hint="eastAsia" w:ascii="宋体" w:hAnsi="宋体" w:cs="宋体"/>
                <w:kern w:val="0"/>
                <w:sz w:val="22"/>
                <w:szCs w:val="22"/>
              </w:rPr>
              <w:t>3</w:t>
            </w:r>
          </w:p>
        </w:tc>
        <w:tc>
          <w:tcPr>
            <w:tcW w:w="1171" w:type="pct"/>
            <w:tcBorders>
              <w:tl2br w:val="nil"/>
              <w:tr2bl w:val="nil"/>
            </w:tcBorders>
            <w:shd w:val="clear" w:color="auto" w:fill="FFFFFF" w:themeFill="background1"/>
            <w:vAlign w:val="center"/>
          </w:tcPr>
          <w:p w14:paraId="0191BB59">
            <w:pPr>
              <w:pStyle w:val="26"/>
              <w:tabs>
                <w:tab w:val="left" w:pos="753"/>
              </w:tabs>
              <w:snapToGrid w:val="0"/>
              <w:jc w:val="center"/>
              <w:rPr>
                <w:rFonts w:hint="eastAsia" w:ascii="宋体" w:hAnsi="宋体" w:cs="宋体"/>
                <w:kern w:val="0"/>
                <w:sz w:val="22"/>
                <w:szCs w:val="22"/>
              </w:rPr>
            </w:pPr>
            <w:r>
              <w:rPr>
                <w:rFonts w:hint="eastAsia" w:ascii="宋体" w:hAnsi="宋体" w:cs="宋体"/>
                <w:kern w:val="0"/>
                <w:sz w:val="22"/>
                <w:szCs w:val="22"/>
              </w:rPr>
              <w:t>现场评价</w:t>
            </w:r>
          </w:p>
        </w:tc>
        <w:tc>
          <w:tcPr>
            <w:tcW w:w="3251" w:type="pct"/>
            <w:tcBorders>
              <w:tl2br w:val="nil"/>
              <w:tr2bl w:val="nil"/>
            </w:tcBorders>
            <w:shd w:val="clear" w:color="auto" w:fill="FFFFFF" w:themeFill="background1"/>
            <w:vAlign w:val="center"/>
          </w:tcPr>
          <w:p w14:paraId="1743122F">
            <w:pPr>
              <w:pStyle w:val="26"/>
              <w:tabs>
                <w:tab w:val="left" w:pos="753"/>
              </w:tabs>
              <w:snapToGrid w:val="0"/>
              <w:jc w:val="left"/>
              <w:rPr>
                <w:rFonts w:hint="eastAsia" w:ascii="宋体" w:hAnsi="宋体" w:cs="宋体"/>
                <w:kern w:val="0"/>
                <w:sz w:val="22"/>
                <w:szCs w:val="22"/>
              </w:rPr>
            </w:pPr>
            <w:r>
              <w:rPr>
                <w:rFonts w:hint="eastAsia" w:ascii="宋体" w:hAnsi="宋体" w:cs="宋体"/>
                <w:kern w:val="0"/>
                <w:sz w:val="22"/>
                <w:szCs w:val="22"/>
              </w:rPr>
              <w:t>根据具体评价要求确定现场评价抽样范围，组成现场评价工作小组，对项目进行实地勘察、资料核实、</w:t>
            </w:r>
            <w:r>
              <w:rPr>
                <w:rFonts w:hint="eastAsia" w:ascii="宋体" w:hAnsi="宋体" w:cs="宋体"/>
                <w:kern w:val="0"/>
                <w:sz w:val="22"/>
                <w:szCs w:val="22"/>
                <w:lang w:val="en-US" w:eastAsia="zh-CN"/>
              </w:rPr>
              <w:t>问卷调查</w:t>
            </w:r>
            <w:r>
              <w:rPr>
                <w:rFonts w:hint="eastAsia" w:ascii="宋体" w:hAnsi="宋体" w:cs="宋体"/>
                <w:kern w:val="0"/>
                <w:sz w:val="22"/>
                <w:szCs w:val="22"/>
              </w:rPr>
              <w:t>、分析评价等。</w:t>
            </w:r>
          </w:p>
        </w:tc>
      </w:tr>
      <w:tr w14:paraId="6C0EB2F8">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90" w:hRule="atLeast"/>
        </w:trPr>
        <w:tc>
          <w:tcPr>
            <w:tcW w:w="577" w:type="pct"/>
            <w:tcBorders>
              <w:tl2br w:val="nil"/>
              <w:tr2bl w:val="nil"/>
            </w:tcBorders>
            <w:shd w:val="clear" w:color="auto" w:fill="FFFFFF" w:themeFill="background1"/>
            <w:vAlign w:val="center"/>
          </w:tcPr>
          <w:p w14:paraId="027B5EFE">
            <w:pPr>
              <w:pStyle w:val="26"/>
              <w:tabs>
                <w:tab w:val="left" w:pos="753"/>
              </w:tabs>
              <w:snapToGrid w:val="0"/>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4</w:t>
            </w:r>
          </w:p>
        </w:tc>
        <w:tc>
          <w:tcPr>
            <w:tcW w:w="1171" w:type="pct"/>
            <w:tcBorders>
              <w:tl2br w:val="nil"/>
              <w:tr2bl w:val="nil"/>
            </w:tcBorders>
            <w:shd w:val="clear" w:color="auto" w:fill="FFFFFF" w:themeFill="background1"/>
            <w:vAlign w:val="center"/>
          </w:tcPr>
          <w:p w14:paraId="33C6E190">
            <w:pPr>
              <w:pStyle w:val="26"/>
              <w:tabs>
                <w:tab w:val="left" w:pos="753"/>
              </w:tabs>
              <w:snapToGrid w:val="0"/>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非现场评价</w:t>
            </w:r>
          </w:p>
        </w:tc>
        <w:tc>
          <w:tcPr>
            <w:tcW w:w="3251" w:type="pct"/>
            <w:tcBorders>
              <w:tl2br w:val="nil"/>
              <w:tr2bl w:val="nil"/>
            </w:tcBorders>
            <w:shd w:val="clear" w:color="auto" w:fill="FFFFFF" w:themeFill="background1"/>
            <w:vAlign w:val="center"/>
          </w:tcPr>
          <w:p w14:paraId="04B8F649">
            <w:pPr>
              <w:pStyle w:val="26"/>
              <w:tabs>
                <w:tab w:val="left" w:pos="753"/>
              </w:tabs>
              <w:snapToGrid w:val="0"/>
              <w:jc w:val="left"/>
              <w:rPr>
                <w:rFonts w:hint="eastAsia" w:ascii="宋体" w:hAnsi="宋体" w:eastAsia="宋体" w:cs="宋体"/>
                <w:kern w:val="0"/>
                <w:sz w:val="22"/>
                <w:szCs w:val="22"/>
                <w:u w:val="none"/>
                <w:shd w:val="clear" w:fill="E6F0FF"/>
                <w:lang w:val="en-US" w:eastAsia="zh-CN" w:bidi="ar-SA"/>
              </w:rPr>
            </w:pPr>
            <w:r>
              <w:rPr>
                <w:rFonts w:hint="eastAsia" w:ascii="宋体" w:hAnsi="宋体" w:eastAsia="宋体" w:cs="宋体"/>
                <w:kern w:val="0"/>
                <w:sz w:val="22"/>
                <w:szCs w:val="22"/>
                <w:lang w:val="en-US" w:eastAsia="zh-CN" w:bidi="ar-SA"/>
              </w:rPr>
              <w:t>非现场评价主要包括对收集的资料进行整理分析、对重点指标进行计算核实、根据评价标准进行打分等。评价人员将对项目文档、财务报告、检测数据等资料进行细致审查，确保信息的真实性和完整性。同时，利用数据分析工具对项目产出和效益进行深入分析，以客观反映项目绩效水平</w:t>
            </w:r>
            <w:r>
              <w:rPr>
                <w:rFonts w:hint="eastAsia" w:ascii="宋体" w:hAnsi="宋体" w:cs="宋体"/>
                <w:kern w:val="0"/>
                <w:sz w:val="22"/>
                <w:szCs w:val="22"/>
                <w:lang w:val="en-US" w:eastAsia="zh-CN" w:bidi="ar-SA"/>
              </w:rPr>
              <w:t>。</w:t>
            </w:r>
          </w:p>
        </w:tc>
      </w:tr>
      <w:tr w14:paraId="2D67E6A5">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625" w:hRule="atLeast"/>
        </w:trPr>
        <w:tc>
          <w:tcPr>
            <w:tcW w:w="577" w:type="pct"/>
            <w:tcBorders>
              <w:tl2br w:val="nil"/>
              <w:tr2bl w:val="nil"/>
            </w:tcBorders>
            <w:shd w:val="clear" w:color="auto" w:fill="FFFFFF" w:themeFill="background1"/>
            <w:vAlign w:val="center"/>
          </w:tcPr>
          <w:p w14:paraId="4224580A">
            <w:pPr>
              <w:pStyle w:val="26"/>
              <w:tabs>
                <w:tab w:val="left" w:pos="753"/>
              </w:tabs>
              <w:snapToGrid w:val="0"/>
              <w:jc w:val="center"/>
              <w:rPr>
                <w:rFonts w:hint="eastAsia" w:ascii="宋体" w:hAnsi="宋体" w:eastAsia="宋体" w:cs="宋体"/>
                <w:kern w:val="0"/>
                <w:sz w:val="22"/>
                <w:szCs w:val="22"/>
                <w:lang w:eastAsia="zh-CN"/>
              </w:rPr>
            </w:pPr>
            <w:r>
              <w:rPr>
                <w:rFonts w:hint="eastAsia" w:ascii="宋体" w:hAnsi="宋体" w:cs="宋体"/>
                <w:kern w:val="0"/>
                <w:sz w:val="22"/>
                <w:szCs w:val="22"/>
                <w:lang w:val="en-US" w:eastAsia="zh-CN"/>
              </w:rPr>
              <w:t>5</w:t>
            </w:r>
          </w:p>
        </w:tc>
        <w:tc>
          <w:tcPr>
            <w:tcW w:w="1171" w:type="pct"/>
            <w:tcBorders>
              <w:tl2br w:val="nil"/>
              <w:tr2bl w:val="nil"/>
            </w:tcBorders>
            <w:shd w:val="clear" w:color="auto" w:fill="FFFFFF" w:themeFill="background1"/>
            <w:vAlign w:val="center"/>
          </w:tcPr>
          <w:p w14:paraId="2C769F28">
            <w:pPr>
              <w:pStyle w:val="26"/>
              <w:tabs>
                <w:tab w:val="left" w:pos="753"/>
              </w:tabs>
              <w:snapToGrid w:val="0"/>
              <w:jc w:val="center"/>
              <w:rPr>
                <w:rFonts w:hint="eastAsia" w:ascii="宋体" w:hAnsi="宋体" w:cs="宋体"/>
                <w:kern w:val="0"/>
                <w:sz w:val="22"/>
                <w:szCs w:val="22"/>
              </w:rPr>
            </w:pPr>
            <w:r>
              <w:rPr>
                <w:rFonts w:hint="eastAsia" w:ascii="宋体" w:hAnsi="宋体" w:cs="宋体"/>
                <w:kern w:val="0"/>
                <w:sz w:val="22"/>
                <w:szCs w:val="22"/>
              </w:rPr>
              <w:t>撰写评价报告初稿</w:t>
            </w:r>
          </w:p>
        </w:tc>
        <w:tc>
          <w:tcPr>
            <w:tcW w:w="3251" w:type="pct"/>
            <w:tcBorders>
              <w:tl2br w:val="nil"/>
              <w:tr2bl w:val="nil"/>
            </w:tcBorders>
            <w:shd w:val="clear" w:color="auto" w:fill="FFFFFF" w:themeFill="background1"/>
            <w:vAlign w:val="center"/>
          </w:tcPr>
          <w:p w14:paraId="4BC67B5A">
            <w:pPr>
              <w:pStyle w:val="26"/>
              <w:tabs>
                <w:tab w:val="left" w:pos="753"/>
              </w:tabs>
              <w:snapToGrid w:val="0"/>
              <w:jc w:val="left"/>
              <w:rPr>
                <w:rFonts w:hint="eastAsia" w:ascii="宋体" w:hAnsi="宋体" w:cs="宋体"/>
                <w:kern w:val="0"/>
                <w:sz w:val="22"/>
                <w:szCs w:val="22"/>
              </w:rPr>
            </w:pPr>
            <w:r>
              <w:rPr>
                <w:rFonts w:hint="eastAsia" w:ascii="宋体" w:hAnsi="宋体" w:eastAsia="宋体" w:cs="宋体"/>
                <w:kern w:val="0"/>
                <w:sz w:val="22"/>
                <w:szCs w:val="22"/>
                <w:lang w:val="en-US" w:eastAsia="zh-CN" w:bidi="ar-SA"/>
              </w:rPr>
              <w:t>评价组汇总前期准备、现场评价和非现场评价的结果，对照评价指标体系和评价标准进行全面评估。通过定量分析和定性分析相结合的方式，形成最终的评价结论，并撰写详细的绩效评价报告。</w:t>
            </w:r>
          </w:p>
        </w:tc>
      </w:tr>
      <w:tr w14:paraId="7DA16CBB">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shd w:val="clear" w:color="auto" w:fill="FFFFFF" w:themeFill="background1"/>
          <w:tblCellMar>
            <w:top w:w="0" w:type="dxa"/>
            <w:left w:w="108" w:type="dxa"/>
            <w:bottom w:w="0" w:type="dxa"/>
            <w:right w:w="108" w:type="dxa"/>
          </w:tblCellMar>
        </w:tblPrEx>
        <w:trPr>
          <w:trHeight w:val="471" w:hRule="atLeast"/>
        </w:trPr>
        <w:tc>
          <w:tcPr>
            <w:tcW w:w="577" w:type="pct"/>
            <w:tcBorders>
              <w:tl2br w:val="nil"/>
              <w:tr2bl w:val="nil"/>
            </w:tcBorders>
            <w:shd w:val="clear" w:color="auto" w:fill="FFFFFF" w:themeFill="background1"/>
            <w:vAlign w:val="center"/>
          </w:tcPr>
          <w:p w14:paraId="0276DCF3">
            <w:pPr>
              <w:pStyle w:val="26"/>
              <w:tabs>
                <w:tab w:val="left" w:pos="753"/>
              </w:tabs>
              <w:snapToGrid w:val="0"/>
              <w:jc w:val="center"/>
              <w:rPr>
                <w:rFonts w:hint="eastAsia" w:ascii="宋体" w:hAnsi="宋体" w:eastAsia="宋体" w:cs="宋体"/>
                <w:kern w:val="0"/>
                <w:sz w:val="22"/>
                <w:szCs w:val="22"/>
                <w:lang w:eastAsia="zh-CN"/>
              </w:rPr>
            </w:pPr>
            <w:r>
              <w:rPr>
                <w:rFonts w:hint="eastAsia" w:ascii="宋体" w:hAnsi="宋体" w:cs="宋体"/>
                <w:kern w:val="0"/>
                <w:sz w:val="22"/>
                <w:szCs w:val="22"/>
                <w:lang w:val="en-US" w:eastAsia="zh-CN"/>
              </w:rPr>
              <w:t>6</w:t>
            </w:r>
          </w:p>
        </w:tc>
        <w:tc>
          <w:tcPr>
            <w:tcW w:w="1171" w:type="pct"/>
            <w:tcBorders>
              <w:tl2br w:val="nil"/>
              <w:tr2bl w:val="nil"/>
            </w:tcBorders>
            <w:shd w:val="clear" w:color="auto" w:fill="FFFFFF" w:themeFill="background1"/>
            <w:vAlign w:val="center"/>
          </w:tcPr>
          <w:p w14:paraId="668541B8">
            <w:pPr>
              <w:pStyle w:val="26"/>
              <w:tabs>
                <w:tab w:val="left" w:pos="753"/>
              </w:tabs>
              <w:snapToGrid w:val="0"/>
              <w:jc w:val="center"/>
              <w:rPr>
                <w:rFonts w:hint="eastAsia" w:ascii="宋体" w:hAnsi="宋体" w:eastAsia="宋体" w:cs="宋体"/>
                <w:kern w:val="0"/>
                <w:sz w:val="22"/>
                <w:szCs w:val="22"/>
                <w:lang w:val="en-US" w:eastAsia="zh-CN"/>
              </w:rPr>
            </w:pPr>
            <w:r>
              <w:rPr>
                <w:rFonts w:hint="eastAsia" w:ascii="宋体" w:hAnsi="宋体" w:cs="宋体"/>
                <w:kern w:val="0"/>
                <w:sz w:val="22"/>
                <w:szCs w:val="22"/>
              </w:rPr>
              <w:t>评价报告初稿</w:t>
            </w:r>
            <w:r>
              <w:rPr>
                <w:rFonts w:hint="eastAsia" w:ascii="宋体" w:hAnsi="宋体" w:cs="宋体"/>
                <w:kern w:val="0"/>
                <w:sz w:val="22"/>
                <w:szCs w:val="22"/>
                <w:lang w:val="en-US" w:eastAsia="zh-CN"/>
              </w:rPr>
              <w:t>评审</w:t>
            </w:r>
          </w:p>
        </w:tc>
        <w:tc>
          <w:tcPr>
            <w:tcW w:w="3251" w:type="pct"/>
            <w:tcBorders>
              <w:tl2br w:val="nil"/>
              <w:tr2bl w:val="nil"/>
            </w:tcBorders>
            <w:shd w:val="clear" w:color="auto" w:fill="FFFFFF" w:themeFill="background1"/>
            <w:vAlign w:val="center"/>
          </w:tcPr>
          <w:p w14:paraId="6F7D35DF">
            <w:pPr>
              <w:pStyle w:val="26"/>
              <w:tabs>
                <w:tab w:val="left" w:pos="753"/>
              </w:tabs>
              <w:snapToGrid w:val="0"/>
              <w:jc w:val="left"/>
              <w:rPr>
                <w:rFonts w:hint="eastAsia" w:ascii="宋体" w:hAnsi="宋体" w:cs="宋体"/>
                <w:kern w:val="0"/>
                <w:sz w:val="22"/>
                <w:szCs w:val="22"/>
              </w:rPr>
            </w:pPr>
            <w:r>
              <w:rPr>
                <w:rFonts w:hint="eastAsia" w:ascii="宋体" w:hAnsi="宋体" w:cs="宋体"/>
                <w:kern w:val="0"/>
                <w:sz w:val="22"/>
                <w:szCs w:val="22"/>
                <w:lang w:val="en-US" w:eastAsia="zh-CN"/>
              </w:rPr>
              <w:t>将评价报告初稿提交评审专家，针对报告中提出的各项分值、问题及建议展开充分讨论，提出修改意见和完善方向。</w:t>
            </w:r>
          </w:p>
        </w:tc>
      </w:tr>
      <w:tr w14:paraId="76DB33D2">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shd w:val="clear" w:color="auto" w:fill="FFFFFF" w:themeFill="background1"/>
          <w:tblCellMar>
            <w:top w:w="0" w:type="dxa"/>
            <w:left w:w="108" w:type="dxa"/>
            <w:bottom w:w="0" w:type="dxa"/>
            <w:right w:w="108" w:type="dxa"/>
          </w:tblCellMar>
        </w:tblPrEx>
        <w:trPr>
          <w:trHeight w:val="471" w:hRule="atLeast"/>
        </w:trPr>
        <w:tc>
          <w:tcPr>
            <w:tcW w:w="577" w:type="pct"/>
            <w:tcBorders>
              <w:tl2br w:val="nil"/>
              <w:tr2bl w:val="nil"/>
            </w:tcBorders>
            <w:shd w:val="clear" w:color="auto" w:fill="FFFFFF" w:themeFill="background1"/>
            <w:vAlign w:val="center"/>
          </w:tcPr>
          <w:p w14:paraId="0AAEB8CB">
            <w:pPr>
              <w:pStyle w:val="26"/>
              <w:tabs>
                <w:tab w:val="left" w:pos="753"/>
              </w:tabs>
              <w:snapToGrid w:val="0"/>
              <w:jc w:val="center"/>
              <w:rPr>
                <w:rFonts w:hint="eastAsia" w:ascii="宋体" w:hAnsi="宋体" w:cs="宋体"/>
                <w:kern w:val="0"/>
                <w:sz w:val="22"/>
                <w:szCs w:val="22"/>
                <w:lang w:val="en-US" w:eastAsia="zh-CN"/>
              </w:rPr>
            </w:pPr>
            <w:r>
              <w:rPr>
                <w:rFonts w:hint="eastAsia" w:ascii="宋体" w:hAnsi="宋体" w:cs="宋体"/>
                <w:kern w:val="0"/>
                <w:sz w:val="22"/>
                <w:szCs w:val="22"/>
                <w:lang w:val="en-US" w:eastAsia="zh-CN"/>
              </w:rPr>
              <w:t>7</w:t>
            </w:r>
          </w:p>
        </w:tc>
        <w:tc>
          <w:tcPr>
            <w:tcW w:w="1171" w:type="pct"/>
            <w:tcBorders>
              <w:tl2br w:val="nil"/>
              <w:tr2bl w:val="nil"/>
            </w:tcBorders>
            <w:shd w:val="clear" w:color="auto" w:fill="FFFFFF" w:themeFill="background1"/>
            <w:vAlign w:val="center"/>
          </w:tcPr>
          <w:p w14:paraId="2557FFCA">
            <w:pPr>
              <w:pStyle w:val="26"/>
              <w:tabs>
                <w:tab w:val="left" w:pos="753"/>
              </w:tabs>
              <w:snapToGrid w:val="0"/>
              <w:jc w:val="center"/>
              <w:rPr>
                <w:rFonts w:hint="eastAsia" w:ascii="宋体" w:hAnsi="宋体" w:eastAsia="宋体" w:cs="宋体"/>
                <w:kern w:val="0"/>
                <w:sz w:val="22"/>
                <w:szCs w:val="22"/>
                <w:lang w:val="en-US" w:eastAsia="zh-CN" w:bidi="ar-SA"/>
              </w:rPr>
            </w:pPr>
            <w:r>
              <w:rPr>
                <w:rFonts w:hint="eastAsia" w:ascii="宋体" w:hAnsi="宋体" w:cs="宋体"/>
                <w:kern w:val="0"/>
                <w:sz w:val="22"/>
                <w:szCs w:val="22"/>
                <w:lang w:val="en-US" w:eastAsia="zh-CN"/>
              </w:rPr>
              <w:t>征询</w:t>
            </w:r>
            <w:r>
              <w:rPr>
                <w:rFonts w:hint="eastAsia" w:ascii="宋体" w:hAnsi="宋体" w:cs="宋体"/>
                <w:kern w:val="0"/>
                <w:sz w:val="22"/>
                <w:szCs w:val="22"/>
              </w:rPr>
              <w:t>评价报告初稿</w:t>
            </w:r>
            <w:r>
              <w:rPr>
                <w:rFonts w:hint="eastAsia" w:ascii="宋体" w:hAnsi="宋体" w:cs="宋体"/>
                <w:kern w:val="0"/>
                <w:sz w:val="22"/>
                <w:szCs w:val="22"/>
                <w:lang w:val="en-US" w:eastAsia="zh-CN"/>
              </w:rPr>
              <w:t>意见、补充材料</w:t>
            </w:r>
          </w:p>
        </w:tc>
        <w:tc>
          <w:tcPr>
            <w:tcW w:w="3251" w:type="pct"/>
            <w:tcBorders>
              <w:tl2br w:val="nil"/>
              <w:tr2bl w:val="nil"/>
            </w:tcBorders>
            <w:shd w:val="clear" w:color="auto" w:fill="FFFFFF" w:themeFill="background1"/>
            <w:vAlign w:val="center"/>
          </w:tcPr>
          <w:p w14:paraId="587A529B">
            <w:pPr>
              <w:pStyle w:val="26"/>
              <w:tabs>
                <w:tab w:val="left" w:pos="753"/>
              </w:tabs>
              <w:snapToGrid w:val="0"/>
              <w:jc w:val="left"/>
              <w:rPr>
                <w:rFonts w:hint="eastAsia" w:ascii="宋体" w:hAnsi="宋体" w:eastAsia="宋体" w:cs="宋体"/>
                <w:kern w:val="0"/>
                <w:sz w:val="22"/>
                <w:szCs w:val="22"/>
                <w:lang w:val="en-US" w:eastAsia="zh-CN" w:bidi="ar-SA"/>
              </w:rPr>
            </w:pPr>
            <w:r>
              <w:rPr>
                <w:rFonts w:hint="eastAsia" w:ascii="宋体" w:hAnsi="宋体" w:cs="宋体"/>
                <w:kern w:val="0"/>
                <w:sz w:val="22"/>
                <w:szCs w:val="22"/>
                <w:lang w:val="en-US" w:eastAsia="zh-CN"/>
              </w:rPr>
              <w:t xml:space="preserve">评价报告依据评审意见修改，并征求被评价单位的意见。 </w:t>
            </w:r>
          </w:p>
        </w:tc>
      </w:tr>
      <w:tr w14:paraId="68E658BA">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471" w:hRule="atLeast"/>
        </w:trPr>
        <w:tc>
          <w:tcPr>
            <w:tcW w:w="577" w:type="pct"/>
            <w:tcBorders>
              <w:tl2br w:val="nil"/>
              <w:tr2bl w:val="nil"/>
            </w:tcBorders>
            <w:shd w:val="clear" w:color="auto" w:fill="FFFFFF" w:themeFill="background1"/>
            <w:vAlign w:val="center"/>
          </w:tcPr>
          <w:p w14:paraId="425110B6">
            <w:pPr>
              <w:pStyle w:val="26"/>
              <w:tabs>
                <w:tab w:val="left" w:pos="753"/>
              </w:tabs>
              <w:snapToGrid w:val="0"/>
              <w:jc w:val="center"/>
              <w:rPr>
                <w:rFonts w:hint="eastAsia" w:ascii="宋体" w:hAnsi="宋体" w:eastAsia="宋体" w:cs="宋体"/>
                <w:kern w:val="0"/>
                <w:sz w:val="22"/>
                <w:szCs w:val="22"/>
                <w:lang w:val="en-US" w:eastAsia="zh-CN" w:bidi="ar-SA"/>
              </w:rPr>
            </w:pPr>
            <w:r>
              <w:rPr>
                <w:rFonts w:hint="eastAsia" w:ascii="宋体" w:hAnsi="宋体" w:cs="宋体"/>
                <w:kern w:val="0"/>
                <w:sz w:val="22"/>
                <w:szCs w:val="22"/>
                <w:lang w:val="en-US" w:eastAsia="zh-CN"/>
              </w:rPr>
              <w:t>8</w:t>
            </w:r>
          </w:p>
        </w:tc>
        <w:tc>
          <w:tcPr>
            <w:tcW w:w="1171" w:type="pct"/>
            <w:tcBorders>
              <w:tl2br w:val="nil"/>
              <w:tr2bl w:val="nil"/>
            </w:tcBorders>
            <w:shd w:val="clear" w:color="auto" w:fill="FFFFFF" w:themeFill="background1"/>
            <w:vAlign w:val="center"/>
          </w:tcPr>
          <w:p w14:paraId="5F57EFA4">
            <w:pPr>
              <w:pStyle w:val="26"/>
              <w:tabs>
                <w:tab w:val="left" w:pos="753"/>
              </w:tabs>
              <w:snapToGrid w:val="0"/>
              <w:jc w:val="center"/>
              <w:rPr>
                <w:rFonts w:hint="eastAsia" w:ascii="宋体" w:hAnsi="宋体" w:eastAsia="宋体" w:cs="宋体"/>
                <w:kern w:val="0"/>
                <w:sz w:val="22"/>
                <w:szCs w:val="22"/>
                <w:lang w:val="en-US" w:eastAsia="zh-CN" w:bidi="ar-SA"/>
              </w:rPr>
            </w:pPr>
            <w:r>
              <w:rPr>
                <w:rFonts w:hint="eastAsia" w:ascii="宋体" w:hAnsi="宋体" w:cs="宋体"/>
                <w:kern w:val="0"/>
                <w:sz w:val="22"/>
                <w:szCs w:val="22"/>
              </w:rPr>
              <w:t>提交评价报告</w:t>
            </w:r>
          </w:p>
        </w:tc>
        <w:tc>
          <w:tcPr>
            <w:tcW w:w="3251" w:type="pct"/>
            <w:tcBorders>
              <w:tl2br w:val="nil"/>
              <w:tr2bl w:val="nil"/>
            </w:tcBorders>
            <w:shd w:val="clear" w:color="auto" w:fill="FFFFFF" w:themeFill="background1"/>
            <w:vAlign w:val="center"/>
          </w:tcPr>
          <w:p w14:paraId="79352272">
            <w:pPr>
              <w:pStyle w:val="26"/>
              <w:tabs>
                <w:tab w:val="left" w:pos="753"/>
              </w:tabs>
              <w:snapToGrid w:val="0"/>
              <w:jc w:val="left"/>
              <w:rPr>
                <w:rFonts w:hint="eastAsia" w:ascii="宋体" w:hAnsi="宋体" w:eastAsia="宋体" w:cs="宋体"/>
                <w:kern w:val="0"/>
                <w:sz w:val="22"/>
                <w:szCs w:val="22"/>
                <w:lang w:val="en-US" w:eastAsia="zh-CN" w:bidi="ar-SA"/>
              </w:rPr>
            </w:pPr>
            <w:r>
              <w:rPr>
                <w:rFonts w:hint="eastAsia" w:ascii="宋体" w:hAnsi="宋体" w:cs="宋体"/>
                <w:kern w:val="0"/>
                <w:sz w:val="22"/>
                <w:szCs w:val="22"/>
                <w:lang w:val="en-US" w:eastAsia="zh-CN"/>
              </w:rPr>
              <w:t>经三级复核、</w:t>
            </w:r>
            <w:r>
              <w:rPr>
                <w:rFonts w:hint="eastAsia" w:ascii="宋体" w:hAnsi="宋体" w:cs="宋体"/>
                <w:kern w:val="0"/>
                <w:sz w:val="22"/>
                <w:szCs w:val="22"/>
              </w:rPr>
              <w:t>项目主评人签字确认后，加盖公司公章后，</w:t>
            </w:r>
            <w:r>
              <w:rPr>
                <w:rFonts w:hint="eastAsia" w:ascii="宋体" w:hAnsi="宋体" w:cs="宋体"/>
                <w:kern w:val="0"/>
                <w:sz w:val="22"/>
                <w:szCs w:val="22"/>
                <w:lang w:val="en-US" w:eastAsia="zh-CN"/>
              </w:rPr>
              <w:t>按要求</w:t>
            </w:r>
            <w:r>
              <w:rPr>
                <w:rFonts w:hint="eastAsia" w:ascii="宋体" w:hAnsi="宋体" w:cs="宋体"/>
                <w:kern w:val="0"/>
                <w:sz w:val="22"/>
                <w:szCs w:val="22"/>
              </w:rPr>
              <w:t>提交评价报告。</w:t>
            </w:r>
          </w:p>
        </w:tc>
      </w:tr>
    </w:tbl>
    <w:p w14:paraId="1297D9CC">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b/>
          <w:bCs/>
          <w:color w:val="auto"/>
          <w:kern w:val="0"/>
          <w:sz w:val="32"/>
          <w:szCs w:val="32"/>
          <w:highlight w:val="none"/>
          <w:lang w:val="en-US" w:eastAsia="zh-CN" w:bidi="ar-SA"/>
        </w:rPr>
      </w:pPr>
      <w:r>
        <w:rPr>
          <w:rFonts w:hint="default" w:ascii="Times New Roman" w:hAnsi="Times New Roman" w:eastAsia="仿宋_GB2312" w:cs="Times New Roman"/>
          <w:b/>
          <w:bCs/>
          <w:color w:val="auto"/>
          <w:kern w:val="0"/>
          <w:sz w:val="32"/>
          <w:szCs w:val="32"/>
          <w:highlight w:val="none"/>
          <w:lang w:val="en-US" w:eastAsia="zh-CN" w:bidi="ar-SA"/>
        </w:rPr>
        <w:t>2.评价方法</w:t>
      </w:r>
    </w:p>
    <w:p w14:paraId="1B1522F3">
      <w:pPr>
        <w:spacing w:line="600" w:lineRule="exact"/>
        <w:ind w:firstLine="640" w:firstLineChars="200"/>
        <w:rPr>
          <w:rFonts w:hint="default" w:ascii="仿宋_GB2312" w:hAnsi="仿宋_GB2312" w:eastAsia="仿宋_GB2312" w:cs="仿宋_GB2312"/>
          <w:sz w:val="32"/>
          <w:szCs w:val="40"/>
          <w:highlight w:val="none"/>
          <w:lang w:val="en-US"/>
        </w:rPr>
      </w:pPr>
      <w:r>
        <w:rPr>
          <w:rFonts w:hint="default" w:ascii="Times New Roman" w:hAnsi="Times New Roman" w:eastAsia="仿宋_GB2312" w:cs="Times New Roman"/>
          <w:color w:val="auto"/>
          <w:kern w:val="2"/>
          <w:sz w:val="32"/>
          <w:szCs w:val="32"/>
          <w:highlight w:val="none"/>
          <w:lang w:val="en-US" w:eastAsia="zh-CN" w:bidi="ar-SA"/>
        </w:rPr>
        <w:t>本次评价遵循科学规范、全面系统、公正公开的基本原则</w:t>
      </w:r>
      <w:r>
        <w:rPr>
          <w:rFonts w:hint="eastAsia" w:ascii="Times New Roman" w:hAnsi="Times New Roman" w:eastAsia="仿宋_GB2312" w:cs="Times New Roman"/>
          <w:color w:val="auto"/>
          <w:kern w:val="2"/>
          <w:sz w:val="32"/>
          <w:szCs w:val="32"/>
          <w:highlight w:val="none"/>
          <w:lang w:val="en-US" w:eastAsia="zh-CN" w:bidi="ar-SA"/>
        </w:rPr>
        <w:t>，采取</w:t>
      </w:r>
      <w:r>
        <w:rPr>
          <w:rFonts w:hint="default" w:ascii="Times New Roman" w:hAnsi="Times New Roman" w:eastAsia="仿宋_GB2312" w:cs="Times New Roman"/>
          <w:color w:val="auto"/>
          <w:kern w:val="2"/>
          <w:sz w:val="32"/>
          <w:szCs w:val="32"/>
          <w:highlight w:val="none"/>
          <w:lang w:val="en-US" w:eastAsia="zh-CN" w:bidi="ar-SA"/>
        </w:rPr>
        <w:t>定量优先、定量与定性相结合的方式，总分由各项指标得分汇总形成。</w:t>
      </w:r>
      <w:r>
        <w:rPr>
          <w:rFonts w:hint="eastAsia" w:ascii="Times New Roman" w:hAnsi="Times New Roman" w:eastAsia="仿宋_GB2312" w:cs="Times New Roman"/>
          <w:color w:val="auto"/>
          <w:kern w:val="2"/>
          <w:sz w:val="32"/>
          <w:szCs w:val="32"/>
          <w:highlight w:val="none"/>
          <w:lang w:val="en-US" w:eastAsia="zh-CN" w:bidi="ar-SA"/>
        </w:rPr>
        <w:t>评价方法包括</w:t>
      </w:r>
      <w:r>
        <w:rPr>
          <w:rFonts w:hint="eastAsia" w:ascii="Times New Roman" w:hAnsi="Times New Roman" w:eastAsia="仿宋_GB2312"/>
          <w:sz w:val="32"/>
          <w:szCs w:val="32"/>
        </w:rPr>
        <w:t>文献法</w:t>
      </w:r>
      <w:r>
        <w:rPr>
          <w:rFonts w:hint="eastAsia" w:ascii="Times New Roman" w:hAnsi="Times New Roman" w:eastAsia="仿宋_GB2312"/>
          <w:sz w:val="32"/>
          <w:szCs w:val="32"/>
          <w:lang w:eastAsia="zh-CN"/>
        </w:rPr>
        <w:t>、</w:t>
      </w:r>
      <w:r>
        <w:rPr>
          <w:rFonts w:hint="eastAsia" w:ascii="Times New Roman Regular" w:hAnsi="Times New Roman Regular" w:eastAsia="仿宋_GB2312" w:cs="Times New Roman Regular"/>
          <w:sz w:val="32"/>
          <w:szCs w:val="32"/>
          <w:u w:val="none"/>
          <w:lang w:eastAsia="zh-CN"/>
        </w:rPr>
        <w:t>公众评判法、</w:t>
      </w:r>
      <w:r>
        <w:rPr>
          <w:rFonts w:hint="eastAsia" w:ascii="仿宋_GB2312" w:hAnsi="Times New Roman" w:eastAsia="仿宋_GB2312" w:cs="宋体"/>
          <w:sz w:val="32"/>
          <w:szCs w:val="32"/>
        </w:rPr>
        <w:t>成本效益分析法</w:t>
      </w:r>
      <w:r>
        <w:rPr>
          <w:rFonts w:hint="eastAsia" w:ascii="仿宋_GB2312" w:hAnsi="Times New Roman" w:eastAsia="仿宋_GB2312" w:cs="宋体"/>
          <w:sz w:val="32"/>
          <w:szCs w:val="32"/>
          <w:lang w:val="en-US" w:eastAsia="zh-CN"/>
        </w:rPr>
        <w:t>等方法，其中</w:t>
      </w:r>
      <w:r>
        <w:rPr>
          <w:rFonts w:hint="eastAsia" w:ascii="Times New Roman" w:hAnsi="Times New Roman" w:eastAsia="仿宋_GB2312" w:cs="Times New Roman"/>
          <w:color w:val="auto"/>
          <w:kern w:val="2"/>
          <w:sz w:val="32"/>
          <w:szCs w:val="32"/>
          <w:highlight w:val="none"/>
          <w:lang w:val="en-US" w:eastAsia="zh-CN" w:bidi="ar-SA"/>
        </w:rPr>
        <w:t>：</w:t>
      </w:r>
    </w:p>
    <w:p w14:paraId="575746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文献法</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通过查询相关</w:t>
      </w:r>
      <w:r>
        <w:rPr>
          <w:rFonts w:hint="eastAsia" w:ascii="Times New Roman" w:hAnsi="Times New Roman" w:eastAsia="仿宋_GB2312"/>
          <w:sz w:val="32"/>
          <w:szCs w:val="32"/>
          <w:lang w:eastAsia="zh-CN"/>
        </w:rPr>
        <w:t>法律法规、政策文件、行业标准、合同协议、会议记录、报告总结、财务账目等，评价</w:t>
      </w:r>
      <w:r>
        <w:rPr>
          <w:rFonts w:hint="eastAsia" w:ascii="Times New Roman" w:hAnsi="Times New Roman" w:eastAsia="仿宋_GB2312"/>
          <w:sz w:val="32"/>
          <w:szCs w:val="32"/>
          <w:lang w:val="en-US" w:eastAsia="zh-CN"/>
        </w:rPr>
        <w:t>项目实施的</w:t>
      </w:r>
      <w:r>
        <w:rPr>
          <w:rFonts w:hint="eastAsia" w:ascii="Times New Roman" w:hAnsi="Times New Roman" w:eastAsia="仿宋_GB2312"/>
          <w:sz w:val="32"/>
          <w:szCs w:val="32"/>
          <w:lang w:eastAsia="zh-CN"/>
        </w:rPr>
        <w:t>合规性、目标设定的合</w:t>
      </w:r>
      <w:r>
        <w:rPr>
          <w:rFonts w:hint="eastAsia" w:ascii="Times New Roman" w:hAnsi="Times New Roman" w:eastAsia="仿宋_GB2312"/>
          <w:sz w:val="32"/>
          <w:szCs w:val="32"/>
          <w:lang w:val="en-US" w:eastAsia="zh-CN"/>
        </w:rPr>
        <w:t>理</w:t>
      </w:r>
      <w:r>
        <w:rPr>
          <w:rFonts w:hint="eastAsia" w:ascii="Times New Roman" w:hAnsi="Times New Roman" w:eastAsia="仿宋_GB2312"/>
          <w:sz w:val="32"/>
          <w:szCs w:val="32"/>
          <w:lang w:eastAsia="zh-CN"/>
        </w:rPr>
        <w:t>性。</w:t>
      </w:r>
    </w:p>
    <w:p w14:paraId="37B84B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sz w:val="32"/>
          <w:szCs w:val="32"/>
          <w:u w:val="none"/>
          <w:lang w:val="en-US" w:eastAsia="zh-CN"/>
        </w:rPr>
      </w:pPr>
      <w:r>
        <w:rPr>
          <w:rFonts w:hint="eastAsia" w:ascii="Times New Roman Regular" w:hAnsi="Times New Roman Regular" w:eastAsia="仿宋_GB2312" w:cs="Times New Roman Regular"/>
          <w:sz w:val="32"/>
          <w:szCs w:val="32"/>
          <w:u w:val="none"/>
          <w:lang w:eastAsia="zh-CN"/>
        </w:rPr>
        <w:t>公众评判法：以问卷调查的方式</w:t>
      </w:r>
      <w:r>
        <w:rPr>
          <w:rFonts w:hint="eastAsia" w:ascii="Times New Roman Regular" w:hAnsi="Times New Roman Regular" w:eastAsia="仿宋_GB2312" w:cs="Times New Roman Regular"/>
          <w:sz w:val="32"/>
          <w:szCs w:val="32"/>
          <w:u w:val="none"/>
          <w:lang w:val="en-US" w:eastAsia="zh-CN"/>
        </w:rPr>
        <w:t>，对社会公众如养老机构及机构服务人员、养老机构入住老人/家属关于项目的满意度展开考察。</w:t>
      </w:r>
    </w:p>
    <w:p w14:paraId="4F1AD53C">
      <w:pPr>
        <w:spacing w:line="60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仿宋_GB2312" w:hAnsi="Times New Roman" w:eastAsia="仿宋_GB2312" w:cs="宋体"/>
          <w:sz w:val="32"/>
          <w:szCs w:val="32"/>
        </w:rPr>
        <w:t>成本效益分析法</w:t>
      </w:r>
      <w:r>
        <w:rPr>
          <w:rFonts w:hint="eastAsia" w:ascii="仿宋_GB2312" w:hAnsi="Times New Roman" w:eastAsia="仿宋_GB2312" w:cs="宋体"/>
          <w:sz w:val="32"/>
          <w:szCs w:val="32"/>
          <w:lang w:eastAsia="zh-CN"/>
        </w:rPr>
        <w:t>：</w:t>
      </w:r>
      <w:r>
        <w:rPr>
          <w:rFonts w:hint="eastAsia" w:ascii="仿宋_GB2312" w:hAnsi="Times New Roman" w:eastAsia="仿宋_GB2312" w:cs="宋体"/>
          <w:sz w:val="32"/>
          <w:szCs w:val="32"/>
        </w:rPr>
        <w:t>是将投入与产出、效益进行关联性分析</w:t>
      </w:r>
      <w:r>
        <w:rPr>
          <w:rFonts w:hint="eastAsia" w:ascii="仿宋_GB2312" w:hAnsi="Times New Roman" w:eastAsia="仿宋_GB2312" w:cs="宋体"/>
          <w:sz w:val="32"/>
          <w:szCs w:val="32"/>
          <w:lang w:eastAsia="zh-CN"/>
        </w:rPr>
        <w:t>。</w:t>
      </w:r>
    </w:p>
    <w:p w14:paraId="3729FFD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outlineLvl w:val="0"/>
        <w:rPr>
          <w:rFonts w:hint="default" w:ascii="Times New Roman" w:hAnsi="Times New Roman" w:eastAsia="黑体" w:cs="Times New Roman"/>
          <w:bCs/>
          <w:color w:val="auto"/>
          <w:sz w:val="32"/>
          <w:szCs w:val="32"/>
          <w:highlight w:val="none"/>
          <w:lang w:eastAsia="zh-CN"/>
        </w:rPr>
      </w:pPr>
      <w:bookmarkStart w:id="38" w:name="_Toc25438"/>
      <w:bookmarkStart w:id="39" w:name="_Toc12032"/>
      <w:bookmarkStart w:id="40" w:name="_Toc2542"/>
      <w:bookmarkStart w:id="41" w:name="_Toc27374"/>
      <w:r>
        <w:rPr>
          <w:rFonts w:hint="default" w:ascii="Times New Roman" w:hAnsi="Times New Roman" w:eastAsia="黑体" w:cs="Times New Roman"/>
          <w:bCs/>
          <w:color w:val="auto"/>
          <w:sz w:val="32"/>
          <w:szCs w:val="32"/>
          <w:highlight w:val="none"/>
          <w:lang w:eastAsia="zh-CN"/>
        </w:rPr>
        <w:t>三、评价结论及指标分析</w:t>
      </w:r>
      <w:bookmarkEnd w:id="38"/>
      <w:bookmarkEnd w:id="39"/>
      <w:bookmarkEnd w:id="40"/>
      <w:bookmarkEnd w:id="41"/>
    </w:p>
    <w:p w14:paraId="473DA303">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本项目社会福利救助及民政事务资金绩效评价</w:t>
      </w:r>
      <w:r>
        <w:rPr>
          <w:rFonts w:hint="default" w:ascii="Times New Roman" w:hAnsi="Times New Roman" w:eastAsia="仿宋_GB2312" w:cs="Times New Roman"/>
          <w:color w:val="auto"/>
          <w:kern w:val="2"/>
          <w:sz w:val="32"/>
          <w:szCs w:val="32"/>
          <w:highlight w:val="none"/>
          <w:lang w:val="en-US" w:eastAsia="zh-CN" w:bidi="ar-SA"/>
        </w:rPr>
        <w:t>得分</w:t>
      </w:r>
      <w:r>
        <w:rPr>
          <w:rFonts w:hint="eastAsia" w:ascii="Times New Roman" w:hAnsi="Times New Roman" w:eastAsia="仿宋_GB2312" w:cs="Times New Roman"/>
          <w:color w:val="auto"/>
          <w:kern w:val="2"/>
          <w:sz w:val="32"/>
          <w:szCs w:val="32"/>
          <w:highlight w:val="none"/>
          <w:lang w:val="en-US" w:eastAsia="zh-CN" w:bidi="ar-SA"/>
        </w:rPr>
        <w:t>81.65</w:t>
      </w:r>
      <w:r>
        <w:rPr>
          <w:rFonts w:hint="default" w:ascii="Times New Roman" w:hAnsi="Times New Roman" w:eastAsia="仿宋_GB2312" w:cs="Times New Roman"/>
          <w:color w:val="auto"/>
          <w:kern w:val="2"/>
          <w:sz w:val="32"/>
          <w:szCs w:val="32"/>
          <w:highlight w:val="none"/>
          <w:lang w:val="en-US" w:eastAsia="zh-CN" w:bidi="ar-SA"/>
        </w:rPr>
        <w:t>分，评价等级为“</w:t>
      </w:r>
      <w:r>
        <w:rPr>
          <w:rFonts w:hint="eastAsia" w:ascii="Times New Roman" w:hAnsi="Times New Roman" w:eastAsia="仿宋_GB2312" w:cs="Times New Roman"/>
          <w:color w:val="auto"/>
          <w:kern w:val="2"/>
          <w:sz w:val="32"/>
          <w:szCs w:val="32"/>
          <w:highlight w:val="none"/>
          <w:lang w:val="en-US" w:eastAsia="zh-CN" w:bidi="ar-SA"/>
        </w:rPr>
        <w:t>良</w:t>
      </w:r>
      <w:r>
        <w:rPr>
          <w:rFonts w:hint="default" w:ascii="Times New Roman" w:hAnsi="Times New Roman" w:eastAsia="仿宋_GB2312" w:cs="Times New Roman"/>
          <w:color w:val="auto"/>
          <w:kern w:val="2"/>
          <w:sz w:val="32"/>
          <w:szCs w:val="32"/>
          <w:highlight w:val="none"/>
          <w:lang w:val="en-US" w:eastAsia="zh-CN" w:bidi="ar-SA"/>
        </w:rPr>
        <w:t>”。该项目</w:t>
      </w:r>
      <w:r>
        <w:rPr>
          <w:rFonts w:hint="eastAsia" w:ascii="Times New Roman" w:hAnsi="Times New Roman" w:eastAsia="仿宋_GB2312" w:cs="Times New Roman"/>
          <w:color w:val="auto"/>
          <w:kern w:val="2"/>
          <w:sz w:val="32"/>
          <w:szCs w:val="32"/>
          <w:highlight w:val="none"/>
          <w:lang w:val="en-US" w:eastAsia="zh-CN" w:bidi="ar-SA"/>
        </w:rPr>
        <w:t>前期立项依据充分、程序规范，依据</w:t>
      </w:r>
      <w:r>
        <w:rPr>
          <w:rFonts w:hint="default" w:ascii="Times New Roman" w:hAnsi="Times New Roman" w:eastAsia="仿宋_GB2312" w:cs="Times New Roman"/>
          <w:color w:val="auto"/>
          <w:kern w:val="2"/>
          <w:sz w:val="32"/>
          <w:szCs w:val="32"/>
          <w:highlight w:val="none"/>
          <w:lang w:val="en-US" w:eastAsia="zh-CN" w:bidi="ar-SA"/>
        </w:rPr>
        <w:t>国家法律</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法规</w:t>
      </w:r>
      <w:r>
        <w:rPr>
          <w:rFonts w:hint="eastAsia" w:ascii="Times New Roman" w:hAnsi="Times New Roman" w:eastAsia="仿宋_GB2312" w:cs="Times New Roman"/>
          <w:color w:val="auto"/>
          <w:kern w:val="2"/>
          <w:sz w:val="32"/>
          <w:szCs w:val="32"/>
          <w:highlight w:val="none"/>
          <w:lang w:val="en-US" w:eastAsia="zh-CN" w:bidi="ar-SA"/>
        </w:rPr>
        <w:t>、青岛市民政局的部门制度规定，</w:t>
      </w:r>
      <w:r>
        <w:rPr>
          <w:rFonts w:hint="default" w:ascii="Times New Roman" w:hAnsi="Times New Roman" w:eastAsia="仿宋_GB2312" w:cs="Times New Roman"/>
          <w:color w:val="auto"/>
          <w:kern w:val="2"/>
          <w:sz w:val="32"/>
          <w:szCs w:val="32"/>
          <w:highlight w:val="none"/>
          <w:lang w:val="en-US" w:eastAsia="zh-CN" w:bidi="ar-SA"/>
        </w:rPr>
        <w:t>完成</w:t>
      </w:r>
      <w:r>
        <w:rPr>
          <w:rFonts w:hint="eastAsia" w:ascii="Times New Roman" w:hAnsi="Times New Roman" w:eastAsia="仿宋_GB2312" w:cs="Times New Roman"/>
          <w:color w:val="auto"/>
          <w:kern w:val="2"/>
          <w:sz w:val="32"/>
          <w:szCs w:val="32"/>
          <w:highlight w:val="none"/>
          <w:lang w:val="en-US" w:eastAsia="zh-CN" w:bidi="ar-SA"/>
        </w:rPr>
        <w:t>了养老机构、综合养老服务中心评定第三方的采购</w:t>
      </w:r>
      <w:r>
        <w:rPr>
          <w:rFonts w:hint="default" w:ascii="Times New Roman" w:hAnsi="Times New Roman" w:eastAsia="仿宋_GB2312" w:cs="Times New Roman"/>
          <w:color w:val="auto"/>
          <w:kern w:val="2"/>
          <w:sz w:val="32"/>
          <w:szCs w:val="32"/>
          <w:highlight w:val="none"/>
          <w:lang w:val="en-US" w:eastAsia="zh-CN" w:bidi="ar-SA"/>
        </w:rPr>
        <w:t>工作</w:t>
      </w:r>
      <w:r>
        <w:rPr>
          <w:rFonts w:hint="eastAsia" w:ascii="Times New Roman" w:hAnsi="Times New Roman" w:eastAsia="仿宋_GB2312" w:cs="Times New Roman"/>
          <w:color w:val="auto"/>
          <w:kern w:val="2"/>
          <w:sz w:val="32"/>
          <w:szCs w:val="32"/>
          <w:highlight w:val="none"/>
          <w:lang w:val="en-US" w:eastAsia="zh-CN" w:bidi="ar-SA"/>
        </w:rPr>
        <w:t>，并由其完成养老机构、综合养老服务中心等级评定工作，预算编制</w:t>
      </w:r>
      <w:r>
        <w:rPr>
          <w:rFonts w:hint="default" w:ascii="Times New Roman" w:hAnsi="Times New Roman" w:eastAsia="仿宋_GB2312" w:cs="Times New Roman"/>
          <w:color w:val="auto"/>
          <w:kern w:val="2"/>
          <w:sz w:val="32"/>
          <w:szCs w:val="32"/>
          <w:highlight w:val="none"/>
          <w:lang w:val="en-US" w:eastAsia="zh-CN" w:bidi="ar-SA"/>
        </w:rPr>
        <w:t>精准对</w:t>
      </w:r>
      <w:r>
        <w:rPr>
          <w:rFonts w:hint="eastAsia" w:ascii="Times New Roman" w:hAnsi="Times New Roman" w:eastAsia="仿宋_GB2312" w:cs="Times New Roman"/>
          <w:color w:val="auto"/>
          <w:kern w:val="2"/>
          <w:sz w:val="32"/>
          <w:szCs w:val="32"/>
          <w:highlight w:val="none"/>
          <w:lang w:val="en-US" w:eastAsia="zh-CN" w:bidi="ar-SA"/>
        </w:rPr>
        <w:t>应整体提升养老机构质量的</w:t>
      </w:r>
      <w:r>
        <w:rPr>
          <w:rFonts w:hint="default" w:ascii="Times New Roman" w:hAnsi="Times New Roman" w:eastAsia="仿宋_GB2312" w:cs="Times New Roman"/>
          <w:color w:val="auto"/>
          <w:kern w:val="2"/>
          <w:sz w:val="32"/>
          <w:szCs w:val="32"/>
          <w:highlight w:val="none"/>
          <w:lang w:val="en-US" w:eastAsia="zh-CN" w:bidi="ar-SA"/>
        </w:rPr>
        <w:t>服务需求</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但也存在监督管理职责执行不到位</w:t>
      </w:r>
      <w:r>
        <w:rPr>
          <w:rFonts w:hint="eastAsia" w:ascii="Times New Roman" w:hAnsi="Times New Roman" w:eastAsia="仿宋_GB2312" w:cs="Times New Roman"/>
          <w:color w:val="auto"/>
          <w:kern w:val="2"/>
          <w:sz w:val="32"/>
          <w:szCs w:val="32"/>
          <w:highlight w:val="none"/>
          <w:lang w:val="en-US" w:eastAsia="zh-CN" w:bidi="ar-SA"/>
        </w:rPr>
        <w:t>，未及时发现星级评定质量问题；获奖养老</w:t>
      </w:r>
      <w:r>
        <w:rPr>
          <w:rFonts w:hint="default" w:ascii="Times New Roman" w:hAnsi="Times New Roman" w:eastAsia="仿宋_GB2312" w:cs="Times New Roman"/>
          <w:color w:val="auto"/>
          <w:kern w:val="2"/>
          <w:sz w:val="32"/>
          <w:szCs w:val="32"/>
          <w:highlight w:val="none"/>
          <w:lang w:val="en-US" w:eastAsia="zh-CN" w:bidi="ar-SA"/>
        </w:rPr>
        <w:t>机构</w:t>
      </w:r>
      <w:r>
        <w:rPr>
          <w:rFonts w:hint="eastAsia" w:ascii="Times New Roman" w:hAnsi="Times New Roman" w:eastAsia="仿宋_GB2312" w:cs="Times New Roman"/>
          <w:color w:val="auto"/>
          <w:kern w:val="2"/>
          <w:sz w:val="32"/>
          <w:szCs w:val="32"/>
          <w:highlight w:val="none"/>
          <w:lang w:val="en-US" w:eastAsia="zh-CN" w:bidi="ar-SA"/>
        </w:rPr>
        <w:t>存在影响正常运营的不规范情况，如超期登记服务记录等；采购、合同及档案管理等方面欠缺规范性，如合同签订早于审批程序等；项目</w:t>
      </w:r>
      <w:r>
        <w:rPr>
          <w:rFonts w:hint="default" w:ascii="Times New Roman" w:hAnsi="Times New Roman" w:eastAsia="仿宋_GB2312" w:cs="Times New Roman"/>
          <w:color w:val="auto"/>
          <w:kern w:val="2"/>
          <w:sz w:val="32"/>
          <w:szCs w:val="32"/>
          <w:highlight w:val="none"/>
          <w:lang w:val="en-US" w:eastAsia="zh-CN" w:bidi="ar-SA"/>
        </w:rPr>
        <w:t>预算资金编制</w:t>
      </w:r>
      <w:r>
        <w:rPr>
          <w:rFonts w:hint="eastAsia" w:ascii="Times New Roman" w:hAnsi="Times New Roman" w:eastAsia="仿宋_GB2312" w:cs="Times New Roman"/>
          <w:color w:val="auto"/>
          <w:kern w:val="2"/>
          <w:sz w:val="32"/>
          <w:szCs w:val="32"/>
          <w:highlight w:val="none"/>
          <w:lang w:val="en-US" w:eastAsia="zh-CN" w:bidi="ar-SA"/>
        </w:rPr>
        <w:t>未充分考虑实际情况导致年度预算偏高，</w:t>
      </w:r>
      <w:r>
        <w:rPr>
          <w:rFonts w:hint="default" w:ascii="Times New Roman" w:hAnsi="Times New Roman" w:eastAsia="仿宋_GB2312" w:cs="Times New Roman"/>
          <w:color w:val="auto"/>
          <w:kern w:val="2"/>
          <w:sz w:val="32"/>
          <w:szCs w:val="32"/>
          <w:highlight w:val="none"/>
          <w:lang w:val="en-US" w:eastAsia="zh-CN" w:bidi="ar-SA"/>
        </w:rPr>
        <w:t>绩效指标无法量化</w:t>
      </w:r>
      <w:r>
        <w:rPr>
          <w:rFonts w:hint="eastAsia" w:ascii="Times New Roman" w:hAnsi="Times New Roman" w:eastAsia="仿宋_GB2312" w:cs="Times New Roman"/>
          <w:color w:val="auto"/>
          <w:kern w:val="2"/>
          <w:sz w:val="32"/>
          <w:szCs w:val="32"/>
          <w:highlight w:val="none"/>
          <w:lang w:val="en-US" w:eastAsia="zh-CN" w:bidi="ar-SA"/>
        </w:rPr>
        <w:t>等。</w:t>
      </w:r>
      <w:r>
        <w:rPr>
          <w:rFonts w:hint="default" w:ascii="Times New Roman" w:hAnsi="Times New Roman" w:eastAsia="仿宋_GB2312" w:cs="Times New Roman"/>
          <w:color w:val="auto"/>
          <w:kern w:val="2"/>
          <w:sz w:val="32"/>
          <w:szCs w:val="32"/>
          <w:highlight w:val="none"/>
          <w:lang w:val="en-US" w:eastAsia="zh-CN" w:bidi="ar-SA"/>
        </w:rPr>
        <w:t>具体得分情况如下表：</w:t>
      </w:r>
      <w:r>
        <w:rPr>
          <w:rFonts w:hint="default" w:ascii="Times New Roman" w:hAnsi="Times New Roman" w:eastAsia="仿宋_GB2312" w:cs="Times New Roman"/>
          <w:color w:val="auto"/>
          <w:kern w:val="2"/>
          <w:sz w:val="32"/>
          <w:szCs w:val="32"/>
          <w:highlight w:val="none"/>
          <w:lang w:val="en-US" w:eastAsia="zh-CN" w:bidi="ar-SA"/>
        </w:rPr>
        <w:br w:type="textWrapping"/>
      </w:r>
    </w:p>
    <w:p w14:paraId="64021C6D">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default" w:ascii="Times New Roman" w:hAnsi="Times New Roman" w:eastAsia="黑体" w:cs="Times New Roman"/>
          <w:color w:val="auto"/>
          <w:sz w:val="24"/>
          <w:szCs w:val="24"/>
          <w:highlight w:val="none"/>
          <w:lang w:val="en-US" w:eastAsia="zh-CN"/>
        </w:rPr>
      </w:pPr>
      <w:r>
        <w:rPr>
          <w:rFonts w:hint="default" w:ascii="Times New Roman" w:hAnsi="Times New Roman" w:eastAsia="黑体" w:cs="Times New Roman"/>
          <w:color w:val="auto"/>
          <w:sz w:val="24"/>
          <w:szCs w:val="24"/>
          <w:highlight w:val="none"/>
          <w:lang w:val="en-US" w:eastAsia="zh-CN"/>
        </w:rPr>
        <w:t>项目</w:t>
      </w:r>
      <w:r>
        <w:rPr>
          <w:rFonts w:hint="eastAsia" w:ascii="Times New Roman" w:hAnsi="Times New Roman" w:eastAsia="黑体" w:cs="Times New Roman"/>
          <w:color w:val="auto"/>
          <w:sz w:val="24"/>
          <w:szCs w:val="24"/>
          <w:highlight w:val="none"/>
          <w:lang w:val="en-US" w:eastAsia="zh-CN"/>
        </w:rPr>
        <w:t>绩效</w:t>
      </w:r>
      <w:r>
        <w:rPr>
          <w:rFonts w:hint="default" w:ascii="Times New Roman" w:hAnsi="Times New Roman" w:eastAsia="黑体" w:cs="Times New Roman"/>
          <w:color w:val="auto"/>
          <w:sz w:val="24"/>
          <w:szCs w:val="24"/>
          <w:highlight w:val="none"/>
          <w:lang w:val="en-US" w:eastAsia="zh-CN"/>
        </w:rPr>
        <w:t>评价得分表</w:t>
      </w:r>
    </w:p>
    <w:tbl>
      <w:tblPr>
        <w:tblStyle w:val="14"/>
        <w:tblW w:w="4998"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shd w:val="clear" w:color="auto" w:fill="FFFFFF" w:themeFill="background1"/>
        <w:tblLayout w:type="autofit"/>
        <w:tblCellMar>
          <w:top w:w="0" w:type="dxa"/>
          <w:left w:w="108" w:type="dxa"/>
          <w:bottom w:w="0" w:type="dxa"/>
          <w:right w:w="108" w:type="dxa"/>
        </w:tblCellMar>
      </w:tblPr>
      <w:tblGrid>
        <w:gridCol w:w="2953"/>
        <w:gridCol w:w="2226"/>
        <w:gridCol w:w="2152"/>
        <w:gridCol w:w="2236"/>
      </w:tblGrid>
      <w:tr w14:paraId="2E30F36D">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shd w:val="clear" w:color="auto" w:fill="FFFFFF" w:themeFill="background1"/>
          <w:tblCellMar>
            <w:top w:w="0" w:type="dxa"/>
            <w:left w:w="108" w:type="dxa"/>
            <w:bottom w:w="0" w:type="dxa"/>
            <w:right w:w="108" w:type="dxa"/>
          </w:tblCellMar>
        </w:tblPrEx>
        <w:trPr>
          <w:trHeight w:val="445" w:hRule="atLeast"/>
          <w:tblHeader/>
        </w:trPr>
        <w:tc>
          <w:tcPr>
            <w:tcW w:w="1543" w:type="pct"/>
            <w:tcBorders>
              <w:tl2br w:val="nil"/>
              <w:tr2bl w:val="nil"/>
            </w:tcBorders>
            <w:shd w:val="clear" w:color="auto" w:fill="FFFFFF" w:themeFill="background1"/>
            <w:vAlign w:val="center"/>
          </w:tcPr>
          <w:p w14:paraId="687F4B33">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kern w:val="2"/>
                <w:sz w:val="22"/>
                <w:szCs w:val="22"/>
                <w:highlight w:val="none"/>
                <w:vertAlign w:val="baseline"/>
                <w:lang w:val="zh-CN" w:eastAsia="zh-CN" w:bidi="ar-SA"/>
              </w:rPr>
            </w:pPr>
            <w:r>
              <w:rPr>
                <w:rFonts w:hint="eastAsia" w:ascii="宋体" w:hAnsi="宋体" w:eastAsia="宋体" w:cs="宋体"/>
                <w:b/>
                <w:bCs/>
                <w:color w:val="auto"/>
                <w:kern w:val="2"/>
                <w:sz w:val="22"/>
                <w:szCs w:val="22"/>
                <w:highlight w:val="none"/>
                <w:vertAlign w:val="baseline"/>
                <w:lang w:val="zh-CN" w:eastAsia="zh-CN" w:bidi="ar-SA"/>
              </w:rPr>
              <w:t>评价指标</w:t>
            </w:r>
          </w:p>
        </w:tc>
        <w:tc>
          <w:tcPr>
            <w:tcW w:w="1163" w:type="pct"/>
            <w:tcBorders>
              <w:tl2br w:val="nil"/>
              <w:tr2bl w:val="nil"/>
            </w:tcBorders>
            <w:shd w:val="clear" w:color="auto" w:fill="FFFFFF" w:themeFill="background1"/>
            <w:vAlign w:val="center"/>
          </w:tcPr>
          <w:p w14:paraId="48F04978">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kern w:val="2"/>
                <w:sz w:val="22"/>
                <w:szCs w:val="22"/>
                <w:highlight w:val="none"/>
                <w:vertAlign w:val="baseline"/>
                <w:lang w:val="zh-CN" w:eastAsia="zh-CN" w:bidi="ar-SA"/>
              </w:rPr>
            </w:pPr>
            <w:r>
              <w:rPr>
                <w:rFonts w:hint="eastAsia" w:ascii="宋体" w:hAnsi="宋体" w:eastAsia="宋体" w:cs="宋体"/>
                <w:b/>
                <w:bCs/>
                <w:color w:val="auto"/>
                <w:kern w:val="2"/>
                <w:sz w:val="22"/>
                <w:szCs w:val="22"/>
                <w:highlight w:val="none"/>
                <w:vertAlign w:val="baseline"/>
                <w:lang w:val="zh-CN" w:eastAsia="zh-CN" w:bidi="ar-SA"/>
              </w:rPr>
              <w:t>权重</w:t>
            </w:r>
          </w:p>
        </w:tc>
        <w:tc>
          <w:tcPr>
            <w:tcW w:w="1124" w:type="pct"/>
            <w:tcBorders>
              <w:tl2br w:val="nil"/>
              <w:tr2bl w:val="nil"/>
            </w:tcBorders>
            <w:shd w:val="clear" w:color="auto" w:fill="FFFFFF" w:themeFill="background1"/>
            <w:vAlign w:val="center"/>
          </w:tcPr>
          <w:p w14:paraId="5A605FD7">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kern w:val="2"/>
                <w:sz w:val="22"/>
                <w:szCs w:val="22"/>
                <w:highlight w:val="none"/>
                <w:vertAlign w:val="baseline"/>
                <w:lang w:val="zh-CN" w:eastAsia="zh-CN" w:bidi="ar-SA"/>
              </w:rPr>
            </w:pPr>
            <w:r>
              <w:rPr>
                <w:rFonts w:hint="eastAsia" w:ascii="宋体" w:hAnsi="宋体" w:eastAsia="宋体" w:cs="宋体"/>
                <w:b/>
                <w:bCs/>
                <w:color w:val="auto"/>
                <w:kern w:val="2"/>
                <w:sz w:val="22"/>
                <w:szCs w:val="22"/>
                <w:highlight w:val="none"/>
                <w:vertAlign w:val="baseline"/>
                <w:lang w:val="zh-CN" w:eastAsia="zh-CN" w:bidi="ar-SA"/>
              </w:rPr>
              <w:t>评价得分</w:t>
            </w:r>
          </w:p>
        </w:tc>
        <w:tc>
          <w:tcPr>
            <w:tcW w:w="1168" w:type="pct"/>
            <w:tcBorders>
              <w:tl2br w:val="nil"/>
              <w:tr2bl w:val="nil"/>
            </w:tcBorders>
            <w:shd w:val="clear" w:color="auto" w:fill="FFFFFF" w:themeFill="background1"/>
            <w:vAlign w:val="center"/>
          </w:tcPr>
          <w:p w14:paraId="05100C9F">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kern w:val="2"/>
                <w:sz w:val="22"/>
                <w:szCs w:val="22"/>
                <w:highlight w:val="none"/>
                <w:vertAlign w:val="baseline"/>
                <w:lang w:val="zh-CN" w:eastAsia="zh-CN" w:bidi="ar-SA"/>
              </w:rPr>
            </w:pPr>
            <w:r>
              <w:rPr>
                <w:rFonts w:hint="eastAsia" w:ascii="宋体" w:hAnsi="宋体" w:eastAsia="宋体" w:cs="宋体"/>
                <w:b/>
                <w:bCs/>
                <w:color w:val="auto"/>
                <w:kern w:val="2"/>
                <w:sz w:val="22"/>
                <w:szCs w:val="22"/>
                <w:highlight w:val="none"/>
                <w:vertAlign w:val="baseline"/>
                <w:lang w:val="zh-CN" w:eastAsia="zh-CN" w:bidi="ar-SA"/>
              </w:rPr>
              <w:t>得分率</w:t>
            </w:r>
          </w:p>
        </w:tc>
      </w:tr>
      <w:tr w14:paraId="1CB20D0E">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445" w:hRule="atLeast"/>
        </w:trPr>
        <w:tc>
          <w:tcPr>
            <w:tcW w:w="1543" w:type="pct"/>
            <w:tcBorders>
              <w:tl2br w:val="nil"/>
              <w:tr2bl w:val="nil"/>
            </w:tcBorders>
            <w:shd w:val="clear" w:color="auto" w:fill="FFFFFF" w:themeFill="background1"/>
            <w:vAlign w:val="center"/>
          </w:tcPr>
          <w:p w14:paraId="27BAE49E">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val="0"/>
                <w:bCs/>
                <w:color w:val="auto"/>
                <w:sz w:val="22"/>
                <w:szCs w:val="22"/>
                <w:highlight w:val="none"/>
                <w:vertAlign w:val="baseline"/>
                <w:lang w:val="en-US" w:eastAsia="zh-CN"/>
              </w:rPr>
            </w:pPr>
            <w:r>
              <w:rPr>
                <w:rFonts w:hint="eastAsia" w:ascii="宋体" w:hAnsi="宋体" w:eastAsia="宋体" w:cs="宋体"/>
                <w:b w:val="0"/>
                <w:bCs/>
                <w:color w:val="auto"/>
                <w:sz w:val="22"/>
                <w:szCs w:val="22"/>
                <w:highlight w:val="none"/>
                <w:vertAlign w:val="baseline"/>
                <w:lang w:val="en-US" w:eastAsia="zh-CN"/>
              </w:rPr>
              <w:t>决策</w:t>
            </w:r>
          </w:p>
        </w:tc>
        <w:tc>
          <w:tcPr>
            <w:tcW w:w="1163" w:type="pct"/>
            <w:tcBorders>
              <w:tl2br w:val="nil"/>
              <w:tr2bl w:val="nil"/>
            </w:tcBorders>
            <w:shd w:val="clear" w:color="auto" w:fill="FFFFFF" w:themeFill="background1"/>
            <w:vAlign w:val="center"/>
          </w:tcPr>
          <w:p w14:paraId="5443B016">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val="0"/>
                <w:bCs/>
                <w:color w:val="auto"/>
                <w:sz w:val="22"/>
                <w:szCs w:val="22"/>
                <w:highlight w:val="none"/>
                <w:vertAlign w:val="baseline"/>
                <w:lang w:val="en-US" w:eastAsia="zh-CN"/>
              </w:rPr>
            </w:pPr>
            <w:r>
              <w:rPr>
                <w:rFonts w:hint="eastAsia" w:ascii="宋体" w:hAnsi="宋体" w:eastAsia="宋体" w:cs="宋体"/>
                <w:b w:val="0"/>
                <w:bCs/>
                <w:color w:val="auto"/>
                <w:sz w:val="22"/>
                <w:szCs w:val="22"/>
                <w:highlight w:val="none"/>
                <w:vertAlign w:val="baseline"/>
                <w:lang w:val="en-US" w:eastAsia="zh-CN"/>
              </w:rPr>
              <w:t>20</w:t>
            </w:r>
          </w:p>
        </w:tc>
        <w:tc>
          <w:tcPr>
            <w:tcW w:w="1124" w:type="pct"/>
            <w:tcBorders>
              <w:tl2br w:val="nil"/>
              <w:tr2bl w:val="nil"/>
            </w:tcBorders>
            <w:shd w:val="clear" w:color="auto" w:fill="FFFFFF" w:themeFill="background1"/>
            <w:vAlign w:val="center"/>
          </w:tcPr>
          <w:p w14:paraId="5EABF502">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宋体"/>
                <w:b w:val="0"/>
                <w:bCs/>
                <w:color w:val="auto"/>
                <w:sz w:val="22"/>
                <w:szCs w:val="22"/>
                <w:highlight w:val="none"/>
                <w:vertAlign w:val="baseline"/>
                <w:lang w:val="en-US" w:eastAsia="zh-CN"/>
              </w:rPr>
            </w:pPr>
            <w:r>
              <w:rPr>
                <w:rFonts w:hint="eastAsia" w:ascii="宋体" w:hAnsi="宋体" w:eastAsia="宋体" w:cs="宋体"/>
                <w:b w:val="0"/>
                <w:bCs/>
                <w:color w:val="auto"/>
                <w:sz w:val="22"/>
                <w:szCs w:val="22"/>
                <w:highlight w:val="none"/>
                <w:vertAlign w:val="baseline"/>
                <w:lang w:val="en-US" w:eastAsia="zh-CN"/>
              </w:rPr>
              <w:t>17</w:t>
            </w:r>
          </w:p>
        </w:tc>
        <w:tc>
          <w:tcPr>
            <w:tcW w:w="1168" w:type="pct"/>
            <w:tcBorders>
              <w:tl2br w:val="nil"/>
              <w:tr2bl w:val="nil"/>
            </w:tcBorders>
            <w:shd w:val="clear" w:color="auto" w:fill="FFFFFF" w:themeFill="background1"/>
            <w:vAlign w:val="center"/>
          </w:tcPr>
          <w:p w14:paraId="2A0B8B0E">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val="0"/>
                <w:bCs/>
                <w:color w:val="auto"/>
                <w:sz w:val="22"/>
                <w:szCs w:val="22"/>
                <w:highlight w:val="none"/>
                <w:vertAlign w:val="baseline"/>
                <w:lang w:val="en-US" w:eastAsia="zh-CN"/>
              </w:rPr>
            </w:pPr>
            <w:r>
              <w:rPr>
                <w:rFonts w:hint="eastAsia" w:ascii="宋体" w:hAnsi="宋体" w:eastAsia="宋体" w:cs="宋体"/>
                <w:b w:val="0"/>
                <w:bCs/>
                <w:color w:val="auto"/>
                <w:sz w:val="22"/>
                <w:szCs w:val="22"/>
                <w:highlight w:val="none"/>
                <w:vertAlign w:val="baseline"/>
                <w:lang w:val="en-US" w:eastAsia="zh-CN"/>
              </w:rPr>
              <w:t>85%</w:t>
            </w:r>
          </w:p>
        </w:tc>
      </w:tr>
      <w:tr w14:paraId="71F7DDA1">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445" w:hRule="atLeast"/>
        </w:trPr>
        <w:tc>
          <w:tcPr>
            <w:tcW w:w="1543" w:type="pct"/>
            <w:tcBorders>
              <w:tl2br w:val="nil"/>
              <w:tr2bl w:val="nil"/>
            </w:tcBorders>
            <w:shd w:val="clear" w:color="auto" w:fill="FFFFFF" w:themeFill="background1"/>
            <w:vAlign w:val="center"/>
          </w:tcPr>
          <w:p w14:paraId="1B4AD179">
            <w:pPr>
              <w:pStyle w:val="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val="0"/>
                <w:bCs/>
                <w:color w:val="auto"/>
                <w:sz w:val="22"/>
                <w:szCs w:val="22"/>
                <w:highlight w:val="none"/>
                <w:vertAlign w:val="baseline"/>
                <w:lang w:val="en-US" w:eastAsia="zh-CN"/>
              </w:rPr>
            </w:pPr>
            <w:r>
              <w:rPr>
                <w:rFonts w:hint="eastAsia" w:ascii="宋体" w:hAnsi="宋体" w:eastAsia="宋体" w:cs="宋体"/>
                <w:b w:val="0"/>
                <w:bCs/>
                <w:color w:val="auto"/>
                <w:sz w:val="22"/>
                <w:szCs w:val="22"/>
                <w:highlight w:val="none"/>
                <w:vertAlign w:val="baseline"/>
                <w:lang w:val="en-US" w:eastAsia="zh-CN"/>
              </w:rPr>
              <w:t>过程</w:t>
            </w:r>
          </w:p>
        </w:tc>
        <w:tc>
          <w:tcPr>
            <w:tcW w:w="1163" w:type="pct"/>
            <w:tcBorders>
              <w:tl2br w:val="nil"/>
              <w:tr2bl w:val="nil"/>
            </w:tcBorders>
            <w:shd w:val="clear" w:color="auto" w:fill="FFFFFF" w:themeFill="background1"/>
            <w:vAlign w:val="center"/>
          </w:tcPr>
          <w:p w14:paraId="009B6F5E">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val="0"/>
                <w:bCs/>
                <w:color w:val="auto"/>
                <w:sz w:val="22"/>
                <w:szCs w:val="22"/>
                <w:highlight w:val="none"/>
                <w:vertAlign w:val="baseline"/>
                <w:lang w:val="en-US" w:eastAsia="zh-CN"/>
              </w:rPr>
            </w:pPr>
            <w:r>
              <w:rPr>
                <w:rFonts w:hint="eastAsia" w:ascii="宋体" w:hAnsi="宋体" w:eastAsia="宋体" w:cs="宋体"/>
                <w:b w:val="0"/>
                <w:bCs/>
                <w:color w:val="auto"/>
                <w:sz w:val="22"/>
                <w:szCs w:val="22"/>
                <w:highlight w:val="none"/>
                <w:vertAlign w:val="baseline"/>
                <w:lang w:val="en-US" w:eastAsia="zh-CN"/>
              </w:rPr>
              <w:t>20</w:t>
            </w:r>
          </w:p>
        </w:tc>
        <w:tc>
          <w:tcPr>
            <w:tcW w:w="1124" w:type="pct"/>
            <w:tcBorders>
              <w:tl2br w:val="nil"/>
              <w:tr2bl w:val="nil"/>
            </w:tcBorders>
            <w:shd w:val="clear" w:color="auto" w:fill="FFFFFF" w:themeFill="background1"/>
            <w:vAlign w:val="center"/>
          </w:tcPr>
          <w:p w14:paraId="324DCBA6">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val="0"/>
                <w:bCs/>
                <w:color w:val="auto"/>
                <w:sz w:val="22"/>
                <w:szCs w:val="22"/>
                <w:highlight w:val="none"/>
                <w:vertAlign w:val="baseline"/>
                <w:lang w:val="en-US" w:eastAsia="zh-CN"/>
              </w:rPr>
            </w:pPr>
            <w:r>
              <w:rPr>
                <w:rFonts w:hint="eastAsia" w:ascii="宋体" w:hAnsi="宋体" w:eastAsia="宋体" w:cs="宋体"/>
                <w:b w:val="0"/>
                <w:bCs/>
                <w:color w:val="auto"/>
                <w:sz w:val="22"/>
                <w:szCs w:val="22"/>
                <w:highlight w:val="none"/>
                <w:vertAlign w:val="baseline"/>
                <w:lang w:val="en-US" w:eastAsia="zh-CN"/>
              </w:rPr>
              <w:t xml:space="preserve"> 15.58 </w:t>
            </w:r>
          </w:p>
        </w:tc>
        <w:tc>
          <w:tcPr>
            <w:tcW w:w="1168" w:type="pct"/>
            <w:tcBorders>
              <w:tl2br w:val="nil"/>
              <w:tr2bl w:val="nil"/>
            </w:tcBorders>
            <w:shd w:val="clear" w:color="auto" w:fill="FFFFFF" w:themeFill="background1"/>
            <w:vAlign w:val="center"/>
          </w:tcPr>
          <w:p w14:paraId="3B05F2E8">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val="0"/>
                <w:bCs/>
                <w:color w:val="auto"/>
                <w:sz w:val="22"/>
                <w:szCs w:val="22"/>
                <w:highlight w:val="none"/>
                <w:vertAlign w:val="baseline"/>
                <w:lang w:val="en-US" w:eastAsia="zh-CN"/>
              </w:rPr>
            </w:pPr>
            <w:r>
              <w:rPr>
                <w:rFonts w:hint="eastAsia" w:ascii="宋体" w:hAnsi="宋体" w:eastAsia="宋体" w:cs="宋体"/>
                <w:b w:val="0"/>
                <w:bCs/>
                <w:color w:val="auto"/>
                <w:sz w:val="22"/>
                <w:szCs w:val="22"/>
                <w:highlight w:val="none"/>
                <w:vertAlign w:val="baseline"/>
                <w:lang w:val="en-US" w:eastAsia="zh-CN"/>
              </w:rPr>
              <w:t>77.90%</w:t>
            </w:r>
          </w:p>
        </w:tc>
      </w:tr>
      <w:tr w14:paraId="4BD6F189">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445" w:hRule="atLeast"/>
        </w:trPr>
        <w:tc>
          <w:tcPr>
            <w:tcW w:w="1543" w:type="pct"/>
            <w:tcBorders>
              <w:tl2br w:val="nil"/>
              <w:tr2bl w:val="nil"/>
            </w:tcBorders>
            <w:shd w:val="clear" w:color="auto" w:fill="FFFFFF" w:themeFill="background1"/>
            <w:vAlign w:val="center"/>
          </w:tcPr>
          <w:p w14:paraId="1389E054">
            <w:pPr>
              <w:pStyle w:val="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宋体" w:hAnsi="宋体" w:eastAsia="宋体" w:cs="宋体"/>
                <w:b w:val="0"/>
                <w:bCs/>
                <w:color w:val="auto"/>
                <w:sz w:val="22"/>
                <w:szCs w:val="22"/>
                <w:highlight w:val="none"/>
                <w:vertAlign w:val="baseline"/>
                <w:lang w:val="en-US" w:eastAsia="zh-CN"/>
              </w:rPr>
            </w:pPr>
            <w:r>
              <w:rPr>
                <w:rFonts w:hint="eastAsia" w:ascii="宋体" w:hAnsi="宋体" w:eastAsia="宋体" w:cs="宋体"/>
                <w:b w:val="0"/>
                <w:bCs/>
                <w:color w:val="auto"/>
                <w:sz w:val="22"/>
                <w:szCs w:val="22"/>
                <w:highlight w:val="none"/>
                <w:vertAlign w:val="baseline"/>
                <w:lang w:val="en-US" w:eastAsia="zh-CN"/>
              </w:rPr>
              <w:t>产出</w:t>
            </w:r>
          </w:p>
        </w:tc>
        <w:tc>
          <w:tcPr>
            <w:tcW w:w="1163" w:type="pct"/>
            <w:tcBorders>
              <w:tl2br w:val="nil"/>
              <w:tr2bl w:val="nil"/>
            </w:tcBorders>
            <w:shd w:val="clear" w:color="auto" w:fill="FFFFFF" w:themeFill="background1"/>
            <w:vAlign w:val="center"/>
          </w:tcPr>
          <w:p w14:paraId="102B2751">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val="0"/>
                <w:bCs/>
                <w:color w:val="auto"/>
                <w:sz w:val="22"/>
                <w:szCs w:val="22"/>
                <w:highlight w:val="none"/>
                <w:vertAlign w:val="baseline"/>
                <w:lang w:val="en-US" w:eastAsia="zh-CN"/>
              </w:rPr>
            </w:pPr>
            <w:r>
              <w:rPr>
                <w:rFonts w:hint="eastAsia" w:ascii="宋体" w:hAnsi="宋体" w:eastAsia="宋体" w:cs="宋体"/>
                <w:b w:val="0"/>
                <w:bCs/>
                <w:color w:val="auto"/>
                <w:sz w:val="22"/>
                <w:szCs w:val="22"/>
                <w:highlight w:val="none"/>
                <w:vertAlign w:val="baseline"/>
                <w:lang w:val="en-US" w:eastAsia="zh-CN"/>
              </w:rPr>
              <w:t>30</w:t>
            </w:r>
          </w:p>
        </w:tc>
        <w:tc>
          <w:tcPr>
            <w:tcW w:w="1124" w:type="pct"/>
            <w:tcBorders>
              <w:tl2br w:val="nil"/>
              <w:tr2bl w:val="nil"/>
            </w:tcBorders>
            <w:shd w:val="clear" w:color="auto" w:fill="FFFFFF" w:themeFill="background1"/>
            <w:vAlign w:val="center"/>
          </w:tcPr>
          <w:p w14:paraId="70EC06BE">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val="0"/>
                <w:bCs/>
                <w:color w:val="auto"/>
                <w:sz w:val="22"/>
                <w:szCs w:val="22"/>
                <w:highlight w:val="none"/>
                <w:vertAlign w:val="baseline"/>
                <w:lang w:val="en-US" w:eastAsia="zh-CN"/>
              </w:rPr>
            </w:pPr>
            <w:r>
              <w:rPr>
                <w:rFonts w:hint="eastAsia" w:ascii="宋体" w:hAnsi="宋体" w:eastAsia="宋体" w:cs="宋体"/>
                <w:b w:val="0"/>
                <w:bCs/>
                <w:color w:val="auto"/>
                <w:sz w:val="22"/>
                <w:szCs w:val="22"/>
                <w:highlight w:val="none"/>
                <w:vertAlign w:val="baseline"/>
                <w:lang w:val="en-US" w:eastAsia="zh-CN"/>
              </w:rPr>
              <w:t xml:space="preserve"> 24.14 </w:t>
            </w:r>
          </w:p>
        </w:tc>
        <w:tc>
          <w:tcPr>
            <w:tcW w:w="1168" w:type="pct"/>
            <w:tcBorders>
              <w:tl2br w:val="nil"/>
              <w:tr2bl w:val="nil"/>
            </w:tcBorders>
            <w:shd w:val="clear" w:color="auto" w:fill="FFFFFF" w:themeFill="background1"/>
            <w:vAlign w:val="center"/>
          </w:tcPr>
          <w:p w14:paraId="3E9FA771">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val="0"/>
                <w:bCs/>
                <w:color w:val="auto"/>
                <w:sz w:val="22"/>
                <w:szCs w:val="22"/>
                <w:highlight w:val="none"/>
                <w:vertAlign w:val="baseline"/>
                <w:lang w:val="en-US" w:eastAsia="zh-CN"/>
              </w:rPr>
            </w:pPr>
            <w:r>
              <w:rPr>
                <w:rFonts w:hint="eastAsia" w:ascii="宋体" w:hAnsi="宋体" w:eastAsia="宋体" w:cs="宋体"/>
                <w:b w:val="0"/>
                <w:bCs/>
                <w:color w:val="auto"/>
                <w:sz w:val="22"/>
                <w:szCs w:val="22"/>
                <w:highlight w:val="none"/>
                <w:vertAlign w:val="baseline"/>
                <w:lang w:val="en-US" w:eastAsia="zh-CN"/>
              </w:rPr>
              <w:t>80.47%</w:t>
            </w:r>
          </w:p>
        </w:tc>
      </w:tr>
      <w:tr w14:paraId="29F875E4">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shd w:val="clear" w:color="auto" w:fill="FFFFFF" w:themeFill="background1"/>
          <w:tblCellMar>
            <w:top w:w="0" w:type="dxa"/>
            <w:left w:w="108" w:type="dxa"/>
            <w:bottom w:w="0" w:type="dxa"/>
            <w:right w:w="108" w:type="dxa"/>
          </w:tblCellMar>
        </w:tblPrEx>
        <w:trPr>
          <w:trHeight w:val="445" w:hRule="atLeast"/>
        </w:trPr>
        <w:tc>
          <w:tcPr>
            <w:tcW w:w="1543" w:type="pct"/>
            <w:tcBorders>
              <w:tl2br w:val="nil"/>
              <w:tr2bl w:val="nil"/>
            </w:tcBorders>
            <w:shd w:val="clear" w:color="auto" w:fill="FFFFFF" w:themeFill="background1"/>
            <w:vAlign w:val="center"/>
          </w:tcPr>
          <w:p w14:paraId="3EE818DD">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val="0"/>
                <w:bCs/>
                <w:color w:val="auto"/>
                <w:sz w:val="22"/>
                <w:szCs w:val="22"/>
                <w:highlight w:val="none"/>
                <w:vertAlign w:val="baseline"/>
                <w:lang w:val="en-US" w:eastAsia="zh-CN"/>
              </w:rPr>
            </w:pPr>
            <w:r>
              <w:rPr>
                <w:rFonts w:hint="eastAsia" w:ascii="宋体" w:hAnsi="宋体" w:eastAsia="宋体" w:cs="宋体"/>
                <w:b w:val="0"/>
                <w:bCs/>
                <w:color w:val="auto"/>
                <w:sz w:val="22"/>
                <w:szCs w:val="22"/>
                <w:highlight w:val="none"/>
                <w:vertAlign w:val="baseline"/>
                <w:lang w:val="en-US" w:eastAsia="zh-CN"/>
              </w:rPr>
              <w:t>效益</w:t>
            </w:r>
          </w:p>
        </w:tc>
        <w:tc>
          <w:tcPr>
            <w:tcW w:w="1163" w:type="pct"/>
            <w:tcBorders>
              <w:tl2br w:val="nil"/>
              <w:tr2bl w:val="nil"/>
            </w:tcBorders>
            <w:shd w:val="clear" w:color="auto" w:fill="FFFFFF" w:themeFill="background1"/>
            <w:vAlign w:val="center"/>
          </w:tcPr>
          <w:p w14:paraId="7EFCEE1A">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val="0"/>
                <w:bCs/>
                <w:color w:val="auto"/>
                <w:sz w:val="22"/>
                <w:szCs w:val="22"/>
                <w:highlight w:val="none"/>
                <w:vertAlign w:val="baseline"/>
                <w:lang w:val="en-US" w:eastAsia="zh-CN"/>
              </w:rPr>
            </w:pPr>
            <w:r>
              <w:rPr>
                <w:rFonts w:hint="eastAsia" w:ascii="宋体" w:hAnsi="宋体" w:eastAsia="宋体" w:cs="宋体"/>
                <w:b w:val="0"/>
                <w:bCs/>
                <w:color w:val="auto"/>
                <w:sz w:val="22"/>
                <w:szCs w:val="22"/>
                <w:highlight w:val="none"/>
                <w:vertAlign w:val="baseline"/>
                <w:lang w:val="en-US" w:eastAsia="zh-CN"/>
              </w:rPr>
              <w:t>30</w:t>
            </w:r>
          </w:p>
        </w:tc>
        <w:tc>
          <w:tcPr>
            <w:tcW w:w="1124" w:type="pct"/>
            <w:tcBorders>
              <w:tl2br w:val="nil"/>
              <w:tr2bl w:val="nil"/>
            </w:tcBorders>
            <w:shd w:val="clear" w:color="auto" w:fill="FFFFFF" w:themeFill="background1"/>
            <w:vAlign w:val="center"/>
          </w:tcPr>
          <w:p w14:paraId="53D25326">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val="0"/>
                <w:bCs/>
                <w:color w:val="auto"/>
                <w:sz w:val="22"/>
                <w:szCs w:val="22"/>
                <w:highlight w:val="none"/>
                <w:vertAlign w:val="baseline"/>
                <w:lang w:val="en-US" w:eastAsia="zh-CN"/>
              </w:rPr>
            </w:pPr>
            <w:r>
              <w:rPr>
                <w:rFonts w:hint="eastAsia" w:ascii="宋体" w:hAnsi="宋体" w:eastAsia="宋体" w:cs="宋体"/>
                <w:b w:val="0"/>
                <w:bCs/>
                <w:color w:val="auto"/>
                <w:sz w:val="22"/>
                <w:szCs w:val="22"/>
                <w:highlight w:val="none"/>
                <w:vertAlign w:val="baseline"/>
                <w:lang w:val="en-US" w:eastAsia="zh-CN"/>
              </w:rPr>
              <w:t xml:space="preserve"> 24.94 </w:t>
            </w:r>
          </w:p>
        </w:tc>
        <w:tc>
          <w:tcPr>
            <w:tcW w:w="1168" w:type="pct"/>
            <w:tcBorders>
              <w:tl2br w:val="nil"/>
              <w:tr2bl w:val="nil"/>
            </w:tcBorders>
            <w:shd w:val="clear" w:color="auto" w:fill="FFFFFF" w:themeFill="background1"/>
            <w:vAlign w:val="center"/>
          </w:tcPr>
          <w:p w14:paraId="44FC5849">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val="0"/>
                <w:bCs/>
                <w:color w:val="auto"/>
                <w:sz w:val="22"/>
                <w:szCs w:val="22"/>
                <w:highlight w:val="none"/>
                <w:vertAlign w:val="baseline"/>
                <w:lang w:val="en-US" w:eastAsia="zh-CN"/>
              </w:rPr>
            </w:pPr>
            <w:r>
              <w:rPr>
                <w:rFonts w:hint="eastAsia" w:ascii="宋体" w:hAnsi="宋体" w:eastAsia="宋体" w:cs="宋体"/>
                <w:b w:val="0"/>
                <w:bCs/>
                <w:color w:val="auto"/>
                <w:sz w:val="22"/>
                <w:szCs w:val="22"/>
                <w:highlight w:val="none"/>
                <w:vertAlign w:val="baseline"/>
                <w:lang w:val="en-US" w:eastAsia="zh-CN"/>
              </w:rPr>
              <w:t>83.13%</w:t>
            </w:r>
          </w:p>
        </w:tc>
      </w:tr>
      <w:tr w14:paraId="7FD01BCE">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445" w:hRule="atLeast"/>
        </w:trPr>
        <w:tc>
          <w:tcPr>
            <w:tcW w:w="1543" w:type="pct"/>
            <w:tcBorders>
              <w:tl2br w:val="nil"/>
              <w:tr2bl w:val="nil"/>
            </w:tcBorders>
            <w:shd w:val="clear" w:color="auto" w:fill="FFFFFF" w:themeFill="background1"/>
            <w:vAlign w:val="center"/>
          </w:tcPr>
          <w:p w14:paraId="494A1852">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val="0"/>
                <w:bCs/>
                <w:color w:val="auto"/>
                <w:sz w:val="22"/>
                <w:szCs w:val="22"/>
                <w:highlight w:val="none"/>
                <w:vertAlign w:val="baseline"/>
                <w:lang w:val="en-US" w:eastAsia="zh-CN"/>
              </w:rPr>
            </w:pPr>
            <w:r>
              <w:rPr>
                <w:rFonts w:hint="eastAsia" w:ascii="宋体" w:hAnsi="宋体" w:eastAsia="宋体" w:cs="宋体"/>
                <w:b/>
                <w:bCs w:val="0"/>
                <w:color w:val="auto"/>
                <w:sz w:val="22"/>
                <w:szCs w:val="22"/>
                <w:highlight w:val="none"/>
                <w:vertAlign w:val="baseline"/>
                <w:lang w:val="zh-CN"/>
              </w:rPr>
              <w:t>综合绩效</w:t>
            </w:r>
          </w:p>
        </w:tc>
        <w:tc>
          <w:tcPr>
            <w:tcW w:w="1163" w:type="pct"/>
            <w:tcBorders>
              <w:tl2br w:val="nil"/>
              <w:tr2bl w:val="nil"/>
            </w:tcBorders>
            <w:shd w:val="clear" w:color="auto" w:fill="FFFFFF" w:themeFill="background1"/>
            <w:vAlign w:val="center"/>
          </w:tcPr>
          <w:p w14:paraId="5F47D6A5">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val="0"/>
                <w:color w:val="auto"/>
                <w:sz w:val="22"/>
                <w:szCs w:val="22"/>
                <w:highlight w:val="none"/>
                <w:vertAlign w:val="baseline"/>
                <w:lang w:val="en-US" w:eastAsia="zh-CN"/>
              </w:rPr>
            </w:pPr>
            <w:r>
              <w:rPr>
                <w:rFonts w:hint="eastAsia" w:ascii="宋体" w:hAnsi="宋体" w:eastAsia="宋体" w:cs="宋体"/>
                <w:b/>
                <w:bCs w:val="0"/>
                <w:color w:val="auto"/>
                <w:sz w:val="22"/>
                <w:szCs w:val="22"/>
                <w:highlight w:val="none"/>
                <w:vertAlign w:val="baseline"/>
                <w:lang w:val="en-US" w:eastAsia="zh-CN"/>
              </w:rPr>
              <w:t>100</w:t>
            </w:r>
          </w:p>
        </w:tc>
        <w:tc>
          <w:tcPr>
            <w:tcW w:w="1124" w:type="pct"/>
            <w:tcBorders>
              <w:tl2br w:val="nil"/>
              <w:tr2bl w:val="nil"/>
            </w:tcBorders>
            <w:shd w:val="clear" w:color="auto" w:fill="FFFFFF" w:themeFill="background1"/>
            <w:vAlign w:val="center"/>
          </w:tcPr>
          <w:p w14:paraId="10FC7F34">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val="0"/>
                <w:color w:val="auto"/>
                <w:sz w:val="22"/>
                <w:szCs w:val="22"/>
                <w:highlight w:val="none"/>
                <w:vertAlign w:val="baseline"/>
                <w:lang w:val="en-US" w:eastAsia="zh-CN"/>
              </w:rPr>
            </w:pPr>
            <w:r>
              <w:rPr>
                <w:rFonts w:hint="eastAsia" w:ascii="宋体" w:hAnsi="宋体" w:eastAsia="宋体" w:cs="宋体"/>
                <w:b/>
                <w:bCs w:val="0"/>
                <w:color w:val="auto"/>
                <w:sz w:val="22"/>
                <w:szCs w:val="22"/>
                <w:highlight w:val="none"/>
                <w:vertAlign w:val="baseline"/>
                <w:lang w:val="en-US" w:eastAsia="zh-CN"/>
              </w:rPr>
              <w:t xml:space="preserve"> 81.65 </w:t>
            </w:r>
          </w:p>
        </w:tc>
        <w:tc>
          <w:tcPr>
            <w:tcW w:w="1168" w:type="pct"/>
            <w:tcBorders>
              <w:tl2br w:val="nil"/>
              <w:tr2bl w:val="nil"/>
            </w:tcBorders>
            <w:shd w:val="clear" w:color="auto" w:fill="FFFFFF" w:themeFill="background1"/>
            <w:vAlign w:val="center"/>
          </w:tcPr>
          <w:p w14:paraId="24456E0C">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val="0"/>
                <w:color w:val="auto"/>
                <w:sz w:val="22"/>
                <w:szCs w:val="22"/>
                <w:highlight w:val="none"/>
                <w:vertAlign w:val="baseline"/>
                <w:lang w:val="en-US" w:eastAsia="zh-CN"/>
              </w:rPr>
            </w:pPr>
            <w:r>
              <w:rPr>
                <w:rFonts w:hint="eastAsia" w:ascii="宋体" w:hAnsi="宋体" w:eastAsia="宋体" w:cs="宋体"/>
                <w:b/>
                <w:bCs w:val="0"/>
                <w:color w:val="auto"/>
                <w:sz w:val="22"/>
                <w:szCs w:val="22"/>
                <w:highlight w:val="none"/>
                <w:vertAlign w:val="baseline"/>
                <w:lang w:val="en-US" w:eastAsia="zh-CN"/>
              </w:rPr>
              <w:t>81.65%</w:t>
            </w:r>
          </w:p>
        </w:tc>
      </w:tr>
    </w:tbl>
    <w:p w14:paraId="268F825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outlineLvl w:val="1"/>
        <w:rPr>
          <w:rFonts w:hint="eastAsia" w:ascii="Times New Roman" w:hAnsi="Times New Roman" w:eastAsia="楷体_GB2312" w:cs="Times New Roman"/>
          <w:color w:val="auto"/>
          <w:kern w:val="2"/>
          <w:sz w:val="32"/>
          <w:szCs w:val="32"/>
          <w:highlight w:val="none"/>
          <w:lang w:val="en-US" w:eastAsia="zh-CN" w:bidi="ar-SA"/>
        </w:rPr>
      </w:pPr>
      <w:bookmarkStart w:id="42" w:name="_Toc13985"/>
      <w:bookmarkStart w:id="43" w:name="_Toc26137"/>
      <w:bookmarkStart w:id="44" w:name="_Toc14909"/>
      <w:r>
        <w:rPr>
          <w:rFonts w:hint="eastAsia" w:ascii="Times New Roman" w:hAnsi="Times New Roman" w:eastAsia="楷体_GB2312" w:cs="Times New Roman"/>
          <w:color w:val="auto"/>
          <w:kern w:val="2"/>
          <w:sz w:val="32"/>
          <w:szCs w:val="32"/>
          <w:highlight w:val="none"/>
          <w:lang w:val="en-US" w:eastAsia="zh-CN" w:bidi="ar-SA"/>
        </w:rPr>
        <w:t>决策</w:t>
      </w:r>
      <w:bookmarkEnd w:id="42"/>
      <w:bookmarkEnd w:id="43"/>
    </w:p>
    <w:p w14:paraId="0FA558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指标分值20分，得分17分，得分率85%。</w:t>
      </w:r>
    </w:p>
    <w:p w14:paraId="4936A0A0">
      <w:pPr>
        <w:numPr>
          <w:ilvl w:val="0"/>
          <w:numId w:val="2"/>
        </w:numPr>
        <w:spacing w:line="600" w:lineRule="exact"/>
        <w:ind w:left="-10" w:leftChars="0" w:firstLine="640" w:firstLineChars="0"/>
        <w:rPr>
          <w:rFonts w:hint="default" w:ascii="Times New Roman" w:hAnsi="Times New Roman" w:eastAsia="仿宋_GB2312" w:cs="Times New Roman"/>
          <w:color w:val="auto"/>
          <w:kern w:val="2"/>
          <w:sz w:val="32"/>
          <w:szCs w:val="32"/>
          <w:highlight w:val="none"/>
          <w:lang w:val="en-US" w:eastAsia="zh-CN" w:bidi="ar-SA"/>
        </w:rPr>
      </w:pPr>
      <w:bookmarkStart w:id="45" w:name="_Toc32637"/>
      <w:r>
        <w:rPr>
          <w:rFonts w:hint="eastAsia" w:ascii="Times New Roman" w:hAnsi="Times New Roman" w:eastAsia="仿宋_GB2312" w:cs="Times New Roman"/>
          <w:kern w:val="0"/>
          <w:sz w:val="32"/>
          <w:szCs w:val="32"/>
          <w:lang w:val="en-US" w:eastAsia="zh-CN"/>
        </w:rPr>
        <w:t>立项依据方面。青岛市民政局根据国家、山东省、青岛市关于推进养老服务发展的实施意见、推进基本养老服务体系建设的</w:t>
      </w:r>
      <w:r>
        <w:rPr>
          <w:rFonts w:hint="eastAsia" w:ascii="Times New Roman" w:hAnsi="Times New Roman" w:eastAsia="仿宋_GB2312" w:cs="Times New Roman"/>
          <w:kern w:val="0"/>
          <w:sz w:val="32"/>
          <w:szCs w:val="32"/>
          <w:highlight w:val="none"/>
          <w:lang w:val="en-US" w:eastAsia="zh-CN"/>
        </w:rPr>
        <w:t>意见的相关要求，对符合要求的养老机构、综合养老服务中心进行奖补，立项依据充足，符合法律法规及行业规划要求，项目设立符合相关规定。</w:t>
      </w:r>
    </w:p>
    <w:p w14:paraId="06B356B2">
      <w:pPr>
        <w:numPr>
          <w:ilvl w:val="0"/>
          <w:numId w:val="2"/>
        </w:numPr>
        <w:spacing w:line="600" w:lineRule="exact"/>
        <w:ind w:left="-10" w:leftChars="0" w:firstLine="640" w:firstLineChars="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绩效目标方面。本项目分别编制青岛市民政局</w:t>
      </w:r>
      <w:r>
        <w:rPr>
          <w:rFonts w:hint="default" w:ascii="Times New Roman" w:hAnsi="Times New Roman" w:eastAsia="仿宋_GB2312" w:cs="Times New Roman"/>
          <w:color w:val="auto"/>
          <w:kern w:val="2"/>
          <w:sz w:val="32"/>
          <w:szCs w:val="32"/>
          <w:highlight w:val="none"/>
          <w:lang w:val="en-US" w:eastAsia="zh-CN" w:bidi="ar-SA"/>
        </w:rPr>
        <w:t>星级养老机构评定奖补资金</w:t>
      </w:r>
      <w:r>
        <w:rPr>
          <w:rFonts w:hint="eastAsia" w:ascii="Times New Roman" w:hAnsi="Times New Roman" w:eastAsia="仿宋_GB2312" w:cs="Times New Roman"/>
          <w:color w:val="auto"/>
          <w:kern w:val="2"/>
          <w:sz w:val="32"/>
          <w:szCs w:val="32"/>
          <w:highlight w:val="none"/>
          <w:lang w:val="en-US" w:eastAsia="zh-CN" w:bidi="ar-SA"/>
        </w:rPr>
        <w:t>绩效目标表、2023年</w:t>
      </w:r>
      <w:r>
        <w:rPr>
          <w:rFonts w:hint="eastAsia" w:ascii="Times New Roman" w:hAnsi="Times New Roman" w:eastAsia="仿宋_GB2312" w:cs="Times New Roman"/>
          <w:color w:val="auto"/>
          <w:sz w:val="32"/>
          <w:szCs w:val="32"/>
          <w:highlight w:val="none"/>
          <w:lang w:val="en-US" w:eastAsia="zh-CN"/>
        </w:rPr>
        <w:t>街道（镇）综合养老服务中心运营奖励资金</w:t>
      </w:r>
      <w:r>
        <w:rPr>
          <w:rFonts w:hint="eastAsia" w:ascii="Times New Roman" w:hAnsi="Times New Roman" w:eastAsia="仿宋_GB2312" w:cs="Times New Roman"/>
          <w:color w:val="auto"/>
          <w:kern w:val="2"/>
          <w:sz w:val="32"/>
          <w:szCs w:val="32"/>
          <w:highlight w:val="none"/>
          <w:lang w:val="en-US" w:eastAsia="zh-CN" w:bidi="ar-SA"/>
        </w:rPr>
        <w:t>绩效目标表，</w:t>
      </w:r>
      <w:r>
        <w:rPr>
          <w:rFonts w:hint="default" w:ascii="Times New Roman" w:hAnsi="Times New Roman" w:eastAsia="仿宋_GB2312" w:cs="Times New Roman"/>
          <w:color w:val="auto"/>
          <w:kern w:val="2"/>
          <w:sz w:val="32"/>
          <w:szCs w:val="32"/>
          <w:highlight w:val="none"/>
          <w:lang w:val="en-US" w:eastAsia="zh-CN" w:bidi="ar-SA"/>
        </w:rPr>
        <w:t>绩效目标与实际工作内容具有相关性、预期产出效益符合正常的业绩水平</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但部分绩效指标设置的准确性和规范性不够，</w:t>
      </w:r>
      <w:r>
        <w:rPr>
          <w:rFonts w:hint="eastAsia" w:ascii="Times New Roman" w:hAnsi="Times New Roman" w:eastAsia="仿宋_GB2312" w:cs="Times New Roman"/>
          <w:color w:val="auto"/>
          <w:kern w:val="2"/>
          <w:sz w:val="32"/>
          <w:szCs w:val="32"/>
          <w:highlight w:val="none"/>
          <w:lang w:val="en-US" w:eastAsia="zh-CN" w:bidi="ar-SA"/>
        </w:rPr>
        <w:t>目标设置难以量化，例如</w:t>
      </w:r>
      <w:r>
        <w:rPr>
          <w:rFonts w:hint="eastAsia" w:ascii="Times New Roman" w:hAnsi="Times New Roman" w:eastAsia="仿宋_GB2312" w:cs="Times New Roman"/>
          <w:color w:val="auto"/>
          <w:sz w:val="32"/>
          <w:szCs w:val="32"/>
          <w:highlight w:val="none"/>
          <w:lang w:val="en-US" w:eastAsia="zh-CN"/>
        </w:rPr>
        <w:t>星级养老机构评定奖补资金项目</w:t>
      </w:r>
      <w:r>
        <w:rPr>
          <w:rFonts w:hint="eastAsia" w:ascii="Times New Roman" w:hAnsi="Times New Roman" w:eastAsia="仿宋_GB2312" w:cs="Times New Roman"/>
          <w:color w:val="auto"/>
          <w:kern w:val="2"/>
          <w:sz w:val="32"/>
          <w:szCs w:val="32"/>
          <w:highlight w:val="none"/>
          <w:lang w:val="en-US" w:eastAsia="zh-CN" w:bidi="ar-SA"/>
        </w:rPr>
        <w:t>绩效目标表中</w:t>
      </w:r>
      <w:r>
        <w:rPr>
          <w:rFonts w:hint="default" w:ascii="Times New Roman" w:hAnsi="Times New Roman" w:eastAsia="仿宋_GB2312" w:cs="Times New Roman"/>
          <w:color w:val="auto"/>
          <w:kern w:val="2"/>
          <w:sz w:val="32"/>
          <w:szCs w:val="32"/>
          <w:highlight w:val="none"/>
          <w:lang w:val="en-US" w:eastAsia="zh-CN" w:bidi="ar-SA"/>
        </w:rPr>
        <w:t>效益指标设置为</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养老机构服务质量水平</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10</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根据评分标准扣</w:t>
      </w:r>
      <w:r>
        <w:rPr>
          <w:rFonts w:hint="default" w:ascii="Times New Roman" w:hAnsi="Times New Roman" w:eastAsia="仿宋_GB2312" w:cs="Times New Roman"/>
          <w:color w:val="auto"/>
          <w:kern w:val="2"/>
          <w:sz w:val="32"/>
          <w:szCs w:val="32"/>
          <w:highlight w:val="none"/>
          <w:lang w:val="en-US" w:eastAsia="zh-CN" w:bidi="ar-SA"/>
        </w:rPr>
        <w:t>1分</w:t>
      </w:r>
      <w:r>
        <w:rPr>
          <w:rFonts w:hint="eastAsia" w:ascii="Times New Roman" w:hAnsi="Times New Roman" w:eastAsia="仿宋_GB2312" w:cs="Times New Roman"/>
          <w:color w:val="auto"/>
          <w:kern w:val="2"/>
          <w:sz w:val="32"/>
          <w:szCs w:val="32"/>
          <w:highlight w:val="none"/>
          <w:lang w:val="en-US" w:eastAsia="zh-CN" w:bidi="ar-SA"/>
        </w:rPr>
        <w:t>。</w:t>
      </w:r>
    </w:p>
    <w:p w14:paraId="66EACBA4">
      <w:pPr>
        <w:numPr>
          <w:ilvl w:val="0"/>
          <w:numId w:val="2"/>
        </w:numPr>
        <w:spacing w:line="600" w:lineRule="exact"/>
        <w:ind w:left="-10" w:leftChars="0" w:firstLine="640" w:firstLineChars="0"/>
        <w:rPr>
          <w:rFonts w:hint="default" w:ascii="Times New Roman" w:hAnsi="Times New Roman" w:eastAsia="仿宋_GB2312" w:cs="Times New Roman"/>
          <w:color w:val="auto"/>
          <w:kern w:val="2"/>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rPr>
        <w:t>资金投入方面。</w:t>
      </w:r>
      <w:r>
        <w:rPr>
          <w:rFonts w:hint="default" w:ascii="Times New Roman" w:hAnsi="Times New Roman" w:eastAsia="仿宋_GB2312" w:cs="Times New Roman"/>
          <w:color w:val="auto"/>
          <w:sz w:val="32"/>
          <w:szCs w:val="32"/>
          <w:highlight w:val="none"/>
        </w:rPr>
        <w:t>项目</w:t>
      </w:r>
      <w:r>
        <w:rPr>
          <w:rFonts w:hint="default" w:ascii="Times New Roman" w:hAnsi="Times New Roman" w:eastAsia="仿宋_GB2312" w:cs="Times New Roman"/>
          <w:color w:val="auto"/>
          <w:sz w:val="32"/>
          <w:szCs w:val="32"/>
          <w:highlight w:val="none"/>
          <w:lang w:val="en-US" w:eastAsia="zh-CN"/>
        </w:rPr>
        <w:t>以《关于健全完善各类养老服务补贴的通知》(青民[2020]14号）、《青岛市人民政府办公厅关于印发青岛市进一步优化完善综合养老服务措施的通知》（青政办发</w:t>
      </w:r>
      <w:r>
        <w:rPr>
          <w:rFonts w:hint="eastAsia" w:ascii="Times New Roman" w:hAnsi="Times New Roman" w:eastAsia="仿宋_GB2312" w:cs="Times New Roman"/>
          <w:color w:val="auto"/>
          <w:sz w:val="32"/>
          <w:szCs w:val="32"/>
          <w:highlight w:val="none"/>
          <w:lang w:val="en-US" w:eastAsia="zh-CN"/>
        </w:rPr>
        <w:t>[2022]</w:t>
      </w:r>
      <w:r>
        <w:rPr>
          <w:rFonts w:hint="default" w:ascii="Times New Roman" w:hAnsi="Times New Roman" w:eastAsia="仿宋_GB2312" w:cs="Times New Roman"/>
          <w:color w:val="auto"/>
          <w:sz w:val="32"/>
          <w:szCs w:val="32"/>
          <w:highlight w:val="none"/>
          <w:lang w:val="en-US" w:eastAsia="zh-CN"/>
        </w:rPr>
        <w:t>10号）为依据，资金投入</w:t>
      </w:r>
      <w:r>
        <w:rPr>
          <w:rFonts w:hint="default" w:ascii="Times New Roman" w:hAnsi="Times New Roman" w:eastAsia="仿宋_GB2312" w:cs="Times New Roman"/>
          <w:color w:val="auto"/>
          <w:sz w:val="32"/>
          <w:szCs w:val="32"/>
          <w:highlight w:val="none"/>
        </w:rPr>
        <w:t>有明确标准，</w:t>
      </w:r>
      <w:r>
        <w:rPr>
          <w:rFonts w:hint="eastAsia" w:ascii="Times New Roman" w:hAnsi="Times New Roman" w:eastAsia="仿宋_GB2312" w:cs="Times New Roman"/>
          <w:color w:val="auto"/>
          <w:sz w:val="32"/>
          <w:szCs w:val="32"/>
          <w:highlight w:val="none"/>
          <w:lang w:val="en-US" w:eastAsia="zh-CN"/>
        </w:rPr>
        <w:t>但2024年</w:t>
      </w:r>
      <w:r>
        <w:rPr>
          <w:rFonts w:hint="default" w:ascii="Times New Roman" w:hAnsi="Times New Roman" w:eastAsia="仿宋_GB2312" w:cs="Times New Roman"/>
          <w:color w:val="auto"/>
          <w:sz w:val="32"/>
          <w:szCs w:val="32"/>
          <w:highlight w:val="none"/>
        </w:rPr>
        <w:t>资金</w:t>
      </w:r>
      <w:r>
        <w:rPr>
          <w:rFonts w:hint="eastAsia" w:ascii="Times New Roman" w:hAnsi="Times New Roman" w:eastAsia="仿宋_GB2312" w:cs="Times New Roman"/>
          <w:color w:val="auto"/>
          <w:sz w:val="32"/>
          <w:szCs w:val="32"/>
          <w:highlight w:val="none"/>
          <w:lang w:val="en-US" w:eastAsia="zh-CN"/>
        </w:rPr>
        <w:t>预算编制合理性欠佳，</w:t>
      </w:r>
      <w:bookmarkEnd w:id="45"/>
      <w:r>
        <w:rPr>
          <w:rFonts w:hint="eastAsia" w:ascii="Times New Roman" w:hAnsi="Times New Roman" w:eastAsia="仿宋_GB2312" w:cs="Times New Roman"/>
          <w:color w:val="auto"/>
          <w:sz w:val="32"/>
          <w:szCs w:val="32"/>
          <w:highlight w:val="none"/>
          <w:lang w:val="en-US" w:eastAsia="zh-CN"/>
        </w:rPr>
        <w:t>市民政局</w:t>
      </w:r>
      <w:r>
        <w:rPr>
          <w:rFonts w:hint="default" w:ascii="Times New Roman" w:hAnsi="Times New Roman" w:eastAsia="仿宋_GB2312" w:cs="Times New Roman"/>
          <w:color w:val="auto"/>
          <w:sz w:val="32"/>
          <w:szCs w:val="32"/>
          <w:highlight w:val="none"/>
          <w:lang w:eastAsia="zh-CN"/>
        </w:rPr>
        <w:t>因政策调整未进行2023年度</w:t>
      </w:r>
      <w:r>
        <w:rPr>
          <w:rFonts w:hint="eastAsia" w:ascii="Times New Roman" w:hAnsi="Times New Roman" w:eastAsia="仿宋_GB2312" w:cs="Times New Roman"/>
          <w:color w:val="auto"/>
          <w:sz w:val="32"/>
          <w:szCs w:val="32"/>
          <w:highlight w:val="none"/>
          <w:lang w:val="en-US" w:eastAsia="zh-CN"/>
        </w:rPr>
        <w:t>养老</w:t>
      </w:r>
      <w:r>
        <w:rPr>
          <w:rFonts w:hint="default" w:ascii="Times New Roman" w:hAnsi="Times New Roman" w:eastAsia="仿宋_GB2312" w:cs="Times New Roman"/>
          <w:color w:val="auto"/>
          <w:sz w:val="32"/>
          <w:szCs w:val="32"/>
          <w:highlight w:val="none"/>
          <w:lang w:eastAsia="zh-CN"/>
        </w:rPr>
        <w:t>机构星级评定</w:t>
      </w:r>
      <w:r>
        <w:rPr>
          <w:rFonts w:hint="eastAsia" w:ascii="Times New Roman" w:hAnsi="Times New Roman" w:eastAsia="仿宋_GB2312" w:cs="Times New Roman"/>
          <w:color w:val="auto"/>
          <w:sz w:val="32"/>
          <w:szCs w:val="32"/>
          <w:highlight w:val="none"/>
          <w:lang w:val="en-US" w:eastAsia="zh-CN"/>
        </w:rPr>
        <w:t>工作</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2024</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本项目</w:t>
      </w:r>
      <w:r>
        <w:rPr>
          <w:rFonts w:hint="default" w:ascii="Times New Roman" w:hAnsi="Times New Roman" w:eastAsia="仿宋_GB2312" w:cs="Times New Roman"/>
          <w:color w:val="auto"/>
          <w:sz w:val="32"/>
          <w:szCs w:val="32"/>
          <w:highlight w:val="none"/>
          <w:lang w:eastAsia="zh-CN"/>
        </w:rPr>
        <w:t>预算不应包含2</w:t>
      </w:r>
      <w:r>
        <w:rPr>
          <w:rFonts w:hint="eastAsia" w:ascii="Times New Roman" w:hAnsi="Times New Roman" w:eastAsia="仿宋_GB2312" w:cs="Times New Roman"/>
          <w:color w:val="auto"/>
          <w:sz w:val="32"/>
          <w:szCs w:val="32"/>
          <w:highlight w:val="none"/>
          <w:lang w:val="en-US" w:eastAsia="zh-CN"/>
        </w:rPr>
        <w:t>02</w:t>
      </w:r>
      <w:r>
        <w:rPr>
          <w:rFonts w:hint="default" w:ascii="Times New Roman" w:hAnsi="Times New Roman" w:eastAsia="仿宋_GB2312" w:cs="Times New Roman"/>
          <w:color w:val="auto"/>
          <w:sz w:val="32"/>
          <w:szCs w:val="32"/>
          <w:highlight w:val="none"/>
          <w:lang w:eastAsia="zh-CN"/>
        </w:rPr>
        <w:t>3年评定结果奖补资金。</w:t>
      </w:r>
      <w:r>
        <w:rPr>
          <w:rFonts w:hint="eastAsia" w:ascii="Times New Roman" w:hAnsi="Times New Roman" w:eastAsia="仿宋_GB2312" w:cs="Times New Roman"/>
          <w:color w:val="auto"/>
          <w:sz w:val="32"/>
          <w:szCs w:val="32"/>
          <w:highlight w:val="none"/>
          <w:lang w:val="en-US" w:eastAsia="zh-CN"/>
        </w:rPr>
        <w:t>根据评分标准扣2分。</w:t>
      </w:r>
    </w:p>
    <w:p w14:paraId="76EA10F1">
      <w:pPr>
        <w:pStyle w:val="17"/>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640" w:firstLineChars="200"/>
        <w:outlineLvl w:val="1"/>
        <w:rPr>
          <w:rFonts w:hint="eastAsia" w:ascii="Times New Roman" w:hAnsi="Times New Roman" w:eastAsia="楷体_GB2312" w:cs="Times New Roman"/>
          <w:color w:val="auto"/>
          <w:kern w:val="2"/>
          <w:sz w:val="32"/>
          <w:szCs w:val="32"/>
          <w:highlight w:val="none"/>
          <w:lang w:val="en-US" w:eastAsia="zh-CN" w:bidi="ar-SA"/>
        </w:rPr>
      </w:pPr>
      <w:bookmarkStart w:id="46" w:name="_Toc27719"/>
      <w:bookmarkStart w:id="47" w:name="_Toc12319"/>
      <w:r>
        <w:rPr>
          <w:rFonts w:hint="eastAsia" w:ascii="Times New Roman" w:hAnsi="Times New Roman" w:eastAsia="楷体_GB2312" w:cs="Times New Roman"/>
          <w:color w:val="auto"/>
          <w:kern w:val="2"/>
          <w:sz w:val="32"/>
          <w:szCs w:val="32"/>
          <w:highlight w:val="none"/>
          <w:lang w:val="en-US" w:eastAsia="zh-CN" w:bidi="ar-SA"/>
        </w:rPr>
        <w:t>过程</w:t>
      </w:r>
      <w:bookmarkEnd w:id="46"/>
      <w:bookmarkEnd w:id="47"/>
    </w:p>
    <w:p w14:paraId="553B64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指标分值20分，得分15.58分，得分率77.90%。</w:t>
      </w:r>
    </w:p>
    <w:p w14:paraId="371AFF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bidi="ar-SA"/>
        </w:rPr>
        <w:t>（1）</w:t>
      </w:r>
      <w:r>
        <w:rPr>
          <w:rFonts w:hint="eastAsia" w:ascii="Times New Roman" w:hAnsi="Times New Roman" w:eastAsia="仿宋_GB2312" w:cs="Times New Roman"/>
          <w:kern w:val="0"/>
          <w:sz w:val="32"/>
          <w:szCs w:val="32"/>
          <w:lang w:val="en-US" w:eastAsia="zh-CN"/>
        </w:rPr>
        <w:t>资金管理方面</w:t>
      </w:r>
    </w:p>
    <w:p w14:paraId="4FA24C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根据青岛市财政局《关于批复2024年市级部门预算的通知》（青财预指[2024]1号），青岛市民政局2024年星级养老机构评定奖励子项目预算715万元，资金到位率100%；2023年度街道（镇）综合养老服务中心运营等级奖补项目预算1085万元，资金到位率100%。</w:t>
      </w:r>
    </w:p>
    <w:p w14:paraId="15B7FB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两个项目预算合计1800万元，实际支出1610万元，整体预算执行率89.44%。其中，2023年度街道（镇）综合养老服务中心运营奖励子项目预算1085万元，实际执行1085万元，预算执行率100%；星级养老评定奖励子项目预算715万元，因市民政局计划对子项目政策文件、实施方案进行修订，2023年度未进行星级评审，原2023年预算185万元未能执行，实际执行525万元，预算执行率73.43%。根据评分标准扣0.42分。</w:t>
      </w:r>
    </w:p>
    <w:p w14:paraId="0DF213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color w:val="auto"/>
          <w:sz w:val="32"/>
          <w:szCs w:val="32"/>
          <w:highlight w:val="none"/>
          <w:lang w:val="en-US" w:eastAsia="zh-CN"/>
        </w:rPr>
        <w:t>青岛市民政局依据《青岛市民政局财务管理办法》（青民字[2021]71号）、《青岛市民政局机关财务支出管理办法》（青民字[2021]72号）、《关于进一步加强财务管理工作的通知》（青民字[2024]8号）的相关规定进行财务管理。</w:t>
      </w:r>
      <w:r>
        <w:rPr>
          <w:rFonts w:hint="eastAsia" w:ascii="Times New Roman" w:hAnsi="Times New Roman" w:eastAsia="仿宋_GB2312" w:cs="Times New Roman"/>
          <w:kern w:val="0"/>
          <w:sz w:val="32"/>
          <w:szCs w:val="32"/>
          <w:lang w:val="en-US" w:eastAsia="zh-CN"/>
        </w:rPr>
        <w:t>在资金拨付审批过程中，市民政局业务处室及财务处室的相关经办人员均履行签批手续，保证了程序的完整性和合规性，未发现违规占用资金的现象。</w:t>
      </w:r>
    </w:p>
    <w:p w14:paraId="106CC5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bidi="ar-SA"/>
        </w:rPr>
        <w:t>（2）</w:t>
      </w:r>
      <w:r>
        <w:rPr>
          <w:rFonts w:hint="eastAsia" w:ascii="Times New Roman" w:hAnsi="Times New Roman" w:eastAsia="仿宋_GB2312" w:cs="Times New Roman"/>
          <w:kern w:val="0"/>
          <w:sz w:val="32"/>
          <w:szCs w:val="32"/>
          <w:lang w:val="en-US" w:eastAsia="zh-CN"/>
        </w:rPr>
        <w:t>组织实施方面</w:t>
      </w:r>
    </w:p>
    <w:p w14:paraId="0DE39F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青岛市民政局</w:t>
      </w:r>
      <w:r>
        <w:rPr>
          <w:rFonts w:hint="eastAsia" w:ascii="Times New Roman" w:hAnsi="Times New Roman" w:eastAsia="仿宋_GB2312" w:cs="Times New Roman"/>
          <w:color w:val="auto"/>
          <w:sz w:val="32"/>
          <w:szCs w:val="32"/>
          <w:highlight w:val="none"/>
          <w:lang w:val="en-US" w:eastAsia="zh-CN"/>
        </w:rPr>
        <w:t>管理制度包括</w:t>
      </w:r>
      <w:r>
        <w:rPr>
          <w:rFonts w:hint="default" w:ascii="Times New Roman" w:hAnsi="Times New Roman" w:eastAsia="仿宋_GB2312" w:cs="Times New Roman"/>
          <w:color w:val="auto"/>
          <w:sz w:val="32"/>
          <w:szCs w:val="32"/>
          <w:highlight w:val="none"/>
          <w:lang w:val="en-US" w:eastAsia="zh-CN"/>
        </w:rPr>
        <w:t>《青岛市民政局财务管理办法》（青民字</w:t>
      </w:r>
      <w:r>
        <w:rPr>
          <w:rFonts w:hint="eastAsia"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lang w:val="en-US" w:eastAsia="zh-CN"/>
        </w:rPr>
        <w:t>71号）、《青岛市民政局机关财务支出管理办法》（青民字</w:t>
      </w:r>
      <w:r>
        <w:rPr>
          <w:rFonts w:hint="eastAsia"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lang w:val="en-US" w:eastAsia="zh-CN"/>
        </w:rPr>
        <w:t>72号）</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《关于进一步加强财务管理工作的通知》（青民字</w:t>
      </w:r>
      <w:r>
        <w:rPr>
          <w:rFonts w:hint="eastAsia" w:ascii="Times New Roman" w:hAnsi="Times New Roman" w:eastAsia="仿宋_GB2312" w:cs="Times New Roman"/>
          <w:color w:val="auto"/>
          <w:sz w:val="32"/>
          <w:szCs w:val="32"/>
          <w:highlight w:val="none"/>
          <w:lang w:val="en-US" w:eastAsia="zh-CN"/>
        </w:rPr>
        <w:t>[2024]</w:t>
      </w:r>
      <w:r>
        <w:rPr>
          <w:rFonts w:hint="default" w:ascii="Times New Roman" w:hAnsi="Times New Roman" w:eastAsia="仿宋_GB2312" w:cs="Times New Roman"/>
          <w:color w:val="auto"/>
          <w:sz w:val="32"/>
          <w:szCs w:val="32"/>
          <w:highlight w:val="none"/>
          <w:lang w:val="en-US" w:eastAsia="zh-CN"/>
        </w:rPr>
        <w:t>8号）</w:t>
      </w:r>
      <w:r>
        <w:rPr>
          <w:rFonts w:hint="eastAsia" w:ascii="Times New Roman" w:hAnsi="Times New Roman" w:eastAsia="仿宋_GB2312" w:cs="Times New Roman"/>
          <w:color w:val="auto"/>
          <w:sz w:val="32"/>
          <w:szCs w:val="32"/>
          <w:highlight w:val="none"/>
          <w:lang w:val="en-US" w:eastAsia="zh-CN"/>
        </w:rPr>
        <w:t>等财务管理制度，</w:t>
      </w:r>
      <w:r>
        <w:rPr>
          <w:rFonts w:hint="default" w:ascii="Times New Roman" w:hAnsi="Times New Roman" w:eastAsia="仿宋_GB2312" w:cs="Times New Roman"/>
          <w:color w:val="auto"/>
          <w:sz w:val="32"/>
          <w:szCs w:val="32"/>
          <w:highlight w:val="none"/>
          <w:lang w:val="en-US" w:eastAsia="zh-CN"/>
        </w:rPr>
        <w:t>《局长办公会制度》、《局长碰头会制度》、《局专题会制度》及党组《“三重一大”决策制度实施办法》</w:t>
      </w:r>
      <w:r>
        <w:rPr>
          <w:rFonts w:hint="eastAsia" w:ascii="Times New Roman" w:hAnsi="Times New Roman" w:eastAsia="仿宋_GB2312" w:cs="Times New Roman"/>
          <w:color w:val="auto"/>
          <w:sz w:val="32"/>
          <w:szCs w:val="32"/>
          <w:highlight w:val="none"/>
          <w:lang w:val="en-US" w:eastAsia="zh-CN"/>
        </w:rPr>
        <w:t>等集体决策制度，以及</w:t>
      </w:r>
      <w:r>
        <w:rPr>
          <w:rFonts w:hint="default" w:ascii="Times New Roman" w:hAnsi="Times New Roman" w:eastAsia="仿宋_GB2312" w:cs="Times New Roman"/>
          <w:color w:val="auto"/>
          <w:sz w:val="32"/>
          <w:szCs w:val="32"/>
          <w:highlight w:val="none"/>
          <w:lang w:val="en-US" w:eastAsia="zh-CN"/>
        </w:rPr>
        <w:t>《关于健全完善各类养老服务补贴的通知》（青民字</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2020</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14号）、《青岛市养老机构服务质量等级评定暂行办法》（青民字</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2020</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108号）、《青岛市街道（镇）综合养老服务中心运营等级评定方案》等</w:t>
      </w:r>
      <w:r>
        <w:rPr>
          <w:rFonts w:hint="eastAsia" w:ascii="Times New Roman" w:hAnsi="Times New Roman" w:eastAsia="仿宋_GB2312" w:cs="Times New Roman"/>
          <w:color w:val="auto"/>
          <w:sz w:val="32"/>
          <w:szCs w:val="32"/>
          <w:highlight w:val="none"/>
          <w:lang w:val="en-US" w:eastAsia="zh-CN"/>
        </w:rPr>
        <w:t>业务管理办法</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青岛市民政局</w:t>
      </w:r>
      <w:r>
        <w:rPr>
          <w:rFonts w:hint="default" w:ascii="Times New Roman" w:hAnsi="Times New Roman" w:eastAsia="仿宋_GB2312" w:cs="Times New Roman"/>
          <w:color w:val="auto"/>
          <w:sz w:val="32"/>
          <w:szCs w:val="32"/>
          <w:highlight w:val="none"/>
          <w:lang w:val="en-US" w:eastAsia="zh-CN"/>
        </w:rPr>
        <w:t>财务和业务管理制度合法、合规、完整、健全，项目实施可顺利进行。</w:t>
      </w:r>
    </w:p>
    <w:p w14:paraId="6FB762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青岛市民政局严格执行相关制度规定，业务及审批程序较为完备，但项目合同签署、项目资料归档管理</w:t>
      </w:r>
      <w:r>
        <w:rPr>
          <w:rFonts w:hint="eastAsia" w:ascii="Times New Roman" w:hAnsi="Times New Roman" w:eastAsia="仿宋_GB2312" w:cs="Times New Roman"/>
          <w:color w:val="auto"/>
          <w:sz w:val="32"/>
          <w:szCs w:val="32"/>
          <w:highlight w:val="none"/>
          <w:lang w:val="en-US" w:eastAsia="zh-CN"/>
        </w:rPr>
        <w:t>等</w:t>
      </w:r>
      <w:r>
        <w:rPr>
          <w:rFonts w:hint="default" w:ascii="Times New Roman" w:hAnsi="Times New Roman" w:eastAsia="仿宋_GB2312" w:cs="Times New Roman"/>
          <w:color w:val="auto"/>
          <w:sz w:val="32"/>
          <w:szCs w:val="32"/>
          <w:highlight w:val="none"/>
          <w:lang w:val="en-US" w:eastAsia="zh-CN"/>
        </w:rPr>
        <w:t>方面规范性尚有待提高</w:t>
      </w:r>
      <w:r>
        <w:rPr>
          <w:rFonts w:hint="eastAsia" w:ascii="Times New Roman" w:hAnsi="Times New Roman" w:eastAsia="仿宋_GB2312" w:cs="Times New Roman"/>
          <w:color w:val="auto"/>
          <w:sz w:val="32"/>
          <w:szCs w:val="32"/>
          <w:highlight w:val="none"/>
          <w:lang w:val="en-US" w:eastAsia="zh-CN"/>
        </w:rPr>
        <w:t>，如2023年街道（镇）综合养老服务中心运营奖励资金项目存在先签署合同后进行合同签署审批的情况，星级养老机构等级评定奖补资金项目存在业务档案归集和管理不规范情况。根据评分标准扣4分。</w:t>
      </w:r>
    </w:p>
    <w:p w14:paraId="437CABB6">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0" w:firstLineChars="200"/>
        <w:textAlignment w:val="center"/>
        <w:outlineLvl w:val="1"/>
        <w:rPr>
          <w:rFonts w:hint="default" w:ascii="Times New Roman" w:hAnsi="Times New Roman" w:eastAsia="楷体_GB2312" w:cs="Times New Roman"/>
          <w:color w:val="auto"/>
          <w:kern w:val="2"/>
          <w:sz w:val="32"/>
          <w:szCs w:val="32"/>
          <w:highlight w:val="none"/>
          <w:lang w:val="en-US" w:eastAsia="zh-CN" w:bidi="ar-SA"/>
        </w:rPr>
      </w:pPr>
      <w:bookmarkStart w:id="48" w:name="_Toc22608"/>
      <w:bookmarkStart w:id="49" w:name="_Toc26130"/>
      <w:r>
        <w:rPr>
          <w:rFonts w:hint="default" w:ascii="Times New Roman" w:hAnsi="Times New Roman" w:eastAsia="楷体_GB2312" w:cs="Times New Roman"/>
          <w:color w:val="auto"/>
          <w:kern w:val="2"/>
          <w:sz w:val="32"/>
          <w:szCs w:val="32"/>
          <w:highlight w:val="none"/>
          <w:lang w:val="en-US" w:eastAsia="zh-CN" w:bidi="ar-SA"/>
        </w:rPr>
        <w:t>产出</w:t>
      </w:r>
      <w:bookmarkEnd w:id="48"/>
      <w:bookmarkEnd w:id="49"/>
    </w:p>
    <w:p w14:paraId="559D79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指标分值</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分，得</w:t>
      </w:r>
      <w:r>
        <w:rPr>
          <w:rFonts w:hint="eastAsia" w:ascii="Times New Roman" w:hAnsi="Times New Roman" w:eastAsia="仿宋_GB2312" w:cs="Times New Roman"/>
          <w:color w:val="auto"/>
          <w:sz w:val="32"/>
          <w:szCs w:val="32"/>
          <w:highlight w:val="none"/>
          <w:lang w:val="en-US" w:eastAsia="zh-CN"/>
        </w:rPr>
        <w:t>分24.14</w:t>
      </w:r>
      <w:r>
        <w:rPr>
          <w:rFonts w:hint="default" w:ascii="Times New Roman" w:hAnsi="Times New Roman" w:eastAsia="仿宋_GB2312" w:cs="Times New Roman"/>
          <w:color w:val="auto"/>
          <w:sz w:val="32"/>
          <w:szCs w:val="32"/>
          <w:highlight w:val="none"/>
          <w:lang w:val="en-US" w:eastAsia="zh-CN"/>
        </w:rPr>
        <w:t>分，得分率</w:t>
      </w:r>
      <w:r>
        <w:rPr>
          <w:rFonts w:hint="eastAsia" w:ascii="Times New Roman" w:hAnsi="Times New Roman" w:eastAsia="仿宋_GB2312" w:cs="Times New Roman"/>
          <w:color w:val="auto"/>
          <w:sz w:val="32"/>
          <w:szCs w:val="32"/>
          <w:highlight w:val="none"/>
          <w:lang w:val="en-US" w:eastAsia="zh-CN"/>
        </w:rPr>
        <w:t>80.47%</w:t>
      </w:r>
      <w:r>
        <w:rPr>
          <w:rFonts w:hint="default" w:ascii="Times New Roman" w:hAnsi="Times New Roman" w:eastAsia="仿宋_GB2312" w:cs="Times New Roman"/>
          <w:color w:val="auto"/>
          <w:sz w:val="32"/>
          <w:szCs w:val="32"/>
          <w:highlight w:val="none"/>
          <w:lang w:val="en-US" w:eastAsia="zh-CN"/>
        </w:rPr>
        <w:t>。</w:t>
      </w:r>
    </w:p>
    <w:p w14:paraId="118404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（1）产出数量方面</w:t>
      </w:r>
    </w:p>
    <w:p w14:paraId="58773E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根据政策文件相关规定，2024年获得星级养老机构等级评定奖补资金的养老机构数量应为110家，其中，</w:t>
      </w:r>
      <w:r>
        <w:rPr>
          <w:rFonts w:hint="default" w:ascii="Times New Roman" w:hAnsi="Times New Roman" w:eastAsia="仿宋_GB2312" w:cs="Times New Roman"/>
          <w:color w:val="auto"/>
          <w:sz w:val="32"/>
          <w:szCs w:val="32"/>
          <w:highlight w:val="none"/>
          <w:lang w:val="en-US" w:eastAsia="zh-CN"/>
        </w:rPr>
        <w:t>2020年评定</w:t>
      </w:r>
      <w:r>
        <w:rPr>
          <w:rFonts w:hint="eastAsia" w:ascii="Times New Roman" w:hAnsi="Times New Roman" w:eastAsia="仿宋_GB2312" w:cs="Times New Roman"/>
          <w:color w:val="auto"/>
          <w:sz w:val="32"/>
          <w:szCs w:val="32"/>
          <w:highlight w:val="none"/>
          <w:lang w:val="en-US" w:eastAsia="zh-CN"/>
        </w:rPr>
        <w:t>结果</w:t>
      </w:r>
      <w:r>
        <w:rPr>
          <w:rFonts w:hint="default" w:ascii="Times New Roman" w:hAnsi="Times New Roman" w:eastAsia="仿宋_GB2312" w:cs="Times New Roman"/>
          <w:color w:val="auto"/>
          <w:sz w:val="32"/>
          <w:szCs w:val="32"/>
          <w:highlight w:val="none"/>
          <w:lang w:val="en-US" w:eastAsia="zh-CN"/>
        </w:rPr>
        <w:t>93家、</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lang w:val="en-US" w:eastAsia="zh-CN"/>
        </w:rPr>
        <w:t>21年评定</w:t>
      </w:r>
      <w:r>
        <w:rPr>
          <w:rFonts w:hint="eastAsia" w:ascii="Times New Roman" w:hAnsi="Times New Roman" w:eastAsia="仿宋_GB2312" w:cs="Times New Roman"/>
          <w:color w:val="auto"/>
          <w:sz w:val="32"/>
          <w:szCs w:val="32"/>
          <w:highlight w:val="none"/>
          <w:lang w:val="en-US" w:eastAsia="zh-CN"/>
        </w:rPr>
        <w:t>结果</w:t>
      </w:r>
      <w:r>
        <w:rPr>
          <w:rFonts w:hint="default" w:ascii="Times New Roman" w:hAnsi="Times New Roman" w:eastAsia="仿宋_GB2312" w:cs="Times New Roman"/>
          <w:color w:val="auto"/>
          <w:sz w:val="32"/>
          <w:szCs w:val="32"/>
          <w:highlight w:val="none"/>
          <w:lang w:val="en-US" w:eastAsia="zh-CN"/>
        </w:rPr>
        <w:t>11家、</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lang w:val="en-US" w:eastAsia="zh-CN"/>
        </w:rPr>
        <w:t>22</w:t>
      </w:r>
      <w:r>
        <w:rPr>
          <w:rFonts w:hint="eastAsia" w:ascii="Times New Roman" w:hAnsi="Times New Roman" w:eastAsia="仿宋_GB2312" w:cs="Times New Roman"/>
          <w:color w:val="auto"/>
          <w:sz w:val="32"/>
          <w:szCs w:val="32"/>
          <w:highlight w:val="none"/>
          <w:lang w:val="en-US" w:eastAsia="zh-CN"/>
        </w:rPr>
        <w:t>年</w:t>
      </w:r>
      <w:r>
        <w:rPr>
          <w:rFonts w:hint="default" w:ascii="Times New Roman" w:hAnsi="Times New Roman" w:eastAsia="仿宋_GB2312" w:cs="Times New Roman"/>
          <w:color w:val="auto"/>
          <w:sz w:val="32"/>
          <w:szCs w:val="32"/>
          <w:highlight w:val="none"/>
          <w:lang w:val="en-US" w:eastAsia="zh-CN"/>
        </w:rPr>
        <w:t>评定</w:t>
      </w:r>
      <w:r>
        <w:rPr>
          <w:rFonts w:hint="eastAsia" w:ascii="Times New Roman" w:hAnsi="Times New Roman" w:eastAsia="仿宋_GB2312" w:cs="Times New Roman"/>
          <w:color w:val="auto"/>
          <w:sz w:val="32"/>
          <w:szCs w:val="32"/>
          <w:highlight w:val="none"/>
          <w:lang w:val="en-US" w:eastAsia="zh-CN"/>
        </w:rPr>
        <w:t>结果</w:t>
      </w:r>
      <w:r>
        <w:rPr>
          <w:rFonts w:hint="default" w:ascii="Times New Roman" w:hAnsi="Times New Roman" w:eastAsia="仿宋_GB2312" w:cs="Times New Roman"/>
          <w:color w:val="auto"/>
          <w:sz w:val="32"/>
          <w:szCs w:val="32"/>
          <w:highlight w:val="none"/>
          <w:lang w:val="en-US" w:eastAsia="zh-CN"/>
        </w:rPr>
        <w:t>6家，</w:t>
      </w:r>
      <w:r>
        <w:rPr>
          <w:rFonts w:hint="eastAsia" w:ascii="Times New Roman" w:hAnsi="Times New Roman" w:eastAsia="仿宋_GB2312" w:cs="Times New Roman"/>
          <w:color w:val="auto"/>
          <w:sz w:val="32"/>
          <w:szCs w:val="32"/>
          <w:highlight w:val="none"/>
          <w:lang w:val="en-US" w:eastAsia="zh-CN"/>
        </w:rPr>
        <w:t>实际支付奖补数量为106家，主要原因为3家养老机构停办，1家机构搬家后未及时于区（市）民政局备案，不再符合奖补要求不发放奖补资金。该事项为客观原因，本项不扣分。</w:t>
      </w:r>
    </w:p>
    <w:p w14:paraId="3DD2B3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2023年度街道（镇）综合养老服务中心运营等级奖励项目，</w:t>
      </w:r>
      <w:r>
        <w:rPr>
          <w:rFonts w:hint="eastAsia" w:ascii="Times New Roman" w:hAnsi="Times New Roman" w:eastAsia="仿宋_GB2312" w:cs="Times New Roman"/>
          <w:color w:val="auto"/>
          <w:sz w:val="32"/>
          <w:szCs w:val="32"/>
          <w:highlight w:val="none"/>
          <w:lang w:val="en-US" w:eastAsia="zh-CN"/>
        </w:rPr>
        <w:t>2024年实际</w:t>
      </w:r>
      <w:r>
        <w:rPr>
          <w:rFonts w:hint="default" w:ascii="Times New Roman" w:hAnsi="Times New Roman" w:eastAsia="仿宋_GB2312" w:cs="Times New Roman"/>
          <w:color w:val="auto"/>
          <w:sz w:val="32"/>
          <w:szCs w:val="32"/>
          <w:highlight w:val="none"/>
          <w:lang w:val="en-US" w:eastAsia="zh-CN"/>
        </w:rPr>
        <w:t>享受奖励的街道（镇）综合养老服务中心数量为70家，不超过全市街道（镇）综合养老服务中心总数142家的50%，其中获得五星级奖励14家</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获得四星级奖励21家</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获得三星级奖励35家，</w:t>
      </w:r>
      <w:r>
        <w:rPr>
          <w:rFonts w:hint="eastAsia" w:ascii="Times New Roman" w:hAnsi="Times New Roman" w:eastAsia="仿宋_GB2312" w:cs="Times New Roman"/>
          <w:color w:val="auto"/>
          <w:sz w:val="32"/>
          <w:szCs w:val="32"/>
          <w:highlight w:val="none"/>
          <w:lang w:val="en-US" w:eastAsia="zh-CN"/>
        </w:rPr>
        <w:t>均</w:t>
      </w:r>
      <w:r>
        <w:rPr>
          <w:rFonts w:hint="default" w:ascii="Times New Roman" w:hAnsi="Times New Roman" w:eastAsia="仿宋_GB2312" w:cs="Times New Roman"/>
          <w:color w:val="auto"/>
          <w:sz w:val="32"/>
          <w:szCs w:val="32"/>
          <w:highlight w:val="none"/>
          <w:lang w:val="en-US" w:eastAsia="zh-CN"/>
        </w:rPr>
        <w:t>符合《青岛市养老服务补贴实施办法》及《青岛市街道（镇）综合养老服务中心运营等级评定方案》的规定。</w:t>
      </w:r>
    </w:p>
    <w:bookmarkEnd w:id="44"/>
    <w:p w14:paraId="5C87E0E4">
      <w:pPr>
        <w:pStyle w:val="17"/>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lang w:val="en-US" w:eastAsia="zh-CN" w:bidi="ar-SA"/>
        </w:rPr>
        <w:t>（2）</w:t>
      </w:r>
      <w:r>
        <w:rPr>
          <w:rFonts w:hint="eastAsia" w:ascii="Times New Roman" w:hAnsi="Times New Roman" w:eastAsia="仿宋_GB2312" w:cs="Times New Roman"/>
          <w:color w:val="auto"/>
          <w:kern w:val="2"/>
          <w:sz w:val="32"/>
          <w:szCs w:val="32"/>
          <w:highlight w:val="none"/>
          <w:lang w:val="en-US" w:eastAsia="zh-CN" w:bidi="ar-SA"/>
        </w:rPr>
        <w:t>产出质量方面</w:t>
      </w:r>
    </w:p>
    <w:p w14:paraId="023C02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市民政局通过采购方式确定养老机构星级评定工作的第三方，第三方的选择、决策程序、合同签署基本符合国家政府采购相关管理制度的规定，但存在对供应商的评分标准不一致、评星标准不符合《青岛市街道（镇）综合养老服务中心运营等级评定方案》的规定、第三方出具的等级评定报告得分与原始资料得分不一致等影响星级评定质量的问题。青岛市民政局未能及时发现，相关监督管理职责执行不到位，导致评定结果整体高于星级标准。根据评分标准扣5.5分。</w:t>
      </w:r>
    </w:p>
    <w:p w14:paraId="601861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同时，市民政局未在奖补资金发放前核实享受奖补养老机构账号信息，导致星级养老机构评定奖补资金项目，因账号有误退回重汇37.50万元，该部分占实际发放补贴525万元的7.14%，根据评分标准扣0.21分。</w:t>
      </w:r>
    </w:p>
    <w:p w14:paraId="2A712BC2">
      <w:pPr>
        <w:pStyle w:val="17"/>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lang w:val="en-US" w:eastAsia="zh-CN" w:bidi="ar-SA"/>
        </w:rPr>
        <w:t>（3）</w:t>
      </w:r>
      <w:r>
        <w:rPr>
          <w:rFonts w:hint="eastAsia" w:ascii="Times New Roman" w:hAnsi="Times New Roman" w:eastAsia="仿宋_GB2312" w:cs="Times New Roman"/>
          <w:color w:val="auto"/>
          <w:kern w:val="2"/>
          <w:sz w:val="32"/>
          <w:szCs w:val="32"/>
          <w:highlight w:val="none"/>
          <w:lang w:val="en-US" w:eastAsia="zh-CN" w:bidi="ar-SA"/>
        </w:rPr>
        <w:t>产出时效方面</w:t>
      </w:r>
    </w:p>
    <w:p w14:paraId="5F16C84D">
      <w:pPr>
        <w:pStyle w:val="17"/>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养老机构星级评定结果按照相关规定于民政局网站进行公示，相关奖补资金于2024年年内完成支付，其中星级养老机构评定奖补资金于2024年11月6日支付，2023年 街道（镇）综合养老服务中心运营奖励资金于2024年3月21日支付。针对养老机构负责人或管理人员的问卷调查显示，对养老机构评定及时性、奖补申请资料审核便捷性、奖补资金支付及时性的满意度结果分别为97.58%、98.07%、92.27%，根据评分标准扣0.15分。</w:t>
      </w:r>
    </w:p>
    <w:p w14:paraId="5811F085">
      <w:pPr>
        <w:pStyle w:val="17"/>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（4）产出成本方面</w:t>
      </w:r>
    </w:p>
    <w:p w14:paraId="344A7728">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default" w:ascii="Times New Roman" w:hAnsi="Times New Roman" w:eastAsia="仿宋_GB2312" w:cs="Times New Roman"/>
          <w:color w:val="auto"/>
          <w:kern w:val="2"/>
          <w:sz w:val="32"/>
          <w:szCs w:val="32"/>
          <w:highlight w:val="yellow"/>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本</w:t>
      </w:r>
      <w:r>
        <w:rPr>
          <w:rFonts w:hint="default" w:ascii="Times New Roman" w:hAnsi="Times New Roman" w:eastAsia="仿宋_GB2312" w:cs="Times New Roman"/>
          <w:color w:val="auto"/>
          <w:kern w:val="2"/>
          <w:sz w:val="32"/>
          <w:szCs w:val="32"/>
          <w:highlight w:val="none"/>
          <w:lang w:val="en-US" w:eastAsia="zh-CN" w:bidi="ar-SA"/>
        </w:rPr>
        <w:t>项目</w:t>
      </w:r>
      <w:r>
        <w:rPr>
          <w:rFonts w:hint="eastAsia" w:ascii="Times New Roman" w:hAnsi="Times New Roman" w:eastAsia="仿宋_GB2312" w:cs="Times New Roman"/>
          <w:color w:val="auto"/>
          <w:kern w:val="2"/>
          <w:sz w:val="32"/>
          <w:szCs w:val="32"/>
          <w:highlight w:val="none"/>
          <w:lang w:val="en-US" w:eastAsia="zh-CN" w:bidi="ar-SA"/>
        </w:rPr>
        <w:t>预算总成本</w:t>
      </w:r>
      <w:r>
        <w:rPr>
          <w:rFonts w:hint="default" w:ascii="Times New Roman" w:hAnsi="Times New Roman" w:eastAsia="仿宋_GB2312" w:cs="Times New Roman"/>
          <w:color w:val="auto"/>
          <w:kern w:val="2"/>
          <w:sz w:val="32"/>
          <w:szCs w:val="32"/>
          <w:highlight w:val="none"/>
          <w:lang w:val="en-US" w:eastAsia="zh-CN" w:bidi="ar-SA"/>
        </w:rPr>
        <w:t>1800万元，实际</w:t>
      </w:r>
      <w:r>
        <w:rPr>
          <w:rFonts w:hint="eastAsia" w:ascii="Times New Roman" w:hAnsi="Times New Roman" w:eastAsia="仿宋_GB2312" w:cs="Times New Roman"/>
          <w:color w:val="auto"/>
          <w:kern w:val="2"/>
          <w:sz w:val="32"/>
          <w:szCs w:val="32"/>
          <w:highlight w:val="none"/>
          <w:lang w:val="en-US" w:eastAsia="zh-CN" w:bidi="ar-SA"/>
        </w:rPr>
        <w:t>完成</w:t>
      </w:r>
      <w:r>
        <w:rPr>
          <w:rFonts w:hint="default" w:ascii="Times New Roman" w:hAnsi="Times New Roman" w:eastAsia="仿宋_GB2312" w:cs="Times New Roman"/>
          <w:color w:val="auto"/>
          <w:kern w:val="2"/>
          <w:sz w:val="32"/>
          <w:szCs w:val="32"/>
          <w:highlight w:val="none"/>
          <w:lang w:val="en-US" w:eastAsia="zh-CN" w:bidi="ar-SA"/>
        </w:rPr>
        <w:t>1610万元</w:t>
      </w:r>
      <w:r>
        <w:rPr>
          <w:rFonts w:hint="eastAsia" w:ascii="Times New Roman" w:hAnsi="Times New Roman" w:eastAsia="仿宋_GB2312" w:cs="Times New Roman"/>
          <w:color w:val="auto"/>
          <w:kern w:val="2"/>
          <w:sz w:val="32"/>
          <w:szCs w:val="32"/>
          <w:highlight w:val="none"/>
          <w:lang w:val="en-US" w:eastAsia="zh-CN" w:bidi="ar-SA"/>
        </w:rPr>
        <w:t>，项目资金支付符合</w:t>
      </w:r>
      <w:r>
        <w:rPr>
          <w:rFonts w:hint="eastAsia" w:ascii="Times New Roman" w:hAnsi="Times New Roman" w:eastAsia="仿宋_GB2312" w:cs="Times New Roman"/>
          <w:color w:val="auto"/>
          <w:sz w:val="32"/>
          <w:szCs w:val="32"/>
          <w:highlight w:val="none"/>
          <w:lang w:val="en-US" w:eastAsia="zh-CN"/>
        </w:rPr>
        <w:t>《关于健全完善各类养老服务补贴的通知》(青民[2020]14号）、《关于印发青岛市进一步优化完善居家社区养老服务措施的通知》（青政办发[2022]10号）政策文件规定的奖补标准，实际项目成本未超出政策文件规定标准。</w:t>
      </w:r>
    </w:p>
    <w:p w14:paraId="5A8000B8">
      <w:pPr>
        <w:keepNext w:val="0"/>
        <w:keepLines w:val="0"/>
        <w:pageBreakBefore w:val="0"/>
        <w:widowControl w:val="0"/>
        <w:numPr>
          <w:ilvl w:val="0"/>
          <w:numId w:val="1"/>
        </w:numPr>
        <w:kinsoku/>
        <w:wordWrap/>
        <w:overflowPunct/>
        <w:topLinePunct w:val="0"/>
        <w:autoSpaceDE/>
        <w:autoSpaceDN/>
        <w:bidi w:val="0"/>
        <w:spacing w:line="560" w:lineRule="exact"/>
        <w:ind w:left="0" w:leftChars="0" w:firstLine="640" w:firstLineChars="200"/>
        <w:textAlignment w:val="auto"/>
        <w:outlineLvl w:val="1"/>
        <w:rPr>
          <w:rFonts w:hint="default" w:ascii="Times New Roman" w:hAnsi="Times New Roman" w:eastAsia="楷体_GB2312" w:cs="Times New Roman"/>
          <w:color w:val="auto"/>
          <w:kern w:val="2"/>
          <w:sz w:val="32"/>
          <w:szCs w:val="32"/>
          <w:highlight w:val="none"/>
          <w:lang w:val="en-US" w:eastAsia="zh-CN" w:bidi="ar-SA"/>
        </w:rPr>
      </w:pPr>
      <w:bookmarkStart w:id="50" w:name="_Toc23400"/>
      <w:bookmarkStart w:id="51" w:name="_Toc14691"/>
      <w:bookmarkStart w:id="52" w:name="_Toc16217"/>
      <w:r>
        <w:rPr>
          <w:rFonts w:hint="default" w:ascii="Times New Roman" w:hAnsi="Times New Roman" w:eastAsia="楷体_GB2312" w:cs="Times New Roman"/>
          <w:color w:val="auto"/>
          <w:kern w:val="2"/>
          <w:sz w:val="32"/>
          <w:szCs w:val="32"/>
          <w:highlight w:val="none"/>
          <w:lang w:val="en-US" w:eastAsia="zh-CN" w:bidi="ar-SA"/>
        </w:rPr>
        <w:t>效益</w:t>
      </w:r>
      <w:bookmarkEnd w:id="50"/>
      <w:bookmarkEnd w:id="51"/>
    </w:p>
    <w:p w14:paraId="24DDE2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指标分值</w:t>
      </w:r>
      <w:r>
        <w:rPr>
          <w:rFonts w:hint="eastAsia" w:ascii="Times New Roman" w:hAnsi="Times New Roman" w:eastAsia="仿宋_GB2312" w:cs="Times New Roman"/>
          <w:color w:val="auto"/>
          <w:kern w:val="2"/>
          <w:sz w:val="32"/>
          <w:szCs w:val="32"/>
          <w:highlight w:val="none"/>
          <w:lang w:val="en-US" w:eastAsia="zh-CN" w:bidi="ar-SA"/>
        </w:rPr>
        <w:t>30</w:t>
      </w:r>
      <w:r>
        <w:rPr>
          <w:rFonts w:hint="default" w:ascii="Times New Roman" w:hAnsi="Times New Roman" w:eastAsia="仿宋_GB2312" w:cs="Times New Roman"/>
          <w:color w:val="auto"/>
          <w:kern w:val="2"/>
          <w:sz w:val="32"/>
          <w:szCs w:val="32"/>
          <w:highlight w:val="none"/>
          <w:lang w:val="en-US" w:eastAsia="zh-CN" w:bidi="ar-SA"/>
        </w:rPr>
        <w:t>分，得</w:t>
      </w:r>
      <w:r>
        <w:rPr>
          <w:rFonts w:hint="eastAsia" w:ascii="Times New Roman" w:hAnsi="Times New Roman" w:eastAsia="仿宋_GB2312" w:cs="Times New Roman"/>
          <w:color w:val="auto"/>
          <w:kern w:val="2"/>
          <w:sz w:val="32"/>
          <w:szCs w:val="32"/>
          <w:highlight w:val="none"/>
          <w:lang w:val="en-US" w:eastAsia="zh-CN" w:bidi="ar-SA"/>
        </w:rPr>
        <w:t>24.94</w:t>
      </w:r>
      <w:r>
        <w:rPr>
          <w:rFonts w:hint="default" w:ascii="Times New Roman" w:hAnsi="Times New Roman" w:eastAsia="仿宋_GB2312" w:cs="Times New Roman"/>
          <w:color w:val="auto"/>
          <w:kern w:val="2"/>
          <w:sz w:val="32"/>
          <w:szCs w:val="32"/>
          <w:highlight w:val="none"/>
          <w:lang w:val="en-US" w:eastAsia="zh-CN" w:bidi="ar-SA"/>
        </w:rPr>
        <w:t>分，得分率</w:t>
      </w:r>
      <w:r>
        <w:rPr>
          <w:rFonts w:hint="eastAsia" w:ascii="Times New Roman" w:hAnsi="Times New Roman" w:eastAsia="仿宋_GB2312" w:cs="Times New Roman"/>
          <w:color w:val="auto"/>
          <w:kern w:val="2"/>
          <w:sz w:val="32"/>
          <w:szCs w:val="32"/>
          <w:highlight w:val="none"/>
          <w:lang w:val="en-US" w:eastAsia="zh-CN" w:bidi="ar-SA"/>
        </w:rPr>
        <w:t>83.13</w:t>
      </w:r>
      <w:r>
        <w:rPr>
          <w:rFonts w:hint="default" w:ascii="Times New Roman" w:hAnsi="Times New Roman" w:eastAsia="仿宋_GB2312" w:cs="Times New Roman"/>
          <w:color w:val="auto"/>
          <w:kern w:val="2"/>
          <w:sz w:val="32"/>
          <w:szCs w:val="32"/>
          <w:highlight w:val="none"/>
          <w:lang w:val="en-US" w:eastAsia="zh-CN" w:bidi="ar-SA"/>
        </w:rPr>
        <w:t>%。</w:t>
      </w:r>
      <w:bookmarkEnd w:id="52"/>
    </w:p>
    <w:p w14:paraId="49109618">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社会效益方面</w:t>
      </w:r>
    </w:p>
    <w:p w14:paraId="4CC78726">
      <w:pPr>
        <w:pStyle w:val="17"/>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享受奖补资金的养老机构可覆盖青岛10个区市，包括市南、市北、崂山、李沧、城阳、西海岸、即墨、胶州、莱西、平度，实现了青岛市全覆盖。但各区市普惠性养老机构的服务水平存在差距，星级养老机构评定奖补资金项目中，市北、胶州、崂山三个区市获奖比例低于平均值3%；2023年街道（镇）综合养老服务中心运营奖励资金项目中，市北、胶州、城阳三个区市获奖比例低于平均值的3%，根据评分标准扣3分。</w:t>
      </w:r>
    </w:p>
    <w:p w14:paraId="7A9A8BBA">
      <w:pPr>
        <w:pStyle w:val="17"/>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同时，对两个项目共计20个获得奖补养老机构进行实地现场调查，发现4家存在影响机构正常运营的不规范问题，如老人呼叫系统无法使用、超期登记服务记录、养老服务中心无配餐业务未来经营缺乏可持续性。根据评分标准扣2分。</w:t>
      </w:r>
    </w:p>
    <w:p w14:paraId="39E7F954">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可持续性效益方面</w:t>
      </w:r>
    </w:p>
    <w:p w14:paraId="3B54F1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青岛市民政局根据国家相关制度、政策文件的变更，印发《关于健全完善各类养老服务补贴的通知》(青民[2020]14号）、《青岛市养老服务补贴实施办法》(青民</w:t>
      </w:r>
      <w:r>
        <w:rPr>
          <w:rFonts w:hint="eastAsia" w:ascii="Times New Roman" w:hAnsi="Times New Roman" w:eastAsia="仿宋_GB2312" w:cs="Times New Roman"/>
          <w:color w:val="auto"/>
          <w:kern w:val="2"/>
          <w:sz w:val="32"/>
          <w:szCs w:val="32"/>
          <w:highlight w:val="none"/>
          <w:lang w:val="en-US" w:eastAsia="zh-CN" w:bidi="ar-SA"/>
        </w:rPr>
        <w:t>[2024]</w:t>
      </w:r>
      <w:r>
        <w:rPr>
          <w:rFonts w:hint="default" w:ascii="Times New Roman" w:hAnsi="Times New Roman" w:eastAsia="仿宋_GB2312" w:cs="Times New Roman"/>
          <w:color w:val="auto"/>
          <w:kern w:val="2"/>
          <w:sz w:val="32"/>
          <w:szCs w:val="32"/>
          <w:highlight w:val="none"/>
          <w:lang w:val="en-US" w:eastAsia="zh-CN" w:bidi="ar-SA"/>
        </w:rPr>
        <w:t>6号)，针对星级养老机构等级评定奖补资金项目分别印发《青岛市养老机构服务质量等级评定办法》(青民[2020]108号）、《青岛市养老机构服务质量等级评定办法》(青民</w:t>
      </w:r>
      <w:r>
        <w:rPr>
          <w:rFonts w:hint="eastAsia" w:ascii="Times New Roman" w:hAnsi="Times New Roman" w:eastAsia="仿宋_GB2312" w:cs="Times New Roman"/>
          <w:color w:val="auto"/>
          <w:kern w:val="2"/>
          <w:sz w:val="32"/>
          <w:szCs w:val="32"/>
          <w:highlight w:val="none"/>
          <w:lang w:val="en-US" w:eastAsia="zh-CN" w:bidi="ar-SA"/>
        </w:rPr>
        <w:t>[2024]</w:t>
      </w:r>
      <w:r>
        <w:rPr>
          <w:rFonts w:hint="default" w:ascii="Times New Roman" w:hAnsi="Times New Roman" w:eastAsia="仿宋_GB2312" w:cs="Times New Roman"/>
          <w:color w:val="auto"/>
          <w:kern w:val="2"/>
          <w:sz w:val="32"/>
          <w:szCs w:val="32"/>
          <w:highlight w:val="none"/>
          <w:lang w:val="en-US" w:eastAsia="zh-CN" w:bidi="ar-SA"/>
        </w:rPr>
        <w:t>33号)，项目整体发展已形成可持续性机制；</w:t>
      </w:r>
      <w:r>
        <w:rPr>
          <w:rFonts w:hint="eastAsia" w:ascii="Times New Roman" w:hAnsi="Times New Roman" w:eastAsia="仿宋_GB2312" w:cs="Times New Roman"/>
          <w:color w:val="auto"/>
          <w:kern w:val="2"/>
          <w:sz w:val="32"/>
          <w:szCs w:val="32"/>
          <w:highlight w:val="none"/>
          <w:lang w:val="en-US" w:eastAsia="zh-CN" w:bidi="ar-SA"/>
        </w:rPr>
        <w:t>针对</w:t>
      </w:r>
      <w:r>
        <w:rPr>
          <w:rFonts w:hint="default" w:ascii="Times New Roman" w:hAnsi="Times New Roman" w:eastAsia="仿宋_GB2312" w:cs="Times New Roman"/>
          <w:color w:val="auto"/>
          <w:kern w:val="2"/>
          <w:sz w:val="32"/>
          <w:szCs w:val="32"/>
          <w:highlight w:val="none"/>
          <w:lang w:val="en-US" w:eastAsia="zh-CN" w:bidi="ar-SA"/>
        </w:rPr>
        <w:t>民政局针对街道（镇）综合养老服务中心运营奖励资金项目印发《青岛市街道（镇）综合养老服务中心运营等级评定方案》（青民</w:t>
      </w:r>
      <w:r>
        <w:rPr>
          <w:rFonts w:hint="eastAsia" w:ascii="Times New Roman" w:hAnsi="Times New Roman" w:eastAsia="仿宋_GB2312" w:cs="Times New Roman"/>
          <w:color w:val="auto"/>
          <w:kern w:val="2"/>
          <w:sz w:val="32"/>
          <w:szCs w:val="32"/>
          <w:highlight w:val="none"/>
          <w:lang w:val="en-US" w:eastAsia="zh-CN" w:bidi="ar-SA"/>
        </w:rPr>
        <w:t>[2023]</w:t>
      </w:r>
      <w:r>
        <w:rPr>
          <w:rFonts w:hint="default" w:ascii="Times New Roman" w:hAnsi="Times New Roman" w:eastAsia="仿宋_GB2312" w:cs="Times New Roman"/>
          <w:color w:val="auto"/>
          <w:kern w:val="2"/>
          <w:sz w:val="32"/>
          <w:szCs w:val="32"/>
          <w:highlight w:val="none"/>
          <w:lang w:val="en-US" w:eastAsia="zh-CN" w:bidi="ar-SA"/>
        </w:rPr>
        <w:t>069号），管理机构、</w:t>
      </w:r>
      <w:r>
        <w:rPr>
          <w:rFonts w:hint="eastAsia" w:ascii="Times New Roman" w:hAnsi="Times New Roman" w:eastAsia="仿宋_GB2312" w:cs="Times New Roman"/>
          <w:color w:val="auto"/>
          <w:kern w:val="2"/>
          <w:sz w:val="32"/>
          <w:szCs w:val="32"/>
          <w:highlight w:val="none"/>
          <w:lang w:val="en-US" w:eastAsia="zh-CN" w:bidi="ar-SA"/>
        </w:rPr>
        <w:t>职责</w:t>
      </w:r>
      <w:r>
        <w:rPr>
          <w:rFonts w:hint="default" w:ascii="Times New Roman" w:hAnsi="Times New Roman" w:eastAsia="仿宋_GB2312" w:cs="Times New Roman"/>
          <w:color w:val="auto"/>
          <w:kern w:val="2"/>
          <w:sz w:val="32"/>
          <w:szCs w:val="32"/>
          <w:highlight w:val="none"/>
          <w:lang w:val="en-US" w:eastAsia="zh-CN" w:bidi="ar-SA"/>
        </w:rPr>
        <w:t>、人员分工、制度均已明确，具备可持续性发展机制。</w:t>
      </w:r>
    </w:p>
    <w:p w14:paraId="3A21B3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同时，根据《养老机构等级划分与评定国家标准实施指南》规定及占比，从养老机构环境、设施设备、运营管理、服务4个方面，以问卷调查的方式进行评价，老年群体及家属综合满意度为98.54%，现有养老设施可有效保障老年群体养老服务需求，项目后续运行及成效发挥具备一定可持续影响。依据评分标准扣0.06分。</w:t>
      </w:r>
    </w:p>
    <w:p w14:paraId="0225C86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满意度方面</w:t>
      </w:r>
    </w:p>
    <w:p w14:paraId="27ABF1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通过开展青岛市民政局星级养老机构评定奖补资金、2023年街道（镇）综合养老服务中心运营奖励资金项目满意度调查工作，共计发放</w:t>
      </w:r>
      <w:r>
        <w:rPr>
          <w:rFonts w:hint="eastAsia" w:ascii="Times New Roman" w:hAnsi="Times New Roman" w:eastAsia="仿宋_GB2312" w:cs="Times New Roman"/>
          <w:color w:val="auto"/>
          <w:kern w:val="2"/>
          <w:sz w:val="32"/>
          <w:szCs w:val="32"/>
          <w:highlight w:val="none"/>
          <w:lang w:val="en-US" w:eastAsia="zh-CN" w:bidi="ar-SA"/>
        </w:rPr>
        <w:t>311</w:t>
      </w:r>
      <w:r>
        <w:rPr>
          <w:rFonts w:hint="default" w:ascii="Times New Roman" w:hAnsi="Times New Roman" w:eastAsia="仿宋_GB2312" w:cs="Times New Roman"/>
          <w:color w:val="auto"/>
          <w:kern w:val="2"/>
          <w:sz w:val="32"/>
          <w:szCs w:val="32"/>
          <w:highlight w:val="none"/>
          <w:lang w:val="en-US" w:eastAsia="zh-CN" w:bidi="ar-SA"/>
        </w:rPr>
        <w:t>份调查问卷，</w:t>
      </w:r>
      <w:r>
        <w:rPr>
          <w:rFonts w:hint="eastAsia" w:ascii="Times New Roman" w:hAnsi="Times New Roman" w:eastAsia="仿宋_GB2312" w:cs="Times New Roman"/>
          <w:color w:val="auto"/>
          <w:kern w:val="2"/>
          <w:sz w:val="32"/>
          <w:szCs w:val="32"/>
          <w:highlight w:val="none"/>
          <w:lang w:val="en-US" w:eastAsia="zh-CN" w:bidi="ar-SA"/>
        </w:rPr>
        <w:t>回收</w:t>
      </w:r>
      <w:r>
        <w:rPr>
          <w:rFonts w:hint="default" w:ascii="Times New Roman" w:hAnsi="Times New Roman" w:eastAsia="仿宋_GB2312" w:cs="Times New Roman"/>
          <w:color w:val="auto"/>
          <w:kern w:val="2"/>
          <w:sz w:val="32"/>
          <w:szCs w:val="32"/>
          <w:highlight w:val="none"/>
          <w:lang w:val="en-US" w:eastAsia="zh-CN" w:bidi="ar-SA"/>
        </w:rPr>
        <w:t>有效问卷</w:t>
      </w:r>
      <w:r>
        <w:rPr>
          <w:rFonts w:hint="eastAsia" w:ascii="Times New Roman" w:hAnsi="Times New Roman" w:eastAsia="仿宋_GB2312" w:cs="Times New Roman"/>
          <w:color w:val="auto"/>
          <w:kern w:val="2"/>
          <w:sz w:val="32"/>
          <w:szCs w:val="32"/>
          <w:highlight w:val="none"/>
          <w:lang w:val="en-US" w:eastAsia="zh-CN" w:bidi="ar-SA"/>
        </w:rPr>
        <w:t>311份，其中养老机构负责人或管理人员有效问卷207份、入住老人或老人家属有效问卷104份。</w:t>
      </w:r>
      <w:r>
        <w:rPr>
          <w:rFonts w:hint="default" w:ascii="Times New Roman" w:hAnsi="Times New Roman" w:eastAsia="仿宋_GB2312" w:cs="Times New Roman"/>
          <w:color w:val="auto"/>
          <w:kern w:val="2"/>
          <w:sz w:val="32"/>
          <w:szCs w:val="32"/>
          <w:highlight w:val="none"/>
          <w:lang w:val="en-US" w:eastAsia="zh-CN" w:bidi="ar-SA"/>
        </w:rPr>
        <w:t>分析统计结果，</w:t>
      </w:r>
      <w:r>
        <w:rPr>
          <w:rFonts w:hint="eastAsia" w:ascii="Times New Roman" w:hAnsi="Times New Roman" w:eastAsia="仿宋_GB2312" w:cs="Times New Roman"/>
          <w:color w:val="auto"/>
          <w:kern w:val="2"/>
          <w:sz w:val="32"/>
          <w:szCs w:val="32"/>
          <w:highlight w:val="none"/>
          <w:lang w:val="en-US" w:eastAsia="zh-CN" w:bidi="ar-SA"/>
        </w:rPr>
        <w:t>养老机构负责人或管理人员对项目整体</w:t>
      </w:r>
      <w:r>
        <w:rPr>
          <w:rFonts w:hint="default" w:ascii="Times New Roman" w:hAnsi="Times New Roman" w:eastAsia="仿宋_GB2312" w:cs="Times New Roman"/>
          <w:color w:val="auto"/>
          <w:kern w:val="2"/>
          <w:sz w:val="32"/>
          <w:szCs w:val="32"/>
          <w:highlight w:val="none"/>
          <w:lang w:val="en-US" w:eastAsia="zh-CN" w:bidi="ar-SA"/>
        </w:rPr>
        <w:t>满意度为98.55%</w:t>
      </w:r>
      <w:r>
        <w:rPr>
          <w:rFonts w:hint="eastAsia" w:ascii="Times New Roman" w:hAnsi="Times New Roman" w:eastAsia="仿宋_GB2312" w:cs="Times New Roman"/>
          <w:color w:val="auto"/>
          <w:kern w:val="2"/>
          <w:sz w:val="32"/>
          <w:szCs w:val="32"/>
          <w:highlight w:val="none"/>
          <w:lang w:val="en-US" w:eastAsia="zh-CN" w:bidi="ar-SA"/>
        </w:rPr>
        <w:t>，入住老人或老人家属对项目</w:t>
      </w:r>
      <w:r>
        <w:rPr>
          <w:rFonts w:hint="default" w:ascii="Times New Roman" w:hAnsi="Times New Roman" w:eastAsia="仿宋_GB2312" w:cs="Times New Roman"/>
          <w:color w:val="auto"/>
          <w:kern w:val="2"/>
          <w:sz w:val="32"/>
          <w:szCs w:val="32"/>
          <w:highlight w:val="none"/>
          <w:lang w:val="en-US" w:eastAsia="zh-CN" w:bidi="ar-SA"/>
        </w:rPr>
        <w:t>综合满意度为98.</w:t>
      </w:r>
      <w:r>
        <w:rPr>
          <w:rFonts w:hint="eastAsia" w:ascii="Times New Roman" w:hAnsi="Times New Roman"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en-US" w:eastAsia="zh-CN" w:bidi="ar-SA"/>
        </w:rPr>
        <w:t>8%</w:t>
      </w:r>
      <w:r>
        <w:rPr>
          <w:rFonts w:hint="eastAsia" w:ascii="Times New Roman" w:hAnsi="Times New Roman" w:eastAsia="仿宋_GB2312" w:cs="Times New Roman"/>
          <w:color w:val="auto"/>
          <w:kern w:val="2"/>
          <w:sz w:val="32"/>
          <w:szCs w:val="32"/>
          <w:highlight w:val="none"/>
          <w:lang w:val="en-US" w:eastAsia="zh-CN" w:bidi="ar-SA"/>
        </w:rPr>
        <w:t>，受益对象对项目整体满意度较高。</w:t>
      </w:r>
    </w:p>
    <w:p w14:paraId="0CA846E4">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outlineLvl w:val="0"/>
        <w:rPr>
          <w:rFonts w:hint="default" w:ascii="Times New Roman" w:hAnsi="Times New Roman" w:eastAsia="黑体" w:cs="Times New Roman"/>
          <w:bCs/>
          <w:color w:val="auto"/>
          <w:sz w:val="32"/>
          <w:szCs w:val="32"/>
          <w:highlight w:val="none"/>
          <w:lang w:eastAsia="zh-CN"/>
        </w:rPr>
      </w:pPr>
      <w:bookmarkStart w:id="53" w:name="_Toc2721"/>
      <w:bookmarkStart w:id="54" w:name="_Toc4004"/>
      <w:bookmarkStart w:id="55" w:name="_Toc29620"/>
      <w:bookmarkStart w:id="56" w:name="_Toc6432"/>
      <w:r>
        <w:rPr>
          <w:rFonts w:hint="default" w:ascii="Times New Roman" w:hAnsi="Times New Roman" w:eastAsia="黑体" w:cs="Times New Roman"/>
          <w:bCs/>
          <w:color w:val="auto"/>
          <w:sz w:val="32"/>
          <w:szCs w:val="32"/>
          <w:highlight w:val="none"/>
          <w:lang w:eastAsia="zh-CN"/>
        </w:rPr>
        <w:t>四、成本绩效分析</w:t>
      </w:r>
      <w:bookmarkEnd w:id="53"/>
      <w:bookmarkEnd w:id="54"/>
      <w:bookmarkEnd w:id="55"/>
      <w:bookmarkEnd w:id="56"/>
    </w:p>
    <w:p w14:paraId="79C205E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1"/>
        <w:rPr>
          <w:rFonts w:hint="default" w:ascii="Times New Roman" w:hAnsi="Times New Roman" w:eastAsia="楷体_GB2312" w:cs="Times New Roman"/>
          <w:color w:val="auto"/>
          <w:sz w:val="32"/>
          <w:szCs w:val="32"/>
          <w:highlight w:val="none"/>
        </w:rPr>
      </w:pPr>
      <w:bookmarkStart w:id="57" w:name="_Toc8326"/>
      <w:bookmarkStart w:id="58" w:name="_Toc16158"/>
      <w:bookmarkStart w:id="59" w:name="_Toc30023"/>
      <w:bookmarkStart w:id="60" w:name="_Toc21445"/>
      <w:r>
        <w:rPr>
          <w:rFonts w:hint="default" w:ascii="Times New Roman" w:hAnsi="Times New Roman" w:eastAsia="楷体_GB2312" w:cs="Times New Roman"/>
          <w:color w:val="auto"/>
          <w:sz w:val="32"/>
          <w:szCs w:val="32"/>
          <w:highlight w:val="none"/>
          <w:lang w:eastAsia="zh-CN"/>
        </w:rPr>
        <w:t>（一）</w:t>
      </w:r>
      <w:r>
        <w:rPr>
          <w:rFonts w:hint="default" w:ascii="Times New Roman" w:hAnsi="Times New Roman" w:eastAsia="楷体_GB2312" w:cs="Times New Roman"/>
          <w:color w:val="auto"/>
          <w:sz w:val="32"/>
          <w:szCs w:val="32"/>
          <w:highlight w:val="none"/>
        </w:rPr>
        <w:t>项目支出标准</w:t>
      </w:r>
      <w:bookmarkEnd w:id="57"/>
      <w:bookmarkEnd w:id="58"/>
      <w:bookmarkEnd w:id="59"/>
      <w:bookmarkEnd w:id="60"/>
    </w:p>
    <w:p w14:paraId="0C85477C">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青岛市星级养老机构奖补项目</w:t>
      </w:r>
      <w:r>
        <w:rPr>
          <w:rFonts w:hint="eastAsia" w:ascii="Times New Roman" w:hAnsi="Times New Roman" w:eastAsia="仿宋_GB2312" w:cs="Times New Roman"/>
          <w:color w:val="auto"/>
          <w:sz w:val="32"/>
          <w:szCs w:val="32"/>
          <w:highlight w:val="none"/>
          <w:lang w:val="en-US" w:eastAsia="zh-CN"/>
        </w:rPr>
        <w:t>，根据《关于健全完善各类养老服务补贴的通知》(青民[2020]14号）文件规定，在管理期四年内给予</w:t>
      </w:r>
      <w:r>
        <w:rPr>
          <w:rFonts w:hint="default" w:ascii="Times New Roman" w:hAnsi="Times New Roman" w:eastAsia="仿宋_GB2312" w:cs="Times New Roman"/>
          <w:color w:val="auto"/>
          <w:sz w:val="32"/>
          <w:szCs w:val="32"/>
          <w:highlight w:val="none"/>
          <w:lang w:val="en-US" w:eastAsia="zh-CN"/>
        </w:rPr>
        <w:t>三星、四星、五星级养老机构的奖励金额分别为10万元、15万元、20万元，每年按奖励的25%比例拨付</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2024年青岛市星级养老机构奖补</w:t>
      </w:r>
      <w:r>
        <w:rPr>
          <w:rFonts w:hint="eastAsia" w:ascii="Times New Roman" w:hAnsi="Times New Roman" w:eastAsia="仿宋_GB2312" w:cs="Times New Roman"/>
          <w:color w:val="auto"/>
          <w:sz w:val="32"/>
          <w:szCs w:val="32"/>
          <w:highlight w:val="none"/>
          <w:lang w:val="en-US" w:eastAsia="zh-CN"/>
        </w:rPr>
        <w:t>项目实际支付奖补资金525万元，其中支付2020年评定星级养老机构307.5万元，2021年评定星级养老机构201.25万元，支付2022年评定星级养老机构16.25万元。</w:t>
      </w:r>
    </w:p>
    <w:p w14:paraId="3AF39CD5">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2023年</w:t>
      </w:r>
      <w:r>
        <w:rPr>
          <w:rFonts w:hint="default" w:ascii="Times New Roman" w:hAnsi="Times New Roman" w:eastAsia="仿宋_GB2312" w:cs="Times New Roman"/>
          <w:color w:val="auto"/>
          <w:sz w:val="32"/>
          <w:szCs w:val="32"/>
          <w:highlight w:val="none"/>
          <w:lang w:val="en-US" w:eastAsia="zh-CN"/>
        </w:rPr>
        <w:t>街道（镇）综合养老服务中心运营奖励资金</w:t>
      </w:r>
      <w:r>
        <w:rPr>
          <w:rFonts w:hint="eastAsia" w:ascii="Times New Roman" w:hAnsi="Times New Roman" w:eastAsia="仿宋_GB2312" w:cs="Times New Roman"/>
          <w:color w:val="auto"/>
          <w:sz w:val="32"/>
          <w:szCs w:val="32"/>
          <w:highlight w:val="none"/>
          <w:lang w:val="en-US" w:eastAsia="zh-CN"/>
        </w:rPr>
        <w:t>，根据《关于印发青岛市进一步优化完善居家社区养老服务措施的通知》（青政办发[2022]10号）的规定，对评估为五级、四级、三级的养老服务中心，给予最高不超过60万元、30万元、20万元的奖励，其中市级财政对区（市）给予50%的奖励。截至2024年12月31日，青岛市民政局支付2023年街道（镇）综合养老服务中心运营奖励1085万元，其中支付五级养老服务中心420万元，四级养老服务中心315万元，三星级养老服务中心350万元。</w:t>
      </w:r>
    </w:p>
    <w:p w14:paraId="588BB3C1">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bidi="ar-SA"/>
        </w:rPr>
        <w:t>项目</w:t>
      </w:r>
      <w:r>
        <w:rPr>
          <w:rFonts w:hint="eastAsia" w:ascii="Times New Roman" w:hAnsi="Times New Roman" w:eastAsia="仿宋_GB2312" w:cs="Times New Roman"/>
          <w:color w:val="auto"/>
          <w:kern w:val="2"/>
          <w:sz w:val="32"/>
          <w:szCs w:val="32"/>
          <w:highlight w:val="none"/>
          <w:lang w:val="en-US" w:eastAsia="zh-CN" w:bidi="ar-SA"/>
        </w:rPr>
        <w:t>支出有标准、有政策依据，项目</w:t>
      </w:r>
      <w:r>
        <w:rPr>
          <w:rFonts w:hint="default" w:ascii="Times New Roman" w:hAnsi="Times New Roman" w:eastAsia="仿宋_GB2312" w:cs="Times New Roman"/>
          <w:color w:val="auto"/>
          <w:kern w:val="2"/>
          <w:sz w:val="32"/>
          <w:szCs w:val="32"/>
          <w:highlight w:val="none"/>
          <w:lang w:val="en-US" w:eastAsia="zh-CN" w:bidi="ar-SA"/>
        </w:rPr>
        <w:t>开展不存在超标准、超范围、无标准支出的情况</w:t>
      </w:r>
      <w:r>
        <w:rPr>
          <w:rFonts w:hint="eastAsia" w:ascii="Times New Roman" w:hAnsi="Times New Roman" w:eastAsia="仿宋_GB2312" w:cs="Times New Roman"/>
          <w:color w:val="auto"/>
          <w:kern w:val="2"/>
          <w:sz w:val="32"/>
          <w:szCs w:val="32"/>
          <w:highlight w:val="none"/>
          <w:lang w:val="en-US" w:eastAsia="zh-CN" w:bidi="ar-SA"/>
        </w:rPr>
        <w:t>。</w:t>
      </w:r>
    </w:p>
    <w:p w14:paraId="0CD13D9F">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outlineLvl w:val="1"/>
        <w:rPr>
          <w:rFonts w:hint="default" w:ascii="Times New Roman" w:hAnsi="Times New Roman" w:eastAsia="楷体_GB2312" w:cs="Times New Roman"/>
          <w:color w:val="auto"/>
          <w:sz w:val="32"/>
          <w:szCs w:val="32"/>
          <w:highlight w:val="none"/>
        </w:rPr>
      </w:pPr>
      <w:bookmarkStart w:id="61" w:name="_Toc23522"/>
      <w:bookmarkStart w:id="62" w:name="_Toc27040"/>
      <w:bookmarkStart w:id="63" w:name="_Toc10648"/>
      <w:bookmarkStart w:id="64" w:name="_Toc6750"/>
      <w:r>
        <w:rPr>
          <w:rFonts w:hint="default" w:ascii="Times New Roman" w:hAnsi="Times New Roman" w:eastAsia="楷体_GB2312" w:cs="Times New Roman"/>
          <w:color w:val="auto"/>
          <w:sz w:val="32"/>
          <w:szCs w:val="32"/>
          <w:highlight w:val="none"/>
          <w:lang w:eastAsia="zh-CN"/>
        </w:rPr>
        <w:t>（二）</w:t>
      </w:r>
      <w:r>
        <w:rPr>
          <w:rFonts w:hint="default" w:ascii="Times New Roman" w:hAnsi="Times New Roman" w:eastAsia="楷体_GB2312" w:cs="Times New Roman"/>
          <w:color w:val="auto"/>
          <w:sz w:val="32"/>
          <w:szCs w:val="32"/>
          <w:highlight w:val="none"/>
        </w:rPr>
        <w:t>项目成本控制情况</w:t>
      </w:r>
      <w:bookmarkEnd w:id="61"/>
      <w:bookmarkEnd w:id="62"/>
      <w:bookmarkEnd w:id="63"/>
      <w:bookmarkEnd w:id="64"/>
    </w:p>
    <w:p w14:paraId="6284FE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为确保财务管理规范有序，成本控制有章可循，根据相关政策的要求，</w:t>
      </w:r>
      <w:r>
        <w:rPr>
          <w:rFonts w:hint="eastAsia" w:ascii="Times New Roman" w:hAnsi="Times New Roman" w:eastAsia="仿宋_GB2312" w:cs="Times New Roman"/>
          <w:color w:val="auto"/>
          <w:kern w:val="2"/>
          <w:sz w:val="32"/>
          <w:szCs w:val="32"/>
          <w:highlight w:val="none"/>
          <w:lang w:val="en-US" w:eastAsia="zh-CN" w:bidi="ar-SA"/>
        </w:rPr>
        <w:t>青岛市民政局</w:t>
      </w:r>
      <w:r>
        <w:rPr>
          <w:rFonts w:hint="default" w:ascii="Times New Roman" w:hAnsi="Times New Roman" w:eastAsia="仿宋_GB2312" w:cs="Times New Roman"/>
          <w:color w:val="auto"/>
          <w:kern w:val="2"/>
          <w:sz w:val="32"/>
          <w:szCs w:val="32"/>
          <w:highlight w:val="none"/>
          <w:lang w:val="en-US" w:eastAsia="zh-CN" w:bidi="ar-SA"/>
        </w:rPr>
        <w:t>根据《青岛市民政局财务管理办法》</w:t>
      </w:r>
      <w:r>
        <w:rPr>
          <w:rFonts w:hint="eastAsia" w:ascii="Times New Roman" w:hAnsi="Times New Roman" w:eastAsia="仿宋_GB2312" w:cs="Times New Roman"/>
          <w:color w:val="auto"/>
          <w:kern w:val="2"/>
          <w:sz w:val="32"/>
          <w:szCs w:val="32"/>
          <w:highlight w:val="none"/>
          <w:lang w:val="en-US" w:eastAsia="zh-CN" w:bidi="ar-SA"/>
        </w:rPr>
        <w:t>（青民字[2021]71号）、《青岛市民政局机关财务支出管理办法》（青民字[2021]72号）、《青岛市民政局关于进一步加强财务管理工作的通知》（青民字[2024]8号）的相关</w:t>
      </w:r>
      <w:r>
        <w:rPr>
          <w:rFonts w:hint="default" w:ascii="Times New Roman" w:hAnsi="Times New Roman" w:eastAsia="仿宋_GB2312" w:cs="Times New Roman"/>
          <w:color w:val="auto"/>
          <w:kern w:val="2"/>
          <w:sz w:val="32"/>
          <w:szCs w:val="32"/>
          <w:highlight w:val="none"/>
          <w:lang w:val="en-US" w:eastAsia="zh-CN" w:bidi="ar-SA"/>
        </w:rPr>
        <w:t>规定进行项目资金管理。</w:t>
      </w:r>
    </w:p>
    <w:p w14:paraId="015A82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上述</w:t>
      </w:r>
      <w:r>
        <w:rPr>
          <w:rFonts w:hint="default" w:ascii="Times New Roman" w:hAnsi="Times New Roman" w:eastAsia="仿宋_GB2312" w:cs="Times New Roman"/>
          <w:color w:val="auto"/>
          <w:kern w:val="2"/>
          <w:sz w:val="32"/>
          <w:szCs w:val="32"/>
          <w:highlight w:val="none"/>
          <w:lang w:val="en-US" w:eastAsia="zh-CN" w:bidi="ar-SA"/>
        </w:rPr>
        <w:t>制度对</w:t>
      </w:r>
      <w:r>
        <w:rPr>
          <w:rFonts w:hint="eastAsia" w:ascii="Times New Roman" w:hAnsi="Times New Roman" w:eastAsia="仿宋_GB2312" w:cs="Times New Roman"/>
          <w:color w:val="auto"/>
          <w:kern w:val="2"/>
          <w:sz w:val="32"/>
          <w:szCs w:val="32"/>
          <w:highlight w:val="none"/>
          <w:lang w:val="en-US" w:eastAsia="zh-CN" w:bidi="ar-SA"/>
        </w:rPr>
        <w:t>青岛市民政局</w:t>
      </w:r>
      <w:r>
        <w:rPr>
          <w:rFonts w:hint="default" w:ascii="Times New Roman" w:hAnsi="Times New Roman" w:eastAsia="仿宋_GB2312" w:cs="Times New Roman"/>
          <w:color w:val="auto"/>
          <w:kern w:val="2"/>
          <w:sz w:val="32"/>
          <w:szCs w:val="32"/>
          <w:highlight w:val="none"/>
          <w:lang w:val="en-US" w:eastAsia="zh-CN" w:bidi="ar-SA"/>
        </w:rPr>
        <w:t>星级养老机构评定奖补资金、</w:t>
      </w:r>
      <w:r>
        <w:rPr>
          <w:rFonts w:hint="eastAsia" w:ascii="Times New Roman" w:hAnsi="Times New Roman" w:eastAsia="仿宋_GB2312" w:cs="Times New Roman"/>
          <w:color w:val="auto"/>
          <w:kern w:val="0"/>
          <w:sz w:val="32"/>
          <w:szCs w:val="32"/>
          <w:highlight w:val="none"/>
          <w:lang w:val="en-US" w:eastAsia="zh-CN" w:bidi="ar-SA"/>
        </w:rPr>
        <w:t>2023年</w:t>
      </w:r>
      <w:r>
        <w:rPr>
          <w:rFonts w:hint="default" w:ascii="Times New Roman" w:hAnsi="Times New Roman" w:eastAsia="仿宋_GB2312" w:cs="Times New Roman"/>
          <w:color w:val="auto"/>
          <w:kern w:val="2"/>
          <w:sz w:val="32"/>
          <w:szCs w:val="32"/>
          <w:highlight w:val="none"/>
          <w:lang w:val="en-US" w:eastAsia="zh-CN" w:bidi="ar-SA"/>
        </w:rPr>
        <w:t>街道（镇）综合养老服务中心运营奖励资金支出管理、支出审批</w:t>
      </w:r>
      <w:r>
        <w:rPr>
          <w:rFonts w:hint="eastAsia" w:ascii="Times New Roman" w:hAnsi="Times New Roman" w:eastAsia="仿宋_GB2312" w:cs="Times New Roman"/>
          <w:color w:val="auto"/>
          <w:kern w:val="2"/>
          <w:sz w:val="32"/>
          <w:szCs w:val="32"/>
          <w:highlight w:val="none"/>
          <w:lang w:val="en-US" w:eastAsia="zh-CN" w:bidi="ar-SA"/>
        </w:rPr>
        <w:t>程序、财务核算</w:t>
      </w:r>
      <w:r>
        <w:rPr>
          <w:rFonts w:hint="default" w:ascii="Times New Roman" w:hAnsi="Times New Roman" w:eastAsia="仿宋_GB2312" w:cs="Times New Roman"/>
          <w:color w:val="auto"/>
          <w:kern w:val="2"/>
          <w:sz w:val="32"/>
          <w:szCs w:val="32"/>
          <w:highlight w:val="none"/>
          <w:lang w:val="en-US" w:eastAsia="zh-CN" w:bidi="ar-SA"/>
        </w:rPr>
        <w:t>等方面进行规范，使其审批手续完善、符合程序、支出事项凭证真实完整、合规有效。</w:t>
      </w:r>
    </w:p>
    <w:p w14:paraId="62BD9818">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outlineLvl w:val="0"/>
        <w:rPr>
          <w:rFonts w:hint="default" w:ascii="Times New Roman" w:hAnsi="Times New Roman" w:eastAsia="黑体" w:cs="Times New Roman"/>
          <w:color w:val="auto"/>
          <w:sz w:val="32"/>
          <w:szCs w:val="32"/>
          <w:highlight w:val="none"/>
          <w:lang w:eastAsia="zh-CN"/>
        </w:rPr>
      </w:pPr>
      <w:bookmarkStart w:id="65" w:name="_Toc7409"/>
      <w:bookmarkStart w:id="66" w:name="_Toc15214"/>
      <w:bookmarkStart w:id="67" w:name="_Toc13256"/>
      <w:bookmarkStart w:id="68" w:name="_Toc19850"/>
      <w:r>
        <w:rPr>
          <w:rFonts w:hint="default" w:ascii="Times New Roman" w:hAnsi="Times New Roman" w:eastAsia="黑体" w:cs="Times New Roman"/>
          <w:color w:val="auto"/>
          <w:sz w:val="32"/>
          <w:szCs w:val="32"/>
          <w:highlight w:val="none"/>
          <w:lang w:eastAsia="zh-CN"/>
        </w:rPr>
        <w:t>五、项目实施成效和主要经验和做法</w:t>
      </w:r>
      <w:bookmarkEnd w:id="65"/>
      <w:bookmarkEnd w:id="66"/>
      <w:bookmarkEnd w:id="67"/>
      <w:bookmarkEnd w:id="68"/>
    </w:p>
    <w:p w14:paraId="02F2C8A5">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bookmarkStart w:id="69" w:name="_Toc2273"/>
      <w:bookmarkStart w:id="70" w:name="_Toc23406"/>
      <w:r>
        <w:rPr>
          <w:rFonts w:hint="default" w:ascii="Times New Roman" w:hAnsi="Times New Roman" w:eastAsia="仿宋_GB2312" w:cs="Times New Roman"/>
          <w:color w:val="auto"/>
          <w:kern w:val="2"/>
          <w:sz w:val="32"/>
          <w:szCs w:val="32"/>
          <w:highlight w:val="none"/>
          <w:lang w:val="en-US" w:eastAsia="zh-CN" w:bidi="ar-SA"/>
        </w:rPr>
        <w:t>青岛市民政局于2024年内完成奖补星级养老机构数量106家、参加街道（镇）综合养老服务中心等级评定数量达到142家，获得奖补星级养老机构</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综合养老服务中心涵盖青岛10个区市，</w:t>
      </w:r>
      <w:r>
        <w:rPr>
          <w:rFonts w:hint="eastAsia" w:ascii="Times New Roman" w:hAnsi="Times New Roman" w:eastAsia="仿宋_GB2312" w:cs="Times New Roman"/>
          <w:color w:val="auto"/>
          <w:kern w:val="2"/>
          <w:sz w:val="32"/>
          <w:szCs w:val="32"/>
          <w:highlight w:val="none"/>
          <w:lang w:val="en-US" w:eastAsia="zh-CN" w:bidi="ar-SA"/>
        </w:rPr>
        <w:t>且</w:t>
      </w:r>
      <w:r>
        <w:rPr>
          <w:rFonts w:hint="default" w:ascii="Times New Roman" w:hAnsi="Times New Roman" w:eastAsia="仿宋_GB2312" w:cs="Times New Roman"/>
          <w:color w:val="auto"/>
          <w:kern w:val="2"/>
          <w:sz w:val="32"/>
          <w:szCs w:val="32"/>
          <w:highlight w:val="none"/>
          <w:lang w:val="en-US" w:eastAsia="zh-CN" w:bidi="ar-SA"/>
        </w:rPr>
        <w:t>项目</w:t>
      </w:r>
      <w:r>
        <w:rPr>
          <w:rFonts w:hint="eastAsia" w:ascii="Times New Roman" w:hAnsi="Times New Roman" w:eastAsia="仿宋_GB2312" w:cs="Times New Roman"/>
          <w:color w:val="auto"/>
          <w:kern w:val="2"/>
          <w:sz w:val="32"/>
          <w:szCs w:val="32"/>
          <w:highlight w:val="none"/>
          <w:lang w:val="en-US" w:eastAsia="zh-CN" w:bidi="ar-SA"/>
        </w:rPr>
        <w:t>实施</w:t>
      </w:r>
      <w:r>
        <w:rPr>
          <w:rFonts w:hint="default" w:ascii="Times New Roman" w:hAnsi="Times New Roman" w:eastAsia="仿宋_GB2312" w:cs="Times New Roman"/>
          <w:color w:val="auto"/>
          <w:kern w:val="2"/>
          <w:sz w:val="32"/>
          <w:szCs w:val="32"/>
          <w:highlight w:val="none"/>
          <w:lang w:val="en-US" w:eastAsia="zh-CN" w:bidi="ar-SA"/>
        </w:rPr>
        <w:t>满意度</w:t>
      </w:r>
      <w:r>
        <w:rPr>
          <w:rFonts w:hint="eastAsia" w:ascii="Times New Roman" w:hAnsi="Times New Roman" w:eastAsia="仿宋_GB2312" w:cs="Times New Roman"/>
          <w:color w:val="auto"/>
          <w:kern w:val="2"/>
          <w:sz w:val="32"/>
          <w:szCs w:val="32"/>
          <w:highlight w:val="none"/>
          <w:lang w:val="en-US" w:eastAsia="zh-CN" w:bidi="ar-SA"/>
        </w:rPr>
        <w:t>高于</w:t>
      </w:r>
      <w:r>
        <w:rPr>
          <w:rFonts w:hint="default" w:ascii="Times New Roman" w:hAnsi="Times New Roman" w:eastAsia="仿宋_GB2312" w:cs="Times New Roman"/>
          <w:color w:val="auto"/>
          <w:kern w:val="2"/>
          <w:sz w:val="32"/>
          <w:szCs w:val="32"/>
          <w:highlight w:val="none"/>
          <w:lang w:val="en-US" w:eastAsia="zh-CN" w:bidi="ar-SA"/>
        </w:rPr>
        <w:t>90%，基本完成项目年度绩效目标</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养老机构服务质量</w:t>
      </w:r>
      <w:r>
        <w:rPr>
          <w:rFonts w:hint="eastAsia" w:ascii="Times New Roman" w:hAnsi="Times New Roman" w:eastAsia="仿宋_GB2312" w:cs="Times New Roman"/>
          <w:color w:val="auto"/>
          <w:kern w:val="2"/>
          <w:sz w:val="32"/>
          <w:szCs w:val="32"/>
          <w:highlight w:val="none"/>
          <w:lang w:val="en-US" w:eastAsia="zh-CN" w:bidi="ar-SA"/>
        </w:rPr>
        <w:t>整体</w:t>
      </w:r>
      <w:r>
        <w:rPr>
          <w:rFonts w:hint="default" w:ascii="Times New Roman" w:hAnsi="Times New Roman" w:eastAsia="仿宋_GB2312" w:cs="Times New Roman"/>
          <w:color w:val="auto"/>
          <w:kern w:val="2"/>
          <w:sz w:val="32"/>
          <w:szCs w:val="32"/>
          <w:highlight w:val="none"/>
          <w:lang w:val="en-US" w:eastAsia="zh-CN" w:bidi="ar-SA"/>
        </w:rPr>
        <w:t>有所提升。</w:t>
      </w:r>
    </w:p>
    <w:p w14:paraId="706E8A91">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青岛市民政局依据《养老机构等级划分与评定国家标准实施指南》、《青岛市街道（镇）综合养老服务中心运营质量等级评估指标》，严格规范执行养老机构、综合养老服务中心的星级评定工作，标准涵盖机构环境、机构设施设备、机构运营管理、机构服务等多个方面，确保了参与评星/级的养老机构、综合养老服务中心能达到基本的养老服务和质量要求。同时，青岛市民政局以</w:t>
      </w:r>
      <w:r>
        <w:rPr>
          <w:rFonts w:hint="eastAsia" w:ascii="Times New Roman" w:hAnsi="Times New Roman" w:eastAsia="仿宋_GB2312" w:cs="Times New Roman"/>
          <w:color w:val="auto"/>
          <w:kern w:val="2"/>
          <w:sz w:val="32"/>
          <w:szCs w:val="32"/>
          <w:highlight w:val="none"/>
          <w:lang w:val="en-US" w:eastAsia="zh-CN" w:bidi="ar-SA"/>
        </w:rPr>
        <w:t>采购</w:t>
      </w:r>
      <w:r>
        <w:rPr>
          <w:rFonts w:hint="default" w:ascii="Times New Roman" w:hAnsi="Times New Roman" w:eastAsia="仿宋_GB2312" w:cs="Times New Roman"/>
          <w:color w:val="auto"/>
          <w:kern w:val="2"/>
          <w:sz w:val="32"/>
          <w:szCs w:val="32"/>
          <w:highlight w:val="none"/>
          <w:lang w:val="en-US" w:eastAsia="zh-CN" w:bidi="ar-SA"/>
        </w:rPr>
        <w:t>方式确定星级评定的第三方主体，确保了评星/级工作开展的公平、公正性，提升了青岛市养老行业规范化、标准化管理水平。通过星级评定并实施星级补贴政策后，养老机构、综合养老服务中心设施提质升级，养老环境、运营管理、服务质量均得到了显著提升。</w:t>
      </w:r>
    </w:p>
    <w:p w14:paraId="02E980EA">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outlineLvl w:val="0"/>
        <w:rPr>
          <w:rFonts w:hint="default" w:ascii="Times New Roman" w:hAnsi="Times New Roman" w:eastAsia="黑体" w:cs="Times New Roman"/>
          <w:color w:val="auto"/>
          <w:sz w:val="32"/>
          <w:szCs w:val="32"/>
          <w:highlight w:val="none"/>
          <w:lang w:eastAsia="zh-CN"/>
        </w:rPr>
      </w:pPr>
      <w:bookmarkStart w:id="71" w:name="_Toc10480"/>
      <w:bookmarkStart w:id="72" w:name="_Toc6741"/>
      <w:r>
        <w:rPr>
          <w:rFonts w:hint="default" w:ascii="Times New Roman" w:hAnsi="Times New Roman" w:eastAsia="黑体" w:cs="Times New Roman"/>
          <w:color w:val="auto"/>
          <w:sz w:val="32"/>
          <w:szCs w:val="32"/>
          <w:highlight w:val="none"/>
          <w:lang w:eastAsia="zh-CN"/>
        </w:rPr>
        <w:t>六、存在问题及原因分析</w:t>
      </w:r>
      <w:bookmarkEnd w:id="69"/>
      <w:bookmarkEnd w:id="70"/>
      <w:bookmarkEnd w:id="71"/>
      <w:bookmarkEnd w:id="72"/>
    </w:p>
    <w:p w14:paraId="08BA57FB">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outlineLvl w:val="1"/>
        <w:rPr>
          <w:rFonts w:hint="default" w:ascii="Times New Roman" w:hAnsi="Times New Roman" w:eastAsia="楷体_GB2312" w:cs="Times New Roman"/>
          <w:color w:val="auto"/>
          <w:sz w:val="32"/>
          <w:szCs w:val="32"/>
          <w:highlight w:val="none"/>
          <w:lang w:val="en-US" w:eastAsia="zh-CN"/>
        </w:rPr>
      </w:pPr>
      <w:bookmarkStart w:id="73" w:name="_Toc26571"/>
      <w:bookmarkStart w:id="74" w:name="_Toc10566"/>
      <w:bookmarkStart w:id="75" w:name="_Toc5704"/>
      <w:bookmarkStart w:id="76" w:name="_Toc6184"/>
      <w:r>
        <w:rPr>
          <w:rFonts w:hint="eastAsia" w:ascii="Times New Roman" w:hAnsi="Times New Roman" w:eastAsia="楷体_GB2312" w:cs="Times New Roman"/>
          <w:color w:val="auto"/>
          <w:sz w:val="32"/>
          <w:szCs w:val="32"/>
          <w:highlight w:val="none"/>
          <w:lang w:val="en-US" w:eastAsia="zh-CN"/>
        </w:rPr>
        <w:t>（一）</w:t>
      </w:r>
      <w:bookmarkStart w:id="77" w:name="_Toc23782"/>
      <w:r>
        <w:rPr>
          <w:rFonts w:hint="eastAsia" w:ascii="Times New Roman" w:hAnsi="Times New Roman" w:eastAsia="楷体_GB2312" w:cs="Times New Roman"/>
          <w:color w:val="auto"/>
          <w:sz w:val="32"/>
          <w:szCs w:val="32"/>
          <w:highlight w:val="none"/>
          <w:lang w:val="en-US" w:eastAsia="zh-CN"/>
        </w:rPr>
        <w:t>业务执行管理方面</w:t>
      </w:r>
      <w:bookmarkEnd w:id="73"/>
      <w:bookmarkEnd w:id="77"/>
    </w:p>
    <w:p w14:paraId="42BBF678">
      <w:pPr>
        <w:pStyle w:val="17"/>
        <w:keepNext w:val="0"/>
        <w:keepLines w:val="0"/>
        <w:pageBreakBefore w:val="0"/>
        <w:widowControl w:val="0"/>
        <w:kinsoku/>
        <w:wordWrap/>
        <w:overflowPunct/>
        <w:topLinePunct w:val="0"/>
        <w:autoSpaceDE/>
        <w:autoSpaceDN/>
        <w:bidi w:val="0"/>
        <w:spacing w:line="560" w:lineRule="exact"/>
        <w:ind w:left="0" w:leftChars="0"/>
        <w:textAlignment w:val="auto"/>
        <w:outlineLvl w:val="9"/>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1.存在监督管理职责执行不到位的情况</w:t>
      </w:r>
    </w:p>
    <w:p w14:paraId="45FB8B10">
      <w:pPr>
        <w:pStyle w:val="17"/>
        <w:keepNext w:val="0"/>
        <w:keepLines w:val="0"/>
        <w:pageBreakBefore w:val="0"/>
        <w:widowControl w:val="0"/>
        <w:kinsoku/>
        <w:wordWrap/>
        <w:overflowPunct/>
        <w:topLinePunct w:val="0"/>
        <w:autoSpaceDE/>
        <w:autoSpaceDN/>
        <w:bidi w:val="0"/>
        <w:spacing w:line="560" w:lineRule="exact"/>
        <w:ind w:left="0" w:leftChars="0"/>
        <w:textAlignment w:val="auto"/>
        <w:outlineLvl w:val="9"/>
        <w:rPr>
          <w:rFonts w:hint="default"/>
          <w:lang w:val="en-US" w:eastAsia="zh-CN"/>
        </w:rPr>
      </w:pPr>
      <w:r>
        <w:rPr>
          <w:rFonts w:hint="eastAsia" w:ascii="Times New Roman" w:hAnsi="Times New Roman" w:eastAsia="仿宋_GB2312" w:cs="Times New Roman"/>
          <w:color w:val="auto"/>
          <w:kern w:val="2"/>
          <w:sz w:val="32"/>
          <w:szCs w:val="32"/>
          <w:highlight w:val="none"/>
          <w:lang w:val="en-US" w:eastAsia="zh-CN" w:bidi="ar-SA"/>
        </w:rPr>
        <w:t>根据《青岛市街道（镇）综合养老服务中心运营等级评定方案》三评定方式“养老服务中心运营等级评定主要交由具备资质的第三方评估组织进行具体实施。同时由市民政部门牵头成立综合养老服务中心运营等级评定委员会（以下简称“评委会”）对评定过程进行监管”、《青岛市养老机构服务质量等级评定暂行办法》第五条“市民政局是养老机构等级评定工作的行政主管部门，负责养老机构等级评定的组织推进、标准制定和监督管理”，青岛市民政局未对第三方评定结果进行充分复核，评定质量存在瑕疵，监督管理职责执行不到位。</w:t>
      </w:r>
    </w:p>
    <w:p w14:paraId="556A9AEC">
      <w:pPr>
        <w:pStyle w:val="17"/>
        <w:keepNext w:val="0"/>
        <w:keepLines w:val="0"/>
        <w:pageBreakBefore w:val="0"/>
        <w:widowControl w:val="0"/>
        <w:numPr>
          <w:ilvl w:val="0"/>
          <w:numId w:val="4"/>
        </w:numPr>
        <w:kinsoku/>
        <w:wordWrap/>
        <w:overflowPunct/>
        <w:topLinePunct w:val="0"/>
        <w:autoSpaceDE/>
        <w:autoSpaceDN/>
        <w:bidi w:val="0"/>
        <w:spacing w:line="560" w:lineRule="exact"/>
        <w:ind w:left="0" w:leftChars="0" w:firstLine="640" w:firstLineChars="200"/>
        <w:textAlignment w:val="auto"/>
        <w:outlineLvl w:val="9"/>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星级养老机构评定奖补资金项目，第三方青岛市养老服务协会对2020年星级养老机构进行等级评定，《等级评定报告》中，青岛新泰康养老院的评定结果为五星级，“运营管理”打分139分，“服务”打分565分，而原始资料《星级评定评分表》内“运营管理”得分合计为144分，高于等级评定报告5分；“服务”得分合计为572分，高于等级评定报告7分，等级评定报告得分与原始资料得分不一致。</w:t>
      </w:r>
    </w:p>
    <w:p w14:paraId="5055EB22">
      <w:pPr>
        <w:pStyle w:val="17"/>
        <w:keepNext w:val="0"/>
        <w:keepLines w:val="0"/>
        <w:pageBreakBefore w:val="0"/>
        <w:widowControl w:val="0"/>
        <w:numPr>
          <w:ilvl w:val="0"/>
          <w:numId w:val="0"/>
        </w:numPr>
        <w:kinsoku/>
        <w:wordWrap/>
        <w:overflowPunct/>
        <w:topLinePunct w:val="0"/>
        <w:autoSpaceDE/>
        <w:autoSpaceDN/>
        <w:bidi w:val="0"/>
        <w:spacing w:line="560" w:lineRule="exact"/>
        <w:ind w:left="0" w:leftChars="0" w:firstLine="640" w:firstLineChars="200"/>
        <w:textAlignment w:val="auto"/>
        <w:outlineLvl w:val="9"/>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lang w:val="en-US" w:eastAsia="zh-CN" w:bidi="ar-SA"/>
        </w:rPr>
        <w:t>（2）</w:t>
      </w:r>
      <w:r>
        <w:rPr>
          <w:rFonts w:hint="eastAsia" w:ascii="Times New Roman" w:hAnsi="Times New Roman" w:eastAsia="仿宋_GB2312" w:cs="Times New Roman"/>
          <w:color w:val="auto"/>
          <w:kern w:val="2"/>
          <w:sz w:val="32"/>
          <w:szCs w:val="32"/>
          <w:highlight w:val="none"/>
          <w:lang w:val="en-US" w:eastAsia="zh-CN" w:bidi="ar-SA"/>
        </w:rPr>
        <w:t>2023年度街道（镇）综合养老服务中心运营等级奖励项目，第三方对于青岛中康爱邻里智慧医养服务有限公司琅琊镇将军台分公司评定，“6.2老年助餐人次”打分事项中，该项指标上限为40分但第三方评估机构实际打分50分，同时评委会未对评定过程监管形成书面记录及报告。</w:t>
      </w:r>
    </w:p>
    <w:p w14:paraId="0CDF1E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lang w:val="en-US" w:eastAsia="zh-CN" w:bidi="ar-SA"/>
        </w:rPr>
        <w:t>2.</w:t>
      </w:r>
      <w:r>
        <w:rPr>
          <w:rFonts w:hint="eastAsia" w:ascii="Times New Roman" w:hAnsi="Times New Roman" w:eastAsia="仿宋_GB2312" w:cs="Times New Roman"/>
          <w:b/>
          <w:bCs/>
          <w:color w:val="auto"/>
          <w:kern w:val="2"/>
          <w:sz w:val="32"/>
          <w:szCs w:val="32"/>
          <w:highlight w:val="none"/>
          <w:lang w:val="en-US" w:eastAsia="zh-CN" w:bidi="ar-SA"/>
        </w:rPr>
        <w:t>现场调查发现四家机构存在不规范情况</w:t>
      </w:r>
    </w:p>
    <w:p w14:paraId="1B87AF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auto"/>
          <w:kern w:val="2"/>
          <w:sz w:val="32"/>
          <w:szCs w:val="32"/>
          <w:highlight w:val="none"/>
          <w:lang w:val="en-US" w:eastAsia="zh-CN" w:bidi="ar-SA"/>
        </w:rPr>
      </w:pPr>
      <w:r>
        <w:rPr>
          <w:rFonts w:hint="eastAsia" w:ascii="Times New Roman" w:hAnsi="Times New Roman" w:eastAsia="仿宋_GB2312" w:cs="Times New Roman"/>
          <w:b w:val="0"/>
          <w:bCs w:val="0"/>
          <w:color w:val="auto"/>
          <w:kern w:val="2"/>
          <w:sz w:val="32"/>
          <w:szCs w:val="32"/>
          <w:highlight w:val="none"/>
          <w:lang w:val="en-US" w:eastAsia="zh-CN" w:bidi="ar-SA"/>
        </w:rPr>
        <w:t>随机抽取获得奖补的20个机构进行现场调查，其中星级养老机构12家，综合养老服务中心8家，抽取范围涵盖市南、李沧、城阳、西海岸、胶州、平度、莱西7个区/市，发现部分养老机构运营存在影响机构运营的不规范情况。其中莱西市怡乐居养老服务中心老人呼叫系统处于检修维护状态，暂无法正常使用；平度市宏福养老院服务记录存在超期记录、记录不完整等不规范情况；西海岸新区琅琊镇居家社区养老服务中心厨房记录存在超期记录情况；平度市蓼兰镇万林居家社区养老服务中心无养老助餐业务，仅极少量助浴、助医、助行、助洁服务，后续运营缺乏可持续性。</w:t>
      </w:r>
    </w:p>
    <w:p w14:paraId="4A510FD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3.奖补资金支付准确性存在瑕疵</w:t>
      </w:r>
    </w:p>
    <w:p w14:paraId="59600C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auto"/>
          <w:kern w:val="2"/>
          <w:sz w:val="32"/>
          <w:szCs w:val="32"/>
          <w:highlight w:val="none"/>
          <w:lang w:val="en-US" w:eastAsia="zh-CN" w:bidi="ar-SA"/>
        </w:rPr>
      </w:pPr>
      <w:r>
        <w:rPr>
          <w:rFonts w:hint="eastAsia" w:ascii="Times New Roman" w:hAnsi="Times New Roman" w:eastAsia="仿宋_GB2312" w:cs="Times New Roman"/>
          <w:b w:val="0"/>
          <w:bCs w:val="0"/>
          <w:color w:val="auto"/>
          <w:kern w:val="2"/>
          <w:sz w:val="32"/>
          <w:szCs w:val="32"/>
          <w:highlight w:val="none"/>
          <w:lang w:val="en-US" w:eastAsia="zh-CN" w:bidi="ar-SA"/>
        </w:rPr>
        <w:t>青岛市</w:t>
      </w:r>
      <w:r>
        <w:rPr>
          <w:rFonts w:hint="default" w:ascii="Times New Roman" w:hAnsi="Times New Roman" w:eastAsia="仿宋_GB2312" w:cs="Times New Roman"/>
          <w:b w:val="0"/>
          <w:bCs w:val="0"/>
          <w:color w:val="auto"/>
          <w:kern w:val="2"/>
          <w:sz w:val="32"/>
          <w:szCs w:val="32"/>
          <w:highlight w:val="none"/>
          <w:lang w:val="en-US" w:eastAsia="zh-CN" w:bidi="ar-SA"/>
        </w:rPr>
        <w:t>民政局未在奖补资金发放前核实</w:t>
      </w:r>
      <w:r>
        <w:rPr>
          <w:rFonts w:hint="eastAsia" w:ascii="Times New Roman" w:hAnsi="Times New Roman" w:eastAsia="仿宋_GB2312" w:cs="Times New Roman"/>
          <w:b w:val="0"/>
          <w:bCs w:val="0"/>
          <w:color w:val="auto"/>
          <w:kern w:val="2"/>
          <w:sz w:val="32"/>
          <w:szCs w:val="32"/>
          <w:highlight w:val="none"/>
          <w:lang w:val="en-US" w:eastAsia="zh-CN" w:bidi="ar-SA"/>
        </w:rPr>
        <w:t>享</w:t>
      </w:r>
      <w:r>
        <w:rPr>
          <w:rFonts w:hint="default" w:ascii="Times New Roman" w:hAnsi="Times New Roman" w:eastAsia="仿宋_GB2312" w:cs="Times New Roman"/>
          <w:b w:val="0"/>
          <w:bCs w:val="0"/>
          <w:color w:val="auto"/>
          <w:kern w:val="2"/>
          <w:sz w:val="32"/>
          <w:szCs w:val="32"/>
          <w:highlight w:val="none"/>
          <w:lang w:val="en-US" w:eastAsia="zh-CN" w:bidi="ar-SA"/>
        </w:rPr>
        <w:t>受补贴养老机构账号信息，导致星级养老机构评定奖补资金项目因账号有误退回</w:t>
      </w:r>
      <w:r>
        <w:rPr>
          <w:rFonts w:hint="eastAsia" w:ascii="Times New Roman" w:hAnsi="Times New Roman" w:eastAsia="仿宋_GB2312" w:cs="Times New Roman"/>
          <w:b w:val="0"/>
          <w:bCs w:val="0"/>
          <w:color w:val="auto"/>
          <w:kern w:val="2"/>
          <w:sz w:val="32"/>
          <w:szCs w:val="32"/>
          <w:highlight w:val="none"/>
          <w:lang w:val="en-US" w:eastAsia="zh-CN" w:bidi="ar-SA"/>
        </w:rPr>
        <w:t>并</w:t>
      </w:r>
      <w:r>
        <w:rPr>
          <w:rFonts w:hint="default" w:ascii="Times New Roman" w:hAnsi="Times New Roman" w:eastAsia="仿宋_GB2312" w:cs="Times New Roman"/>
          <w:b w:val="0"/>
          <w:bCs w:val="0"/>
          <w:color w:val="auto"/>
          <w:kern w:val="2"/>
          <w:sz w:val="32"/>
          <w:szCs w:val="32"/>
          <w:highlight w:val="none"/>
          <w:lang w:val="en-US" w:eastAsia="zh-CN" w:bidi="ar-SA"/>
        </w:rPr>
        <w:t>重汇</w:t>
      </w:r>
      <w:r>
        <w:rPr>
          <w:rFonts w:hint="eastAsia" w:ascii="Times New Roman" w:hAnsi="Times New Roman" w:eastAsia="仿宋_GB2312" w:cs="Times New Roman"/>
          <w:b w:val="0"/>
          <w:bCs w:val="0"/>
          <w:color w:val="auto"/>
          <w:kern w:val="2"/>
          <w:sz w:val="32"/>
          <w:szCs w:val="32"/>
          <w:highlight w:val="none"/>
          <w:lang w:val="en-US" w:eastAsia="zh-CN" w:bidi="ar-SA"/>
        </w:rPr>
        <w:t>资金</w:t>
      </w:r>
      <w:r>
        <w:rPr>
          <w:rFonts w:hint="default" w:ascii="Times New Roman" w:hAnsi="Times New Roman" w:eastAsia="仿宋_GB2312" w:cs="Times New Roman"/>
          <w:b w:val="0"/>
          <w:bCs w:val="0"/>
          <w:color w:val="auto"/>
          <w:kern w:val="2"/>
          <w:sz w:val="32"/>
          <w:szCs w:val="32"/>
          <w:highlight w:val="none"/>
          <w:lang w:val="en-US" w:eastAsia="zh-CN" w:bidi="ar-SA"/>
        </w:rPr>
        <w:t>37.50万元，占实际发放补贴</w:t>
      </w:r>
      <w:r>
        <w:rPr>
          <w:rFonts w:hint="eastAsia" w:ascii="Times New Roman" w:hAnsi="Times New Roman" w:eastAsia="仿宋_GB2312" w:cs="Times New Roman"/>
          <w:b w:val="0"/>
          <w:bCs w:val="0"/>
          <w:color w:val="auto"/>
          <w:kern w:val="2"/>
          <w:sz w:val="32"/>
          <w:szCs w:val="32"/>
          <w:highlight w:val="none"/>
          <w:lang w:val="en-US" w:eastAsia="zh-CN" w:bidi="ar-SA"/>
        </w:rPr>
        <w:t>总金额</w:t>
      </w:r>
      <w:r>
        <w:rPr>
          <w:rFonts w:hint="default" w:ascii="Times New Roman" w:hAnsi="Times New Roman" w:eastAsia="仿宋_GB2312" w:cs="Times New Roman"/>
          <w:b w:val="0"/>
          <w:bCs w:val="0"/>
          <w:color w:val="auto"/>
          <w:kern w:val="2"/>
          <w:sz w:val="32"/>
          <w:szCs w:val="32"/>
          <w:highlight w:val="none"/>
          <w:lang w:val="en-US" w:eastAsia="zh-CN" w:bidi="ar-SA"/>
        </w:rPr>
        <w:t>525万元的7.14%</w:t>
      </w:r>
      <w:r>
        <w:rPr>
          <w:rFonts w:hint="eastAsia" w:ascii="Times New Roman" w:hAnsi="Times New Roman" w:eastAsia="仿宋_GB2312" w:cs="Times New Roman"/>
          <w:b w:val="0"/>
          <w:bCs w:val="0"/>
          <w:color w:val="auto"/>
          <w:kern w:val="2"/>
          <w:sz w:val="32"/>
          <w:szCs w:val="32"/>
          <w:highlight w:val="none"/>
          <w:lang w:val="en-US" w:eastAsia="zh-CN" w:bidi="ar-SA"/>
        </w:rPr>
        <w:t>，资金支付准确性有待改善。</w:t>
      </w:r>
    </w:p>
    <w:p w14:paraId="0796386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outlineLvl w:val="1"/>
        <w:rPr>
          <w:rFonts w:hint="default" w:ascii="Times New Roman" w:hAnsi="Times New Roman" w:eastAsia="楷体_GB2312" w:cs="Times New Roman"/>
          <w:color w:val="auto"/>
          <w:sz w:val="32"/>
          <w:szCs w:val="32"/>
          <w:highlight w:val="none"/>
          <w:lang w:val="en-US" w:eastAsia="zh-CN"/>
        </w:rPr>
      </w:pPr>
      <w:bookmarkStart w:id="78" w:name="_Toc19351"/>
      <w:r>
        <w:rPr>
          <w:rFonts w:hint="eastAsia" w:ascii="Times New Roman" w:hAnsi="Times New Roman" w:eastAsia="楷体_GB2312" w:cs="Times New Roman"/>
          <w:color w:val="auto"/>
          <w:sz w:val="32"/>
          <w:szCs w:val="32"/>
          <w:highlight w:val="none"/>
          <w:lang w:val="en-US" w:eastAsia="zh-CN"/>
        </w:rPr>
        <w:t>（二）采购和合同管理方面</w:t>
      </w:r>
      <w:bookmarkEnd w:id="78"/>
    </w:p>
    <w:bookmarkEnd w:id="74"/>
    <w:p w14:paraId="07AEFA4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default" w:ascii="Times New Roman" w:hAnsi="Times New Roman" w:eastAsia="仿宋_GB2312" w:cs="Times New Roman"/>
          <w:b/>
          <w:bCs w:val="0"/>
          <w:color w:val="auto"/>
          <w:sz w:val="32"/>
          <w:szCs w:val="32"/>
          <w:highlight w:val="none"/>
          <w:lang w:val="en-US" w:eastAsia="zh-CN"/>
        </w:rPr>
      </w:pPr>
      <w:r>
        <w:rPr>
          <w:rFonts w:hint="eastAsia" w:ascii="Times New Roman" w:hAnsi="Times New Roman" w:eastAsia="仿宋_GB2312" w:cs="Times New Roman"/>
          <w:b/>
          <w:bCs w:val="0"/>
          <w:color w:val="auto"/>
          <w:sz w:val="32"/>
          <w:szCs w:val="32"/>
          <w:highlight w:val="none"/>
          <w:lang w:val="en-US" w:eastAsia="zh-CN"/>
        </w:rPr>
        <w:t>1.</w:t>
      </w:r>
      <w:r>
        <w:rPr>
          <w:rFonts w:hint="eastAsia" w:ascii="Times New Roman" w:hAnsi="Times New Roman" w:eastAsia="仿宋_GB2312" w:cs="Times New Roman"/>
          <w:b/>
          <w:bCs w:val="0"/>
          <w:color w:val="auto"/>
          <w:kern w:val="2"/>
          <w:sz w:val="32"/>
          <w:szCs w:val="32"/>
          <w:highlight w:val="none"/>
          <w:lang w:val="en-US" w:eastAsia="zh-CN" w:bidi="ar-SA"/>
        </w:rPr>
        <w:t>采购</w:t>
      </w:r>
      <w:r>
        <w:rPr>
          <w:rFonts w:hint="default" w:ascii="Times New Roman" w:hAnsi="Times New Roman" w:eastAsia="仿宋_GB2312" w:cs="Times New Roman"/>
          <w:b/>
          <w:bCs w:val="0"/>
          <w:color w:val="auto"/>
          <w:kern w:val="2"/>
          <w:sz w:val="32"/>
          <w:szCs w:val="32"/>
          <w:highlight w:val="none"/>
          <w:lang w:val="en-US" w:eastAsia="zh-CN" w:bidi="ar-SA"/>
        </w:rPr>
        <w:t>工作</w:t>
      </w:r>
      <w:r>
        <w:rPr>
          <w:rFonts w:hint="eastAsia" w:ascii="Times New Roman" w:hAnsi="Times New Roman" w:eastAsia="仿宋_GB2312" w:cs="Times New Roman"/>
          <w:b/>
          <w:bCs w:val="0"/>
          <w:color w:val="auto"/>
          <w:kern w:val="2"/>
          <w:sz w:val="32"/>
          <w:szCs w:val="32"/>
          <w:highlight w:val="none"/>
          <w:lang w:val="en-US" w:eastAsia="zh-CN" w:bidi="ar-SA"/>
        </w:rPr>
        <w:t>对供应商</w:t>
      </w:r>
      <w:r>
        <w:rPr>
          <w:rFonts w:hint="default" w:ascii="Times New Roman" w:hAnsi="Times New Roman" w:eastAsia="仿宋_GB2312" w:cs="Times New Roman"/>
          <w:b/>
          <w:bCs w:val="0"/>
          <w:color w:val="auto"/>
          <w:kern w:val="2"/>
          <w:sz w:val="32"/>
          <w:szCs w:val="32"/>
          <w:highlight w:val="none"/>
          <w:lang w:val="en-US" w:eastAsia="zh-CN" w:bidi="ar-SA"/>
        </w:rPr>
        <w:t>评分标准不一致</w:t>
      </w:r>
    </w:p>
    <w:p w14:paraId="6BEDB4AD">
      <w:pPr>
        <w:pStyle w:val="17"/>
        <w:keepNext w:val="0"/>
        <w:keepLines w:val="0"/>
        <w:pageBreakBefore w:val="0"/>
        <w:widowControl w:val="0"/>
        <w:kinsoku/>
        <w:wordWrap/>
        <w:overflowPunct/>
        <w:topLinePunct w:val="0"/>
        <w:autoSpaceDE/>
        <w:autoSpaceDN/>
        <w:bidi w:val="0"/>
        <w:spacing w:line="560" w:lineRule="exact"/>
        <w:ind w:left="0" w:leftChars="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抽查2020</w:t>
      </w:r>
      <w:r>
        <w:rPr>
          <w:rFonts w:hint="eastAsia" w:ascii="Times New Roman" w:hAnsi="Times New Roman" w:eastAsia="仿宋_GB2312" w:cs="Times New Roman"/>
          <w:color w:val="auto"/>
          <w:kern w:val="2"/>
          <w:sz w:val="32"/>
          <w:szCs w:val="32"/>
          <w:highlight w:val="none"/>
          <w:lang w:val="en-US" w:eastAsia="zh-CN" w:bidi="ar-SA"/>
        </w:rPr>
        <w:t>年</w:t>
      </w:r>
      <w:r>
        <w:rPr>
          <w:rFonts w:hint="default" w:ascii="Times New Roman" w:hAnsi="Times New Roman" w:eastAsia="仿宋_GB2312" w:cs="Times New Roman"/>
          <w:color w:val="auto"/>
          <w:kern w:val="2"/>
          <w:sz w:val="32"/>
          <w:szCs w:val="32"/>
          <w:highlight w:val="none"/>
          <w:lang w:val="en-US" w:eastAsia="zh-CN" w:bidi="ar-SA"/>
        </w:rPr>
        <w:t>养老服务机构星级评定项目的</w:t>
      </w:r>
      <w:r>
        <w:rPr>
          <w:rFonts w:hint="eastAsia" w:ascii="Times New Roman" w:hAnsi="Times New Roman" w:eastAsia="仿宋_GB2312" w:cs="Times New Roman"/>
          <w:color w:val="auto"/>
          <w:kern w:val="2"/>
          <w:sz w:val="32"/>
          <w:szCs w:val="32"/>
          <w:highlight w:val="none"/>
          <w:lang w:val="en-US" w:eastAsia="zh-CN" w:bidi="ar-SA"/>
        </w:rPr>
        <w:t>采购</w:t>
      </w:r>
      <w:r>
        <w:rPr>
          <w:rFonts w:hint="default" w:ascii="Times New Roman" w:hAnsi="Times New Roman" w:eastAsia="仿宋_GB2312" w:cs="Times New Roman"/>
          <w:color w:val="auto"/>
          <w:kern w:val="2"/>
          <w:sz w:val="32"/>
          <w:szCs w:val="32"/>
          <w:highlight w:val="none"/>
          <w:lang w:val="en-US" w:eastAsia="zh-CN" w:bidi="ar-SA"/>
        </w:rPr>
        <w:t>资料，第一包供应商价格打分表以最低</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评审价格</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20.52万元为评审基准价，</w:t>
      </w:r>
      <w:r>
        <w:rPr>
          <w:rFonts w:hint="eastAsia" w:ascii="Times New Roman" w:hAnsi="Times New Roman" w:eastAsia="仿宋_GB2312" w:cs="Times New Roman"/>
          <w:color w:val="auto"/>
          <w:kern w:val="2"/>
          <w:sz w:val="32"/>
          <w:szCs w:val="32"/>
          <w:highlight w:val="none"/>
          <w:lang w:val="en-US" w:eastAsia="zh-CN" w:bidi="ar-SA"/>
        </w:rPr>
        <w:t>考虑了小微企业对价格的影响，而</w:t>
      </w:r>
      <w:r>
        <w:rPr>
          <w:rFonts w:hint="default" w:ascii="Times New Roman" w:hAnsi="Times New Roman" w:eastAsia="仿宋_GB2312" w:cs="Times New Roman"/>
          <w:color w:val="auto"/>
          <w:kern w:val="2"/>
          <w:sz w:val="32"/>
          <w:szCs w:val="32"/>
          <w:highlight w:val="none"/>
          <w:lang w:val="en-US" w:eastAsia="zh-CN" w:bidi="ar-SA"/>
        </w:rPr>
        <w:t>第二包以最低</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最终响应报价</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23万元为评审基准价，</w:t>
      </w:r>
      <w:r>
        <w:rPr>
          <w:rFonts w:hint="eastAsia" w:ascii="Times New Roman" w:hAnsi="Times New Roman" w:eastAsia="仿宋_GB2312" w:cs="Times New Roman"/>
          <w:color w:val="auto"/>
          <w:kern w:val="2"/>
          <w:sz w:val="32"/>
          <w:szCs w:val="32"/>
          <w:highlight w:val="none"/>
          <w:lang w:val="en-US" w:eastAsia="zh-CN" w:bidi="ar-SA"/>
        </w:rPr>
        <w:t>未考虑小微企业对价格的影响，</w:t>
      </w:r>
      <w:r>
        <w:rPr>
          <w:rFonts w:hint="default" w:ascii="Times New Roman" w:hAnsi="Times New Roman" w:eastAsia="仿宋_GB2312" w:cs="Times New Roman"/>
          <w:color w:val="auto"/>
          <w:kern w:val="2"/>
          <w:sz w:val="32"/>
          <w:szCs w:val="32"/>
          <w:highlight w:val="none"/>
          <w:lang w:val="en-US" w:eastAsia="zh-CN" w:bidi="ar-SA"/>
        </w:rPr>
        <w:t>且</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评审价格</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与</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最终响应报价</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存在较大差距</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对于供应商</w:t>
      </w:r>
      <w:r>
        <w:rPr>
          <w:rFonts w:hint="eastAsia" w:ascii="Times New Roman" w:hAnsi="Times New Roman" w:eastAsia="仿宋_GB2312" w:cs="Times New Roman"/>
          <w:color w:val="auto"/>
          <w:kern w:val="2"/>
          <w:sz w:val="32"/>
          <w:szCs w:val="32"/>
          <w:highlight w:val="none"/>
          <w:lang w:val="en-US" w:eastAsia="zh-CN" w:bidi="ar-SA"/>
        </w:rPr>
        <w:t>的</w:t>
      </w:r>
      <w:r>
        <w:rPr>
          <w:rFonts w:hint="default" w:ascii="Times New Roman" w:hAnsi="Times New Roman" w:eastAsia="仿宋_GB2312" w:cs="Times New Roman"/>
          <w:color w:val="auto"/>
          <w:kern w:val="2"/>
          <w:sz w:val="32"/>
          <w:szCs w:val="32"/>
          <w:highlight w:val="none"/>
          <w:lang w:val="en-US" w:eastAsia="zh-CN" w:bidi="ar-SA"/>
        </w:rPr>
        <w:t>价格打分标准不一致，</w:t>
      </w:r>
      <w:r>
        <w:rPr>
          <w:rFonts w:hint="eastAsia" w:ascii="Times New Roman" w:hAnsi="Times New Roman" w:eastAsia="仿宋_GB2312" w:cs="Times New Roman"/>
          <w:color w:val="auto"/>
          <w:kern w:val="2"/>
          <w:sz w:val="32"/>
          <w:szCs w:val="32"/>
          <w:highlight w:val="none"/>
          <w:lang w:val="en-US" w:eastAsia="zh-CN" w:bidi="ar-SA"/>
        </w:rPr>
        <w:t>采购</w:t>
      </w:r>
      <w:r>
        <w:rPr>
          <w:rFonts w:hint="default" w:ascii="Times New Roman" w:hAnsi="Times New Roman" w:eastAsia="仿宋_GB2312" w:cs="Times New Roman"/>
          <w:color w:val="auto"/>
          <w:kern w:val="2"/>
          <w:sz w:val="32"/>
          <w:szCs w:val="32"/>
          <w:highlight w:val="none"/>
          <w:lang w:val="en-US" w:eastAsia="zh-CN" w:bidi="ar-SA"/>
        </w:rPr>
        <w:t>工作存在不规范情况。</w:t>
      </w:r>
      <w:r>
        <w:rPr>
          <w:rFonts w:hint="eastAsia" w:ascii="Times New Roman" w:hAnsi="Times New Roman" w:eastAsia="仿宋_GB2312" w:cs="Times New Roman"/>
          <w:color w:val="auto"/>
          <w:kern w:val="2"/>
          <w:sz w:val="32"/>
          <w:szCs w:val="32"/>
          <w:highlight w:val="none"/>
          <w:lang w:val="en-US" w:eastAsia="zh-CN" w:bidi="ar-SA"/>
        </w:rPr>
        <w:t>根据项目资料要求，“</w:t>
      </w:r>
      <w:r>
        <w:rPr>
          <w:rFonts w:hint="default" w:ascii="Times New Roman" w:hAnsi="Times New Roman" w:eastAsia="仿宋_GB2312" w:cs="Times New Roman"/>
          <w:color w:val="auto"/>
          <w:kern w:val="2"/>
          <w:sz w:val="32"/>
          <w:szCs w:val="32"/>
          <w:highlight w:val="none"/>
          <w:lang w:val="en-US" w:eastAsia="zh-CN" w:bidi="ar-SA"/>
        </w:rPr>
        <w:t>响应报价</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的评分标准</w:t>
      </w:r>
      <w:r>
        <w:rPr>
          <w:rFonts w:hint="eastAsia" w:ascii="Times New Roman" w:hAnsi="Times New Roman" w:eastAsia="仿宋_GB2312" w:cs="Times New Roman"/>
          <w:color w:val="auto"/>
          <w:kern w:val="2"/>
          <w:sz w:val="32"/>
          <w:szCs w:val="32"/>
          <w:highlight w:val="none"/>
          <w:lang w:val="en-US" w:eastAsia="zh-CN" w:bidi="ar-SA"/>
        </w:rPr>
        <w:t>应</w:t>
      </w:r>
      <w:r>
        <w:rPr>
          <w:rFonts w:hint="default" w:ascii="Times New Roman" w:hAnsi="Times New Roman" w:eastAsia="仿宋_GB2312" w:cs="Times New Roman"/>
          <w:color w:val="auto"/>
          <w:kern w:val="2"/>
          <w:sz w:val="32"/>
          <w:szCs w:val="32"/>
          <w:highlight w:val="none"/>
          <w:lang w:val="en-US" w:eastAsia="zh-CN" w:bidi="ar-SA"/>
        </w:rPr>
        <w:t>为</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满足采购文件要求且响应报价（或者最终价格）最低的响应报价为</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评审基准价”，其价格分为满分；</w:t>
      </w:r>
      <w:r>
        <w:rPr>
          <w:rFonts w:hint="eastAsia" w:ascii="Times New Roman" w:hAnsi="Times New Roman" w:eastAsia="仿宋_GB2312" w:cs="Times New Roman"/>
          <w:color w:val="auto"/>
          <w:kern w:val="2"/>
          <w:sz w:val="32"/>
          <w:szCs w:val="32"/>
          <w:highlight w:val="none"/>
          <w:lang w:val="en-US" w:eastAsia="zh-CN" w:bidi="ar-SA"/>
        </w:rPr>
        <w:t>其它</w:t>
      </w:r>
      <w:r>
        <w:rPr>
          <w:rFonts w:hint="default" w:ascii="Times New Roman" w:hAnsi="Times New Roman" w:eastAsia="仿宋_GB2312" w:cs="Times New Roman"/>
          <w:color w:val="auto"/>
          <w:kern w:val="2"/>
          <w:sz w:val="32"/>
          <w:szCs w:val="32"/>
          <w:highlight w:val="none"/>
          <w:lang w:val="en-US" w:eastAsia="zh-CN" w:bidi="ar-SA"/>
        </w:rPr>
        <w:t>报价得分=评审基准价/（响应报价或者最终价格）*10</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w:t>
      </w:r>
    </w:p>
    <w:p w14:paraId="7196DD73">
      <w:pPr>
        <w:pStyle w:val="17"/>
        <w:keepNext w:val="0"/>
        <w:keepLines w:val="0"/>
        <w:pageBreakBefore w:val="0"/>
        <w:widowControl w:val="0"/>
        <w:numPr>
          <w:ilvl w:val="0"/>
          <w:numId w:val="0"/>
        </w:numPr>
        <w:kinsoku/>
        <w:wordWrap/>
        <w:overflowPunct/>
        <w:topLinePunct w:val="0"/>
        <w:autoSpaceDE/>
        <w:autoSpaceDN/>
        <w:bidi w:val="0"/>
        <w:spacing w:line="560" w:lineRule="exact"/>
        <w:ind w:left="0" w:leftChars="0" w:firstLine="643" w:firstLineChars="200"/>
        <w:textAlignment w:val="auto"/>
        <w:rPr>
          <w:rFonts w:hint="default"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2.存在先签署合同后审批等不规范情况</w:t>
      </w:r>
    </w:p>
    <w:p w14:paraId="117E4B5E">
      <w:pPr>
        <w:pStyle w:val="17"/>
        <w:keepNext w:val="0"/>
        <w:keepLines w:val="0"/>
        <w:pageBreakBefore w:val="0"/>
        <w:widowControl w:val="0"/>
        <w:kinsoku/>
        <w:wordWrap/>
        <w:overflowPunct/>
        <w:topLinePunct w:val="0"/>
        <w:autoSpaceDE/>
        <w:autoSpaceDN/>
        <w:bidi w:val="0"/>
        <w:spacing w:line="560" w:lineRule="exact"/>
        <w:ind w:left="0" w:leftChars="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2023年街道（镇）综合养老服务中心运营奖励资金项目，青岛市民政局与嘉信全过程项目咨询管理有限公司（以下简称“嘉信公司”）于2023年10月24日签订《项目委托代理协议书》，而民政局召开专班评审会确定嘉信公司为项目采购代理公司的时间为2023年11月3日，合同签署日期早于会议决策日期，同时《项目委托代理协议书》中缺乏青岛市民政局单位代表签字/签署，合同签署存在不规范性。</w:t>
      </w:r>
    </w:p>
    <w:p w14:paraId="2857FCE9">
      <w:pPr>
        <w:pStyle w:val="17"/>
        <w:keepNext w:val="0"/>
        <w:keepLines w:val="0"/>
        <w:pageBreakBefore w:val="0"/>
        <w:widowControl w:val="0"/>
        <w:numPr>
          <w:ilvl w:val="0"/>
          <w:numId w:val="0"/>
        </w:numPr>
        <w:kinsoku/>
        <w:wordWrap/>
        <w:overflowPunct/>
        <w:topLinePunct w:val="0"/>
        <w:autoSpaceDE/>
        <w:autoSpaceDN/>
        <w:bidi w:val="0"/>
        <w:spacing w:line="560" w:lineRule="exact"/>
        <w:ind w:left="0" w:leftChars="0" w:firstLine="643" w:firstLineChars="200"/>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3.业务档案归集和管理不及时</w:t>
      </w:r>
    </w:p>
    <w:p w14:paraId="659A029F">
      <w:pPr>
        <w:pStyle w:val="17"/>
        <w:keepNext w:val="0"/>
        <w:keepLines w:val="0"/>
        <w:pageBreakBefore w:val="0"/>
        <w:widowControl w:val="0"/>
        <w:kinsoku/>
        <w:wordWrap/>
        <w:overflowPunct/>
        <w:topLinePunct w:val="0"/>
        <w:autoSpaceDE/>
        <w:autoSpaceDN/>
        <w:bidi w:val="0"/>
        <w:spacing w:line="560" w:lineRule="exact"/>
        <w:ind w:left="0" w:leftChars="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截至评价日市民政局未及时、完整回收星级养老机构等级评定奖补资金项目2020、2021、2022年星级评审成果资料，包括《青岛市养老机构服务质量等级评定暂行办法》规定的《星级评定申请表》、机构自我评价报告、专家评分表和验收报告、专家组名单、评审意见、评定委员会全体会议纪要等评审原始资料。市民政局未及时对星级养老机构等级评定奖补资金项目的完整资料进行归档整理，应包括招采比价资料、相关会议决策、合同审批程序、业务合同、评审成果等。</w:t>
      </w:r>
    </w:p>
    <w:p w14:paraId="109113D0">
      <w:pPr>
        <w:pStyle w:val="17"/>
        <w:keepNext w:val="0"/>
        <w:keepLines w:val="0"/>
        <w:pageBreakBefore w:val="0"/>
        <w:widowControl w:val="0"/>
        <w:kinsoku/>
        <w:wordWrap/>
        <w:overflowPunct/>
        <w:topLinePunct w:val="0"/>
        <w:autoSpaceDE/>
        <w:autoSpaceDN/>
        <w:bidi w:val="0"/>
        <w:spacing w:line="560" w:lineRule="exact"/>
        <w:ind w:left="0" w:leftChars="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以上做法不符合《青岛市养老机构服务质量等级评定暂行办法》第二十一条“评定机构应当建立健全评定工作档案管理制度，对评定过程中的材料妥善保管、留档备查，……评定工作完成后，评定委员会将评审材料整理成册并存档备查”、《青岛市民政局档案管理办法》第二条“各部门对本单位在工作中形成的上述所称档案的，均要及时收集，按规定进行立卷归档，定期向档案室移交，任何单位及个人不得据为己有”、第八条“档案工作人员调离岗位或退休的，应当在离岗前办好交接手续”的相关规定。</w:t>
      </w:r>
    </w:p>
    <w:bookmarkEnd w:id="75"/>
    <w:bookmarkEnd w:id="76"/>
    <w:p w14:paraId="7D31E74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left"/>
        <w:textAlignment w:val="auto"/>
        <w:outlineLvl w:val="1"/>
        <w:rPr>
          <w:rFonts w:hint="default" w:ascii="Times New Roman" w:hAnsi="Times New Roman" w:eastAsia="楷体_GB2312" w:cs="Times New Roman"/>
          <w:color w:val="auto"/>
          <w:sz w:val="32"/>
          <w:szCs w:val="32"/>
          <w:highlight w:val="none"/>
          <w:lang w:eastAsia="zh-CN"/>
        </w:rPr>
      </w:pPr>
      <w:bookmarkStart w:id="79" w:name="_Toc17563"/>
      <w:bookmarkStart w:id="80" w:name="_Toc5890"/>
      <w:bookmarkStart w:id="81" w:name="_Toc13966"/>
      <w:bookmarkStart w:id="82" w:name="_Toc20676"/>
      <w:r>
        <w:rPr>
          <w:rFonts w:hint="default" w:ascii="Times New Roman" w:hAnsi="Times New Roman" w:eastAsia="楷体_GB2312" w:cs="Times New Roman"/>
          <w:color w:val="auto"/>
          <w:kern w:val="2"/>
          <w:sz w:val="32"/>
          <w:szCs w:val="32"/>
          <w:highlight w:val="none"/>
          <w:lang w:val="en-US" w:eastAsia="zh-CN" w:bidi="ar-SA"/>
        </w:rPr>
        <w:t>（</w:t>
      </w:r>
      <w:r>
        <w:rPr>
          <w:rFonts w:hint="eastAsia" w:ascii="Times New Roman" w:hAnsi="Times New Roman" w:eastAsia="楷体_GB2312" w:cs="Times New Roman"/>
          <w:color w:val="auto"/>
          <w:kern w:val="2"/>
          <w:sz w:val="32"/>
          <w:szCs w:val="32"/>
          <w:highlight w:val="none"/>
          <w:lang w:val="en-US" w:eastAsia="zh-CN" w:bidi="ar-SA"/>
        </w:rPr>
        <w:t>三</w:t>
      </w:r>
      <w:r>
        <w:rPr>
          <w:rFonts w:hint="default" w:ascii="Times New Roman" w:hAnsi="Times New Roman" w:eastAsia="楷体_GB2312" w:cs="Times New Roman"/>
          <w:color w:val="auto"/>
          <w:kern w:val="2"/>
          <w:sz w:val="32"/>
          <w:szCs w:val="32"/>
          <w:highlight w:val="none"/>
          <w:lang w:val="en-US" w:eastAsia="zh-CN" w:bidi="ar-SA"/>
        </w:rPr>
        <w:t>）</w:t>
      </w:r>
      <w:r>
        <w:rPr>
          <w:rFonts w:hint="default" w:ascii="Times New Roman" w:hAnsi="Times New Roman" w:eastAsia="楷体_GB2312" w:cs="Times New Roman"/>
          <w:color w:val="auto"/>
          <w:sz w:val="32"/>
          <w:szCs w:val="32"/>
          <w:highlight w:val="none"/>
          <w:lang w:val="en-US" w:eastAsia="zh-CN"/>
        </w:rPr>
        <w:t>其他</w:t>
      </w:r>
      <w:r>
        <w:rPr>
          <w:rFonts w:hint="default" w:ascii="Times New Roman" w:hAnsi="Times New Roman" w:eastAsia="楷体_GB2312" w:cs="Times New Roman"/>
          <w:color w:val="auto"/>
          <w:sz w:val="32"/>
          <w:szCs w:val="32"/>
          <w:highlight w:val="none"/>
          <w:lang w:eastAsia="zh-CN"/>
        </w:rPr>
        <w:t>方面</w:t>
      </w:r>
      <w:bookmarkEnd w:id="79"/>
      <w:bookmarkEnd w:id="80"/>
      <w:bookmarkEnd w:id="81"/>
      <w:bookmarkEnd w:id="82"/>
    </w:p>
    <w:p w14:paraId="4955A2A9">
      <w:pPr>
        <w:pStyle w:val="17"/>
        <w:keepNext w:val="0"/>
        <w:keepLines w:val="0"/>
        <w:pageBreakBefore w:val="0"/>
        <w:widowControl w:val="0"/>
        <w:kinsoku/>
        <w:wordWrap/>
        <w:overflowPunct/>
        <w:topLinePunct w:val="0"/>
        <w:autoSpaceDE/>
        <w:autoSpaceDN/>
        <w:bidi w:val="0"/>
        <w:spacing w:line="560" w:lineRule="exact"/>
        <w:ind w:left="0" w:leftChars="0"/>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1.预算资金编制合理性欠佳</w:t>
      </w:r>
    </w:p>
    <w:p w14:paraId="4081EFD2">
      <w:pPr>
        <w:pStyle w:val="17"/>
        <w:keepNext w:val="0"/>
        <w:keepLines w:val="0"/>
        <w:pageBreakBefore w:val="0"/>
        <w:widowControl w:val="0"/>
        <w:kinsoku/>
        <w:wordWrap/>
        <w:overflowPunct/>
        <w:topLinePunct w:val="0"/>
        <w:autoSpaceDE/>
        <w:autoSpaceDN/>
        <w:bidi w:val="0"/>
        <w:spacing w:line="560" w:lineRule="exact"/>
        <w:ind w:left="0" w:leftChars="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2024年青岛市星级养老机构奖补项目预算715万元，其中支付2023年评定结果</w:t>
      </w:r>
      <w:r>
        <w:rPr>
          <w:rFonts w:hint="eastAsia" w:ascii="Times New Roman" w:hAnsi="Times New Roman" w:eastAsia="仿宋_GB2312" w:cs="Times New Roman"/>
          <w:b w:val="0"/>
          <w:bCs w:val="0"/>
          <w:color w:val="auto"/>
          <w:kern w:val="2"/>
          <w:sz w:val="32"/>
          <w:szCs w:val="32"/>
          <w:highlight w:val="none"/>
          <w:lang w:val="en-US" w:eastAsia="zh-CN" w:bidi="ar-SA"/>
        </w:rPr>
        <w:t>的</w:t>
      </w:r>
      <w:r>
        <w:rPr>
          <w:rFonts w:hint="default" w:ascii="Times New Roman" w:hAnsi="Times New Roman" w:eastAsia="仿宋_GB2312" w:cs="Times New Roman"/>
          <w:b w:val="0"/>
          <w:bCs w:val="0"/>
          <w:color w:val="auto"/>
          <w:kern w:val="2"/>
          <w:sz w:val="32"/>
          <w:szCs w:val="32"/>
          <w:highlight w:val="none"/>
          <w:lang w:val="en-US" w:eastAsia="zh-CN" w:bidi="ar-SA"/>
        </w:rPr>
        <w:t>预算185万元</w:t>
      </w:r>
      <w:r>
        <w:rPr>
          <w:rFonts w:hint="eastAsia" w:ascii="Times New Roman" w:hAnsi="Times New Roman" w:eastAsia="仿宋_GB2312" w:cs="Times New Roman"/>
          <w:b w:val="0"/>
          <w:bCs w:val="0"/>
          <w:color w:val="auto"/>
          <w:kern w:val="2"/>
          <w:sz w:val="32"/>
          <w:szCs w:val="32"/>
          <w:highlight w:val="none"/>
          <w:lang w:val="en-US" w:eastAsia="zh-CN" w:bidi="ar-SA"/>
        </w:rPr>
        <w:t>，民政局2023年11月份开始着手修订政策并于2024年2月印发，</w:t>
      </w:r>
      <w:r>
        <w:rPr>
          <w:rFonts w:hint="default" w:ascii="Times New Roman" w:hAnsi="Times New Roman" w:eastAsia="仿宋_GB2312" w:cs="Times New Roman"/>
          <w:b w:val="0"/>
          <w:bCs w:val="0"/>
          <w:color w:val="auto"/>
          <w:kern w:val="2"/>
          <w:sz w:val="32"/>
          <w:szCs w:val="32"/>
          <w:highlight w:val="none"/>
          <w:lang w:val="en-US" w:eastAsia="zh-CN" w:bidi="ar-SA"/>
        </w:rPr>
        <w:t>因政策调整</w:t>
      </w:r>
      <w:r>
        <w:rPr>
          <w:rFonts w:hint="eastAsia" w:ascii="Times New Roman" w:hAnsi="Times New Roman" w:eastAsia="仿宋_GB2312" w:cs="Times New Roman"/>
          <w:b w:val="0"/>
          <w:bCs w:val="0"/>
          <w:color w:val="auto"/>
          <w:kern w:val="2"/>
          <w:sz w:val="32"/>
          <w:szCs w:val="32"/>
          <w:highlight w:val="none"/>
          <w:lang w:val="en-US" w:eastAsia="zh-CN" w:bidi="ar-SA"/>
        </w:rPr>
        <w:t>的安排，民政局</w:t>
      </w:r>
      <w:r>
        <w:rPr>
          <w:rFonts w:hint="default" w:ascii="Times New Roman" w:hAnsi="Times New Roman" w:eastAsia="仿宋_GB2312" w:cs="Times New Roman"/>
          <w:b w:val="0"/>
          <w:bCs w:val="0"/>
          <w:color w:val="auto"/>
          <w:kern w:val="2"/>
          <w:sz w:val="32"/>
          <w:szCs w:val="32"/>
          <w:highlight w:val="none"/>
          <w:lang w:val="en-US" w:eastAsia="zh-CN" w:bidi="ar-SA"/>
        </w:rPr>
        <w:t>未</w:t>
      </w:r>
      <w:r>
        <w:rPr>
          <w:rFonts w:hint="eastAsia" w:ascii="Times New Roman" w:hAnsi="Times New Roman" w:eastAsia="仿宋_GB2312" w:cs="Times New Roman"/>
          <w:b w:val="0"/>
          <w:bCs w:val="0"/>
          <w:color w:val="auto"/>
          <w:kern w:val="2"/>
          <w:sz w:val="32"/>
          <w:szCs w:val="32"/>
          <w:highlight w:val="none"/>
          <w:lang w:val="en-US" w:eastAsia="zh-CN" w:bidi="ar-SA"/>
        </w:rPr>
        <w:t>组织安排2023</w:t>
      </w:r>
      <w:r>
        <w:rPr>
          <w:rFonts w:hint="default" w:ascii="Times New Roman" w:hAnsi="Times New Roman" w:eastAsia="仿宋_GB2312" w:cs="Times New Roman"/>
          <w:b w:val="0"/>
          <w:bCs w:val="0"/>
          <w:color w:val="auto"/>
          <w:kern w:val="2"/>
          <w:sz w:val="32"/>
          <w:szCs w:val="32"/>
          <w:highlight w:val="none"/>
          <w:lang w:val="en-US" w:eastAsia="zh-CN" w:bidi="ar-SA"/>
        </w:rPr>
        <w:t>年度机构星级评定</w:t>
      </w:r>
      <w:r>
        <w:rPr>
          <w:rFonts w:hint="eastAsia" w:ascii="Times New Roman" w:hAnsi="Times New Roman" w:eastAsia="仿宋_GB2312" w:cs="Times New Roman"/>
          <w:b w:val="0"/>
          <w:bCs w:val="0"/>
          <w:color w:val="auto"/>
          <w:kern w:val="2"/>
          <w:sz w:val="32"/>
          <w:szCs w:val="32"/>
          <w:highlight w:val="none"/>
          <w:lang w:val="en-US" w:eastAsia="zh-CN" w:bidi="ar-SA"/>
        </w:rPr>
        <w:t>工作</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Times New Roman" w:hAnsi="Times New Roman" w:eastAsia="仿宋_GB2312" w:cs="Times New Roman"/>
          <w:b w:val="0"/>
          <w:bCs w:val="0"/>
          <w:color w:val="auto"/>
          <w:kern w:val="2"/>
          <w:sz w:val="32"/>
          <w:szCs w:val="32"/>
          <w:highlight w:val="none"/>
          <w:lang w:val="en-US" w:eastAsia="zh-CN" w:bidi="ar-SA"/>
        </w:rPr>
        <w:t>而</w:t>
      </w:r>
      <w:r>
        <w:rPr>
          <w:rFonts w:hint="default" w:ascii="Times New Roman" w:hAnsi="Times New Roman" w:eastAsia="仿宋_GB2312" w:cs="Times New Roman"/>
          <w:b w:val="0"/>
          <w:bCs w:val="0"/>
          <w:color w:val="auto"/>
          <w:kern w:val="2"/>
          <w:sz w:val="32"/>
          <w:szCs w:val="32"/>
          <w:highlight w:val="none"/>
          <w:lang w:val="en-US" w:eastAsia="zh-CN" w:bidi="ar-SA"/>
        </w:rPr>
        <w:t>2</w:t>
      </w:r>
      <w:r>
        <w:rPr>
          <w:rFonts w:hint="eastAsia" w:ascii="Times New Roman" w:hAnsi="Times New Roman" w:eastAsia="仿宋_GB2312" w:cs="Times New Roman"/>
          <w:b w:val="0"/>
          <w:bCs w:val="0"/>
          <w:color w:val="auto"/>
          <w:kern w:val="2"/>
          <w:sz w:val="32"/>
          <w:szCs w:val="32"/>
          <w:highlight w:val="none"/>
          <w:lang w:val="en-US" w:eastAsia="zh-CN" w:bidi="ar-SA"/>
        </w:rPr>
        <w:t>02</w:t>
      </w:r>
      <w:r>
        <w:rPr>
          <w:rFonts w:hint="default" w:ascii="Times New Roman" w:hAnsi="Times New Roman" w:eastAsia="仿宋_GB2312" w:cs="Times New Roman"/>
          <w:b w:val="0"/>
          <w:bCs w:val="0"/>
          <w:color w:val="auto"/>
          <w:kern w:val="2"/>
          <w:sz w:val="32"/>
          <w:szCs w:val="32"/>
          <w:highlight w:val="none"/>
          <w:lang w:val="en-US" w:eastAsia="zh-CN" w:bidi="ar-SA"/>
        </w:rPr>
        <w:t>4年预算</w:t>
      </w:r>
      <w:r>
        <w:rPr>
          <w:rFonts w:hint="default" w:ascii="Times New Roman" w:hAnsi="Times New Roman" w:eastAsia="仿宋_GB2312" w:cs="Times New Roman"/>
          <w:color w:val="auto"/>
          <w:sz w:val="32"/>
          <w:szCs w:val="32"/>
          <w:highlight w:val="none"/>
          <w:lang w:eastAsia="zh-CN"/>
        </w:rPr>
        <w:t>不应包含2</w:t>
      </w:r>
      <w:r>
        <w:rPr>
          <w:rFonts w:hint="eastAsia" w:ascii="Times New Roman" w:hAnsi="Times New Roman" w:eastAsia="仿宋_GB2312" w:cs="Times New Roman"/>
          <w:color w:val="auto"/>
          <w:sz w:val="32"/>
          <w:szCs w:val="32"/>
          <w:highlight w:val="none"/>
          <w:lang w:val="en-US" w:eastAsia="zh-CN"/>
        </w:rPr>
        <w:t>02</w:t>
      </w:r>
      <w:r>
        <w:rPr>
          <w:rFonts w:hint="default" w:ascii="Times New Roman" w:hAnsi="Times New Roman" w:eastAsia="仿宋_GB2312" w:cs="Times New Roman"/>
          <w:color w:val="auto"/>
          <w:sz w:val="32"/>
          <w:szCs w:val="32"/>
          <w:highlight w:val="none"/>
          <w:lang w:eastAsia="zh-CN"/>
        </w:rPr>
        <w:t>3年评定结果奖补资金</w:t>
      </w:r>
      <w:r>
        <w:rPr>
          <w:rFonts w:hint="default" w:ascii="Times New Roman" w:hAnsi="Times New Roman" w:eastAsia="仿宋_GB2312" w:cs="Times New Roman"/>
          <w:b w:val="0"/>
          <w:bCs w:val="0"/>
          <w:color w:val="auto"/>
          <w:kern w:val="2"/>
          <w:sz w:val="32"/>
          <w:szCs w:val="32"/>
          <w:highlight w:val="none"/>
          <w:lang w:val="en-US" w:eastAsia="zh-CN" w:bidi="ar-SA"/>
        </w:rPr>
        <w:t>，预算资金</w:t>
      </w:r>
      <w:r>
        <w:rPr>
          <w:rFonts w:hint="eastAsia" w:ascii="Times New Roman" w:hAnsi="Times New Roman" w:eastAsia="仿宋_GB2312" w:cs="Times New Roman"/>
          <w:b w:val="0"/>
          <w:bCs w:val="0"/>
          <w:color w:val="auto"/>
          <w:kern w:val="2"/>
          <w:sz w:val="32"/>
          <w:szCs w:val="32"/>
          <w:highlight w:val="none"/>
          <w:lang w:val="en-US" w:eastAsia="zh-CN" w:bidi="ar-SA"/>
        </w:rPr>
        <w:t>编制不合理</w:t>
      </w:r>
      <w:r>
        <w:rPr>
          <w:rFonts w:hint="default" w:ascii="Times New Roman" w:hAnsi="Times New Roman" w:eastAsia="仿宋_GB2312" w:cs="Times New Roman"/>
          <w:color w:val="auto"/>
          <w:sz w:val="32"/>
          <w:szCs w:val="32"/>
          <w:highlight w:val="none"/>
          <w:lang w:eastAsia="zh-CN"/>
        </w:rPr>
        <w:t>。</w:t>
      </w:r>
    </w:p>
    <w:p w14:paraId="4F4FA131">
      <w:pPr>
        <w:pStyle w:val="17"/>
        <w:keepNext w:val="0"/>
        <w:keepLines w:val="0"/>
        <w:pageBreakBefore w:val="0"/>
        <w:widowControl w:val="0"/>
        <w:kinsoku/>
        <w:wordWrap/>
        <w:overflowPunct/>
        <w:topLinePunct w:val="0"/>
        <w:autoSpaceDE/>
        <w:autoSpaceDN/>
        <w:bidi w:val="0"/>
        <w:spacing w:line="560" w:lineRule="exact"/>
        <w:ind w:left="0" w:leftChars="0"/>
        <w:textAlignment w:val="auto"/>
        <w:rPr>
          <w:rFonts w:hint="default"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2.部分绩效指标设置无法量化</w:t>
      </w:r>
    </w:p>
    <w:p w14:paraId="1E5E4C29">
      <w:pPr>
        <w:pStyle w:val="17"/>
        <w:keepNext w:val="0"/>
        <w:keepLines w:val="0"/>
        <w:pageBreakBefore w:val="0"/>
        <w:widowControl w:val="0"/>
        <w:kinsoku/>
        <w:wordWrap/>
        <w:overflowPunct/>
        <w:topLinePunct w:val="0"/>
        <w:autoSpaceDE/>
        <w:autoSpaceDN/>
        <w:bidi w:val="0"/>
        <w:spacing w:line="560" w:lineRule="exact"/>
        <w:ind w:left="0" w:leftChars="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bCs w:val="0"/>
          <w:color w:val="auto"/>
          <w:kern w:val="2"/>
          <w:sz w:val="32"/>
          <w:szCs w:val="32"/>
          <w:highlight w:val="none"/>
          <w:lang w:val="en-US" w:eastAsia="zh-CN" w:bidi="ar-SA"/>
        </w:rPr>
        <w:t>星级养老机构评定奖补资金</w:t>
      </w:r>
      <w:r>
        <w:rPr>
          <w:rFonts w:hint="eastAsia" w:ascii="Times New Roman" w:hAnsi="Times New Roman" w:eastAsia="仿宋_GB2312" w:cs="Times New Roman"/>
          <w:b w:val="0"/>
          <w:bCs w:val="0"/>
          <w:color w:val="auto"/>
          <w:kern w:val="2"/>
          <w:sz w:val="32"/>
          <w:szCs w:val="32"/>
          <w:highlight w:val="none"/>
          <w:lang w:val="en-US" w:eastAsia="zh-CN" w:bidi="ar-SA"/>
        </w:rPr>
        <w:t>子项目中，效益指标设置为“养老机构服务质量水平10%”，</w:t>
      </w:r>
      <w:r>
        <w:rPr>
          <w:rFonts w:hint="eastAsia" w:ascii="Times New Roman" w:hAnsi="Times New Roman" w:eastAsia="仿宋_GB2312" w:cs="Times New Roman"/>
          <w:color w:val="auto"/>
          <w:sz w:val="32"/>
          <w:szCs w:val="32"/>
          <w:highlight w:val="none"/>
          <w:lang w:val="en-US" w:eastAsia="zh-CN"/>
        </w:rPr>
        <w:t>因编制绩效目标时未对2024年养老机构实际情况进行充分调研评审，导致绩效目标值设置无法量化、无法衡量</w:t>
      </w:r>
      <w:r>
        <w:rPr>
          <w:rFonts w:hint="default" w:ascii="Times New Roman" w:hAnsi="Times New Roman" w:eastAsia="仿宋_GB2312" w:cs="Times New Roman"/>
          <w:color w:val="auto"/>
          <w:sz w:val="32"/>
          <w:szCs w:val="32"/>
          <w:highlight w:val="none"/>
          <w:lang w:val="en-US" w:eastAsia="zh-CN"/>
        </w:rPr>
        <w:t>。</w:t>
      </w:r>
    </w:p>
    <w:p w14:paraId="4C57CFC2">
      <w:pPr>
        <w:keepNext w:val="0"/>
        <w:keepLines w:val="0"/>
        <w:pageBreakBefore w:val="0"/>
        <w:widowControl w:val="0"/>
        <w:numPr>
          <w:ilvl w:val="0"/>
          <w:numId w:val="0"/>
        </w:numPr>
        <w:kinsoku/>
        <w:wordWrap/>
        <w:overflowPunct/>
        <w:topLinePunct w:val="0"/>
        <w:autoSpaceDE/>
        <w:autoSpaceDN/>
        <w:bidi w:val="0"/>
        <w:spacing w:line="560" w:lineRule="exact"/>
        <w:ind w:left="0" w:leftChars="0" w:firstLine="640" w:firstLineChars="200"/>
        <w:textAlignment w:val="auto"/>
        <w:outlineLvl w:val="0"/>
        <w:rPr>
          <w:rFonts w:hint="default" w:ascii="Times New Roman" w:hAnsi="Times New Roman" w:eastAsia="黑体" w:cs="Times New Roman"/>
          <w:color w:val="auto"/>
          <w:sz w:val="32"/>
          <w:szCs w:val="32"/>
          <w:highlight w:val="none"/>
        </w:rPr>
      </w:pPr>
      <w:bookmarkStart w:id="83" w:name="_Toc23995"/>
      <w:bookmarkStart w:id="84" w:name="_Toc4489"/>
      <w:bookmarkStart w:id="85" w:name="_Toc21672"/>
      <w:bookmarkStart w:id="86" w:name="_Toc10310"/>
      <w:r>
        <w:rPr>
          <w:rFonts w:hint="default" w:ascii="Times New Roman" w:hAnsi="Times New Roman" w:eastAsia="黑体" w:cs="Times New Roman"/>
          <w:color w:val="auto"/>
          <w:sz w:val="32"/>
          <w:szCs w:val="32"/>
          <w:highlight w:val="none"/>
          <w:lang w:val="en-US" w:eastAsia="zh-CN"/>
        </w:rPr>
        <w:t>七、</w:t>
      </w:r>
      <w:r>
        <w:rPr>
          <w:rFonts w:hint="default" w:ascii="Times New Roman" w:hAnsi="Times New Roman" w:eastAsia="黑体" w:cs="Times New Roman"/>
          <w:color w:val="auto"/>
          <w:sz w:val="32"/>
          <w:szCs w:val="32"/>
          <w:highlight w:val="none"/>
        </w:rPr>
        <w:t>相关建议</w:t>
      </w:r>
      <w:bookmarkEnd w:id="83"/>
      <w:bookmarkEnd w:id="84"/>
      <w:bookmarkEnd w:id="85"/>
      <w:bookmarkEnd w:id="86"/>
    </w:p>
    <w:p w14:paraId="7CBBBF7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left"/>
        <w:textAlignment w:val="auto"/>
        <w:outlineLvl w:val="1"/>
        <w:rPr>
          <w:rFonts w:hint="default" w:ascii="Times New Roman" w:hAnsi="Times New Roman" w:eastAsia="楷体_GB2312" w:cs="Times New Roman"/>
          <w:color w:val="auto"/>
          <w:kern w:val="2"/>
          <w:sz w:val="32"/>
          <w:szCs w:val="32"/>
          <w:highlight w:val="none"/>
          <w:lang w:val="en-US" w:eastAsia="zh-CN" w:bidi="ar-SA"/>
        </w:rPr>
      </w:pPr>
      <w:bookmarkStart w:id="87" w:name="_Toc21313"/>
      <w:bookmarkStart w:id="88" w:name="_Toc7961"/>
      <w:bookmarkStart w:id="89" w:name="_Toc22404"/>
      <w:bookmarkStart w:id="90" w:name="_Toc4333"/>
      <w:bookmarkStart w:id="91" w:name="_Toc8836"/>
      <w:bookmarkStart w:id="92" w:name="_Toc21102"/>
      <w:r>
        <w:rPr>
          <w:rFonts w:hint="default" w:ascii="Times New Roman" w:hAnsi="Times New Roman" w:eastAsia="楷体_GB2312" w:cs="Times New Roman"/>
          <w:color w:val="auto"/>
          <w:kern w:val="2"/>
          <w:sz w:val="32"/>
          <w:szCs w:val="32"/>
          <w:highlight w:val="none"/>
          <w:lang w:val="en-US" w:eastAsia="zh-CN" w:bidi="ar-SA"/>
        </w:rPr>
        <w:t>（</w:t>
      </w:r>
      <w:r>
        <w:rPr>
          <w:rFonts w:hint="eastAsia" w:ascii="Times New Roman" w:hAnsi="Times New Roman" w:eastAsia="楷体_GB2312" w:cs="Times New Roman"/>
          <w:color w:val="auto"/>
          <w:kern w:val="2"/>
          <w:sz w:val="32"/>
          <w:szCs w:val="32"/>
          <w:highlight w:val="none"/>
          <w:lang w:val="en-US" w:eastAsia="zh-CN" w:bidi="ar-SA"/>
        </w:rPr>
        <w:t>一</w:t>
      </w:r>
      <w:r>
        <w:rPr>
          <w:rFonts w:hint="default" w:ascii="Times New Roman" w:hAnsi="Times New Roman" w:eastAsia="楷体_GB2312" w:cs="Times New Roman"/>
          <w:color w:val="auto"/>
          <w:kern w:val="2"/>
          <w:sz w:val="32"/>
          <w:szCs w:val="32"/>
          <w:highlight w:val="none"/>
          <w:lang w:val="en-US" w:eastAsia="zh-CN" w:bidi="ar-SA"/>
        </w:rPr>
        <w:t>）</w:t>
      </w:r>
      <w:bookmarkStart w:id="93" w:name="_Toc22406"/>
      <w:r>
        <w:rPr>
          <w:rFonts w:hint="eastAsia" w:ascii="Times New Roman" w:hAnsi="Times New Roman" w:eastAsia="楷体_GB2312" w:cs="Times New Roman"/>
          <w:color w:val="auto"/>
          <w:kern w:val="2"/>
          <w:sz w:val="32"/>
          <w:szCs w:val="32"/>
          <w:highlight w:val="none"/>
          <w:lang w:val="en-US" w:eastAsia="zh-CN" w:bidi="ar-SA"/>
        </w:rPr>
        <w:t>强化星级评定及后续跟踪工作的监督管理</w:t>
      </w:r>
      <w:bookmarkEnd w:id="87"/>
      <w:bookmarkEnd w:id="93"/>
    </w:p>
    <w:p w14:paraId="51B38EA5">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一是</w:t>
      </w:r>
      <w:r>
        <w:rPr>
          <w:rFonts w:hint="eastAsia" w:ascii="Times New Roman" w:hAnsi="Times New Roman" w:eastAsia="仿宋_GB2312" w:cs="Times New Roman"/>
          <w:b w:val="0"/>
          <w:bCs w:val="0"/>
          <w:color w:val="auto"/>
          <w:kern w:val="2"/>
          <w:sz w:val="32"/>
          <w:szCs w:val="32"/>
          <w:highlight w:val="none"/>
          <w:lang w:val="en-US" w:eastAsia="zh-CN" w:bidi="ar-SA"/>
        </w:rPr>
        <w:t>建立“分级复核”机制。</w:t>
      </w:r>
      <w:r>
        <w:rPr>
          <w:rFonts w:hint="default" w:ascii="Times New Roman" w:hAnsi="Times New Roman" w:eastAsia="仿宋_GB2312" w:cs="Times New Roman"/>
          <w:b w:val="0"/>
          <w:bCs w:val="0"/>
          <w:color w:val="auto"/>
          <w:kern w:val="2"/>
          <w:sz w:val="32"/>
          <w:szCs w:val="32"/>
          <w:highlight w:val="none"/>
          <w:lang w:val="en-US" w:eastAsia="zh-CN" w:bidi="ar-SA"/>
        </w:rPr>
        <w:t> 对第三方</w:t>
      </w:r>
      <w:r>
        <w:rPr>
          <w:rFonts w:hint="eastAsia" w:ascii="Times New Roman" w:hAnsi="Times New Roman" w:eastAsia="仿宋_GB2312" w:cs="Times New Roman"/>
          <w:b w:val="0"/>
          <w:bCs w:val="0"/>
          <w:color w:val="auto"/>
          <w:kern w:val="2"/>
          <w:sz w:val="32"/>
          <w:szCs w:val="32"/>
          <w:highlight w:val="none"/>
          <w:lang w:val="en-US" w:eastAsia="zh-CN" w:bidi="ar-SA"/>
        </w:rPr>
        <w:t>评定机构</w:t>
      </w:r>
      <w:r>
        <w:rPr>
          <w:rFonts w:hint="default" w:ascii="Times New Roman" w:hAnsi="Times New Roman" w:eastAsia="仿宋_GB2312" w:cs="Times New Roman"/>
          <w:b w:val="0"/>
          <w:bCs w:val="0"/>
          <w:color w:val="auto"/>
          <w:kern w:val="2"/>
          <w:sz w:val="32"/>
          <w:szCs w:val="32"/>
          <w:highlight w:val="none"/>
          <w:lang w:val="en-US" w:eastAsia="zh-CN" w:bidi="ar-SA"/>
        </w:rPr>
        <w:t>提交的</w:t>
      </w:r>
      <w:r>
        <w:rPr>
          <w:rFonts w:hint="eastAsia" w:ascii="Times New Roman" w:hAnsi="Times New Roman" w:eastAsia="仿宋_GB2312" w:cs="Times New Roman"/>
          <w:b w:val="0"/>
          <w:bCs w:val="0"/>
          <w:color w:val="auto"/>
          <w:kern w:val="2"/>
          <w:sz w:val="32"/>
          <w:szCs w:val="32"/>
          <w:highlight w:val="none"/>
          <w:lang w:val="en-US" w:eastAsia="zh-CN" w:bidi="ar-SA"/>
        </w:rPr>
        <w:t>养老机构星级评定</w:t>
      </w:r>
      <w:r>
        <w:rPr>
          <w:rFonts w:hint="default" w:ascii="Times New Roman" w:hAnsi="Times New Roman" w:eastAsia="仿宋_GB2312" w:cs="Times New Roman"/>
          <w:b w:val="0"/>
          <w:bCs w:val="0"/>
          <w:color w:val="auto"/>
          <w:kern w:val="2"/>
          <w:sz w:val="32"/>
          <w:szCs w:val="32"/>
          <w:highlight w:val="none"/>
          <w:lang w:val="en-US" w:eastAsia="zh-CN" w:bidi="ar-SA"/>
        </w:rPr>
        <w:t>工作成果，建立经办人初核、科室负责人复核、分管领导重点抽查的三级内部审核机制</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每一级需留下书面审核记录（如审核意见表），确保</w:t>
      </w:r>
      <w:r>
        <w:rPr>
          <w:rFonts w:hint="eastAsia" w:ascii="Times New Roman" w:hAnsi="Times New Roman" w:eastAsia="仿宋_GB2312" w:cs="Times New Roman"/>
          <w:b w:val="0"/>
          <w:bCs w:val="0"/>
          <w:color w:val="auto"/>
          <w:kern w:val="2"/>
          <w:sz w:val="32"/>
          <w:szCs w:val="32"/>
          <w:highlight w:val="none"/>
          <w:lang w:val="en-US" w:eastAsia="zh-CN" w:bidi="ar-SA"/>
        </w:rPr>
        <w:t>监督</w:t>
      </w:r>
      <w:r>
        <w:rPr>
          <w:rFonts w:hint="default" w:ascii="Times New Roman" w:hAnsi="Times New Roman" w:eastAsia="仿宋_GB2312" w:cs="Times New Roman"/>
          <w:b w:val="0"/>
          <w:bCs w:val="0"/>
          <w:color w:val="auto"/>
          <w:kern w:val="2"/>
          <w:sz w:val="32"/>
          <w:szCs w:val="32"/>
          <w:highlight w:val="none"/>
          <w:lang w:val="en-US" w:eastAsia="zh-CN" w:bidi="ar-SA"/>
        </w:rPr>
        <w:t>责任可追溯。</w:t>
      </w:r>
      <w:r>
        <w:rPr>
          <w:rFonts w:hint="eastAsia" w:ascii="Times New Roman" w:hAnsi="Times New Roman" w:eastAsia="仿宋_GB2312" w:cs="Times New Roman"/>
          <w:b/>
          <w:bCs/>
          <w:color w:val="auto"/>
          <w:kern w:val="2"/>
          <w:sz w:val="32"/>
          <w:szCs w:val="32"/>
          <w:highlight w:val="none"/>
          <w:lang w:val="en-US" w:eastAsia="zh-CN" w:bidi="ar-SA"/>
        </w:rPr>
        <w:t> 二是</w:t>
      </w:r>
      <w:r>
        <w:rPr>
          <w:rFonts w:hint="default" w:ascii="Times New Roman" w:hAnsi="Times New Roman" w:eastAsia="仿宋_GB2312" w:cs="Times New Roman"/>
          <w:b w:val="0"/>
          <w:bCs w:val="0"/>
          <w:color w:val="auto"/>
          <w:kern w:val="2"/>
          <w:sz w:val="32"/>
          <w:szCs w:val="32"/>
          <w:highlight w:val="none"/>
          <w:lang w:val="en-US" w:eastAsia="zh-CN" w:bidi="ar-SA"/>
        </w:rPr>
        <w:t>设计第三方</w:t>
      </w:r>
      <w:r>
        <w:rPr>
          <w:rFonts w:hint="eastAsia" w:ascii="Times New Roman" w:hAnsi="Times New Roman" w:eastAsia="仿宋_GB2312" w:cs="Times New Roman"/>
          <w:b w:val="0"/>
          <w:bCs w:val="0"/>
          <w:color w:val="auto"/>
          <w:kern w:val="2"/>
          <w:sz w:val="32"/>
          <w:szCs w:val="32"/>
          <w:highlight w:val="none"/>
          <w:lang w:val="en-US" w:eastAsia="zh-CN" w:bidi="ar-SA"/>
        </w:rPr>
        <w:t>机构评价表</w:t>
      </w:r>
      <w:r>
        <w:rPr>
          <w:rFonts w:hint="default" w:ascii="Times New Roman" w:hAnsi="Times New Roman" w:eastAsia="仿宋_GB2312" w:cs="Times New Roman"/>
          <w:b w:val="0"/>
          <w:bCs w:val="0"/>
          <w:color w:val="auto"/>
          <w:kern w:val="2"/>
          <w:sz w:val="32"/>
          <w:szCs w:val="32"/>
          <w:highlight w:val="none"/>
          <w:lang w:val="en-US" w:eastAsia="zh-CN" w:bidi="ar-SA"/>
        </w:rPr>
        <w:t>，围绕服务质量、时效、合规性、合作态度等维度，</w:t>
      </w:r>
      <w:r>
        <w:rPr>
          <w:rFonts w:hint="eastAsia" w:ascii="Times New Roman" w:hAnsi="Times New Roman" w:eastAsia="仿宋_GB2312" w:cs="Times New Roman"/>
          <w:b w:val="0"/>
          <w:bCs w:val="0"/>
          <w:color w:val="auto"/>
          <w:kern w:val="2"/>
          <w:sz w:val="32"/>
          <w:szCs w:val="32"/>
          <w:highlight w:val="none"/>
          <w:lang w:val="en-US" w:eastAsia="zh-CN" w:bidi="ar-SA"/>
        </w:rPr>
        <w:t>对第三方机构业务质量进行</w:t>
      </w:r>
      <w:r>
        <w:rPr>
          <w:rFonts w:hint="default" w:ascii="Times New Roman" w:hAnsi="Times New Roman" w:eastAsia="仿宋_GB2312" w:cs="Times New Roman"/>
          <w:b w:val="0"/>
          <w:bCs w:val="0"/>
          <w:color w:val="auto"/>
          <w:kern w:val="2"/>
          <w:sz w:val="32"/>
          <w:szCs w:val="32"/>
          <w:highlight w:val="none"/>
          <w:lang w:val="en-US" w:eastAsia="zh-CN" w:bidi="ar-SA"/>
        </w:rPr>
        <w:t>评估</w:t>
      </w:r>
      <w:r>
        <w:rPr>
          <w:rFonts w:hint="eastAsia" w:ascii="Times New Roman" w:hAnsi="Times New Roman" w:eastAsia="仿宋_GB2312" w:cs="Times New Roman"/>
          <w:b w:val="0"/>
          <w:bCs w:val="0"/>
          <w:color w:val="auto"/>
          <w:kern w:val="2"/>
          <w:sz w:val="32"/>
          <w:szCs w:val="32"/>
          <w:highlight w:val="none"/>
          <w:lang w:val="en-US" w:eastAsia="zh-CN" w:bidi="ar-SA"/>
        </w:rPr>
        <w:t>，并将</w:t>
      </w:r>
      <w:r>
        <w:rPr>
          <w:rFonts w:hint="default" w:ascii="Times New Roman" w:hAnsi="Times New Roman" w:eastAsia="仿宋_GB2312" w:cs="Times New Roman"/>
          <w:b w:val="0"/>
          <w:bCs w:val="0"/>
          <w:color w:val="auto"/>
          <w:kern w:val="2"/>
          <w:sz w:val="32"/>
          <w:szCs w:val="32"/>
          <w:highlight w:val="none"/>
          <w:lang w:val="en-US" w:eastAsia="zh-CN" w:bidi="ar-SA"/>
        </w:rPr>
        <w:t>评估结果反馈给第三方</w:t>
      </w:r>
      <w:r>
        <w:rPr>
          <w:rFonts w:hint="eastAsia" w:ascii="Times New Roman" w:hAnsi="Times New Roman" w:eastAsia="仿宋_GB2312" w:cs="Times New Roman"/>
          <w:b w:val="0"/>
          <w:bCs w:val="0"/>
          <w:color w:val="auto"/>
          <w:kern w:val="2"/>
          <w:sz w:val="32"/>
          <w:szCs w:val="32"/>
          <w:highlight w:val="none"/>
          <w:lang w:val="en-US" w:eastAsia="zh-CN" w:bidi="ar-SA"/>
        </w:rPr>
        <w:t>机构</w:t>
      </w:r>
      <w:r>
        <w:rPr>
          <w:rFonts w:hint="default" w:ascii="Times New Roman" w:hAnsi="Times New Roman" w:eastAsia="仿宋_GB2312" w:cs="Times New Roman"/>
          <w:b w:val="0"/>
          <w:bCs w:val="0"/>
          <w:color w:val="auto"/>
          <w:kern w:val="2"/>
          <w:sz w:val="32"/>
          <w:szCs w:val="32"/>
          <w:highlight w:val="none"/>
          <w:lang w:val="en-US" w:eastAsia="zh-CN" w:bidi="ar-SA"/>
        </w:rPr>
        <w:t>，作为结算费用、续签合同的重要依据</w:t>
      </w:r>
      <w:r>
        <w:rPr>
          <w:rFonts w:hint="eastAsia" w:ascii="Times New Roman" w:hAnsi="Times New Roman" w:eastAsia="仿宋_GB2312" w:cs="Times New Roman"/>
          <w:b w:val="0"/>
          <w:bCs w:val="0"/>
          <w:color w:val="auto"/>
          <w:kern w:val="2"/>
          <w:sz w:val="32"/>
          <w:szCs w:val="32"/>
          <w:highlight w:val="none"/>
          <w:lang w:val="en-US" w:eastAsia="zh-CN" w:bidi="ar-SA"/>
        </w:rPr>
        <w:t>，提高</w:t>
      </w:r>
      <w:r>
        <w:rPr>
          <w:rFonts w:hint="default" w:ascii="Times New Roman" w:hAnsi="Times New Roman" w:eastAsia="仿宋_GB2312" w:cs="Times New Roman"/>
          <w:b w:val="0"/>
          <w:bCs w:val="0"/>
          <w:color w:val="auto"/>
          <w:kern w:val="2"/>
          <w:sz w:val="32"/>
          <w:szCs w:val="32"/>
          <w:highlight w:val="none"/>
          <w:lang w:val="en-US" w:eastAsia="zh-CN" w:bidi="ar-SA"/>
        </w:rPr>
        <w:t>服务质量</w:t>
      </w:r>
      <w:r>
        <w:rPr>
          <w:rFonts w:hint="eastAsia" w:ascii="Times New Roman" w:hAnsi="Times New Roman" w:eastAsia="仿宋_GB2312" w:cs="Times New Roman"/>
          <w:b w:val="0"/>
          <w:bCs w:val="0"/>
          <w:color w:val="auto"/>
          <w:kern w:val="2"/>
          <w:sz w:val="32"/>
          <w:szCs w:val="32"/>
          <w:highlight w:val="none"/>
          <w:lang w:val="en-US" w:eastAsia="zh-CN" w:bidi="ar-SA"/>
        </w:rPr>
        <w:t>以及</w:t>
      </w:r>
      <w:r>
        <w:rPr>
          <w:rFonts w:hint="default" w:ascii="Times New Roman" w:hAnsi="Times New Roman" w:eastAsia="仿宋_GB2312" w:cs="Times New Roman"/>
          <w:b w:val="0"/>
          <w:bCs w:val="0"/>
          <w:color w:val="auto"/>
          <w:kern w:val="2"/>
          <w:sz w:val="32"/>
          <w:szCs w:val="32"/>
          <w:highlight w:val="none"/>
          <w:lang w:val="en-US" w:eastAsia="zh-CN" w:bidi="ar-SA"/>
        </w:rPr>
        <w:t>财政资金的使用效益。</w:t>
      </w:r>
      <w:r>
        <w:rPr>
          <w:rFonts w:hint="eastAsia" w:ascii="Times New Roman" w:hAnsi="Times New Roman" w:eastAsia="仿宋_GB2312" w:cs="Times New Roman"/>
          <w:b/>
          <w:bCs/>
          <w:color w:val="auto"/>
          <w:kern w:val="2"/>
          <w:sz w:val="32"/>
          <w:szCs w:val="32"/>
          <w:highlight w:val="none"/>
          <w:lang w:val="en-US" w:eastAsia="zh-CN" w:bidi="ar-SA"/>
        </w:rPr>
        <w:t>三是</w:t>
      </w:r>
      <w:r>
        <w:rPr>
          <w:rFonts w:hint="eastAsia" w:ascii="Times New Roman" w:hAnsi="Times New Roman" w:eastAsia="仿宋_GB2312" w:cs="Times New Roman"/>
          <w:b w:val="0"/>
          <w:bCs w:val="0"/>
          <w:color w:val="auto"/>
          <w:kern w:val="2"/>
          <w:sz w:val="32"/>
          <w:szCs w:val="32"/>
          <w:highlight w:val="none"/>
          <w:lang w:val="en-US" w:eastAsia="zh-CN" w:bidi="ar-SA"/>
        </w:rPr>
        <w:t>协调各区市，建立获得奖补养老机构的跟踪管理机制，实时掌握养老机构实际运营情况，帮助协调解决机构遇到的困难，确保养老机构功能齐全且运营正常。</w:t>
      </w:r>
    </w:p>
    <w:p w14:paraId="160713B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left"/>
        <w:textAlignment w:val="auto"/>
        <w:outlineLvl w:val="1"/>
        <w:rPr>
          <w:rFonts w:hint="default" w:ascii="Times New Roman" w:hAnsi="Times New Roman" w:eastAsia="楷体_GB2312" w:cs="Times New Roman"/>
          <w:color w:val="auto"/>
          <w:kern w:val="2"/>
          <w:sz w:val="32"/>
          <w:szCs w:val="32"/>
          <w:highlight w:val="none"/>
          <w:lang w:val="en-US" w:eastAsia="zh-CN" w:bidi="ar-SA"/>
        </w:rPr>
      </w:pPr>
      <w:bookmarkStart w:id="94" w:name="_Toc25405"/>
      <w:r>
        <w:rPr>
          <w:rFonts w:hint="eastAsia" w:ascii="Times New Roman" w:hAnsi="Times New Roman" w:eastAsia="楷体_GB2312" w:cs="Times New Roman"/>
          <w:color w:val="auto"/>
          <w:kern w:val="2"/>
          <w:sz w:val="32"/>
          <w:szCs w:val="32"/>
          <w:highlight w:val="none"/>
          <w:lang w:val="en-US" w:eastAsia="zh-CN" w:bidi="ar-SA"/>
        </w:rPr>
        <w:t>（二）加强采购</w:t>
      </w:r>
      <w:r>
        <w:rPr>
          <w:rFonts w:hint="default" w:ascii="Times New Roman" w:hAnsi="Times New Roman" w:eastAsia="楷体_GB2312" w:cs="Times New Roman"/>
          <w:color w:val="auto"/>
          <w:kern w:val="2"/>
          <w:sz w:val="32"/>
          <w:szCs w:val="32"/>
          <w:highlight w:val="none"/>
          <w:lang w:val="en-US" w:eastAsia="zh-CN" w:bidi="ar-SA"/>
        </w:rPr>
        <w:t>管理</w:t>
      </w:r>
      <w:r>
        <w:rPr>
          <w:rFonts w:hint="eastAsia" w:ascii="Times New Roman" w:hAnsi="Times New Roman" w:eastAsia="楷体_GB2312" w:cs="Times New Roman"/>
          <w:color w:val="auto"/>
          <w:kern w:val="2"/>
          <w:sz w:val="32"/>
          <w:szCs w:val="32"/>
          <w:highlight w:val="none"/>
          <w:lang w:val="en-US" w:eastAsia="zh-CN" w:bidi="ar-SA"/>
        </w:rPr>
        <w:t>工作</w:t>
      </w:r>
      <w:r>
        <w:rPr>
          <w:rFonts w:hint="default" w:ascii="Times New Roman" w:hAnsi="Times New Roman" w:eastAsia="楷体_GB2312" w:cs="Times New Roman"/>
          <w:color w:val="auto"/>
          <w:kern w:val="2"/>
          <w:sz w:val="32"/>
          <w:szCs w:val="32"/>
          <w:highlight w:val="none"/>
          <w:lang w:val="en-US" w:eastAsia="zh-CN" w:bidi="ar-SA"/>
        </w:rPr>
        <w:t>，确保政府采购公平竞争环境</w:t>
      </w:r>
      <w:bookmarkEnd w:id="88"/>
      <w:bookmarkEnd w:id="94"/>
    </w:p>
    <w:p w14:paraId="32F4624C">
      <w:pPr>
        <w:pStyle w:val="17"/>
        <w:keepNext w:val="0"/>
        <w:keepLines w:val="0"/>
        <w:pageBreakBefore w:val="0"/>
        <w:widowControl w:val="0"/>
        <w:kinsoku/>
        <w:wordWrap/>
        <w:overflowPunct/>
        <w:topLinePunct w:val="0"/>
        <w:autoSpaceDE/>
        <w:autoSpaceDN/>
        <w:bidi w:val="0"/>
        <w:spacing w:line="560" w:lineRule="exact"/>
        <w:ind w:left="0" w:leftChars="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一是</w:t>
      </w:r>
      <w:r>
        <w:rPr>
          <w:rFonts w:hint="eastAsia" w:ascii="Times New Roman" w:hAnsi="Times New Roman" w:eastAsia="仿宋_GB2312" w:cs="Times New Roman"/>
          <w:color w:val="auto"/>
          <w:kern w:val="2"/>
          <w:sz w:val="32"/>
          <w:szCs w:val="32"/>
          <w:highlight w:val="none"/>
          <w:lang w:val="en-US" w:eastAsia="zh-CN" w:bidi="ar-SA"/>
        </w:rPr>
        <w:t>市民政局作为采购工作的需求方，应加强对采购工作的监督管理力度，对政府采购行为的代理机构进行严格管控。</w:t>
      </w:r>
      <w:r>
        <w:rPr>
          <w:rFonts w:hint="default" w:ascii="Times New Roman" w:hAnsi="Times New Roman" w:eastAsia="仿宋_GB2312" w:cs="Times New Roman"/>
          <w:color w:val="auto"/>
          <w:kern w:val="2"/>
          <w:sz w:val="32"/>
          <w:szCs w:val="32"/>
          <w:highlight w:val="none"/>
          <w:lang w:val="en-US" w:eastAsia="zh-CN" w:bidi="ar-SA"/>
        </w:rPr>
        <w:t>代理机构作为采购文件的编制者，应加强对文件编制人员的培训和管理，确保</w:t>
      </w:r>
      <w:r>
        <w:rPr>
          <w:rFonts w:hint="eastAsia" w:ascii="Times New Roman" w:hAnsi="Times New Roman" w:eastAsia="仿宋_GB2312" w:cs="Times New Roman"/>
          <w:color w:val="auto"/>
          <w:kern w:val="2"/>
          <w:sz w:val="32"/>
          <w:szCs w:val="32"/>
          <w:highlight w:val="none"/>
          <w:lang w:val="en-US" w:eastAsia="zh-CN" w:bidi="ar-SA"/>
        </w:rPr>
        <w:t>其</w:t>
      </w:r>
      <w:r>
        <w:rPr>
          <w:rFonts w:hint="default" w:ascii="Times New Roman" w:hAnsi="Times New Roman" w:eastAsia="仿宋_GB2312" w:cs="Times New Roman"/>
          <w:color w:val="auto"/>
          <w:kern w:val="2"/>
          <w:sz w:val="32"/>
          <w:szCs w:val="32"/>
          <w:highlight w:val="none"/>
          <w:lang w:val="en-US" w:eastAsia="zh-CN" w:bidi="ar-SA"/>
        </w:rPr>
        <w:t>具备专业的知识和技能，能够准确理解采购需求并编制出高质量的采购文件。鼓励供应商</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评审专家</w:t>
      </w:r>
      <w:r>
        <w:rPr>
          <w:rFonts w:hint="eastAsia" w:ascii="Times New Roman" w:hAnsi="Times New Roman" w:eastAsia="仿宋_GB2312" w:cs="Times New Roman"/>
          <w:color w:val="auto"/>
          <w:kern w:val="2"/>
          <w:sz w:val="32"/>
          <w:szCs w:val="32"/>
          <w:highlight w:val="none"/>
          <w:lang w:val="en-US" w:eastAsia="zh-CN" w:bidi="ar-SA"/>
        </w:rPr>
        <w:t>、市民政局</w:t>
      </w:r>
      <w:r>
        <w:rPr>
          <w:rFonts w:hint="default" w:ascii="Times New Roman" w:hAnsi="Times New Roman" w:eastAsia="仿宋_GB2312" w:cs="Times New Roman"/>
          <w:color w:val="auto"/>
          <w:kern w:val="2"/>
          <w:sz w:val="32"/>
          <w:szCs w:val="32"/>
          <w:highlight w:val="none"/>
          <w:lang w:val="en-US" w:eastAsia="zh-CN" w:bidi="ar-SA"/>
        </w:rPr>
        <w:t>对采购文件提出反馈意见，对于发现的问题及时进行处理和纠正。</w:t>
      </w:r>
      <w:r>
        <w:rPr>
          <w:rFonts w:hint="eastAsia" w:ascii="Times New Roman" w:hAnsi="Times New Roman" w:eastAsia="仿宋_GB2312" w:cs="Times New Roman"/>
          <w:b/>
          <w:bCs/>
          <w:color w:val="auto"/>
          <w:kern w:val="2"/>
          <w:sz w:val="32"/>
          <w:szCs w:val="32"/>
          <w:highlight w:val="none"/>
          <w:lang w:val="en-US" w:eastAsia="zh-CN" w:bidi="ar-SA"/>
        </w:rPr>
        <w:t>二是</w:t>
      </w:r>
      <w:r>
        <w:rPr>
          <w:rFonts w:hint="default" w:ascii="Times New Roman" w:hAnsi="Times New Roman" w:eastAsia="仿宋_GB2312" w:cs="Times New Roman"/>
          <w:color w:val="auto"/>
          <w:kern w:val="2"/>
          <w:sz w:val="32"/>
          <w:szCs w:val="32"/>
          <w:highlight w:val="none"/>
          <w:lang w:val="en-US" w:eastAsia="zh-CN" w:bidi="ar-SA"/>
        </w:rPr>
        <w:t>政府采购应秉承公正、公平、透明的原则，确保所有供应商在平等的基础上</w:t>
      </w:r>
      <w:r>
        <w:rPr>
          <w:rFonts w:hint="eastAsia" w:ascii="Times New Roman" w:hAnsi="Times New Roman" w:eastAsia="仿宋_GB2312" w:cs="Times New Roman"/>
          <w:color w:val="auto"/>
          <w:kern w:val="2"/>
          <w:sz w:val="32"/>
          <w:szCs w:val="32"/>
          <w:highlight w:val="none"/>
          <w:lang w:val="en-US" w:eastAsia="zh-CN" w:bidi="ar-SA"/>
        </w:rPr>
        <w:t>，依据相同的评分标准进行</w:t>
      </w:r>
      <w:r>
        <w:rPr>
          <w:rFonts w:hint="default" w:ascii="Times New Roman" w:hAnsi="Times New Roman" w:eastAsia="仿宋_GB2312" w:cs="Times New Roman"/>
          <w:color w:val="auto"/>
          <w:kern w:val="2"/>
          <w:sz w:val="32"/>
          <w:szCs w:val="32"/>
          <w:highlight w:val="none"/>
          <w:lang w:val="en-US" w:eastAsia="zh-CN" w:bidi="ar-SA"/>
        </w:rPr>
        <w:t>竞争。</w:t>
      </w:r>
      <w:r>
        <w:rPr>
          <w:rFonts w:hint="eastAsia" w:ascii="Times New Roman" w:hAnsi="Times New Roman" w:eastAsia="仿宋_GB2312" w:cs="Times New Roman"/>
          <w:b/>
          <w:bCs/>
          <w:color w:val="auto"/>
          <w:kern w:val="2"/>
          <w:sz w:val="32"/>
          <w:szCs w:val="32"/>
          <w:highlight w:val="none"/>
          <w:lang w:val="en-US" w:eastAsia="zh-CN" w:bidi="ar-SA"/>
        </w:rPr>
        <w:t>三是</w:t>
      </w:r>
      <w:r>
        <w:rPr>
          <w:rFonts w:hint="eastAsia" w:ascii="Times New Roman" w:hAnsi="Times New Roman" w:eastAsia="仿宋_GB2312" w:cs="Times New Roman"/>
          <w:color w:val="auto"/>
          <w:kern w:val="2"/>
          <w:sz w:val="32"/>
          <w:szCs w:val="32"/>
          <w:highlight w:val="none"/>
          <w:lang w:val="en-US" w:eastAsia="zh-CN" w:bidi="ar-SA"/>
        </w:rPr>
        <w:t>建议市民政局</w:t>
      </w:r>
      <w:r>
        <w:rPr>
          <w:rFonts w:hint="default" w:ascii="Times New Roman" w:hAnsi="Times New Roman" w:eastAsia="仿宋_GB2312" w:cs="Times New Roman"/>
          <w:color w:val="auto"/>
          <w:kern w:val="2"/>
          <w:sz w:val="32"/>
          <w:szCs w:val="32"/>
          <w:highlight w:val="none"/>
          <w:lang w:val="en-US" w:eastAsia="zh-CN" w:bidi="ar-SA"/>
        </w:rPr>
        <w:t>设立专门的审查环节，由经验丰富的采购人员对</w:t>
      </w:r>
      <w:r>
        <w:rPr>
          <w:rFonts w:hint="eastAsia" w:ascii="Times New Roman" w:hAnsi="Times New Roman" w:eastAsia="仿宋_GB2312" w:cs="Times New Roman"/>
          <w:color w:val="auto"/>
          <w:kern w:val="2"/>
          <w:sz w:val="32"/>
          <w:szCs w:val="32"/>
          <w:highlight w:val="none"/>
          <w:lang w:val="en-US" w:eastAsia="zh-CN" w:bidi="ar-SA"/>
        </w:rPr>
        <w:t>采购</w:t>
      </w:r>
      <w:r>
        <w:rPr>
          <w:rFonts w:hint="default" w:ascii="Times New Roman" w:hAnsi="Times New Roman" w:eastAsia="仿宋_GB2312" w:cs="Times New Roman"/>
          <w:color w:val="auto"/>
          <w:kern w:val="2"/>
          <w:sz w:val="32"/>
          <w:szCs w:val="32"/>
          <w:highlight w:val="none"/>
          <w:lang w:val="en-US" w:eastAsia="zh-CN" w:bidi="ar-SA"/>
        </w:rPr>
        <w:t>文件进行细致审查，确保文件内容准确、完整、无歧义</w:t>
      </w:r>
      <w:r>
        <w:rPr>
          <w:rFonts w:hint="eastAsia" w:ascii="Times New Roman" w:hAnsi="Times New Roman" w:eastAsia="仿宋_GB2312" w:cs="Times New Roman"/>
          <w:color w:val="auto"/>
          <w:kern w:val="2"/>
          <w:sz w:val="32"/>
          <w:szCs w:val="32"/>
          <w:highlight w:val="none"/>
          <w:lang w:val="en-US" w:eastAsia="zh-CN" w:bidi="ar-SA"/>
        </w:rPr>
        <w:t>，供应商竞争活动公平、公正，采购文件及业务资料归档完整、规范、及时</w:t>
      </w:r>
      <w:r>
        <w:rPr>
          <w:rFonts w:hint="default" w:ascii="Times New Roman" w:hAnsi="Times New Roman" w:eastAsia="仿宋_GB2312" w:cs="Times New Roman"/>
          <w:color w:val="auto"/>
          <w:kern w:val="2"/>
          <w:sz w:val="32"/>
          <w:szCs w:val="32"/>
          <w:highlight w:val="none"/>
          <w:lang w:val="en-US" w:eastAsia="zh-CN" w:bidi="ar-SA"/>
        </w:rPr>
        <w:t>。</w:t>
      </w:r>
    </w:p>
    <w:p w14:paraId="5566ABC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left"/>
        <w:textAlignment w:val="auto"/>
        <w:outlineLvl w:val="1"/>
        <w:rPr>
          <w:rFonts w:hint="eastAsia" w:ascii="Times New Roman" w:hAnsi="Times New Roman" w:eastAsia="楷体_GB2312" w:cs="Times New Roman"/>
          <w:color w:val="auto"/>
          <w:kern w:val="2"/>
          <w:sz w:val="32"/>
          <w:szCs w:val="32"/>
          <w:highlight w:val="none"/>
          <w:lang w:val="en-US" w:eastAsia="zh-CN" w:bidi="ar-SA"/>
        </w:rPr>
      </w:pPr>
      <w:bookmarkStart w:id="95" w:name="_Toc8124"/>
      <w:bookmarkStart w:id="96" w:name="_Toc1997"/>
      <w:r>
        <w:rPr>
          <w:rFonts w:hint="eastAsia" w:ascii="Times New Roman" w:hAnsi="Times New Roman" w:eastAsia="楷体_GB2312" w:cs="Times New Roman"/>
          <w:color w:val="auto"/>
          <w:kern w:val="2"/>
          <w:sz w:val="32"/>
          <w:szCs w:val="32"/>
          <w:highlight w:val="none"/>
          <w:lang w:val="en-US" w:eastAsia="zh-CN" w:bidi="ar-SA"/>
        </w:rPr>
        <w:t>（三）规范合同管理，进行合同全过程履约监控</w:t>
      </w:r>
      <w:bookmarkEnd w:id="95"/>
      <w:bookmarkEnd w:id="96"/>
    </w:p>
    <w:p w14:paraId="6E2CAB9E">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一是</w:t>
      </w:r>
      <w:r>
        <w:rPr>
          <w:rFonts w:hint="default" w:ascii="Times New Roman" w:hAnsi="Times New Roman" w:eastAsia="仿宋_GB2312" w:cs="Times New Roman"/>
          <w:color w:val="auto"/>
          <w:kern w:val="2"/>
          <w:sz w:val="32"/>
          <w:szCs w:val="32"/>
          <w:highlight w:val="none"/>
          <w:lang w:val="en-US" w:eastAsia="zh-CN" w:bidi="ar-SA"/>
        </w:rPr>
        <w:t> 深化</w:t>
      </w:r>
      <w:r>
        <w:rPr>
          <w:rFonts w:hint="eastAsia" w:ascii="Times New Roman" w:hAnsi="Times New Roman" w:eastAsia="仿宋_GB2312" w:cs="Times New Roman"/>
          <w:color w:val="auto"/>
          <w:kern w:val="2"/>
          <w:sz w:val="32"/>
          <w:szCs w:val="32"/>
          <w:highlight w:val="none"/>
          <w:lang w:val="en-US" w:eastAsia="zh-CN" w:bidi="ar-SA"/>
        </w:rPr>
        <w:t>合同管理</w:t>
      </w:r>
      <w:r>
        <w:rPr>
          <w:rFonts w:hint="default" w:ascii="Times New Roman" w:hAnsi="Times New Roman" w:eastAsia="仿宋_GB2312" w:cs="Times New Roman"/>
          <w:color w:val="auto"/>
          <w:kern w:val="2"/>
          <w:sz w:val="32"/>
          <w:szCs w:val="32"/>
          <w:highlight w:val="none"/>
          <w:lang w:val="en-US" w:eastAsia="zh-CN" w:bidi="ar-SA"/>
        </w:rPr>
        <w:t>合规意识</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定期组织合同管理专项培训，明确先审批</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后签署程序</w:t>
      </w:r>
      <w:r>
        <w:rPr>
          <w:rFonts w:hint="eastAsia" w:ascii="Times New Roman" w:hAnsi="Times New Roman" w:eastAsia="仿宋_GB2312" w:cs="Times New Roman"/>
          <w:color w:val="auto"/>
          <w:kern w:val="2"/>
          <w:sz w:val="32"/>
          <w:szCs w:val="32"/>
          <w:highlight w:val="none"/>
          <w:lang w:val="en-US" w:eastAsia="zh-CN" w:bidi="ar-SA"/>
        </w:rPr>
        <w:t>，对于</w:t>
      </w:r>
      <w:r>
        <w:rPr>
          <w:rFonts w:hint="default" w:ascii="Times New Roman" w:hAnsi="Times New Roman" w:eastAsia="仿宋_GB2312" w:cs="Times New Roman"/>
          <w:color w:val="auto"/>
          <w:kern w:val="2"/>
          <w:sz w:val="32"/>
          <w:szCs w:val="32"/>
          <w:highlight w:val="none"/>
          <w:lang w:val="en-US" w:eastAsia="zh-CN" w:bidi="ar-SA"/>
        </w:rPr>
        <w:t>违规签署的个人及部门须承担相应责任。</w:t>
      </w:r>
      <w:r>
        <w:rPr>
          <w:rFonts w:hint="eastAsia" w:ascii="Times New Roman" w:hAnsi="Times New Roman" w:eastAsia="仿宋_GB2312" w:cs="Times New Roman"/>
          <w:b/>
          <w:bCs/>
          <w:color w:val="auto"/>
          <w:kern w:val="2"/>
          <w:sz w:val="32"/>
          <w:szCs w:val="32"/>
          <w:highlight w:val="none"/>
          <w:lang w:val="en-US" w:eastAsia="zh-CN" w:bidi="ar-SA"/>
        </w:rPr>
        <w:t>二是</w:t>
      </w:r>
      <w:r>
        <w:rPr>
          <w:rFonts w:hint="default" w:ascii="Times New Roman" w:hAnsi="Times New Roman" w:eastAsia="仿宋_GB2312" w:cs="Times New Roman"/>
          <w:color w:val="auto"/>
          <w:kern w:val="2"/>
          <w:sz w:val="32"/>
          <w:szCs w:val="32"/>
          <w:highlight w:val="none"/>
          <w:lang w:val="en-US" w:eastAsia="zh-CN" w:bidi="ar-SA"/>
        </w:rPr>
        <w:t>明确</w:t>
      </w:r>
      <w:r>
        <w:rPr>
          <w:rFonts w:hint="eastAsia" w:ascii="Times New Roman" w:hAnsi="Times New Roman" w:eastAsia="仿宋_GB2312" w:cs="Times New Roman"/>
          <w:color w:val="auto"/>
          <w:kern w:val="2"/>
          <w:sz w:val="32"/>
          <w:szCs w:val="32"/>
          <w:highlight w:val="none"/>
          <w:lang w:val="en-US" w:eastAsia="zh-CN" w:bidi="ar-SA"/>
        </w:rPr>
        <w:t>合同</w:t>
      </w:r>
      <w:r>
        <w:rPr>
          <w:rFonts w:hint="default" w:ascii="Times New Roman" w:hAnsi="Times New Roman" w:eastAsia="仿宋_GB2312" w:cs="Times New Roman"/>
          <w:color w:val="auto"/>
          <w:kern w:val="2"/>
          <w:sz w:val="32"/>
          <w:szCs w:val="32"/>
          <w:highlight w:val="none"/>
          <w:lang w:val="en-US" w:eastAsia="zh-CN" w:bidi="ar-SA"/>
        </w:rPr>
        <w:t>审批权限与时限</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根据合同金额、性质等因素，清晰界定不同层级领导的审批权限</w:t>
      </w:r>
      <w:r>
        <w:rPr>
          <w:rFonts w:hint="eastAsia" w:ascii="Times New Roman" w:hAnsi="Times New Roman" w:eastAsia="仿宋_GB2312" w:cs="Times New Roman"/>
          <w:color w:val="auto"/>
          <w:kern w:val="2"/>
          <w:sz w:val="32"/>
          <w:szCs w:val="32"/>
          <w:highlight w:val="none"/>
          <w:lang w:val="en-US" w:eastAsia="zh-CN" w:bidi="ar-SA"/>
        </w:rPr>
        <w:t>。同时，借力信息化手段，适时上线合同管理系统，将审批流程电子化、标准化，</w:t>
      </w:r>
      <w:r>
        <w:rPr>
          <w:rFonts w:hint="default" w:ascii="Times New Roman" w:hAnsi="Times New Roman" w:eastAsia="仿宋_GB2312" w:cs="Times New Roman"/>
          <w:color w:val="auto"/>
          <w:kern w:val="2"/>
          <w:sz w:val="32"/>
          <w:szCs w:val="32"/>
          <w:highlight w:val="none"/>
          <w:lang w:val="en-US" w:eastAsia="zh-CN" w:bidi="ar-SA"/>
        </w:rPr>
        <w:t>为各审批环节设定合理办结时限</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保障审批效率</w:t>
      </w:r>
      <w:r>
        <w:rPr>
          <w:rFonts w:hint="eastAsia"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b/>
          <w:bCs/>
          <w:color w:val="auto"/>
          <w:kern w:val="2"/>
          <w:sz w:val="32"/>
          <w:szCs w:val="32"/>
          <w:highlight w:val="none"/>
          <w:lang w:val="en-US" w:eastAsia="zh-CN" w:bidi="ar-SA"/>
        </w:rPr>
        <w:t>三是</w:t>
      </w:r>
      <w:r>
        <w:rPr>
          <w:rFonts w:hint="default" w:ascii="Times New Roman" w:hAnsi="Times New Roman" w:eastAsia="仿宋_GB2312" w:cs="Times New Roman"/>
          <w:color w:val="auto"/>
          <w:kern w:val="2"/>
          <w:sz w:val="32"/>
          <w:szCs w:val="32"/>
          <w:highlight w:val="none"/>
          <w:lang w:val="en-US" w:eastAsia="zh-CN" w:bidi="ar-SA"/>
        </w:rPr>
        <w:t>严控用印环节</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印章管理员</w:t>
      </w:r>
      <w:r>
        <w:rPr>
          <w:rFonts w:hint="eastAsia" w:ascii="Times New Roman" w:hAnsi="Times New Roman" w:eastAsia="仿宋_GB2312" w:cs="Times New Roman"/>
          <w:color w:val="auto"/>
          <w:kern w:val="2"/>
          <w:sz w:val="32"/>
          <w:szCs w:val="32"/>
          <w:highlight w:val="none"/>
          <w:lang w:val="en-US" w:eastAsia="zh-CN" w:bidi="ar-SA"/>
        </w:rPr>
        <w:t>须</w:t>
      </w:r>
      <w:r>
        <w:rPr>
          <w:rFonts w:hint="default" w:ascii="Times New Roman" w:hAnsi="Times New Roman" w:eastAsia="仿宋_GB2312" w:cs="Times New Roman"/>
          <w:color w:val="auto"/>
          <w:kern w:val="2"/>
          <w:sz w:val="32"/>
          <w:szCs w:val="32"/>
          <w:highlight w:val="none"/>
          <w:lang w:val="en-US" w:eastAsia="zh-CN" w:bidi="ar-SA"/>
        </w:rPr>
        <w:t>核验已完整走完流程的合同审批单及最终版合同文本，所有用印合同均需编号、归档</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未经</w:t>
      </w:r>
      <w:r>
        <w:rPr>
          <w:rFonts w:hint="eastAsia" w:ascii="Times New Roman" w:hAnsi="Times New Roman" w:eastAsia="仿宋_GB2312" w:cs="Times New Roman"/>
          <w:color w:val="auto"/>
          <w:kern w:val="2"/>
          <w:sz w:val="32"/>
          <w:szCs w:val="32"/>
          <w:highlight w:val="none"/>
          <w:lang w:val="en-US" w:eastAsia="zh-CN" w:bidi="ar-SA"/>
        </w:rPr>
        <w:t>合同</w:t>
      </w:r>
      <w:r>
        <w:rPr>
          <w:rFonts w:hint="default" w:ascii="Times New Roman" w:hAnsi="Times New Roman" w:eastAsia="仿宋_GB2312" w:cs="Times New Roman"/>
          <w:color w:val="auto"/>
          <w:kern w:val="2"/>
          <w:sz w:val="32"/>
          <w:szCs w:val="32"/>
          <w:highlight w:val="none"/>
          <w:lang w:val="en-US" w:eastAsia="zh-CN" w:bidi="ar-SA"/>
        </w:rPr>
        <w:t>审批单流程</w:t>
      </w:r>
      <w:r>
        <w:rPr>
          <w:rFonts w:hint="eastAsia" w:ascii="Times New Roman" w:hAnsi="Times New Roman" w:eastAsia="仿宋_GB2312" w:cs="Times New Roman"/>
          <w:color w:val="auto"/>
          <w:kern w:val="2"/>
          <w:sz w:val="32"/>
          <w:szCs w:val="32"/>
          <w:highlight w:val="none"/>
          <w:lang w:val="en-US" w:eastAsia="zh-CN" w:bidi="ar-SA"/>
        </w:rPr>
        <w:t>最终</w:t>
      </w:r>
      <w:r>
        <w:rPr>
          <w:rFonts w:hint="default" w:ascii="Times New Roman" w:hAnsi="Times New Roman" w:eastAsia="仿宋_GB2312" w:cs="Times New Roman"/>
          <w:color w:val="auto"/>
          <w:kern w:val="2"/>
          <w:sz w:val="32"/>
          <w:szCs w:val="32"/>
          <w:highlight w:val="none"/>
          <w:lang w:val="en-US" w:eastAsia="zh-CN" w:bidi="ar-SA"/>
        </w:rPr>
        <w:t>核准，</w:t>
      </w:r>
      <w:r>
        <w:rPr>
          <w:rFonts w:hint="eastAsia" w:ascii="Times New Roman" w:hAnsi="Times New Roman" w:eastAsia="仿宋_GB2312" w:cs="Times New Roman"/>
          <w:color w:val="auto"/>
          <w:kern w:val="2"/>
          <w:sz w:val="32"/>
          <w:szCs w:val="32"/>
          <w:highlight w:val="none"/>
          <w:lang w:val="en-US" w:eastAsia="zh-CN" w:bidi="ar-SA"/>
        </w:rPr>
        <w:t>应拒绝用印</w:t>
      </w:r>
      <w:r>
        <w:rPr>
          <w:rFonts w:hint="default" w:ascii="Times New Roman" w:hAnsi="Times New Roman" w:eastAsia="仿宋_GB2312" w:cs="Times New Roman"/>
          <w:color w:val="auto"/>
          <w:kern w:val="2"/>
          <w:sz w:val="32"/>
          <w:szCs w:val="32"/>
          <w:highlight w:val="none"/>
          <w:lang w:val="en-US" w:eastAsia="zh-CN" w:bidi="ar-SA"/>
        </w:rPr>
        <w:t>确保签署环节不可逆。</w:t>
      </w:r>
      <w:r>
        <w:rPr>
          <w:rFonts w:hint="eastAsia" w:ascii="Times New Roman" w:hAnsi="Times New Roman" w:eastAsia="仿宋_GB2312" w:cs="Times New Roman"/>
          <w:b/>
          <w:bCs/>
          <w:color w:val="auto"/>
          <w:kern w:val="2"/>
          <w:sz w:val="32"/>
          <w:szCs w:val="32"/>
          <w:highlight w:val="none"/>
          <w:lang w:val="en-US" w:eastAsia="zh-CN" w:bidi="ar-SA"/>
        </w:rPr>
        <w:t>四是</w:t>
      </w:r>
      <w:r>
        <w:rPr>
          <w:rFonts w:hint="eastAsia" w:ascii="Times New Roman" w:hAnsi="Times New Roman" w:eastAsia="仿宋_GB2312" w:cs="Times New Roman"/>
          <w:color w:val="auto"/>
          <w:kern w:val="2"/>
          <w:sz w:val="32"/>
          <w:szCs w:val="32"/>
          <w:highlight w:val="none"/>
          <w:lang w:val="en-US" w:eastAsia="zh-CN" w:bidi="ar-SA"/>
        </w:rPr>
        <w:t>加强合同履约监控，强化对合同履行情况及效果的检查、分析和验收，特别是乙方应尽未尽义务的跟踪执行及最后验收，确保合同全面、有效履行，保障组织的合法权益。</w:t>
      </w:r>
    </w:p>
    <w:p w14:paraId="2BE95C3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left"/>
        <w:textAlignment w:val="auto"/>
        <w:outlineLvl w:val="1"/>
        <w:rPr>
          <w:rFonts w:hint="eastAsia" w:ascii="Times New Roman" w:hAnsi="Times New Roman" w:eastAsia="楷体_GB2312" w:cs="Times New Roman"/>
          <w:b w:val="0"/>
          <w:bCs w:val="0"/>
          <w:color w:val="auto"/>
          <w:kern w:val="2"/>
          <w:sz w:val="32"/>
          <w:szCs w:val="32"/>
          <w:highlight w:val="none"/>
          <w:lang w:val="en-US" w:eastAsia="zh-CN" w:bidi="ar-SA"/>
        </w:rPr>
      </w:pPr>
      <w:bookmarkStart w:id="97" w:name="_Toc21341"/>
      <w:bookmarkStart w:id="98" w:name="_Toc24772"/>
      <w:r>
        <w:rPr>
          <w:rFonts w:hint="eastAsia" w:ascii="Times New Roman" w:hAnsi="Times New Roman" w:eastAsia="楷体_GB2312" w:cs="Times New Roman"/>
          <w:color w:val="auto"/>
          <w:kern w:val="2"/>
          <w:sz w:val="32"/>
          <w:szCs w:val="32"/>
          <w:highlight w:val="none"/>
          <w:lang w:val="en-US" w:eastAsia="zh-CN" w:bidi="ar-SA"/>
        </w:rPr>
        <w:t>（四）加强业务档案管理，建立</w:t>
      </w:r>
      <w:r>
        <w:rPr>
          <w:rFonts w:hint="default" w:ascii="Times New Roman" w:hAnsi="Times New Roman" w:eastAsia="楷体_GB2312" w:cs="Times New Roman"/>
          <w:color w:val="auto"/>
          <w:kern w:val="2"/>
          <w:sz w:val="32"/>
          <w:szCs w:val="32"/>
          <w:highlight w:val="none"/>
          <w:lang w:val="en-US" w:eastAsia="zh-CN" w:bidi="ar-SA"/>
        </w:rPr>
        <w:t>归档管理长效机制</w:t>
      </w:r>
      <w:bookmarkEnd w:id="97"/>
      <w:bookmarkEnd w:id="98"/>
    </w:p>
    <w:p w14:paraId="1555659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color w:val="auto"/>
          <w:kern w:val="2"/>
          <w:sz w:val="32"/>
          <w:szCs w:val="32"/>
          <w:highlight w:val="none"/>
          <w:lang w:val="en-US" w:eastAsia="zh-CN" w:bidi="ar-SA"/>
        </w:rPr>
      </w:pPr>
      <w:r>
        <w:rPr>
          <w:rFonts w:hint="eastAsia" w:ascii="Times New Roman" w:hAnsi="Times New Roman" w:eastAsia="仿宋_GB2312" w:cs="Times New Roman"/>
          <w:b w:val="0"/>
          <w:bCs w:val="0"/>
          <w:color w:val="auto"/>
          <w:kern w:val="2"/>
          <w:sz w:val="32"/>
          <w:szCs w:val="32"/>
          <w:highlight w:val="none"/>
          <w:lang w:val="en-US" w:eastAsia="zh-CN" w:bidi="ar-SA"/>
        </w:rPr>
        <w:t>将档案管理工作转变为主动、规范、高效、常态化工作环节，确保各项业务活动“有迹可循、有据可查”。</w:t>
      </w:r>
      <w:r>
        <w:rPr>
          <w:rFonts w:hint="eastAsia" w:ascii="Times New Roman" w:hAnsi="Times New Roman" w:eastAsia="仿宋_GB2312" w:cs="Times New Roman"/>
          <w:b/>
          <w:bCs/>
          <w:color w:val="auto"/>
          <w:kern w:val="2"/>
          <w:sz w:val="32"/>
          <w:szCs w:val="32"/>
          <w:highlight w:val="none"/>
          <w:lang w:val="en-US" w:eastAsia="zh-CN" w:bidi="ar-SA"/>
        </w:rPr>
        <w:t>一是</w:t>
      </w:r>
      <w:r>
        <w:rPr>
          <w:rFonts w:hint="eastAsia" w:ascii="Times New Roman" w:hAnsi="Times New Roman" w:eastAsia="仿宋_GB2312" w:cs="Times New Roman"/>
          <w:b w:val="0"/>
          <w:bCs w:val="0"/>
          <w:color w:val="auto"/>
          <w:kern w:val="2"/>
          <w:sz w:val="32"/>
          <w:szCs w:val="32"/>
          <w:highlight w:val="none"/>
          <w:lang w:val="en-US" w:eastAsia="zh-CN" w:bidi="ar-SA"/>
        </w:rPr>
        <w:t>根据档案管理制度规定，明确业务资料归档范围、责任主体、时间节点、质量标准及惩罚措施，建立“谁经办、谁归档”责任制和限时归档机制。</w:t>
      </w:r>
      <w:r>
        <w:rPr>
          <w:rFonts w:hint="eastAsia" w:ascii="Times New Roman" w:hAnsi="Times New Roman" w:eastAsia="仿宋_GB2312" w:cs="Times New Roman"/>
          <w:b/>
          <w:bCs/>
          <w:color w:val="auto"/>
          <w:kern w:val="2"/>
          <w:sz w:val="32"/>
          <w:szCs w:val="32"/>
          <w:highlight w:val="none"/>
          <w:lang w:val="en-US" w:eastAsia="zh-CN" w:bidi="ar-SA"/>
        </w:rPr>
        <w:t>二是</w:t>
      </w:r>
      <w:r>
        <w:rPr>
          <w:rFonts w:hint="default" w:ascii="Times New Roman" w:hAnsi="Times New Roman" w:eastAsia="仿宋_GB2312" w:cs="Times New Roman"/>
          <w:b w:val="0"/>
          <w:bCs w:val="0"/>
          <w:color w:val="auto"/>
          <w:kern w:val="2"/>
          <w:sz w:val="32"/>
          <w:szCs w:val="32"/>
          <w:highlight w:val="none"/>
          <w:lang w:val="en-US" w:eastAsia="zh-CN" w:bidi="ar-SA"/>
        </w:rPr>
        <w:t>经办人员在业务办理过程中即开始建档，确保资料的完整性</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移交前</w:t>
      </w:r>
      <w:r>
        <w:rPr>
          <w:rFonts w:hint="eastAsia" w:ascii="Times New Roman" w:hAnsi="Times New Roman" w:eastAsia="仿宋_GB2312" w:cs="Times New Roman"/>
          <w:b w:val="0"/>
          <w:bCs w:val="0"/>
          <w:color w:val="auto"/>
          <w:kern w:val="2"/>
          <w:sz w:val="32"/>
          <w:szCs w:val="32"/>
          <w:highlight w:val="none"/>
          <w:lang w:val="en-US" w:eastAsia="zh-CN" w:bidi="ar-SA"/>
        </w:rPr>
        <w:t>建立档案目录、移交清单等，</w:t>
      </w:r>
      <w:r>
        <w:rPr>
          <w:rFonts w:hint="default" w:ascii="Times New Roman" w:hAnsi="Times New Roman" w:eastAsia="仿宋_GB2312" w:cs="Times New Roman"/>
          <w:b w:val="0"/>
          <w:bCs w:val="0"/>
          <w:color w:val="auto"/>
          <w:kern w:val="2"/>
          <w:sz w:val="32"/>
          <w:szCs w:val="32"/>
          <w:highlight w:val="none"/>
          <w:lang w:val="en-US" w:eastAsia="zh-CN" w:bidi="ar-SA"/>
        </w:rPr>
        <w:t>确保</w:t>
      </w:r>
      <w:r>
        <w:rPr>
          <w:rFonts w:hint="eastAsia" w:ascii="Times New Roman" w:hAnsi="Times New Roman" w:eastAsia="仿宋_GB2312" w:cs="Times New Roman"/>
          <w:b w:val="0"/>
          <w:bCs w:val="0"/>
          <w:color w:val="auto"/>
          <w:kern w:val="2"/>
          <w:sz w:val="32"/>
          <w:szCs w:val="32"/>
          <w:highlight w:val="none"/>
          <w:lang w:val="en-US" w:eastAsia="zh-CN" w:bidi="ar-SA"/>
        </w:rPr>
        <w:t>业务资料</w:t>
      </w:r>
      <w:r>
        <w:rPr>
          <w:rFonts w:hint="default" w:ascii="Times New Roman" w:hAnsi="Times New Roman" w:eastAsia="仿宋_GB2312" w:cs="Times New Roman"/>
          <w:b w:val="0"/>
          <w:bCs w:val="0"/>
          <w:color w:val="auto"/>
          <w:kern w:val="2"/>
          <w:sz w:val="32"/>
          <w:szCs w:val="32"/>
          <w:highlight w:val="none"/>
          <w:lang w:val="en-US" w:eastAsia="zh-CN" w:bidi="ar-SA"/>
        </w:rPr>
        <w:t>内容齐全、</w:t>
      </w:r>
      <w:r>
        <w:rPr>
          <w:rFonts w:hint="eastAsia" w:ascii="Times New Roman" w:hAnsi="Times New Roman" w:eastAsia="仿宋_GB2312" w:cs="Times New Roman"/>
          <w:b w:val="0"/>
          <w:bCs w:val="0"/>
          <w:color w:val="auto"/>
          <w:kern w:val="2"/>
          <w:sz w:val="32"/>
          <w:szCs w:val="32"/>
          <w:highlight w:val="none"/>
          <w:lang w:val="en-US" w:eastAsia="zh-CN" w:bidi="ar-SA"/>
        </w:rPr>
        <w:t>移交清晰</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Times New Roman" w:hAnsi="Times New Roman" w:eastAsia="仿宋_GB2312" w:cs="Times New Roman"/>
          <w:b/>
          <w:bCs/>
          <w:color w:val="auto"/>
          <w:kern w:val="2"/>
          <w:sz w:val="32"/>
          <w:szCs w:val="32"/>
          <w:highlight w:val="none"/>
          <w:lang w:val="en-US" w:eastAsia="zh-CN" w:bidi="ar-SA"/>
        </w:rPr>
        <w:t>三是</w:t>
      </w:r>
      <w:r>
        <w:rPr>
          <w:rFonts w:hint="eastAsia" w:ascii="Times New Roman" w:hAnsi="Times New Roman" w:eastAsia="仿宋_GB2312" w:cs="Times New Roman"/>
          <w:b w:val="0"/>
          <w:bCs w:val="0"/>
          <w:color w:val="auto"/>
          <w:kern w:val="2"/>
          <w:sz w:val="32"/>
          <w:szCs w:val="32"/>
          <w:highlight w:val="none"/>
          <w:lang w:val="en-US" w:eastAsia="zh-CN" w:bidi="ar-SA"/>
        </w:rPr>
        <w:t>档案管理部门</w:t>
      </w:r>
      <w:r>
        <w:rPr>
          <w:rFonts w:hint="default" w:ascii="Times New Roman" w:hAnsi="Times New Roman" w:eastAsia="仿宋_GB2312" w:cs="Times New Roman"/>
          <w:b w:val="0"/>
          <w:bCs w:val="0"/>
          <w:color w:val="auto"/>
          <w:kern w:val="2"/>
          <w:sz w:val="32"/>
          <w:szCs w:val="32"/>
          <w:highlight w:val="none"/>
          <w:lang w:val="en-US" w:eastAsia="zh-CN" w:bidi="ar-SA"/>
        </w:rPr>
        <w:t>对各</w:t>
      </w:r>
      <w:r>
        <w:rPr>
          <w:rFonts w:hint="eastAsia" w:ascii="Times New Roman" w:hAnsi="Times New Roman" w:eastAsia="仿宋_GB2312" w:cs="Times New Roman"/>
          <w:b w:val="0"/>
          <w:bCs w:val="0"/>
          <w:color w:val="auto"/>
          <w:kern w:val="2"/>
          <w:sz w:val="32"/>
          <w:szCs w:val="32"/>
          <w:highlight w:val="none"/>
          <w:lang w:val="en-US" w:eastAsia="zh-CN" w:bidi="ar-SA"/>
        </w:rPr>
        <w:t>业务处室</w:t>
      </w:r>
      <w:r>
        <w:rPr>
          <w:rFonts w:hint="default" w:ascii="Times New Roman" w:hAnsi="Times New Roman" w:eastAsia="仿宋_GB2312" w:cs="Times New Roman"/>
          <w:b w:val="0"/>
          <w:bCs w:val="0"/>
          <w:color w:val="auto"/>
          <w:kern w:val="2"/>
          <w:sz w:val="32"/>
          <w:szCs w:val="32"/>
          <w:highlight w:val="none"/>
          <w:lang w:val="en-US" w:eastAsia="zh-CN" w:bidi="ar-SA"/>
        </w:rPr>
        <w:t>归档及时率、完整率进行统计</w:t>
      </w:r>
      <w:r>
        <w:rPr>
          <w:rFonts w:hint="eastAsia" w:ascii="Times New Roman" w:hAnsi="Times New Roman" w:eastAsia="仿宋_GB2312" w:cs="Times New Roman"/>
          <w:b w:val="0"/>
          <w:bCs w:val="0"/>
          <w:color w:val="auto"/>
          <w:kern w:val="2"/>
          <w:sz w:val="32"/>
          <w:szCs w:val="32"/>
          <w:highlight w:val="none"/>
          <w:lang w:val="en-US" w:eastAsia="zh-CN" w:bidi="ar-SA"/>
        </w:rPr>
        <w:t>，并与各处室</w:t>
      </w:r>
      <w:r>
        <w:rPr>
          <w:rFonts w:hint="default" w:ascii="Times New Roman" w:hAnsi="Times New Roman" w:eastAsia="仿宋_GB2312" w:cs="Times New Roman"/>
          <w:b w:val="0"/>
          <w:bCs w:val="0"/>
          <w:color w:val="auto"/>
          <w:kern w:val="2"/>
          <w:sz w:val="32"/>
          <w:szCs w:val="32"/>
          <w:highlight w:val="none"/>
          <w:lang w:val="en-US" w:eastAsia="zh-CN" w:bidi="ar-SA"/>
        </w:rPr>
        <w:t>评优、个人绩效挂钩，</w:t>
      </w:r>
      <w:r>
        <w:rPr>
          <w:rFonts w:hint="eastAsia" w:ascii="Times New Roman" w:hAnsi="Times New Roman" w:eastAsia="仿宋_GB2312" w:cs="Times New Roman"/>
          <w:b w:val="0"/>
          <w:bCs w:val="0"/>
          <w:color w:val="auto"/>
          <w:kern w:val="2"/>
          <w:sz w:val="32"/>
          <w:szCs w:val="32"/>
          <w:highlight w:val="none"/>
          <w:lang w:val="en-US" w:eastAsia="zh-CN" w:bidi="ar-SA"/>
        </w:rPr>
        <w:t>问责</w:t>
      </w:r>
      <w:r>
        <w:rPr>
          <w:rFonts w:hint="default" w:ascii="Times New Roman" w:hAnsi="Times New Roman" w:eastAsia="仿宋_GB2312" w:cs="Times New Roman"/>
          <w:b w:val="0"/>
          <w:bCs w:val="0"/>
          <w:color w:val="auto"/>
          <w:kern w:val="2"/>
          <w:sz w:val="32"/>
          <w:szCs w:val="32"/>
          <w:highlight w:val="none"/>
          <w:lang w:val="en-US" w:eastAsia="zh-CN" w:bidi="ar-SA"/>
        </w:rPr>
        <w:t>屡次逾期</w:t>
      </w:r>
      <w:r>
        <w:rPr>
          <w:rFonts w:hint="eastAsia" w:ascii="Times New Roman" w:hAnsi="Times New Roman" w:eastAsia="仿宋_GB2312" w:cs="Times New Roman"/>
          <w:b w:val="0"/>
          <w:bCs w:val="0"/>
          <w:color w:val="auto"/>
          <w:kern w:val="2"/>
          <w:sz w:val="32"/>
          <w:szCs w:val="32"/>
          <w:highlight w:val="none"/>
          <w:lang w:val="en-US" w:eastAsia="zh-CN" w:bidi="ar-SA"/>
        </w:rPr>
        <w:t>、丢失</w:t>
      </w:r>
      <w:r>
        <w:rPr>
          <w:rFonts w:hint="default" w:ascii="Times New Roman" w:hAnsi="Times New Roman" w:eastAsia="仿宋_GB2312" w:cs="Times New Roman"/>
          <w:b w:val="0"/>
          <w:bCs w:val="0"/>
          <w:color w:val="auto"/>
          <w:kern w:val="2"/>
          <w:sz w:val="32"/>
          <w:szCs w:val="32"/>
          <w:highlight w:val="none"/>
          <w:lang w:val="en-US" w:eastAsia="zh-CN" w:bidi="ar-SA"/>
        </w:rPr>
        <w:t>档案</w:t>
      </w:r>
      <w:r>
        <w:rPr>
          <w:rFonts w:hint="eastAsia" w:ascii="Times New Roman" w:hAnsi="Times New Roman" w:eastAsia="仿宋_GB2312" w:cs="Times New Roman"/>
          <w:b w:val="0"/>
          <w:bCs w:val="0"/>
          <w:color w:val="auto"/>
          <w:kern w:val="2"/>
          <w:sz w:val="32"/>
          <w:szCs w:val="32"/>
          <w:highlight w:val="none"/>
          <w:lang w:val="en-US" w:eastAsia="zh-CN" w:bidi="ar-SA"/>
        </w:rPr>
        <w:t>、档案不完整等情况</w:t>
      </w:r>
      <w:r>
        <w:rPr>
          <w:rFonts w:hint="default" w:ascii="Times New Roman" w:hAnsi="Times New Roman" w:eastAsia="仿宋_GB2312" w:cs="Times New Roman"/>
          <w:b w:val="0"/>
          <w:bCs w:val="0"/>
          <w:color w:val="auto"/>
          <w:kern w:val="2"/>
          <w:sz w:val="32"/>
          <w:szCs w:val="32"/>
          <w:highlight w:val="none"/>
          <w:lang w:val="en-US" w:eastAsia="zh-CN" w:bidi="ar-SA"/>
        </w:rPr>
        <w:t>责任人</w:t>
      </w:r>
      <w:r>
        <w:rPr>
          <w:rFonts w:hint="eastAsia" w:ascii="Times New Roman" w:hAnsi="Times New Roman" w:eastAsia="仿宋_GB2312" w:cs="Times New Roman"/>
          <w:b w:val="0"/>
          <w:bCs w:val="0"/>
          <w:color w:val="auto"/>
          <w:kern w:val="2"/>
          <w:sz w:val="32"/>
          <w:szCs w:val="32"/>
          <w:highlight w:val="none"/>
          <w:lang w:val="en-US" w:eastAsia="zh-CN" w:bidi="ar-SA"/>
        </w:rPr>
        <w:t>。</w:t>
      </w:r>
    </w:p>
    <w:bookmarkEnd w:id="89"/>
    <w:bookmarkEnd w:id="90"/>
    <w:bookmarkEnd w:id="91"/>
    <w:bookmarkEnd w:id="92"/>
    <w:p w14:paraId="24B9A95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left"/>
        <w:textAlignment w:val="auto"/>
        <w:outlineLvl w:val="1"/>
        <w:rPr>
          <w:rFonts w:hint="eastAsia" w:ascii="Times New Roman" w:hAnsi="Times New Roman" w:eastAsia="楷体_GB2312" w:cs="Times New Roman"/>
          <w:color w:val="auto"/>
          <w:kern w:val="2"/>
          <w:sz w:val="32"/>
          <w:szCs w:val="32"/>
          <w:highlight w:val="none"/>
          <w:lang w:val="en-US" w:eastAsia="zh-CN" w:bidi="ar-SA"/>
        </w:rPr>
      </w:pPr>
      <w:bookmarkStart w:id="99" w:name="_Toc20050"/>
      <w:bookmarkStart w:id="100" w:name="_Toc13467"/>
      <w:bookmarkStart w:id="101" w:name="_Toc30046"/>
      <w:bookmarkStart w:id="102" w:name="_Toc28378"/>
      <w:r>
        <w:rPr>
          <w:rFonts w:hint="eastAsia" w:ascii="Times New Roman" w:hAnsi="Times New Roman" w:eastAsia="楷体_GB2312" w:cs="Times New Roman"/>
          <w:color w:val="auto"/>
          <w:kern w:val="2"/>
          <w:sz w:val="32"/>
          <w:szCs w:val="32"/>
          <w:highlight w:val="none"/>
          <w:lang w:val="en-US" w:eastAsia="zh-CN" w:bidi="ar-SA"/>
        </w:rPr>
        <w:t>（五）做好事前调研和评审，优化绩效</w:t>
      </w:r>
      <w:bookmarkEnd w:id="99"/>
      <w:bookmarkEnd w:id="100"/>
      <w:r>
        <w:rPr>
          <w:rFonts w:hint="eastAsia" w:ascii="Times New Roman" w:hAnsi="Times New Roman" w:eastAsia="楷体_GB2312" w:cs="Times New Roman"/>
          <w:color w:val="auto"/>
          <w:kern w:val="2"/>
          <w:sz w:val="32"/>
          <w:szCs w:val="32"/>
          <w:highlight w:val="none"/>
          <w:lang w:val="en-US" w:eastAsia="zh-CN" w:bidi="ar-SA"/>
        </w:rPr>
        <w:t>指标</w:t>
      </w:r>
      <w:bookmarkEnd w:id="101"/>
      <w:bookmarkEnd w:id="102"/>
    </w:p>
    <w:p w14:paraId="2BB537BD">
      <w:pPr>
        <w:pStyle w:val="17"/>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在编制项目绩效目标时，建议</w:t>
      </w:r>
      <w:r>
        <w:rPr>
          <w:rFonts w:hint="eastAsia" w:ascii="Times New Roman" w:hAnsi="Times New Roman" w:eastAsia="仿宋_GB2312" w:cs="Times New Roman"/>
          <w:color w:val="auto"/>
          <w:sz w:val="32"/>
          <w:szCs w:val="32"/>
          <w:highlight w:val="none"/>
          <w:lang w:val="en-US" w:eastAsia="zh-CN"/>
        </w:rPr>
        <w:t>青岛市民政局</w:t>
      </w:r>
      <w:r>
        <w:rPr>
          <w:rFonts w:hint="default" w:ascii="Times New Roman" w:hAnsi="Times New Roman" w:eastAsia="仿宋_GB2312" w:cs="Times New Roman"/>
          <w:color w:val="auto"/>
          <w:sz w:val="32"/>
          <w:szCs w:val="32"/>
          <w:highlight w:val="none"/>
          <w:lang w:val="en-US" w:eastAsia="zh-CN"/>
        </w:rPr>
        <w:t>充分考量项目目标设置的合理性</w:t>
      </w:r>
      <w:r>
        <w:rPr>
          <w:rFonts w:hint="eastAsia" w:ascii="Times New Roman" w:hAnsi="Times New Roman" w:eastAsia="仿宋_GB2312" w:cs="Times New Roman"/>
          <w:color w:val="auto"/>
          <w:sz w:val="32"/>
          <w:szCs w:val="32"/>
          <w:highlight w:val="none"/>
          <w:lang w:val="en-US" w:eastAsia="zh-CN"/>
        </w:rPr>
        <w:t>和可衡量性</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深入调研需求，结合历年项目经验，结合实际工作情况，对项目进行科学合理的预测，</w:t>
      </w:r>
      <w:r>
        <w:rPr>
          <w:rFonts w:hint="default" w:ascii="Times New Roman" w:hAnsi="Times New Roman" w:eastAsia="仿宋_GB2312" w:cs="Times New Roman"/>
          <w:color w:val="auto"/>
          <w:sz w:val="32"/>
          <w:szCs w:val="32"/>
          <w:highlight w:val="none"/>
          <w:lang w:val="en-US" w:eastAsia="zh-CN"/>
        </w:rPr>
        <w:t>为后续项目管理、监督监控提供坚实基础</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例如数量指标</w:t>
      </w:r>
      <w:r>
        <w:rPr>
          <w:rFonts w:hint="eastAsia" w:ascii="Times New Roman" w:hAnsi="Times New Roman" w:eastAsia="仿宋_GB2312" w:cs="Times New Roman"/>
          <w:color w:val="auto"/>
          <w:sz w:val="32"/>
          <w:szCs w:val="32"/>
          <w:highlight w:val="none"/>
          <w:lang w:val="en-US" w:eastAsia="zh-CN"/>
        </w:rPr>
        <w:t>应复核获奖养老机构现时经营情况，充分考虑停办、注销、备案情况后进行设置；效益指标应从项目实际出发，从社会效益、可持续影响等方面，有选择地设置和细化可量化、可衡量的绩效指标。</w:t>
      </w:r>
      <w:r>
        <w:rPr>
          <w:rFonts w:hint="default" w:ascii="Times New Roman" w:hAnsi="Times New Roman" w:eastAsia="仿宋_GB2312" w:cs="Times New Roman"/>
          <w:color w:val="auto"/>
          <w:sz w:val="32"/>
          <w:szCs w:val="32"/>
          <w:highlight w:val="none"/>
          <w:lang w:val="en-US" w:eastAsia="zh-CN"/>
        </w:rPr>
        <w:t>科学规划、灵活调整目标设置，防止绩效目标设置得过高或过低，确保目标的可行性和有效性，增强绩效目标的约束性和指导性。</w:t>
      </w:r>
    </w:p>
    <w:p w14:paraId="7C467BEC">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outlineLvl w:val="1"/>
        <w:rPr>
          <w:rFonts w:hint="default" w:ascii="Times New Roman" w:hAnsi="Times New Roman" w:eastAsia="楷体_GB2312" w:cs="Times New Roman"/>
          <w:b w:val="0"/>
          <w:bCs w:val="0"/>
          <w:color w:val="auto"/>
          <w:kern w:val="0"/>
          <w:sz w:val="32"/>
          <w:szCs w:val="32"/>
          <w:highlight w:val="none"/>
          <w:u w:val="none"/>
          <w:lang w:val="en-US" w:eastAsia="zh-CN" w:bidi="ar-SA"/>
        </w:rPr>
      </w:pPr>
    </w:p>
    <w:sectPr>
      <w:footerReference r:id="rId3" w:type="default"/>
      <w:pgSz w:w="11906" w:h="16838"/>
      <w:pgMar w:top="1417" w:right="1134"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44E05E55-A4AB-4B6F-B962-AC82DC44449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2" w:fontKey="{B8890379-58A5-4A0B-B49D-24F588CC888A}"/>
  </w:font>
  <w:font w:name="微软雅黑">
    <w:panose1 w:val="020B0503020204020204"/>
    <w:charset w:val="86"/>
    <w:family w:val="auto"/>
    <w:pitch w:val="default"/>
    <w:sig w:usb0="80000287" w:usb1="2ACF3C50" w:usb2="00000016" w:usb3="00000000" w:csb0="0004001F" w:csb1="00000000"/>
  </w:font>
  <w:font w:name="Roman 10cpi">
    <w:altName w:val="Segoe Print"/>
    <w:panose1 w:val="00000000000000000000"/>
    <w:charset w:val="00"/>
    <w:family w:val="modern"/>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embedRegular r:id="rId3" w:fontKey="{47EC0A93-EDDB-47B8-BAC9-69659FDAE257}"/>
  </w:font>
  <w:font w:name="Tahoma">
    <w:panose1 w:val="020B0604030504040204"/>
    <w:charset w:val="00"/>
    <w:family w:val="auto"/>
    <w:pitch w:val="default"/>
    <w:sig w:usb0="E1002EFF" w:usb1="C000605B" w:usb2="00000029" w:usb3="00000000" w:csb0="200101FF" w:csb1="20280000"/>
  </w:font>
  <w:font w:name="方正小标宋_GBK">
    <w:panose1 w:val="03000509000000000000"/>
    <w:charset w:val="86"/>
    <w:family w:val="script"/>
    <w:pitch w:val="default"/>
    <w:sig w:usb0="00000001" w:usb1="080E0000" w:usb2="00000000" w:usb3="00000000" w:csb0="00040000" w:csb1="00000000"/>
    <w:embedRegular r:id="rId4" w:fontKey="{6BF6AA11-DE0D-4D0C-A7F5-39CDD50DA843}"/>
  </w:font>
  <w:font w:name="文星简黑体">
    <w:altName w:val="黑体"/>
    <w:panose1 w:val="00000000000000000000"/>
    <w:charset w:val="86"/>
    <w:family w:val="roma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
    <w:altName w:val="Times New Roman"/>
    <w:panose1 w:val="00000000000000000000"/>
    <w:charset w:val="00"/>
    <w:family w:val="roman"/>
    <w:pitch w:val="default"/>
    <w:sig w:usb0="00000000" w:usb1="00000000" w:usb2="00000000" w:usb3="00000000" w:csb0="00000001" w:csb1="00000000"/>
  </w:font>
  <w:font w:name="Times New Roman Regular">
    <w:altName w:val="Times New Roman"/>
    <w:panose1 w:val="02020503050405090304"/>
    <w:charset w:val="00"/>
    <w:family w:val="auto"/>
    <w:pitch w:val="default"/>
    <w:sig w:usb0="00000000" w:usb1="00000000" w:usb2="00000001" w:usb3="00000000" w:csb0="400001BF" w:csb1="DFF70000"/>
    <w:embedRegular r:id="rId5" w:fontKey="{426F4E0C-FCB9-4B97-80D3-CE6209859C6E}"/>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8FA1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2747FC">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12747FC">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1B6FE2"/>
    <w:multiLevelType w:val="singleLevel"/>
    <w:tmpl w:val="A21B6FE2"/>
    <w:lvl w:ilvl="0" w:tentative="0">
      <w:start w:val="1"/>
      <w:numFmt w:val="decimal"/>
      <w:suff w:val="nothing"/>
      <w:lvlText w:val="（%1）"/>
      <w:lvlJc w:val="left"/>
    </w:lvl>
  </w:abstractNum>
  <w:abstractNum w:abstractNumId="1">
    <w:nsid w:val="F7401828"/>
    <w:multiLevelType w:val="singleLevel"/>
    <w:tmpl w:val="F7401828"/>
    <w:lvl w:ilvl="0" w:tentative="0">
      <w:start w:val="1"/>
      <w:numFmt w:val="decimal"/>
      <w:suff w:val="nothing"/>
      <w:lvlText w:val="（%1）"/>
      <w:lvlJc w:val="left"/>
    </w:lvl>
  </w:abstractNum>
  <w:abstractNum w:abstractNumId="2">
    <w:nsid w:val="F9096A0F"/>
    <w:multiLevelType w:val="singleLevel"/>
    <w:tmpl w:val="F9096A0F"/>
    <w:lvl w:ilvl="0" w:tentative="0">
      <w:start w:val="1"/>
      <w:numFmt w:val="decimal"/>
      <w:suff w:val="nothing"/>
      <w:lvlText w:val="（%1）"/>
      <w:lvlJc w:val="left"/>
      <w:pPr>
        <w:ind w:left="-10"/>
      </w:pPr>
      <w:rPr>
        <w:rFonts w:hint="default"/>
        <w:color w:val="000000" w:themeColor="text1"/>
        <w14:textFill>
          <w14:solidFill>
            <w14:schemeClr w14:val="tx1"/>
          </w14:solidFill>
        </w14:textFill>
      </w:rPr>
    </w:lvl>
  </w:abstractNum>
  <w:abstractNum w:abstractNumId="3">
    <w:nsid w:val="75AD7070"/>
    <w:multiLevelType w:val="singleLevel"/>
    <w:tmpl w:val="75AD7070"/>
    <w:lvl w:ilvl="0" w:tentative="0">
      <w:start w:val="1"/>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2MzViYjRiYWJmMzUxZDM0MDVmMTYzNmQ2N2E5NzEifQ=="/>
  </w:docVars>
  <w:rsids>
    <w:rsidRoot w:val="00000000"/>
    <w:rsid w:val="0099650A"/>
    <w:rsid w:val="01043EBD"/>
    <w:rsid w:val="01581C7F"/>
    <w:rsid w:val="025D31AA"/>
    <w:rsid w:val="027345B1"/>
    <w:rsid w:val="0281653D"/>
    <w:rsid w:val="03606B73"/>
    <w:rsid w:val="03824B55"/>
    <w:rsid w:val="04AF57C8"/>
    <w:rsid w:val="0515457A"/>
    <w:rsid w:val="05993C08"/>
    <w:rsid w:val="05D20CC7"/>
    <w:rsid w:val="0619597F"/>
    <w:rsid w:val="0633208D"/>
    <w:rsid w:val="06530982"/>
    <w:rsid w:val="068A3C77"/>
    <w:rsid w:val="06CB2DC7"/>
    <w:rsid w:val="06DE01DA"/>
    <w:rsid w:val="07B5718E"/>
    <w:rsid w:val="07D759A7"/>
    <w:rsid w:val="0935436E"/>
    <w:rsid w:val="09507B5E"/>
    <w:rsid w:val="09E22B15"/>
    <w:rsid w:val="0A7903C4"/>
    <w:rsid w:val="0AF73FD1"/>
    <w:rsid w:val="0B2621C1"/>
    <w:rsid w:val="0B533ACA"/>
    <w:rsid w:val="0B660C69"/>
    <w:rsid w:val="0BAB3A2E"/>
    <w:rsid w:val="0C017371"/>
    <w:rsid w:val="0C7B118E"/>
    <w:rsid w:val="0C8C371B"/>
    <w:rsid w:val="0D121027"/>
    <w:rsid w:val="0DC024C7"/>
    <w:rsid w:val="0E884F40"/>
    <w:rsid w:val="0F035D4F"/>
    <w:rsid w:val="0F6159BE"/>
    <w:rsid w:val="0F8C280E"/>
    <w:rsid w:val="10FF1159"/>
    <w:rsid w:val="11CA1C70"/>
    <w:rsid w:val="12886669"/>
    <w:rsid w:val="12D1078D"/>
    <w:rsid w:val="13A34400"/>
    <w:rsid w:val="149037AC"/>
    <w:rsid w:val="15267261"/>
    <w:rsid w:val="15423DF2"/>
    <w:rsid w:val="1571672E"/>
    <w:rsid w:val="16123B79"/>
    <w:rsid w:val="16785E3E"/>
    <w:rsid w:val="17F92F40"/>
    <w:rsid w:val="181B6E25"/>
    <w:rsid w:val="18463EA2"/>
    <w:rsid w:val="19695228"/>
    <w:rsid w:val="19706CFD"/>
    <w:rsid w:val="19FB6F0E"/>
    <w:rsid w:val="1A0B22C7"/>
    <w:rsid w:val="1A394CFA"/>
    <w:rsid w:val="1A711392"/>
    <w:rsid w:val="1A7912A4"/>
    <w:rsid w:val="1BA3160C"/>
    <w:rsid w:val="1C3E5861"/>
    <w:rsid w:val="1C446B02"/>
    <w:rsid w:val="1C617930"/>
    <w:rsid w:val="1DA45FB2"/>
    <w:rsid w:val="1E7C3912"/>
    <w:rsid w:val="2020322B"/>
    <w:rsid w:val="20222654"/>
    <w:rsid w:val="202D3B9A"/>
    <w:rsid w:val="21771570"/>
    <w:rsid w:val="23B32608"/>
    <w:rsid w:val="24465AD5"/>
    <w:rsid w:val="24685D29"/>
    <w:rsid w:val="25C67C8C"/>
    <w:rsid w:val="27367428"/>
    <w:rsid w:val="28087EBE"/>
    <w:rsid w:val="298068D7"/>
    <w:rsid w:val="2B5F601B"/>
    <w:rsid w:val="2B9176D3"/>
    <w:rsid w:val="2C4D4739"/>
    <w:rsid w:val="2C9FB09F"/>
    <w:rsid w:val="2DC216B7"/>
    <w:rsid w:val="2DC7118A"/>
    <w:rsid w:val="2E5B3916"/>
    <w:rsid w:val="2E951288"/>
    <w:rsid w:val="2EA760D2"/>
    <w:rsid w:val="2F0D7E04"/>
    <w:rsid w:val="2F177EEF"/>
    <w:rsid w:val="2FC5115F"/>
    <w:rsid w:val="2FFE15AB"/>
    <w:rsid w:val="30191A45"/>
    <w:rsid w:val="306442D9"/>
    <w:rsid w:val="3071505C"/>
    <w:rsid w:val="312812B5"/>
    <w:rsid w:val="31AC744B"/>
    <w:rsid w:val="31BB6E84"/>
    <w:rsid w:val="32236BAB"/>
    <w:rsid w:val="33016EEC"/>
    <w:rsid w:val="33A41C6C"/>
    <w:rsid w:val="33FB1B8D"/>
    <w:rsid w:val="3411315F"/>
    <w:rsid w:val="34496D9C"/>
    <w:rsid w:val="34E64532"/>
    <w:rsid w:val="34FB796B"/>
    <w:rsid w:val="352B6A18"/>
    <w:rsid w:val="356D6ABA"/>
    <w:rsid w:val="356F11B7"/>
    <w:rsid w:val="36D1583A"/>
    <w:rsid w:val="36D41FF9"/>
    <w:rsid w:val="37B409D1"/>
    <w:rsid w:val="3831673B"/>
    <w:rsid w:val="384255EB"/>
    <w:rsid w:val="388C0C05"/>
    <w:rsid w:val="38B93B94"/>
    <w:rsid w:val="39227BBC"/>
    <w:rsid w:val="39553D3C"/>
    <w:rsid w:val="39581CCA"/>
    <w:rsid w:val="39A13EE2"/>
    <w:rsid w:val="39E651DF"/>
    <w:rsid w:val="39F71C56"/>
    <w:rsid w:val="3A241EE8"/>
    <w:rsid w:val="3A287454"/>
    <w:rsid w:val="3A3F02FA"/>
    <w:rsid w:val="3B4A51A8"/>
    <w:rsid w:val="3B5B2024"/>
    <w:rsid w:val="3BC90B25"/>
    <w:rsid w:val="3C2A7F49"/>
    <w:rsid w:val="3C797AF3"/>
    <w:rsid w:val="3D4437C0"/>
    <w:rsid w:val="3D912CF2"/>
    <w:rsid w:val="3DD93262"/>
    <w:rsid w:val="3DF04B38"/>
    <w:rsid w:val="3E123F4D"/>
    <w:rsid w:val="3EE93615"/>
    <w:rsid w:val="3EEF0184"/>
    <w:rsid w:val="3FFA0F4B"/>
    <w:rsid w:val="413537AF"/>
    <w:rsid w:val="41406E31"/>
    <w:rsid w:val="417C26BD"/>
    <w:rsid w:val="41A82C28"/>
    <w:rsid w:val="41D8350E"/>
    <w:rsid w:val="41E92D43"/>
    <w:rsid w:val="4320516C"/>
    <w:rsid w:val="436C2BBC"/>
    <w:rsid w:val="439B4C68"/>
    <w:rsid w:val="43A66C3A"/>
    <w:rsid w:val="4508410A"/>
    <w:rsid w:val="4555676E"/>
    <w:rsid w:val="4557471B"/>
    <w:rsid w:val="45AA6F6F"/>
    <w:rsid w:val="45C1250B"/>
    <w:rsid w:val="45C4267A"/>
    <w:rsid w:val="460778AF"/>
    <w:rsid w:val="466E2743"/>
    <w:rsid w:val="47295228"/>
    <w:rsid w:val="47B42B1F"/>
    <w:rsid w:val="47BF085F"/>
    <w:rsid w:val="486F10A5"/>
    <w:rsid w:val="487B35EF"/>
    <w:rsid w:val="48834779"/>
    <w:rsid w:val="48BF01C7"/>
    <w:rsid w:val="49523BA5"/>
    <w:rsid w:val="497039C3"/>
    <w:rsid w:val="49D848E8"/>
    <w:rsid w:val="49F55F30"/>
    <w:rsid w:val="4A767D13"/>
    <w:rsid w:val="4ADA11A0"/>
    <w:rsid w:val="4BD25472"/>
    <w:rsid w:val="4C10676B"/>
    <w:rsid w:val="4C3262BB"/>
    <w:rsid w:val="4D0D30B5"/>
    <w:rsid w:val="4E8A2033"/>
    <w:rsid w:val="4EDF1751"/>
    <w:rsid w:val="4EE92B7C"/>
    <w:rsid w:val="516A7EFA"/>
    <w:rsid w:val="524F74A1"/>
    <w:rsid w:val="525050D9"/>
    <w:rsid w:val="529378B1"/>
    <w:rsid w:val="52E958B4"/>
    <w:rsid w:val="530F0560"/>
    <w:rsid w:val="533B56AA"/>
    <w:rsid w:val="53DA3CA5"/>
    <w:rsid w:val="53F221DA"/>
    <w:rsid w:val="552C4101"/>
    <w:rsid w:val="56164708"/>
    <w:rsid w:val="5636474F"/>
    <w:rsid w:val="570850A1"/>
    <w:rsid w:val="57334B76"/>
    <w:rsid w:val="57E96F31"/>
    <w:rsid w:val="581F37ED"/>
    <w:rsid w:val="582157B7"/>
    <w:rsid w:val="58584F50"/>
    <w:rsid w:val="58B303D9"/>
    <w:rsid w:val="58E44A6D"/>
    <w:rsid w:val="58F475DF"/>
    <w:rsid w:val="596C2A61"/>
    <w:rsid w:val="5A0A4ECE"/>
    <w:rsid w:val="5ACD52B2"/>
    <w:rsid w:val="5AF80FE3"/>
    <w:rsid w:val="5B52714B"/>
    <w:rsid w:val="5B85605C"/>
    <w:rsid w:val="5BBB1A7E"/>
    <w:rsid w:val="5BC02C67"/>
    <w:rsid w:val="5C616E35"/>
    <w:rsid w:val="5D470C70"/>
    <w:rsid w:val="5D5A52C7"/>
    <w:rsid w:val="5D914B57"/>
    <w:rsid w:val="5E3D6473"/>
    <w:rsid w:val="5E570447"/>
    <w:rsid w:val="5ED82127"/>
    <w:rsid w:val="5F927999"/>
    <w:rsid w:val="601724EB"/>
    <w:rsid w:val="60564D6F"/>
    <w:rsid w:val="60612F01"/>
    <w:rsid w:val="61354B48"/>
    <w:rsid w:val="615C7589"/>
    <w:rsid w:val="635B2AA1"/>
    <w:rsid w:val="63E87188"/>
    <w:rsid w:val="63E91153"/>
    <w:rsid w:val="64254337"/>
    <w:rsid w:val="64312FEF"/>
    <w:rsid w:val="64836366"/>
    <w:rsid w:val="65037FF2"/>
    <w:rsid w:val="65244115"/>
    <w:rsid w:val="65605444"/>
    <w:rsid w:val="66081D64"/>
    <w:rsid w:val="669058B5"/>
    <w:rsid w:val="66E32002"/>
    <w:rsid w:val="66E617C4"/>
    <w:rsid w:val="66E700EE"/>
    <w:rsid w:val="67226E55"/>
    <w:rsid w:val="679D64DC"/>
    <w:rsid w:val="67F34BA7"/>
    <w:rsid w:val="68547C15"/>
    <w:rsid w:val="68B735CD"/>
    <w:rsid w:val="6AB00032"/>
    <w:rsid w:val="6B4C3E9E"/>
    <w:rsid w:val="6B7B4D86"/>
    <w:rsid w:val="6BC51986"/>
    <w:rsid w:val="6BDD334B"/>
    <w:rsid w:val="6C227E52"/>
    <w:rsid w:val="6CAD0F6F"/>
    <w:rsid w:val="6CB461AA"/>
    <w:rsid w:val="6CE32511"/>
    <w:rsid w:val="6CEB5F3B"/>
    <w:rsid w:val="6E996E4B"/>
    <w:rsid w:val="6ECF6BE0"/>
    <w:rsid w:val="6EED6738"/>
    <w:rsid w:val="6F3518C1"/>
    <w:rsid w:val="6F7264A0"/>
    <w:rsid w:val="70082960"/>
    <w:rsid w:val="70844D29"/>
    <w:rsid w:val="718D33A2"/>
    <w:rsid w:val="72007952"/>
    <w:rsid w:val="722F2786"/>
    <w:rsid w:val="72A76461"/>
    <w:rsid w:val="731358A4"/>
    <w:rsid w:val="73454C6B"/>
    <w:rsid w:val="738E7709"/>
    <w:rsid w:val="73903AA4"/>
    <w:rsid w:val="73B23EE7"/>
    <w:rsid w:val="741B332B"/>
    <w:rsid w:val="744A79F6"/>
    <w:rsid w:val="75707339"/>
    <w:rsid w:val="75876CEC"/>
    <w:rsid w:val="75A62FC5"/>
    <w:rsid w:val="75D94865"/>
    <w:rsid w:val="761E7A46"/>
    <w:rsid w:val="7647654B"/>
    <w:rsid w:val="76DD7693"/>
    <w:rsid w:val="77282E24"/>
    <w:rsid w:val="77FF5F72"/>
    <w:rsid w:val="781C169F"/>
    <w:rsid w:val="782F4D9F"/>
    <w:rsid w:val="785319C6"/>
    <w:rsid w:val="79091E47"/>
    <w:rsid w:val="7A8D2507"/>
    <w:rsid w:val="7ADE53AA"/>
    <w:rsid w:val="7B2F3497"/>
    <w:rsid w:val="7BB816DF"/>
    <w:rsid w:val="7C7B624E"/>
    <w:rsid w:val="7CD10CAA"/>
    <w:rsid w:val="7D197AA1"/>
    <w:rsid w:val="7EE50A3C"/>
    <w:rsid w:val="7F214E50"/>
    <w:rsid w:val="7F33543B"/>
    <w:rsid w:val="7F7D3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Lines="0" w:beforeAutospacing="0" w:afterLines="0" w:afterAutospacing="0" w:line="580" w:lineRule="exact"/>
      <w:jc w:val="left"/>
      <w:outlineLvl w:val="2"/>
    </w:pPr>
    <w:rPr>
      <w:rFonts w:ascii="Times New Roman" w:hAnsi="Times New Roman" w:eastAsia="楷体_GB231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annotation text"/>
    <w:basedOn w:val="1"/>
    <w:next w:val="1"/>
    <w:qFormat/>
    <w:uiPriority w:val="0"/>
    <w:pPr>
      <w:jc w:val="left"/>
    </w:pPr>
  </w:style>
  <w:style w:type="paragraph" w:styleId="4">
    <w:name w:val="Body Text"/>
    <w:basedOn w:val="1"/>
    <w:qFormat/>
    <w:uiPriority w:val="1"/>
    <w:pPr>
      <w:autoSpaceDE w:val="0"/>
      <w:autoSpaceDN w:val="0"/>
      <w:jc w:val="left"/>
    </w:pPr>
    <w:rPr>
      <w:rFonts w:ascii="微软雅黑" w:hAnsi="微软雅黑" w:eastAsia="微软雅黑" w:cs="微软雅黑"/>
      <w:kern w:val="0"/>
      <w:sz w:val="32"/>
      <w:szCs w:val="32"/>
    </w:rPr>
  </w:style>
  <w:style w:type="paragraph" w:styleId="5">
    <w:name w:val="Body Text Indent"/>
    <w:basedOn w:val="1"/>
    <w:next w:val="1"/>
    <w:qFormat/>
    <w:uiPriority w:val="0"/>
    <w:pPr>
      <w:widowControl/>
      <w:spacing w:before="100" w:beforeAutospacing="1" w:after="100" w:afterAutospacing="1"/>
      <w:jc w:val="left"/>
    </w:pPr>
    <w:rPr>
      <w:rFonts w:ascii="宋体" w:hAnsi="宋体" w:eastAsia="宋体"/>
      <w:kern w:val="0"/>
      <w:sz w:val="24"/>
    </w:rPr>
  </w:style>
  <w:style w:type="paragraph" w:styleId="6">
    <w:name w:val="Plain Text"/>
    <w:basedOn w:val="1"/>
    <w:next w:val="3"/>
    <w:unhideWhenUsed/>
    <w:qFormat/>
    <w:uiPriority w:val="99"/>
    <w:rPr>
      <w:rFonts w:ascii="宋体" w:hAnsi="Roman 10cpi"/>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5"/>
    <w:unhideWhenUsed/>
    <w:qFormat/>
    <w:uiPriority w:val="99"/>
    <w:pPr>
      <w:ind w:firstLine="420"/>
    </w:p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列出段落1"/>
    <w:basedOn w:val="1"/>
    <w:next w:val="1"/>
    <w:qFormat/>
    <w:uiPriority w:val="34"/>
    <w:pPr>
      <w:ind w:firstLine="420" w:firstLineChars="200"/>
    </w:pPr>
  </w:style>
  <w:style w:type="paragraph" w:customStyle="1" w:styleId="18">
    <w:name w:val="闻政图表名"/>
    <w:basedOn w:val="1"/>
    <w:qFormat/>
    <w:uiPriority w:val="4"/>
    <w:pPr>
      <w:spacing w:before="60" w:after="60"/>
      <w:jc w:val="center"/>
    </w:pPr>
    <w:rPr>
      <w:rFonts w:ascii="Times New Roman" w:hAnsi="Times New Roman" w:eastAsia="仿宋_GB2312" w:cs="Times New Roman"/>
      <w:b/>
      <w:kern w:val="0"/>
      <w:sz w:val="24"/>
      <w:szCs w:val="28"/>
    </w:rPr>
  </w:style>
  <w:style w:type="table" w:customStyle="1" w:styleId="19">
    <w:name w:val="Table Normal"/>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微软雅黑" w:hAnsi="微软雅黑" w:eastAsia="微软雅黑" w:cs="微软雅黑"/>
      <w:sz w:val="28"/>
      <w:szCs w:val="28"/>
      <w:lang w:val="en-US" w:eastAsia="en-US" w:bidi="ar-SA"/>
    </w:rPr>
  </w:style>
  <w:style w:type="character" w:customStyle="1" w:styleId="21">
    <w:name w:val="font01"/>
    <w:basedOn w:val="15"/>
    <w:qFormat/>
    <w:uiPriority w:val="0"/>
    <w:rPr>
      <w:rFonts w:hint="default" w:ascii="Tahoma" w:hAnsi="Tahoma" w:eastAsia="Tahoma" w:cs="Tahoma"/>
      <w:color w:val="000000"/>
      <w:sz w:val="22"/>
      <w:szCs w:val="22"/>
      <w:u w:val="none"/>
    </w:rPr>
  </w:style>
  <w:style w:type="character" w:customStyle="1" w:styleId="22">
    <w:name w:val="font51"/>
    <w:basedOn w:val="15"/>
    <w:qFormat/>
    <w:uiPriority w:val="0"/>
    <w:rPr>
      <w:rFonts w:hint="eastAsia" w:ascii="宋体" w:hAnsi="宋体" w:eastAsia="宋体" w:cs="宋体"/>
      <w:color w:val="000000"/>
      <w:sz w:val="22"/>
      <w:szCs w:val="22"/>
      <w:u w:val="none"/>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2"/>
    <w:qFormat/>
    <w:uiPriority w:val="0"/>
    <w:pPr>
      <w:ind w:leftChars="200"/>
    </w:pPr>
    <w:rPr>
      <w:rFonts w:ascii="Times New Roman" w:hAnsi="Times New Roman" w:eastAsia="宋体" w:cs="Times New Roman"/>
      <w:sz w:val="20"/>
      <w:szCs w:val="20"/>
    </w:rPr>
  </w:style>
  <w:style w:type="character" w:customStyle="1" w:styleId="25">
    <w:name w:val="font31"/>
    <w:basedOn w:val="15"/>
    <w:qFormat/>
    <w:uiPriority w:val="0"/>
    <w:rPr>
      <w:rFonts w:hint="eastAsia" w:ascii="仿宋_GB2312" w:eastAsia="仿宋_GB2312" w:cs="仿宋_GB2312"/>
      <w:color w:val="000000"/>
      <w:sz w:val="20"/>
      <w:szCs w:val="20"/>
      <w:u w:val="none"/>
    </w:rPr>
  </w:style>
  <w:style w:type="paragraph" w:customStyle="1" w:styleId="26">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7">
    <w:name w:val="font41"/>
    <w:basedOn w:val="15"/>
    <w:qFormat/>
    <w:uiPriority w:val="0"/>
    <w:rPr>
      <w:rFonts w:hint="eastAsia" w:ascii="宋体" w:hAnsi="宋体" w:eastAsia="宋体" w:cs="宋体"/>
      <w:color w:val="000000"/>
      <w:sz w:val="21"/>
      <w:szCs w:val="21"/>
      <w:u w:val="none"/>
    </w:rPr>
  </w:style>
  <w:style w:type="character" w:customStyle="1" w:styleId="28">
    <w:name w:val="font61"/>
    <w:basedOn w:val="15"/>
    <w:qFormat/>
    <w:uiPriority w:val="0"/>
    <w:rPr>
      <w:rFonts w:hint="eastAsia" w:ascii="宋体" w:hAnsi="宋体" w:eastAsia="宋体" w:cs="宋体"/>
      <w:b/>
      <w:bCs/>
      <w:color w:val="000000"/>
      <w:sz w:val="21"/>
      <w:szCs w:val="21"/>
      <w:u w:val="none"/>
    </w:rPr>
  </w:style>
  <w:style w:type="character" w:customStyle="1" w:styleId="29">
    <w:name w:val="font91"/>
    <w:basedOn w:val="15"/>
    <w:qFormat/>
    <w:uiPriority w:val="0"/>
    <w:rPr>
      <w:rFonts w:hint="eastAsia" w:ascii="宋体" w:hAnsi="宋体" w:eastAsia="宋体" w:cs="宋体"/>
      <w:color w:val="000000"/>
      <w:sz w:val="21"/>
      <w:szCs w:val="21"/>
      <w:u w:val="none"/>
    </w:rPr>
  </w:style>
  <w:style w:type="character" w:customStyle="1" w:styleId="30">
    <w:name w:val="font71"/>
    <w:basedOn w:val="15"/>
    <w:qFormat/>
    <w:uiPriority w:val="0"/>
    <w:rPr>
      <w:rFonts w:hint="eastAsia" w:ascii="宋体" w:hAnsi="宋体" w:eastAsia="宋体" w:cs="宋体"/>
      <w:b/>
      <w:bCs/>
      <w:color w:val="000000"/>
      <w:sz w:val="22"/>
      <w:szCs w:val="22"/>
      <w:u w:val="none"/>
    </w:rPr>
  </w:style>
  <w:style w:type="character" w:customStyle="1" w:styleId="31">
    <w:name w:val="font81"/>
    <w:basedOn w:val="15"/>
    <w:qFormat/>
    <w:uiPriority w:val="0"/>
    <w:rPr>
      <w:rFonts w:hint="eastAsia" w:ascii="宋体" w:hAnsi="宋体" w:eastAsia="宋体" w:cs="宋体"/>
      <w:b/>
      <w:bCs/>
      <w:color w:val="000000"/>
      <w:sz w:val="22"/>
      <w:szCs w:val="22"/>
      <w:u w:val="none"/>
    </w:rPr>
  </w:style>
  <w:style w:type="character" w:customStyle="1" w:styleId="32">
    <w:name w:val="font10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7850</Words>
  <Characters>8569</Characters>
  <Lines>0</Lines>
  <Paragraphs>0</Paragraphs>
  <TotalTime>89</TotalTime>
  <ScaleCrop>false</ScaleCrop>
  <LinksUpToDate>false</LinksUpToDate>
  <CharactersWithSpaces>8701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2024-06-05T01:12:00Z</dcterms:created>
  <dc:creator>12816</dc:creator>
  <cp:lastModifiedBy>LENOVO</cp:lastModifiedBy>
  <cp:lastPrinted>2025-11-28T02:28:00Z</cp:lastPrinted>
  <dcterms:modified xsi:type="dcterms:W3CDTF">2025-12-22T02:35:33Z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294FB034972848D5BD2A53DF649D83D1_13</vt:lpwstr>
  </property>
  <property fmtid="{D5CDD505-2E9C-101B-9397-08002B2CF9AE}" pid="4" name="KSOTemplateDocerSaveRecord">
    <vt:lpwstr>eyJoZGlkIjoiMjM2M2Y2NmMzNmVjY2ZkMjM4MTdhNDQ2YmE5NDY1ZjAiLCJ1c2VySWQiOiI1OTQ0NDk3MTAifQ==</vt:lpwstr>
  </property>
</Properties>
</file>