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ind w:left="879" w:hanging="879"/>
        <w:jc w:val="center"/>
        <w:rPr>
          <w:rFonts w:hint="eastAsia" w:ascii="宋体" w:hAnsi="宋体" w:eastAsia="宋体" w:cs="Arial"/>
          <w:b/>
          <w:bCs/>
          <w:sz w:val="36"/>
          <w:szCs w:val="36"/>
        </w:rPr>
      </w:pPr>
      <w:bookmarkStart w:id="0" w:name="_Toc28984"/>
      <w:r>
        <w:rPr>
          <w:rFonts w:hint="eastAsia" w:ascii="宋体" w:hAnsi="宋体" w:eastAsia="宋体" w:cs="Arial"/>
          <w:b/>
          <w:bCs/>
          <w:color w:val="000000"/>
          <w:sz w:val="36"/>
          <w:szCs w:val="36"/>
        </w:rPr>
        <w:t>青岛市政策性农业保险承保机构</w:t>
      </w:r>
    </w:p>
    <w:p>
      <w:pPr>
        <w:spacing w:line="520" w:lineRule="exact"/>
        <w:ind w:left="879" w:hanging="879"/>
        <w:jc w:val="center"/>
        <w:rPr>
          <w:rFonts w:hint="eastAsia" w:ascii="宋体" w:hAnsi="宋体" w:eastAsia="宋体" w:cs="Arial"/>
          <w:b/>
          <w:bCs/>
          <w:sz w:val="36"/>
          <w:szCs w:val="36"/>
        </w:rPr>
      </w:pPr>
      <w:r>
        <w:rPr>
          <w:rFonts w:hint="eastAsia" w:ascii="宋体" w:hAnsi="宋体" w:eastAsia="宋体" w:cs="Arial"/>
          <w:b/>
          <w:bCs/>
          <w:color w:val="000000"/>
          <w:sz w:val="36"/>
          <w:szCs w:val="36"/>
        </w:rPr>
        <w:t>中国人寿财产保险股份有限公司青岛市分公司</w:t>
      </w:r>
    </w:p>
    <w:bookmarkEnd w:id="0"/>
    <w:p>
      <w:pPr>
        <w:spacing w:line="520" w:lineRule="exact"/>
        <w:ind w:left="879" w:hanging="879"/>
        <w:jc w:val="center"/>
        <w:rPr>
          <w:rFonts w:ascii="Arial" w:hAnsi="Arial" w:eastAsia="宋体" w:cs="Arial"/>
          <w:b/>
          <w:bCs/>
          <w:sz w:val="36"/>
          <w:szCs w:val="36"/>
        </w:rPr>
      </w:pPr>
      <w:r>
        <w:rPr>
          <w:rFonts w:hint="eastAsia" w:ascii="宋体" w:hAnsi="宋体" w:eastAsia="宋体" w:cs="Arial"/>
          <w:b/>
          <w:bCs/>
          <w:color w:val="000000"/>
          <w:sz w:val="36"/>
          <w:szCs w:val="36"/>
        </w:rPr>
        <w:t>2025年度</w:t>
      </w:r>
      <w:r>
        <w:rPr>
          <w:rFonts w:ascii="宋体" w:hAnsi="宋体" w:eastAsia="宋体" w:cs="Arial"/>
          <w:b/>
          <w:bCs/>
          <w:color w:val="000000"/>
          <w:sz w:val="36"/>
          <w:szCs w:val="36"/>
        </w:rPr>
        <w:t>绩效</w:t>
      </w:r>
      <w:r>
        <w:rPr>
          <w:rFonts w:hint="eastAsia" w:ascii="宋体" w:hAnsi="宋体" w:eastAsia="宋体" w:cs="Arial"/>
          <w:b/>
          <w:bCs/>
          <w:color w:val="000000"/>
          <w:sz w:val="36"/>
          <w:szCs w:val="36"/>
        </w:rPr>
        <w:t>评价报告</w:t>
      </w:r>
    </w:p>
    <w:p>
      <w:pPr>
        <w:jc w:val="center"/>
        <w:rPr>
          <w:rFonts w:ascii="仿宋_GB2312"/>
          <w:szCs w:val="30"/>
        </w:rPr>
      </w:pPr>
    </w:p>
    <w:p>
      <w:pPr>
        <w:spacing w:line="560" w:lineRule="exact"/>
        <w:ind w:firstLine="560" w:firstLineChars="200"/>
        <w:outlineLvl w:val="0"/>
        <w:rPr>
          <w:rFonts w:hint="eastAsia" w:ascii="黑体" w:hAnsi="黑体" w:eastAsia="黑体"/>
          <w:sz w:val="28"/>
          <w:szCs w:val="28"/>
        </w:rPr>
      </w:pPr>
      <w:bookmarkStart w:id="1" w:name="_Toc232065277"/>
      <w:r>
        <w:rPr>
          <w:rFonts w:hint="eastAsia" w:ascii="黑体" w:hAnsi="黑体" w:eastAsia="黑体"/>
          <w:sz w:val="28"/>
          <w:szCs w:val="28"/>
        </w:rPr>
        <w:t>一、基本情况</w:t>
      </w:r>
      <w:bookmarkEnd w:id="1"/>
    </w:p>
    <w:p>
      <w:pPr>
        <w:spacing w:line="560" w:lineRule="exact"/>
        <w:ind w:firstLine="560" w:firstLineChars="200"/>
        <w:outlineLvl w:val="1"/>
        <w:rPr>
          <w:rFonts w:ascii="楷体_GB2312" w:eastAsia="楷体_GB2312"/>
          <w:sz w:val="28"/>
          <w:szCs w:val="28"/>
        </w:rPr>
      </w:pPr>
      <w:bookmarkStart w:id="2" w:name="_Toc232065278"/>
      <w:r>
        <w:rPr>
          <w:rFonts w:hint="eastAsia" w:ascii="楷体_GB2312" w:eastAsia="楷体_GB2312"/>
          <w:sz w:val="28"/>
          <w:szCs w:val="28"/>
        </w:rPr>
        <w:t>（一）项目概况</w:t>
      </w:r>
      <w:bookmarkEnd w:id="2"/>
    </w:p>
    <w:p>
      <w:pPr>
        <w:spacing w:line="560" w:lineRule="exact"/>
        <w:ind w:firstLine="560" w:firstLineChars="200"/>
        <w:rPr>
          <w:rFonts w:hint="eastAsia" w:ascii="仿宋_GB2312" w:hAnsi="宋体"/>
          <w:bCs/>
          <w:sz w:val="28"/>
          <w:szCs w:val="28"/>
        </w:rPr>
      </w:pPr>
      <w:bookmarkStart w:id="3" w:name="_Hlk108445660"/>
      <w:r>
        <w:rPr>
          <w:rFonts w:hint="eastAsia" w:ascii="仿宋_GB2312" w:hAnsi="宋体"/>
          <w:bCs/>
          <w:sz w:val="28"/>
          <w:szCs w:val="28"/>
        </w:rPr>
        <w:t>1.项目背景、主要内容及实施情况</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农业作为国民经济的根基，却因自身的弱质性，长期面临着自然灾害频发、市场价格波动大等风险，传统的农业生产方式使得农民个体抗风险能力极为薄弱，影响农业生产的稳定性与农民生活的保障性。同时农民收入水平有限，对农业保险的购买力较弱，市场机制在农业保险领域存在明显缺陷。在此背景下，我国政策性农业保险应运而生，旨在通过政府引导与政策支持，提升农业抗风险能力，稳定农业生产和农民收入。</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为进一步优化农业保险市场布局，促进农业保险高质量发展，根据《财政部 农业农村部关于加强政策性农业保险承保机构遴选管理工作的通知》（财金〔2020〕128号）、《青岛市财政局 青岛市发展和改革委员会 青岛市农业农村局等6部门印发关于加快青岛市农业保险高质量发展的实施意见的通知》（青财金〔2022〕12号）、《青岛市财政局等7部门</w:t>
      </w:r>
      <w:r>
        <w:rPr>
          <w:rFonts w:hint="eastAsia" w:ascii="仿宋_GB2312" w:hAnsi="宋体"/>
          <w:bCs/>
          <w:color w:val="000000"/>
          <w:sz w:val="28"/>
          <w:szCs w:val="28"/>
        </w:rPr>
        <w:t>关于印发&lt;</w:t>
      </w:r>
      <w:r>
        <w:rPr>
          <w:rFonts w:hint="eastAsia" w:ascii="仿宋_GB2312" w:hAnsi="宋体"/>
          <w:bCs/>
          <w:sz w:val="28"/>
          <w:szCs w:val="28"/>
        </w:rPr>
        <w:t>青岛市政策性农业保险承保机构遴选工作方案</w:t>
      </w:r>
      <w:r>
        <w:rPr>
          <w:rFonts w:hint="eastAsia" w:ascii="仿宋_GB2312" w:hAnsi="宋体"/>
          <w:bCs/>
          <w:color w:val="000000"/>
          <w:sz w:val="28"/>
          <w:szCs w:val="28"/>
        </w:rPr>
        <w:t>&gt;的通知》</w:t>
      </w:r>
      <w:r>
        <w:rPr>
          <w:rFonts w:hint="eastAsia" w:ascii="仿宋_GB2312" w:hAnsi="宋体"/>
          <w:bCs/>
          <w:sz w:val="28"/>
          <w:szCs w:val="28"/>
        </w:rPr>
        <w:t>（青财金〔2024〕2号），结合我市农业保险工作实际，2024年1月通过竞争性评审方式对青岛市政策性农业保险承保机构进行遴选。</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遴选确定的中标承保机构包括中国太平洋财产保险股份有限公司青岛分公司（以下简称“太平洋财险”）、中国人民财产保险股份有限公司青岛分公司（以下简称“</w:t>
      </w:r>
      <w:r>
        <w:rPr>
          <w:rFonts w:hint="eastAsia" w:ascii="仿宋_GB2312" w:hAnsi="楷体" w:cs="楷体"/>
          <w:spacing w:val="1"/>
          <w:sz w:val="28"/>
          <w:szCs w:val="28"/>
        </w:rPr>
        <w:t>人保财险”）</w:t>
      </w:r>
      <w:r>
        <w:rPr>
          <w:rFonts w:hint="eastAsia" w:ascii="仿宋_GB2312" w:hAnsi="宋体"/>
          <w:bCs/>
          <w:sz w:val="28"/>
          <w:szCs w:val="28"/>
        </w:rPr>
        <w:t>、中国平安财产保险股份有限公司青岛分公司（以下简称“平安财险”）、中华联合财产保险股份有限公司青岛分公司（以下简称“中华联合财险”）、太平财产保险有限公司青岛分公司（以下简称“太平财险”）、中路财产保险股份有限公司青岛分公司（以下简称“中路财险”）、中国人寿财产保险股份有限公司青岛市分公司（以下简称“人寿财险”）、中国大地财产保险股份有限公司青岛分公司（以下简称“大地财险”）、紫金财产保险股份有限公司青岛分公司（以下简称“紫金财险”）和泰山财产保险股份有限公司青岛分公司（以下简称“泰山财险”）十家单位。本次评价主要针对人寿财险</w:t>
      </w:r>
      <w:r>
        <w:rPr>
          <w:rFonts w:hint="eastAsia" w:ascii="仿宋_GB2312"/>
          <w:sz w:val="28"/>
          <w:szCs w:val="28"/>
        </w:rPr>
        <w:t>2025年1月1日至2025年12月31日</w:t>
      </w:r>
      <w:r>
        <w:rPr>
          <w:rFonts w:hint="eastAsia" w:ascii="仿宋_GB2312" w:hAnsi="宋体"/>
          <w:bCs/>
          <w:sz w:val="28"/>
          <w:szCs w:val="28"/>
        </w:rPr>
        <w:t>政策性农业保险业务开展评价。</w:t>
      </w:r>
    </w:p>
    <w:p>
      <w:pPr>
        <w:spacing w:line="560" w:lineRule="exact"/>
        <w:ind w:firstLine="560" w:firstLineChars="200"/>
        <w:rPr>
          <w:rFonts w:hint="eastAsia" w:ascii="仿宋_GB2312" w:hAnsi="宋体"/>
          <w:bCs/>
          <w:sz w:val="28"/>
          <w:szCs w:val="28"/>
        </w:rPr>
      </w:pPr>
      <w:r>
        <w:rPr>
          <w:rFonts w:ascii="仿宋_GB2312" w:hAnsi="宋体"/>
          <w:bCs/>
          <w:sz w:val="28"/>
          <w:szCs w:val="28"/>
        </w:rPr>
        <w:t>2.服务内容</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（1）险种范围</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人寿财险</w:t>
      </w:r>
      <w:r>
        <w:rPr>
          <w:rFonts w:hint="eastAsia" w:ascii="仿宋_GB2312"/>
          <w:bCs/>
          <w:sz w:val="28"/>
          <w:szCs w:val="28"/>
        </w:rPr>
        <w:t>对青岛市行政区域内各级政府开展并提供保费补贴的种植、养殖、林业、渔业、目标价格保险等农业保险险种(涵盖中央和市级补贴险种，以及区市自主开展并给予保费补贴的地方特色险种)提供保险服务。涉及蜜蜂气象指数保险、蔬菜收入保险、大白菜收入保险、萝卜种植天气综合指数保险4个险种，</w:t>
      </w:r>
      <w:r>
        <w:rPr>
          <w:rFonts w:hint="eastAsia" w:ascii="仿宋_GB2312" w:hAnsi="宋体"/>
          <w:bCs/>
          <w:sz w:val="28"/>
          <w:szCs w:val="28"/>
        </w:rPr>
        <w:t>不包括承保机构自主开展的各类涉农商业性保险品种。</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（2）服务地点及区域</w:t>
      </w:r>
    </w:p>
    <w:tbl>
      <w:tblPr>
        <w:tblStyle w:val="15"/>
        <w:tblW w:w="0" w:type="auto"/>
        <w:jc w:val="center"/>
        <w:tblLayout w:type="autofit"/>
        <w:tblCellMar>
          <w:top w:w="0" w:type="dxa"/>
          <w:left w:w="108" w:type="dxa"/>
          <w:bottom w:w="0" w:type="dxa"/>
          <w:right w:w="108" w:type="dxa"/>
        </w:tblCellMar>
      </w:tblPr>
      <w:tblGrid>
        <w:gridCol w:w="1384"/>
        <w:gridCol w:w="6283"/>
        <w:gridCol w:w="1393"/>
      </w:tblGrid>
      <w:tr>
        <w:tblPrEx>
          <w:tblCellMar>
            <w:top w:w="0" w:type="dxa"/>
            <w:left w:w="108" w:type="dxa"/>
            <w:bottom w:w="0" w:type="dxa"/>
            <w:right w:w="108" w:type="dxa"/>
          </w:tblCellMar>
        </w:tblPrEx>
        <w:trPr>
          <w:tblHeader/>
          <w:jc w:val="center"/>
        </w:trPr>
        <w:tc>
          <w:tcPr>
            <w:tcW w:w="138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区(市)</w:t>
            </w:r>
          </w:p>
        </w:tc>
        <w:tc>
          <w:tcPr>
            <w:tcW w:w="628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承保区域</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承保险种</w:t>
            </w:r>
          </w:p>
        </w:tc>
      </w:tr>
      <w:tr>
        <w:tblPrEx>
          <w:tblCellMar>
            <w:top w:w="0" w:type="dxa"/>
            <w:left w:w="108" w:type="dxa"/>
            <w:bottom w:w="0" w:type="dxa"/>
            <w:right w:w="108" w:type="dxa"/>
          </w:tblCellMar>
        </w:tblPrEx>
        <w:trPr>
          <w:jc w:val="center"/>
        </w:trPr>
        <w:tc>
          <w:tcPr>
            <w:tcW w:w="138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西海岸新区</w:t>
            </w:r>
          </w:p>
        </w:tc>
        <w:tc>
          <w:tcPr>
            <w:tcW w:w="628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六汪镇、张家楼街道、大村镇、铁山街道、灵珠山街道</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市级试点特色险种</w:t>
            </w:r>
          </w:p>
        </w:tc>
      </w:tr>
      <w:tr>
        <w:tblPrEx>
          <w:tblCellMar>
            <w:top w:w="0" w:type="dxa"/>
            <w:left w:w="108" w:type="dxa"/>
            <w:bottom w:w="0" w:type="dxa"/>
            <w:right w:w="108" w:type="dxa"/>
          </w:tblCellMar>
        </w:tblPrEx>
        <w:trPr>
          <w:jc w:val="center"/>
        </w:trPr>
        <w:tc>
          <w:tcPr>
            <w:tcW w:w="138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平度市</w:t>
            </w:r>
          </w:p>
        </w:tc>
        <w:tc>
          <w:tcPr>
            <w:tcW w:w="628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白沙河街道、崔家集镇、大泽山镇、店子镇、东阁街道、凤台街道、古岘镇、旧店镇、李园街道、蓼兰镇、明村镇、南村镇、仁兆镇、田庄镇、同和街道、新河镇、云山镇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kern w:val="0"/>
                <w:sz w:val="21"/>
                <w:szCs w:val="21"/>
                <w:lang w:bidi="ar"/>
              </w:rPr>
            </w:pPr>
            <w:r>
              <w:rPr>
                <w:rFonts w:hint="eastAsia" w:ascii="仿宋_GB2312" w:hAnsi="等线" w:cs="仿宋_GB2312"/>
                <w:color w:val="000000"/>
                <w:kern w:val="0"/>
                <w:sz w:val="21"/>
                <w:szCs w:val="21"/>
                <w:lang w:bidi="ar"/>
              </w:rPr>
              <w:t>市级试点特色险种</w:t>
            </w:r>
          </w:p>
        </w:tc>
      </w:tr>
      <w:tr>
        <w:tblPrEx>
          <w:tblCellMar>
            <w:top w:w="0" w:type="dxa"/>
            <w:left w:w="108" w:type="dxa"/>
            <w:bottom w:w="0" w:type="dxa"/>
            <w:right w:w="108" w:type="dxa"/>
          </w:tblCellMar>
        </w:tblPrEx>
        <w:trPr>
          <w:jc w:val="center"/>
        </w:trPr>
        <w:tc>
          <w:tcPr>
            <w:tcW w:w="138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胶州市</w:t>
            </w:r>
          </w:p>
        </w:tc>
        <w:tc>
          <w:tcPr>
            <w:tcW w:w="628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洋河镇、九龙街道</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kern w:val="0"/>
                <w:sz w:val="21"/>
                <w:szCs w:val="21"/>
                <w:lang w:bidi="ar"/>
              </w:rPr>
            </w:pPr>
            <w:r>
              <w:rPr>
                <w:rFonts w:hint="eastAsia" w:ascii="仿宋_GB2312" w:hAnsi="等线" w:cs="仿宋_GB2312"/>
                <w:color w:val="000000"/>
                <w:kern w:val="0"/>
                <w:sz w:val="21"/>
                <w:szCs w:val="21"/>
                <w:lang w:bidi="ar"/>
              </w:rPr>
              <w:t>市级试点特色险种</w:t>
            </w:r>
          </w:p>
        </w:tc>
      </w:tr>
      <w:tr>
        <w:tblPrEx>
          <w:tblCellMar>
            <w:top w:w="0" w:type="dxa"/>
            <w:left w:w="108" w:type="dxa"/>
            <w:bottom w:w="0" w:type="dxa"/>
            <w:right w:w="108" w:type="dxa"/>
          </w:tblCellMar>
        </w:tblPrEx>
        <w:trPr>
          <w:jc w:val="center"/>
        </w:trPr>
        <w:tc>
          <w:tcPr>
            <w:tcW w:w="13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628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胶北街道、胶东街道、胶莱街道、九龙街道、里岔镇、铺集镇、洋河镇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kern w:val="0"/>
                <w:sz w:val="21"/>
                <w:szCs w:val="21"/>
                <w:lang w:bidi="ar"/>
              </w:rPr>
            </w:pPr>
            <w:r>
              <w:rPr>
                <w:rFonts w:hint="eastAsia" w:ascii="仿宋_GB2312" w:hAnsi="等线" w:cs="仿宋_GB2312"/>
                <w:color w:val="000000"/>
                <w:kern w:val="0"/>
                <w:sz w:val="21"/>
                <w:szCs w:val="21"/>
                <w:lang w:bidi="ar"/>
              </w:rPr>
              <w:t>区(市)地方特色农业保险</w:t>
            </w:r>
          </w:p>
        </w:tc>
      </w:tr>
      <w:tr>
        <w:tblPrEx>
          <w:tblCellMar>
            <w:top w:w="0" w:type="dxa"/>
            <w:left w:w="108" w:type="dxa"/>
            <w:bottom w:w="0" w:type="dxa"/>
            <w:right w:w="108" w:type="dxa"/>
          </w:tblCellMar>
        </w:tblPrEx>
        <w:trPr>
          <w:jc w:val="center"/>
        </w:trPr>
        <w:tc>
          <w:tcPr>
            <w:tcW w:w="138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莱西市</w:t>
            </w:r>
          </w:p>
        </w:tc>
        <w:tc>
          <w:tcPr>
            <w:tcW w:w="628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马连庄镇、南墅镇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市级试点特色险种</w:t>
            </w:r>
          </w:p>
        </w:tc>
      </w:tr>
      <w:tr>
        <w:tblPrEx>
          <w:tblCellMar>
            <w:top w:w="0" w:type="dxa"/>
            <w:left w:w="108" w:type="dxa"/>
            <w:bottom w:w="0" w:type="dxa"/>
            <w:right w:w="108" w:type="dxa"/>
          </w:tblCellMar>
        </w:tblPrEx>
        <w:trPr>
          <w:jc w:val="center"/>
        </w:trPr>
        <w:tc>
          <w:tcPr>
            <w:tcW w:w="138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即墨区</w:t>
            </w:r>
          </w:p>
        </w:tc>
        <w:tc>
          <w:tcPr>
            <w:tcW w:w="628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移风店镇、龙山街道、田横镇、田庄镇、大村镇、六汪镇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市级试点特色险种</w:t>
            </w:r>
          </w:p>
        </w:tc>
      </w:tr>
      <w:tr>
        <w:tblPrEx>
          <w:tblCellMar>
            <w:top w:w="0" w:type="dxa"/>
            <w:left w:w="108" w:type="dxa"/>
            <w:bottom w:w="0" w:type="dxa"/>
            <w:right w:w="108" w:type="dxa"/>
          </w:tblCellMar>
        </w:tblPrEx>
        <w:trPr>
          <w:jc w:val="center"/>
        </w:trPr>
        <w:tc>
          <w:tcPr>
            <w:tcW w:w="13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628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大信街道、金口镇、移风店镇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区(市)地方特色农业保险</w:t>
            </w:r>
          </w:p>
        </w:tc>
      </w:tr>
    </w:tbl>
    <w:p>
      <w:pPr>
        <w:spacing w:line="560" w:lineRule="exact"/>
        <w:ind w:firstLine="560" w:firstLineChars="200"/>
        <w:rPr>
          <w:rFonts w:hint="eastAsia" w:ascii="仿宋_GB2312" w:hAnsi="宋体"/>
          <w:bCs/>
          <w:sz w:val="28"/>
          <w:szCs w:val="28"/>
        </w:rPr>
      </w:pPr>
      <w:r>
        <w:rPr>
          <w:rFonts w:hint="eastAsia" w:ascii="仿宋_GB2312" w:hAnsi="宋体"/>
          <w:bCs/>
          <w:sz w:val="28"/>
          <w:szCs w:val="28"/>
        </w:rPr>
        <w:t>（3）服务期限</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人寿财险在遴选区域内承保服务期限自2024年3月1日起至2027年12月31日止。</w:t>
      </w:r>
    </w:p>
    <w:p>
      <w:pPr>
        <w:spacing w:line="560" w:lineRule="exact"/>
        <w:ind w:left="600"/>
        <w:rPr>
          <w:rFonts w:hint="eastAsia" w:ascii="仿宋_GB2312" w:hAnsi="宋体"/>
          <w:bCs/>
          <w:sz w:val="28"/>
          <w:szCs w:val="28"/>
        </w:rPr>
      </w:pPr>
      <w:r>
        <w:rPr>
          <w:rFonts w:hint="eastAsia" w:ascii="仿宋_GB2312" w:hAnsi="宋体"/>
          <w:bCs/>
          <w:sz w:val="28"/>
          <w:szCs w:val="28"/>
        </w:rPr>
        <w:t>3.人寿财险承保基本情况</w:t>
      </w:r>
    </w:p>
    <w:p>
      <w:pPr>
        <w:spacing w:line="560" w:lineRule="exact"/>
        <w:ind w:firstLine="560"/>
        <w:rPr>
          <w:rFonts w:hint="eastAsia" w:ascii="仿宋_GB2312" w:hAnsi="宋体"/>
          <w:bCs/>
          <w:sz w:val="28"/>
          <w:szCs w:val="28"/>
        </w:rPr>
      </w:pPr>
      <w:r>
        <w:rPr>
          <w:rFonts w:hint="eastAsia" w:ascii="仿宋_GB2312" w:hAnsi="宋体"/>
          <w:bCs/>
          <w:sz w:val="28"/>
          <w:szCs w:val="28"/>
        </w:rPr>
        <w:t>人寿财险在7个区（市）设立了7家支公司(包含黄岛支公司)，根据本次服务内容评价的险种范围共涉及7家支公司(包含黄岛支公司)，涉及政策性农业保险险种及对应区（市）支公司列示如下（“</w:t>
      </w:r>
      <w:r>
        <w:rPr>
          <w:rFonts w:ascii="Arial" w:hAnsi="Arial" w:cs="Arial"/>
          <w:bCs/>
          <w:sz w:val="28"/>
          <w:szCs w:val="28"/>
        </w:rPr>
        <w:t>√</w:t>
      </w:r>
      <w:r>
        <w:rPr>
          <w:rFonts w:hint="eastAsia" w:ascii="仿宋_GB2312" w:hAnsi="宋体"/>
          <w:bCs/>
          <w:sz w:val="28"/>
          <w:szCs w:val="28"/>
        </w:rPr>
        <w:t>”表示评价期间即2025年1月1日至2025年12月31日期间有承保业务）：</w:t>
      </w:r>
    </w:p>
    <w:tbl>
      <w:tblPr>
        <w:tblStyle w:val="15"/>
        <w:tblW w:w="4997" w:type="pct"/>
        <w:jc w:val="center"/>
        <w:tblLayout w:type="autofit"/>
        <w:tblCellMar>
          <w:top w:w="0" w:type="dxa"/>
          <w:left w:w="108" w:type="dxa"/>
          <w:bottom w:w="0" w:type="dxa"/>
          <w:right w:w="108" w:type="dxa"/>
        </w:tblCellMar>
      </w:tblPr>
      <w:tblGrid>
        <w:gridCol w:w="558"/>
        <w:gridCol w:w="1865"/>
        <w:gridCol w:w="1083"/>
        <w:gridCol w:w="1083"/>
        <w:gridCol w:w="953"/>
        <w:gridCol w:w="1346"/>
        <w:gridCol w:w="1083"/>
        <w:gridCol w:w="1084"/>
      </w:tblGrid>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险种</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平度市支公司</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崂山区支公司</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胶州支公司</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西海岸新区支公司</w:t>
            </w:r>
          </w:p>
        </w:tc>
        <w:tc>
          <w:tcPr>
            <w:tcW w:w="0" w:type="auto"/>
            <w:tcBorders>
              <w:top w:val="single" w:color="000000" w:sz="4" w:space="0"/>
              <w:left w:val="single" w:color="000000" w:sz="4" w:space="0"/>
              <w:bottom w:val="single" w:color="000000" w:sz="4" w:space="0"/>
              <w:right w:val="nil"/>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即墨区支公司</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城阳区支公司</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蜜蜂气象指数保险</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w:t>
            </w:r>
          </w:p>
        </w:tc>
        <w:tc>
          <w:tcPr>
            <w:tcW w:w="0" w:type="auto"/>
            <w:tcBorders>
              <w:top w:val="single" w:color="000000" w:sz="4" w:space="0"/>
              <w:left w:val="single" w:color="000000" w:sz="4" w:space="0"/>
              <w:bottom w:val="single" w:color="000000" w:sz="4" w:space="0"/>
              <w:right w:val="nil"/>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2</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蔬菜收入保险</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nil"/>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r>
      <w:tr>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大白菜收入保险</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nil"/>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萝卜种植天气综合指数保险</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nil"/>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r>
    </w:tbl>
    <w:p>
      <w:pPr>
        <w:spacing w:line="560" w:lineRule="exact"/>
        <w:ind w:firstLine="560"/>
        <w:rPr>
          <w:rFonts w:hint="eastAsia" w:ascii="仿宋_GB2312" w:hAnsi="宋体"/>
          <w:bCs/>
          <w:sz w:val="28"/>
          <w:szCs w:val="28"/>
        </w:rPr>
      </w:pPr>
      <w:r>
        <w:rPr>
          <w:rFonts w:hint="eastAsia" w:ascii="仿宋_GB2312" w:hAnsi="宋体"/>
          <w:bCs/>
          <w:sz w:val="28"/>
          <w:szCs w:val="28"/>
        </w:rPr>
        <w:t>上述险种1-2项为市级试点特色险种。3-4项为区（市）地方特色农业保险。青岛市对应的实施方案如下：1-2项根据《</w:t>
      </w:r>
      <w:r>
        <w:rPr>
          <w:rFonts w:hint="eastAsia" w:ascii="仿宋_GB2312" w:hAnsi="宋体"/>
          <w:bCs/>
          <w:color w:val="000000"/>
          <w:sz w:val="28"/>
          <w:szCs w:val="28"/>
        </w:rPr>
        <w:t>关于印发&lt;</w:t>
      </w:r>
      <w:r>
        <w:rPr>
          <w:rFonts w:hint="eastAsia" w:ascii="仿宋_GB2312" w:hAnsi="宋体"/>
          <w:bCs/>
          <w:sz w:val="28"/>
          <w:szCs w:val="28"/>
        </w:rPr>
        <w:t>青岛市级特色农产品保险试点实施方案（2025—2026年）</w:t>
      </w:r>
      <w:r>
        <w:rPr>
          <w:rFonts w:hint="eastAsia" w:ascii="仿宋_GB2312" w:hAnsi="宋体"/>
          <w:bCs/>
          <w:color w:val="000000"/>
          <w:sz w:val="28"/>
          <w:szCs w:val="28"/>
        </w:rPr>
        <w:t>&gt;的通知》</w:t>
      </w:r>
      <w:r>
        <w:rPr>
          <w:rFonts w:hint="eastAsia" w:ascii="仿宋_GB2312" w:hAnsi="宋体"/>
          <w:bCs/>
          <w:sz w:val="28"/>
          <w:szCs w:val="28"/>
        </w:rPr>
        <w:t>（青财金〔2025〕24号）执行；3项根据《关于开展2025年大白菜收入保险工作的通知》（胶财字〔2025〕2号）；4项根据《关于开展即墨区2025年度小麦收获期气象指数和萝卜种植天气综合指数地方优势特色农产品保险试点方案的通知》（即农字〔2025〕19号）执行。</w:t>
      </w:r>
    </w:p>
    <w:p>
      <w:pPr>
        <w:spacing w:line="560" w:lineRule="exact"/>
        <w:ind w:firstLine="560"/>
        <w:rPr>
          <w:rFonts w:hint="eastAsia" w:ascii="仿宋_GB2312" w:hAnsi="宋体"/>
          <w:bCs/>
          <w:sz w:val="28"/>
          <w:szCs w:val="28"/>
        </w:rPr>
      </w:pPr>
      <w:r>
        <w:rPr>
          <w:rFonts w:hint="eastAsia" w:ascii="仿宋_GB2312" w:hAnsi="宋体"/>
          <w:bCs/>
          <w:sz w:val="28"/>
          <w:szCs w:val="28"/>
        </w:rPr>
        <w:t>政策规定的保额、保费、费率、农户保费收缴比例列示如下：</w:t>
      </w:r>
    </w:p>
    <w:bookmarkEnd w:id="3"/>
    <w:tbl>
      <w:tblPr>
        <w:tblStyle w:val="15"/>
        <w:tblW w:w="5000" w:type="pct"/>
        <w:jc w:val="center"/>
        <w:tblLayout w:type="autofit"/>
        <w:tblCellMar>
          <w:top w:w="0" w:type="dxa"/>
          <w:left w:w="108" w:type="dxa"/>
          <w:bottom w:w="0" w:type="dxa"/>
          <w:right w:w="108" w:type="dxa"/>
        </w:tblCellMar>
      </w:tblPr>
      <w:tblGrid>
        <w:gridCol w:w="684"/>
        <w:gridCol w:w="1864"/>
        <w:gridCol w:w="1069"/>
        <w:gridCol w:w="1928"/>
        <w:gridCol w:w="1928"/>
        <w:gridCol w:w="1587"/>
      </w:tblGrid>
      <w:tr>
        <w:tblPrEx>
          <w:tblCellMar>
            <w:top w:w="0" w:type="dxa"/>
            <w:left w:w="108" w:type="dxa"/>
            <w:bottom w:w="0" w:type="dxa"/>
            <w:right w:w="108" w:type="dxa"/>
          </w:tblCellMar>
        </w:tblPrEx>
        <w:trPr>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6A6A6"/>
            <w:noWrap/>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6A6A6"/>
            <w:noWrap/>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险种</w:t>
            </w:r>
          </w:p>
        </w:tc>
        <w:tc>
          <w:tcPr>
            <w:tcW w:w="0" w:type="auto"/>
            <w:tcBorders>
              <w:top w:val="single" w:color="000000" w:sz="4" w:space="0"/>
              <w:left w:val="single" w:color="000000" w:sz="4" w:space="0"/>
              <w:bottom w:val="single" w:color="000000" w:sz="4" w:space="0"/>
              <w:right w:val="single" w:color="000000" w:sz="4" w:space="0"/>
            </w:tcBorders>
            <w:shd w:val="clear" w:color="auto" w:fill="A6A6A6"/>
            <w:noWrap/>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保额(元/亩、箱)</w:t>
            </w:r>
          </w:p>
        </w:tc>
        <w:tc>
          <w:tcPr>
            <w:tcW w:w="0" w:type="auto"/>
            <w:tcBorders>
              <w:top w:val="single" w:color="000000" w:sz="4" w:space="0"/>
              <w:left w:val="single" w:color="000000" w:sz="4" w:space="0"/>
              <w:bottom w:val="single" w:color="000000" w:sz="4" w:space="0"/>
              <w:right w:val="single" w:color="000000" w:sz="4" w:space="0"/>
            </w:tcBorders>
            <w:shd w:val="clear" w:color="auto" w:fill="A6A6A6"/>
            <w:noWrap/>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保费(元/亩、箱)</w:t>
            </w:r>
          </w:p>
        </w:tc>
        <w:tc>
          <w:tcPr>
            <w:tcW w:w="0" w:type="auto"/>
            <w:tcBorders>
              <w:top w:val="single" w:color="000000" w:sz="4" w:space="0"/>
              <w:left w:val="single" w:color="000000" w:sz="4" w:space="0"/>
              <w:bottom w:val="single" w:color="000000" w:sz="4" w:space="0"/>
              <w:right w:val="single" w:color="000000" w:sz="4" w:space="0"/>
            </w:tcBorders>
            <w:shd w:val="clear" w:color="auto" w:fill="A6A6A6"/>
            <w:noWrap/>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农户自缴比例</w:t>
            </w:r>
          </w:p>
        </w:tc>
      </w:tr>
      <w:tr>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1</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蔬菜收入保险</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大白菜</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1100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69.3</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20%</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大葱</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2000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126</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胡萝卜</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2500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157.5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20%</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青萝卜</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1100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69.3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20%</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白萝卜</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1100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69.3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w:t>
            </w:r>
          </w:p>
        </w:tc>
        <w:tc>
          <w:tcPr>
            <w:tcW w:w="0" w:type="auto"/>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蜜蜂气象指数保险</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600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37.8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20%</w:t>
            </w:r>
          </w:p>
        </w:tc>
      </w:tr>
      <w:tr>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3</w:t>
            </w:r>
          </w:p>
        </w:tc>
        <w:tc>
          <w:tcPr>
            <w:tcW w:w="0" w:type="auto"/>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大白菜收入保险</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2500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spacing w:line="20" w:lineRule="atLeas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4</w:t>
            </w:r>
          </w:p>
        </w:tc>
        <w:tc>
          <w:tcPr>
            <w:tcW w:w="0" w:type="auto"/>
            <w:gridSpan w:val="2"/>
            <w:tcBorders>
              <w:top w:val="single" w:color="000000" w:sz="4" w:space="0"/>
              <w:left w:val="single" w:color="000000" w:sz="4" w:space="0"/>
              <w:bottom w:val="single" w:color="000000" w:sz="4" w:space="0"/>
              <w:right w:val="single" w:color="000000" w:sz="4" w:space="0"/>
            </w:tcBorders>
            <w:vAlign w:val="center"/>
          </w:tcPr>
          <w:p>
            <w:pPr>
              <w:widowControl/>
              <w:spacing w:line="20" w:lineRule="atLeas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萝卜种植天气综合指数保险</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spacing w:line="20" w:lineRule="atLeas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3000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spacing w:line="20" w:lineRule="atLeas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300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spacing w:line="20" w:lineRule="atLeas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20%</w:t>
            </w:r>
          </w:p>
        </w:tc>
      </w:tr>
    </w:tbl>
    <w:p>
      <w:pPr>
        <w:spacing w:line="20" w:lineRule="atLeast"/>
        <w:ind w:firstLine="422" w:firstLineChars="200"/>
        <w:rPr>
          <w:rFonts w:hint="eastAsia" w:ascii="仿宋_GB2312" w:hAnsi="宋体"/>
          <w:b/>
          <w:sz w:val="21"/>
          <w:szCs w:val="21"/>
        </w:rPr>
      </w:pPr>
      <w:r>
        <w:rPr>
          <w:rFonts w:hint="eastAsia" w:ascii="仿宋_GB2312" w:hAnsi="宋体"/>
          <w:b/>
          <w:sz w:val="21"/>
          <w:szCs w:val="21"/>
        </w:rPr>
        <w:t>注：政策性农业保险涉及农村低收入群体的自负保费由区（市）财政负担。</w:t>
      </w:r>
    </w:p>
    <w:p>
      <w:pPr>
        <w:spacing w:line="560" w:lineRule="exact"/>
        <w:ind w:firstLine="560" w:firstLineChars="200"/>
        <w:outlineLvl w:val="1"/>
        <w:rPr>
          <w:rFonts w:hint="eastAsia" w:ascii="仿宋_GB2312" w:hAnsi="仿宋_GB2312" w:cs="仿宋_GB2312"/>
          <w:sz w:val="28"/>
          <w:szCs w:val="28"/>
        </w:rPr>
      </w:pPr>
      <w:bookmarkStart w:id="4" w:name="_Toc232065279"/>
      <w:r>
        <w:rPr>
          <w:rFonts w:hint="eastAsia" w:ascii="仿宋_GB2312" w:hAnsi="仿宋_GB2312" w:cs="仿宋_GB2312"/>
          <w:sz w:val="28"/>
          <w:szCs w:val="28"/>
        </w:rPr>
        <w:t>（二）项目绩效目标</w:t>
      </w:r>
      <w:bookmarkEnd w:id="4"/>
    </w:p>
    <w:p>
      <w:pPr>
        <w:spacing w:line="560" w:lineRule="exact"/>
        <w:ind w:firstLine="560" w:firstLineChars="200"/>
        <w:rPr>
          <w:rFonts w:hint="eastAsia" w:ascii="仿宋_GB2312" w:hAnsi="仿宋_GB2312" w:cs="仿宋_GB2312"/>
          <w:bCs/>
          <w:sz w:val="28"/>
          <w:szCs w:val="28"/>
        </w:rPr>
      </w:pPr>
      <w:r>
        <w:rPr>
          <w:rFonts w:hint="eastAsia" w:ascii="仿宋_GB2312" w:hAnsi="仿宋_GB2312" w:cs="仿宋_GB2312"/>
          <w:bCs/>
          <w:sz w:val="28"/>
          <w:szCs w:val="28"/>
        </w:rPr>
        <w:t>1.工作目标</w:t>
      </w:r>
    </w:p>
    <w:p>
      <w:pPr>
        <w:spacing w:line="560" w:lineRule="exact"/>
        <w:ind w:firstLine="560" w:firstLineChars="200"/>
        <w:rPr>
          <w:rFonts w:hint="eastAsia" w:ascii="仿宋_GB2312" w:hAnsi="仿宋_GB2312" w:cs="仿宋_GB2312"/>
          <w:sz w:val="28"/>
          <w:szCs w:val="28"/>
        </w:rPr>
      </w:pPr>
      <w:r>
        <w:rPr>
          <w:rFonts w:hint="eastAsia" w:ascii="仿宋_GB2312" w:hAnsi="仿宋_GB2312" w:cs="仿宋_GB2312"/>
          <w:bCs/>
          <w:sz w:val="28"/>
          <w:szCs w:val="28"/>
        </w:rPr>
        <w:t>为引导和支持农户参加农业保险，中央财政主要保障关系国计民生和粮食安全的大宗农产品，重点支持农业生产环节；不断扩大农业保险覆盖面和风险保障水平，逐步建立市场化的农业生产风险防范化解机制；稳定农业生产，保障农民收入。</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2.具体指标</w:t>
      </w:r>
    </w:p>
    <w:tbl>
      <w:tblPr>
        <w:tblStyle w:val="15"/>
        <w:tblW w:w="4997" w:type="pct"/>
        <w:jc w:val="center"/>
        <w:tblLayout w:type="autofit"/>
        <w:tblCellMar>
          <w:top w:w="0" w:type="dxa"/>
          <w:left w:w="108" w:type="dxa"/>
          <w:bottom w:w="0" w:type="dxa"/>
          <w:right w:w="108" w:type="dxa"/>
        </w:tblCellMar>
      </w:tblPr>
      <w:tblGrid>
        <w:gridCol w:w="673"/>
        <w:gridCol w:w="1277"/>
        <w:gridCol w:w="1132"/>
        <w:gridCol w:w="708"/>
        <w:gridCol w:w="5265"/>
      </w:tblGrid>
      <w:tr>
        <w:tblPrEx>
          <w:tblCellMar>
            <w:top w:w="0" w:type="dxa"/>
            <w:left w:w="108" w:type="dxa"/>
            <w:bottom w:w="0" w:type="dxa"/>
            <w:right w:w="108" w:type="dxa"/>
          </w:tblCellMar>
        </w:tblPrEx>
        <w:trPr>
          <w:tblHeader/>
          <w:jc w:val="center"/>
        </w:trPr>
        <w:tc>
          <w:tcPr>
            <w:tcW w:w="372" w:type="pct"/>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序号</w:t>
            </w:r>
          </w:p>
        </w:tc>
        <w:tc>
          <w:tcPr>
            <w:tcW w:w="705" w:type="pct"/>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一级指标</w:t>
            </w:r>
          </w:p>
        </w:tc>
        <w:tc>
          <w:tcPr>
            <w:tcW w:w="625" w:type="pct"/>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二级指标</w:t>
            </w:r>
          </w:p>
        </w:tc>
        <w:tc>
          <w:tcPr>
            <w:tcW w:w="391" w:type="pct"/>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分值</w:t>
            </w:r>
          </w:p>
        </w:tc>
        <w:tc>
          <w:tcPr>
            <w:tcW w:w="2907" w:type="pct"/>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评价内容</w:t>
            </w:r>
          </w:p>
        </w:tc>
      </w:tr>
      <w:tr>
        <w:tblPrEx>
          <w:tblCellMar>
            <w:top w:w="0" w:type="dxa"/>
            <w:left w:w="108" w:type="dxa"/>
            <w:bottom w:w="0" w:type="dxa"/>
            <w:right w:w="108" w:type="dxa"/>
          </w:tblCellMar>
        </w:tblPrEx>
        <w:trPr>
          <w:jc w:val="center"/>
        </w:trPr>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w:t>
            </w:r>
          </w:p>
        </w:tc>
        <w:tc>
          <w:tcPr>
            <w:tcW w:w="705"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业务管理</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（20）</w:t>
            </w:r>
          </w:p>
        </w:tc>
        <w:tc>
          <w:tcPr>
            <w:tcW w:w="6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制度建设</w:t>
            </w:r>
          </w:p>
        </w:tc>
        <w:tc>
          <w:tcPr>
            <w:tcW w:w="39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290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建立科学规范、合理完善的农业保险制度体系，包括：业务管理制度、费用管理制度、其他管理制度三方面。</w:t>
            </w:r>
          </w:p>
        </w:tc>
      </w:tr>
      <w:tr>
        <w:tblPrEx>
          <w:tblCellMar>
            <w:top w:w="0" w:type="dxa"/>
            <w:left w:w="108" w:type="dxa"/>
            <w:bottom w:w="0" w:type="dxa"/>
            <w:right w:w="108" w:type="dxa"/>
          </w:tblCellMar>
        </w:tblPrEx>
        <w:trPr>
          <w:jc w:val="center"/>
        </w:trPr>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2</w:t>
            </w:r>
          </w:p>
        </w:tc>
        <w:tc>
          <w:tcPr>
            <w:tcW w:w="705"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6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内控管理</w:t>
            </w:r>
          </w:p>
        </w:tc>
        <w:tc>
          <w:tcPr>
            <w:tcW w:w="39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290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具备完善的内控管理体系，每年对下辖三分之一以上的区市级经办机构开展检查，组织保险业务及管理人员合规培训不少于2次。</w:t>
            </w:r>
          </w:p>
        </w:tc>
      </w:tr>
      <w:tr>
        <w:trPr>
          <w:jc w:val="center"/>
        </w:trPr>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3</w:t>
            </w:r>
          </w:p>
        </w:tc>
        <w:tc>
          <w:tcPr>
            <w:tcW w:w="705"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6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组织架构</w:t>
            </w:r>
          </w:p>
        </w:tc>
        <w:tc>
          <w:tcPr>
            <w:tcW w:w="39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290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承保机构市级分公司有专门的农业保险管理部门，并配备5名以上农业、保险等相关专业人员。具有独立完善的农业保险信息系统，并与青岛市农业保险监管平台对接通畅。</w:t>
            </w:r>
          </w:p>
        </w:tc>
      </w:tr>
      <w:tr>
        <w:tblPrEx>
          <w:tblCellMar>
            <w:top w:w="0" w:type="dxa"/>
            <w:left w:w="108" w:type="dxa"/>
            <w:bottom w:w="0" w:type="dxa"/>
            <w:right w:w="108" w:type="dxa"/>
          </w:tblCellMar>
        </w:tblPrEx>
        <w:trPr>
          <w:jc w:val="center"/>
        </w:trPr>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4</w:t>
            </w:r>
          </w:p>
        </w:tc>
        <w:tc>
          <w:tcPr>
            <w:tcW w:w="705"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6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会计核算</w:t>
            </w:r>
          </w:p>
        </w:tc>
        <w:tc>
          <w:tcPr>
            <w:tcW w:w="39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290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承保机构保险费用收支等财务管理制度执行是否规范；会计核算是否做到单独建账、分险种核算。</w:t>
            </w:r>
          </w:p>
        </w:tc>
      </w:tr>
      <w:tr>
        <w:tblPrEx>
          <w:tblCellMar>
            <w:top w:w="0" w:type="dxa"/>
            <w:left w:w="108" w:type="dxa"/>
            <w:bottom w:w="0" w:type="dxa"/>
            <w:right w:w="108" w:type="dxa"/>
          </w:tblCellMar>
        </w:tblPrEx>
        <w:trPr>
          <w:jc w:val="center"/>
        </w:trPr>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5</w:t>
            </w:r>
          </w:p>
        </w:tc>
        <w:tc>
          <w:tcPr>
            <w:tcW w:w="705"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6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承保部署</w:t>
            </w:r>
          </w:p>
        </w:tc>
        <w:tc>
          <w:tcPr>
            <w:tcW w:w="39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290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1.承保工作安排科学合理，年初拟定详细的承保方案。2.每年召开乡、村两级专（兼）职人员业务布置会议。</w:t>
            </w:r>
          </w:p>
        </w:tc>
      </w:tr>
      <w:tr>
        <w:tblPrEx>
          <w:tblCellMar>
            <w:top w:w="0" w:type="dxa"/>
            <w:left w:w="108" w:type="dxa"/>
            <w:bottom w:w="0" w:type="dxa"/>
            <w:right w:w="108" w:type="dxa"/>
          </w:tblCellMar>
        </w:tblPrEx>
        <w:trPr>
          <w:jc w:val="center"/>
        </w:trPr>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6</w:t>
            </w:r>
          </w:p>
        </w:tc>
        <w:tc>
          <w:tcPr>
            <w:tcW w:w="705"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服务水平</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（47）</w:t>
            </w:r>
          </w:p>
        </w:tc>
        <w:tc>
          <w:tcPr>
            <w:tcW w:w="6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赔付率</w:t>
            </w:r>
          </w:p>
        </w:tc>
        <w:tc>
          <w:tcPr>
            <w:tcW w:w="39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290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承保机构不得惜赔，做到应赔尽赔。</w:t>
            </w:r>
          </w:p>
        </w:tc>
      </w:tr>
      <w:tr>
        <w:trPr>
          <w:jc w:val="center"/>
        </w:trPr>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7</w:t>
            </w:r>
          </w:p>
        </w:tc>
        <w:tc>
          <w:tcPr>
            <w:tcW w:w="705"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6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承保任务</w:t>
            </w:r>
          </w:p>
        </w:tc>
        <w:tc>
          <w:tcPr>
            <w:tcW w:w="39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290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承保机构按照财政部门和业务主管部门下达的品种、规模进行承保，按时按量完成承保工作。</w:t>
            </w:r>
          </w:p>
        </w:tc>
      </w:tr>
      <w:tr>
        <w:tblPrEx>
          <w:tblCellMar>
            <w:top w:w="0" w:type="dxa"/>
            <w:left w:w="108" w:type="dxa"/>
            <w:bottom w:w="0" w:type="dxa"/>
            <w:right w:w="108" w:type="dxa"/>
          </w:tblCellMar>
        </w:tblPrEx>
        <w:trPr>
          <w:jc w:val="center"/>
        </w:trPr>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8</w:t>
            </w:r>
          </w:p>
        </w:tc>
        <w:tc>
          <w:tcPr>
            <w:tcW w:w="705"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6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理赔规范</w:t>
            </w:r>
          </w:p>
        </w:tc>
        <w:tc>
          <w:tcPr>
            <w:tcW w:w="39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290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承保机构按照保险监管部门有关规定，规范开展查勘、定损、理赔等工作。</w:t>
            </w:r>
          </w:p>
        </w:tc>
      </w:tr>
      <w:tr>
        <w:tblPrEx>
          <w:tblCellMar>
            <w:top w:w="0" w:type="dxa"/>
            <w:left w:w="108" w:type="dxa"/>
            <w:bottom w:w="0" w:type="dxa"/>
            <w:right w:w="108" w:type="dxa"/>
          </w:tblCellMar>
        </w:tblPrEx>
        <w:trPr>
          <w:jc w:val="center"/>
        </w:trPr>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9</w:t>
            </w:r>
          </w:p>
        </w:tc>
        <w:tc>
          <w:tcPr>
            <w:tcW w:w="705"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6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理赔时效</w:t>
            </w:r>
          </w:p>
        </w:tc>
        <w:tc>
          <w:tcPr>
            <w:tcW w:w="39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8</w:t>
            </w:r>
          </w:p>
        </w:tc>
        <w:tc>
          <w:tcPr>
            <w:tcW w:w="290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承保机构着力提升理赔质量和效率，切实提升农民获得感。</w:t>
            </w:r>
          </w:p>
        </w:tc>
      </w:tr>
      <w:tr>
        <w:tblPrEx>
          <w:tblCellMar>
            <w:top w:w="0" w:type="dxa"/>
            <w:left w:w="108" w:type="dxa"/>
            <w:bottom w:w="0" w:type="dxa"/>
            <w:right w:w="108" w:type="dxa"/>
          </w:tblCellMar>
        </w:tblPrEx>
        <w:trPr>
          <w:jc w:val="center"/>
        </w:trPr>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10</w:t>
            </w:r>
          </w:p>
        </w:tc>
        <w:tc>
          <w:tcPr>
            <w:tcW w:w="705"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6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减少灾害损失</w:t>
            </w:r>
          </w:p>
        </w:tc>
        <w:tc>
          <w:tcPr>
            <w:tcW w:w="39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290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抽取一定数量不同受灾程度农户为样本，以样本农户保险赔款与成本损失之比，反映受灾农户成本损失补偿情况。损失补偿率=农户保险赔款金额/生产成本损失*100%。</w:t>
            </w:r>
          </w:p>
        </w:tc>
      </w:tr>
      <w:tr>
        <w:trPr>
          <w:jc w:val="center"/>
        </w:trPr>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11</w:t>
            </w:r>
          </w:p>
        </w:tc>
        <w:tc>
          <w:tcPr>
            <w:tcW w:w="705"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6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农户受益度</w:t>
            </w:r>
          </w:p>
        </w:tc>
        <w:tc>
          <w:tcPr>
            <w:tcW w:w="39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290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试点地区农业保险保费补贴使农户受益的程度。</w:t>
            </w:r>
          </w:p>
        </w:tc>
      </w:tr>
      <w:tr>
        <w:tblPrEx>
          <w:tblCellMar>
            <w:top w:w="0" w:type="dxa"/>
            <w:left w:w="108" w:type="dxa"/>
            <w:bottom w:w="0" w:type="dxa"/>
            <w:right w:w="108" w:type="dxa"/>
          </w:tblCellMar>
        </w:tblPrEx>
        <w:trPr>
          <w:jc w:val="center"/>
        </w:trPr>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12</w:t>
            </w:r>
          </w:p>
        </w:tc>
        <w:tc>
          <w:tcPr>
            <w:tcW w:w="705"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6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案件处理率</w:t>
            </w:r>
          </w:p>
        </w:tc>
        <w:tc>
          <w:tcPr>
            <w:tcW w:w="39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290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承保机构大力提高案件处理率，不得拖延处理时间。</w:t>
            </w:r>
          </w:p>
        </w:tc>
      </w:tr>
      <w:tr>
        <w:tblPrEx>
          <w:tblCellMar>
            <w:top w:w="0" w:type="dxa"/>
            <w:left w:w="108" w:type="dxa"/>
            <w:bottom w:w="0" w:type="dxa"/>
            <w:right w:w="108" w:type="dxa"/>
          </w:tblCellMar>
        </w:tblPrEx>
        <w:trPr>
          <w:jc w:val="center"/>
        </w:trPr>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13</w:t>
            </w:r>
          </w:p>
        </w:tc>
        <w:tc>
          <w:tcPr>
            <w:tcW w:w="705"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6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综合费用率</w:t>
            </w:r>
          </w:p>
        </w:tc>
        <w:tc>
          <w:tcPr>
            <w:tcW w:w="39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290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承保机构切实加强成本管理，提升业务效率。</w:t>
            </w:r>
          </w:p>
        </w:tc>
      </w:tr>
      <w:tr>
        <w:tblPrEx>
          <w:tblCellMar>
            <w:top w:w="0" w:type="dxa"/>
            <w:left w:w="108" w:type="dxa"/>
            <w:bottom w:w="0" w:type="dxa"/>
            <w:right w:w="108" w:type="dxa"/>
          </w:tblCellMar>
        </w:tblPrEx>
        <w:trPr>
          <w:jc w:val="center"/>
        </w:trPr>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14</w:t>
            </w:r>
          </w:p>
        </w:tc>
        <w:tc>
          <w:tcPr>
            <w:tcW w:w="705"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保单管理</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（18分）</w:t>
            </w:r>
          </w:p>
        </w:tc>
        <w:tc>
          <w:tcPr>
            <w:tcW w:w="6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规范展业承保</w:t>
            </w:r>
          </w:p>
        </w:tc>
        <w:tc>
          <w:tcPr>
            <w:tcW w:w="39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290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承保机构是否执行“见费出单”制度，是否做到先收费、后出单。</w:t>
            </w:r>
          </w:p>
        </w:tc>
      </w:tr>
      <w:tr>
        <w:trPr>
          <w:jc w:val="center"/>
        </w:trPr>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15</w:t>
            </w:r>
          </w:p>
        </w:tc>
        <w:tc>
          <w:tcPr>
            <w:tcW w:w="705"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6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信息公示</w:t>
            </w:r>
          </w:p>
        </w:tc>
        <w:tc>
          <w:tcPr>
            <w:tcW w:w="39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290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承保情况与理赔结果公示。</w:t>
            </w:r>
          </w:p>
        </w:tc>
      </w:tr>
      <w:tr>
        <w:tblPrEx>
          <w:tblCellMar>
            <w:top w:w="0" w:type="dxa"/>
            <w:left w:w="108" w:type="dxa"/>
            <w:bottom w:w="0" w:type="dxa"/>
            <w:right w:w="108" w:type="dxa"/>
          </w:tblCellMar>
        </w:tblPrEx>
        <w:trPr>
          <w:jc w:val="center"/>
        </w:trPr>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16</w:t>
            </w:r>
          </w:p>
        </w:tc>
        <w:tc>
          <w:tcPr>
            <w:tcW w:w="705"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6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保单完整、准确性</w:t>
            </w:r>
          </w:p>
        </w:tc>
        <w:tc>
          <w:tcPr>
            <w:tcW w:w="39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290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承保机构规范管理保单档案，准确填写投保信息、费率等信息。</w:t>
            </w:r>
          </w:p>
        </w:tc>
      </w:tr>
      <w:tr>
        <w:tblPrEx>
          <w:tblCellMar>
            <w:top w:w="0" w:type="dxa"/>
            <w:left w:w="108" w:type="dxa"/>
            <w:bottom w:w="0" w:type="dxa"/>
            <w:right w:w="108" w:type="dxa"/>
          </w:tblCellMar>
        </w:tblPrEx>
        <w:trPr>
          <w:jc w:val="center"/>
        </w:trPr>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17</w:t>
            </w:r>
          </w:p>
        </w:tc>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风险管控</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（5）</w:t>
            </w:r>
          </w:p>
        </w:tc>
        <w:tc>
          <w:tcPr>
            <w:tcW w:w="6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风险管理</w:t>
            </w:r>
          </w:p>
        </w:tc>
        <w:tc>
          <w:tcPr>
            <w:tcW w:w="39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290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通过购买再保险等方式适当分担风险，按规定提取、缴存和使用大灾风险准备金。</w:t>
            </w:r>
          </w:p>
        </w:tc>
      </w:tr>
      <w:tr>
        <w:tblPrEx>
          <w:tblCellMar>
            <w:top w:w="0" w:type="dxa"/>
            <w:left w:w="108" w:type="dxa"/>
            <w:bottom w:w="0" w:type="dxa"/>
            <w:right w:w="108" w:type="dxa"/>
          </w:tblCellMar>
        </w:tblPrEx>
        <w:trPr>
          <w:jc w:val="center"/>
        </w:trPr>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18</w:t>
            </w:r>
          </w:p>
        </w:tc>
        <w:tc>
          <w:tcPr>
            <w:tcW w:w="705"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满意度</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（10）</w:t>
            </w:r>
          </w:p>
        </w:tc>
        <w:tc>
          <w:tcPr>
            <w:tcW w:w="6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政策知晓率</w:t>
            </w:r>
          </w:p>
        </w:tc>
        <w:tc>
          <w:tcPr>
            <w:tcW w:w="39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290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随机抽取一定比例农户，调查其对农业保险政策的知晓度。</w:t>
            </w:r>
          </w:p>
        </w:tc>
      </w:tr>
      <w:tr>
        <w:trPr>
          <w:jc w:val="center"/>
        </w:trPr>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19</w:t>
            </w:r>
          </w:p>
        </w:tc>
        <w:tc>
          <w:tcPr>
            <w:tcW w:w="705"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6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满意率</w:t>
            </w:r>
          </w:p>
        </w:tc>
        <w:tc>
          <w:tcPr>
            <w:tcW w:w="39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290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随机抽取一定比例农户，调查其对农业保险服务是否满意。</w:t>
            </w:r>
          </w:p>
        </w:tc>
      </w:tr>
      <w:tr>
        <w:tblPrEx>
          <w:tblCellMar>
            <w:top w:w="0" w:type="dxa"/>
            <w:left w:w="108" w:type="dxa"/>
            <w:bottom w:w="0" w:type="dxa"/>
            <w:right w:w="108" w:type="dxa"/>
          </w:tblCellMar>
        </w:tblPrEx>
        <w:trPr>
          <w:jc w:val="center"/>
        </w:trPr>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20</w:t>
            </w:r>
          </w:p>
        </w:tc>
        <w:tc>
          <w:tcPr>
            <w:tcW w:w="705"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加减分</w:t>
            </w:r>
          </w:p>
        </w:tc>
        <w:tc>
          <w:tcPr>
            <w:tcW w:w="6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加分项</w:t>
            </w:r>
          </w:p>
        </w:tc>
        <w:tc>
          <w:tcPr>
            <w:tcW w:w="39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w:t>
            </w:r>
          </w:p>
        </w:tc>
        <w:tc>
          <w:tcPr>
            <w:tcW w:w="290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在青岛开展的农业保险获得市级及以上奖励或表彰；入选典型案例等情况的。</w:t>
            </w:r>
          </w:p>
        </w:tc>
      </w:tr>
      <w:tr>
        <w:tblPrEx>
          <w:tblCellMar>
            <w:top w:w="0" w:type="dxa"/>
            <w:left w:w="108" w:type="dxa"/>
            <w:bottom w:w="0" w:type="dxa"/>
            <w:right w:w="108" w:type="dxa"/>
          </w:tblCellMar>
        </w:tblPrEx>
        <w:trPr>
          <w:jc w:val="center"/>
        </w:trPr>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21</w:t>
            </w:r>
          </w:p>
        </w:tc>
        <w:tc>
          <w:tcPr>
            <w:tcW w:w="705"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6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减分项</w:t>
            </w:r>
          </w:p>
        </w:tc>
        <w:tc>
          <w:tcPr>
            <w:tcW w:w="39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w:t>
            </w:r>
          </w:p>
        </w:tc>
        <w:tc>
          <w:tcPr>
            <w:tcW w:w="290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出现审计问题；发生农户投诉、信访事件、负面舆情；受到保险监管部门行政处罚等情况的。</w:t>
            </w:r>
          </w:p>
        </w:tc>
      </w:tr>
    </w:tbl>
    <w:p>
      <w:pPr>
        <w:spacing w:line="560" w:lineRule="exact"/>
        <w:ind w:firstLine="560" w:firstLineChars="200"/>
        <w:outlineLvl w:val="0"/>
        <w:rPr>
          <w:rFonts w:hint="eastAsia" w:ascii="黑体" w:hAnsi="黑体" w:eastAsia="黑体"/>
          <w:sz w:val="28"/>
          <w:szCs w:val="28"/>
        </w:rPr>
      </w:pPr>
      <w:bookmarkStart w:id="5" w:name="_Toc232065280"/>
      <w:r>
        <w:rPr>
          <w:rFonts w:hint="eastAsia" w:ascii="黑体" w:hAnsi="黑体" w:eastAsia="黑体"/>
          <w:sz w:val="28"/>
          <w:szCs w:val="28"/>
        </w:rPr>
        <w:t>二、绩效评价工作开展情况</w:t>
      </w:r>
      <w:bookmarkEnd w:id="5"/>
    </w:p>
    <w:p>
      <w:pPr>
        <w:spacing w:line="560" w:lineRule="exact"/>
        <w:ind w:firstLine="560" w:firstLineChars="200"/>
        <w:outlineLvl w:val="1"/>
        <w:rPr>
          <w:rFonts w:ascii="楷体_GB2312" w:eastAsia="楷体_GB2312"/>
          <w:sz w:val="28"/>
          <w:szCs w:val="28"/>
        </w:rPr>
      </w:pPr>
      <w:bookmarkStart w:id="6" w:name="_Toc232065281"/>
      <w:r>
        <w:rPr>
          <w:rFonts w:hint="eastAsia" w:ascii="楷体_GB2312" w:eastAsia="楷体_GB2312"/>
          <w:sz w:val="28"/>
          <w:szCs w:val="28"/>
        </w:rPr>
        <w:t>（一）绩效评价目的、对象和范围</w:t>
      </w:r>
      <w:bookmarkEnd w:id="6"/>
    </w:p>
    <w:p>
      <w:pPr>
        <w:spacing w:line="560" w:lineRule="exact"/>
        <w:ind w:firstLine="560" w:firstLineChars="200"/>
        <w:rPr>
          <w:rFonts w:ascii="仿宋_GB2312"/>
          <w:sz w:val="28"/>
          <w:szCs w:val="28"/>
        </w:rPr>
      </w:pPr>
      <w:bookmarkStart w:id="7" w:name="_Toc16454"/>
      <w:r>
        <w:rPr>
          <w:rFonts w:hint="eastAsia" w:ascii="仿宋_GB2312"/>
          <w:sz w:val="28"/>
          <w:szCs w:val="28"/>
        </w:rPr>
        <w:t>通过对承保机构进行客观、公正的评价，总结</w:t>
      </w:r>
      <w:bookmarkStart w:id="8" w:name="_Hlk108452051"/>
      <w:r>
        <w:rPr>
          <w:rFonts w:hint="eastAsia" w:ascii="仿宋_GB2312"/>
          <w:sz w:val="28"/>
          <w:szCs w:val="28"/>
        </w:rPr>
        <w:t>政策性农业保险</w:t>
      </w:r>
      <w:bookmarkEnd w:id="8"/>
      <w:r>
        <w:rPr>
          <w:rFonts w:hint="eastAsia" w:ascii="仿宋_GB2312"/>
          <w:sz w:val="28"/>
          <w:szCs w:val="28"/>
        </w:rPr>
        <w:t>业务承办过程中的经验，发现问题，提出具体改进建议，进一步加强承保机构管理，提高专项资金使用效益。</w:t>
      </w:r>
      <w:bookmarkEnd w:id="7"/>
    </w:p>
    <w:p>
      <w:pPr>
        <w:spacing w:line="560" w:lineRule="exact"/>
        <w:ind w:firstLine="560" w:firstLineChars="200"/>
        <w:rPr>
          <w:rFonts w:ascii="仿宋_GB2312"/>
          <w:sz w:val="28"/>
          <w:szCs w:val="28"/>
        </w:rPr>
      </w:pPr>
      <w:bookmarkStart w:id="9" w:name="_Toc6984"/>
      <w:r>
        <w:rPr>
          <w:rFonts w:hint="eastAsia" w:ascii="仿宋_GB2312"/>
          <w:sz w:val="28"/>
          <w:szCs w:val="28"/>
        </w:rPr>
        <w:t>本次绩效评价对象为通过政府采购方式确定的青岛市政策性农业保险承保机构，</w:t>
      </w:r>
      <w:bookmarkEnd w:id="9"/>
      <w:bookmarkStart w:id="10" w:name="_Toc6979"/>
      <w:r>
        <w:rPr>
          <w:rFonts w:hint="eastAsia" w:ascii="仿宋_GB2312"/>
          <w:sz w:val="28"/>
          <w:szCs w:val="28"/>
        </w:rPr>
        <w:t>本次绩效评价期间为2025年1月1日至2025年12月31日。</w:t>
      </w:r>
      <w:bookmarkEnd w:id="10"/>
    </w:p>
    <w:p>
      <w:pPr>
        <w:spacing w:line="560" w:lineRule="exact"/>
        <w:ind w:firstLine="560" w:firstLineChars="200"/>
        <w:rPr>
          <w:rFonts w:ascii="仿宋_GB2312"/>
          <w:sz w:val="28"/>
          <w:szCs w:val="28"/>
        </w:rPr>
      </w:pPr>
      <w:bookmarkStart w:id="11" w:name="_Toc18687"/>
      <w:r>
        <w:rPr>
          <w:rFonts w:hint="eastAsia" w:ascii="仿宋_GB2312"/>
          <w:sz w:val="28"/>
          <w:szCs w:val="28"/>
        </w:rPr>
        <w:t>本绩效评价报告为人寿财险单体绩效评价报告。</w:t>
      </w:r>
      <w:bookmarkEnd w:id="11"/>
    </w:p>
    <w:p>
      <w:pPr>
        <w:spacing w:line="560" w:lineRule="exact"/>
        <w:ind w:firstLine="560" w:firstLineChars="200"/>
        <w:outlineLvl w:val="1"/>
        <w:rPr>
          <w:rFonts w:ascii="楷体_GB2312" w:eastAsia="楷体_GB2312"/>
          <w:sz w:val="28"/>
          <w:szCs w:val="28"/>
        </w:rPr>
      </w:pPr>
      <w:bookmarkStart w:id="12" w:name="_Toc232065282"/>
      <w:r>
        <w:rPr>
          <w:rFonts w:hint="eastAsia" w:ascii="楷体_GB2312" w:eastAsia="楷体_GB2312"/>
          <w:sz w:val="28"/>
          <w:szCs w:val="28"/>
        </w:rPr>
        <w:t>（二）绩效评价原则、评价指标体系、评价方法、评价标准等</w:t>
      </w:r>
      <w:bookmarkEnd w:id="12"/>
    </w:p>
    <w:p>
      <w:pPr>
        <w:spacing w:line="560" w:lineRule="exact"/>
        <w:ind w:firstLine="560" w:firstLineChars="200"/>
        <w:rPr>
          <w:rFonts w:ascii="仿宋_GB2312"/>
          <w:sz w:val="28"/>
          <w:szCs w:val="28"/>
        </w:rPr>
      </w:pPr>
      <w:bookmarkStart w:id="13" w:name="_Toc22816"/>
      <w:r>
        <w:rPr>
          <w:rFonts w:hint="eastAsia" w:ascii="仿宋_GB2312"/>
          <w:sz w:val="28"/>
          <w:szCs w:val="28"/>
        </w:rPr>
        <w:t>1.绩效评价原则</w:t>
      </w:r>
      <w:bookmarkEnd w:id="13"/>
    </w:p>
    <w:p>
      <w:pPr>
        <w:spacing w:line="560" w:lineRule="exact"/>
        <w:ind w:firstLine="560" w:firstLineChars="200"/>
        <w:rPr>
          <w:rFonts w:ascii="仿宋_GB2312"/>
          <w:sz w:val="28"/>
          <w:szCs w:val="28"/>
        </w:rPr>
      </w:pPr>
      <w:bookmarkStart w:id="14" w:name="_Toc25266"/>
      <w:r>
        <w:rPr>
          <w:rFonts w:hint="eastAsia" w:ascii="仿宋_GB2312"/>
          <w:sz w:val="28"/>
          <w:szCs w:val="28"/>
        </w:rPr>
        <w:t>绩效评价原则通常包括：科学规范原则、绩效相关原则、政策相符原则、经济合理原则、依据充分原则、独立评价原则、保密原则等。</w:t>
      </w:r>
      <w:bookmarkEnd w:id="14"/>
    </w:p>
    <w:p>
      <w:pPr>
        <w:spacing w:line="560" w:lineRule="exact"/>
        <w:ind w:firstLine="560" w:firstLineChars="200"/>
        <w:rPr>
          <w:rFonts w:ascii="仿宋_GB2312"/>
          <w:sz w:val="28"/>
          <w:szCs w:val="28"/>
        </w:rPr>
      </w:pPr>
      <w:bookmarkStart w:id="15" w:name="_Toc6406"/>
      <w:r>
        <w:rPr>
          <w:rFonts w:hint="eastAsia" w:ascii="仿宋_GB2312"/>
          <w:sz w:val="28"/>
          <w:szCs w:val="28"/>
        </w:rPr>
        <w:t>2.评价指标体系</w:t>
      </w:r>
      <w:bookmarkEnd w:id="15"/>
    </w:p>
    <w:p>
      <w:pPr>
        <w:spacing w:line="560" w:lineRule="exact"/>
        <w:ind w:firstLine="560" w:firstLineChars="200"/>
        <w:rPr>
          <w:rFonts w:ascii="仿宋_GB2312"/>
          <w:sz w:val="28"/>
          <w:szCs w:val="28"/>
        </w:rPr>
      </w:pPr>
      <w:bookmarkStart w:id="16" w:name="_Toc30174"/>
      <w:r>
        <w:rPr>
          <w:rFonts w:hint="eastAsia" w:ascii="仿宋_GB2312"/>
          <w:sz w:val="28"/>
          <w:szCs w:val="28"/>
        </w:rPr>
        <w:t>为客观公正地反映本项目实施的绩效，评价指标体系是根据《中央财政农业保险保费补贴管理办法》</w:t>
      </w:r>
      <w:r>
        <w:rPr>
          <w:rFonts w:hint="eastAsia" w:ascii="仿宋_GB2312"/>
          <w:color w:val="000000"/>
          <w:sz w:val="28"/>
          <w:szCs w:val="28"/>
        </w:rPr>
        <w:t>（</w:t>
      </w:r>
      <w:r>
        <w:rPr>
          <w:rFonts w:hint="eastAsia" w:ascii="仿宋_GB2312"/>
          <w:sz w:val="28"/>
          <w:szCs w:val="28"/>
        </w:rPr>
        <w:t>财金〔2021〕130号)、《山东省财政厅等7部门关于印发山东省政策性农业保险承保机构绩效评价办法的通知》（鲁财金〔2022〕24号）、《青岛市政策性农业保险保费补贴资金管理实施细则》（青财规〔2022〕1号）等相关规定制定的，结合本项目的特点和实际情况对承保机构进行评价。指标体系由一级至三级指标及分值、评价内容、评价标准3个部分组成。</w:t>
      </w:r>
      <w:bookmarkEnd w:id="16"/>
    </w:p>
    <w:p>
      <w:pPr>
        <w:spacing w:line="560" w:lineRule="exact"/>
        <w:ind w:firstLine="560" w:firstLineChars="200"/>
        <w:rPr>
          <w:rFonts w:ascii="仿宋_GB2312"/>
          <w:sz w:val="28"/>
          <w:szCs w:val="28"/>
        </w:rPr>
      </w:pPr>
      <w:bookmarkStart w:id="17" w:name="_Toc13580"/>
      <w:r>
        <w:rPr>
          <w:rFonts w:hint="eastAsia" w:ascii="仿宋_GB2312"/>
          <w:sz w:val="28"/>
          <w:szCs w:val="28"/>
        </w:rPr>
        <w:t>本次绩效评价结果分为5个等级：</w:t>
      </w:r>
      <w:bookmarkEnd w:id="17"/>
    </w:p>
    <w:p>
      <w:pPr>
        <w:spacing w:line="560" w:lineRule="exact"/>
        <w:ind w:firstLine="560" w:firstLineChars="200"/>
        <w:rPr>
          <w:rFonts w:ascii="仿宋_GB2312"/>
          <w:sz w:val="28"/>
          <w:szCs w:val="28"/>
        </w:rPr>
      </w:pPr>
      <w:bookmarkStart w:id="18" w:name="_Toc14034"/>
      <w:r>
        <w:rPr>
          <w:rFonts w:hint="eastAsia" w:ascii="仿宋_GB2312"/>
          <w:sz w:val="28"/>
          <w:szCs w:val="28"/>
        </w:rPr>
        <w:t>得分在90分（含）以上为“优秀”；</w:t>
      </w:r>
      <w:bookmarkEnd w:id="18"/>
    </w:p>
    <w:p>
      <w:pPr>
        <w:spacing w:line="560" w:lineRule="exact"/>
        <w:ind w:firstLine="560" w:firstLineChars="200"/>
        <w:rPr>
          <w:rFonts w:ascii="仿宋_GB2312"/>
          <w:sz w:val="28"/>
          <w:szCs w:val="28"/>
        </w:rPr>
      </w:pPr>
      <w:bookmarkStart w:id="19" w:name="_Toc29247"/>
      <w:r>
        <w:rPr>
          <w:rFonts w:hint="eastAsia" w:ascii="仿宋_GB2312"/>
          <w:sz w:val="28"/>
          <w:szCs w:val="28"/>
        </w:rPr>
        <w:t>得分在80分（含）以上不足90分为“良好”；</w:t>
      </w:r>
      <w:bookmarkEnd w:id="19"/>
    </w:p>
    <w:p>
      <w:pPr>
        <w:spacing w:line="560" w:lineRule="exact"/>
        <w:ind w:firstLine="560" w:firstLineChars="200"/>
        <w:rPr>
          <w:rFonts w:ascii="仿宋_GB2312"/>
          <w:sz w:val="28"/>
          <w:szCs w:val="28"/>
        </w:rPr>
      </w:pPr>
      <w:bookmarkStart w:id="20" w:name="_Toc16807"/>
      <w:r>
        <w:rPr>
          <w:rFonts w:hint="eastAsia" w:ascii="仿宋_GB2312"/>
          <w:sz w:val="28"/>
          <w:szCs w:val="28"/>
        </w:rPr>
        <w:t>得分在70分（含）以上不足80分为“合格”；</w:t>
      </w:r>
      <w:bookmarkEnd w:id="20"/>
    </w:p>
    <w:p>
      <w:pPr>
        <w:spacing w:line="560" w:lineRule="exact"/>
        <w:ind w:firstLine="560" w:firstLineChars="200"/>
        <w:rPr>
          <w:rFonts w:ascii="仿宋_GB2312"/>
          <w:sz w:val="28"/>
          <w:szCs w:val="28"/>
        </w:rPr>
      </w:pPr>
      <w:bookmarkStart w:id="21" w:name="_Toc17042"/>
      <w:r>
        <w:rPr>
          <w:rFonts w:hint="eastAsia" w:ascii="仿宋_GB2312"/>
          <w:sz w:val="28"/>
          <w:szCs w:val="28"/>
        </w:rPr>
        <w:t>得分在60分（含）以上不足70分为“基本合格”；</w:t>
      </w:r>
      <w:bookmarkEnd w:id="21"/>
    </w:p>
    <w:p>
      <w:pPr>
        <w:spacing w:line="560" w:lineRule="exact"/>
        <w:ind w:firstLine="560" w:firstLineChars="200"/>
        <w:rPr>
          <w:rFonts w:ascii="仿宋_GB2312"/>
          <w:sz w:val="28"/>
          <w:szCs w:val="28"/>
        </w:rPr>
      </w:pPr>
      <w:bookmarkStart w:id="22" w:name="_Toc21979"/>
      <w:r>
        <w:rPr>
          <w:rFonts w:hint="eastAsia" w:ascii="仿宋_GB2312"/>
          <w:sz w:val="28"/>
          <w:szCs w:val="28"/>
        </w:rPr>
        <w:t>得分在60分以下为“不合格”。</w:t>
      </w:r>
      <w:bookmarkEnd w:id="22"/>
    </w:p>
    <w:p>
      <w:pPr>
        <w:spacing w:line="560" w:lineRule="exact"/>
        <w:ind w:firstLine="560" w:firstLineChars="200"/>
        <w:rPr>
          <w:rFonts w:ascii="仿宋_GB2312"/>
          <w:sz w:val="28"/>
          <w:szCs w:val="28"/>
        </w:rPr>
      </w:pPr>
      <w:bookmarkStart w:id="23" w:name="_Toc28562"/>
      <w:r>
        <w:rPr>
          <w:rFonts w:hint="eastAsia" w:ascii="仿宋_GB2312"/>
          <w:sz w:val="28"/>
          <w:szCs w:val="28"/>
        </w:rPr>
        <w:t>3.评价方法</w:t>
      </w:r>
      <w:bookmarkEnd w:id="23"/>
    </w:p>
    <w:p>
      <w:pPr>
        <w:spacing w:line="560" w:lineRule="exact"/>
        <w:ind w:firstLine="560" w:firstLineChars="200"/>
        <w:rPr>
          <w:rFonts w:ascii="仿宋_GB2312"/>
          <w:sz w:val="28"/>
          <w:szCs w:val="28"/>
        </w:rPr>
      </w:pPr>
      <w:bookmarkStart w:id="24" w:name="_Toc9893"/>
      <w:r>
        <w:rPr>
          <w:rFonts w:hint="eastAsia" w:ascii="仿宋_GB2312"/>
          <w:sz w:val="28"/>
          <w:szCs w:val="28"/>
        </w:rPr>
        <w:t>评价方法是指用于获取、分析绩效数据，得出评价结论的各种分析、评估和评价的方法。通常包括专家咨询法、问卷调查法、实地核查法等。</w:t>
      </w:r>
      <w:bookmarkEnd w:id="24"/>
    </w:p>
    <w:p>
      <w:pPr>
        <w:spacing w:line="560" w:lineRule="exact"/>
        <w:ind w:firstLine="560" w:firstLineChars="200"/>
        <w:rPr>
          <w:rFonts w:ascii="仿宋_GB2312"/>
          <w:sz w:val="28"/>
          <w:szCs w:val="28"/>
        </w:rPr>
      </w:pPr>
      <w:bookmarkStart w:id="25" w:name="_Toc14327"/>
      <w:r>
        <w:rPr>
          <w:rFonts w:hint="eastAsia" w:ascii="仿宋_GB2312"/>
          <w:sz w:val="28"/>
          <w:szCs w:val="28"/>
        </w:rPr>
        <w:t>4.评价标准</w:t>
      </w:r>
      <w:bookmarkEnd w:id="25"/>
    </w:p>
    <w:p>
      <w:pPr>
        <w:spacing w:line="560" w:lineRule="exact"/>
        <w:ind w:firstLine="560" w:firstLineChars="200"/>
        <w:rPr>
          <w:rFonts w:ascii="仿宋_GB2312"/>
          <w:sz w:val="28"/>
          <w:szCs w:val="28"/>
        </w:rPr>
      </w:pPr>
      <w:bookmarkStart w:id="26" w:name="_Toc22225"/>
      <w:r>
        <w:rPr>
          <w:rFonts w:hint="eastAsia" w:ascii="仿宋_GB2312"/>
          <w:sz w:val="28"/>
          <w:szCs w:val="28"/>
        </w:rPr>
        <w:t>衡量评价指标完成程度的标尺，一般包括计划标准、行业标准、历史标准等。评价标准应清晰、准确，具有可操作性，不得采用模糊表述方式。否决性核心指标评价标准，应依据法律法规、行业规范和历史数据确定，强化约束性，加大赋分权重，充分发挥否决性核心指标作用。</w:t>
      </w:r>
      <w:bookmarkEnd w:id="26"/>
    </w:p>
    <w:p>
      <w:pPr>
        <w:spacing w:line="560" w:lineRule="exact"/>
        <w:ind w:firstLine="560" w:firstLineChars="200"/>
        <w:outlineLvl w:val="1"/>
        <w:rPr>
          <w:rFonts w:ascii="楷体_GB2312" w:eastAsia="楷体_GB2312"/>
          <w:sz w:val="28"/>
          <w:szCs w:val="28"/>
        </w:rPr>
      </w:pPr>
      <w:bookmarkStart w:id="27" w:name="_Toc232065283"/>
      <w:r>
        <w:rPr>
          <w:rFonts w:hint="eastAsia" w:ascii="楷体_GB2312" w:eastAsia="楷体_GB2312"/>
          <w:sz w:val="28"/>
          <w:szCs w:val="28"/>
        </w:rPr>
        <w:t>（三）绩效评价工作过程</w:t>
      </w:r>
      <w:bookmarkEnd w:id="27"/>
    </w:p>
    <w:p>
      <w:pPr>
        <w:spacing w:line="560" w:lineRule="exact"/>
        <w:ind w:firstLine="560" w:firstLineChars="200"/>
        <w:rPr>
          <w:rFonts w:ascii="仿宋_GB2312"/>
          <w:sz w:val="28"/>
          <w:szCs w:val="28"/>
        </w:rPr>
      </w:pPr>
      <w:bookmarkStart w:id="28" w:name="_Toc23823"/>
      <w:r>
        <w:rPr>
          <w:rFonts w:hint="eastAsia" w:ascii="仿宋_GB2312"/>
          <w:sz w:val="28"/>
          <w:szCs w:val="28"/>
        </w:rPr>
        <w:t>本次绩效评价工作时间为2026年3月1日至5月31日，工作过程分为评价准备、评价实施和形成报告三个阶段。具体情况如下：</w:t>
      </w:r>
      <w:bookmarkEnd w:id="28"/>
    </w:p>
    <w:p>
      <w:pPr>
        <w:spacing w:line="560" w:lineRule="exact"/>
        <w:ind w:firstLine="560" w:firstLineChars="200"/>
        <w:rPr>
          <w:rFonts w:ascii="仿宋_GB2312"/>
          <w:sz w:val="28"/>
          <w:szCs w:val="28"/>
        </w:rPr>
      </w:pPr>
      <w:bookmarkStart w:id="29" w:name="_Toc11526"/>
      <w:r>
        <w:rPr>
          <w:rFonts w:hint="eastAsia" w:ascii="仿宋_GB2312"/>
          <w:sz w:val="28"/>
          <w:szCs w:val="28"/>
        </w:rPr>
        <w:t>1.评价准备阶段</w:t>
      </w:r>
      <w:bookmarkEnd w:id="29"/>
    </w:p>
    <w:p>
      <w:pPr>
        <w:spacing w:line="560" w:lineRule="exact"/>
        <w:ind w:firstLine="560" w:firstLineChars="200"/>
        <w:rPr>
          <w:rFonts w:ascii="仿宋_GB2312"/>
          <w:sz w:val="28"/>
          <w:szCs w:val="28"/>
        </w:rPr>
      </w:pPr>
      <w:bookmarkStart w:id="30" w:name="_Toc17581"/>
      <w:r>
        <w:rPr>
          <w:rFonts w:hint="eastAsia" w:ascii="仿宋_GB2312"/>
          <w:sz w:val="28"/>
          <w:szCs w:val="28"/>
        </w:rPr>
        <w:t>选取具备胜任能力的人员组建项目组和进行相关业务培训；制定整体计划和具体计划。</w:t>
      </w:r>
      <w:bookmarkEnd w:id="30"/>
    </w:p>
    <w:p>
      <w:pPr>
        <w:spacing w:line="560" w:lineRule="exact"/>
        <w:ind w:firstLine="560" w:firstLineChars="200"/>
        <w:rPr>
          <w:rFonts w:ascii="仿宋_GB2312"/>
          <w:sz w:val="28"/>
          <w:szCs w:val="28"/>
        </w:rPr>
      </w:pPr>
      <w:bookmarkStart w:id="31" w:name="_Toc11266"/>
      <w:r>
        <w:rPr>
          <w:rFonts w:hint="eastAsia" w:ascii="仿宋_GB2312"/>
          <w:sz w:val="28"/>
          <w:szCs w:val="28"/>
        </w:rPr>
        <w:t>2.评价实施阶段</w:t>
      </w:r>
      <w:bookmarkEnd w:id="31"/>
    </w:p>
    <w:p>
      <w:pPr>
        <w:spacing w:line="560" w:lineRule="exact"/>
        <w:ind w:firstLine="560" w:firstLineChars="200"/>
        <w:rPr>
          <w:rFonts w:ascii="仿宋_GB2312"/>
          <w:sz w:val="28"/>
          <w:szCs w:val="28"/>
        </w:rPr>
      </w:pPr>
      <w:bookmarkStart w:id="32" w:name="_Toc23635"/>
      <w:r>
        <w:rPr>
          <w:rFonts w:hint="eastAsia" w:ascii="仿宋_GB2312"/>
          <w:sz w:val="28"/>
          <w:szCs w:val="28"/>
        </w:rPr>
        <w:t>本次绩效评价</w:t>
      </w:r>
      <w:r>
        <w:rPr>
          <w:rFonts w:ascii="仿宋_GB2312"/>
          <w:sz w:val="28"/>
          <w:szCs w:val="28"/>
        </w:rPr>
        <w:t>采取</w:t>
      </w:r>
      <w:r>
        <w:rPr>
          <w:rFonts w:hint="eastAsia" w:ascii="仿宋_GB2312"/>
          <w:sz w:val="28"/>
          <w:szCs w:val="28"/>
        </w:rPr>
        <w:t>全面评价与重点评价相结合、现场评价与非现场评价相结合的方式，结合绩效评价表，梳理被评价单位提供的资料和政府部门提供的资料，核实预算的完成情况；同时审阅与绩效目标和指标相关材料；实地核实前期资料中获取信息，同时对农户进行满意度调查，最终得出评价结论，形成评价意见。</w:t>
      </w:r>
      <w:bookmarkEnd w:id="32"/>
    </w:p>
    <w:p>
      <w:pPr>
        <w:spacing w:line="560" w:lineRule="exact"/>
        <w:ind w:firstLine="560" w:firstLineChars="200"/>
        <w:rPr>
          <w:rFonts w:ascii="仿宋_GB2312"/>
          <w:sz w:val="28"/>
          <w:szCs w:val="28"/>
        </w:rPr>
      </w:pPr>
      <w:bookmarkStart w:id="33" w:name="_Toc1248"/>
      <w:r>
        <w:rPr>
          <w:rFonts w:ascii="仿宋_GB2312"/>
          <w:sz w:val="28"/>
          <w:szCs w:val="28"/>
        </w:rPr>
        <w:t>3</w:t>
      </w:r>
      <w:r>
        <w:rPr>
          <w:rFonts w:hint="eastAsia" w:ascii="仿宋_GB2312"/>
          <w:sz w:val="28"/>
          <w:szCs w:val="28"/>
        </w:rPr>
        <w:t>.撰写并报送报告阶段</w:t>
      </w:r>
      <w:bookmarkEnd w:id="33"/>
    </w:p>
    <w:p>
      <w:pPr>
        <w:spacing w:line="560" w:lineRule="exact"/>
        <w:ind w:firstLine="560" w:firstLineChars="200"/>
        <w:rPr>
          <w:rFonts w:ascii="仿宋_GB2312"/>
          <w:sz w:val="28"/>
          <w:szCs w:val="28"/>
        </w:rPr>
      </w:pPr>
      <w:bookmarkStart w:id="34" w:name="_Toc22892"/>
      <w:r>
        <w:rPr>
          <w:rFonts w:hint="eastAsia" w:ascii="仿宋_GB2312"/>
          <w:sz w:val="28"/>
          <w:szCs w:val="28"/>
        </w:rPr>
        <w:t>项目组根据现场评价意见和相关调研记录，进行评价分析并进行打分，撰写绩效评价报告；针对发现的问题，提出合理性建议和改进措施，形成整体评价报告进行提报，根据沟通反馈意见进一步完善报告。</w:t>
      </w:r>
      <w:bookmarkEnd w:id="34"/>
    </w:p>
    <w:p>
      <w:pPr>
        <w:spacing w:line="560" w:lineRule="exact"/>
        <w:ind w:firstLine="560" w:firstLineChars="200"/>
        <w:outlineLvl w:val="0"/>
        <w:rPr>
          <w:rFonts w:ascii="仿宋_GB2312"/>
          <w:sz w:val="28"/>
          <w:szCs w:val="28"/>
        </w:rPr>
      </w:pPr>
      <w:bookmarkStart w:id="35" w:name="_Toc232065284"/>
      <w:r>
        <w:rPr>
          <w:rFonts w:hint="eastAsia" w:ascii="黑体" w:hAnsi="黑体" w:eastAsia="黑体"/>
          <w:sz w:val="28"/>
          <w:szCs w:val="28"/>
        </w:rPr>
        <w:t>三、综合评价情况及评价结论</w:t>
      </w:r>
      <w:bookmarkEnd w:id="35"/>
    </w:p>
    <w:p>
      <w:pPr>
        <w:spacing w:line="560" w:lineRule="exact"/>
        <w:ind w:firstLine="562" w:firstLineChars="200"/>
        <w:outlineLvl w:val="1"/>
        <w:rPr>
          <w:rFonts w:hint="eastAsia" w:ascii="楷体_GB2312" w:hAnsi="宋体" w:eastAsia="楷体_GB2312"/>
          <w:bCs/>
          <w:sz w:val="28"/>
          <w:szCs w:val="28"/>
        </w:rPr>
      </w:pPr>
      <w:bookmarkStart w:id="36" w:name="_Toc232065285"/>
      <w:r>
        <w:rPr>
          <w:rFonts w:hint="eastAsia" w:ascii="楷体_GB2312" w:hAnsi="宋体" w:eastAsia="楷体_GB2312"/>
          <w:b/>
          <w:sz w:val="28"/>
          <w:szCs w:val="28"/>
        </w:rPr>
        <w:t>（</w:t>
      </w:r>
      <w:r>
        <w:rPr>
          <w:rFonts w:hint="eastAsia" w:ascii="楷体_GB2312" w:hAnsi="宋体" w:eastAsia="楷体_GB2312"/>
          <w:bCs/>
          <w:sz w:val="28"/>
          <w:szCs w:val="28"/>
        </w:rPr>
        <w:t>一）</w:t>
      </w:r>
      <w:bookmarkStart w:id="37" w:name="_Hlk154440193"/>
      <w:r>
        <w:rPr>
          <w:rFonts w:hint="eastAsia" w:ascii="楷体_GB2312" w:hAnsi="宋体" w:eastAsia="楷体_GB2312"/>
          <w:bCs/>
          <w:sz w:val="28"/>
          <w:szCs w:val="28"/>
        </w:rPr>
        <w:t>绩效评价</w:t>
      </w:r>
      <w:bookmarkEnd w:id="37"/>
      <w:r>
        <w:rPr>
          <w:rFonts w:hint="eastAsia" w:ascii="楷体_GB2312" w:hAnsi="宋体" w:eastAsia="楷体_GB2312"/>
          <w:bCs/>
          <w:sz w:val="28"/>
          <w:szCs w:val="28"/>
        </w:rPr>
        <w:t>结论</w:t>
      </w:r>
      <w:bookmarkEnd w:id="36"/>
    </w:p>
    <w:p>
      <w:pPr>
        <w:spacing w:line="560" w:lineRule="exact"/>
        <w:ind w:firstLine="560" w:firstLineChars="200"/>
        <w:rPr>
          <w:rFonts w:ascii="仿宋_GB2312" w:cs="宋体"/>
          <w:bCs/>
          <w:sz w:val="28"/>
          <w:szCs w:val="28"/>
        </w:rPr>
      </w:pPr>
      <w:bookmarkStart w:id="38" w:name="_Toc26390"/>
      <w:r>
        <w:rPr>
          <w:rFonts w:hint="eastAsia" w:ascii="仿宋_GB2312" w:cs="宋体"/>
          <w:bCs/>
          <w:sz w:val="28"/>
          <w:szCs w:val="28"/>
        </w:rPr>
        <w:t>青岛市政策性农业保险承保机构即人寿财险，绩效评价指标得分84.16分，评价等级为“良好”。</w:t>
      </w:r>
      <w:bookmarkEnd w:id="38"/>
    </w:p>
    <w:p>
      <w:pPr>
        <w:spacing w:line="560" w:lineRule="exact"/>
        <w:ind w:firstLine="560" w:firstLineChars="200"/>
        <w:outlineLvl w:val="1"/>
        <w:rPr>
          <w:rFonts w:hint="eastAsia" w:ascii="楷体_GB2312" w:hAnsi="宋体" w:eastAsia="楷体_GB2312"/>
          <w:bCs/>
          <w:sz w:val="28"/>
          <w:szCs w:val="28"/>
        </w:rPr>
      </w:pPr>
      <w:bookmarkStart w:id="39" w:name="_Toc232065286"/>
      <w:bookmarkStart w:id="40" w:name="_Toc12355"/>
      <w:r>
        <w:rPr>
          <w:rFonts w:hint="eastAsia" w:ascii="楷体_GB2312" w:hAnsi="宋体" w:eastAsia="楷体_GB2312"/>
          <w:bCs/>
          <w:sz w:val="28"/>
          <w:szCs w:val="28"/>
        </w:rPr>
        <w:t>（二）绩效评价指标分析</w:t>
      </w:r>
      <w:bookmarkEnd w:id="39"/>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1、</w:t>
      </w:r>
      <w:bookmarkEnd w:id="40"/>
      <w:r>
        <w:rPr>
          <w:rFonts w:hint="eastAsia" w:ascii="仿宋_GB2312" w:hAnsi="宋体"/>
          <w:bCs/>
          <w:sz w:val="28"/>
          <w:szCs w:val="28"/>
        </w:rPr>
        <w:t>整体得分情况</w:t>
      </w:r>
    </w:p>
    <w:p>
      <w:pPr>
        <w:spacing w:line="560" w:lineRule="exact"/>
        <w:ind w:firstLine="560" w:firstLineChars="200"/>
        <w:rPr>
          <w:rFonts w:ascii="仿宋_GB2312" w:cs="宋体"/>
          <w:sz w:val="28"/>
          <w:szCs w:val="28"/>
        </w:rPr>
      </w:pPr>
      <w:r>
        <w:rPr>
          <w:rFonts w:hint="eastAsia" w:ascii="仿宋_GB2312" w:cs="宋体"/>
          <w:sz w:val="28"/>
          <w:szCs w:val="28"/>
        </w:rPr>
        <w:t>被评价单位绩效评价得分为84.16分，评价结果为“良好”。各部分分值和得分情况见下表。</w:t>
      </w:r>
    </w:p>
    <w:p>
      <w:pPr>
        <w:spacing w:line="560" w:lineRule="exact"/>
        <w:jc w:val="center"/>
        <w:rPr>
          <w:rFonts w:ascii="仿宋_GB2312" w:cs="宋体"/>
          <w:sz w:val="28"/>
          <w:szCs w:val="28"/>
        </w:rPr>
      </w:pPr>
      <w:r>
        <w:rPr>
          <w:rFonts w:hint="eastAsia" w:ascii="仿宋_GB2312" w:cs="宋体"/>
          <w:sz w:val="28"/>
          <w:szCs w:val="28"/>
        </w:rPr>
        <w:t>绩效得分整体情况表</w:t>
      </w:r>
    </w:p>
    <w:tbl>
      <w:tblPr>
        <w:tblStyle w:val="15"/>
        <w:tblW w:w="4997" w:type="pct"/>
        <w:jc w:val="center"/>
        <w:tblLayout w:type="autofit"/>
        <w:tblCellMar>
          <w:top w:w="0" w:type="dxa"/>
          <w:left w:w="108" w:type="dxa"/>
          <w:bottom w:w="0" w:type="dxa"/>
          <w:right w:w="108" w:type="dxa"/>
        </w:tblCellMar>
      </w:tblPr>
      <w:tblGrid>
        <w:gridCol w:w="966"/>
        <w:gridCol w:w="1680"/>
        <w:gridCol w:w="2872"/>
        <w:gridCol w:w="966"/>
        <w:gridCol w:w="1130"/>
        <w:gridCol w:w="1441"/>
      </w:tblGrid>
      <w:tr>
        <w:tblPrEx>
          <w:tblCellMar>
            <w:top w:w="0" w:type="dxa"/>
            <w:left w:w="108" w:type="dxa"/>
            <w:bottom w:w="0" w:type="dxa"/>
            <w:right w:w="108" w:type="dxa"/>
          </w:tblCellMar>
        </w:tblPrEx>
        <w:trPr>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bookmarkStart w:id="41" w:name="_Toc9964"/>
            <w:r>
              <w:rPr>
                <w:rFonts w:hint="eastAsia" w:ascii="仿宋_GB2312" w:hAnsi="等线" w:cs="仿宋_GB2312"/>
                <w:b/>
                <w:bCs/>
                <w:color w:val="000000"/>
                <w:kern w:val="0"/>
                <w:sz w:val="21"/>
                <w:szCs w:val="21"/>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得分率</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业务管理</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（20）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制度建设</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2</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内控管理</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3</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组织架构</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4</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会计核算</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5</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承保部署</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6</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服务水平</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（47）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赔付率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3.32</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55.33%</w:t>
            </w:r>
          </w:p>
        </w:tc>
      </w:tr>
      <w:tr>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7</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承保任务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8</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理赔规范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83.33%</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9</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理赔时效</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8</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75.00%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10</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减少灾害损失</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85.71%</w:t>
            </w:r>
          </w:p>
        </w:tc>
      </w:tr>
      <w:tr>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农户受益度</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2</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28.57%</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12</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案件处理率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4.84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96.80%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13</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综合费用率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14</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保单管理</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（18分）</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规范展业承保</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15</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信息公示</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16</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保单完整、准确性</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66.67%</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风险管控</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风险管理</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18</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满意度</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政策知晓率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19</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满意率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20</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加减分</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加分项</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21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减分项</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0.00%</w:t>
            </w:r>
          </w:p>
        </w:tc>
      </w:tr>
      <w:tr>
        <w:tblPrEx>
          <w:tblCellMar>
            <w:top w:w="0" w:type="dxa"/>
            <w:left w:w="108" w:type="dxa"/>
            <w:bottom w:w="0" w:type="dxa"/>
            <w:right w:w="108" w:type="dxa"/>
          </w:tblCellMar>
        </w:tblPrEx>
        <w:trPr>
          <w:jc w:val="center"/>
        </w:trPr>
        <w:tc>
          <w:tcPr>
            <w:tcW w:w="0" w:type="auto"/>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b/>
                <w:bCs/>
                <w:color w:val="000000"/>
                <w:kern w:val="0"/>
                <w:sz w:val="21"/>
                <w:szCs w:val="21"/>
                <w:lang w:bidi="ar"/>
              </w:rPr>
            </w:pPr>
            <w:r>
              <w:rPr>
                <w:rFonts w:hint="eastAsia" w:ascii="仿宋_GB2312" w:hAnsi="等线" w:cs="仿宋_GB2312"/>
                <w:b/>
                <w:bCs/>
                <w:color w:val="000000"/>
                <w:kern w:val="0"/>
                <w:sz w:val="21"/>
                <w:szCs w:val="21"/>
                <w:lang w:bidi="ar"/>
              </w:rPr>
              <w:t>合计</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kern w:val="0"/>
                <w:sz w:val="21"/>
                <w:szCs w:val="21"/>
                <w:lang w:bidi="ar"/>
              </w:rPr>
            </w:pPr>
            <w:r>
              <w:rPr>
                <w:rFonts w:hint="eastAsia" w:ascii="仿宋_GB2312" w:hAnsi="等线" w:cs="仿宋_GB2312"/>
                <w:b/>
                <w:bCs/>
                <w:color w:val="000000"/>
                <w:kern w:val="0"/>
                <w:sz w:val="21"/>
                <w:szCs w:val="21"/>
                <w:lang w:bidi="ar"/>
              </w:rPr>
              <w:t>100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kern w:val="0"/>
                <w:sz w:val="21"/>
                <w:szCs w:val="21"/>
                <w:lang w:bidi="ar"/>
              </w:rPr>
            </w:pPr>
            <w:r>
              <w:rPr>
                <w:rFonts w:hint="eastAsia" w:ascii="仿宋_GB2312" w:hAnsi="等线" w:cs="仿宋_GB2312"/>
                <w:b/>
                <w:bCs/>
                <w:color w:val="000000"/>
                <w:kern w:val="0"/>
                <w:sz w:val="21"/>
                <w:szCs w:val="21"/>
                <w:lang w:bidi="ar"/>
              </w:rPr>
              <w:t>84.16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kern w:val="0"/>
                <w:sz w:val="21"/>
                <w:szCs w:val="21"/>
                <w:lang w:bidi="ar"/>
              </w:rPr>
            </w:pPr>
            <w:r>
              <w:rPr>
                <w:rFonts w:hint="eastAsia" w:ascii="仿宋_GB2312" w:hAnsi="等线" w:cs="仿宋_GB2312"/>
                <w:b/>
                <w:bCs/>
                <w:color w:val="000000"/>
                <w:kern w:val="0"/>
                <w:sz w:val="21"/>
                <w:szCs w:val="21"/>
                <w:lang w:bidi="ar"/>
              </w:rPr>
              <w:t>84.16%</w:t>
            </w:r>
          </w:p>
        </w:tc>
      </w:tr>
    </w:tbl>
    <w:p>
      <w:pPr>
        <w:spacing w:line="560" w:lineRule="exact"/>
        <w:ind w:firstLine="562" w:firstLineChars="200"/>
        <w:rPr>
          <w:rFonts w:hint="eastAsia" w:ascii="仿宋_GB2312" w:hAnsi="黑体"/>
          <w:b/>
          <w:sz w:val="28"/>
          <w:szCs w:val="28"/>
        </w:rPr>
      </w:pPr>
      <w:r>
        <w:rPr>
          <w:rFonts w:hint="eastAsia" w:ascii="仿宋_GB2312" w:hAnsi="宋体"/>
          <w:b/>
          <w:sz w:val="28"/>
          <w:szCs w:val="28"/>
        </w:rPr>
        <w:t>2、具体指标分析</w:t>
      </w:r>
      <w:bookmarkEnd w:id="41"/>
    </w:p>
    <w:p>
      <w:pPr>
        <w:spacing w:line="560" w:lineRule="exact"/>
        <w:ind w:firstLine="560" w:firstLineChars="200"/>
        <w:rPr>
          <w:rFonts w:ascii="仿宋_GB2312" w:cs="宋体"/>
          <w:sz w:val="28"/>
          <w:szCs w:val="28"/>
        </w:rPr>
      </w:pPr>
      <w:r>
        <w:rPr>
          <w:rFonts w:hint="eastAsia" w:ascii="仿宋_GB2312" w:cs="宋体"/>
          <w:sz w:val="28"/>
          <w:szCs w:val="28"/>
        </w:rPr>
        <w:t>（1）业务管理情况</w:t>
      </w:r>
    </w:p>
    <w:p>
      <w:pPr>
        <w:spacing w:line="560" w:lineRule="exact"/>
        <w:ind w:firstLine="560" w:firstLineChars="200"/>
        <w:rPr>
          <w:rFonts w:ascii="仿宋_GB2312" w:cs="宋体"/>
          <w:sz w:val="28"/>
          <w:szCs w:val="28"/>
        </w:rPr>
      </w:pPr>
      <w:r>
        <w:rPr>
          <w:rFonts w:hint="eastAsia" w:ascii="仿宋_GB2312" w:cs="宋体"/>
          <w:sz w:val="28"/>
          <w:szCs w:val="28"/>
        </w:rPr>
        <w:t>业务管理指标从制度建设、内控管理、组织架构、会计核算、承保部署五个方面进行评价。</w:t>
      </w:r>
    </w:p>
    <w:p>
      <w:pPr>
        <w:spacing w:line="560" w:lineRule="exact"/>
        <w:ind w:firstLine="560" w:firstLineChars="200"/>
        <w:rPr>
          <w:rFonts w:ascii="仿宋_GB2312" w:cs="宋体"/>
          <w:sz w:val="28"/>
          <w:szCs w:val="28"/>
        </w:rPr>
      </w:pPr>
      <w:r>
        <w:rPr>
          <w:rFonts w:hint="eastAsia" w:ascii="仿宋_GB2312" w:cs="宋体"/>
          <w:sz w:val="28"/>
          <w:szCs w:val="28"/>
        </w:rPr>
        <w:t>业务管理指标分值20分，实际得分20分，得分率为100%；得分情况见下表：</w:t>
      </w:r>
    </w:p>
    <w:tbl>
      <w:tblPr>
        <w:tblStyle w:val="15"/>
        <w:tblW w:w="4998" w:type="pct"/>
        <w:jc w:val="center"/>
        <w:tblLayout w:type="autofit"/>
        <w:tblCellMar>
          <w:top w:w="0" w:type="dxa"/>
          <w:left w:w="108" w:type="dxa"/>
          <w:bottom w:w="0" w:type="dxa"/>
          <w:right w:w="108" w:type="dxa"/>
        </w:tblCellMar>
      </w:tblPr>
      <w:tblGrid>
        <w:gridCol w:w="2205"/>
        <w:gridCol w:w="2205"/>
        <w:gridCol w:w="1327"/>
        <w:gridCol w:w="1327"/>
        <w:gridCol w:w="1992"/>
      </w:tblGrid>
      <w:tr>
        <w:tblPrEx>
          <w:tblCellMar>
            <w:top w:w="0" w:type="dxa"/>
            <w:left w:w="108" w:type="dxa"/>
            <w:bottom w:w="0" w:type="dxa"/>
            <w:right w:w="108" w:type="dxa"/>
          </w:tblCellMar>
        </w:tblPrEx>
        <w:trPr>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得分率</w:t>
            </w:r>
          </w:p>
        </w:tc>
      </w:tr>
      <w:tr>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业务管理</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（20）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制度建设</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内控管理</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组织架构</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会计核算</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承保部署</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合计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20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20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100.00%</w:t>
            </w:r>
          </w:p>
        </w:tc>
      </w:tr>
    </w:tbl>
    <w:p>
      <w:pPr>
        <w:spacing w:line="560" w:lineRule="exact"/>
        <w:ind w:firstLine="560" w:firstLineChars="200"/>
        <w:rPr>
          <w:rFonts w:ascii="仿宋_GB2312" w:cs="宋体"/>
          <w:sz w:val="28"/>
          <w:szCs w:val="28"/>
        </w:rPr>
      </w:pPr>
      <w:r>
        <w:rPr>
          <w:rFonts w:hint="eastAsia" w:ascii="仿宋_GB2312" w:cs="宋体"/>
          <w:sz w:val="28"/>
          <w:szCs w:val="28"/>
        </w:rPr>
        <w:t>实际得分具体原因分析如下：</w:t>
      </w:r>
    </w:p>
    <w:p>
      <w:pPr>
        <w:spacing w:line="560" w:lineRule="exact"/>
        <w:ind w:firstLine="560" w:firstLineChars="200"/>
        <w:rPr>
          <w:rFonts w:ascii="仿宋_GB2312" w:cs="宋体"/>
          <w:sz w:val="28"/>
          <w:szCs w:val="28"/>
        </w:rPr>
      </w:pPr>
      <w:r>
        <w:rPr>
          <w:rFonts w:hint="eastAsia" w:ascii="仿宋_GB2312" w:cs="宋体"/>
          <w:sz w:val="28"/>
          <w:szCs w:val="28"/>
        </w:rPr>
        <w:t>1</w:t>
      </w:r>
      <w:r>
        <w:rPr>
          <w:rFonts w:hint="eastAsia" w:ascii="仿宋_GB2312" w:cs="宋体"/>
          <w:color w:val="000000"/>
          <w:sz w:val="28"/>
          <w:szCs w:val="28"/>
        </w:rPr>
        <w:t>）</w:t>
      </w:r>
      <w:r>
        <w:rPr>
          <w:rFonts w:hint="eastAsia" w:ascii="仿宋_GB2312" w:cs="宋体"/>
          <w:sz w:val="28"/>
          <w:szCs w:val="28"/>
        </w:rPr>
        <w:t>制度建设指标总分4分，实际得分4分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中国人寿财险建立了完善的业务管理制度、费用管理制度以及其他管理制度，根据评分标准，得4分。制度建设具体情况如下：</w:t>
      </w:r>
    </w:p>
    <w:p>
      <w:pPr>
        <w:spacing w:line="560" w:lineRule="exact"/>
        <w:ind w:firstLine="560" w:firstLineChars="200"/>
        <w:rPr>
          <w:rFonts w:ascii="仿宋_GB2312" w:cs="宋体"/>
          <w:sz w:val="28"/>
          <w:szCs w:val="28"/>
        </w:rPr>
      </w:pPr>
      <w:r>
        <w:rPr>
          <w:rFonts w:hint="eastAsia" w:ascii="仿宋_GB2312" w:cs="宋体"/>
          <w:sz w:val="28"/>
          <w:szCs w:val="28"/>
        </w:rPr>
        <w:t>A.业务管理制度：中国人寿财险制定或出台了《中国人寿财险青岛市分公司农业保险承保管理实施细则》、《中国人寿财险青岛市营业机构农业保险承保理赔档案装订规范》、《中国人寿财险青岛市分公司农业保险合规检查操作指南》、《中国人寿财险青岛市分公司农业保险经营管理规定》、《农业保险理赔管理实施细则》、《中国人寿财险青岛市分公司农业保险未决赔案管理办法》、《中国人寿财险青岛市分公司农业保险数据质量管理办法》、《中国人寿财险青岛市分公司农产品“保险+期货”业务管理操作指引》、《中国人寿财险青岛市分公司农业保险精细化管理指南》、《中国人寿财险青岛市分公司农业保险业务单证管理办法》《中国人寿财险青岛市分公司农业保险业务权限管理办法》等制度，内容</w:t>
      </w:r>
      <w:r>
        <w:rPr>
          <w:rFonts w:hint="eastAsia" w:ascii="仿宋_GB2312" w:cs="宋体"/>
          <w:color w:val="000000"/>
          <w:sz w:val="28"/>
          <w:szCs w:val="28"/>
        </w:rPr>
        <w:t>包含</w:t>
      </w:r>
      <w:r>
        <w:rPr>
          <w:rFonts w:hint="eastAsia" w:ascii="仿宋_GB2312" w:cs="宋体"/>
          <w:sz w:val="28"/>
          <w:szCs w:val="28"/>
        </w:rPr>
        <w:t>承保、理赔、数据质量管理、档案管理、业务管理、风险管理等方面。</w:t>
      </w:r>
    </w:p>
    <w:p>
      <w:pPr>
        <w:spacing w:line="560" w:lineRule="exact"/>
        <w:ind w:firstLine="560" w:firstLineChars="200"/>
        <w:rPr>
          <w:rFonts w:ascii="仿宋_GB2312" w:cs="宋体"/>
          <w:sz w:val="28"/>
          <w:szCs w:val="28"/>
        </w:rPr>
      </w:pPr>
      <w:r>
        <w:rPr>
          <w:rFonts w:hint="eastAsia" w:ascii="仿宋_GB2312" w:cs="宋体"/>
          <w:sz w:val="28"/>
          <w:szCs w:val="28"/>
        </w:rPr>
        <w:t>B.费用管理制度：中国人寿财险制定或出台了《农业保险大灾风险准备金管理办法》（国寿财险办发〔2018〕595号）、《农业保险业务单独核算管理办法》（国寿财险办发〔2023〕540号）、《中国人寿财产保险股份有限公司应收款项管理办法》、《中国人寿财险青岛市分公司农业保险业务单独核算管理办法》等制度，内容</w:t>
      </w:r>
      <w:r>
        <w:rPr>
          <w:rFonts w:hint="eastAsia" w:ascii="仿宋_GB2312" w:cs="宋体"/>
          <w:color w:val="000000"/>
          <w:sz w:val="28"/>
          <w:szCs w:val="28"/>
        </w:rPr>
        <w:t>包含</w:t>
      </w:r>
      <w:r>
        <w:rPr>
          <w:rFonts w:hint="eastAsia" w:ascii="仿宋_GB2312" w:cs="宋体"/>
          <w:sz w:val="28"/>
          <w:szCs w:val="28"/>
        </w:rPr>
        <w:t>费用分类、预算、审批、支付、风险管控等方面。</w:t>
      </w:r>
    </w:p>
    <w:p>
      <w:pPr>
        <w:spacing w:line="560" w:lineRule="exact"/>
        <w:ind w:firstLine="560" w:firstLineChars="200"/>
        <w:rPr>
          <w:rFonts w:ascii="仿宋_GB2312" w:cs="宋体"/>
          <w:sz w:val="28"/>
          <w:szCs w:val="28"/>
        </w:rPr>
      </w:pPr>
      <w:r>
        <w:rPr>
          <w:rFonts w:hint="eastAsia" w:ascii="仿宋_GB2312" w:cs="宋体"/>
          <w:sz w:val="28"/>
          <w:szCs w:val="28"/>
        </w:rPr>
        <w:t>C.其他管理制度：中国人寿财险制定或出台了《中国人寿财险青岛市分公司农业保险产品研发管理办法》、《中国人寿财产保险股份有限公司突发事件应对管理制度》、《中国人寿财险青岛市分公司农业保险防灾防损实施细则》、《中国人寿财险青岛市分公司农险团队管理基本办法》、《中国人寿财险青岛市分公司农业保险综合服务管理与稽核管理办法》、《中国人寿财险青岛市分公司农业保险组织体系与队伍建设管理办法》、《中国人寿财产保险股份有限公司青岛市分公司保险消费投诉管理实施细则》等制度，内容</w:t>
      </w:r>
      <w:r>
        <w:rPr>
          <w:rFonts w:hint="eastAsia" w:ascii="仿宋_GB2312" w:cs="宋体"/>
          <w:color w:val="000000"/>
          <w:sz w:val="28"/>
          <w:szCs w:val="28"/>
        </w:rPr>
        <w:t>包含</w:t>
      </w:r>
      <w:r>
        <w:rPr>
          <w:rFonts w:hint="eastAsia" w:ascii="仿宋_GB2312" w:cs="宋体"/>
          <w:sz w:val="28"/>
          <w:szCs w:val="28"/>
        </w:rPr>
        <w:t>产品管理、</w:t>
      </w:r>
      <w:r>
        <w:rPr>
          <w:rFonts w:hint="eastAsia" w:ascii="仿宋_GB2312" w:cs="宋体"/>
          <w:color w:val="000000"/>
          <w:sz w:val="28"/>
          <w:szCs w:val="28"/>
        </w:rPr>
        <w:t>大灾</w:t>
      </w:r>
      <w:r>
        <w:rPr>
          <w:rFonts w:hint="eastAsia" w:ascii="仿宋_GB2312" w:cs="宋体"/>
          <w:sz w:val="28"/>
          <w:szCs w:val="28"/>
        </w:rPr>
        <w:t>应急预案、消费者投诉、内部稽核、内部问责等方面。</w:t>
      </w:r>
    </w:p>
    <w:p>
      <w:pPr>
        <w:spacing w:line="560" w:lineRule="exact"/>
        <w:ind w:firstLine="560" w:firstLineChars="200"/>
        <w:rPr>
          <w:rFonts w:ascii="仿宋_GB2312" w:cs="宋体"/>
          <w:sz w:val="28"/>
          <w:szCs w:val="28"/>
        </w:rPr>
      </w:pPr>
      <w:r>
        <w:rPr>
          <w:rFonts w:hint="eastAsia" w:ascii="仿宋_GB2312" w:cs="宋体"/>
          <w:sz w:val="28"/>
          <w:szCs w:val="28"/>
        </w:rPr>
        <w:t>综上，</w:t>
      </w:r>
      <w:r>
        <w:rPr>
          <w:rFonts w:hint="eastAsia" w:ascii="仿宋_GB2312" w:cs="宋体"/>
          <w:color w:val="000000"/>
          <w:sz w:val="28"/>
          <w:szCs w:val="28"/>
        </w:rPr>
        <w:t>根据评分标准，</w:t>
      </w:r>
      <w:r>
        <w:rPr>
          <w:rFonts w:hint="eastAsia" w:ascii="仿宋_GB2312" w:cs="宋体"/>
          <w:sz w:val="28"/>
          <w:szCs w:val="28"/>
        </w:rPr>
        <w:t>得4分。</w:t>
      </w:r>
    </w:p>
    <w:p>
      <w:pPr>
        <w:spacing w:line="560" w:lineRule="exact"/>
        <w:ind w:firstLine="560" w:firstLineChars="200"/>
        <w:rPr>
          <w:rFonts w:ascii="仿宋_GB2312" w:cs="宋体"/>
          <w:sz w:val="28"/>
          <w:szCs w:val="28"/>
        </w:rPr>
      </w:pPr>
      <w:r>
        <w:rPr>
          <w:rFonts w:hint="eastAsia" w:ascii="仿宋_GB2312" w:cs="宋体"/>
          <w:sz w:val="28"/>
          <w:szCs w:val="28"/>
        </w:rPr>
        <w:t>2</w:t>
      </w:r>
      <w:r>
        <w:rPr>
          <w:rFonts w:hint="eastAsia" w:ascii="仿宋_GB2312" w:cs="宋体"/>
          <w:color w:val="000000"/>
          <w:sz w:val="28"/>
          <w:szCs w:val="28"/>
        </w:rPr>
        <w:t>）</w:t>
      </w:r>
      <w:r>
        <w:rPr>
          <w:rFonts w:hint="eastAsia" w:ascii="仿宋_GB2312" w:cs="宋体"/>
          <w:sz w:val="28"/>
          <w:szCs w:val="28"/>
        </w:rPr>
        <w:t>内控管理指标总分4分，</w:t>
      </w:r>
      <w:r>
        <w:rPr>
          <w:rFonts w:hint="eastAsia" w:ascii="仿宋_GB2312" w:cs="宋体"/>
          <w:color w:val="000000"/>
          <w:sz w:val="28"/>
          <w:szCs w:val="28"/>
        </w:rPr>
        <w:t>实际得分4分</w:t>
      </w:r>
      <w:r>
        <w:rPr>
          <w:rFonts w:hint="eastAsia" w:ascii="仿宋_GB2312" w:cs="宋体"/>
          <w:color w:val="000000"/>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人寿财险建立了完善的农险经营内控制度体系，保证承保、理赔、客户服务各项合规。</w:t>
      </w:r>
    </w:p>
    <w:p>
      <w:pPr>
        <w:spacing w:line="560" w:lineRule="exact"/>
        <w:ind w:firstLine="560" w:firstLineChars="200"/>
        <w:rPr>
          <w:rFonts w:ascii="仿宋_GB2312" w:cs="宋体"/>
          <w:sz w:val="28"/>
          <w:szCs w:val="28"/>
        </w:rPr>
      </w:pPr>
      <w:r>
        <w:rPr>
          <w:rFonts w:hint="eastAsia" w:ascii="仿宋_GB2312" w:cs="宋体"/>
          <w:sz w:val="28"/>
          <w:szCs w:val="28"/>
        </w:rPr>
        <w:t>2025年人寿财险对胶州支公司、莱西支公司、即墨支公司、城阳支公司、崂山支公司、西海岸支公司（包含黄岛支公司）、平度支公司等7个区（市）级经办机构开展了政策性农险业务和特色险种业务承保理赔合规性和内控有效性的检查工作，区（市）占比100%，超过总量的三分之一。并提交了各个支公司四个季度的《农业保险合规自查报告》。</w:t>
      </w:r>
    </w:p>
    <w:p>
      <w:pPr>
        <w:spacing w:line="560" w:lineRule="exact"/>
        <w:ind w:firstLine="560" w:firstLineChars="200"/>
        <w:rPr>
          <w:rFonts w:ascii="仿宋_GB2312" w:cs="宋体"/>
          <w:sz w:val="28"/>
          <w:szCs w:val="28"/>
        </w:rPr>
      </w:pPr>
      <w:r>
        <w:rPr>
          <w:rFonts w:hint="eastAsia" w:ascii="仿宋_GB2312" w:cs="宋体"/>
          <w:sz w:val="28"/>
          <w:szCs w:val="28"/>
        </w:rPr>
        <w:t>人寿财险2025年组织了五次合规培训，详情见下表：</w:t>
      </w:r>
    </w:p>
    <w:tbl>
      <w:tblPr>
        <w:tblStyle w:val="15"/>
        <w:tblW w:w="8600" w:type="dxa"/>
        <w:jc w:val="center"/>
        <w:tblLayout w:type="autofit"/>
        <w:tblCellMar>
          <w:top w:w="0" w:type="dxa"/>
          <w:left w:w="108" w:type="dxa"/>
          <w:bottom w:w="0" w:type="dxa"/>
          <w:right w:w="108" w:type="dxa"/>
        </w:tblCellMar>
      </w:tblPr>
      <w:tblGrid>
        <w:gridCol w:w="789"/>
        <w:gridCol w:w="2411"/>
        <w:gridCol w:w="5400"/>
      </w:tblGrid>
      <w:tr>
        <w:tblPrEx>
          <w:tblCellMar>
            <w:top w:w="0" w:type="dxa"/>
            <w:left w:w="108" w:type="dxa"/>
            <w:bottom w:w="0" w:type="dxa"/>
            <w:right w:w="108" w:type="dxa"/>
          </w:tblCellMar>
        </w:tblPrEx>
        <w:trPr>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6A6A6"/>
            <w:noWrap/>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6A6A6"/>
            <w:noWrap/>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时间</w:t>
            </w:r>
          </w:p>
        </w:tc>
        <w:tc>
          <w:tcPr>
            <w:tcW w:w="0" w:type="auto"/>
            <w:tcBorders>
              <w:top w:val="single" w:color="000000" w:sz="4" w:space="0"/>
              <w:left w:val="single" w:color="000000" w:sz="4" w:space="0"/>
              <w:bottom w:val="single" w:color="000000" w:sz="4" w:space="0"/>
              <w:right w:val="single" w:color="000000" w:sz="4" w:space="0"/>
            </w:tcBorders>
            <w:shd w:val="clear" w:color="auto" w:fill="A6A6A6"/>
            <w:noWrap/>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内容</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2025年7月10日</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《2025年蜜蜂保险项目合规培训》</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2025年7月17日</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《2025年萝卜保险项目合规培训（第1期)》</w:t>
            </w:r>
          </w:p>
        </w:tc>
      </w:tr>
      <w:tr>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2025年10月10日</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《2025年蔬菜保险项目合规培训》</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2025年10月29日</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《2025年萝卜保险项目合规培训(第2期)》</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2025年11月14日</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《2025年大白菜保险项目合规培训》</w:t>
            </w:r>
          </w:p>
        </w:tc>
      </w:tr>
    </w:tbl>
    <w:p>
      <w:pPr>
        <w:spacing w:line="560" w:lineRule="exact"/>
        <w:ind w:firstLine="560" w:firstLineChars="200"/>
        <w:rPr>
          <w:rFonts w:ascii="仿宋_GB2312" w:cs="宋体"/>
          <w:sz w:val="28"/>
          <w:szCs w:val="28"/>
        </w:rPr>
      </w:pPr>
      <w:r>
        <w:rPr>
          <w:rFonts w:hint="eastAsia" w:ascii="仿宋_GB2312" w:cs="宋体"/>
          <w:sz w:val="28"/>
          <w:szCs w:val="28"/>
        </w:rPr>
        <w:t>综上，</w:t>
      </w:r>
      <w:r>
        <w:rPr>
          <w:rFonts w:hint="eastAsia" w:ascii="仿宋_GB2312" w:cs="宋体"/>
          <w:color w:val="000000"/>
          <w:sz w:val="28"/>
          <w:szCs w:val="28"/>
        </w:rPr>
        <w:t>根据评分标准，</w:t>
      </w:r>
      <w:r>
        <w:rPr>
          <w:rFonts w:hint="eastAsia" w:ascii="仿宋_GB2312" w:cs="宋体"/>
          <w:sz w:val="28"/>
          <w:szCs w:val="28"/>
        </w:rPr>
        <w:t>得4分。</w:t>
      </w:r>
    </w:p>
    <w:p>
      <w:pPr>
        <w:spacing w:line="560" w:lineRule="exact"/>
        <w:ind w:left="600" w:leftChars="200"/>
        <w:rPr>
          <w:rFonts w:ascii="仿宋_GB2312" w:cs="宋体"/>
          <w:sz w:val="28"/>
          <w:szCs w:val="28"/>
        </w:rPr>
      </w:pPr>
      <w:r>
        <w:rPr>
          <w:rFonts w:hint="eastAsia" w:ascii="仿宋_GB2312" w:cs="宋体"/>
          <w:sz w:val="28"/>
          <w:szCs w:val="28"/>
        </w:rPr>
        <w:t>3</w:t>
      </w:r>
      <w:r>
        <w:rPr>
          <w:rFonts w:hint="eastAsia" w:ascii="仿宋_GB2312" w:cs="宋体"/>
          <w:color w:val="000000"/>
          <w:sz w:val="28"/>
          <w:szCs w:val="28"/>
        </w:rPr>
        <w:t>）</w:t>
      </w:r>
      <w:r>
        <w:rPr>
          <w:rFonts w:hint="eastAsia" w:ascii="仿宋_GB2312" w:cs="宋体"/>
          <w:sz w:val="28"/>
          <w:szCs w:val="28"/>
        </w:rPr>
        <w:t>组织架构指标总分4分，</w:t>
      </w:r>
      <w:r>
        <w:rPr>
          <w:rFonts w:hint="eastAsia" w:ascii="仿宋_GB2312" w:cs="宋体"/>
          <w:color w:val="000000"/>
          <w:sz w:val="28"/>
          <w:szCs w:val="28"/>
        </w:rPr>
        <w:t>实际得分4分</w:t>
      </w:r>
      <w:r>
        <w:rPr>
          <w:rFonts w:hint="eastAsia" w:ascii="仿宋_GB2312" w:cs="宋体"/>
          <w:color w:val="000000"/>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人寿财险设置了农业保险部，并配备11名农业保险专业人员；人寿财险建立了完善的农险信息管理系统（包含：农险承保模块和农险理赔模块，同时引入无人机、卫星遥感等新技术）与青岛市农业保险监管平台对接通畅，承保数据与理赔数据核对一致。</w:t>
      </w:r>
    </w:p>
    <w:p>
      <w:pPr>
        <w:spacing w:line="560" w:lineRule="exact"/>
        <w:ind w:firstLine="560" w:firstLineChars="200"/>
        <w:rPr>
          <w:rFonts w:ascii="仿宋_GB2312" w:cs="宋体"/>
          <w:sz w:val="28"/>
          <w:szCs w:val="28"/>
        </w:rPr>
      </w:pPr>
      <w:r>
        <w:rPr>
          <w:rFonts w:hint="eastAsia" w:ascii="仿宋_GB2312" w:cs="宋体"/>
          <w:sz w:val="28"/>
          <w:szCs w:val="28"/>
        </w:rPr>
        <w:t>人寿财险在各区（市）均设立了支公司或者营业部，在涉及农保业务的乡镇/街道设立了服务站，其中胶州市15个，平度市14个，莱西市15个，即墨区35个，崂山区15个，城阳区2个，西海岸19个，共计115个站点。明细列示如下：</w:t>
      </w:r>
    </w:p>
    <w:tbl>
      <w:tblPr>
        <w:tblStyle w:val="15"/>
        <w:tblW w:w="4999" w:type="pct"/>
        <w:jc w:val="center"/>
        <w:tblLayout w:type="autofit"/>
        <w:tblCellMar>
          <w:top w:w="0" w:type="dxa"/>
          <w:left w:w="108" w:type="dxa"/>
          <w:bottom w:w="0" w:type="dxa"/>
          <w:right w:w="108" w:type="dxa"/>
        </w:tblCellMar>
      </w:tblPr>
      <w:tblGrid>
        <w:gridCol w:w="1817"/>
        <w:gridCol w:w="7241"/>
      </w:tblGrid>
      <w:tr>
        <w:tblPrEx>
          <w:tblCellMar>
            <w:top w:w="0" w:type="dxa"/>
            <w:left w:w="108" w:type="dxa"/>
            <w:bottom w:w="0" w:type="dxa"/>
            <w:right w:w="108" w:type="dxa"/>
          </w:tblCellMar>
        </w:tblPrEx>
        <w:trPr>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区(市)</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服务部或站点名称</w:t>
            </w:r>
          </w:p>
        </w:tc>
      </w:tr>
      <w:tr>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平度市</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平度市蓼兰镇三农保险服务站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平度市崔家集镇三农保险服务站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平度市明村镇三农保险服务站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平度市祝沟镇三农保险服务站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平度市旧店镇三农保险服务站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平度市大泽山镇三农保险服务站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平度市凤台街道三农保险服务站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平度市开发区三农保险服务站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平度市张红英水果超市三农保险服务站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平度市晟通汽车修理厂三农保险服务站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平度市凤台曲坊新村三农保险服务站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平度市西岭村三农保险服务站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平度市邢家疃三农保险服务站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平度市大泽山东岳石村三农保险服务站</w:t>
            </w:r>
          </w:p>
        </w:tc>
      </w:tr>
      <w:tr>
        <w:trPr>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即墨区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移风店镇三农服务站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即墨两乡龙山三农服务站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南辛庄三农保险服务站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马龙疃三农保险服务站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北辛庄三农保险服务站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西七级三农保险服务站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东朱家庄三农保险服务站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太平庄三农保险服务站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八里庄三农保险服务站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吴家屯三农保险服务站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林家疃三农保险服务站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傅家三农保险服务站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北岔河三农保险服务站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康家庄三农保险服务站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张李庄三农保险服务站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湍湾三农保险服务站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堤前三农保险服务站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韩家后寨村三农保险服务站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河南崖村三农保险服务站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柳林村三农保险服务站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汪汪泊村三农保险服务站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俞家屯村三农保险服务站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石泉头前村三农保险服务站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汪河水北村三农保险服务站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汪河水南村三农保险服务站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果园村三农保险服务站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满贡二村三农保险服务站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石门村三农保险服务站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前蒲渠店村三农保险服务站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古城村三农保险服务站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城后村三农保险服务站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前白塔村三农保险服务站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后白塔村三农保险服务站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肖家泊子村三农保险服务站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贾戈庄村三农保险服务站</w:t>
            </w:r>
          </w:p>
        </w:tc>
      </w:tr>
      <w:tr>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胶州市</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马店社区三农保险服务站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胶北街道三农保险服务站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杜村社区三农保险服务站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九龙街道三农保险服务站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洋河镇三农保险服务站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里岔镇三农保险服务站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三里河街道三农保险服务站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胶西街道三农保险服务站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云溪社区三农保险服务站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阜安街道三农保险服务站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中云街道三农保险服务站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李哥庄镇三农保险服务站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胶东街道三农保险服务站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铺集镇三农保险服务站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胶莱街道三农保险服务站</w:t>
            </w:r>
          </w:p>
        </w:tc>
      </w:tr>
      <w:tr>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西海岸新区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青岛市自贸片区营销服务部</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小刘家庄村三农保险服务站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季家村三农保险服务站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封家庄三农保险服务站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王台街道学台路三农保险服务站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王台街道安康路三农保险服务站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王台街道东漕汶村三农保险服务站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王台街道田家窑村三农保险服务站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王台街道张小庄村三农保险服务站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王台街道埠上村三农保险服务站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王台街道陈郑屯村三农保险服务站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王台街道大朱阳村三农保险服务站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王台街道河南薛村三农保险服务站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王台街道逄猛孙村三农保险服务站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王台街道小王家庄村三农保险服务站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王台街道殷家台村三农保险服务站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灵珠山街道三农服务站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西海岸新区董家口营销服务部</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西海岸新区王台营销服务部</w:t>
            </w:r>
          </w:p>
        </w:tc>
      </w:tr>
      <w:tr>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莱西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莱西市周格庄三农保险服务站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莱西市河头店镇三农保险服务站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莱西市鲁格庄三农保险服务站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莱西市马连庄三农保险服务站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莱西市南墅三农保险服务站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莱西市马连庄镇龙水路8号三农保险服务站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莱西市马连庄镇096县道农商银行西三农保险服务站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莱西市马连庄镇吉庆路南三农保险服务站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莱西市马连第四人民医院西侧三农保险服务站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莱西市马连庄新村村民委员会三农保险服务站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莱西市经济开发区龙口东路三农保险服务站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望城街道办事处西贤都村1047号三农保险服务站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望城街道办事处西贤都村委会西三农保险服务站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周格庄平安路10号三农保险服务站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周格庄平安路38号三农保险服务站</w:t>
            </w:r>
          </w:p>
        </w:tc>
      </w:tr>
      <w:tr>
        <w:trPr>
          <w:jc w:val="center"/>
        </w:trPr>
        <w:tc>
          <w:tcPr>
            <w:tcW w:w="0" w:type="auto"/>
            <w:vMerge w:val="restart"/>
            <w:tcBorders>
              <w:top w:val="nil"/>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城阳区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惜福镇街道三农服务站</w:t>
            </w:r>
          </w:p>
        </w:tc>
      </w:tr>
      <w:tr>
        <w:tblPrEx>
          <w:tblCellMar>
            <w:top w:w="0" w:type="dxa"/>
            <w:left w:w="108" w:type="dxa"/>
            <w:bottom w:w="0" w:type="dxa"/>
            <w:right w:w="108" w:type="dxa"/>
          </w:tblCellMar>
        </w:tblPrEx>
        <w:trPr>
          <w:jc w:val="center"/>
        </w:trPr>
        <w:tc>
          <w:tcPr>
            <w:tcW w:w="0" w:type="auto"/>
            <w:vMerge w:val="continue"/>
            <w:tcBorders>
              <w:top w:val="nil"/>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夏庄街道三农服务站</w:t>
            </w:r>
          </w:p>
        </w:tc>
      </w:tr>
      <w:tr>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崂山区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东陈村三农保险服务站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沟崖村三农保险服务站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华阳村三农保险服务站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周戈庄村三农保险服务站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大崂村三农保险服务站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毕家村三农保险服务站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北宅科村三农保险服务站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沙子口村三农保险服务站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段家埠村三农保险服务站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西登瀛村三农保险服务站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彭家庄村三农保险服务站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岭西村三农保险服务站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南宅科村三农保险服务站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南崂村三农保险服务站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北姜哥庄村三农保险服务站</w:t>
            </w:r>
          </w:p>
        </w:tc>
      </w:tr>
    </w:tbl>
    <w:p>
      <w:pPr>
        <w:spacing w:line="560" w:lineRule="exact"/>
        <w:ind w:firstLine="560" w:firstLineChars="200"/>
        <w:rPr>
          <w:rFonts w:ascii="仿宋_GB2312" w:cs="宋体"/>
          <w:sz w:val="28"/>
          <w:szCs w:val="28"/>
        </w:rPr>
      </w:pPr>
      <w:r>
        <w:rPr>
          <w:rFonts w:hint="eastAsia" w:ascii="仿宋_GB2312" w:cs="宋体"/>
          <w:sz w:val="28"/>
          <w:szCs w:val="28"/>
        </w:rPr>
        <w:t>综上，</w:t>
      </w:r>
      <w:r>
        <w:rPr>
          <w:rFonts w:hint="eastAsia" w:ascii="仿宋_GB2312" w:cs="宋体"/>
          <w:color w:val="000000"/>
          <w:sz w:val="28"/>
          <w:szCs w:val="28"/>
        </w:rPr>
        <w:t>根据评分标准，</w:t>
      </w:r>
      <w:r>
        <w:rPr>
          <w:rFonts w:hint="eastAsia" w:ascii="仿宋_GB2312" w:cs="宋体"/>
          <w:sz w:val="28"/>
          <w:szCs w:val="28"/>
        </w:rPr>
        <w:t>得4分。</w:t>
      </w:r>
    </w:p>
    <w:p>
      <w:pPr>
        <w:spacing w:line="560" w:lineRule="exact"/>
        <w:ind w:firstLine="560" w:firstLineChars="200"/>
        <w:rPr>
          <w:rFonts w:ascii="仿宋_GB2312" w:cs="宋体"/>
          <w:sz w:val="28"/>
          <w:szCs w:val="28"/>
          <w:lang w:eastAsia="zh-Hans"/>
        </w:rPr>
      </w:pPr>
      <w:r>
        <w:rPr>
          <w:rFonts w:hint="eastAsia" w:ascii="仿宋_GB2312" w:cs="宋体"/>
          <w:sz w:val="28"/>
          <w:szCs w:val="28"/>
          <w:lang w:eastAsia="zh-Hans"/>
        </w:rPr>
        <w:t>4）</w:t>
      </w:r>
      <w:r>
        <w:rPr>
          <w:rFonts w:hint="eastAsia" w:ascii="仿宋_GB2312" w:cs="宋体"/>
          <w:sz w:val="28"/>
          <w:szCs w:val="28"/>
        </w:rPr>
        <w:t>会计核算指标总分5分，实际得分5分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人寿财险根据《农业保险业务单独核算管理办法》（国寿财险办发〔2023〕540号）等相关制度，对目标保险标的保费资金单独建账、分险种核算，本次评价未发现</w:t>
      </w:r>
      <w:r>
        <w:rPr>
          <w:rFonts w:hint="eastAsia" w:ascii="仿宋_GB2312" w:cs="宋体"/>
          <w:color w:val="000000"/>
          <w:sz w:val="28"/>
          <w:szCs w:val="28"/>
        </w:rPr>
        <w:t>人寿财险保险</w:t>
      </w:r>
      <w:r>
        <w:rPr>
          <w:rFonts w:hint="eastAsia" w:ascii="仿宋_GB2312" w:cs="宋体"/>
          <w:sz w:val="28"/>
          <w:szCs w:val="28"/>
        </w:rPr>
        <w:t>收支不规范的情况。</w:t>
      </w:r>
    </w:p>
    <w:p>
      <w:pPr>
        <w:spacing w:line="560" w:lineRule="exact"/>
        <w:ind w:firstLine="560" w:firstLineChars="200"/>
        <w:rPr>
          <w:rFonts w:ascii="仿宋_GB2312" w:cs="宋体"/>
          <w:sz w:val="28"/>
          <w:szCs w:val="28"/>
        </w:rPr>
      </w:pPr>
      <w:r>
        <w:rPr>
          <w:rFonts w:hint="eastAsia" w:ascii="仿宋_GB2312" w:cs="宋体"/>
          <w:sz w:val="28"/>
          <w:szCs w:val="28"/>
        </w:rPr>
        <w:t>综上，</w:t>
      </w:r>
      <w:r>
        <w:rPr>
          <w:rFonts w:hint="eastAsia" w:ascii="仿宋_GB2312" w:cs="宋体"/>
          <w:color w:val="000000"/>
          <w:sz w:val="28"/>
          <w:szCs w:val="28"/>
        </w:rPr>
        <w:t>根据评分标准，</w:t>
      </w:r>
      <w:r>
        <w:rPr>
          <w:rFonts w:hint="eastAsia" w:ascii="仿宋_GB2312" w:cs="宋体"/>
          <w:sz w:val="28"/>
          <w:szCs w:val="28"/>
        </w:rPr>
        <w:t>得5分。</w:t>
      </w:r>
    </w:p>
    <w:p>
      <w:pPr>
        <w:spacing w:line="560" w:lineRule="exact"/>
        <w:ind w:firstLine="560" w:firstLineChars="200"/>
        <w:rPr>
          <w:rFonts w:ascii="仿宋_GB2312" w:cs="宋体"/>
          <w:sz w:val="28"/>
          <w:szCs w:val="28"/>
        </w:rPr>
      </w:pPr>
      <w:r>
        <w:rPr>
          <w:rFonts w:hint="eastAsia" w:ascii="仿宋_GB2312" w:cs="宋体"/>
          <w:sz w:val="28"/>
          <w:szCs w:val="28"/>
        </w:rPr>
        <w:t>5）承保部署指标总分3分，</w:t>
      </w:r>
      <w:r>
        <w:rPr>
          <w:rFonts w:hint="eastAsia" w:ascii="仿宋_GB2312" w:cs="宋体"/>
          <w:color w:val="000000"/>
          <w:sz w:val="28"/>
          <w:szCs w:val="28"/>
        </w:rPr>
        <w:t>实际得分3分</w:t>
      </w:r>
      <w:r>
        <w:rPr>
          <w:rFonts w:hint="eastAsia" w:ascii="仿宋_GB2312" w:cs="宋体"/>
          <w:color w:val="000000"/>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人寿财险拟定了详细的承保服务方案，未发现承保机构的保额、费率、农户保费收缴比例存在不符合农业保险政策规定和工作要求的情况。当年各区（市）均已召开乡、村两级专（兼）职人员业务布置会议。</w:t>
      </w:r>
    </w:p>
    <w:p>
      <w:pPr>
        <w:spacing w:line="560" w:lineRule="exact"/>
        <w:ind w:firstLine="560" w:firstLineChars="200"/>
        <w:rPr>
          <w:rFonts w:ascii="仿宋_GB2312" w:cs="宋体"/>
          <w:sz w:val="28"/>
          <w:szCs w:val="28"/>
        </w:rPr>
      </w:pPr>
      <w:r>
        <w:rPr>
          <w:rFonts w:hint="eastAsia" w:ascii="仿宋_GB2312" w:cs="宋体"/>
          <w:sz w:val="28"/>
          <w:szCs w:val="28"/>
        </w:rPr>
        <w:t>综上，</w:t>
      </w:r>
      <w:r>
        <w:rPr>
          <w:rFonts w:hint="eastAsia" w:ascii="仿宋_GB2312" w:cs="宋体"/>
          <w:color w:val="000000"/>
          <w:sz w:val="28"/>
          <w:szCs w:val="28"/>
        </w:rPr>
        <w:t>根据评分标准，</w:t>
      </w:r>
      <w:r>
        <w:rPr>
          <w:rFonts w:hint="eastAsia" w:ascii="仿宋_GB2312" w:cs="宋体"/>
          <w:sz w:val="28"/>
          <w:szCs w:val="28"/>
        </w:rPr>
        <w:t>得3分。</w:t>
      </w:r>
    </w:p>
    <w:p>
      <w:pPr>
        <w:spacing w:line="560" w:lineRule="exact"/>
        <w:ind w:firstLine="560" w:firstLineChars="200"/>
        <w:rPr>
          <w:rFonts w:ascii="仿宋_GB2312" w:cs="宋体"/>
          <w:sz w:val="28"/>
          <w:szCs w:val="28"/>
        </w:rPr>
      </w:pPr>
      <w:r>
        <w:rPr>
          <w:rFonts w:hint="eastAsia" w:ascii="仿宋_GB2312" w:cs="宋体"/>
          <w:sz w:val="28"/>
          <w:szCs w:val="28"/>
        </w:rPr>
        <w:t>（2）服务水平情况</w:t>
      </w:r>
    </w:p>
    <w:p>
      <w:pPr>
        <w:spacing w:line="560" w:lineRule="exact"/>
        <w:ind w:firstLine="560" w:firstLineChars="200"/>
        <w:rPr>
          <w:rFonts w:ascii="仿宋_GB2312" w:cs="宋体"/>
          <w:sz w:val="28"/>
          <w:szCs w:val="28"/>
        </w:rPr>
      </w:pPr>
      <w:r>
        <w:rPr>
          <w:rFonts w:hint="eastAsia" w:ascii="仿宋_GB2312" w:cs="宋体"/>
          <w:sz w:val="28"/>
          <w:szCs w:val="28"/>
        </w:rPr>
        <w:t>服务水平指标从赔付率、承保任务、理赔规范、理赔时效、减少灾害损失、农户受益度、案件处理率、综合费用率八个方面进行评价。</w:t>
      </w:r>
    </w:p>
    <w:p>
      <w:pPr>
        <w:spacing w:line="560" w:lineRule="exact"/>
        <w:ind w:firstLine="560" w:firstLineChars="200"/>
        <w:rPr>
          <w:rFonts w:ascii="仿宋_GB2312" w:cs="宋体"/>
          <w:sz w:val="28"/>
          <w:szCs w:val="28"/>
        </w:rPr>
      </w:pPr>
      <w:r>
        <w:rPr>
          <w:rFonts w:hint="eastAsia" w:ascii="仿宋_GB2312" w:cs="宋体"/>
          <w:sz w:val="28"/>
          <w:szCs w:val="28"/>
        </w:rPr>
        <w:t>服务水平指标分值47分，实际得分35.16分，得分率为74.81%；</w:t>
      </w:r>
      <w:r>
        <w:rPr>
          <w:rFonts w:hint="eastAsia" w:ascii="仿宋_GB2312" w:cs="宋体"/>
          <w:color w:val="000000"/>
          <w:sz w:val="28"/>
          <w:szCs w:val="28"/>
        </w:rPr>
        <w:t>得分情况见下表：</w:t>
      </w:r>
    </w:p>
    <w:tbl>
      <w:tblPr>
        <w:tblStyle w:val="15"/>
        <w:tblW w:w="4998" w:type="pct"/>
        <w:jc w:val="center"/>
        <w:tblLayout w:type="autofit"/>
        <w:tblCellMar>
          <w:top w:w="0" w:type="dxa"/>
          <w:left w:w="108" w:type="dxa"/>
          <w:bottom w:w="0" w:type="dxa"/>
          <w:right w:w="108" w:type="dxa"/>
        </w:tblCellMar>
      </w:tblPr>
      <w:tblGrid>
        <w:gridCol w:w="1971"/>
        <w:gridCol w:w="2744"/>
        <w:gridCol w:w="1186"/>
        <w:gridCol w:w="1387"/>
        <w:gridCol w:w="1768"/>
      </w:tblGrid>
      <w:tr>
        <w:tblPrEx>
          <w:tblCellMar>
            <w:top w:w="0" w:type="dxa"/>
            <w:left w:w="108" w:type="dxa"/>
            <w:bottom w:w="0" w:type="dxa"/>
            <w:right w:w="108" w:type="dxa"/>
          </w:tblCellMar>
        </w:tblPrEx>
        <w:trPr>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6A6A6"/>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6A6A6"/>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6A6A6"/>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6A6A6"/>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6A6A6"/>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得分率</w:t>
            </w:r>
          </w:p>
        </w:tc>
      </w:tr>
      <w:tr>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服务水平</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（47）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赔付率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3.32</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55.33%</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承保任务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理赔规范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83.33%</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理赔时效</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8</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75.00%</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减少灾害损失</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85.71%</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农户受益度</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2</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28.57%</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案件处理率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4.84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96.80%</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综合费用率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合计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仿宋_GB2312" w:hAnsi="等线" w:cs="等线"/>
                <w:b/>
                <w:bCs/>
                <w:color w:val="000000"/>
                <w:sz w:val="21"/>
                <w:szCs w:val="21"/>
              </w:rPr>
            </w:pPr>
            <w:r>
              <w:rPr>
                <w:rFonts w:hint="eastAsia" w:ascii="仿宋_GB2312" w:hAnsi="等线" w:cs="等线"/>
                <w:b/>
                <w:bCs/>
                <w:color w:val="000000"/>
                <w:kern w:val="0"/>
                <w:sz w:val="21"/>
                <w:szCs w:val="21"/>
                <w:lang w:bidi="ar"/>
              </w:rPr>
              <w:t>47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仿宋_GB2312" w:hAnsi="等线" w:cs="等线"/>
                <w:b/>
                <w:bCs/>
                <w:color w:val="000000"/>
                <w:sz w:val="21"/>
                <w:szCs w:val="21"/>
              </w:rPr>
            </w:pPr>
            <w:r>
              <w:rPr>
                <w:rFonts w:hint="eastAsia" w:ascii="仿宋_GB2312" w:hAnsi="等线" w:cs="等线"/>
                <w:b/>
                <w:bCs/>
                <w:color w:val="000000"/>
                <w:kern w:val="0"/>
                <w:sz w:val="21"/>
                <w:szCs w:val="21"/>
                <w:lang w:bidi="ar"/>
              </w:rPr>
              <w:t>35.16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74.81%</w:t>
            </w:r>
          </w:p>
        </w:tc>
      </w:tr>
    </w:tbl>
    <w:p>
      <w:pPr>
        <w:spacing w:line="560" w:lineRule="exact"/>
        <w:ind w:firstLine="560" w:firstLineChars="200"/>
        <w:rPr>
          <w:rFonts w:ascii="仿宋_GB2312" w:cs="宋体"/>
          <w:sz w:val="28"/>
          <w:szCs w:val="28"/>
        </w:rPr>
      </w:pPr>
      <w:r>
        <w:rPr>
          <w:rFonts w:hint="eastAsia" w:ascii="仿宋_GB2312" w:cs="宋体"/>
          <w:sz w:val="28"/>
          <w:szCs w:val="28"/>
        </w:rPr>
        <w:t>实际得分具体原因分析如下：</w:t>
      </w:r>
    </w:p>
    <w:p>
      <w:pPr>
        <w:spacing w:line="560" w:lineRule="exact"/>
        <w:ind w:firstLine="560" w:firstLineChars="200"/>
        <w:rPr>
          <w:rFonts w:ascii="仿宋_GB2312" w:cs="宋体"/>
          <w:sz w:val="28"/>
          <w:szCs w:val="28"/>
          <w:highlight w:val="yellow"/>
        </w:rPr>
      </w:pPr>
      <w:r>
        <w:rPr>
          <w:rFonts w:hint="eastAsia" w:ascii="仿宋_GB2312" w:cs="宋体"/>
          <w:sz w:val="28"/>
          <w:szCs w:val="28"/>
        </w:rPr>
        <w:t>1）赔付率指标总分6分，实际得分3.32分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人寿财险赔付率=已决赔款/保费收入=3554760.63/5503734=64.59%。全市范围内赔付率最高为102.56%。人寿财险得分=3+((64.59%-60%)/(102.56%-60%))*3=3.32。</w:t>
      </w:r>
    </w:p>
    <w:p>
      <w:pPr>
        <w:spacing w:line="560" w:lineRule="exact"/>
        <w:ind w:firstLine="560" w:firstLineChars="200"/>
        <w:rPr>
          <w:rFonts w:ascii="仿宋_GB2312" w:cs="宋体"/>
          <w:sz w:val="28"/>
          <w:szCs w:val="28"/>
        </w:rPr>
      </w:pPr>
      <w:r>
        <w:rPr>
          <w:rFonts w:hint="eastAsia" w:ascii="仿宋_GB2312" w:cs="宋体"/>
          <w:sz w:val="28"/>
          <w:szCs w:val="28"/>
        </w:rPr>
        <w:t>综上，</w:t>
      </w:r>
      <w:r>
        <w:rPr>
          <w:rFonts w:hint="eastAsia" w:ascii="仿宋_GB2312" w:cs="宋体"/>
          <w:color w:val="000000"/>
          <w:sz w:val="28"/>
          <w:szCs w:val="28"/>
        </w:rPr>
        <w:t>根据评分标准，得</w:t>
      </w:r>
      <w:r>
        <w:rPr>
          <w:rFonts w:hint="eastAsia" w:ascii="仿宋_GB2312" w:cs="宋体"/>
          <w:sz w:val="28"/>
          <w:szCs w:val="28"/>
        </w:rPr>
        <w:t>3.32分。</w:t>
      </w:r>
    </w:p>
    <w:p>
      <w:pPr>
        <w:spacing w:line="560" w:lineRule="exact"/>
        <w:ind w:left="40" w:firstLine="560"/>
        <w:rPr>
          <w:rFonts w:ascii="仿宋_GB2312" w:cs="宋体"/>
          <w:sz w:val="28"/>
          <w:szCs w:val="28"/>
        </w:rPr>
      </w:pPr>
      <w:r>
        <w:rPr>
          <w:rFonts w:hint="eastAsia" w:ascii="仿宋_GB2312" w:cs="宋体"/>
          <w:sz w:val="28"/>
          <w:szCs w:val="28"/>
        </w:rPr>
        <w:t>2)承保任务指标总分3分，实际得分3分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人寿财险已按照财政部门和业务主管部门下达的品种、规模进行承保，</w:t>
      </w:r>
      <w:r>
        <w:rPr>
          <w:rFonts w:hint="eastAsia" w:ascii="仿宋_GB2312" w:cs="宋体"/>
          <w:color w:val="000000"/>
          <w:sz w:val="28"/>
          <w:szCs w:val="28"/>
        </w:rPr>
        <w:t>按时按量完成承保工作。根据评分标准，</w:t>
      </w:r>
      <w:r>
        <w:rPr>
          <w:rFonts w:hint="eastAsia" w:ascii="仿宋_GB2312" w:cs="宋体"/>
          <w:sz w:val="28"/>
          <w:szCs w:val="28"/>
        </w:rPr>
        <w:t>得3分。</w:t>
      </w:r>
    </w:p>
    <w:p>
      <w:pPr>
        <w:spacing w:line="560" w:lineRule="exact"/>
        <w:ind w:left="40" w:firstLine="560"/>
        <w:rPr>
          <w:rFonts w:ascii="仿宋_GB2312" w:cs="宋体"/>
          <w:sz w:val="28"/>
          <w:szCs w:val="28"/>
          <w:lang w:eastAsia="zh-Hans"/>
        </w:rPr>
      </w:pPr>
      <w:r>
        <w:rPr>
          <w:rFonts w:hint="eastAsia" w:ascii="仿宋_GB2312" w:cs="宋体"/>
          <w:sz w:val="28"/>
          <w:szCs w:val="28"/>
        </w:rPr>
        <w:t>3）理赔规范指标总分6分，</w:t>
      </w:r>
      <w:r>
        <w:rPr>
          <w:rFonts w:hint="eastAsia" w:ascii="仿宋_GB2312" w:cs="宋体"/>
          <w:color w:val="000000"/>
          <w:sz w:val="28"/>
          <w:szCs w:val="28"/>
        </w:rPr>
        <w:t>实际得分5分</w:t>
      </w:r>
      <w:r>
        <w:rPr>
          <w:rFonts w:hint="eastAsia" w:ascii="仿宋_GB2312" w:cs="宋体"/>
          <w:color w:val="000000"/>
          <w:sz w:val="28"/>
          <w:szCs w:val="28"/>
          <w:lang w:eastAsia="zh-Hans"/>
        </w:rPr>
        <w:t>。</w:t>
      </w:r>
    </w:p>
    <w:p>
      <w:pPr>
        <w:spacing w:line="560" w:lineRule="exact"/>
        <w:ind w:left="40" w:firstLine="560"/>
        <w:rPr>
          <w:rFonts w:ascii="仿宋_GB2312" w:cs="宋体"/>
          <w:sz w:val="24"/>
        </w:rPr>
      </w:pPr>
      <w:r>
        <w:rPr>
          <w:rFonts w:hint="eastAsia" w:ascii="仿宋_GB2312" w:cs="宋体"/>
          <w:sz w:val="28"/>
          <w:szCs w:val="28"/>
        </w:rPr>
        <w:t>本次现场调研抽查区域为平度市，涉及5个街道及乡镇，根据现场调研结果未有农户反映出现承保机构未到现场查勘定损、未对赔偿金额与农户进行协商、现场核查定损中存在先签字后出定损明细等问题。本次问卷调查收到有效问卷101份，其中有2人认为保险公司在定损过程中存在定损信息留白，先签字，再填写定损结果的情况，87人认为在定损过程中保险理赔员未对赔偿金额与农户进行协商。综合现场调研及问卷调查情况，该指标扣1分。</w:t>
      </w:r>
    </w:p>
    <w:p>
      <w:pPr>
        <w:spacing w:line="560" w:lineRule="exact"/>
        <w:ind w:left="40" w:firstLine="560"/>
        <w:rPr>
          <w:rFonts w:ascii="仿宋_GB2312" w:cs="宋体"/>
          <w:sz w:val="28"/>
          <w:szCs w:val="28"/>
        </w:rPr>
      </w:pPr>
      <w:r>
        <w:rPr>
          <w:rFonts w:hint="eastAsia" w:ascii="仿宋_GB2312" w:cs="宋体"/>
          <w:sz w:val="28"/>
          <w:szCs w:val="28"/>
        </w:rPr>
        <w:t>综上，</w:t>
      </w:r>
      <w:r>
        <w:rPr>
          <w:rFonts w:ascii="仿宋_GB2312" w:cs="宋体"/>
          <w:color w:val="000000"/>
          <w:sz w:val="28"/>
          <w:szCs w:val="28"/>
        </w:rPr>
        <w:t>根据评分标准，</w:t>
      </w:r>
      <w:r>
        <w:rPr>
          <w:rFonts w:ascii="仿宋_GB2312" w:cs="宋体"/>
          <w:sz w:val="28"/>
          <w:szCs w:val="28"/>
        </w:rPr>
        <w:t>得5分。</w:t>
      </w:r>
    </w:p>
    <w:p>
      <w:pPr>
        <w:spacing w:line="560" w:lineRule="exact"/>
        <w:ind w:left="40" w:firstLine="560"/>
        <w:rPr>
          <w:rFonts w:ascii="仿宋_GB2312" w:cs="宋体"/>
          <w:sz w:val="28"/>
          <w:szCs w:val="28"/>
        </w:rPr>
      </w:pPr>
      <w:r>
        <w:rPr>
          <w:rFonts w:hint="eastAsia" w:ascii="仿宋_GB2312" w:cs="宋体"/>
          <w:sz w:val="28"/>
          <w:szCs w:val="28"/>
        </w:rPr>
        <w:t>4)理赔时效指标总分8分，实际得分6分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人寿财险全市政策性农业保险从报案到查勘、从首次查勘到立案、从立案到核赔、从核赔到支付的平均时效得分计算依据如下：</w:t>
      </w:r>
    </w:p>
    <w:tbl>
      <w:tblPr>
        <w:tblStyle w:val="15"/>
        <w:tblW w:w="4997" w:type="pct"/>
        <w:jc w:val="center"/>
        <w:tblLayout w:type="autofit"/>
        <w:tblCellMar>
          <w:top w:w="0" w:type="dxa"/>
          <w:left w:w="108" w:type="dxa"/>
          <w:bottom w:w="0" w:type="dxa"/>
          <w:right w:w="108" w:type="dxa"/>
        </w:tblCellMar>
      </w:tblPr>
      <w:tblGrid>
        <w:gridCol w:w="1934"/>
        <w:gridCol w:w="1511"/>
        <w:gridCol w:w="1941"/>
        <w:gridCol w:w="3016"/>
        <w:gridCol w:w="653"/>
      </w:tblGrid>
      <w:tr>
        <w:tblPrEx>
          <w:tblCellMar>
            <w:top w:w="0" w:type="dxa"/>
            <w:left w:w="108" w:type="dxa"/>
            <w:bottom w:w="0" w:type="dxa"/>
            <w:right w:w="108" w:type="dxa"/>
          </w:tblCellMar>
        </w:tblPrEx>
        <w:trPr>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全市平均时效</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人寿财险平均时效</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超出比例（负数为节约比例）</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从报案到查勘</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1.28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0.30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-76.56%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2.00 </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从首次查勘到立案</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12.71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61.30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382.30%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0.00 </w:t>
            </w:r>
          </w:p>
        </w:tc>
      </w:tr>
      <w:tr>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从立案到核赔</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19.19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19.91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3.75%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2.00 </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从核赔到支付</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1.37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0.72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-47.45%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2.00 </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合计</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b/>
                <w:bCs/>
                <w:color w:val="000000"/>
                <w:sz w:val="21"/>
                <w:szCs w:val="21"/>
              </w:rPr>
            </w:pPr>
            <w:r>
              <w:rPr>
                <w:rFonts w:hint="eastAsia" w:ascii="仿宋_GB2312" w:hAnsi="等线" w:cs="仿宋_GB2312"/>
                <w:b/>
                <w:bCs/>
                <w:color w:val="000000"/>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b/>
                <w:bCs/>
                <w:color w:val="000000"/>
                <w:sz w:val="21"/>
                <w:szCs w:val="21"/>
              </w:rPr>
            </w:pPr>
            <w:r>
              <w:rPr>
                <w:rFonts w:hint="eastAsia" w:ascii="仿宋_GB2312" w:hAnsi="等线" w:cs="仿宋_GB2312"/>
                <w:b/>
                <w:bCs/>
                <w:color w:val="000000"/>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b/>
                <w:bCs/>
                <w:color w:val="000000"/>
                <w:sz w:val="21"/>
                <w:szCs w:val="21"/>
              </w:rPr>
            </w:pPr>
            <w:r>
              <w:rPr>
                <w:rFonts w:hint="eastAsia" w:ascii="仿宋_GB2312" w:hAnsi="等线" w:cs="仿宋_GB2312"/>
                <w:b/>
                <w:bCs/>
                <w:color w:val="000000"/>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 xml:space="preserve">6.00 </w:t>
            </w:r>
          </w:p>
        </w:tc>
      </w:tr>
    </w:tbl>
    <w:p>
      <w:pPr>
        <w:spacing w:line="560" w:lineRule="exact"/>
        <w:ind w:firstLine="560" w:firstLineChars="200"/>
        <w:rPr>
          <w:rFonts w:ascii="仿宋_GB2312" w:cs="宋体"/>
          <w:sz w:val="28"/>
          <w:szCs w:val="28"/>
        </w:rPr>
      </w:pPr>
      <w:r>
        <w:rPr>
          <w:rFonts w:hint="eastAsia" w:ascii="仿宋_GB2312" w:cs="宋体"/>
          <w:sz w:val="28"/>
          <w:szCs w:val="28"/>
        </w:rPr>
        <w:t>其中，人寿财险从首次查勘到立案平均时效为61.30（天），与全市平均时效对比来看，超出比例为382.30%，较为异常。根据项目单位提供资料，异常天数均发生在蔬菜收入保险业务中，该险种主要受极端天气与险种特殊核算机制的双重影响。起保初期（2025年10月初）青岛即遭遇持续降雨，导致田间作业受阻且正值生长期的作物损失短期内难以核定。此外，该险种理赔需结合最终产量与采价期市场实际价格进行综合测算，在关键定损要素齐备前无法确定是否触发保险责任。为后期开展理赔时掌握完整的受灾资料，人寿财险提前开展了查勘工作，客观上也导致周期的延长。</w:t>
      </w:r>
    </w:p>
    <w:p>
      <w:pPr>
        <w:spacing w:line="560" w:lineRule="exact"/>
        <w:ind w:firstLine="560" w:firstLineChars="200"/>
        <w:rPr>
          <w:rFonts w:ascii="仿宋_GB2312" w:cs="宋体"/>
          <w:sz w:val="28"/>
          <w:szCs w:val="28"/>
        </w:rPr>
      </w:pPr>
      <w:r>
        <w:rPr>
          <w:rFonts w:hint="eastAsia" w:ascii="仿宋_GB2312" w:cs="宋体"/>
          <w:sz w:val="28"/>
          <w:szCs w:val="28"/>
        </w:rPr>
        <w:t>综上，</w:t>
      </w:r>
      <w:r>
        <w:rPr>
          <w:rFonts w:hint="eastAsia" w:ascii="仿宋_GB2312" w:cs="宋体"/>
          <w:color w:val="000000"/>
          <w:sz w:val="28"/>
          <w:szCs w:val="28"/>
        </w:rPr>
        <w:t>根据评分标准，</w:t>
      </w:r>
      <w:r>
        <w:rPr>
          <w:rFonts w:hint="eastAsia" w:ascii="仿宋_GB2312" w:cs="宋体"/>
          <w:sz w:val="28"/>
          <w:szCs w:val="28"/>
        </w:rPr>
        <w:t>得6分。</w:t>
      </w:r>
    </w:p>
    <w:p>
      <w:pPr>
        <w:spacing w:line="560" w:lineRule="exact"/>
        <w:ind w:left="40" w:firstLine="560"/>
        <w:rPr>
          <w:rFonts w:ascii="仿宋_GB2312" w:cs="宋体"/>
          <w:sz w:val="28"/>
          <w:szCs w:val="28"/>
        </w:rPr>
      </w:pPr>
      <w:r>
        <w:rPr>
          <w:rFonts w:hint="eastAsia" w:ascii="仿宋_GB2312" w:cs="宋体"/>
          <w:sz w:val="28"/>
          <w:szCs w:val="28"/>
        </w:rPr>
        <w:t>5）减少灾害损失指标总分7分，</w:t>
      </w:r>
      <w:r>
        <w:rPr>
          <w:rFonts w:hint="eastAsia" w:ascii="仿宋_GB2312" w:cs="宋体"/>
          <w:color w:val="000000"/>
          <w:sz w:val="28"/>
          <w:szCs w:val="28"/>
        </w:rPr>
        <w:t>实际得分6分</w:t>
      </w:r>
      <w:r>
        <w:rPr>
          <w:rFonts w:hint="eastAsia" w:ascii="仿宋_GB2312" w:cs="宋体"/>
          <w:color w:val="000000"/>
          <w:sz w:val="28"/>
          <w:szCs w:val="28"/>
          <w:lang w:eastAsia="zh-Hans"/>
        </w:rPr>
        <w:t>。</w:t>
      </w:r>
    </w:p>
    <w:p>
      <w:pPr>
        <w:spacing w:line="560" w:lineRule="exact"/>
        <w:ind w:left="40" w:firstLine="560"/>
        <w:rPr>
          <w:rFonts w:ascii="仿宋_GB2312" w:cs="宋体"/>
          <w:sz w:val="28"/>
          <w:szCs w:val="28"/>
        </w:rPr>
      </w:pPr>
      <w:r>
        <w:rPr>
          <w:rFonts w:hint="eastAsia" w:ascii="仿宋_GB2312" w:cs="宋体"/>
          <w:sz w:val="28"/>
          <w:szCs w:val="28"/>
        </w:rPr>
        <w:t>根据人寿财险提供的减少灾害损失样本表，2025年度人寿财险的损失补偿率为100%。根据问卷调查情况来看，有14.85%的农户认为损失补偿率在30%以下；有14.85%的农户认为损失补偿率在30%（含）-50%；有33.66%的农户认为损失补偿率在50%（含）-80%；有36.63%的农户认为损失补偿率在80%（含）-100%。考虑到双方估算的立场差异导致的数据差异影响，本项酌情扣1分。</w:t>
      </w:r>
    </w:p>
    <w:p>
      <w:pPr>
        <w:spacing w:line="560" w:lineRule="exact"/>
        <w:ind w:left="40" w:firstLine="560"/>
        <w:rPr>
          <w:rFonts w:ascii="仿宋_GB2312" w:cs="宋体"/>
          <w:sz w:val="28"/>
          <w:szCs w:val="28"/>
        </w:rPr>
      </w:pPr>
      <w:r>
        <w:rPr>
          <w:rFonts w:hint="eastAsia" w:ascii="仿宋_GB2312" w:cs="宋体"/>
          <w:sz w:val="28"/>
          <w:szCs w:val="28"/>
        </w:rPr>
        <w:t>综上，</w:t>
      </w:r>
      <w:r>
        <w:rPr>
          <w:rFonts w:hint="eastAsia" w:ascii="仿宋_GB2312" w:cs="宋体"/>
          <w:color w:val="000000"/>
          <w:sz w:val="28"/>
          <w:szCs w:val="28"/>
        </w:rPr>
        <w:t>根据评分标准，</w:t>
      </w:r>
      <w:r>
        <w:rPr>
          <w:rFonts w:hint="eastAsia" w:ascii="仿宋_GB2312" w:cs="宋体"/>
          <w:sz w:val="28"/>
          <w:szCs w:val="28"/>
        </w:rPr>
        <w:t>得6分。</w:t>
      </w:r>
    </w:p>
    <w:p>
      <w:pPr>
        <w:spacing w:line="560" w:lineRule="exact"/>
        <w:ind w:left="40" w:firstLine="560"/>
        <w:rPr>
          <w:rFonts w:ascii="仿宋_GB2312" w:cs="宋体"/>
          <w:sz w:val="28"/>
          <w:szCs w:val="28"/>
        </w:rPr>
      </w:pPr>
      <w:r>
        <w:rPr>
          <w:rFonts w:hint="eastAsia" w:ascii="仿宋_GB2312" w:cs="宋体"/>
          <w:sz w:val="28"/>
          <w:szCs w:val="28"/>
        </w:rPr>
        <w:t>6）农户受益度指标总分7分，实际得分2分</w:t>
      </w:r>
      <w:r>
        <w:rPr>
          <w:rFonts w:hint="eastAsia" w:ascii="仿宋_GB2312" w:cs="宋体"/>
          <w:sz w:val="28"/>
          <w:szCs w:val="28"/>
          <w:lang w:eastAsia="zh-Hans"/>
        </w:rPr>
        <w:t>。</w:t>
      </w:r>
    </w:p>
    <w:p>
      <w:pPr>
        <w:spacing w:line="560" w:lineRule="exact"/>
        <w:ind w:left="40" w:firstLine="560"/>
        <w:rPr>
          <w:rFonts w:ascii="仿宋_GB2312" w:cs="宋体"/>
          <w:sz w:val="28"/>
          <w:szCs w:val="28"/>
        </w:rPr>
      </w:pPr>
      <w:r>
        <w:rPr>
          <w:rFonts w:hint="eastAsia" w:ascii="仿宋_GB2312" w:cs="宋体"/>
          <w:sz w:val="28"/>
          <w:szCs w:val="28"/>
        </w:rPr>
        <w:t>人寿财险农户受益度=农户获得的赔款总金额/受灾农户自缴保费=3554760.63/1173032.43=3.03倍。</w:t>
      </w:r>
    </w:p>
    <w:p>
      <w:pPr>
        <w:spacing w:line="560" w:lineRule="exact"/>
        <w:ind w:left="40" w:firstLine="560"/>
        <w:rPr>
          <w:rFonts w:ascii="仿宋_GB2312" w:cs="宋体"/>
          <w:sz w:val="28"/>
          <w:szCs w:val="28"/>
        </w:rPr>
      </w:pPr>
      <w:r>
        <w:rPr>
          <w:rFonts w:hint="eastAsia" w:ascii="仿宋_GB2312" w:cs="宋体"/>
          <w:sz w:val="28"/>
          <w:szCs w:val="28"/>
        </w:rPr>
        <w:t>综上，</w:t>
      </w:r>
      <w:r>
        <w:rPr>
          <w:rFonts w:hint="eastAsia" w:ascii="仿宋_GB2312" w:cs="宋体"/>
          <w:color w:val="000000"/>
          <w:sz w:val="28"/>
          <w:szCs w:val="28"/>
        </w:rPr>
        <w:t>根据评分标准，</w:t>
      </w:r>
      <w:r>
        <w:rPr>
          <w:rFonts w:hint="eastAsia" w:ascii="仿宋_GB2312" w:cs="宋体"/>
          <w:sz w:val="28"/>
          <w:szCs w:val="28"/>
        </w:rPr>
        <w:t>得2分。</w:t>
      </w:r>
    </w:p>
    <w:p>
      <w:pPr>
        <w:spacing w:line="560" w:lineRule="exact"/>
        <w:ind w:left="40" w:firstLine="560"/>
        <w:rPr>
          <w:rFonts w:ascii="仿宋_GB2312" w:cs="宋体"/>
          <w:sz w:val="28"/>
          <w:szCs w:val="28"/>
        </w:rPr>
      </w:pPr>
      <w:r>
        <w:rPr>
          <w:rFonts w:hint="eastAsia" w:ascii="仿宋_GB2312" w:cs="宋体"/>
          <w:sz w:val="28"/>
          <w:szCs w:val="28"/>
        </w:rPr>
        <w:t>7）案件处理率指标总分5分，实际得分4.84分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案件处理率以承保机构案件处理率最高值为基准值，该承保机构得满分。本次评价案件处理率最高值为99.51%，人寿财险案件处理率=已处理立案件数/总立案件数=370/384=96.35%，得分=案例处理率/基准值*5分=96.35%/99.51%*5=4.84分。</w:t>
      </w:r>
    </w:p>
    <w:p>
      <w:pPr>
        <w:spacing w:line="560" w:lineRule="exact"/>
        <w:ind w:firstLine="560" w:firstLineChars="200"/>
        <w:rPr>
          <w:rFonts w:ascii="仿宋_GB2312" w:cs="宋体"/>
          <w:sz w:val="28"/>
          <w:szCs w:val="28"/>
        </w:rPr>
      </w:pPr>
      <w:r>
        <w:rPr>
          <w:rFonts w:hint="eastAsia" w:ascii="仿宋_GB2312" w:cs="宋体"/>
          <w:sz w:val="28"/>
          <w:szCs w:val="28"/>
        </w:rPr>
        <w:t>综上，</w:t>
      </w:r>
      <w:r>
        <w:rPr>
          <w:rFonts w:hint="eastAsia" w:ascii="仿宋_GB2312" w:cs="宋体"/>
          <w:color w:val="000000"/>
          <w:sz w:val="28"/>
          <w:szCs w:val="28"/>
        </w:rPr>
        <w:t>根据评分标准，</w:t>
      </w:r>
      <w:r>
        <w:rPr>
          <w:rFonts w:hint="eastAsia" w:ascii="仿宋_GB2312" w:cs="宋体"/>
          <w:sz w:val="28"/>
          <w:szCs w:val="28"/>
        </w:rPr>
        <w:t>得4.84分。</w:t>
      </w:r>
    </w:p>
    <w:p>
      <w:pPr>
        <w:spacing w:line="560" w:lineRule="exact"/>
        <w:ind w:left="40" w:firstLine="560"/>
        <w:rPr>
          <w:rFonts w:ascii="仿宋_GB2312" w:cs="宋体"/>
          <w:sz w:val="28"/>
          <w:szCs w:val="28"/>
        </w:rPr>
      </w:pPr>
      <w:r>
        <w:rPr>
          <w:rFonts w:hint="eastAsia" w:ascii="仿宋_GB2312" w:cs="宋体"/>
          <w:sz w:val="28"/>
          <w:szCs w:val="28"/>
        </w:rPr>
        <w:t>8）综合费用率指标总分5分，</w:t>
      </w:r>
      <w:r>
        <w:rPr>
          <w:rFonts w:hint="eastAsia" w:ascii="仿宋_GB2312" w:cs="宋体"/>
          <w:color w:val="000000"/>
          <w:sz w:val="28"/>
          <w:szCs w:val="28"/>
        </w:rPr>
        <w:t>实际得分5分</w:t>
      </w:r>
      <w:r>
        <w:rPr>
          <w:rFonts w:hint="eastAsia" w:ascii="仿宋_GB2312" w:cs="宋体"/>
          <w:color w:val="000000"/>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2025年度人寿财险政策性农业保险综合费用率=费用/已赚净保费=749492.29/15144756.83=4.95%&lt;20%。</w:t>
      </w:r>
    </w:p>
    <w:p>
      <w:pPr>
        <w:spacing w:line="560" w:lineRule="exact"/>
        <w:ind w:firstLine="560" w:firstLineChars="200"/>
        <w:rPr>
          <w:rFonts w:ascii="仿宋_GB2312" w:cs="宋体"/>
          <w:sz w:val="28"/>
          <w:szCs w:val="28"/>
        </w:rPr>
      </w:pPr>
      <w:r>
        <w:rPr>
          <w:rFonts w:hint="eastAsia" w:ascii="仿宋_GB2312" w:cs="宋体"/>
          <w:sz w:val="28"/>
          <w:szCs w:val="28"/>
        </w:rPr>
        <w:t>综上，</w:t>
      </w:r>
      <w:r>
        <w:rPr>
          <w:rFonts w:hint="eastAsia" w:ascii="仿宋_GB2312" w:cs="宋体"/>
          <w:color w:val="000000"/>
          <w:sz w:val="28"/>
          <w:szCs w:val="28"/>
        </w:rPr>
        <w:t>根据评分标准，</w:t>
      </w:r>
      <w:r>
        <w:rPr>
          <w:rFonts w:hint="eastAsia" w:ascii="仿宋_GB2312" w:cs="宋体"/>
          <w:sz w:val="28"/>
          <w:szCs w:val="28"/>
        </w:rPr>
        <w:t>得5分。</w:t>
      </w:r>
    </w:p>
    <w:p>
      <w:pPr>
        <w:spacing w:line="560" w:lineRule="exact"/>
        <w:ind w:firstLine="560" w:firstLineChars="200"/>
        <w:rPr>
          <w:rFonts w:ascii="仿宋_GB2312" w:cs="宋体"/>
          <w:sz w:val="28"/>
          <w:szCs w:val="28"/>
        </w:rPr>
      </w:pPr>
      <w:r>
        <w:rPr>
          <w:rFonts w:hint="eastAsia" w:ascii="仿宋_GB2312" w:cs="宋体"/>
          <w:sz w:val="28"/>
          <w:szCs w:val="28"/>
        </w:rPr>
        <w:t>（3）</w:t>
      </w:r>
      <w:r>
        <w:rPr>
          <w:rFonts w:hint="eastAsia" w:ascii="仿宋_GB2312" w:hAnsi="宋体" w:cs="宋体"/>
          <w:sz w:val="28"/>
          <w:szCs w:val="28"/>
        </w:rPr>
        <w:t>保单管理</w:t>
      </w:r>
      <w:r>
        <w:rPr>
          <w:rFonts w:hint="eastAsia" w:ascii="仿宋_GB2312" w:cs="宋体"/>
          <w:sz w:val="28"/>
          <w:szCs w:val="28"/>
        </w:rPr>
        <w:t>情况</w:t>
      </w:r>
    </w:p>
    <w:p>
      <w:pPr>
        <w:spacing w:line="560" w:lineRule="exact"/>
        <w:ind w:firstLine="560" w:firstLineChars="200"/>
        <w:rPr>
          <w:rFonts w:ascii="仿宋_GB2312" w:cs="宋体"/>
          <w:sz w:val="28"/>
          <w:szCs w:val="28"/>
        </w:rPr>
      </w:pPr>
      <w:r>
        <w:rPr>
          <w:rFonts w:hint="eastAsia" w:ascii="仿宋_GB2312" w:hAnsi="宋体" w:cs="宋体"/>
          <w:sz w:val="28"/>
          <w:szCs w:val="28"/>
        </w:rPr>
        <w:t>保单管理</w:t>
      </w:r>
      <w:r>
        <w:rPr>
          <w:rFonts w:hint="eastAsia" w:ascii="仿宋_GB2312" w:cs="宋体"/>
          <w:sz w:val="28"/>
          <w:szCs w:val="28"/>
        </w:rPr>
        <w:t>指标从规范展业承保、信息公示、保单完</w:t>
      </w:r>
      <w:r>
        <w:rPr>
          <w:rFonts w:hint="eastAsia" w:ascii="仿宋_GB2312" w:cs="宋体"/>
          <w:color w:val="000000"/>
          <w:sz w:val="28"/>
          <w:szCs w:val="28"/>
        </w:rPr>
        <w:t>整</w:t>
      </w:r>
      <w:r>
        <w:rPr>
          <w:rFonts w:hint="eastAsia" w:ascii="仿宋_GB2312" w:cs="宋体"/>
          <w:sz w:val="28"/>
          <w:szCs w:val="28"/>
        </w:rPr>
        <w:t>、准确性三个方面进行评价。</w:t>
      </w:r>
    </w:p>
    <w:p>
      <w:pPr>
        <w:spacing w:line="560" w:lineRule="exact"/>
        <w:ind w:firstLine="560" w:firstLineChars="200"/>
        <w:rPr>
          <w:rFonts w:ascii="仿宋_GB2312" w:cs="宋体"/>
          <w:sz w:val="28"/>
          <w:szCs w:val="28"/>
        </w:rPr>
      </w:pPr>
      <w:r>
        <w:rPr>
          <w:rFonts w:hint="eastAsia" w:ascii="仿宋_GB2312" w:hAnsi="宋体" w:cs="宋体"/>
          <w:sz w:val="28"/>
          <w:szCs w:val="28"/>
        </w:rPr>
        <w:t>保单管理</w:t>
      </w:r>
      <w:r>
        <w:rPr>
          <w:rFonts w:hint="eastAsia" w:ascii="仿宋_GB2312" w:cs="宋体"/>
          <w:sz w:val="28"/>
          <w:szCs w:val="28"/>
        </w:rPr>
        <w:t>指标分值18分，实际得分14分，得分率为77.78%；</w:t>
      </w:r>
      <w:r>
        <w:rPr>
          <w:rFonts w:hint="eastAsia" w:ascii="仿宋_GB2312" w:cs="宋体"/>
          <w:color w:val="000000"/>
          <w:sz w:val="28"/>
          <w:szCs w:val="28"/>
        </w:rPr>
        <w:t>得分情况见下表：</w:t>
      </w:r>
    </w:p>
    <w:tbl>
      <w:tblPr>
        <w:tblStyle w:val="15"/>
        <w:tblW w:w="4998" w:type="pct"/>
        <w:jc w:val="center"/>
        <w:tblLayout w:type="autofit"/>
        <w:tblCellMar>
          <w:top w:w="0" w:type="dxa"/>
          <w:left w:w="108" w:type="dxa"/>
          <w:bottom w:w="0" w:type="dxa"/>
          <w:right w:w="108" w:type="dxa"/>
        </w:tblCellMar>
      </w:tblPr>
      <w:tblGrid>
        <w:gridCol w:w="1920"/>
        <w:gridCol w:w="3282"/>
        <w:gridCol w:w="1104"/>
        <w:gridCol w:w="1104"/>
        <w:gridCol w:w="1646"/>
      </w:tblGrid>
      <w:tr>
        <w:tblPrEx>
          <w:tblCellMar>
            <w:top w:w="0" w:type="dxa"/>
            <w:left w:w="108" w:type="dxa"/>
            <w:bottom w:w="0" w:type="dxa"/>
            <w:right w:w="108" w:type="dxa"/>
          </w:tblCellMar>
        </w:tblPrEx>
        <w:trPr>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6A6A6"/>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6A6A6"/>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6A6A6"/>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6A6A6"/>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6A6A6"/>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得分率</w:t>
            </w:r>
          </w:p>
        </w:tc>
      </w:tr>
      <w:tr>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保单管理</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（18分）</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规范展业承保</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信息公示</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60.00%</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保单完整、准确性</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66.67%</w:t>
            </w:r>
          </w:p>
        </w:tc>
      </w:tr>
      <w:tr>
        <w:tblPrEx>
          <w:tblCellMar>
            <w:top w:w="0" w:type="dxa"/>
            <w:left w:w="108" w:type="dxa"/>
            <w:bottom w:w="0" w:type="dxa"/>
            <w:right w:w="108" w:type="dxa"/>
          </w:tblCellMar>
        </w:tblPrEx>
        <w:trPr>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合计</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18</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14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77.78%</w:t>
            </w:r>
          </w:p>
        </w:tc>
      </w:tr>
    </w:tbl>
    <w:p>
      <w:pPr>
        <w:spacing w:line="560" w:lineRule="exact"/>
        <w:ind w:firstLine="560" w:firstLineChars="200"/>
        <w:rPr>
          <w:rFonts w:ascii="仿宋_GB2312" w:cs="宋体"/>
          <w:sz w:val="28"/>
          <w:szCs w:val="28"/>
        </w:rPr>
      </w:pPr>
      <w:r>
        <w:rPr>
          <w:rFonts w:hint="eastAsia" w:ascii="仿宋_GB2312" w:cs="宋体"/>
          <w:sz w:val="28"/>
          <w:szCs w:val="28"/>
        </w:rPr>
        <w:t>实际得分具体原因分析如下：</w:t>
      </w:r>
    </w:p>
    <w:p>
      <w:pPr>
        <w:spacing w:line="560" w:lineRule="exact"/>
        <w:ind w:firstLine="560" w:firstLineChars="200"/>
        <w:rPr>
          <w:rFonts w:ascii="仿宋_GB2312" w:cs="宋体"/>
          <w:sz w:val="28"/>
          <w:szCs w:val="28"/>
        </w:rPr>
      </w:pPr>
      <w:r>
        <w:rPr>
          <w:rFonts w:hint="eastAsia" w:ascii="仿宋_GB2312" w:cs="宋体"/>
          <w:sz w:val="28"/>
          <w:szCs w:val="28"/>
        </w:rPr>
        <w:t>1）规范展业承保指标总分7分，实际得分7分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未发现人寿财险不执行“见费出单”制度的情况，以行政村为单位集中投保的，有项目齐全的承保清单，未发现有不齐全的情况。</w:t>
      </w:r>
    </w:p>
    <w:p>
      <w:pPr>
        <w:spacing w:line="560" w:lineRule="exact"/>
        <w:ind w:firstLine="560" w:firstLineChars="200"/>
        <w:rPr>
          <w:rFonts w:ascii="仿宋_GB2312" w:cs="宋体"/>
          <w:sz w:val="28"/>
          <w:szCs w:val="28"/>
        </w:rPr>
      </w:pPr>
      <w:r>
        <w:rPr>
          <w:rFonts w:hint="eastAsia" w:ascii="仿宋_GB2312" w:cs="宋体"/>
          <w:sz w:val="28"/>
          <w:szCs w:val="28"/>
        </w:rPr>
        <w:t>综上，根据评分标准，本项得7分。</w:t>
      </w:r>
    </w:p>
    <w:p>
      <w:pPr>
        <w:spacing w:line="560" w:lineRule="exact"/>
        <w:ind w:firstLine="560" w:firstLineChars="200"/>
        <w:rPr>
          <w:rFonts w:ascii="仿宋_GB2312" w:cs="宋体"/>
          <w:sz w:val="28"/>
          <w:szCs w:val="28"/>
          <w:highlight w:val="yellow"/>
        </w:rPr>
      </w:pPr>
      <w:r>
        <w:rPr>
          <w:rFonts w:hint="eastAsia" w:ascii="仿宋_GB2312" w:cs="宋体"/>
          <w:sz w:val="28"/>
          <w:szCs w:val="28"/>
        </w:rPr>
        <w:t>2）信息公示指标总分</w:t>
      </w:r>
      <w:r>
        <w:rPr>
          <w:rFonts w:ascii="仿宋_GB2312" w:cs="宋体"/>
          <w:sz w:val="28"/>
          <w:szCs w:val="28"/>
        </w:rPr>
        <w:t>5</w:t>
      </w:r>
      <w:r>
        <w:rPr>
          <w:rFonts w:hint="eastAsia" w:ascii="仿宋_GB2312" w:cs="宋体"/>
          <w:sz w:val="28"/>
          <w:szCs w:val="28"/>
        </w:rPr>
        <w:t>分，实际得分3分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根据现场检查电子档案资料，存在承保公示清单中，投保单号未填写；理赔公示日期早于立案时间等问题。具体问题列示详见下表:</w:t>
      </w:r>
    </w:p>
    <w:tbl>
      <w:tblPr>
        <w:tblStyle w:val="15"/>
        <w:tblW w:w="5000" w:type="pct"/>
        <w:jc w:val="center"/>
        <w:tblLayout w:type="autofit"/>
        <w:tblCellMar>
          <w:top w:w="0" w:type="dxa"/>
          <w:left w:w="108" w:type="dxa"/>
          <w:bottom w:w="0" w:type="dxa"/>
          <w:right w:w="108" w:type="dxa"/>
        </w:tblCellMar>
      </w:tblPr>
      <w:tblGrid>
        <w:gridCol w:w="638"/>
        <w:gridCol w:w="2946"/>
        <w:gridCol w:w="2736"/>
        <w:gridCol w:w="1093"/>
        <w:gridCol w:w="1647"/>
      </w:tblGrid>
      <w:tr>
        <w:tblPrEx>
          <w:tblCellMar>
            <w:top w:w="0" w:type="dxa"/>
            <w:left w:w="108" w:type="dxa"/>
            <w:bottom w:w="0" w:type="dxa"/>
            <w:right w:w="108" w:type="dxa"/>
          </w:tblCellMar>
        </w:tblPrEx>
        <w:trPr>
          <w:tblHeader/>
          <w:jc w:val="center"/>
        </w:trPr>
        <w:tc>
          <w:tcPr>
            <w:tcW w:w="352" w:type="pct"/>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序号</w:t>
            </w:r>
          </w:p>
        </w:tc>
        <w:tc>
          <w:tcPr>
            <w:tcW w:w="1626" w:type="pct"/>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保单号</w:t>
            </w:r>
          </w:p>
        </w:tc>
        <w:tc>
          <w:tcPr>
            <w:tcW w:w="1510" w:type="pct"/>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险种</w:t>
            </w:r>
          </w:p>
        </w:tc>
        <w:tc>
          <w:tcPr>
            <w:tcW w:w="603" w:type="pct"/>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承保公示</w:t>
            </w:r>
          </w:p>
        </w:tc>
        <w:tc>
          <w:tcPr>
            <w:tcW w:w="909" w:type="pct"/>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理赔公示</w:t>
            </w:r>
          </w:p>
        </w:tc>
      </w:tr>
      <w:tr>
        <w:tblPrEx>
          <w:tblCellMar>
            <w:top w:w="0" w:type="dxa"/>
            <w:left w:w="108" w:type="dxa"/>
            <w:bottom w:w="0" w:type="dxa"/>
            <w:right w:w="108" w:type="dxa"/>
          </w:tblCellMar>
        </w:tblPrEx>
        <w:trPr>
          <w:tblHeader/>
          <w:jc w:val="center"/>
        </w:trPr>
        <w:tc>
          <w:tcPr>
            <w:tcW w:w="352" w:type="pct"/>
            <w:vMerge w:val="continue"/>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jc w:val="center"/>
              <w:rPr>
                <w:rFonts w:hint="eastAsia" w:ascii="仿宋_GB2312" w:hAnsi="等线" w:cs="仿宋_GB2312"/>
                <w:b/>
                <w:bCs/>
                <w:color w:val="000000"/>
                <w:sz w:val="21"/>
                <w:szCs w:val="21"/>
              </w:rPr>
            </w:pPr>
          </w:p>
        </w:tc>
        <w:tc>
          <w:tcPr>
            <w:tcW w:w="1626" w:type="pct"/>
            <w:vMerge w:val="continue"/>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jc w:val="center"/>
              <w:rPr>
                <w:rFonts w:hint="eastAsia" w:ascii="仿宋_GB2312" w:hAnsi="等线" w:cs="仿宋_GB2312"/>
                <w:b/>
                <w:bCs/>
                <w:color w:val="000000"/>
                <w:sz w:val="21"/>
                <w:szCs w:val="21"/>
              </w:rPr>
            </w:pPr>
          </w:p>
        </w:tc>
        <w:tc>
          <w:tcPr>
            <w:tcW w:w="1510" w:type="pct"/>
            <w:vMerge w:val="continue"/>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jc w:val="center"/>
              <w:rPr>
                <w:rFonts w:hint="eastAsia" w:ascii="仿宋_GB2312" w:hAnsi="等线" w:cs="仿宋_GB2312"/>
                <w:b/>
                <w:bCs/>
                <w:color w:val="000000"/>
                <w:sz w:val="21"/>
                <w:szCs w:val="21"/>
              </w:rPr>
            </w:pPr>
          </w:p>
        </w:tc>
        <w:tc>
          <w:tcPr>
            <w:tcW w:w="603" w:type="pct"/>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投保单号未填写</w:t>
            </w:r>
          </w:p>
        </w:tc>
        <w:tc>
          <w:tcPr>
            <w:tcW w:w="909" w:type="pct"/>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理赔公示日期早于立案时间</w:t>
            </w:r>
          </w:p>
        </w:tc>
      </w:tr>
      <w:tr>
        <w:tblPrEx>
          <w:tblCellMar>
            <w:top w:w="0" w:type="dxa"/>
            <w:left w:w="108" w:type="dxa"/>
            <w:bottom w:w="0" w:type="dxa"/>
            <w:right w:w="108" w:type="dxa"/>
          </w:tblCellMar>
        </w:tblPrEx>
        <w:trPr>
          <w:jc w:val="center"/>
        </w:trPr>
        <w:tc>
          <w:tcPr>
            <w:tcW w:w="35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w:t>
            </w:r>
          </w:p>
        </w:tc>
        <w:tc>
          <w:tcPr>
            <w:tcW w:w="162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66313499992025370282000023</w:t>
            </w:r>
          </w:p>
        </w:tc>
        <w:tc>
          <w:tcPr>
            <w:tcW w:w="151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萝卜种植天气综合指数保险</w:t>
            </w:r>
          </w:p>
        </w:tc>
        <w:tc>
          <w:tcPr>
            <w:tcW w:w="60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w:t>
            </w:r>
          </w:p>
        </w:tc>
        <w:tc>
          <w:tcPr>
            <w:tcW w:w="90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等线" w:cs="仿宋_GB2312"/>
                <w:color w:val="000000"/>
                <w:sz w:val="21"/>
                <w:szCs w:val="21"/>
              </w:rPr>
            </w:pPr>
          </w:p>
        </w:tc>
      </w:tr>
      <w:tr>
        <w:trPr>
          <w:jc w:val="center"/>
        </w:trPr>
        <w:tc>
          <w:tcPr>
            <w:tcW w:w="35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2</w:t>
            </w:r>
          </w:p>
        </w:tc>
        <w:tc>
          <w:tcPr>
            <w:tcW w:w="162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66313499992025370282000034</w:t>
            </w:r>
          </w:p>
        </w:tc>
        <w:tc>
          <w:tcPr>
            <w:tcW w:w="151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萝卜种植天气综合指数保险</w:t>
            </w:r>
          </w:p>
        </w:tc>
        <w:tc>
          <w:tcPr>
            <w:tcW w:w="60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等线" w:cs="仿宋_GB2312"/>
                <w:color w:val="000000"/>
                <w:sz w:val="21"/>
                <w:szCs w:val="21"/>
              </w:rPr>
            </w:pPr>
          </w:p>
        </w:tc>
        <w:tc>
          <w:tcPr>
            <w:tcW w:w="90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w:t>
            </w:r>
          </w:p>
        </w:tc>
      </w:tr>
      <w:tr>
        <w:tblPrEx>
          <w:tblCellMar>
            <w:top w:w="0" w:type="dxa"/>
            <w:left w:w="108" w:type="dxa"/>
            <w:bottom w:w="0" w:type="dxa"/>
            <w:right w:w="108" w:type="dxa"/>
          </w:tblCellMar>
        </w:tblPrEx>
        <w:trPr>
          <w:jc w:val="center"/>
        </w:trPr>
        <w:tc>
          <w:tcPr>
            <w:tcW w:w="35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162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66313499992025370282000028</w:t>
            </w:r>
          </w:p>
        </w:tc>
        <w:tc>
          <w:tcPr>
            <w:tcW w:w="151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萝卜种植天气综合指数保险</w:t>
            </w:r>
          </w:p>
        </w:tc>
        <w:tc>
          <w:tcPr>
            <w:tcW w:w="60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等线" w:cs="仿宋_GB2312"/>
                <w:color w:val="000000"/>
                <w:sz w:val="21"/>
                <w:szCs w:val="21"/>
              </w:rPr>
            </w:pPr>
          </w:p>
        </w:tc>
        <w:tc>
          <w:tcPr>
            <w:tcW w:w="90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w:t>
            </w:r>
          </w:p>
        </w:tc>
      </w:tr>
    </w:tbl>
    <w:p>
      <w:pPr>
        <w:spacing w:line="560" w:lineRule="exact"/>
        <w:ind w:firstLine="560" w:firstLineChars="200"/>
      </w:pPr>
      <w:r>
        <w:rPr>
          <w:rFonts w:hint="eastAsia" w:ascii="仿宋_GB2312" w:cs="宋体"/>
          <w:sz w:val="28"/>
          <w:szCs w:val="28"/>
        </w:rPr>
        <w:t>综上，根据评分标准，本项得3分。</w:t>
      </w:r>
    </w:p>
    <w:p>
      <w:pPr>
        <w:spacing w:line="560" w:lineRule="exact"/>
        <w:ind w:firstLine="560" w:firstLineChars="200"/>
        <w:rPr>
          <w:rFonts w:ascii="仿宋_GB2312" w:cs="宋体"/>
          <w:sz w:val="28"/>
          <w:szCs w:val="28"/>
        </w:rPr>
      </w:pPr>
      <w:r>
        <w:rPr>
          <w:rFonts w:hint="eastAsia" w:ascii="仿宋_GB2312" w:cs="宋体"/>
          <w:sz w:val="28"/>
          <w:szCs w:val="28"/>
        </w:rPr>
        <w:t>3）保单完整、准确性指标总分6分，</w:t>
      </w:r>
      <w:r>
        <w:rPr>
          <w:rFonts w:hint="eastAsia" w:ascii="仿宋_GB2312" w:cs="宋体"/>
          <w:color w:val="000000"/>
          <w:sz w:val="28"/>
          <w:szCs w:val="28"/>
        </w:rPr>
        <w:t>实际得分4分</w:t>
      </w:r>
      <w:r>
        <w:rPr>
          <w:rFonts w:hint="eastAsia" w:ascii="仿宋_GB2312" w:cs="宋体"/>
          <w:color w:val="000000"/>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本次评价共抽查各区（市）电子及纸质政策性农业保险承保档案120份，根据现场检查情况，存在现场查勘报告填写不规范、纸质投保分户清单填写不规范、承保流程倒置、纸质档案存放不全等问题。具体问题列示详见下表：</w:t>
      </w:r>
    </w:p>
    <w:tbl>
      <w:tblPr>
        <w:tblStyle w:val="15"/>
        <w:tblW w:w="5000" w:type="pct"/>
        <w:jc w:val="center"/>
        <w:tblLayout w:type="fixed"/>
        <w:tblCellMar>
          <w:top w:w="0" w:type="dxa"/>
          <w:left w:w="108" w:type="dxa"/>
          <w:bottom w:w="0" w:type="dxa"/>
          <w:right w:w="108" w:type="dxa"/>
        </w:tblCellMar>
      </w:tblPr>
      <w:tblGrid>
        <w:gridCol w:w="676"/>
        <w:gridCol w:w="1027"/>
        <w:gridCol w:w="2052"/>
        <w:gridCol w:w="2264"/>
        <w:gridCol w:w="3041"/>
      </w:tblGrid>
      <w:tr>
        <w:tblPrEx>
          <w:tblCellMar>
            <w:top w:w="0" w:type="dxa"/>
            <w:left w:w="108" w:type="dxa"/>
            <w:bottom w:w="0" w:type="dxa"/>
            <w:right w:w="108" w:type="dxa"/>
          </w:tblCellMar>
        </w:tblPrEx>
        <w:trPr>
          <w:tblHeader/>
          <w:jc w:val="center"/>
        </w:trPr>
        <w:tc>
          <w:tcPr>
            <w:tcW w:w="373" w:type="pct"/>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序号</w:t>
            </w:r>
          </w:p>
        </w:tc>
        <w:tc>
          <w:tcPr>
            <w:tcW w:w="567" w:type="pct"/>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类型</w:t>
            </w:r>
          </w:p>
        </w:tc>
        <w:tc>
          <w:tcPr>
            <w:tcW w:w="205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具体问题</w:t>
            </w:r>
          </w:p>
        </w:tc>
        <w:tc>
          <w:tcPr>
            <w:tcW w:w="2264" w:type="dxa"/>
            <w:tcBorders>
              <w:top w:val="single" w:color="000000" w:sz="4" w:space="0"/>
              <w:left w:val="single" w:color="000000" w:sz="4" w:space="0"/>
              <w:bottom w:val="single" w:color="000000" w:sz="4" w:space="0"/>
              <w:right w:val="nil"/>
            </w:tcBorders>
            <w:shd w:val="clear" w:color="auto" w:fill="BEBEBE" w:themeFill="background1" w:themeFillShade="BF"/>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保单号/投保单号</w:t>
            </w:r>
          </w:p>
        </w:tc>
        <w:tc>
          <w:tcPr>
            <w:tcW w:w="3041"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备注</w:t>
            </w:r>
          </w:p>
        </w:tc>
      </w:tr>
      <w:tr>
        <w:tblPrEx>
          <w:tblCellMar>
            <w:top w:w="0" w:type="dxa"/>
            <w:left w:w="108" w:type="dxa"/>
            <w:bottom w:w="0" w:type="dxa"/>
            <w:right w:w="108" w:type="dxa"/>
          </w:tblCellMar>
        </w:tblPrEx>
        <w:trPr>
          <w:jc w:val="center"/>
        </w:trPr>
        <w:tc>
          <w:tcPr>
            <w:tcW w:w="3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1</w:t>
            </w:r>
          </w:p>
        </w:tc>
        <w:tc>
          <w:tcPr>
            <w:tcW w:w="5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现场查勘报告填写不规范</w:t>
            </w:r>
          </w:p>
        </w:tc>
        <w:tc>
          <w:tcPr>
            <w:tcW w:w="20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未填写查勘时间</w:t>
            </w:r>
          </w:p>
        </w:tc>
        <w:tc>
          <w:tcPr>
            <w:tcW w:w="2264" w:type="dxa"/>
            <w:tcBorders>
              <w:top w:val="single" w:color="000000" w:sz="4" w:space="0"/>
              <w:left w:val="single" w:color="000000" w:sz="4" w:space="0"/>
              <w:bottom w:val="single" w:color="000000" w:sz="4" w:space="0"/>
              <w:right w:val="nil"/>
            </w:tcBorders>
            <w:vAlign w:val="center"/>
          </w:tcPr>
          <w:p>
            <w:pPr>
              <w:widowControl/>
              <w:jc w:val="left"/>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保单号：66313610992025370281000001</w:t>
            </w:r>
          </w:p>
        </w:tc>
        <w:tc>
          <w:tcPr>
            <w:tcW w:w="3041"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cs="仿宋_GB2312"/>
                <w:color w:val="000000"/>
                <w:sz w:val="21"/>
                <w:szCs w:val="21"/>
              </w:rPr>
            </w:pPr>
          </w:p>
        </w:tc>
      </w:tr>
      <w:tr>
        <w:tblPrEx>
          <w:tblCellMar>
            <w:top w:w="0" w:type="dxa"/>
            <w:left w:w="108" w:type="dxa"/>
            <w:bottom w:w="0" w:type="dxa"/>
            <w:right w:w="108" w:type="dxa"/>
          </w:tblCellMar>
        </w:tblPrEx>
        <w:trPr>
          <w:jc w:val="center"/>
        </w:trPr>
        <w:tc>
          <w:tcPr>
            <w:tcW w:w="373"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w:t>
            </w:r>
          </w:p>
        </w:tc>
        <w:tc>
          <w:tcPr>
            <w:tcW w:w="567"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纸质投保分户清单填写不规范</w:t>
            </w:r>
          </w:p>
        </w:tc>
        <w:tc>
          <w:tcPr>
            <w:tcW w:w="205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投保分户清单上未填写投保单号</w:t>
            </w:r>
          </w:p>
        </w:tc>
        <w:tc>
          <w:tcPr>
            <w:tcW w:w="226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保单号：66325499992025370212000004</w:t>
            </w:r>
          </w:p>
        </w:tc>
        <w:tc>
          <w:tcPr>
            <w:tcW w:w="3041"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cs="仿宋_GB2312"/>
                <w:color w:val="000000"/>
                <w:sz w:val="21"/>
                <w:szCs w:val="21"/>
              </w:rPr>
            </w:pPr>
          </w:p>
        </w:tc>
      </w:tr>
      <w:tr>
        <w:trPr>
          <w:jc w:val="center"/>
        </w:trPr>
        <w:tc>
          <w:tcPr>
            <w:tcW w:w="373"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567"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205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226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保单号：66325499992025370282000003</w:t>
            </w:r>
          </w:p>
        </w:tc>
        <w:tc>
          <w:tcPr>
            <w:tcW w:w="3041"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cs="仿宋_GB2312"/>
                <w:color w:val="000000"/>
                <w:sz w:val="21"/>
                <w:szCs w:val="21"/>
              </w:rPr>
            </w:pPr>
          </w:p>
        </w:tc>
      </w:tr>
      <w:tr>
        <w:tblPrEx>
          <w:tblCellMar>
            <w:top w:w="0" w:type="dxa"/>
            <w:left w:w="108" w:type="dxa"/>
            <w:bottom w:w="0" w:type="dxa"/>
            <w:right w:w="108" w:type="dxa"/>
          </w:tblCellMar>
        </w:tblPrEx>
        <w:trPr>
          <w:jc w:val="center"/>
        </w:trPr>
        <w:tc>
          <w:tcPr>
            <w:tcW w:w="373"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567"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20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投保分户清单缺少时间</w:t>
            </w:r>
          </w:p>
        </w:tc>
        <w:tc>
          <w:tcPr>
            <w:tcW w:w="226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保单号：66325499992025370212000004</w:t>
            </w:r>
          </w:p>
        </w:tc>
        <w:tc>
          <w:tcPr>
            <w:tcW w:w="3041"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cs="仿宋_GB2312"/>
                <w:color w:val="000000"/>
                <w:sz w:val="21"/>
                <w:szCs w:val="21"/>
              </w:rPr>
            </w:pPr>
          </w:p>
        </w:tc>
      </w:tr>
      <w:tr>
        <w:tblPrEx>
          <w:tblCellMar>
            <w:top w:w="0" w:type="dxa"/>
            <w:left w:w="108" w:type="dxa"/>
            <w:bottom w:w="0" w:type="dxa"/>
            <w:right w:w="108" w:type="dxa"/>
          </w:tblCellMar>
        </w:tblPrEx>
        <w:trPr>
          <w:jc w:val="center"/>
        </w:trPr>
        <w:tc>
          <w:tcPr>
            <w:tcW w:w="373"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3</w:t>
            </w:r>
          </w:p>
        </w:tc>
        <w:tc>
          <w:tcPr>
            <w:tcW w:w="567"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承保流程倒置</w:t>
            </w:r>
          </w:p>
        </w:tc>
        <w:tc>
          <w:tcPr>
            <w:tcW w:w="205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立案早于查勘</w:t>
            </w:r>
          </w:p>
        </w:tc>
        <w:tc>
          <w:tcPr>
            <w:tcW w:w="226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保单号：66313610992025370284000030</w:t>
            </w:r>
          </w:p>
        </w:tc>
        <w:tc>
          <w:tcPr>
            <w:tcW w:w="3041"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cs="仿宋_GB2312"/>
                <w:color w:val="000000"/>
                <w:sz w:val="21"/>
                <w:szCs w:val="21"/>
              </w:rPr>
            </w:pPr>
          </w:p>
        </w:tc>
      </w:tr>
      <w:tr>
        <w:tblPrEx>
          <w:tblCellMar>
            <w:top w:w="0" w:type="dxa"/>
            <w:left w:w="108" w:type="dxa"/>
            <w:bottom w:w="0" w:type="dxa"/>
            <w:right w:w="108" w:type="dxa"/>
          </w:tblCellMar>
        </w:tblPrEx>
        <w:trPr>
          <w:jc w:val="center"/>
        </w:trPr>
        <w:tc>
          <w:tcPr>
            <w:tcW w:w="373"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567"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205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226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保单号：66313610992025370284000064</w:t>
            </w:r>
          </w:p>
        </w:tc>
        <w:tc>
          <w:tcPr>
            <w:tcW w:w="304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r>
      <w:tr>
        <w:trPr>
          <w:jc w:val="center"/>
        </w:trPr>
        <w:tc>
          <w:tcPr>
            <w:tcW w:w="373"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4</w:t>
            </w:r>
          </w:p>
        </w:tc>
        <w:tc>
          <w:tcPr>
            <w:tcW w:w="567"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纸质档案存放不全</w:t>
            </w:r>
          </w:p>
        </w:tc>
        <w:tc>
          <w:tcPr>
            <w:tcW w:w="20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整本纸质档案中缺少电子保单</w:t>
            </w:r>
          </w:p>
        </w:tc>
        <w:tc>
          <w:tcPr>
            <w:tcW w:w="226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保单起号:66313499992025370282000001</w:t>
            </w:r>
            <w:r>
              <w:rPr>
                <w:rFonts w:hint="eastAsia" w:ascii="仿宋_GB2312" w:hAnsi="仿宋_GB2312" w:cs="仿宋_GB2312"/>
                <w:color w:val="000000"/>
                <w:kern w:val="0"/>
                <w:sz w:val="21"/>
                <w:szCs w:val="21"/>
                <w:lang w:bidi="ar"/>
              </w:rPr>
              <w:br w:type="textWrapping"/>
            </w:r>
            <w:r>
              <w:rPr>
                <w:rFonts w:hint="eastAsia" w:ascii="仿宋_GB2312" w:hAnsi="仿宋_GB2312" w:cs="仿宋_GB2312"/>
                <w:color w:val="000000"/>
                <w:kern w:val="0"/>
                <w:sz w:val="21"/>
                <w:szCs w:val="21"/>
                <w:lang w:bidi="ar"/>
              </w:rPr>
              <w:t>保单止号:66313499992025370282000034</w:t>
            </w:r>
          </w:p>
        </w:tc>
        <w:tc>
          <w:tcPr>
            <w:tcW w:w="3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即墨区支公司，险种：蔬菜园艺天气指数保险</w:t>
            </w:r>
          </w:p>
        </w:tc>
      </w:tr>
      <w:tr>
        <w:tblPrEx>
          <w:tblCellMar>
            <w:top w:w="0" w:type="dxa"/>
            <w:left w:w="108" w:type="dxa"/>
            <w:bottom w:w="0" w:type="dxa"/>
            <w:right w:w="108" w:type="dxa"/>
          </w:tblCellMar>
        </w:tblPrEx>
        <w:trPr>
          <w:jc w:val="center"/>
        </w:trPr>
        <w:tc>
          <w:tcPr>
            <w:tcW w:w="373"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567"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20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整本纸质档案中缺少电子保单</w:t>
            </w:r>
          </w:p>
        </w:tc>
        <w:tc>
          <w:tcPr>
            <w:tcW w:w="226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保单起号:66325499992025370295000001</w:t>
            </w:r>
            <w:r>
              <w:rPr>
                <w:rFonts w:hint="eastAsia" w:ascii="仿宋_GB2312" w:hAnsi="仿宋_GB2312" w:cs="仿宋_GB2312"/>
                <w:color w:val="000000"/>
                <w:kern w:val="0"/>
                <w:sz w:val="21"/>
                <w:szCs w:val="21"/>
                <w:lang w:bidi="ar"/>
              </w:rPr>
              <w:br w:type="textWrapping"/>
            </w:r>
            <w:r>
              <w:rPr>
                <w:rFonts w:hint="eastAsia" w:ascii="仿宋_GB2312" w:hAnsi="仿宋_GB2312" w:cs="仿宋_GB2312"/>
                <w:color w:val="000000"/>
                <w:kern w:val="0"/>
                <w:sz w:val="21"/>
                <w:szCs w:val="21"/>
                <w:lang w:bidi="ar"/>
              </w:rPr>
              <w:t>保单止号:66325499992025370295000010</w:t>
            </w:r>
          </w:p>
        </w:tc>
        <w:tc>
          <w:tcPr>
            <w:tcW w:w="3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西海岸新区支公司：险种：蜜蜂气象指数保险</w:t>
            </w:r>
          </w:p>
        </w:tc>
      </w:tr>
    </w:tbl>
    <w:p>
      <w:pPr>
        <w:spacing w:line="560" w:lineRule="exact"/>
        <w:ind w:firstLine="560" w:firstLineChars="200"/>
        <w:rPr>
          <w:rFonts w:ascii="仿宋_GB2312" w:cs="宋体"/>
          <w:sz w:val="28"/>
          <w:szCs w:val="28"/>
        </w:rPr>
      </w:pPr>
      <w:r>
        <w:rPr>
          <w:rFonts w:hint="eastAsia" w:ascii="仿宋_GB2312" w:cs="宋体"/>
          <w:sz w:val="28"/>
          <w:szCs w:val="28"/>
        </w:rPr>
        <w:t>综上，</w:t>
      </w:r>
      <w:r>
        <w:rPr>
          <w:rFonts w:hint="eastAsia" w:ascii="仿宋_GB2312" w:cs="宋体"/>
          <w:color w:val="000000"/>
          <w:sz w:val="28"/>
          <w:szCs w:val="28"/>
        </w:rPr>
        <w:t>根据评分标准，</w:t>
      </w:r>
      <w:r>
        <w:rPr>
          <w:rFonts w:hint="eastAsia" w:ascii="仿宋_GB2312" w:cs="宋体"/>
          <w:sz w:val="28"/>
          <w:szCs w:val="28"/>
        </w:rPr>
        <w:t>本项得4分。</w:t>
      </w:r>
    </w:p>
    <w:p>
      <w:pPr>
        <w:spacing w:line="560" w:lineRule="exact"/>
        <w:ind w:firstLine="560" w:firstLineChars="200"/>
        <w:rPr>
          <w:rFonts w:ascii="仿宋_GB2312" w:cs="宋体"/>
          <w:sz w:val="28"/>
          <w:szCs w:val="28"/>
        </w:rPr>
      </w:pPr>
      <w:r>
        <w:rPr>
          <w:rFonts w:hint="eastAsia" w:ascii="仿宋_GB2312" w:cs="宋体"/>
          <w:sz w:val="28"/>
          <w:szCs w:val="28"/>
        </w:rPr>
        <w:t>（4）</w:t>
      </w:r>
      <w:r>
        <w:rPr>
          <w:rFonts w:hint="eastAsia" w:ascii="仿宋_GB2312" w:hAnsi="宋体" w:cs="宋体"/>
          <w:sz w:val="28"/>
          <w:szCs w:val="28"/>
        </w:rPr>
        <w:t>风险管控</w:t>
      </w:r>
      <w:r>
        <w:rPr>
          <w:rFonts w:hint="eastAsia" w:ascii="仿宋_GB2312" w:cs="宋体"/>
          <w:sz w:val="28"/>
          <w:szCs w:val="28"/>
        </w:rPr>
        <w:t>情况</w:t>
      </w:r>
    </w:p>
    <w:p>
      <w:pPr>
        <w:spacing w:line="560" w:lineRule="exact"/>
        <w:ind w:firstLine="560" w:firstLineChars="200"/>
        <w:rPr>
          <w:rFonts w:ascii="仿宋_GB2312" w:cs="宋体"/>
          <w:sz w:val="28"/>
          <w:szCs w:val="28"/>
        </w:rPr>
      </w:pPr>
      <w:r>
        <w:rPr>
          <w:rFonts w:hint="eastAsia" w:ascii="仿宋_GB2312" w:hAnsi="宋体" w:cs="宋体"/>
          <w:sz w:val="28"/>
          <w:szCs w:val="28"/>
        </w:rPr>
        <w:t>风险管控</w:t>
      </w:r>
      <w:r>
        <w:rPr>
          <w:rFonts w:hint="eastAsia" w:ascii="仿宋_GB2312" w:cs="宋体"/>
          <w:sz w:val="28"/>
          <w:szCs w:val="28"/>
        </w:rPr>
        <w:t>指标从风险管</w:t>
      </w:r>
      <w:r>
        <w:rPr>
          <w:rFonts w:hint="eastAsia" w:ascii="仿宋_GB2312" w:cs="宋体"/>
          <w:sz w:val="28"/>
          <w:szCs w:val="28"/>
          <w:lang w:eastAsia="zh-Hans"/>
        </w:rPr>
        <w:t>理</w:t>
      </w:r>
      <w:r>
        <w:rPr>
          <w:rFonts w:hint="eastAsia" w:ascii="仿宋_GB2312" w:cs="宋体"/>
          <w:sz w:val="28"/>
          <w:szCs w:val="28"/>
        </w:rPr>
        <w:t>一个方面进行评价。</w:t>
      </w:r>
    </w:p>
    <w:p>
      <w:pPr>
        <w:spacing w:line="560" w:lineRule="exact"/>
        <w:ind w:firstLine="560" w:firstLineChars="200"/>
        <w:rPr>
          <w:rFonts w:ascii="仿宋_GB2312" w:cs="宋体"/>
          <w:sz w:val="28"/>
          <w:szCs w:val="28"/>
        </w:rPr>
      </w:pPr>
      <w:r>
        <w:rPr>
          <w:rFonts w:hint="eastAsia" w:ascii="仿宋_GB2312" w:hAnsi="宋体" w:cs="宋体"/>
          <w:sz w:val="28"/>
          <w:szCs w:val="28"/>
        </w:rPr>
        <w:t>风险管控</w:t>
      </w:r>
      <w:r>
        <w:rPr>
          <w:rFonts w:hint="eastAsia" w:ascii="仿宋_GB2312" w:cs="宋体"/>
          <w:sz w:val="28"/>
          <w:szCs w:val="28"/>
        </w:rPr>
        <w:t>指标分值5分，实际得分5分，</w:t>
      </w:r>
      <w:r>
        <w:rPr>
          <w:rFonts w:hint="eastAsia" w:ascii="仿宋_GB2312" w:cs="宋体"/>
          <w:color w:val="000000"/>
          <w:sz w:val="28"/>
          <w:szCs w:val="28"/>
        </w:rPr>
        <w:t>得分率为100%；得分情况见下表：</w:t>
      </w:r>
    </w:p>
    <w:tbl>
      <w:tblPr>
        <w:tblStyle w:val="15"/>
        <w:tblW w:w="4997" w:type="pct"/>
        <w:jc w:val="center"/>
        <w:tblLayout w:type="autofit"/>
        <w:tblCellMar>
          <w:top w:w="0" w:type="dxa"/>
          <w:left w:w="108" w:type="dxa"/>
          <w:bottom w:w="0" w:type="dxa"/>
          <w:right w:w="108" w:type="dxa"/>
        </w:tblCellMar>
      </w:tblPr>
      <w:tblGrid>
        <w:gridCol w:w="2205"/>
        <w:gridCol w:w="2205"/>
        <w:gridCol w:w="1327"/>
        <w:gridCol w:w="1327"/>
        <w:gridCol w:w="1991"/>
      </w:tblGrid>
      <w:tr>
        <w:tblPrEx>
          <w:tblCellMar>
            <w:top w:w="0" w:type="dxa"/>
            <w:left w:w="108" w:type="dxa"/>
            <w:bottom w:w="0" w:type="dxa"/>
            <w:right w:w="108" w:type="dxa"/>
          </w:tblCellMar>
        </w:tblPrEx>
        <w:trPr>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得分率</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风险管控</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风险管理</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合计</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100.00%</w:t>
            </w:r>
          </w:p>
        </w:tc>
      </w:tr>
    </w:tbl>
    <w:p>
      <w:pPr>
        <w:spacing w:line="560" w:lineRule="exact"/>
        <w:ind w:firstLine="560" w:firstLineChars="200"/>
        <w:rPr>
          <w:rFonts w:ascii="仿宋_GB2312" w:cs="宋体"/>
          <w:sz w:val="28"/>
          <w:szCs w:val="28"/>
        </w:rPr>
      </w:pPr>
      <w:r>
        <w:rPr>
          <w:rFonts w:hint="eastAsia" w:ascii="仿宋_GB2312" w:cs="宋体"/>
          <w:sz w:val="28"/>
          <w:szCs w:val="28"/>
        </w:rPr>
        <w:t>实际得分具体原因分析如下：</w:t>
      </w:r>
    </w:p>
    <w:p>
      <w:pPr>
        <w:spacing w:line="560" w:lineRule="exact"/>
        <w:ind w:firstLine="560" w:firstLineChars="200"/>
        <w:rPr>
          <w:rFonts w:ascii="仿宋_GB2312" w:cs="宋体"/>
          <w:sz w:val="28"/>
          <w:szCs w:val="28"/>
        </w:rPr>
      </w:pPr>
      <w:r>
        <w:rPr>
          <w:rFonts w:hint="eastAsia" w:ascii="仿宋_GB2312" w:cs="宋体"/>
          <w:sz w:val="28"/>
          <w:szCs w:val="28"/>
        </w:rPr>
        <w:t>1）风险管理指标总分</w:t>
      </w:r>
      <w:r>
        <w:rPr>
          <w:rFonts w:ascii="仿宋_GB2312" w:cs="宋体"/>
          <w:sz w:val="28"/>
          <w:szCs w:val="28"/>
        </w:rPr>
        <w:t>5</w:t>
      </w:r>
      <w:r>
        <w:rPr>
          <w:rFonts w:hint="eastAsia" w:ascii="仿宋_GB2312" w:cs="宋体"/>
          <w:sz w:val="28"/>
          <w:szCs w:val="28"/>
        </w:rPr>
        <w:t>分，实际得分5分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A.人寿财险已按照规定购买再保险，按照规</w:t>
      </w:r>
      <w:r>
        <w:rPr>
          <w:rFonts w:hint="eastAsia" w:ascii="仿宋_GB2312" w:cs="宋体"/>
          <w:color w:val="000000"/>
          <w:sz w:val="28"/>
          <w:szCs w:val="28"/>
        </w:rPr>
        <w:t>定提取大</w:t>
      </w:r>
      <w:r>
        <w:rPr>
          <w:rFonts w:hint="eastAsia" w:ascii="仿宋_GB2312" w:cs="宋体"/>
          <w:sz w:val="28"/>
          <w:szCs w:val="28"/>
        </w:rPr>
        <w:t>灾风险准备金，按规定向财政部门报送报告；规范使用大灾风险准备金。人寿财险总公司（分出公司）与中国农业再保险股份有限公司签订了再保险协议，协议约定“由分出公司在本协议期限内直接承保的各类农业保险业务（包括共同保险业务），分出公司按其在保险单中独立承担的保险责任的15%（分保比例）向中国农再办理成数分保”。2025年度人寿财险分出保费7151547.47元。</w:t>
      </w:r>
    </w:p>
    <w:p>
      <w:pPr>
        <w:spacing w:line="560" w:lineRule="exact"/>
        <w:ind w:firstLine="560" w:firstLineChars="200"/>
        <w:rPr>
          <w:rFonts w:ascii="仿宋_GB2312" w:cs="宋体"/>
          <w:sz w:val="28"/>
          <w:szCs w:val="28"/>
        </w:rPr>
      </w:pPr>
      <w:r>
        <w:rPr>
          <w:rFonts w:hint="eastAsia" w:ascii="仿宋_GB2312" w:cs="宋体"/>
          <w:sz w:val="28"/>
          <w:szCs w:val="28"/>
        </w:rPr>
        <w:t>B.人寿财险按照《农业保险大灾风险准备金管理办法》（国寿财险办发〔2018〕595号）规定计提农业保险大灾风险准备金（公司分别按照农业保险保费收入和超额承保利润的一定比例，计提大灾准备金），公司计提保费准备金，分别以种植业、养殖业、林业等大类险种的保费收入（净保费，即保费收入+分入保费-分出保费）为计提基础，青岛地区种植业、养殖业、森林保险的保费准备金计提比例分别为6%、4%、6%，2025年度人寿财险种植业保险净保费385.26万元，养殖业保险净保费33.23万元，森林保险净保费0.00万元。应计提大灾准备金24.44万元。2025年度账面大灾准备金计提24.44万元，符合管理办法提取标准。</w:t>
      </w:r>
    </w:p>
    <w:p>
      <w:pPr>
        <w:spacing w:line="560" w:lineRule="exact"/>
        <w:ind w:firstLine="560" w:firstLineChars="200"/>
        <w:rPr>
          <w:rFonts w:ascii="仿宋_GB2312" w:cs="宋体"/>
          <w:sz w:val="28"/>
          <w:szCs w:val="28"/>
        </w:rPr>
      </w:pPr>
      <w:r>
        <w:rPr>
          <w:rFonts w:hint="eastAsia" w:ascii="仿宋_GB2312" w:cs="宋体"/>
          <w:sz w:val="28"/>
          <w:szCs w:val="28"/>
        </w:rPr>
        <w:t>2025年度人寿财险按规定向市财政局报送了《中国人寿财产保险股份有限公司青岛分公司关于2025年农业保险大灾准备金计提和使用情况表》。</w:t>
      </w:r>
    </w:p>
    <w:p>
      <w:pPr>
        <w:spacing w:line="560" w:lineRule="exact"/>
        <w:ind w:firstLine="560" w:firstLineChars="200"/>
        <w:rPr>
          <w:rFonts w:ascii="仿宋_GB2312" w:cs="宋体"/>
          <w:sz w:val="28"/>
          <w:szCs w:val="28"/>
        </w:rPr>
      </w:pPr>
      <w:r>
        <w:rPr>
          <w:rFonts w:hint="eastAsia" w:ascii="仿宋_GB2312" w:cs="宋体"/>
          <w:sz w:val="28"/>
          <w:szCs w:val="28"/>
        </w:rPr>
        <w:t>综上，</w:t>
      </w:r>
      <w:r>
        <w:rPr>
          <w:rFonts w:hint="eastAsia" w:ascii="仿宋_GB2312" w:cs="宋体"/>
          <w:color w:val="000000"/>
          <w:sz w:val="28"/>
          <w:szCs w:val="28"/>
        </w:rPr>
        <w:t>根据评分标准，</w:t>
      </w:r>
      <w:r>
        <w:rPr>
          <w:rFonts w:hint="eastAsia" w:ascii="仿宋_GB2312" w:cs="宋体"/>
          <w:sz w:val="28"/>
          <w:szCs w:val="28"/>
        </w:rPr>
        <w:t>得5分。</w:t>
      </w:r>
    </w:p>
    <w:p>
      <w:pPr>
        <w:spacing w:line="560" w:lineRule="exact"/>
        <w:ind w:firstLine="560" w:firstLineChars="200"/>
        <w:rPr>
          <w:rFonts w:ascii="仿宋_GB2312" w:cs="宋体"/>
          <w:sz w:val="28"/>
          <w:szCs w:val="28"/>
        </w:rPr>
      </w:pPr>
      <w:r>
        <w:rPr>
          <w:rFonts w:hint="eastAsia" w:ascii="仿宋_GB2312" w:cs="宋体"/>
          <w:sz w:val="28"/>
          <w:szCs w:val="28"/>
        </w:rPr>
        <w:t>（5）</w:t>
      </w:r>
      <w:r>
        <w:rPr>
          <w:rFonts w:hint="eastAsia" w:ascii="仿宋_GB2312" w:hAnsi="宋体" w:cs="宋体"/>
          <w:sz w:val="28"/>
          <w:szCs w:val="28"/>
        </w:rPr>
        <w:t>满意度</w:t>
      </w:r>
      <w:r>
        <w:rPr>
          <w:rFonts w:hint="eastAsia" w:ascii="仿宋_GB2312" w:cs="宋体"/>
          <w:sz w:val="28"/>
          <w:szCs w:val="28"/>
        </w:rPr>
        <w:t>情况</w:t>
      </w:r>
    </w:p>
    <w:p>
      <w:pPr>
        <w:spacing w:line="560" w:lineRule="exact"/>
        <w:ind w:firstLine="560" w:firstLineChars="200"/>
        <w:rPr>
          <w:rFonts w:ascii="仿宋_GB2312" w:cs="宋体"/>
          <w:sz w:val="28"/>
          <w:szCs w:val="28"/>
        </w:rPr>
      </w:pPr>
      <w:r>
        <w:rPr>
          <w:rFonts w:hint="eastAsia" w:ascii="仿宋_GB2312" w:hAnsi="宋体" w:cs="宋体"/>
          <w:sz w:val="28"/>
          <w:szCs w:val="28"/>
        </w:rPr>
        <w:t>满意度</w:t>
      </w:r>
      <w:r>
        <w:rPr>
          <w:rFonts w:hint="eastAsia" w:ascii="仿宋_GB2312" w:cs="宋体"/>
          <w:sz w:val="28"/>
          <w:szCs w:val="28"/>
        </w:rPr>
        <w:t>指标从政策知晓率、满意率两个方面进行评价。</w:t>
      </w:r>
    </w:p>
    <w:p>
      <w:pPr>
        <w:spacing w:line="560" w:lineRule="exact"/>
        <w:ind w:firstLine="560" w:firstLineChars="200"/>
        <w:rPr>
          <w:rFonts w:ascii="仿宋_GB2312" w:cs="宋体"/>
          <w:sz w:val="28"/>
          <w:szCs w:val="28"/>
          <w:highlight w:val="yellow"/>
        </w:rPr>
      </w:pPr>
      <w:r>
        <w:rPr>
          <w:rFonts w:hint="eastAsia" w:ascii="仿宋_GB2312" w:hAnsi="宋体" w:cs="宋体"/>
          <w:sz w:val="28"/>
          <w:szCs w:val="28"/>
        </w:rPr>
        <w:t>满意度</w:t>
      </w:r>
      <w:r>
        <w:rPr>
          <w:rFonts w:hint="eastAsia" w:ascii="仿宋_GB2312" w:cs="宋体"/>
          <w:sz w:val="28"/>
          <w:szCs w:val="28"/>
        </w:rPr>
        <w:t>指标分值10分，实际得分10分，</w:t>
      </w:r>
      <w:r>
        <w:rPr>
          <w:rFonts w:hint="eastAsia" w:ascii="仿宋_GB2312" w:cs="宋体"/>
          <w:color w:val="000000"/>
          <w:sz w:val="28"/>
          <w:szCs w:val="28"/>
        </w:rPr>
        <w:t>得分率为100%；得分情况见下表：</w:t>
      </w:r>
    </w:p>
    <w:tbl>
      <w:tblPr>
        <w:tblStyle w:val="15"/>
        <w:tblW w:w="4997" w:type="pct"/>
        <w:jc w:val="center"/>
        <w:tblLayout w:type="autofit"/>
        <w:tblCellMar>
          <w:top w:w="0" w:type="dxa"/>
          <w:left w:w="108" w:type="dxa"/>
          <w:bottom w:w="0" w:type="dxa"/>
          <w:right w:w="108" w:type="dxa"/>
        </w:tblCellMar>
      </w:tblPr>
      <w:tblGrid>
        <w:gridCol w:w="2105"/>
        <w:gridCol w:w="2515"/>
        <w:gridCol w:w="1267"/>
        <w:gridCol w:w="1267"/>
        <w:gridCol w:w="1901"/>
      </w:tblGrid>
      <w:tr>
        <w:tblPrEx>
          <w:tblCellMar>
            <w:top w:w="0" w:type="dxa"/>
            <w:left w:w="108" w:type="dxa"/>
            <w:bottom w:w="0" w:type="dxa"/>
            <w:right w:w="108" w:type="dxa"/>
          </w:tblCellMar>
        </w:tblPrEx>
        <w:trPr>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得分率</w:t>
            </w:r>
          </w:p>
        </w:tc>
      </w:tr>
      <w:tr>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满意度</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政策知晓率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满意率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rPr>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合计</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100.00%</w:t>
            </w:r>
          </w:p>
        </w:tc>
      </w:tr>
    </w:tbl>
    <w:p>
      <w:pPr>
        <w:spacing w:line="560" w:lineRule="exact"/>
        <w:ind w:firstLine="560" w:firstLineChars="200"/>
        <w:rPr>
          <w:rFonts w:ascii="仿宋_GB2312" w:cs="宋体"/>
          <w:sz w:val="28"/>
          <w:szCs w:val="28"/>
        </w:rPr>
      </w:pPr>
      <w:r>
        <w:rPr>
          <w:rFonts w:hint="eastAsia" w:ascii="仿宋_GB2312" w:cs="宋体"/>
          <w:sz w:val="28"/>
          <w:szCs w:val="28"/>
        </w:rPr>
        <w:t>实际得分具体原因分析如下：</w:t>
      </w:r>
    </w:p>
    <w:p>
      <w:pPr>
        <w:spacing w:line="560" w:lineRule="exact"/>
        <w:ind w:firstLine="560" w:firstLineChars="200"/>
        <w:rPr>
          <w:rFonts w:ascii="仿宋_GB2312" w:cs="宋体"/>
          <w:sz w:val="28"/>
          <w:szCs w:val="28"/>
        </w:rPr>
      </w:pPr>
      <w:r>
        <w:rPr>
          <w:rFonts w:hint="eastAsia" w:ascii="仿宋_GB2312" w:cs="宋体"/>
          <w:sz w:val="28"/>
          <w:szCs w:val="28"/>
        </w:rPr>
        <w:t>1）政策知晓率指标总分5分，实际得分5分</w:t>
      </w:r>
      <w:r>
        <w:rPr>
          <w:rFonts w:hint="eastAsia" w:ascii="仿宋_GB2312" w:cs="宋体"/>
          <w:sz w:val="28"/>
          <w:szCs w:val="28"/>
          <w:lang w:eastAsia="zh-Hans"/>
        </w:rPr>
        <w:t>。</w:t>
      </w:r>
    </w:p>
    <w:p>
      <w:pPr>
        <w:spacing w:line="560" w:lineRule="exact"/>
        <w:ind w:firstLine="560" w:firstLineChars="200"/>
        <w:rPr>
          <w:rFonts w:ascii="仿宋_GB2312" w:cs="宋体"/>
          <w:sz w:val="28"/>
          <w:szCs w:val="28"/>
          <w:lang w:eastAsia="zh-Hans"/>
        </w:rPr>
      </w:pPr>
      <w:r>
        <w:rPr>
          <w:rFonts w:hint="eastAsia" w:ascii="仿宋_GB2312" w:cs="宋体"/>
          <w:sz w:val="28"/>
          <w:szCs w:val="28"/>
          <w:lang w:eastAsia="zh-Hans"/>
        </w:rPr>
        <w:t>本次评价主要通过电子问卷及现场调研形式开展调查，共计发放101份调查问卷，</w:t>
      </w:r>
      <w:r>
        <w:rPr>
          <w:rFonts w:hint="eastAsia" w:ascii="仿宋_GB2312" w:cs="宋体"/>
          <w:color w:val="000000"/>
          <w:sz w:val="28"/>
          <w:szCs w:val="28"/>
          <w:lang w:eastAsia="zh-Hans"/>
        </w:rPr>
        <w:t>其中有效问卷101份，</w:t>
      </w:r>
      <w:r>
        <w:rPr>
          <w:rFonts w:hint="eastAsia" w:ascii="仿宋_GB2312" w:cs="宋体"/>
          <w:sz w:val="28"/>
          <w:szCs w:val="28"/>
          <w:lang w:eastAsia="zh-Hans"/>
        </w:rPr>
        <w:t>政策知晓率为98.02%。根据评分标准，该指标得100%权重分，即5分。</w:t>
      </w:r>
    </w:p>
    <w:p>
      <w:pPr>
        <w:spacing w:line="560" w:lineRule="exact"/>
        <w:ind w:firstLine="560" w:firstLineChars="200"/>
        <w:rPr>
          <w:rFonts w:ascii="仿宋_GB2312" w:cs="宋体"/>
          <w:sz w:val="28"/>
          <w:szCs w:val="28"/>
        </w:rPr>
      </w:pPr>
      <w:r>
        <w:rPr>
          <w:rFonts w:hint="eastAsia" w:ascii="仿宋_GB2312" w:cs="宋体"/>
          <w:sz w:val="28"/>
          <w:szCs w:val="28"/>
        </w:rPr>
        <w:t>综上，根据评分标准，本项得5分。</w:t>
      </w:r>
    </w:p>
    <w:p>
      <w:pPr>
        <w:spacing w:line="560" w:lineRule="exact"/>
        <w:ind w:firstLine="560" w:firstLineChars="200"/>
        <w:rPr>
          <w:rFonts w:ascii="仿宋_GB2312" w:cs="宋体"/>
          <w:sz w:val="28"/>
          <w:szCs w:val="28"/>
          <w:lang w:eastAsia="zh-Hans"/>
        </w:rPr>
      </w:pPr>
      <w:r>
        <w:rPr>
          <w:rFonts w:hint="eastAsia" w:ascii="仿宋_GB2312" w:cs="宋体"/>
          <w:sz w:val="28"/>
          <w:szCs w:val="28"/>
        </w:rPr>
        <w:t>2）满意率指标总分5分，实际得分5分</w:t>
      </w:r>
      <w:r>
        <w:rPr>
          <w:rFonts w:hint="eastAsia" w:ascii="仿宋_GB2312" w:cs="宋体"/>
          <w:sz w:val="28"/>
          <w:szCs w:val="28"/>
          <w:lang w:eastAsia="zh-Hans"/>
        </w:rPr>
        <w:t>。</w:t>
      </w:r>
    </w:p>
    <w:p>
      <w:pPr>
        <w:spacing w:line="560" w:lineRule="exact"/>
        <w:ind w:firstLine="560" w:firstLineChars="200"/>
        <w:rPr>
          <w:rFonts w:ascii="仿宋_GB2312" w:cs="宋体"/>
          <w:sz w:val="28"/>
          <w:szCs w:val="28"/>
          <w:lang w:eastAsia="zh-Hans"/>
        </w:rPr>
      </w:pPr>
      <w:r>
        <w:rPr>
          <w:rFonts w:hint="eastAsia" w:ascii="仿宋_GB2312" w:cs="宋体"/>
          <w:sz w:val="28"/>
          <w:szCs w:val="28"/>
          <w:lang w:eastAsia="zh-Hans"/>
        </w:rPr>
        <w:t>本次评价</w:t>
      </w:r>
      <w:r>
        <w:rPr>
          <w:rFonts w:hint="eastAsia" w:ascii="仿宋_GB2312" w:cs="宋体"/>
          <w:color w:val="000000"/>
          <w:sz w:val="28"/>
          <w:szCs w:val="28"/>
          <w:lang w:eastAsia="zh-Hans"/>
        </w:rPr>
        <w:t>共计发放</w:t>
      </w:r>
      <w:r>
        <w:rPr>
          <w:rFonts w:hint="eastAsia" w:ascii="仿宋_GB2312" w:cs="宋体"/>
          <w:color w:val="000000"/>
          <w:sz w:val="28"/>
          <w:szCs w:val="28"/>
        </w:rPr>
        <w:t>101</w:t>
      </w:r>
      <w:r>
        <w:rPr>
          <w:rFonts w:hint="eastAsia" w:ascii="仿宋_GB2312" w:cs="宋体"/>
          <w:color w:val="000000"/>
          <w:sz w:val="28"/>
          <w:szCs w:val="28"/>
          <w:lang w:eastAsia="zh-Hans"/>
        </w:rPr>
        <w:t>份调查问卷，其中有效问卷</w:t>
      </w:r>
      <w:r>
        <w:rPr>
          <w:rFonts w:hint="eastAsia" w:ascii="仿宋_GB2312" w:cs="宋体"/>
          <w:color w:val="000000"/>
          <w:sz w:val="28"/>
          <w:szCs w:val="28"/>
        </w:rPr>
        <w:t>101</w:t>
      </w:r>
      <w:r>
        <w:rPr>
          <w:rFonts w:hint="eastAsia" w:ascii="仿宋_GB2312" w:cs="宋体"/>
          <w:color w:val="000000"/>
          <w:sz w:val="28"/>
          <w:szCs w:val="28"/>
          <w:lang w:eastAsia="zh-Hans"/>
        </w:rPr>
        <w:t>份，</w:t>
      </w:r>
      <w:r>
        <w:rPr>
          <w:rFonts w:hint="eastAsia" w:ascii="仿宋_GB2312" w:cs="宋体"/>
          <w:sz w:val="28"/>
          <w:szCs w:val="28"/>
          <w:lang w:eastAsia="zh-Hans"/>
        </w:rPr>
        <w:t>满意度情况如下：</w:t>
      </w:r>
    </w:p>
    <w:p>
      <w:pPr>
        <w:spacing w:line="560" w:lineRule="exact"/>
        <w:ind w:firstLine="560" w:firstLineChars="200"/>
        <w:rPr>
          <w:rFonts w:ascii="仿宋_GB2312" w:cs="宋体"/>
          <w:sz w:val="28"/>
          <w:szCs w:val="28"/>
          <w:lang w:eastAsia="zh-Hans"/>
        </w:rPr>
      </w:pPr>
      <w:r>
        <w:rPr>
          <w:rFonts w:hint="eastAsia" w:ascii="仿宋_GB2312" w:cs="宋体"/>
          <w:sz w:val="28"/>
          <w:szCs w:val="28"/>
          <w:lang w:eastAsia="zh-Hans"/>
        </w:rPr>
        <w:t>本次评价主要通过电子问卷及现场调研形式开展满意度调查，共计发放101份调查问卷，其中有效问卷101份，满意度为99.37%。</w:t>
      </w:r>
    </w:p>
    <w:p>
      <w:pPr>
        <w:spacing w:line="560" w:lineRule="exact"/>
        <w:ind w:firstLine="560" w:firstLineChars="200"/>
        <w:rPr>
          <w:rFonts w:ascii="仿宋_GB2312" w:cs="宋体"/>
          <w:sz w:val="28"/>
          <w:szCs w:val="28"/>
          <w:lang w:eastAsia="zh-Hans"/>
        </w:rPr>
      </w:pPr>
      <w:r>
        <w:rPr>
          <w:rFonts w:hint="eastAsia" w:ascii="仿宋_GB2312" w:cs="宋体"/>
          <w:sz w:val="28"/>
          <w:szCs w:val="28"/>
        </w:rPr>
        <w:t>综上，</w:t>
      </w:r>
      <w:r>
        <w:rPr>
          <w:rFonts w:hint="eastAsia" w:ascii="仿宋_GB2312" w:cs="宋体"/>
          <w:color w:val="000000"/>
          <w:sz w:val="28"/>
          <w:szCs w:val="28"/>
          <w:lang w:eastAsia="zh-Hans"/>
        </w:rPr>
        <w:t>根据评分标准，</w:t>
      </w:r>
      <w:r>
        <w:rPr>
          <w:rFonts w:hint="eastAsia" w:ascii="仿宋_GB2312" w:cs="宋体"/>
          <w:sz w:val="28"/>
          <w:szCs w:val="28"/>
        </w:rPr>
        <w:t>得10</w:t>
      </w:r>
      <w:r>
        <w:rPr>
          <w:rFonts w:hint="eastAsia" w:ascii="仿宋_GB2312" w:cs="宋体"/>
          <w:sz w:val="28"/>
          <w:szCs w:val="28"/>
          <w:lang w:eastAsia="zh-Hans"/>
        </w:rPr>
        <w:t>分。</w:t>
      </w:r>
    </w:p>
    <w:p>
      <w:pPr>
        <w:spacing w:line="560" w:lineRule="exact"/>
        <w:ind w:firstLine="560" w:firstLineChars="200"/>
        <w:rPr>
          <w:rFonts w:ascii="仿宋_GB2312" w:cs="宋体"/>
          <w:sz w:val="28"/>
          <w:szCs w:val="28"/>
        </w:rPr>
      </w:pPr>
      <w:r>
        <w:rPr>
          <w:rFonts w:hint="eastAsia" w:ascii="仿宋_GB2312" w:cs="宋体"/>
          <w:sz w:val="28"/>
          <w:szCs w:val="28"/>
        </w:rPr>
        <w:t>（6）加减分</w:t>
      </w:r>
    </w:p>
    <w:p>
      <w:pPr>
        <w:spacing w:line="560" w:lineRule="exact"/>
        <w:ind w:firstLine="560" w:firstLineChars="200"/>
        <w:rPr>
          <w:rFonts w:ascii="仿宋_GB2312" w:cs="宋体"/>
          <w:sz w:val="28"/>
          <w:szCs w:val="28"/>
        </w:rPr>
      </w:pPr>
      <w:r>
        <w:rPr>
          <w:rFonts w:hint="eastAsia" w:ascii="仿宋_GB2312" w:cs="宋体"/>
          <w:sz w:val="28"/>
          <w:szCs w:val="28"/>
        </w:rPr>
        <w:t>加减分指标从加分项、减分项两个方面进行评价。</w:t>
      </w:r>
    </w:p>
    <w:p>
      <w:pPr>
        <w:spacing w:line="560" w:lineRule="exact"/>
        <w:ind w:firstLine="560" w:firstLineChars="200"/>
        <w:rPr>
          <w:rFonts w:ascii="仿宋_GB2312" w:cs="宋体"/>
          <w:sz w:val="28"/>
          <w:szCs w:val="28"/>
        </w:rPr>
      </w:pPr>
      <w:r>
        <w:rPr>
          <w:rFonts w:hint="eastAsia" w:ascii="仿宋_GB2312" w:hAnsi="宋体" w:cs="宋体"/>
          <w:sz w:val="28"/>
          <w:szCs w:val="28"/>
        </w:rPr>
        <w:t>加减分</w:t>
      </w:r>
      <w:r>
        <w:rPr>
          <w:rFonts w:hint="eastAsia" w:ascii="仿宋_GB2312" w:cs="宋体"/>
          <w:sz w:val="28"/>
          <w:szCs w:val="28"/>
        </w:rPr>
        <w:t>指标分值10分，实际得分0分，得分率为0%；</w:t>
      </w:r>
      <w:r>
        <w:rPr>
          <w:rFonts w:hint="eastAsia" w:ascii="仿宋_GB2312" w:cs="宋体"/>
          <w:color w:val="000000"/>
          <w:sz w:val="28"/>
          <w:szCs w:val="28"/>
        </w:rPr>
        <w:t>得分情况见下表：</w:t>
      </w:r>
    </w:p>
    <w:tbl>
      <w:tblPr>
        <w:tblStyle w:val="15"/>
        <w:tblW w:w="4998" w:type="pct"/>
        <w:jc w:val="center"/>
        <w:tblLayout w:type="autofit"/>
        <w:tblCellMar>
          <w:top w:w="0" w:type="dxa"/>
          <w:left w:w="108" w:type="dxa"/>
          <w:bottom w:w="0" w:type="dxa"/>
          <w:right w:w="108" w:type="dxa"/>
        </w:tblCellMar>
      </w:tblPr>
      <w:tblGrid>
        <w:gridCol w:w="2260"/>
        <w:gridCol w:w="2261"/>
        <w:gridCol w:w="1363"/>
        <w:gridCol w:w="1361"/>
        <w:gridCol w:w="1811"/>
      </w:tblGrid>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得分率</w:t>
            </w:r>
          </w:p>
        </w:tc>
      </w:tr>
      <w:tr>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加减分</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加分项</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0.00 </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减分项</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0.00 </w:t>
            </w:r>
          </w:p>
        </w:tc>
      </w:tr>
      <w:tr>
        <w:trPr>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合计</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 xml:space="preserve">0.00 </w:t>
            </w:r>
          </w:p>
        </w:tc>
      </w:tr>
    </w:tbl>
    <w:p>
      <w:pPr>
        <w:spacing w:line="560" w:lineRule="exact"/>
        <w:ind w:firstLine="560" w:firstLineChars="200"/>
        <w:rPr>
          <w:rFonts w:ascii="仿宋_GB2312" w:cs="宋体"/>
          <w:sz w:val="28"/>
          <w:szCs w:val="28"/>
        </w:rPr>
      </w:pPr>
      <w:r>
        <w:rPr>
          <w:rFonts w:hint="eastAsia" w:ascii="仿宋_GB2312" w:cs="宋体"/>
          <w:sz w:val="28"/>
          <w:szCs w:val="28"/>
        </w:rPr>
        <w:t>1）加分项指标≤10，评价期间无加分事项，实际得分0分；</w:t>
      </w:r>
    </w:p>
    <w:p>
      <w:pPr>
        <w:spacing w:line="560" w:lineRule="exact"/>
        <w:ind w:firstLine="560" w:firstLineChars="200"/>
        <w:rPr>
          <w:rFonts w:ascii="仿宋_GB2312" w:cs="宋体"/>
          <w:sz w:val="28"/>
          <w:szCs w:val="28"/>
        </w:rPr>
      </w:pPr>
      <w:r>
        <w:rPr>
          <w:rFonts w:hint="eastAsia" w:ascii="仿宋_GB2312" w:cs="宋体"/>
          <w:sz w:val="28"/>
          <w:szCs w:val="28"/>
        </w:rPr>
        <w:t>2）减分项≤10，评价期间无减分事项，实际扣0分。</w:t>
      </w:r>
    </w:p>
    <w:p>
      <w:pPr>
        <w:spacing w:line="560" w:lineRule="exact"/>
        <w:ind w:firstLine="560" w:firstLineChars="200"/>
        <w:outlineLvl w:val="0"/>
        <w:rPr>
          <w:rFonts w:hint="eastAsia" w:ascii="黑体" w:hAnsi="黑体" w:eastAsia="黑体"/>
          <w:sz w:val="28"/>
          <w:szCs w:val="28"/>
        </w:rPr>
      </w:pPr>
      <w:bookmarkStart w:id="42" w:name="_Toc232065287"/>
      <w:bookmarkStart w:id="43" w:name="_Hlk109648540"/>
      <w:r>
        <w:rPr>
          <w:rFonts w:hint="eastAsia" w:ascii="黑体" w:hAnsi="黑体" w:eastAsia="黑体"/>
          <w:sz w:val="28"/>
          <w:szCs w:val="28"/>
        </w:rPr>
        <w:t>四、存在的问题及相关建议</w:t>
      </w:r>
      <w:bookmarkEnd w:id="42"/>
    </w:p>
    <w:p>
      <w:pPr>
        <w:spacing w:line="560" w:lineRule="exact"/>
        <w:ind w:firstLine="560" w:firstLineChars="200"/>
        <w:outlineLvl w:val="1"/>
        <w:rPr>
          <w:rFonts w:ascii="仿宋_GB2312" w:cs="宋体"/>
          <w:sz w:val="28"/>
          <w:szCs w:val="28"/>
        </w:rPr>
      </w:pPr>
      <w:bookmarkStart w:id="44" w:name="_Toc232065288"/>
      <w:r>
        <w:rPr>
          <w:rFonts w:hint="eastAsia" w:ascii="楷体_GB2312" w:eastAsia="楷体_GB2312"/>
          <w:sz w:val="28"/>
          <w:szCs w:val="28"/>
        </w:rPr>
        <w:t>（一）存</w:t>
      </w:r>
      <w:r>
        <w:rPr>
          <w:rFonts w:ascii="楷体_GB2312" w:eastAsia="楷体_GB2312"/>
          <w:sz w:val="28"/>
          <w:szCs w:val="28"/>
        </w:rPr>
        <w:t>在的问题</w:t>
      </w:r>
      <w:bookmarkEnd w:id="44"/>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1.查勘定损流程不规范，案件处理效率有待提高</w:t>
      </w:r>
    </w:p>
    <w:p>
      <w:pPr>
        <w:spacing w:line="560" w:lineRule="exact"/>
        <w:ind w:firstLine="560" w:firstLineChars="200"/>
        <w:rPr>
          <w:rFonts w:ascii="仿宋_GB2312" w:cs="宋体"/>
          <w:color w:val="000000"/>
          <w:sz w:val="28"/>
          <w:szCs w:val="28"/>
          <w:highlight w:val="yellow"/>
        </w:rPr>
      </w:pPr>
      <w:r>
        <w:rPr>
          <w:rFonts w:hint="eastAsia" w:ascii="仿宋_GB2312" w:hAnsi="宋体"/>
          <w:bCs/>
          <w:sz w:val="28"/>
          <w:szCs w:val="28"/>
        </w:rPr>
        <w:t>根据通过收到的满意度问卷调查发现，理赔查勘定损环节存在操作不规范情形，个别农户反映存在定损信息留白、农户先行签字、后续补填定损结果的情况，未严格落实标准化定损、双方协商确认的工作要求。</w:t>
      </w:r>
      <w:r>
        <w:rPr>
          <w:rFonts w:ascii="仿宋_GB2312" w:cs="宋体"/>
          <w:color w:val="000000"/>
          <w:sz w:val="28"/>
          <w:szCs w:val="28"/>
        </w:rPr>
        <w:t>本次评价案件处理率最高值为99.51%，</w:t>
      </w:r>
      <w:r>
        <w:rPr>
          <w:rFonts w:hint="eastAsia" w:ascii="仿宋_GB2312" w:cs="宋体"/>
          <w:color w:val="000000"/>
          <w:sz w:val="28"/>
          <w:szCs w:val="28"/>
        </w:rPr>
        <w:t>人寿财险的案件处理率为96.35%，与最高值相差3.16%，案件处理率有待提高。</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2.查勘至立案理赔时效严重滞后问题</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经与全市平均时效对比，</w:t>
      </w:r>
      <w:r>
        <w:rPr>
          <w:rFonts w:hint="eastAsia" w:ascii="仿宋_GB2312" w:cs="宋体"/>
          <w:color w:val="000000"/>
          <w:sz w:val="28"/>
          <w:szCs w:val="28"/>
        </w:rPr>
        <w:t>人寿财险从首次查勘到立案平均时效为61.30（天），与全市平均时效对比来看，超出比例为382.</w:t>
      </w:r>
      <w:r>
        <w:rPr>
          <w:rFonts w:hint="eastAsia" w:ascii="仿宋_GB2312" w:cs="宋体"/>
          <w:sz w:val="28"/>
          <w:szCs w:val="28"/>
        </w:rPr>
        <w:t>30%，</w:t>
      </w:r>
      <w:r>
        <w:rPr>
          <w:rFonts w:hint="eastAsia" w:ascii="仿宋_GB2312" w:hAnsi="宋体"/>
          <w:bCs/>
          <w:sz w:val="28"/>
          <w:szCs w:val="28"/>
        </w:rPr>
        <w:t>存在核赔过程长的现象。</w:t>
      </w:r>
      <w:r>
        <w:rPr>
          <w:rFonts w:hint="eastAsia" w:ascii="仿宋_GB2312" w:hAnsi="宋体"/>
          <w:bCs/>
          <w:color w:val="000000"/>
          <w:sz w:val="28"/>
          <w:szCs w:val="28"/>
        </w:rPr>
        <w:t>详见本报告三、综合评价情况及评价结论2.</w:t>
      </w:r>
      <w:r>
        <w:rPr>
          <w:rFonts w:hint="eastAsia" w:ascii="仿宋_GB2312" w:hAnsi="宋体"/>
          <w:bCs/>
          <w:sz w:val="28"/>
          <w:szCs w:val="28"/>
        </w:rPr>
        <w:t>具体指标分析（2）服务水平情况2）理赔时效指标。</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3.个别保单公示信息不规范</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经查看公示信息发现，承保、理赔公示资料存在瑕疵，如：部分萝卜种植天气综合指数保险保单存在投保单号空缺、理赔公示日期早于系统立案时间等逻辑错误，公示信息准确性、严谨性不足。详见本报告三、综合评价情况及评价结论2.具体指标分析（3）保单管理情况2）</w:t>
      </w:r>
      <w:r>
        <w:rPr>
          <w:rFonts w:hint="eastAsia" w:ascii="仿宋_GB2312" w:cs="宋体"/>
          <w:sz w:val="28"/>
          <w:szCs w:val="28"/>
        </w:rPr>
        <w:t>信息公示</w:t>
      </w:r>
      <w:r>
        <w:rPr>
          <w:rFonts w:hint="eastAsia" w:ascii="仿宋_GB2312" w:hAnsi="宋体"/>
          <w:bCs/>
          <w:sz w:val="28"/>
          <w:szCs w:val="28"/>
        </w:rPr>
        <w:t>指标。</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4.保单档案管理不规范、不完整问题</w:t>
      </w:r>
    </w:p>
    <w:p>
      <w:pPr>
        <w:spacing w:line="560" w:lineRule="exact"/>
        <w:ind w:firstLine="560" w:firstLineChars="200"/>
        <w:rPr>
          <w:rFonts w:ascii="仿宋_GB2312" w:cs="宋体"/>
          <w:sz w:val="28"/>
          <w:szCs w:val="28"/>
        </w:rPr>
      </w:pPr>
      <w:r>
        <w:rPr>
          <w:rFonts w:hint="eastAsia" w:ascii="仿宋_GB2312" w:cs="宋体"/>
          <w:color w:val="000000"/>
          <w:sz w:val="28"/>
          <w:szCs w:val="28"/>
        </w:rPr>
        <w:t>本次评价共抽查各区（市）电子及纸质政策性农业保险承保档案120份，根据现场检查情况，</w:t>
      </w:r>
      <w:r>
        <w:rPr>
          <w:rFonts w:hint="eastAsia" w:ascii="仿宋_GB2312" w:cs="宋体"/>
          <w:sz w:val="28"/>
          <w:szCs w:val="28"/>
        </w:rPr>
        <w:t>存在现场查勘报告未填写查勘时间；投保分户清单上未填写投保单号；承保流程倒置，如：立案时间早于查勘时间；纸质档案存放不全，多份档案中缺少电子保单等问题。</w:t>
      </w:r>
      <w:r>
        <w:rPr>
          <w:rFonts w:hint="eastAsia" w:ascii="仿宋_GB2312" w:cs="宋体"/>
          <w:color w:val="000000"/>
          <w:sz w:val="28"/>
          <w:szCs w:val="28"/>
        </w:rPr>
        <w:t>详见本报告</w:t>
      </w:r>
      <w:r>
        <w:rPr>
          <w:rFonts w:hint="eastAsia" w:ascii="仿宋_GB2312" w:hAnsi="宋体"/>
          <w:bCs/>
          <w:color w:val="000000"/>
          <w:sz w:val="28"/>
          <w:szCs w:val="28"/>
        </w:rPr>
        <w:t>三、综合评价情况及评价结论2.</w:t>
      </w:r>
      <w:r>
        <w:rPr>
          <w:rFonts w:hint="eastAsia" w:ascii="仿宋_GB2312" w:hAnsi="宋体"/>
          <w:bCs/>
          <w:sz w:val="28"/>
          <w:szCs w:val="28"/>
        </w:rPr>
        <w:t>具体指标分析（3）保单管理情况</w:t>
      </w:r>
      <w:r>
        <w:rPr>
          <w:rFonts w:hint="eastAsia" w:ascii="仿宋_GB2312" w:cs="宋体"/>
          <w:sz w:val="28"/>
          <w:szCs w:val="28"/>
        </w:rPr>
        <w:t>3）保单完</w:t>
      </w:r>
      <w:r>
        <w:rPr>
          <w:rFonts w:hint="eastAsia" w:ascii="仿宋_GB2312" w:cs="宋体"/>
          <w:color w:val="000000"/>
          <w:sz w:val="28"/>
          <w:szCs w:val="28"/>
        </w:rPr>
        <w:t>整</w:t>
      </w:r>
      <w:r>
        <w:rPr>
          <w:rFonts w:hint="eastAsia" w:ascii="仿宋_GB2312" w:cs="宋体"/>
          <w:sz w:val="28"/>
          <w:szCs w:val="28"/>
        </w:rPr>
        <w:t>、准确性指标。</w:t>
      </w:r>
    </w:p>
    <w:p>
      <w:pPr>
        <w:spacing w:line="560" w:lineRule="exact"/>
        <w:ind w:firstLine="560" w:firstLineChars="200"/>
        <w:outlineLvl w:val="1"/>
        <w:rPr>
          <w:rFonts w:hint="eastAsia" w:ascii="仿宋_GB2312" w:hAnsi="宋体"/>
          <w:bCs/>
          <w:sz w:val="28"/>
          <w:szCs w:val="28"/>
        </w:rPr>
      </w:pPr>
      <w:bookmarkStart w:id="45" w:name="_Toc232065289"/>
      <w:r>
        <w:rPr>
          <w:rFonts w:hint="eastAsia" w:ascii="楷体_GB2312" w:eastAsia="楷体_GB2312"/>
          <w:sz w:val="28"/>
          <w:szCs w:val="28"/>
        </w:rPr>
        <w:t>（二）相关</w:t>
      </w:r>
      <w:r>
        <w:rPr>
          <w:rFonts w:ascii="楷体_GB2312" w:eastAsia="楷体_GB2312"/>
          <w:sz w:val="28"/>
          <w:szCs w:val="28"/>
        </w:rPr>
        <w:t>建议</w:t>
      </w:r>
      <w:bookmarkEnd w:id="45"/>
    </w:p>
    <w:p>
      <w:pPr>
        <w:spacing w:line="560" w:lineRule="exact"/>
        <w:ind w:firstLine="560" w:firstLineChars="200"/>
        <w:rPr>
          <w:rFonts w:ascii="仿宋_GB2312" w:cs="宋体"/>
          <w:sz w:val="28"/>
          <w:szCs w:val="28"/>
        </w:rPr>
      </w:pPr>
      <w:r>
        <w:rPr>
          <w:rFonts w:hint="eastAsia" w:ascii="仿宋_GB2312" w:hAnsi="宋体"/>
          <w:bCs/>
          <w:sz w:val="28"/>
          <w:szCs w:val="28"/>
        </w:rPr>
        <w:t>1.</w:t>
      </w:r>
      <w:r>
        <w:rPr>
          <w:rFonts w:hint="eastAsia" w:ascii="仿宋_GB2312" w:cs="宋体"/>
          <w:sz w:val="28"/>
          <w:szCs w:val="28"/>
        </w:rPr>
        <w:t>优化勘察定损流程，全面规范定损作业，提高案件处理率</w:t>
      </w:r>
    </w:p>
    <w:p>
      <w:pPr>
        <w:spacing w:line="560" w:lineRule="exact"/>
        <w:ind w:firstLine="560" w:firstLineChars="200"/>
        <w:rPr>
          <w:rFonts w:ascii="仿宋_GB2312" w:cs="宋体"/>
          <w:sz w:val="28"/>
          <w:szCs w:val="28"/>
        </w:rPr>
      </w:pPr>
      <w:r>
        <w:rPr>
          <w:rFonts w:hint="eastAsia" w:ascii="仿宋_GB2312" w:cs="宋体"/>
          <w:sz w:val="28"/>
          <w:szCs w:val="28"/>
        </w:rPr>
        <w:t>一方面，统一印发农业保险查勘定损操作细则，明确所有定损材料必须现场完整填写、现场核对、现场签字确认，严禁空白签字、事后补录信息等违规操作。建立理赔档案随机抽查机制，定期核查定损流程合规性，对不规范问题</w:t>
      </w:r>
      <w:r>
        <w:rPr>
          <w:rFonts w:hint="eastAsia" w:ascii="仿宋_GB2312" w:cs="宋体"/>
          <w:color w:val="000000"/>
          <w:sz w:val="28"/>
          <w:szCs w:val="28"/>
        </w:rPr>
        <w:t>及时</w:t>
      </w:r>
      <w:r>
        <w:rPr>
          <w:rFonts w:hint="eastAsia" w:ascii="仿宋_GB2312" w:cs="宋体"/>
          <w:sz w:val="28"/>
          <w:szCs w:val="28"/>
        </w:rPr>
        <w:t>整改、追责问责，全面规范定损作业流程。加大科技投入，运用卫星遥感、无人机、物联网等技术手段，提高查勘定损的效率和精准度。制定详细、科学且符合当地农业生产规律的定损标准和操作规范。另一方面，</w:t>
      </w:r>
      <w:r>
        <w:rPr>
          <w:rFonts w:hint="eastAsia" w:ascii="仿宋_GB2312" w:hAnsi="宋体"/>
          <w:bCs/>
          <w:sz w:val="28"/>
          <w:szCs w:val="28"/>
        </w:rPr>
        <w:t>搭</w:t>
      </w:r>
      <w:r>
        <w:rPr>
          <w:rFonts w:hint="eastAsia" w:ascii="仿宋_GB2312" w:hAnsi="宋体"/>
          <w:bCs/>
          <w:color w:val="000000"/>
          <w:sz w:val="28"/>
          <w:szCs w:val="28"/>
        </w:rPr>
        <w:t>建理</w:t>
      </w:r>
      <w:r>
        <w:rPr>
          <w:rFonts w:hint="eastAsia" w:ascii="仿宋_GB2312" w:hAnsi="宋体"/>
          <w:bCs/>
          <w:sz w:val="28"/>
          <w:szCs w:val="28"/>
        </w:rPr>
        <w:t>赔案件全周期动态管理台账，对已立案未核赔、超期未办结案件进行专项督办，明确办结时限、压实责任人，压缩案件处理周期，稳步提升案件处理率。</w:t>
      </w:r>
    </w:p>
    <w:p>
      <w:pPr>
        <w:spacing w:line="560" w:lineRule="exact"/>
        <w:ind w:firstLine="560" w:firstLineChars="200"/>
        <w:rPr>
          <w:rFonts w:ascii="仿宋_GB2312" w:cs="宋体"/>
          <w:sz w:val="28"/>
          <w:szCs w:val="28"/>
        </w:rPr>
      </w:pPr>
      <w:r>
        <w:rPr>
          <w:rFonts w:hint="eastAsia" w:ascii="仿宋_GB2312" w:cs="宋体"/>
          <w:sz w:val="28"/>
          <w:szCs w:val="28"/>
        </w:rPr>
        <w:t>2.针对特殊险种，制定专项</w:t>
      </w:r>
      <w:r>
        <w:rPr>
          <w:rFonts w:hint="eastAsia" w:ascii="仿宋_GB2312" w:cs="宋体"/>
          <w:color w:val="000000"/>
          <w:sz w:val="28"/>
          <w:szCs w:val="28"/>
        </w:rPr>
        <w:t>理赔</w:t>
      </w:r>
      <w:r>
        <w:rPr>
          <w:rFonts w:hint="eastAsia" w:ascii="仿宋_GB2312" w:cs="宋体"/>
          <w:sz w:val="28"/>
          <w:szCs w:val="28"/>
        </w:rPr>
        <w:t>方案，提高理赔时效</w:t>
      </w:r>
    </w:p>
    <w:p>
      <w:pPr>
        <w:spacing w:line="560" w:lineRule="exact"/>
        <w:ind w:firstLine="560" w:firstLineChars="200"/>
        <w:rPr>
          <w:rFonts w:ascii="仿宋_GB2312" w:cs="宋体"/>
          <w:sz w:val="28"/>
          <w:szCs w:val="28"/>
        </w:rPr>
      </w:pPr>
      <w:r>
        <w:rPr>
          <w:rFonts w:ascii="仿宋_GB2312" w:cs="宋体"/>
          <w:sz w:val="28"/>
          <w:szCs w:val="28"/>
        </w:rPr>
        <w:t>针对极端天气、收入类特色险种制定专项理赔时效提升方案，灾害天气期间增派基层查勘力量，运用无人机、卫星遥感等技术快速完成灾情摸排。提前对接农业、市场部门获取产量、价格数据，压缩核心定损要素归集时长，在合规留存受灾资料的基础上，精简前置查勘冗余流程，重点压降查勘转立案时效，对标全市平均水平完成整改。</w:t>
      </w:r>
    </w:p>
    <w:p>
      <w:pPr>
        <w:spacing w:line="560" w:lineRule="exact"/>
        <w:ind w:firstLine="560" w:firstLineChars="200"/>
        <w:rPr>
          <w:rFonts w:ascii="仿宋_GB2312" w:cs="宋体"/>
          <w:sz w:val="28"/>
          <w:szCs w:val="28"/>
        </w:rPr>
      </w:pPr>
      <w:r>
        <w:rPr>
          <w:rFonts w:hint="eastAsia" w:ascii="仿宋_GB2312" w:cs="宋体"/>
          <w:sz w:val="28"/>
          <w:szCs w:val="28"/>
        </w:rPr>
        <w:t>3.</w:t>
      </w:r>
      <w:r>
        <w:rPr>
          <w:rFonts w:hint="eastAsia" w:ascii="仿宋_GB2312" w:hAnsi="宋体"/>
          <w:bCs/>
          <w:sz w:val="28"/>
          <w:szCs w:val="28"/>
        </w:rPr>
        <w:t>规范保单公示管理</w:t>
      </w:r>
    </w:p>
    <w:p>
      <w:pPr>
        <w:spacing w:line="560" w:lineRule="exact"/>
        <w:ind w:firstLine="560" w:firstLineChars="200"/>
        <w:rPr>
          <w:rFonts w:ascii="仿宋_GB2312" w:cs="宋体"/>
          <w:sz w:val="28"/>
          <w:szCs w:val="28"/>
        </w:rPr>
      </w:pPr>
      <w:r>
        <w:rPr>
          <w:rFonts w:hint="eastAsia" w:ascii="仿宋_GB2312" w:cs="宋体"/>
          <w:sz w:val="28"/>
          <w:szCs w:val="28"/>
        </w:rPr>
        <w:t>设立专人专岗负责保单公示审核，制定标准化公示模板，重点校验投保单号是否有空缺、公示时间是否及时、保费金额是否准确等核心信息，杜绝逻辑错误、信息空缺问题。同步落实农户隐私保护要求，隐匿身份证、银行卡等敏感信息，并制定统一的保单公示标准，明确公示照片必须清</w:t>
      </w:r>
      <w:r>
        <w:rPr>
          <w:rFonts w:hint="eastAsia" w:ascii="仿宋_GB2312" w:cs="宋体"/>
          <w:color w:val="000000"/>
          <w:sz w:val="28"/>
          <w:szCs w:val="28"/>
        </w:rPr>
        <w:t>晰</w:t>
      </w:r>
      <w:r>
        <w:rPr>
          <w:rFonts w:hint="eastAsia" w:ascii="仿宋_GB2312" w:cs="宋体"/>
          <w:sz w:val="28"/>
          <w:szCs w:val="28"/>
        </w:rPr>
        <w:t>显示承保机构名称、公示日期、投保单签订日期等信息，确保公示内容合规、准确、完整。</w:t>
      </w:r>
    </w:p>
    <w:p>
      <w:pPr>
        <w:spacing w:line="560" w:lineRule="exact"/>
        <w:ind w:firstLine="560" w:firstLineChars="200"/>
        <w:rPr>
          <w:rFonts w:ascii="仿宋_GB2312" w:cs="宋体"/>
          <w:sz w:val="28"/>
          <w:szCs w:val="28"/>
        </w:rPr>
      </w:pPr>
      <w:r>
        <w:rPr>
          <w:rFonts w:hint="eastAsia" w:ascii="仿宋_GB2312" w:cs="宋体"/>
          <w:sz w:val="28"/>
          <w:szCs w:val="28"/>
        </w:rPr>
        <w:t>4.加强保单档案管理</w:t>
      </w:r>
    </w:p>
    <w:p>
      <w:pPr>
        <w:pStyle w:val="7"/>
        <w:ind w:firstLine="560"/>
        <w:rPr>
          <w:rFonts w:ascii="仿宋_GB2312" w:cs="宋体"/>
          <w:sz w:val="28"/>
          <w:szCs w:val="28"/>
        </w:rPr>
      </w:pPr>
      <w:r>
        <w:rPr>
          <w:rFonts w:ascii="仿宋_GB2312" w:cs="宋体"/>
          <w:sz w:val="28"/>
          <w:szCs w:val="28"/>
        </w:rPr>
        <w:t>统一承保理赔档案填写、审批、归档全流程标准，规范各类表单必填项，杜绝关键信息缺失。严格把控业务操作顺序，坚决杜绝流程倒置问题。建立纸质、电子档案双人复核机制，定期开展档案专项自查，补齐缺失资料，实现档案管理标准化、规范化。</w:t>
      </w:r>
    </w:p>
    <w:bookmarkEnd w:id="43"/>
    <w:p>
      <w:bookmarkStart w:id="46" w:name="_GoBack"/>
      <w:bookmarkEnd w:id="46"/>
    </w:p>
    <w:sectPr>
      <w:headerReference r:id="rId3" w:type="default"/>
      <w:footerReference r:id="rId4" w:type="default"/>
      <w:pgSz w:w="11906" w:h="16838"/>
      <w:pgMar w:top="1417" w:right="1531" w:bottom="1417" w:left="1531" w:header="737" w:footer="851" w:gutter="0"/>
      <w:cols w:space="720"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00007A87" w:usb1="80000000" w:usb2="00000008" w:usb3="00000000" w:csb0="400001FF" w:csb1="FFFF0000"/>
  </w:font>
  <w:font w:name="方正小标宋_GBK">
    <w:panose1 w:val="02000000000000000000"/>
    <w:charset w:val="86"/>
    <w:family w:val="script"/>
    <w:pitch w:val="default"/>
    <w:sig w:usb0="00000001" w:usb1="08000000" w:usb2="00000000" w:usb3="00000000" w:csb0="00040000" w:csb1="00000000"/>
  </w:font>
  <w:font w:name="文星简黑体">
    <w:altName w:val="黑体"/>
    <w:panose1 w:val="00000000000000000000"/>
    <w:charset w:val="86"/>
    <w:family w:val="roma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2</w:t>
    </w:r>
    <w: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50"/>
  <w:drawingGridVerticalSpacing w:val="204"/>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zMGU4Mzc2MmRmYWQyODM3NTAwZWU2YmMyY2QxY2QifQ=="/>
  </w:docVars>
  <w:rsids>
    <w:rsidRoot w:val="000D3013"/>
    <w:rsid w:val="00000C4F"/>
    <w:rsid w:val="000020B0"/>
    <w:rsid w:val="000041BF"/>
    <w:rsid w:val="000044F4"/>
    <w:rsid w:val="000054D9"/>
    <w:rsid w:val="00006703"/>
    <w:rsid w:val="00006A40"/>
    <w:rsid w:val="00006D45"/>
    <w:rsid w:val="00007536"/>
    <w:rsid w:val="00007AC4"/>
    <w:rsid w:val="00007E32"/>
    <w:rsid w:val="000103D5"/>
    <w:rsid w:val="00010E2A"/>
    <w:rsid w:val="0001310D"/>
    <w:rsid w:val="00013D59"/>
    <w:rsid w:val="000164AA"/>
    <w:rsid w:val="00016A21"/>
    <w:rsid w:val="00022328"/>
    <w:rsid w:val="00023C95"/>
    <w:rsid w:val="00026554"/>
    <w:rsid w:val="0002708E"/>
    <w:rsid w:val="00027369"/>
    <w:rsid w:val="00030A0B"/>
    <w:rsid w:val="00031710"/>
    <w:rsid w:val="00031EC4"/>
    <w:rsid w:val="00032C4A"/>
    <w:rsid w:val="000333D8"/>
    <w:rsid w:val="00036789"/>
    <w:rsid w:val="0003682C"/>
    <w:rsid w:val="00037B24"/>
    <w:rsid w:val="000401B2"/>
    <w:rsid w:val="00042CA1"/>
    <w:rsid w:val="00043502"/>
    <w:rsid w:val="00043F49"/>
    <w:rsid w:val="00044271"/>
    <w:rsid w:val="000457F0"/>
    <w:rsid w:val="00050595"/>
    <w:rsid w:val="00050D10"/>
    <w:rsid w:val="000521A3"/>
    <w:rsid w:val="00054B60"/>
    <w:rsid w:val="0005622C"/>
    <w:rsid w:val="000573DD"/>
    <w:rsid w:val="00057759"/>
    <w:rsid w:val="00061D97"/>
    <w:rsid w:val="000621DD"/>
    <w:rsid w:val="000634F0"/>
    <w:rsid w:val="00065210"/>
    <w:rsid w:val="00067563"/>
    <w:rsid w:val="00070858"/>
    <w:rsid w:val="00070FBA"/>
    <w:rsid w:val="00071061"/>
    <w:rsid w:val="00071327"/>
    <w:rsid w:val="000717D0"/>
    <w:rsid w:val="00071FBC"/>
    <w:rsid w:val="000733FF"/>
    <w:rsid w:val="0007388A"/>
    <w:rsid w:val="0007390C"/>
    <w:rsid w:val="00074B1E"/>
    <w:rsid w:val="00075D4A"/>
    <w:rsid w:val="0007739E"/>
    <w:rsid w:val="00080221"/>
    <w:rsid w:val="00082473"/>
    <w:rsid w:val="00083AD1"/>
    <w:rsid w:val="000842E3"/>
    <w:rsid w:val="00084365"/>
    <w:rsid w:val="0008571E"/>
    <w:rsid w:val="00085899"/>
    <w:rsid w:val="0008725A"/>
    <w:rsid w:val="00087D40"/>
    <w:rsid w:val="00087EB1"/>
    <w:rsid w:val="00090446"/>
    <w:rsid w:val="000910A5"/>
    <w:rsid w:val="0009122F"/>
    <w:rsid w:val="000919E6"/>
    <w:rsid w:val="00091F3E"/>
    <w:rsid w:val="00092DE5"/>
    <w:rsid w:val="00092F7C"/>
    <w:rsid w:val="000941E3"/>
    <w:rsid w:val="000946D4"/>
    <w:rsid w:val="00096E82"/>
    <w:rsid w:val="00096F20"/>
    <w:rsid w:val="000A0552"/>
    <w:rsid w:val="000A1A16"/>
    <w:rsid w:val="000A2EA9"/>
    <w:rsid w:val="000A4B24"/>
    <w:rsid w:val="000A502C"/>
    <w:rsid w:val="000A5266"/>
    <w:rsid w:val="000A795A"/>
    <w:rsid w:val="000A7C4E"/>
    <w:rsid w:val="000B03DA"/>
    <w:rsid w:val="000B068D"/>
    <w:rsid w:val="000B0CEF"/>
    <w:rsid w:val="000B3010"/>
    <w:rsid w:val="000B6003"/>
    <w:rsid w:val="000B710F"/>
    <w:rsid w:val="000B7269"/>
    <w:rsid w:val="000B7D92"/>
    <w:rsid w:val="000C3221"/>
    <w:rsid w:val="000C323A"/>
    <w:rsid w:val="000C3DBE"/>
    <w:rsid w:val="000C4ECE"/>
    <w:rsid w:val="000C6BFE"/>
    <w:rsid w:val="000C6E8A"/>
    <w:rsid w:val="000C7A6E"/>
    <w:rsid w:val="000D17C2"/>
    <w:rsid w:val="000D2FF8"/>
    <w:rsid w:val="000D3013"/>
    <w:rsid w:val="000D3E8B"/>
    <w:rsid w:val="000D453F"/>
    <w:rsid w:val="000D48A1"/>
    <w:rsid w:val="000D4C37"/>
    <w:rsid w:val="000D5E83"/>
    <w:rsid w:val="000D638E"/>
    <w:rsid w:val="000D63F2"/>
    <w:rsid w:val="000D68C5"/>
    <w:rsid w:val="000D6CE4"/>
    <w:rsid w:val="000D7069"/>
    <w:rsid w:val="000D707A"/>
    <w:rsid w:val="000D7F9C"/>
    <w:rsid w:val="000E08F6"/>
    <w:rsid w:val="000E15F4"/>
    <w:rsid w:val="000E275D"/>
    <w:rsid w:val="000E4D94"/>
    <w:rsid w:val="000E6599"/>
    <w:rsid w:val="000E79DA"/>
    <w:rsid w:val="000F03A1"/>
    <w:rsid w:val="000F0904"/>
    <w:rsid w:val="000F090A"/>
    <w:rsid w:val="000F1754"/>
    <w:rsid w:val="000F23EC"/>
    <w:rsid w:val="000F28B4"/>
    <w:rsid w:val="000F47BA"/>
    <w:rsid w:val="00100AD8"/>
    <w:rsid w:val="001035F8"/>
    <w:rsid w:val="00104BEB"/>
    <w:rsid w:val="0010563D"/>
    <w:rsid w:val="001079C4"/>
    <w:rsid w:val="001123DD"/>
    <w:rsid w:val="00112D41"/>
    <w:rsid w:val="00114388"/>
    <w:rsid w:val="001144D2"/>
    <w:rsid w:val="0011454F"/>
    <w:rsid w:val="001149EB"/>
    <w:rsid w:val="00115780"/>
    <w:rsid w:val="001158A4"/>
    <w:rsid w:val="00115CFF"/>
    <w:rsid w:val="00115DBE"/>
    <w:rsid w:val="00117263"/>
    <w:rsid w:val="00117915"/>
    <w:rsid w:val="00117CC2"/>
    <w:rsid w:val="00117D6F"/>
    <w:rsid w:val="00120945"/>
    <w:rsid w:val="001209E4"/>
    <w:rsid w:val="00120F75"/>
    <w:rsid w:val="0012120D"/>
    <w:rsid w:val="0012239F"/>
    <w:rsid w:val="00123D2B"/>
    <w:rsid w:val="00125AC7"/>
    <w:rsid w:val="00126214"/>
    <w:rsid w:val="00130088"/>
    <w:rsid w:val="0013078C"/>
    <w:rsid w:val="001311CA"/>
    <w:rsid w:val="0013156D"/>
    <w:rsid w:val="00131EBF"/>
    <w:rsid w:val="00132826"/>
    <w:rsid w:val="00132F18"/>
    <w:rsid w:val="00133D7A"/>
    <w:rsid w:val="0013468F"/>
    <w:rsid w:val="00134E3C"/>
    <w:rsid w:val="0013511B"/>
    <w:rsid w:val="001354D8"/>
    <w:rsid w:val="0013574C"/>
    <w:rsid w:val="0013582A"/>
    <w:rsid w:val="00137947"/>
    <w:rsid w:val="00140531"/>
    <w:rsid w:val="0014274E"/>
    <w:rsid w:val="00142CE2"/>
    <w:rsid w:val="00143132"/>
    <w:rsid w:val="00145E13"/>
    <w:rsid w:val="00145E8B"/>
    <w:rsid w:val="001462C5"/>
    <w:rsid w:val="001478FD"/>
    <w:rsid w:val="00147BD1"/>
    <w:rsid w:val="00150D75"/>
    <w:rsid w:val="00151AA5"/>
    <w:rsid w:val="00152E5F"/>
    <w:rsid w:val="00153E4F"/>
    <w:rsid w:val="0015445D"/>
    <w:rsid w:val="00154B7E"/>
    <w:rsid w:val="001565E7"/>
    <w:rsid w:val="0015787B"/>
    <w:rsid w:val="00160E5E"/>
    <w:rsid w:val="00161918"/>
    <w:rsid w:val="001634BE"/>
    <w:rsid w:val="00165443"/>
    <w:rsid w:val="0016678E"/>
    <w:rsid w:val="00170502"/>
    <w:rsid w:val="00171EA9"/>
    <w:rsid w:val="00173265"/>
    <w:rsid w:val="00173AD5"/>
    <w:rsid w:val="00173CD7"/>
    <w:rsid w:val="00173EC9"/>
    <w:rsid w:val="00174106"/>
    <w:rsid w:val="00174270"/>
    <w:rsid w:val="00175251"/>
    <w:rsid w:val="001752ED"/>
    <w:rsid w:val="00176075"/>
    <w:rsid w:val="001766C3"/>
    <w:rsid w:val="0017757B"/>
    <w:rsid w:val="00177995"/>
    <w:rsid w:val="00180D04"/>
    <w:rsid w:val="0018261E"/>
    <w:rsid w:val="00183174"/>
    <w:rsid w:val="00183289"/>
    <w:rsid w:val="001853DF"/>
    <w:rsid w:val="00185D0B"/>
    <w:rsid w:val="00185F52"/>
    <w:rsid w:val="00187579"/>
    <w:rsid w:val="0019183E"/>
    <w:rsid w:val="0019233E"/>
    <w:rsid w:val="0019250D"/>
    <w:rsid w:val="00192C2B"/>
    <w:rsid w:val="00193275"/>
    <w:rsid w:val="00195B81"/>
    <w:rsid w:val="001965AC"/>
    <w:rsid w:val="00196720"/>
    <w:rsid w:val="00196D07"/>
    <w:rsid w:val="00197E8A"/>
    <w:rsid w:val="001A302E"/>
    <w:rsid w:val="001A3CD3"/>
    <w:rsid w:val="001A50E3"/>
    <w:rsid w:val="001A5319"/>
    <w:rsid w:val="001A6949"/>
    <w:rsid w:val="001A717E"/>
    <w:rsid w:val="001A7658"/>
    <w:rsid w:val="001B026D"/>
    <w:rsid w:val="001B11FD"/>
    <w:rsid w:val="001B15F9"/>
    <w:rsid w:val="001B23B9"/>
    <w:rsid w:val="001B3071"/>
    <w:rsid w:val="001B3D93"/>
    <w:rsid w:val="001B4BFE"/>
    <w:rsid w:val="001B61D8"/>
    <w:rsid w:val="001B77F3"/>
    <w:rsid w:val="001B788F"/>
    <w:rsid w:val="001C146D"/>
    <w:rsid w:val="001C1D23"/>
    <w:rsid w:val="001C50D1"/>
    <w:rsid w:val="001C5A5C"/>
    <w:rsid w:val="001C7E85"/>
    <w:rsid w:val="001D0C26"/>
    <w:rsid w:val="001D15DA"/>
    <w:rsid w:val="001D208F"/>
    <w:rsid w:val="001D23CE"/>
    <w:rsid w:val="001D27B6"/>
    <w:rsid w:val="001D3095"/>
    <w:rsid w:val="001D339C"/>
    <w:rsid w:val="001D43BB"/>
    <w:rsid w:val="001D4D0B"/>
    <w:rsid w:val="001D4F07"/>
    <w:rsid w:val="001D5252"/>
    <w:rsid w:val="001D5CB6"/>
    <w:rsid w:val="001D5CD5"/>
    <w:rsid w:val="001D60CC"/>
    <w:rsid w:val="001D7644"/>
    <w:rsid w:val="001D7CEB"/>
    <w:rsid w:val="001E0568"/>
    <w:rsid w:val="001E06D8"/>
    <w:rsid w:val="001E14E4"/>
    <w:rsid w:val="001E47D2"/>
    <w:rsid w:val="001E4F3D"/>
    <w:rsid w:val="001E66BA"/>
    <w:rsid w:val="001E6951"/>
    <w:rsid w:val="001E7352"/>
    <w:rsid w:val="001F16C2"/>
    <w:rsid w:val="001F1768"/>
    <w:rsid w:val="001F18DB"/>
    <w:rsid w:val="001F23A6"/>
    <w:rsid w:val="001F2DA0"/>
    <w:rsid w:val="001F2FF1"/>
    <w:rsid w:val="001F32CE"/>
    <w:rsid w:val="001F5502"/>
    <w:rsid w:val="001F65FD"/>
    <w:rsid w:val="001F6E16"/>
    <w:rsid w:val="001F7358"/>
    <w:rsid w:val="00201680"/>
    <w:rsid w:val="00202742"/>
    <w:rsid w:val="002031C0"/>
    <w:rsid w:val="00204620"/>
    <w:rsid w:val="0020619A"/>
    <w:rsid w:val="002065AF"/>
    <w:rsid w:val="002106CC"/>
    <w:rsid w:val="00211DC0"/>
    <w:rsid w:val="00215582"/>
    <w:rsid w:val="00222FDE"/>
    <w:rsid w:val="002230CD"/>
    <w:rsid w:val="0022480F"/>
    <w:rsid w:val="00224D99"/>
    <w:rsid w:val="002253C0"/>
    <w:rsid w:val="00227385"/>
    <w:rsid w:val="00227C7C"/>
    <w:rsid w:val="00227E4A"/>
    <w:rsid w:val="002318C5"/>
    <w:rsid w:val="002320C0"/>
    <w:rsid w:val="00233257"/>
    <w:rsid w:val="00233F68"/>
    <w:rsid w:val="00233F9F"/>
    <w:rsid w:val="00236171"/>
    <w:rsid w:val="002369F3"/>
    <w:rsid w:val="00236C29"/>
    <w:rsid w:val="00237843"/>
    <w:rsid w:val="00237A5E"/>
    <w:rsid w:val="00237E22"/>
    <w:rsid w:val="00237F15"/>
    <w:rsid w:val="00241C5A"/>
    <w:rsid w:val="00242B43"/>
    <w:rsid w:val="0024370D"/>
    <w:rsid w:val="00243D13"/>
    <w:rsid w:val="0024693C"/>
    <w:rsid w:val="00246969"/>
    <w:rsid w:val="002469E4"/>
    <w:rsid w:val="00246F8C"/>
    <w:rsid w:val="00247E49"/>
    <w:rsid w:val="00251468"/>
    <w:rsid w:val="00251C6F"/>
    <w:rsid w:val="00252B67"/>
    <w:rsid w:val="002532CF"/>
    <w:rsid w:val="00253806"/>
    <w:rsid w:val="00255698"/>
    <w:rsid w:val="00255804"/>
    <w:rsid w:val="002559FA"/>
    <w:rsid w:val="00255D05"/>
    <w:rsid w:val="002564B9"/>
    <w:rsid w:val="00256C6E"/>
    <w:rsid w:val="00256D07"/>
    <w:rsid w:val="00261E2A"/>
    <w:rsid w:val="00264330"/>
    <w:rsid w:val="0026590E"/>
    <w:rsid w:val="00271324"/>
    <w:rsid w:val="002731A5"/>
    <w:rsid w:val="00274E4C"/>
    <w:rsid w:val="00275389"/>
    <w:rsid w:val="002768BC"/>
    <w:rsid w:val="00277C1A"/>
    <w:rsid w:val="002802AA"/>
    <w:rsid w:val="0028158D"/>
    <w:rsid w:val="0028193B"/>
    <w:rsid w:val="00281C7A"/>
    <w:rsid w:val="00283C40"/>
    <w:rsid w:val="0028402B"/>
    <w:rsid w:val="00286270"/>
    <w:rsid w:val="00287D56"/>
    <w:rsid w:val="00291A41"/>
    <w:rsid w:val="00291CA5"/>
    <w:rsid w:val="00292FCF"/>
    <w:rsid w:val="002951D5"/>
    <w:rsid w:val="00297011"/>
    <w:rsid w:val="00297D84"/>
    <w:rsid w:val="002A1051"/>
    <w:rsid w:val="002A1C04"/>
    <w:rsid w:val="002A2979"/>
    <w:rsid w:val="002A38B5"/>
    <w:rsid w:val="002A7743"/>
    <w:rsid w:val="002B0EAB"/>
    <w:rsid w:val="002B161F"/>
    <w:rsid w:val="002B1C30"/>
    <w:rsid w:val="002B2092"/>
    <w:rsid w:val="002B71CF"/>
    <w:rsid w:val="002C046D"/>
    <w:rsid w:val="002C0CA2"/>
    <w:rsid w:val="002C1909"/>
    <w:rsid w:val="002C2184"/>
    <w:rsid w:val="002C2526"/>
    <w:rsid w:val="002C3642"/>
    <w:rsid w:val="002C48D0"/>
    <w:rsid w:val="002D1448"/>
    <w:rsid w:val="002D184A"/>
    <w:rsid w:val="002D1AA0"/>
    <w:rsid w:val="002D2D27"/>
    <w:rsid w:val="002D3CD6"/>
    <w:rsid w:val="002D4D45"/>
    <w:rsid w:val="002D6843"/>
    <w:rsid w:val="002E0054"/>
    <w:rsid w:val="002E0726"/>
    <w:rsid w:val="002E1A5F"/>
    <w:rsid w:val="002E33F8"/>
    <w:rsid w:val="002E3721"/>
    <w:rsid w:val="002E3F13"/>
    <w:rsid w:val="002E42C5"/>
    <w:rsid w:val="002E4380"/>
    <w:rsid w:val="002E4388"/>
    <w:rsid w:val="002E607A"/>
    <w:rsid w:val="002E6BF0"/>
    <w:rsid w:val="002F1336"/>
    <w:rsid w:val="002F1496"/>
    <w:rsid w:val="002F2869"/>
    <w:rsid w:val="002F690E"/>
    <w:rsid w:val="00301356"/>
    <w:rsid w:val="00302A4B"/>
    <w:rsid w:val="00302C9F"/>
    <w:rsid w:val="0030306B"/>
    <w:rsid w:val="00303447"/>
    <w:rsid w:val="003039F3"/>
    <w:rsid w:val="00304B06"/>
    <w:rsid w:val="00304DAA"/>
    <w:rsid w:val="00306394"/>
    <w:rsid w:val="00306D3B"/>
    <w:rsid w:val="00306F49"/>
    <w:rsid w:val="0030710F"/>
    <w:rsid w:val="00307603"/>
    <w:rsid w:val="003103E4"/>
    <w:rsid w:val="0031071A"/>
    <w:rsid w:val="00310744"/>
    <w:rsid w:val="00311DFD"/>
    <w:rsid w:val="003136DD"/>
    <w:rsid w:val="003137B1"/>
    <w:rsid w:val="00315A5A"/>
    <w:rsid w:val="00316281"/>
    <w:rsid w:val="0031779D"/>
    <w:rsid w:val="003208A7"/>
    <w:rsid w:val="00321909"/>
    <w:rsid w:val="00321AF1"/>
    <w:rsid w:val="0032278E"/>
    <w:rsid w:val="00322CA9"/>
    <w:rsid w:val="00322F73"/>
    <w:rsid w:val="00324FB0"/>
    <w:rsid w:val="0032572C"/>
    <w:rsid w:val="00326938"/>
    <w:rsid w:val="00326D49"/>
    <w:rsid w:val="00327FB8"/>
    <w:rsid w:val="00330561"/>
    <w:rsid w:val="00331916"/>
    <w:rsid w:val="00331E31"/>
    <w:rsid w:val="003332E3"/>
    <w:rsid w:val="00333344"/>
    <w:rsid w:val="00333935"/>
    <w:rsid w:val="003359AD"/>
    <w:rsid w:val="003433B7"/>
    <w:rsid w:val="00345C63"/>
    <w:rsid w:val="00345CCF"/>
    <w:rsid w:val="00346B21"/>
    <w:rsid w:val="00351237"/>
    <w:rsid w:val="00351506"/>
    <w:rsid w:val="00351F5E"/>
    <w:rsid w:val="00355420"/>
    <w:rsid w:val="003555F6"/>
    <w:rsid w:val="0035568B"/>
    <w:rsid w:val="00355DCB"/>
    <w:rsid w:val="00362981"/>
    <w:rsid w:val="00364790"/>
    <w:rsid w:val="003666A3"/>
    <w:rsid w:val="00370020"/>
    <w:rsid w:val="00370613"/>
    <w:rsid w:val="00371969"/>
    <w:rsid w:val="00372854"/>
    <w:rsid w:val="00374617"/>
    <w:rsid w:val="003752AA"/>
    <w:rsid w:val="00375AFF"/>
    <w:rsid w:val="003803FA"/>
    <w:rsid w:val="00382CE7"/>
    <w:rsid w:val="00382F86"/>
    <w:rsid w:val="003834D1"/>
    <w:rsid w:val="003837C0"/>
    <w:rsid w:val="00383F5D"/>
    <w:rsid w:val="003859A0"/>
    <w:rsid w:val="00385DBB"/>
    <w:rsid w:val="00386D5B"/>
    <w:rsid w:val="003925F3"/>
    <w:rsid w:val="0039366B"/>
    <w:rsid w:val="00393CBC"/>
    <w:rsid w:val="00394D60"/>
    <w:rsid w:val="0039737D"/>
    <w:rsid w:val="003A1D9B"/>
    <w:rsid w:val="003A5463"/>
    <w:rsid w:val="003A5BE7"/>
    <w:rsid w:val="003A5FF3"/>
    <w:rsid w:val="003A759D"/>
    <w:rsid w:val="003B2FBA"/>
    <w:rsid w:val="003B56CE"/>
    <w:rsid w:val="003B5CF1"/>
    <w:rsid w:val="003B63F3"/>
    <w:rsid w:val="003B67B3"/>
    <w:rsid w:val="003C0263"/>
    <w:rsid w:val="003C1D21"/>
    <w:rsid w:val="003C29C3"/>
    <w:rsid w:val="003C2DED"/>
    <w:rsid w:val="003C34DB"/>
    <w:rsid w:val="003C3909"/>
    <w:rsid w:val="003C3F4C"/>
    <w:rsid w:val="003C4AE1"/>
    <w:rsid w:val="003C60ED"/>
    <w:rsid w:val="003C781C"/>
    <w:rsid w:val="003D04B3"/>
    <w:rsid w:val="003D086A"/>
    <w:rsid w:val="003D1F81"/>
    <w:rsid w:val="003D5FDB"/>
    <w:rsid w:val="003D6B7B"/>
    <w:rsid w:val="003D7301"/>
    <w:rsid w:val="003E2DF2"/>
    <w:rsid w:val="003E45FF"/>
    <w:rsid w:val="003E4828"/>
    <w:rsid w:val="003E4932"/>
    <w:rsid w:val="003E53D2"/>
    <w:rsid w:val="003E5CBA"/>
    <w:rsid w:val="003E6D8A"/>
    <w:rsid w:val="003E7C23"/>
    <w:rsid w:val="003F4AA8"/>
    <w:rsid w:val="003F4DF5"/>
    <w:rsid w:val="003F59DD"/>
    <w:rsid w:val="00403568"/>
    <w:rsid w:val="004071DA"/>
    <w:rsid w:val="004113BE"/>
    <w:rsid w:val="0041194D"/>
    <w:rsid w:val="004134E3"/>
    <w:rsid w:val="00413836"/>
    <w:rsid w:val="004142FB"/>
    <w:rsid w:val="0041432D"/>
    <w:rsid w:val="0041517E"/>
    <w:rsid w:val="004158EA"/>
    <w:rsid w:val="004161F8"/>
    <w:rsid w:val="00417168"/>
    <w:rsid w:val="00421B24"/>
    <w:rsid w:val="0042255F"/>
    <w:rsid w:val="00422C1B"/>
    <w:rsid w:val="004239DF"/>
    <w:rsid w:val="004249FF"/>
    <w:rsid w:val="004262E0"/>
    <w:rsid w:val="00426C8C"/>
    <w:rsid w:val="004313B5"/>
    <w:rsid w:val="00432E77"/>
    <w:rsid w:val="004340F8"/>
    <w:rsid w:val="0043564A"/>
    <w:rsid w:val="00436BD8"/>
    <w:rsid w:val="00436D39"/>
    <w:rsid w:val="00441AC0"/>
    <w:rsid w:val="00444F3B"/>
    <w:rsid w:val="00445978"/>
    <w:rsid w:val="00445A9E"/>
    <w:rsid w:val="00445FBE"/>
    <w:rsid w:val="00446375"/>
    <w:rsid w:val="00446D6E"/>
    <w:rsid w:val="00446E04"/>
    <w:rsid w:val="004502C1"/>
    <w:rsid w:val="004554DD"/>
    <w:rsid w:val="004600C8"/>
    <w:rsid w:val="004637DF"/>
    <w:rsid w:val="00463B91"/>
    <w:rsid w:val="00467A03"/>
    <w:rsid w:val="00470B10"/>
    <w:rsid w:val="00471F51"/>
    <w:rsid w:val="00472D49"/>
    <w:rsid w:val="00473FEF"/>
    <w:rsid w:val="00474496"/>
    <w:rsid w:val="004840D6"/>
    <w:rsid w:val="00485346"/>
    <w:rsid w:val="004855CE"/>
    <w:rsid w:val="00485B6C"/>
    <w:rsid w:val="004943B1"/>
    <w:rsid w:val="004943B2"/>
    <w:rsid w:val="004947B6"/>
    <w:rsid w:val="00494B55"/>
    <w:rsid w:val="004952DD"/>
    <w:rsid w:val="00495704"/>
    <w:rsid w:val="00496A1B"/>
    <w:rsid w:val="00496B43"/>
    <w:rsid w:val="00496EAB"/>
    <w:rsid w:val="00497671"/>
    <w:rsid w:val="004978EB"/>
    <w:rsid w:val="00497995"/>
    <w:rsid w:val="004A077E"/>
    <w:rsid w:val="004A30B4"/>
    <w:rsid w:val="004A50DE"/>
    <w:rsid w:val="004A5C28"/>
    <w:rsid w:val="004A7460"/>
    <w:rsid w:val="004B015C"/>
    <w:rsid w:val="004B0250"/>
    <w:rsid w:val="004B042E"/>
    <w:rsid w:val="004B1DA8"/>
    <w:rsid w:val="004B513D"/>
    <w:rsid w:val="004B69DD"/>
    <w:rsid w:val="004B7060"/>
    <w:rsid w:val="004B7749"/>
    <w:rsid w:val="004B7936"/>
    <w:rsid w:val="004B7AAF"/>
    <w:rsid w:val="004B7DD1"/>
    <w:rsid w:val="004C0EC1"/>
    <w:rsid w:val="004C0F66"/>
    <w:rsid w:val="004C0F89"/>
    <w:rsid w:val="004C7693"/>
    <w:rsid w:val="004D339F"/>
    <w:rsid w:val="004D42E1"/>
    <w:rsid w:val="004D4D82"/>
    <w:rsid w:val="004D5FE1"/>
    <w:rsid w:val="004D6C37"/>
    <w:rsid w:val="004D7BDF"/>
    <w:rsid w:val="004E1B28"/>
    <w:rsid w:val="004E40AD"/>
    <w:rsid w:val="004E4450"/>
    <w:rsid w:val="004E5FA9"/>
    <w:rsid w:val="004E71AE"/>
    <w:rsid w:val="004E7487"/>
    <w:rsid w:val="004F4899"/>
    <w:rsid w:val="004F579C"/>
    <w:rsid w:val="004F5BEC"/>
    <w:rsid w:val="004F67C0"/>
    <w:rsid w:val="004F6DF2"/>
    <w:rsid w:val="004F7D86"/>
    <w:rsid w:val="00500773"/>
    <w:rsid w:val="00501904"/>
    <w:rsid w:val="0050257B"/>
    <w:rsid w:val="005031BC"/>
    <w:rsid w:val="00505267"/>
    <w:rsid w:val="005069B5"/>
    <w:rsid w:val="00507C72"/>
    <w:rsid w:val="0051246B"/>
    <w:rsid w:val="005141E3"/>
    <w:rsid w:val="00523488"/>
    <w:rsid w:val="00524B03"/>
    <w:rsid w:val="0052628E"/>
    <w:rsid w:val="00526AB6"/>
    <w:rsid w:val="00530325"/>
    <w:rsid w:val="00531C50"/>
    <w:rsid w:val="005324CA"/>
    <w:rsid w:val="00533B93"/>
    <w:rsid w:val="00533E0D"/>
    <w:rsid w:val="0053486D"/>
    <w:rsid w:val="005357B6"/>
    <w:rsid w:val="00535B8D"/>
    <w:rsid w:val="005366F4"/>
    <w:rsid w:val="0054054A"/>
    <w:rsid w:val="005410CB"/>
    <w:rsid w:val="0054218F"/>
    <w:rsid w:val="00542C27"/>
    <w:rsid w:val="00543499"/>
    <w:rsid w:val="00545B75"/>
    <w:rsid w:val="005467CB"/>
    <w:rsid w:val="00547CC6"/>
    <w:rsid w:val="00550E51"/>
    <w:rsid w:val="0055103A"/>
    <w:rsid w:val="0055267D"/>
    <w:rsid w:val="0055333F"/>
    <w:rsid w:val="005538C9"/>
    <w:rsid w:val="00553EC9"/>
    <w:rsid w:val="005548A5"/>
    <w:rsid w:val="00556BC7"/>
    <w:rsid w:val="00557527"/>
    <w:rsid w:val="0056057D"/>
    <w:rsid w:val="00561B00"/>
    <w:rsid w:val="005622AF"/>
    <w:rsid w:val="00562D5F"/>
    <w:rsid w:val="00563A8A"/>
    <w:rsid w:val="00563F3E"/>
    <w:rsid w:val="00566100"/>
    <w:rsid w:val="00571417"/>
    <w:rsid w:val="00571898"/>
    <w:rsid w:val="00571DD9"/>
    <w:rsid w:val="00572429"/>
    <w:rsid w:val="00572446"/>
    <w:rsid w:val="00573570"/>
    <w:rsid w:val="005741E0"/>
    <w:rsid w:val="0057425C"/>
    <w:rsid w:val="00575BAE"/>
    <w:rsid w:val="00577CC9"/>
    <w:rsid w:val="00582FAD"/>
    <w:rsid w:val="0058328D"/>
    <w:rsid w:val="005832A4"/>
    <w:rsid w:val="00583918"/>
    <w:rsid w:val="00584117"/>
    <w:rsid w:val="0058612E"/>
    <w:rsid w:val="005864EE"/>
    <w:rsid w:val="00587665"/>
    <w:rsid w:val="00592CC9"/>
    <w:rsid w:val="0059354D"/>
    <w:rsid w:val="00593DC7"/>
    <w:rsid w:val="005968B6"/>
    <w:rsid w:val="005977E9"/>
    <w:rsid w:val="005A0325"/>
    <w:rsid w:val="005A0CEB"/>
    <w:rsid w:val="005A16DF"/>
    <w:rsid w:val="005A1708"/>
    <w:rsid w:val="005A3F9E"/>
    <w:rsid w:val="005A49A9"/>
    <w:rsid w:val="005A4A14"/>
    <w:rsid w:val="005A5F6D"/>
    <w:rsid w:val="005A69D2"/>
    <w:rsid w:val="005A7218"/>
    <w:rsid w:val="005A72EB"/>
    <w:rsid w:val="005B29D2"/>
    <w:rsid w:val="005B2E17"/>
    <w:rsid w:val="005B3CA5"/>
    <w:rsid w:val="005C001C"/>
    <w:rsid w:val="005C081B"/>
    <w:rsid w:val="005C0DBA"/>
    <w:rsid w:val="005C4794"/>
    <w:rsid w:val="005C5AC9"/>
    <w:rsid w:val="005C6B07"/>
    <w:rsid w:val="005C743E"/>
    <w:rsid w:val="005C7545"/>
    <w:rsid w:val="005D0360"/>
    <w:rsid w:val="005D11FE"/>
    <w:rsid w:val="005D225C"/>
    <w:rsid w:val="005D2358"/>
    <w:rsid w:val="005D599C"/>
    <w:rsid w:val="005D628C"/>
    <w:rsid w:val="005D62FF"/>
    <w:rsid w:val="005D7C02"/>
    <w:rsid w:val="005E0705"/>
    <w:rsid w:val="005E232C"/>
    <w:rsid w:val="005E2C69"/>
    <w:rsid w:val="005E3335"/>
    <w:rsid w:val="005E3A5C"/>
    <w:rsid w:val="005E5BF4"/>
    <w:rsid w:val="005E6257"/>
    <w:rsid w:val="005E6DE8"/>
    <w:rsid w:val="005F0587"/>
    <w:rsid w:val="005F1161"/>
    <w:rsid w:val="005F17BD"/>
    <w:rsid w:val="005F1D07"/>
    <w:rsid w:val="005F37F0"/>
    <w:rsid w:val="00600156"/>
    <w:rsid w:val="00601966"/>
    <w:rsid w:val="006022E1"/>
    <w:rsid w:val="00602952"/>
    <w:rsid w:val="0060321F"/>
    <w:rsid w:val="00603AA4"/>
    <w:rsid w:val="006049E5"/>
    <w:rsid w:val="00604B52"/>
    <w:rsid w:val="00606C2D"/>
    <w:rsid w:val="0061235A"/>
    <w:rsid w:val="006133D5"/>
    <w:rsid w:val="00613EFB"/>
    <w:rsid w:val="006152C7"/>
    <w:rsid w:val="00615A07"/>
    <w:rsid w:val="00615CBF"/>
    <w:rsid w:val="006173D8"/>
    <w:rsid w:val="006208EB"/>
    <w:rsid w:val="00621F10"/>
    <w:rsid w:val="0062201D"/>
    <w:rsid w:val="00623839"/>
    <w:rsid w:val="006269D8"/>
    <w:rsid w:val="00626C00"/>
    <w:rsid w:val="0063278E"/>
    <w:rsid w:val="00633735"/>
    <w:rsid w:val="006344DD"/>
    <w:rsid w:val="00636442"/>
    <w:rsid w:val="00636623"/>
    <w:rsid w:val="00642E3C"/>
    <w:rsid w:val="006453BC"/>
    <w:rsid w:val="00645526"/>
    <w:rsid w:val="00645882"/>
    <w:rsid w:val="0064653D"/>
    <w:rsid w:val="0064685E"/>
    <w:rsid w:val="00647A2A"/>
    <w:rsid w:val="00651304"/>
    <w:rsid w:val="00651A46"/>
    <w:rsid w:val="00652751"/>
    <w:rsid w:val="00656C71"/>
    <w:rsid w:val="00656D54"/>
    <w:rsid w:val="00657F26"/>
    <w:rsid w:val="00660018"/>
    <w:rsid w:val="006608D5"/>
    <w:rsid w:val="00661238"/>
    <w:rsid w:val="00661372"/>
    <w:rsid w:val="00661E58"/>
    <w:rsid w:val="00663393"/>
    <w:rsid w:val="00663B9D"/>
    <w:rsid w:val="0066406F"/>
    <w:rsid w:val="006644E2"/>
    <w:rsid w:val="00664BA2"/>
    <w:rsid w:val="00664EE1"/>
    <w:rsid w:val="00665B9D"/>
    <w:rsid w:val="00666F61"/>
    <w:rsid w:val="00671876"/>
    <w:rsid w:val="00672068"/>
    <w:rsid w:val="00672CA8"/>
    <w:rsid w:val="0067796F"/>
    <w:rsid w:val="00677C32"/>
    <w:rsid w:val="00680B21"/>
    <w:rsid w:val="006820B4"/>
    <w:rsid w:val="006843AC"/>
    <w:rsid w:val="00686330"/>
    <w:rsid w:val="00687683"/>
    <w:rsid w:val="006935F4"/>
    <w:rsid w:val="00693BD0"/>
    <w:rsid w:val="00693F0D"/>
    <w:rsid w:val="00694A8A"/>
    <w:rsid w:val="006957DD"/>
    <w:rsid w:val="006964FE"/>
    <w:rsid w:val="006A3DC6"/>
    <w:rsid w:val="006A4BFA"/>
    <w:rsid w:val="006A5F7A"/>
    <w:rsid w:val="006B045D"/>
    <w:rsid w:val="006B05E4"/>
    <w:rsid w:val="006B1FB6"/>
    <w:rsid w:val="006B2D6A"/>
    <w:rsid w:val="006B44FC"/>
    <w:rsid w:val="006B73AC"/>
    <w:rsid w:val="006C1E90"/>
    <w:rsid w:val="006C2502"/>
    <w:rsid w:val="006C5D63"/>
    <w:rsid w:val="006C6CD8"/>
    <w:rsid w:val="006C6EE5"/>
    <w:rsid w:val="006C6F37"/>
    <w:rsid w:val="006D061A"/>
    <w:rsid w:val="006D3FAB"/>
    <w:rsid w:val="006D6BA6"/>
    <w:rsid w:val="006D6D8B"/>
    <w:rsid w:val="006D78B9"/>
    <w:rsid w:val="006E1410"/>
    <w:rsid w:val="006E1535"/>
    <w:rsid w:val="006E1C9B"/>
    <w:rsid w:val="006E2266"/>
    <w:rsid w:val="006E271C"/>
    <w:rsid w:val="006E3257"/>
    <w:rsid w:val="006E4091"/>
    <w:rsid w:val="006E5E1D"/>
    <w:rsid w:val="006E783A"/>
    <w:rsid w:val="006F0D0B"/>
    <w:rsid w:val="006F1272"/>
    <w:rsid w:val="006F2700"/>
    <w:rsid w:val="006F35AE"/>
    <w:rsid w:val="006F36C5"/>
    <w:rsid w:val="006F380C"/>
    <w:rsid w:val="006F5978"/>
    <w:rsid w:val="006F702C"/>
    <w:rsid w:val="006F7059"/>
    <w:rsid w:val="006F754B"/>
    <w:rsid w:val="00700538"/>
    <w:rsid w:val="00700D40"/>
    <w:rsid w:val="00703279"/>
    <w:rsid w:val="00703BD9"/>
    <w:rsid w:val="00703CC2"/>
    <w:rsid w:val="00704E1A"/>
    <w:rsid w:val="00706358"/>
    <w:rsid w:val="00707A94"/>
    <w:rsid w:val="007103CF"/>
    <w:rsid w:val="007112FB"/>
    <w:rsid w:val="007146ED"/>
    <w:rsid w:val="00714EAC"/>
    <w:rsid w:val="00716DD6"/>
    <w:rsid w:val="00716DFF"/>
    <w:rsid w:val="00721659"/>
    <w:rsid w:val="007229E8"/>
    <w:rsid w:val="00722C07"/>
    <w:rsid w:val="00723376"/>
    <w:rsid w:val="007233A9"/>
    <w:rsid w:val="00730F16"/>
    <w:rsid w:val="00731F5C"/>
    <w:rsid w:val="007320AB"/>
    <w:rsid w:val="00732D0E"/>
    <w:rsid w:val="00733847"/>
    <w:rsid w:val="00733F97"/>
    <w:rsid w:val="00734C5F"/>
    <w:rsid w:val="0073703E"/>
    <w:rsid w:val="00741696"/>
    <w:rsid w:val="00741737"/>
    <w:rsid w:val="007420D8"/>
    <w:rsid w:val="0074329E"/>
    <w:rsid w:val="007437A0"/>
    <w:rsid w:val="00743DEC"/>
    <w:rsid w:val="007448F3"/>
    <w:rsid w:val="00744BBB"/>
    <w:rsid w:val="00745A0E"/>
    <w:rsid w:val="00746022"/>
    <w:rsid w:val="007469D7"/>
    <w:rsid w:val="00746B56"/>
    <w:rsid w:val="007475C1"/>
    <w:rsid w:val="007476C5"/>
    <w:rsid w:val="00747E9E"/>
    <w:rsid w:val="0075036D"/>
    <w:rsid w:val="00750A17"/>
    <w:rsid w:val="00750BDD"/>
    <w:rsid w:val="00750FAF"/>
    <w:rsid w:val="00751CEB"/>
    <w:rsid w:val="007530E3"/>
    <w:rsid w:val="0075455D"/>
    <w:rsid w:val="007545C7"/>
    <w:rsid w:val="0075477F"/>
    <w:rsid w:val="00755FE3"/>
    <w:rsid w:val="00761C68"/>
    <w:rsid w:val="00764644"/>
    <w:rsid w:val="0076634C"/>
    <w:rsid w:val="00767067"/>
    <w:rsid w:val="007675CD"/>
    <w:rsid w:val="00767810"/>
    <w:rsid w:val="007729DB"/>
    <w:rsid w:val="007730AB"/>
    <w:rsid w:val="00775D3B"/>
    <w:rsid w:val="007764BB"/>
    <w:rsid w:val="007768A1"/>
    <w:rsid w:val="00776EDE"/>
    <w:rsid w:val="00780906"/>
    <w:rsid w:val="007819EB"/>
    <w:rsid w:val="00783540"/>
    <w:rsid w:val="00783A28"/>
    <w:rsid w:val="00783AA8"/>
    <w:rsid w:val="00786401"/>
    <w:rsid w:val="0078702A"/>
    <w:rsid w:val="00787654"/>
    <w:rsid w:val="00787F13"/>
    <w:rsid w:val="007900E7"/>
    <w:rsid w:val="00790953"/>
    <w:rsid w:val="007933D6"/>
    <w:rsid w:val="00793930"/>
    <w:rsid w:val="007947F1"/>
    <w:rsid w:val="007959C3"/>
    <w:rsid w:val="00797224"/>
    <w:rsid w:val="007978FA"/>
    <w:rsid w:val="00797D7A"/>
    <w:rsid w:val="007A09BF"/>
    <w:rsid w:val="007A1274"/>
    <w:rsid w:val="007A1871"/>
    <w:rsid w:val="007A195B"/>
    <w:rsid w:val="007A1A03"/>
    <w:rsid w:val="007A1B1B"/>
    <w:rsid w:val="007A1FE9"/>
    <w:rsid w:val="007A3274"/>
    <w:rsid w:val="007A5477"/>
    <w:rsid w:val="007A5C98"/>
    <w:rsid w:val="007B1E9B"/>
    <w:rsid w:val="007B3257"/>
    <w:rsid w:val="007B3852"/>
    <w:rsid w:val="007B38E3"/>
    <w:rsid w:val="007B39D5"/>
    <w:rsid w:val="007B4644"/>
    <w:rsid w:val="007B50B6"/>
    <w:rsid w:val="007C095B"/>
    <w:rsid w:val="007C0CB3"/>
    <w:rsid w:val="007C10CD"/>
    <w:rsid w:val="007C227D"/>
    <w:rsid w:val="007C3A44"/>
    <w:rsid w:val="007C5D3E"/>
    <w:rsid w:val="007C6F88"/>
    <w:rsid w:val="007D020A"/>
    <w:rsid w:val="007D1FB2"/>
    <w:rsid w:val="007D28D6"/>
    <w:rsid w:val="007D3384"/>
    <w:rsid w:val="007D4065"/>
    <w:rsid w:val="007D5A5F"/>
    <w:rsid w:val="007D68F1"/>
    <w:rsid w:val="007D723D"/>
    <w:rsid w:val="007E012E"/>
    <w:rsid w:val="007E0462"/>
    <w:rsid w:val="007E04FC"/>
    <w:rsid w:val="007E100D"/>
    <w:rsid w:val="007E157C"/>
    <w:rsid w:val="007E166F"/>
    <w:rsid w:val="007E1DEB"/>
    <w:rsid w:val="007E3FDA"/>
    <w:rsid w:val="007E4C4E"/>
    <w:rsid w:val="007E5FE5"/>
    <w:rsid w:val="007E62AA"/>
    <w:rsid w:val="007E6403"/>
    <w:rsid w:val="007F296F"/>
    <w:rsid w:val="007F2A32"/>
    <w:rsid w:val="007F2C17"/>
    <w:rsid w:val="007F3AAB"/>
    <w:rsid w:val="007F5BC1"/>
    <w:rsid w:val="007F6225"/>
    <w:rsid w:val="007F6BF4"/>
    <w:rsid w:val="007F6D0D"/>
    <w:rsid w:val="007F7B09"/>
    <w:rsid w:val="00801A2D"/>
    <w:rsid w:val="008020B4"/>
    <w:rsid w:val="00802755"/>
    <w:rsid w:val="0080277A"/>
    <w:rsid w:val="00803555"/>
    <w:rsid w:val="00803B7F"/>
    <w:rsid w:val="0080407D"/>
    <w:rsid w:val="00804671"/>
    <w:rsid w:val="00804695"/>
    <w:rsid w:val="00805449"/>
    <w:rsid w:val="008064AC"/>
    <w:rsid w:val="00806EA7"/>
    <w:rsid w:val="00807FD3"/>
    <w:rsid w:val="0081056B"/>
    <w:rsid w:val="00810E55"/>
    <w:rsid w:val="008134D9"/>
    <w:rsid w:val="00814F9C"/>
    <w:rsid w:val="008153D5"/>
    <w:rsid w:val="008154A0"/>
    <w:rsid w:val="00816F0A"/>
    <w:rsid w:val="00817BC1"/>
    <w:rsid w:val="008209AB"/>
    <w:rsid w:val="00820E2D"/>
    <w:rsid w:val="0082152F"/>
    <w:rsid w:val="00822BBA"/>
    <w:rsid w:val="00823FF6"/>
    <w:rsid w:val="00824E66"/>
    <w:rsid w:val="008252BA"/>
    <w:rsid w:val="008262D7"/>
    <w:rsid w:val="00826E21"/>
    <w:rsid w:val="008273F6"/>
    <w:rsid w:val="00831377"/>
    <w:rsid w:val="00832711"/>
    <w:rsid w:val="00832C1F"/>
    <w:rsid w:val="008335E4"/>
    <w:rsid w:val="00835283"/>
    <w:rsid w:val="008358F7"/>
    <w:rsid w:val="00836307"/>
    <w:rsid w:val="0083674A"/>
    <w:rsid w:val="00837FEB"/>
    <w:rsid w:val="00840089"/>
    <w:rsid w:val="0084009B"/>
    <w:rsid w:val="00840271"/>
    <w:rsid w:val="00840EEE"/>
    <w:rsid w:val="0084179A"/>
    <w:rsid w:val="00841EEA"/>
    <w:rsid w:val="0084560F"/>
    <w:rsid w:val="00847A33"/>
    <w:rsid w:val="0085132F"/>
    <w:rsid w:val="00851676"/>
    <w:rsid w:val="00853C01"/>
    <w:rsid w:val="00855967"/>
    <w:rsid w:val="008568F9"/>
    <w:rsid w:val="00856D11"/>
    <w:rsid w:val="00856E84"/>
    <w:rsid w:val="0086385D"/>
    <w:rsid w:val="00863A88"/>
    <w:rsid w:val="00866067"/>
    <w:rsid w:val="00867E9C"/>
    <w:rsid w:val="00871F03"/>
    <w:rsid w:val="00881E89"/>
    <w:rsid w:val="00883200"/>
    <w:rsid w:val="00885DD4"/>
    <w:rsid w:val="00886D51"/>
    <w:rsid w:val="00886EE7"/>
    <w:rsid w:val="00887931"/>
    <w:rsid w:val="00887D06"/>
    <w:rsid w:val="00891DB3"/>
    <w:rsid w:val="00891EE9"/>
    <w:rsid w:val="0089382A"/>
    <w:rsid w:val="00893AA8"/>
    <w:rsid w:val="00893E39"/>
    <w:rsid w:val="00894C25"/>
    <w:rsid w:val="008974DD"/>
    <w:rsid w:val="008975A0"/>
    <w:rsid w:val="008A0340"/>
    <w:rsid w:val="008A1766"/>
    <w:rsid w:val="008A193E"/>
    <w:rsid w:val="008A2B48"/>
    <w:rsid w:val="008A337C"/>
    <w:rsid w:val="008A37DF"/>
    <w:rsid w:val="008A3C43"/>
    <w:rsid w:val="008A4645"/>
    <w:rsid w:val="008A475D"/>
    <w:rsid w:val="008A54C7"/>
    <w:rsid w:val="008A6F32"/>
    <w:rsid w:val="008A71E4"/>
    <w:rsid w:val="008B0889"/>
    <w:rsid w:val="008B2F76"/>
    <w:rsid w:val="008B31EB"/>
    <w:rsid w:val="008B41CF"/>
    <w:rsid w:val="008B5C9E"/>
    <w:rsid w:val="008B6626"/>
    <w:rsid w:val="008C074B"/>
    <w:rsid w:val="008C18F0"/>
    <w:rsid w:val="008C6481"/>
    <w:rsid w:val="008C6974"/>
    <w:rsid w:val="008C7DDA"/>
    <w:rsid w:val="008D2CC7"/>
    <w:rsid w:val="008D5148"/>
    <w:rsid w:val="008D612E"/>
    <w:rsid w:val="008D7928"/>
    <w:rsid w:val="008E1ABD"/>
    <w:rsid w:val="008E238C"/>
    <w:rsid w:val="008E431B"/>
    <w:rsid w:val="008E436B"/>
    <w:rsid w:val="008E4C4E"/>
    <w:rsid w:val="008E50DC"/>
    <w:rsid w:val="008E534A"/>
    <w:rsid w:val="008E5CC5"/>
    <w:rsid w:val="008E7162"/>
    <w:rsid w:val="008E76F7"/>
    <w:rsid w:val="008E7DB6"/>
    <w:rsid w:val="008F0004"/>
    <w:rsid w:val="008F0F7B"/>
    <w:rsid w:val="008F36D0"/>
    <w:rsid w:val="008F59BC"/>
    <w:rsid w:val="008F7700"/>
    <w:rsid w:val="00901643"/>
    <w:rsid w:val="00901DF1"/>
    <w:rsid w:val="00903BB2"/>
    <w:rsid w:val="00903DB2"/>
    <w:rsid w:val="009041BD"/>
    <w:rsid w:val="00904716"/>
    <w:rsid w:val="00904FF6"/>
    <w:rsid w:val="00905401"/>
    <w:rsid w:val="00905729"/>
    <w:rsid w:val="00905B70"/>
    <w:rsid w:val="0090733A"/>
    <w:rsid w:val="00910232"/>
    <w:rsid w:val="009139E1"/>
    <w:rsid w:val="009149C0"/>
    <w:rsid w:val="00915112"/>
    <w:rsid w:val="009160CA"/>
    <w:rsid w:val="0092080B"/>
    <w:rsid w:val="00920D57"/>
    <w:rsid w:val="00921544"/>
    <w:rsid w:val="00921BCF"/>
    <w:rsid w:val="009235E5"/>
    <w:rsid w:val="00924283"/>
    <w:rsid w:val="00924774"/>
    <w:rsid w:val="009251B0"/>
    <w:rsid w:val="009254E2"/>
    <w:rsid w:val="00925DB0"/>
    <w:rsid w:val="009274EE"/>
    <w:rsid w:val="00927804"/>
    <w:rsid w:val="00927A6D"/>
    <w:rsid w:val="00930AE6"/>
    <w:rsid w:val="009340F2"/>
    <w:rsid w:val="009342E2"/>
    <w:rsid w:val="00934629"/>
    <w:rsid w:val="00937062"/>
    <w:rsid w:val="009371C2"/>
    <w:rsid w:val="00937D7C"/>
    <w:rsid w:val="00940043"/>
    <w:rsid w:val="00940A92"/>
    <w:rsid w:val="009426FB"/>
    <w:rsid w:val="009429AD"/>
    <w:rsid w:val="009435E7"/>
    <w:rsid w:val="00943B0C"/>
    <w:rsid w:val="00943B5E"/>
    <w:rsid w:val="0094507B"/>
    <w:rsid w:val="00945587"/>
    <w:rsid w:val="0094627A"/>
    <w:rsid w:val="009505D5"/>
    <w:rsid w:val="0095082E"/>
    <w:rsid w:val="00952BFC"/>
    <w:rsid w:val="00954238"/>
    <w:rsid w:val="009545C8"/>
    <w:rsid w:val="009560CD"/>
    <w:rsid w:val="0096060C"/>
    <w:rsid w:val="00960611"/>
    <w:rsid w:val="00960A0B"/>
    <w:rsid w:val="00960C2A"/>
    <w:rsid w:val="00961776"/>
    <w:rsid w:val="009617BB"/>
    <w:rsid w:val="00961CAF"/>
    <w:rsid w:val="00962D5C"/>
    <w:rsid w:val="00964107"/>
    <w:rsid w:val="009665BB"/>
    <w:rsid w:val="00967849"/>
    <w:rsid w:val="00967D72"/>
    <w:rsid w:val="0097166D"/>
    <w:rsid w:val="00971852"/>
    <w:rsid w:val="009719E6"/>
    <w:rsid w:val="00972190"/>
    <w:rsid w:val="00976CE9"/>
    <w:rsid w:val="00976E9D"/>
    <w:rsid w:val="00977FF4"/>
    <w:rsid w:val="0098142A"/>
    <w:rsid w:val="00982408"/>
    <w:rsid w:val="00982989"/>
    <w:rsid w:val="00982D5B"/>
    <w:rsid w:val="009843EB"/>
    <w:rsid w:val="0099223E"/>
    <w:rsid w:val="009932AE"/>
    <w:rsid w:val="00993A67"/>
    <w:rsid w:val="00994DB1"/>
    <w:rsid w:val="00994E57"/>
    <w:rsid w:val="00996001"/>
    <w:rsid w:val="00996DBD"/>
    <w:rsid w:val="00996EE2"/>
    <w:rsid w:val="009A077B"/>
    <w:rsid w:val="009A08BC"/>
    <w:rsid w:val="009A53F1"/>
    <w:rsid w:val="009A5F9A"/>
    <w:rsid w:val="009A5FA3"/>
    <w:rsid w:val="009A745F"/>
    <w:rsid w:val="009B0028"/>
    <w:rsid w:val="009B0561"/>
    <w:rsid w:val="009B340D"/>
    <w:rsid w:val="009B4D31"/>
    <w:rsid w:val="009B5703"/>
    <w:rsid w:val="009B5944"/>
    <w:rsid w:val="009B62F5"/>
    <w:rsid w:val="009B6DB4"/>
    <w:rsid w:val="009B792F"/>
    <w:rsid w:val="009B7AD9"/>
    <w:rsid w:val="009C0304"/>
    <w:rsid w:val="009C082C"/>
    <w:rsid w:val="009C2EBA"/>
    <w:rsid w:val="009C316A"/>
    <w:rsid w:val="009C37EF"/>
    <w:rsid w:val="009C3824"/>
    <w:rsid w:val="009C3CA7"/>
    <w:rsid w:val="009C449B"/>
    <w:rsid w:val="009C4908"/>
    <w:rsid w:val="009C53EA"/>
    <w:rsid w:val="009C733B"/>
    <w:rsid w:val="009D092C"/>
    <w:rsid w:val="009D1251"/>
    <w:rsid w:val="009D13D2"/>
    <w:rsid w:val="009D2B6B"/>
    <w:rsid w:val="009D33AD"/>
    <w:rsid w:val="009D34A8"/>
    <w:rsid w:val="009D40EF"/>
    <w:rsid w:val="009D5557"/>
    <w:rsid w:val="009D7AC8"/>
    <w:rsid w:val="009D7C08"/>
    <w:rsid w:val="009E03A0"/>
    <w:rsid w:val="009E1DFC"/>
    <w:rsid w:val="009E2D83"/>
    <w:rsid w:val="009E4530"/>
    <w:rsid w:val="009E5B5F"/>
    <w:rsid w:val="009E5F70"/>
    <w:rsid w:val="009E738F"/>
    <w:rsid w:val="009E77A2"/>
    <w:rsid w:val="009F2513"/>
    <w:rsid w:val="009F3CB4"/>
    <w:rsid w:val="009F5095"/>
    <w:rsid w:val="009F556D"/>
    <w:rsid w:val="009F59C3"/>
    <w:rsid w:val="009F63DE"/>
    <w:rsid w:val="009F695D"/>
    <w:rsid w:val="009F6CB5"/>
    <w:rsid w:val="009F705D"/>
    <w:rsid w:val="009F72B0"/>
    <w:rsid w:val="009F79A6"/>
    <w:rsid w:val="00A002CC"/>
    <w:rsid w:val="00A012D4"/>
    <w:rsid w:val="00A01AE9"/>
    <w:rsid w:val="00A02A6B"/>
    <w:rsid w:val="00A02F62"/>
    <w:rsid w:val="00A04E6B"/>
    <w:rsid w:val="00A0702C"/>
    <w:rsid w:val="00A077BC"/>
    <w:rsid w:val="00A12076"/>
    <w:rsid w:val="00A13024"/>
    <w:rsid w:val="00A139A1"/>
    <w:rsid w:val="00A15ABA"/>
    <w:rsid w:val="00A15C44"/>
    <w:rsid w:val="00A17696"/>
    <w:rsid w:val="00A20D39"/>
    <w:rsid w:val="00A21A03"/>
    <w:rsid w:val="00A21CB5"/>
    <w:rsid w:val="00A239D6"/>
    <w:rsid w:val="00A24122"/>
    <w:rsid w:val="00A254CA"/>
    <w:rsid w:val="00A26172"/>
    <w:rsid w:val="00A26423"/>
    <w:rsid w:val="00A2757E"/>
    <w:rsid w:val="00A2792A"/>
    <w:rsid w:val="00A30D66"/>
    <w:rsid w:val="00A339DA"/>
    <w:rsid w:val="00A341CB"/>
    <w:rsid w:val="00A360A8"/>
    <w:rsid w:val="00A37060"/>
    <w:rsid w:val="00A37098"/>
    <w:rsid w:val="00A4018A"/>
    <w:rsid w:val="00A40C7E"/>
    <w:rsid w:val="00A4162E"/>
    <w:rsid w:val="00A416F2"/>
    <w:rsid w:val="00A425AF"/>
    <w:rsid w:val="00A42F78"/>
    <w:rsid w:val="00A446F4"/>
    <w:rsid w:val="00A50F55"/>
    <w:rsid w:val="00A51B44"/>
    <w:rsid w:val="00A55676"/>
    <w:rsid w:val="00A55EA4"/>
    <w:rsid w:val="00A562A2"/>
    <w:rsid w:val="00A5676D"/>
    <w:rsid w:val="00A5692F"/>
    <w:rsid w:val="00A57201"/>
    <w:rsid w:val="00A6122F"/>
    <w:rsid w:val="00A62348"/>
    <w:rsid w:val="00A63817"/>
    <w:rsid w:val="00A64068"/>
    <w:rsid w:val="00A651E9"/>
    <w:rsid w:val="00A658AD"/>
    <w:rsid w:val="00A6595E"/>
    <w:rsid w:val="00A659A4"/>
    <w:rsid w:val="00A65E53"/>
    <w:rsid w:val="00A66891"/>
    <w:rsid w:val="00A66BA7"/>
    <w:rsid w:val="00A67337"/>
    <w:rsid w:val="00A674FD"/>
    <w:rsid w:val="00A678DC"/>
    <w:rsid w:val="00A72B3E"/>
    <w:rsid w:val="00A747AF"/>
    <w:rsid w:val="00A74EC8"/>
    <w:rsid w:val="00A75964"/>
    <w:rsid w:val="00A75AB0"/>
    <w:rsid w:val="00A773E4"/>
    <w:rsid w:val="00A77476"/>
    <w:rsid w:val="00A7762E"/>
    <w:rsid w:val="00A80ABE"/>
    <w:rsid w:val="00A813D3"/>
    <w:rsid w:val="00A81953"/>
    <w:rsid w:val="00A83272"/>
    <w:rsid w:val="00A85C6B"/>
    <w:rsid w:val="00A85CA1"/>
    <w:rsid w:val="00A86479"/>
    <w:rsid w:val="00A918B9"/>
    <w:rsid w:val="00A92D85"/>
    <w:rsid w:val="00A93CAC"/>
    <w:rsid w:val="00A93D61"/>
    <w:rsid w:val="00A940EE"/>
    <w:rsid w:val="00A95398"/>
    <w:rsid w:val="00A957A3"/>
    <w:rsid w:val="00A96AD6"/>
    <w:rsid w:val="00A9719E"/>
    <w:rsid w:val="00A972CC"/>
    <w:rsid w:val="00A972E6"/>
    <w:rsid w:val="00A97C36"/>
    <w:rsid w:val="00AA0127"/>
    <w:rsid w:val="00AA3510"/>
    <w:rsid w:val="00AA3FFD"/>
    <w:rsid w:val="00AA4706"/>
    <w:rsid w:val="00AA5445"/>
    <w:rsid w:val="00AA5928"/>
    <w:rsid w:val="00AA65E9"/>
    <w:rsid w:val="00AA70AC"/>
    <w:rsid w:val="00AA7556"/>
    <w:rsid w:val="00AA7B4D"/>
    <w:rsid w:val="00AB1EA3"/>
    <w:rsid w:val="00AB2031"/>
    <w:rsid w:val="00AB3FE6"/>
    <w:rsid w:val="00AB41DF"/>
    <w:rsid w:val="00AB48EF"/>
    <w:rsid w:val="00AB6740"/>
    <w:rsid w:val="00AC03E8"/>
    <w:rsid w:val="00AC16A4"/>
    <w:rsid w:val="00AC29DE"/>
    <w:rsid w:val="00AC3047"/>
    <w:rsid w:val="00AC309E"/>
    <w:rsid w:val="00AC5460"/>
    <w:rsid w:val="00AD13F7"/>
    <w:rsid w:val="00AD16E4"/>
    <w:rsid w:val="00AD39A9"/>
    <w:rsid w:val="00AD404E"/>
    <w:rsid w:val="00AD4C8A"/>
    <w:rsid w:val="00AD5308"/>
    <w:rsid w:val="00AD6CFB"/>
    <w:rsid w:val="00AD6F2B"/>
    <w:rsid w:val="00AE1066"/>
    <w:rsid w:val="00AE11E9"/>
    <w:rsid w:val="00AE28F5"/>
    <w:rsid w:val="00AE29CA"/>
    <w:rsid w:val="00AE3F70"/>
    <w:rsid w:val="00AE5028"/>
    <w:rsid w:val="00AE5268"/>
    <w:rsid w:val="00AE5DB1"/>
    <w:rsid w:val="00AE7A5E"/>
    <w:rsid w:val="00AF1905"/>
    <w:rsid w:val="00AF59AE"/>
    <w:rsid w:val="00AF5B15"/>
    <w:rsid w:val="00B00538"/>
    <w:rsid w:val="00B010A9"/>
    <w:rsid w:val="00B02500"/>
    <w:rsid w:val="00B034AF"/>
    <w:rsid w:val="00B039CF"/>
    <w:rsid w:val="00B06BDF"/>
    <w:rsid w:val="00B109C5"/>
    <w:rsid w:val="00B10F3B"/>
    <w:rsid w:val="00B113D1"/>
    <w:rsid w:val="00B13330"/>
    <w:rsid w:val="00B14005"/>
    <w:rsid w:val="00B155CB"/>
    <w:rsid w:val="00B16780"/>
    <w:rsid w:val="00B225CF"/>
    <w:rsid w:val="00B24972"/>
    <w:rsid w:val="00B25315"/>
    <w:rsid w:val="00B25DA3"/>
    <w:rsid w:val="00B2624A"/>
    <w:rsid w:val="00B27855"/>
    <w:rsid w:val="00B30BBB"/>
    <w:rsid w:val="00B30C07"/>
    <w:rsid w:val="00B311A9"/>
    <w:rsid w:val="00B32017"/>
    <w:rsid w:val="00B32B05"/>
    <w:rsid w:val="00B33893"/>
    <w:rsid w:val="00B363C8"/>
    <w:rsid w:val="00B376E2"/>
    <w:rsid w:val="00B40AAC"/>
    <w:rsid w:val="00B413D5"/>
    <w:rsid w:val="00B417E0"/>
    <w:rsid w:val="00B4222E"/>
    <w:rsid w:val="00B427B8"/>
    <w:rsid w:val="00B43104"/>
    <w:rsid w:val="00B475FA"/>
    <w:rsid w:val="00B47C75"/>
    <w:rsid w:val="00B5135D"/>
    <w:rsid w:val="00B54A3D"/>
    <w:rsid w:val="00B54EAC"/>
    <w:rsid w:val="00B57B3C"/>
    <w:rsid w:val="00B57D94"/>
    <w:rsid w:val="00B60543"/>
    <w:rsid w:val="00B60D23"/>
    <w:rsid w:val="00B61E09"/>
    <w:rsid w:val="00B63D51"/>
    <w:rsid w:val="00B63DD2"/>
    <w:rsid w:val="00B64E89"/>
    <w:rsid w:val="00B65A48"/>
    <w:rsid w:val="00B70628"/>
    <w:rsid w:val="00B71038"/>
    <w:rsid w:val="00B72456"/>
    <w:rsid w:val="00B735D0"/>
    <w:rsid w:val="00B73F2C"/>
    <w:rsid w:val="00B74289"/>
    <w:rsid w:val="00B75CB9"/>
    <w:rsid w:val="00B829AE"/>
    <w:rsid w:val="00B82BC9"/>
    <w:rsid w:val="00B82F8E"/>
    <w:rsid w:val="00B8365B"/>
    <w:rsid w:val="00B84905"/>
    <w:rsid w:val="00B85514"/>
    <w:rsid w:val="00B91C17"/>
    <w:rsid w:val="00B91C34"/>
    <w:rsid w:val="00B92C86"/>
    <w:rsid w:val="00B93C5C"/>
    <w:rsid w:val="00B9411B"/>
    <w:rsid w:val="00B94B26"/>
    <w:rsid w:val="00B9522A"/>
    <w:rsid w:val="00B970E8"/>
    <w:rsid w:val="00B97285"/>
    <w:rsid w:val="00B97F03"/>
    <w:rsid w:val="00BA0056"/>
    <w:rsid w:val="00BA0D41"/>
    <w:rsid w:val="00BA0F9B"/>
    <w:rsid w:val="00BA4B47"/>
    <w:rsid w:val="00BA4CE4"/>
    <w:rsid w:val="00BA56CD"/>
    <w:rsid w:val="00BA7074"/>
    <w:rsid w:val="00BA74EA"/>
    <w:rsid w:val="00BB3136"/>
    <w:rsid w:val="00BB3D4A"/>
    <w:rsid w:val="00BB509C"/>
    <w:rsid w:val="00BB6554"/>
    <w:rsid w:val="00BB69C3"/>
    <w:rsid w:val="00BB7131"/>
    <w:rsid w:val="00BB73EB"/>
    <w:rsid w:val="00BB748C"/>
    <w:rsid w:val="00BC084D"/>
    <w:rsid w:val="00BC155D"/>
    <w:rsid w:val="00BC37DE"/>
    <w:rsid w:val="00BC3BFD"/>
    <w:rsid w:val="00BD048C"/>
    <w:rsid w:val="00BD091B"/>
    <w:rsid w:val="00BD0E97"/>
    <w:rsid w:val="00BD115C"/>
    <w:rsid w:val="00BD38C6"/>
    <w:rsid w:val="00BD737D"/>
    <w:rsid w:val="00BD75AC"/>
    <w:rsid w:val="00BD77B3"/>
    <w:rsid w:val="00BE1689"/>
    <w:rsid w:val="00BE781E"/>
    <w:rsid w:val="00BF156A"/>
    <w:rsid w:val="00BF20D6"/>
    <w:rsid w:val="00BF28CF"/>
    <w:rsid w:val="00BF2B21"/>
    <w:rsid w:val="00BF398C"/>
    <w:rsid w:val="00BF45F8"/>
    <w:rsid w:val="00BF4BAA"/>
    <w:rsid w:val="00BF5D08"/>
    <w:rsid w:val="00BF7AD2"/>
    <w:rsid w:val="00C001C0"/>
    <w:rsid w:val="00C008BA"/>
    <w:rsid w:val="00C00C04"/>
    <w:rsid w:val="00C02477"/>
    <w:rsid w:val="00C054F9"/>
    <w:rsid w:val="00C055F4"/>
    <w:rsid w:val="00C05828"/>
    <w:rsid w:val="00C10063"/>
    <w:rsid w:val="00C10A00"/>
    <w:rsid w:val="00C125CA"/>
    <w:rsid w:val="00C12AF1"/>
    <w:rsid w:val="00C144DB"/>
    <w:rsid w:val="00C15436"/>
    <w:rsid w:val="00C16BB8"/>
    <w:rsid w:val="00C2196C"/>
    <w:rsid w:val="00C21E08"/>
    <w:rsid w:val="00C234BA"/>
    <w:rsid w:val="00C24751"/>
    <w:rsid w:val="00C247E0"/>
    <w:rsid w:val="00C24A6E"/>
    <w:rsid w:val="00C2511B"/>
    <w:rsid w:val="00C25892"/>
    <w:rsid w:val="00C25E94"/>
    <w:rsid w:val="00C265E4"/>
    <w:rsid w:val="00C26E67"/>
    <w:rsid w:val="00C27DE9"/>
    <w:rsid w:val="00C3286D"/>
    <w:rsid w:val="00C32D61"/>
    <w:rsid w:val="00C33009"/>
    <w:rsid w:val="00C33C66"/>
    <w:rsid w:val="00C33CD0"/>
    <w:rsid w:val="00C34989"/>
    <w:rsid w:val="00C34BE7"/>
    <w:rsid w:val="00C35021"/>
    <w:rsid w:val="00C3632D"/>
    <w:rsid w:val="00C4006A"/>
    <w:rsid w:val="00C416B7"/>
    <w:rsid w:val="00C41C45"/>
    <w:rsid w:val="00C4339E"/>
    <w:rsid w:val="00C454C2"/>
    <w:rsid w:val="00C46434"/>
    <w:rsid w:val="00C469AD"/>
    <w:rsid w:val="00C46CEC"/>
    <w:rsid w:val="00C47718"/>
    <w:rsid w:val="00C4779E"/>
    <w:rsid w:val="00C47D4D"/>
    <w:rsid w:val="00C50BF3"/>
    <w:rsid w:val="00C50EAF"/>
    <w:rsid w:val="00C54117"/>
    <w:rsid w:val="00C54FB3"/>
    <w:rsid w:val="00C55543"/>
    <w:rsid w:val="00C55E75"/>
    <w:rsid w:val="00C56080"/>
    <w:rsid w:val="00C5779D"/>
    <w:rsid w:val="00C57E02"/>
    <w:rsid w:val="00C61C9E"/>
    <w:rsid w:val="00C61DE8"/>
    <w:rsid w:val="00C623BC"/>
    <w:rsid w:val="00C62D6D"/>
    <w:rsid w:val="00C6323D"/>
    <w:rsid w:val="00C64903"/>
    <w:rsid w:val="00C65AE1"/>
    <w:rsid w:val="00C66081"/>
    <w:rsid w:val="00C66269"/>
    <w:rsid w:val="00C66C24"/>
    <w:rsid w:val="00C67255"/>
    <w:rsid w:val="00C70CD0"/>
    <w:rsid w:val="00C73CEE"/>
    <w:rsid w:val="00C74592"/>
    <w:rsid w:val="00C74A4F"/>
    <w:rsid w:val="00C75617"/>
    <w:rsid w:val="00C75691"/>
    <w:rsid w:val="00C75941"/>
    <w:rsid w:val="00C76129"/>
    <w:rsid w:val="00C77673"/>
    <w:rsid w:val="00C8192E"/>
    <w:rsid w:val="00C82D5B"/>
    <w:rsid w:val="00C82EDF"/>
    <w:rsid w:val="00C84172"/>
    <w:rsid w:val="00C852DF"/>
    <w:rsid w:val="00C865E9"/>
    <w:rsid w:val="00C86CCC"/>
    <w:rsid w:val="00C877FB"/>
    <w:rsid w:val="00C8792E"/>
    <w:rsid w:val="00C879E7"/>
    <w:rsid w:val="00C87EE1"/>
    <w:rsid w:val="00C906BC"/>
    <w:rsid w:val="00C90964"/>
    <w:rsid w:val="00C9189E"/>
    <w:rsid w:val="00C91EE2"/>
    <w:rsid w:val="00C92ECA"/>
    <w:rsid w:val="00CA1E2A"/>
    <w:rsid w:val="00CA2D7B"/>
    <w:rsid w:val="00CA3A7F"/>
    <w:rsid w:val="00CA48A5"/>
    <w:rsid w:val="00CA4F8A"/>
    <w:rsid w:val="00CA55F0"/>
    <w:rsid w:val="00CA6ED3"/>
    <w:rsid w:val="00CB0AE5"/>
    <w:rsid w:val="00CB1AF6"/>
    <w:rsid w:val="00CB1BD5"/>
    <w:rsid w:val="00CB1C25"/>
    <w:rsid w:val="00CB25C8"/>
    <w:rsid w:val="00CB499D"/>
    <w:rsid w:val="00CB4D13"/>
    <w:rsid w:val="00CB541B"/>
    <w:rsid w:val="00CB581E"/>
    <w:rsid w:val="00CB5F96"/>
    <w:rsid w:val="00CB627D"/>
    <w:rsid w:val="00CB63F6"/>
    <w:rsid w:val="00CC49AD"/>
    <w:rsid w:val="00CD11F4"/>
    <w:rsid w:val="00CD1A58"/>
    <w:rsid w:val="00CD253E"/>
    <w:rsid w:val="00CD2A6F"/>
    <w:rsid w:val="00CD2AD8"/>
    <w:rsid w:val="00CD4C01"/>
    <w:rsid w:val="00CD58D7"/>
    <w:rsid w:val="00CD5E14"/>
    <w:rsid w:val="00CE2AF3"/>
    <w:rsid w:val="00CE389A"/>
    <w:rsid w:val="00CE448B"/>
    <w:rsid w:val="00CE50FD"/>
    <w:rsid w:val="00CE59C8"/>
    <w:rsid w:val="00CE7745"/>
    <w:rsid w:val="00CE7D06"/>
    <w:rsid w:val="00CF2DE4"/>
    <w:rsid w:val="00CF447B"/>
    <w:rsid w:val="00CF4C23"/>
    <w:rsid w:val="00CF60A9"/>
    <w:rsid w:val="00CF629C"/>
    <w:rsid w:val="00CF6DC3"/>
    <w:rsid w:val="00CF6DC8"/>
    <w:rsid w:val="00CF78FC"/>
    <w:rsid w:val="00D01A2B"/>
    <w:rsid w:val="00D02E86"/>
    <w:rsid w:val="00D03002"/>
    <w:rsid w:val="00D05874"/>
    <w:rsid w:val="00D06C04"/>
    <w:rsid w:val="00D11BFC"/>
    <w:rsid w:val="00D11D89"/>
    <w:rsid w:val="00D128AE"/>
    <w:rsid w:val="00D12C02"/>
    <w:rsid w:val="00D13573"/>
    <w:rsid w:val="00D13EF2"/>
    <w:rsid w:val="00D1679C"/>
    <w:rsid w:val="00D1740E"/>
    <w:rsid w:val="00D218DD"/>
    <w:rsid w:val="00D22408"/>
    <w:rsid w:val="00D22CD1"/>
    <w:rsid w:val="00D24E2E"/>
    <w:rsid w:val="00D24E34"/>
    <w:rsid w:val="00D26F85"/>
    <w:rsid w:val="00D30BAE"/>
    <w:rsid w:val="00D30C4B"/>
    <w:rsid w:val="00D316C4"/>
    <w:rsid w:val="00D31975"/>
    <w:rsid w:val="00D32543"/>
    <w:rsid w:val="00D33799"/>
    <w:rsid w:val="00D33CBB"/>
    <w:rsid w:val="00D34328"/>
    <w:rsid w:val="00D36434"/>
    <w:rsid w:val="00D36B2B"/>
    <w:rsid w:val="00D409F4"/>
    <w:rsid w:val="00D432F6"/>
    <w:rsid w:val="00D43F67"/>
    <w:rsid w:val="00D460FB"/>
    <w:rsid w:val="00D46593"/>
    <w:rsid w:val="00D47978"/>
    <w:rsid w:val="00D47C88"/>
    <w:rsid w:val="00D47EDF"/>
    <w:rsid w:val="00D51A8F"/>
    <w:rsid w:val="00D53B0A"/>
    <w:rsid w:val="00D55621"/>
    <w:rsid w:val="00D5593F"/>
    <w:rsid w:val="00D5652A"/>
    <w:rsid w:val="00D56611"/>
    <w:rsid w:val="00D57F20"/>
    <w:rsid w:val="00D62252"/>
    <w:rsid w:val="00D62444"/>
    <w:rsid w:val="00D63B38"/>
    <w:rsid w:val="00D63B6E"/>
    <w:rsid w:val="00D65D07"/>
    <w:rsid w:val="00D66B60"/>
    <w:rsid w:val="00D67A9F"/>
    <w:rsid w:val="00D71EBC"/>
    <w:rsid w:val="00D745BB"/>
    <w:rsid w:val="00D770AA"/>
    <w:rsid w:val="00D77344"/>
    <w:rsid w:val="00D8003B"/>
    <w:rsid w:val="00D80D8F"/>
    <w:rsid w:val="00D81427"/>
    <w:rsid w:val="00D81463"/>
    <w:rsid w:val="00D81EC3"/>
    <w:rsid w:val="00D838D2"/>
    <w:rsid w:val="00D83E48"/>
    <w:rsid w:val="00D8400D"/>
    <w:rsid w:val="00D84187"/>
    <w:rsid w:val="00D85393"/>
    <w:rsid w:val="00D8690D"/>
    <w:rsid w:val="00D9014F"/>
    <w:rsid w:val="00D90FB0"/>
    <w:rsid w:val="00D92173"/>
    <w:rsid w:val="00D92810"/>
    <w:rsid w:val="00D94B15"/>
    <w:rsid w:val="00D962C4"/>
    <w:rsid w:val="00D9664C"/>
    <w:rsid w:val="00DA1FD0"/>
    <w:rsid w:val="00DA23C9"/>
    <w:rsid w:val="00DA3044"/>
    <w:rsid w:val="00DA3E3E"/>
    <w:rsid w:val="00DA47F7"/>
    <w:rsid w:val="00DA6D66"/>
    <w:rsid w:val="00DA7328"/>
    <w:rsid w:val="00DA7841"/>
    <w:rsid w:val="00DB033B"/>
    <w:rsid w:val="00DB063A"/>
    <w:rsid w:val="00DB26E1"/>
    <w:rsid w:val="00DB32CE"/>
    <w:rsid w:val="00DB50CB"/>
    <w:rsid w:val="00DB5759"/>
    <w:rsid w:val="00DC02A2"/>
    <w:rsid w:val="00DC0EDC"/>
    <w:rsid w:val="00DC2101"/>
    <w:rsid w:val="00DC2205"/>
    <w:rsid w:val="00DC3365"/>
    <w:rsid w:val="00DC33DF"/>
    <w:rsid w:val="00DC358E"/>
    <w:rsid w:val="00DC36BC"/>
    <w:rsid w:val="00DC4938"/>
    <w:rsid w:val="00DC6E8E"/>
    <w:rsid w:val="00DC79BC"/>
    <w:rsid w:val="00DD1593"/>
    <w:rsid w:val="00DD246E"/>
    <w:rsid w:val="00DD25FD"/>
    <w:rsid w:val="00DD3AA2"/>
    <w:rsid w:val="00DD45A9"/>
    <w:rsid w:val="00DD547E"/>
    <w:rsid w:val="00DD6679"/>
    <w:rsid w:val="00DD737B"/>
    <w:rsid w:val="00DE2560"/>
    <w:rsid w:val="00DE25D1"/>
    <w:rsid w:val="00DE26C1"/>
    <w:rsid w:val="00DE377D"/>
    <w:rsid w:val="00DE59C0"/>
    <w:rsid w:val="00DE65A0"/>
    <w:rsid w:val="00DF0344"/>
    <w:rsid w:val="00DF22B0"/>
    <w:rsid w:val="00DF3B5D"/>
    <w:rsid w:val="00DF3E47"/>
    <w:rsid w:val="00DF503D"/>
    <w:rsid w:val="00DF6143"/>
    <w:rsid w:val="00DF7C90"/>
    <w:rsid w:val="00E00F64"/>
    <w:rsid w:val="00E029E4"/>
    <w:rsid w:val="00E033E4"/>
    <w:rsid w:val="00E03D80"/>
    <w:rsid w:val="00E04993"/>
    <w:rsid w:val="00E05368"/>
    <w:rsid w:val="00E057A2"/>
    <w:rsid w:val="00E05BA8"/>
    <w:rsid w:val="00E06D2F"/>
    <w:rsid w:val="00E07305"/>
    <w:rsid w:val="00E07791"/>
    <w:rsid w:val="00E1131C"/>
    <w:rsid w:val="00E11CE7"/>
    <w:rsid w:val="00E12451"/>
    <w:rsid w:val="00E12504"/>
    <w:rsid w:val="00E1712F"/>
    <w:rsid w:val="00E230FF"/>
    <w:rsid w:val="00E237AD"/>
    <w:rsid w:val="00E23DA9"/>
    <w:rsid w:val="00E24218"/>
    <w:rsid w:val="00E24A87"/>
    <w:rsid w:val="00E24D25"/>
    <w:rsid w:val="00E254B9"/>
    <w:rsid w:val="00E25A84"/>
    <w:rsid w:val="00E25D4E"/>
    <w:rsid w:val="00E26B18"/>
    <w:rsid w:val="00E27BD1"/>
    <w:rsid w:val="00E306DD"/>
    <w:rsid w:val="00E30B76"/>
    <w:rsid w:val="00E35765"/>
    <w:rsid w:val="00E403C7"/>
    <w:rsid w:val="00E41F3D"/>
    <w:rsid w:val="00E42E10"/>
    <w:rsid w:val="00E43A04"/>
    <w:rsid w:val="00E43AE1"/>
    <w:rsid w:val="00E45D76"/>
    <w:rsid w:val="00E460B4"/>
    <w:rsid w:val="00E50209"/>
    <w:rsid w:val="00E5085B"/>
    <w:rsid w:val="00E50C79"/>
    <w:rsid w:val="00E513C2"/>
    <w:rsid w:val="00E5156D"/>
    <w:rsid w:val="00E52083"/>
    <w:rsid w:val="00E54F1D"/>
    <w:rsid w:val="00E5656A"/>
    <w:rsid w:val="00E57B2B"/>
    <w:rsid w:val="00E57F67"/>
    <w:rsid w:val="00E60A37"/>
    <w:rsid w:val="00E61C80"/>
    <w:rsid w:val="00E61FAC"/>
    <w:rsid w:val="00E633CF"/>
    <w:rsid w:val="00E6385E"/>
    <w:rsid w:val="00E658AD"/>
    <w:rsid w:val="00E669DC"/>
    <w:rsid w:val="00E6773F"/>
    <w:rsid w:val="00E70F3B"/>
    <w:rsid w:val="00E71F6B"/>
    <w:rsid w:val="00E72251"/>
    <w:rsid w:val="00E766C3"/>
    <w:rsid w:val="00E76744"/>
    <w:rsid w:val="00E77E43"/>
    <w:rsid w:val="00E81778"/>
    <w:rsid w:val="00E851BE"/>
    <w:rsid w:val="00E932EA"/>
    <w:rsid w:val="00E940CB"/>
    <w:rsid w:val="00EA0813"/>
    <w:rsid w:val="00EA20E5"/>
    <w:rsid w:val="00EA225B"/>
    <w:rsid w:val="00EA464E"/>
    <w:rsid w:val="00EB0007"/>
    <w:rsid w:val="00EB0293"/>
    <w:rsid w:val="00EB0C2C"/>
    <w:rsid w:val="00EB192B"/>
    <w:rsid w:val="00EB38E8"/>
    <w:rsid w:val="00EB4998"/>
    <w:rsid w:val="00EB5332"/>
    <w:rsid w:val="00EB7344"/>
    <w:rsid w:val="00EC110D"/>
    <w:rsid w:val="00EC6336"/>
    <w:rsid w:val="00EC6DE3"/>
    <w:rsid w:val="00EC6F85"/>
    <w:rsid w:val="00EC70C4"/>
    <w:rsid w:val="00EC7D0F"/>
    <w:rsid w:val="00ED0583"/>
    <w:rsid w:val="00ED0E43"/>
    <w:rsid w:val="00ED0E8D"/>
    <w:rsid w:val="00ED27BE"/>
    <w:rsid w:val="00ED3B8F"/>
    <w:rsid w:val="00ED3CE8"/>
    <w:rsid w:val="00ED5B4F"/>
    <w:rsid w:val="00ED6BBF"/>
    <w:rsid w:val="00ED7E13"/>
    <w:rsid w:val="00EE3C53"/>
    <w:rsid w:val="00EE51DA"/>
    <w:rsid w:val="00EE6100"/>
    <w:rsid w:val="00EE7953"/>
    <w:rsid w:val="00EE7CA9"/>
    <w:rsid w:val="00EF0308"/>
    <w:rsid w:val="00EF0BB8"/>
    <w:rsid w:val="00EF0F6E"/>
    <w:rsid w:val="00EF10C1"/>
    <w:rsid w:val="00EF10F6"/>
    <w:rsid w:val="00EF2140"/>
    <w:rsid w:val="00EF238F"/>
    <w:rsid w:val="00EF2FF6"/>
    <w:rsid w:val="00EF37CA"/>
    <w:rsid w:val="00EF3E75"/>
    <w:rsid w:val="00EF5578"/>
    <w:rsid w:val="00EF6F49"/>
    <w:rsid w:val="00EF7E9E"/>
    <w:rsid w:val="00EF7ED2"/>
    <w:rsid w:val="00F00C59"/>
    <w:rsid w:val="00F01623"/>
    <w:rsid w:val="00F02CBF"/>
    <w:rsid w:val="00F02D49"/>
    <w:rsid w:val="00F03DA7"/>
    <w:rsid w:val="00F046DA"/>
    <w:rsid w:val="00F048D5"/>
    <w:rsid w:val="00F04B43"/>
    <w:rsid w:val="00F0625C"/>
    <w:rsid w:val="00F070BF"/>
    <w:rsid w:val="00F07480"/>
    <w:rsid w:val="00F074A2"/>
    <w:rsid w:val="00F11E4A"/>
    <w:rsid w:val="00F12B21"/>
    <w:rsid w:val="00F14760"/>
    <w:rsid w:val="00F14F87"/>
    <w:rsid w:val="00F159B6"/>
    <w:rsid w:val="00F20650"/>
    <w:rsid w:val="00F210C7"/>
    <w:rsid w:val="00F21328"/>
    <w:rsid w:val="00F213AE"/>
    <w:rsid w:val="00F21578"/>
    <w:rsid w:val="00F223D6"/>
    <w:rsid w:val="00F22A19"/>
    <w:rsid w:val="00F22D29"/>
    <w:rsid w:val="00F24930"/>
    <w:rsid w:val="00F2576A"/>
    <w:rsid w:val="00F26016"/>
    <w:rsid w:val="00F2751F"/>
    <w:rsid w:val="00F2788C"/>
    <w:rsid w:val="00F27E19"/>
    <w:rsid w:val="00F3206D"/>
    <w:rsid w:val="00F32E60"/>
    <w:rsid w:val="00F34728"/>
    <w:rsid w:val="00F34818"/>
    <w:rsid w:val="00F34F8C"/>
    <w:rsid w:val="00F36289"/>
    <w:rsid w:val="00F36578"/>
    <w:rsid w:val="00F3696D"/>
    <w:rsid w:val="00F40DF8"/>
    <w:rsid w:val="00F41EC9"/>
    <w:rsid w:val="00F426B6"/>
    <w:rsid w:val="00F42A46"/>
    <w:rsid w:val="00F430D9"/>
    <w:rsid w:val="00F4375C"/>
    <w:rsid w:val="00F44654"/>
    <w:rsid w:val="00F45B28"/>
    <w:rsid w:val="00F45FBD"/>
    <w:rsid w:val="00F471C3"/>
    <w:rsid w:val="00F51419"/>
    <w:rsid w:val="00F52360"/>
    <w:rsid w:val="00F52A92"/>
    <w:rsid w:val="00F5378A"/>
    <w:rsid w:val="00F5398D"/>
    <w:rsid w:val="00F54EF4"/>
    <w:rsid w:val="00F5578E"/>
    <w:rsid w:val="00F5589A"/>
    <w:rsid w:val="00F559E7"/>
    <w:rsid w:val="00F56B7C"/>
    <w:rsid w:val="00F57647"/>
    <w:rsid w:val="00F57848"/>
    <w:rsid w:val="00F57A3B"/>
    <w:rsid w:val="00F57FD0"/>
    <w:rsid w:val="00F60908"/>
    <w:rsid w:val="00F62030"/>
    <w:rsid w:val="00F62E41"/>
    <w:rsid w:val="00F63614"/>
    <w:rsid w:val="00F63A2F"/>
    <w:rsid w:val="00F6417A"/>
    <w:rsid w:val="00F64DC6"/>
    <w:rsid w:val="00F66326"/>
    <w:rsid w:val="00F668DA"/>
    <w:rsid w:val="00F67FE4"/>
    <w:rsid w:val="00F71514"/>
    <w:rsid w:val="00F71EC9"/>
    <w:rsid w:val="00F73BAA"/>
    <w:rsid w:val="00F74779"/>
    <w:rsid w:val="00F75F42"/>
    <w:rsid w:val="00F76C4B"/>
    <w:rsid w:val="00F8007B"/>
    <w:rsid w:val="00F80F9F"/>
    <w:rsid w:val="00F81B68"/>
    <w:rsid w:val="00F8215A"/>
    <w:rsid w:val="00F85E83"/>
    <w:rsid w:val="00F85FFA"/>
    <w:rsid w:val="00F9000B"/>
    <w:rsid w:val="00F90858"/>
    <w:rsid w:val="00F91395"/>
    <w:rsid w:val="00F91A91"/>
    <w:rsid w:val="00F93AF0"/>
    <w:rsid w:val="00F96B96"/>
    <w:rsid w:val="00F97B2D"/>
    <w:rsid w:val="00FA0D67"/>
    <w:rsid w:val="00FA3841"/>
    <w:rsid w:val="00FA582C"/>
    <w:rsid w:val="00FA68C2"/>
    <w:rsid w:val="00FA6900"/>
    <w:rsid w:val="00FB1473"/>
    <w:rsid w:val="00FB22BF"/>
    <w:rsid w:val="00FB24C2"/>
    <w:rsid w:val="00FB28BD"/>
    <w:rsid w:val="00FB3A3E"/>
    <w:rsid w:val="00FB3B43"/>
    <w:rsid w:val="00FB4F7D"/>
    <w:rsid w:val="00FB5097"/>
    <w:rsid w:val="00FB5824"/>
    <w:rsid w:val="00FB7289"/>
    <w:rsid w:val="00FC0243"/>
    <w:rsid w:val="00FC071C"/>
    <w:rsid w:val="00FC1056"/>
    <w:rsid w:val="00FC2198"/>
    <w:rsid w:val="00FC24E5"/>
    <w:rsid w:val="00FC363B"/>
    <w:rsid w:val="00FC4783"/>
    <w:rsid w:val="00FC717F"/>
    <w:rsid w:val="00FC7182"/>
    <w:rsid w:val="00FD12D8"/>
    <w:rsid w:val="00FD1C1D"/>
    <w:rsid w:val="00FD3AAD"/>
    <w:rsid w:val="00FD47B4"/>
    <w:rsid w:val="00FD51CD"/>
    <w:rsid w:val="00FD534F"/>
    <w:rsid w:val="00FD5947"/>
    <w:rsid w:val="00FD6B9A"/>
    <w:rsid w:val="00FD7288"/>
    <w:rsid w:val="00FE264F"/>
    <w:rsid w:val="00FE47A0"/>
    <w:rsid w:val="00FE4B81"/>
    <w:rsid w:val="00FF127A"/>
    <w:rsid w:val="00FF217D"/>
    <w:rsid w:val="00FF22B6"/>
    <w:rsid w:val="00FF26A9"/>
    <w:rsid w:val="00FF29E7"/>
    <w:rsid w:val="00FF32B0"/>
    <w:rsid w:val="00FF369E"/>
    <w:rsid w:val="00FF3B04"/>
    <w:rsid w:val="00FF3CBD"/>
    <w:rsid w:val="00FF45F0"/>
    <w:rsid w:val="00FF52D2"/>
    <w:rsid w:val="00FF738B"/>
    <w:rsid w:val="01002678"/>
    <w:rsid w:val="010A3DC7"/>
    <w:rsid w:val="0147778C"/>
    <w:rsid w:val="01536131"/>
    <w:rsid w:val="01611507"/>
    <w:rsid w:val="016F0A91"/>
    <w:rsid w:val="01714809"/>
    <w:rsid w:val="01852FBD"/>
    <w:rsid w:val="019D73AC"/>
    <w:rsid w:val="01A00569"/>
    <w:rsid w:val="01AE15BA"/>
    <w:rsid w:val="01B841E6"/>
    <w:rsid w:val="01BB1B90"/>
    <w:rsid w:val="01C35FF8"/>
    <w:rsid w:val="01E925F2"/>
    <w:rsid w:val="01FD292A"/>
    <w:rsid w:val="022C24DE"/>
    <w:rsid w:val="022E6257"/>
    <w:rsid w:val="023A109F"/>
    <w:rsid w:val="023D0B8F"/>
    <w:rsid w:val="0247556A"/>
    <w:rsid w:val="024C2B81"/>
    <w:rsid w:val="02663C42"/>
    <w:rsid w:val="027C16B8"/>
    <w:rsid w:val="0281282A"/>
    <w:rsid w:val="028C0517"/>
    <w:rsid w:val="029F53A6"/>
    <w:rsid w:val="02A35910"/>
    <w:rsid w:val="02A604E3"/>
    <w:rsid w:val="02AD1871"/>
    <w:rsid w:val="02C53124"/>
    <w:rsid w:val="02DE5ECF"/>
    <w:rsid w:val="02DF3217"/>
    <w:rsid w:val="02E1151B"/>
    <w:rsid w:val="031E276F"/>
    <w:rsid w:val="0357423A"/>
    <w:rsid w:val="035A307B"/>
    <w:rsid w:val="035D422C"/>
    <w:rsid w:val="036B263D"/>
    <w:rsid w:val="037051F5"/>
    <w:rsid w:val="03710AF1"/>
    <w:rsid w:val="03806F86"/>
    <w:rsid w:val="03A32C74"/>
    <w:rsid w:val="03AF7CB3"/>
    <w:rsid w:val="03D352ED"/>
    <w:rsid w:val="03FB03BA"/>
    <w:rsid w:val="04040843"/>
    <w:rsid w:val="042B26C2"/>
    <w:rsid w:val="04447FB3"/>
    <w:rsid w:val="04477AA3"/>
    <w:rsid w:val="044E2BE0"/>
    <w:rsid w:val="04532D85"/>
    <w:rsid w:val="045D72C7"/>
    <w:rsid w:val="04642403"/>
    <w:rsid w:val="04722D72"/>
    <w:rsid w:val="04C17856"/>
    <w:rsid w:val="04D969C6"/>
    <w:rsid w:val="04F17DE4"/>
    <w:rsid w:val="04F27A0F"/>
    <w:rsid w:val="04F532E4"/>
    <w:rsid w:val="050B668C"/>
    <w:rsid w:val="05121E5F"/>
    <w:rsid w:val="05160A26"/>
    <w:rsid w:val="05203638"/>
    <w:rsid w:val="05455959"/>
    <w:rsid w:val="05616943"/>
    <w:rsid w:val="0571302A"/>
    <w:rsid w:val="057F6DC9"/>
    <w:rsid w:val="05A708E3"/>
    <w:rsid w:val="05BB24F7"/>
    <w:rsid w:val="05C018BB"/>
    <w:rsid w:val="05D03B7D"/>
    <w:rsid w:val="05E76E48"/>
    <w:rsid w:val="05EB38F0"/>
    <w:rsid w:val="05EE467B"/>
    <w:rsid w:val="05EF0E4C"/>
    <w:rsid w:val="0607573C"/>
    <w:rsid w:val="062C627F"/>
    <w:rsid w:val="062D0350"/>
    <w:rsid w:val="06654211"/>
    <w:rsid w:val="06734B80"/>
    <w:rsid w:val="068723D9"/>
    <w:rsid w:val="06B01218"/>
    <w:rsid w:val="06B01930"/>
    <w:rsid w:val="06E635A4"/>
    <w:rsid w:val="06F24750"/>
    <w:rsid w:val="07060142"/>
    <w:rsid w:val="071C6FC5"/>
    <w:rsid w:val="07414C7E"/>
    <w:rsid w:val="075A189C"/>
    <w:rsid w:val="0764271A"/>
    <w:rsid w:val="076D15CF"/>
    <w:rsid w:val="07794418"/>
    <w:rsid w:val="07797F74"/>
    <w:rsid w:val="07852A45"/>
    <w:rsid w:val="07920615"/>
    <w:rsid w:val="07AA0EFE"/>
    <w:rsid w:val="07AC789C"/>
    <w:rsid w:val="07B93EF8"/>
    <w:rsid w:val="07F10452"/>
    <w:rsid w:val="07F67816"/>
    <w:rsid w:val="0813333D"/>
    <w:rsid w:val="081536FE"/>
    <w:rsid w:val="08166439"/>
    <w:rsid w:val="082223BA"/>
    <w:rsid w:val="08297BEC"/>
    <w:rsid w:val="08420CAE"/>
    <w:rsid w:val="08485B98"/>
    <w:rsid w:val="085A3F75"/>
    <w:rsid w:val="087A6217"/>
    <w:rsid w:val="08856DEC"/>
    <w:rsid w:val="088771F6"/>
    <w:rsid w:val="08966904"/>
    <w:rsid w:val="08AC4379"/>
    <w:rsid w:val="08B1373D"/>
    <w:rsid w:val="08D349C3"/>
    <w:rsid w:val="09063A89"/>
    <w:rsid w:val="090F782C"/>
    <w:rsid w:val="0922463B"/>
    <w:rsid w:val="09422CCD"/>
    <w:rsid w:val="09616F12"/>
    <w:rsid w:val="0961779C"/>
    <w:rsid w:val="09842961"/>
    <w:rsid w:val="098470A4"/>
    <w:rsid w:val="09CC105C"/>
    <w:rsid w:val="09E0252C"/>
    <w:rsid w:val="09EA33AB"/>
    <w:rsid w:val="0A11651F"/>
    <w:rsid w:val="0A1A022C"/>
    <w:rsid w:val="0A4030AF"/>
    <w:rsid w:val="0A6071C9"/>
    <w:rsid w:val="0A717B8A"/>
    <w:rsid w:val="0A9521E2"/>
    <w:rsid w:val="0AA60CF6"/>
    <w:rsid w:val="0AA7129C"/>
    <w:rsid w:val="0AB8072D"/>
    <w:rsid w:val="0B085D5F"/>
    <w:rsid w:val="0B0A5387"/>
    <w:rsid w:val="0B100BEF"/>
    <w:rsid w:val="0B270934"/>
    <w:rsid w:val="0B3475D8"/>
    <w:rsid w:val="0B7B07E8"/>
    <w:rsid w:val="0B7C5866"/>
    <w:rsid w:val="0B9E3157"/>
    <w:rsid w:val="0BA92DF2"/>
    <w:rsid w:val="0BCB720C"/>
    <w:rsid w:val="0BCD6AE0"/>
    <w:rsid w:val="0BD51E39"/>
    <w:rsid w:val="0BE5207C"/>
    <w:rsid w:val="0BF002FA"/>
    <w:rsid w:val="0BF7590B"/>
    <w:rsid w:val="0C234952"/>
    <w:rsid w:val="0C481041"/>
    <w:rsid w:val="0C8E2713"/>
    <w:rsid w:val="0C946488"/>
    <w:rsid w:val="0CBA42BE"/>
    <w:rsid w:val="0CCF672B"/>
    <w:rsid w:val="0CD345CA"/>
    <w:rsid w:val="0CE5418E"/>
    <w:rsid w:val="0CF06A9D"/>
    <w:rsid w:val="0CF602B9"/>
    <w:rsid w:val="0D197B03"/>
    <w:rsid w:val="0D3B3F1D"/>
    <w:rsid w:val="0D477973"/>
    <w:rsid w:val="0D561518"/>
    <w:rsid w:val="0D5B011C"/>
    <w:rsid w:val="0D6D6BDD"/>
    <w:rsid w:val="0DA27AF9"/>
    <w:rsid w:val="0DA770F4"/>
    <w:rsid w:val="0DAF0B93"/>
    <w:rsid w:val="0DB60E48"/>
    <w:rsid w:val="0DD06AB7"/>
    <w:rsid w:val="0DDE4FD5"/>
    <w:rsid w:val="0DDE6C7A"/>
    <w:rsid w:val="0DEB14A0"/>
    <w:rsid w:val="0E341099"/>
    <w:rsid w:val="0E462B7A"/>
    <w:rsid w:val="0E4F4D64"/>
    <w:rsid w:val="0E611C6E"/>
    <w:rsid w:val="0E6F20D1"/>
    <w:rsid w:val="0EBD28D6"/>
    <w:rsid w:val="0EE3661B"/>
    <w:rsid w:val="0EF2019E"/>
    <w:rsid w:val="0EF425D6"/>
    <w:rsid w:val="0F07055B"/>
    <w:rsid w:val="0F0C5B71"/>
    <w:rsid w:val="0F0D1FF7"/>
    <w:rsid w:val="0F156355"/>
    <w:rsid w:val="0F19465C"/>
    <w:rsid w:val="0F2F5B7D"/>
    <w:rsid w:val="0F3D02E7"/>
    <w:rsid w:val="0F4470B9"/>
    <w:rsid w:val="0F4A0448"/>
    <w:rsid w:val="0F4F5A5E"/>
    <w:rsid w:val="0F563291"/>
    <w:rsid w:val="0F661726"/>
    <w:rsid w:val="0F890F70"/>
    <w:rsid w:val="0FEE7355"/>
    <w:rsid w:val="0FEF171B"/>
    <w:rsid w:val="101B6CAF"/>
    <w:rsid w:val="1030763E"/>
    <w:rsid w:val="1032785A"/>
    <w:rsid w:val="105A46BB"/>
    <w:rsid w:val="10710382"/>
    <w:rsid w:val="108A1444"/>
    <w:rsid w:val="109C4CD3"/>
    <w:rsid w:val="10A2678D"/>
    <w:rsid w:val="10D426BF"/>
    <w:rsid w:val="10DC1574"/>
    <w:rsid w:val="10FF38FE"/>
    <w:rsid w:val="111262B6"/>
    <w:rsid w:val="1131366D"/>
    <w:rsid w:val="11336B8B"/>
    <w:rsid w:val="113B16DB"/>
    <w:rsid w:val="116A4DD1"/>
    <w:rsid w:val="118443AE"/>
    <w:rsid w:val="11847C41"/>
    <w:rsid w:val="11AE1162"/>
    <w:rsid w:val="11B5058F"/>
    <w:rsid w:val="11C31073"/>
    <w:rsid w:val="11D92230"/>
    <w:rsid w:val="1202500A"/>
    <w:rsid w:val="120D2B40"/>
    <w:rsid w:val="121F07A8"/>
    <w:rsid w:val="12246164"/>
    <w:rsid w:val="123E1747"/>
    <w:rsid w:val="125F245C"/>
    <w:rsid w:val="12847AFA"/>
    <w:rsid w:val="12962136"/>
    <w:rsid w:val="12A165D1"/>
    <w:rsid w:val="12AB5A42"/>
    <w:rsid w:val="12D87D4F"/>
    <w:rsid w:val="12EC0194"/>
    <w:rsid w:val="130D1EB8"/>
    <w:rsid w:val="131B2827"/>
    <w:rsid w:val="13386F35"/>
    <w:rsid w:val="136917E4"/>
    <w:rsid w:val="13940F4D"/>
    <w:rsid w:val="13E10C14"/>
    <w:rsid w:val="14705293"/>
    <w:rsid w:val="14783340"/>
    <w:rsid w:val="147A636F"/>
    <w:rsid w:val="148156B4"/>
    <w:rsid w:val="14C111AC"/>
    <w:rsid w:val="14C33176"/>
    <w:rsid w:val="14CF1B1B"/>
    <w:rsid w:val="14DC1B42"/>
    <w:rsid w:val="14ED1FA1"/>
    <w:rsid w:val="1505553D"/>
    <w:rsid w:val="1519357C"/>
    <w:rsid w:val="1528122B"/>
    <w:rsid w:val="152A0AFF"/>
    <w:rsid w:val="153E45AB"/>
    <w:rsid w:val="154871D8"/>
    <w:rsid w:val="1551198D"/>
    <w:rsid w:val="156E6792"/>
    <w:rsid w:val="156F0C08"/>
    <w:rsid w:val="15782C7E"/>
    <w:rsid w:val="15785D0F"/>
    <w:rsid w:val="15902DB4"/>
    <w:rsid w:val="15915971"/>
    <w:rsid w:val="15966195"/>
    <w:rsid w:val="15DD2016"/>
    <w:rsid w:val="15E3035A"/>
    <w:rsid w:val="15F76776"/>
    <w:rsid w:val="15FC6D54"/>
    <w:rsid w:val="160839E3"/>
    <w:rsid w:val="160F2EF4"/>
    <w:rsid w:val="16414353"/>
    <w:rsid w:val="16493207"/>
    <w:rsid w:val="165F2A2B"/>
    <w:rsid w:val="168A2E4A"/>
    <w:rsid w:val="168E50BE"/>
    <w:rsid w:val="169F376F"/>
    <w:rsid w:val="16A82624"/>
    <w:rsid w:val="16B965DF"/>
    <w:rsid w:val="16E92198"/>
    <w:rsid w:val="170B42AE"/>
    <w:rsid w:val="17103D25"/>
    <w:rsid w:val="17170316"/>
    <w:rsid w:val="172B3A1C"/>
    <w:rsid w:val="17310573"/>
    <w:rsid w:val="1746135D"/>
    <w:rsid w:val="174A469E"/>
    <w:rsid w:val="17516817"/>
    <w:rsid w:val="177D47DC"/>
    <w:rsid w:val="17A27073"/>
    <w:rsid w:val="17A77181"/>
    <w:rsid w:val="17B648CC"/>
    <w:rsid w:val="17D825B2"/>
    <w:rsid w:val="17DD6F6D"/>
    <w:rsid w:val="1812204D"/>
    <w:rsid w:val="182867BE"/>
    <w:rsid w:val="182E403B"/>
    <w:rsid w:val="183D4969"/>
    <w:rsid w:val="18523889"/>
    <w:rsid w:val="18941F78"/>
    <w:rsid w:val="18AB01A9"/>
    <w:rsid w:val="18BA663E"/>
    <w:rsid w:val="18C80D5B"/>
    <w:rsid w:val="18D771F0"/>
    <w:rsid w:val="18E24C39"/>
    <w:rsid w:val="18E65685"/>
    <w:rsid w:val="18E67F66"/>
    <w:rsid w:val="18F25DD8"/>
    <w:rsid w:val="1901426D"/>
    <w:rsid w:val="19297320"/>
    <w:rsid w:val="192B4E46"/>
    <w:rsid w:val="192D6E10"/>
    <w:rsid w:val="192F6BB4"/>
    <w:rsid w:val="196439D9"/>
    <w:rsid w:val="196A1E12"/>
    <w:rsid w:val="196A7184"/>
    <w:rsid w:val="1977008B"/>
    <w:rsid w:val="1978271D"/>
    <w:rsid w:val="199D3F96"/>
    <w:rsid w:val="19C203AA"/>
    <w:rsid w:val="19EA4D01"/>
    <w:rsid w:val="19EB46AD"/>
    <w:rsid w:val="1A07314F"/>
    <w:rsid w:val="1A0E09F0"/>
    <w:rsid w:val="1A143C27"/>
    <w:rsid w:val="1A252036"/>
    <w:rsid w:val="1A345F7C"/>
    <w:rsid w:val="1A496A10"/>
    <w:rsid w:val="1A4A64AD"/>
    <w:rsid w:val="1A6E2FAD"/>
    <w:rsid w:val="1A7F5449"/>
    <w:rsid w:val="1A8E1B30"/>
    <w:rsid w:val="1AB23A71"/>
    <w:rsid w:val="1ACC5F94"/>
    <w:rsid w:val="1B1E04AF"/>
    <w:rsid w:val="1B2D1349"/>
    <w:rsid w:val="1B39309C"/>
    <w:rsid w:val="1B530684"/>
    <w:rsid w:val="1B886580"/>
    <w:rsid w:val="1B8A679C"/>
    <w:rsid w:val="1B8C2514"/>
    <w:rsid w:val="1BBF3C13"/>
    <w:rsid w:val="1BE37C5A"/>
    <w:rsid w:val="1BEA2D97"/>
    <w:rsid w:val="1C07254C"/>
    <w:rsid w:val="1C1222ED"/>
    <w:rsid w:val="1C1B7F1A"/>
    <w:rsid w:val="1C29608F"/>
    <w:rsid w:val="1C365FDC"/>
    <w:rsid w:val="1C621919"/>
    <w:rsid w:val="1C6963B1"/>
    <w:rsid w:val="1C6C177F"/>
    <w:rsid w:val="1CC84492"/>
    <w:rsid w:val="1CE41EDC"/>
    <w:rsid w:val="1CEF0D86"/>
    <w:rsid w:val="1CFF6D16"/>
    <w:rsid w:val="1D152095"/>
    <w:rsid w:val="1D214638"/>
    <w:rsid w:val="1D272E0E"/>
    <w:rsid w:val="1D4330A6"/>
    <w:rsid w:val="1D623FD6"/>
    <w:rsid w:val="1D882BCA"/>
    <w:rsid w:val="1D8A2A83"/>
    <w:rsid w:val="1DCA7323"/>
    <w:rsid w:val="1DEA52D0"/>
    <w:rsid w:val="1DF20628"/>
    <w:rsid w:val="1DFE6FCD"/>
    <w:rsid w:val="1E0565AE"/>
    <w:rsid w:val="1E220F0E"/>
    <w:rsid w:val="1E5C4616"/>
    <w:rsid w:val="1E605764"/>
    <w:rsid w:val="1E641DBE"/>
    <w:rsid w:val="1E831280"/>
    <w:rsid w:val="1E9062B3"/>
    <w:rsid w:val="1EBB1886"/>
    <w:rsid w:val="1ED35E52"/>
    <w:rsid w:val="1EDD7BF3"/>
    <w:rsid w:val="1EE47F71"/>
    <w:rsid w:val="1F066139"/>
    <w:rsid w:val="1F0A4DEF"/>
    <w:rsid w:val="1F1D6D27"/>
    <w:rsid w:val="1F326319"/>
    <w:rsid w:val="1F337736"/>
    <w:rsid w:val="1F3519C7"/>
    <w:rsid w:val="1F464788"/>
    <w:rsid w:val="1F644744"/>
    <w:rsid w:val="1F6C281F"/>
    <w:rsid w:val="1F813A12"/>
    <w:rsid w:val="1F8E6313"/>
    <w:rsid w:val="1FBC4A4A"/>
    <w:rsid w:val="1FC234F7"/>
    <w:rsid w:val="1FD128F4"/>
    <w:rsid w:val="200054D9"/>
    <w:rsid w:val="200D799B"/>
    <w:rsid w:val="201B3E66"/>
    <w:rsid w:val="202D1DEC"/>
    <w:rsid w:val="203D202F"/>
    <w:rsid w:val="204942DB"/>
    <w:rsid w:val="2058178A"/>
    <w:rsid w:val="205828F1"/>
    <w:rsid w:val="20665273"/>
    <w:rsid w:val="20AC2D10"/>
    <w:rsid w:val="20B50445"/>
    <w:rsid w:val="20CC6F0F"/>
    <w:rsid w:val="20EB0691"/>
    <w:rsid w:val="20F61D01"/>
    <w:rsid w:val="211B1C44"/>
    <w:rsid w:val="21223979"/>
    <w:rsid w:val="21440B7A"/>
    <w:rsid w:val="21502035"/>
    <w:rsid w:val="21556294"/>
    <w:rsid w:val="216B0107"/>
    <w:rsid w:val="217C6B87"/>
    <w:rsid w:val="21863561"/>
    <w:rsid w:val="21902632"/>
    <w:rsid w:val="21A52231"/>
    <w:rsid w:val="21B87493"/>
    <w:rsid w:val="21C67E02"/>
    <w:rsid w:val="21CB5418"/>
    <w:rsid w:val="21D267A7"/>
    <w:rsid w:val="21DC13D3"/>
    <w:rsid w:val="220F79FB"/>
    <w:rsid w:val="22241727"/>
    <w:rsid w:val="2230171F"/>
    <w:rsid w:val="22372AAE"/>
    <w:rsid w:val="2267494E"/>
    <w:rsid w:val="22787E3C"/>
    <w:rsid w:val="22806203"/>
    <w:rsid w:val="22937D89"/>
    <w:rsid w:val="229677D4"/>
    <w:rsid w:val="22A55C69"/>
    <w:rsid w:val="22B365D8"/>
    <w:rsid w:val="22B56758"/>
    <w:rsid w:val="22BA5BB9"/>
    <w:rsid w:val="22BF31CF"/>
    <w:rsid w:val="22E03E0A"/>
    <w:rsid w:val="22E418F0"/>
    <w:rsid w:val="22E845A7"/>
    <w:rsid w:val="22F32E79"/>
    <w:rsid w:val="230F1167"/>
    <w:rsid w:val="231A51D5"/>
    <w:rsid w:val="23403395"/>
    <w:rsid w:val="234A7F6B"/>
    <w:rsid w:val="23867849"/>
    <w:rsid w:val="23920F4E"/>
    <w:rsid w:val="23987A5B"/>
    <w:rsid w:val="23C245F9"/>
    <w:rsid w:val="23C640E9"/>
    <w:rsid w:val="23F031C9"/>
    <w:rsid w:val="24013373"/>
    <w:rsid w:val="241430A6"/>
    <w:rsid w:val="241F1A4B"/>
    <w:rsid w:val="24376767"/>
    <w:rsid w:val="243C43AB"/>
    <w:rsid w:val="243E0123"/>
    <w:rsid w:val="243E32C2"/>
    <w:rsid w:val="24443260"/>
    <w:rsid w:val="24447509"/>
    <w:rsid w:val="244D0366"/>
    <w:rsid w:val="24547947"/>
    <w:rsid w:val="246A53BC"/>
    <w:rsid w:val="24910391"/>
    <w:rsid w:val="24AE25E4"/>
    <w:rsid w:val="24B403E6"/>
    <w:rsid w:val="24BE3012"/>
    <w:rsid w:val="25174E41"/>
    <w:rsid w:val="252437BD"/>
    <w:rsid w:val="252F4101"/>
    <w:rsid w:val="253365C1"/>
    <w:rsid w:val="256972AA"/>
    <w:rsid w:val="25897AC4"/>
    <w:rsid w:val="259A582D"/>
    <w:rsid w:val="259C15A5"/>
    <w:rsid w:val="25AB1A79"/>
    <w:rsid w:val="25F34F3E"/>
    <w:rsid w:val="25F50CB6"/>
    <w:rsid w:val="25FC2044"/>
    <w:rsid w:val="260B672B"/>
    <w:rsid w:val="26321C01"/>
    <w:rsid w:val="263E265D"/>
    <w:rsid w:val="263E440B"/>
    <w:rsid w:val="26551754"/>
    <w:rsid w:val="2657220F"/>
    <w:rsid w:val="265F25D3"/>
    <w:rsid w:val="26906C30"/>
    <w:rsid w:val="26CC2227"/>
    <w:rsid w:val="26D32E9B"/>
    <w:rsid w:val="26E825C8"/>
    <w:rsid w:val="26EA4592"/>
    <w:rsid w:val="26F45411"/>
    <w:rsid w:val="26FE1DEC"/>
    <w:rsid w:val="270A0791"/>
    <w:rsid w:val="271B474C"/>
    <w:rsid w:val="273932D9"/>
    <w:rsid w:val="27421CD9"/>
    <w:rsid w:val="277771D4"/>
    <w:rsid w:val="27950FB5"/>
    <w:rsid w:val="27982240"/>
    <w:rsid w:val="27B0758A"/>
    <w:rsid w:val="27C052F3"/>
    <w:rsid w:val="27C070A1"/>
    <w:rsid w:val="27CC1EEA"/>
    <w:rsid w:val="27D91903"/>
    <w:rsid w:val="27E70AD2"/>
    <w:rsid w:val="27F03E2A"/>
    <w:rsid w:val="28226615"/>
    <w:rsid w:val="284A1FB6"/>
    <w:rsid w:val="287606AE"/>
    <w:rsid w:val="287E31E4"/>
    <w:rsid w:val="2881331F"/>
    <w:rsid w:val="28927479"/>
    <w:rsid w:val="28D7016F"/>
    <w:rsid w:val="28D76D98"/>
    <w:rsid w:val="28DB0637"/>
    <w:rsid w:val="28EB63A0"/>
    <w:rsid w:val="28EC45F2"/>
    <w:rsid w:val="28F45255"/>
    <w:rsid w:val="28FD4CC9"/>
    <w:rsid w:val="28FF0804"/>
    <w:rsid w:val="29283150"/>
    <w:rsid w:val="2933596C"/>
    <w:rsid w:val="295D54F0"/>
    <w:rsid w:val="29756479"/>
    <w:rsid w:val="297F5466"/>
    <w:rsid w:val="29A44ECD"/>
    <w:rsid w:val="29AA742B"/>
    <w:rsid w:val="29B11398"/>
    <w:rsid w:val="29DB0625"/>
    <w:rsid w:val="2A157B78"/>
    <w:rsid w:val="2A181417"/>
    <w:rsid w:val="2A1A6F3D"/>
    <w:rsid w:val="2A355E7E"/>
    <w:rsid w:val="2A4B17EC"/>
    <w:rsid w:val="2A5B32EA"/>
    <w:rsid w:val="2A614B6C"/>
    <w:rsid w:val="2A663F30"/>
    <w:rsid w:val="2A71450A"/>
    <w:rsid w:val="2A800CEA"/>
    <w:rsid w:val="2A9B3B6E"/>
    <w:rsid w:val="2A9F38E6"/>
    <w:rsid w:val="2AA131BA"/>
    <w:rsid w:val="2AAD417B"/>
    <w:rsid w:val="2AD25A69"/>
    <w:rsid w:val="2B0C0F7B"/>
    <w:rsid w:val="2B0E36C7"/>
    <w:rsid w:val="2B430715"/>
    <w:rsid w:val="2B4D50F0"/>
    <w:rsid w:val="2B522706"/>
    <w:rsid w:val="2B634A35"/>
    <w:rsid w:val="2B672E16"/>
    <w:rsid w:val="2B8A3541"/>
    <w:rsid w:val="2B8C0AE6"/>
    <w:rsid w:val="2BAF1907"/>
    <w:rsid w:val="2BC453B2"/>
    <w:rsid w:val="2BD350FA"/>
    <w:rsid w:val="2BD53024"/>
    <w:rsid w:val="2BD870AF"/>
    <w:rsid w:val="2C4320AD"/>
    <w:rsid w:val="2C732482"/>
    <w:rsid w:val="2CAD1288"/>
    <w:rsid w:val="2CAD3738"/>
    <w:rsid w:val="2CD05FD9"/>
    <w:rsid w:val="2CF2792E"/>
    <w:rsid w:val="2CFA3055"/>
    <w:rsid w:val="2D3752CF"/>
    <w:rsid w:val="2D412A32"/>
    <w:rsid w:val="2D524C40"/>
    <w:rsid w:val="2D9E48E8"/>
    <w:rsid w:val="2D9F29B4"/>
    <w:rsid w:val="2DA059AB"/>
    <w:rsid w:val="2DB31B82"/>
    <w:rsid w:val="2E092640"/>
    <w:rsid w:val="2E165C6D"/>
    <w:rsid w:val="2E36630F"/>
    <w:rsid w:val="2E3C2382"/>
    <w:rsid w:val="2EAD4823"/>
    <w:rsid w:val="2EC37384"/>
    <w:rsid w:val="2EEE2551"/>
    <w:rsid w:val="2EF73CF0"/>
    <w:rsid w:val="2F1228D8"/>
    <w:rsid w:val="2F2A5E74"/>
    <w:rsid w:val="2F4C5E70"/>
    <w:rsid w:val="2FA539B8"/>
    <w:rsid w:val="2FA837EF"/>
    <w:rsid w:val="2FBB0A9A"/>
    <w:rsid w:val="2FC75471"/>
    <w:rsid w:val="2FD933F6"/>
    <w:rsid w:val="2FE933B3"/>
    <w:rsid w:val="2FF27970"/>
    <w:rsid w:val="2FF418E7"/>
    <w:rsid w:val="30113625"/>
    <w:rsid w:val="30321779"/>
    <w:rsid w:val="3034062C"/>
    <w:rsid w:val="30483416"/>
    <w:rsid w:val="3048473A"/>
    <w:rsid w:val="30501E56"/>
    <w:rsid w:val="305C0286"/>
    <w:rsid w:val="307F5D4C"/>
    <w:rsid w:val="30851151"/>
    <w:rsid w:val="30DB6CFA"/>
    <w:rsid w:val="30F10609"/>
    <w:rsid w:val="3115220C"/>
    <w:rsid w:val="311A02B8"/>
    <w:rsid w:val="31244B45"/>
    <w:rsid w:val="313308E4"/>
    <w:rsid w:val="313E0D04"/>
    <w:rsid w:val="315F792B"/>
    <w:rsid w:val="31876D63"/>
    <w:rsid w:val="31CA749A"/>
    <w:rsid w:val="31F1484C"/>
    <w:rsid w:val="31F249B7"/>
    <w:rsid w:val="32103FEE"/>
    <w:rsid w:val="321A0DA3"/>
    <w:rsid w:val="322F37A1"/>
    <w:rsid w:val="323A4A21"/>
    <w:rsid w:val="323E39C7"/>
    <w:rsid w:val="327F0285"/>
    <w:rsid w:val="327F1123"/>
    <w:rsid w:val="32E93950"/>
    <w:rsid w:val="32F32A21"/>
    <w:rsid w:val="32F72511"/>
    <w:rsid w:val="330B7BF2"/>
    <w:rsid w:val="33105381"/>
    <w:rsid w:val="332350B4"/>
    <w:rsid w:val="333252F7"/>
    <w:rsid w:val="33435756"/>
    <w:rsid w:val="33666E2C"/>
    <w:rsid w:val="3369683F"/>
    <w:rsid w:val="337F6063"/>
    <w:rsid w:val="338A4C41"/>
    <w:rsid w:val="33CD3272"/>
    <w:rsid w:val="33D31231"/>
    <w:rsid w:val="33D75E9F"/>
    <w:rsid w:val="33DF6B01"/>
    <w:rsid w:val="340B47D8"/>
    <w:rsid w:val="341D6240"/>
    <w:rsid w:val="34264730"/>
    <w:rsid w:val="342B281C"/>
    <w:rsid w:val="3453371A"/>
    <w:rsid w:val="345B262C"/>
    <w:rsid w:val="345B5664"/>
    <w:rsid w:val="345F0910"/>
    <w:rsid w:val="346672AD"/>
    <w:rsid w:val="34784F8C"/>
    <w:rsid w:val="34906DAF"/>
    <w:rsid w:val="34945B3E"/>
    <w:rsid w:val="34A00986"/>
    <w:rsid w:val="34A51AF9"/>
    <w:rsid w:val="34AF2977"/>
    <w:rsid w:val="34D8334B"/>
    <w:rsid w:val="34E268A9"/>
    <w:rsid w:val="34E72111"/>
    <w:rsid w:val="357F234A"/>
    <w:rsid w:val="35A973C7"/>
    <w:rsid w:val="35BC534C"/>
    <w:rsid w:val="35CB1A33"/>
    <w:rsid w:val="35CB4E04"/>
    <w:rsid w:val="35DD2C66"/>
    <w:rsid w:val="35EE5D7D"/>
    <w:rsid w:val="360D1393"/>
    <w:rsid w:val="361E2C1F"/>
    <w:rsid w:val="361E78C5"/>
    <w:rsid w:val="36401AD9"/>
    <w:rsid w:val="364D069A"/>
    <w:rsid w:val="36967D4F"/>
    <w:rsid w:val="369B7657"/>
    <w:rsid w:val="36B3674F"/>
    <w:rsid w:val="36C26992"/>
    <w:rsid w:val="36DA1F2E"/>
    <w:rsid w:val="36F21B1E"/>
    <w:rsid w:val="36F570EA"/>
    <w:rsid w:val="36F823B4"/>
    <w:rsid w:val="37070849"/>
    <w:rsid w:val="370757C4"/>
    <w:rsid w:val="37313B18"/>
    <w:rsid w:val="3747333B"/>
    <w:rsid w:val="37482556"/>
    <w:rsid w:val="37623CD1"/>
    <w:rsid w:val="376718FC"/>
    <w:rsid w:val="377F2AD5"/>
    <w:rsid w:val="37873738"/>
    <w:rsid w:val="379B05EC"/>
    <w:rsid w:val="37A95DA4"/>
    <w:rsid w:val="37B207B5"/>
    <w:rsid w:val="37B409D1"/>
    <w:rsid w:val="37BA01DB"/>
    <w:rsid w:val="37BE1676"/>
    <w:rsid w:val="37C06D83"/>
    <w:rsid w:val="37C45A81"/>
    <w:rsid w:val="37CF580A"/>
    <w:rsid w:val="37D4688B"/>
    <w:rsid w:val="37EF7C5B"/>
    <w:rsid w:val="37F502FC"/>
    <w:rsid w:val="37FCC844"/>
    <w:rsid w:val="38241748"/>
    <w:rsid w:val="38463968"/>
    <w:rsid w:val="385950D4"/>
    <w:rsid w:val="38641B0F"/>
    <w:rsid w:val="38741F0E"/>
    <w:rsid w:val="38824072"/>
    <w:rsid w:val="388F6D48"/>
    <w:rsid w:val="38CD161E"/>
    <w:rsid w:val="38D440A8"/>
    <w:rsid w:val="38D806EF"/>
    <w:rsid w:val="38E5105E"/>
    <w:rsid w:val="38F4757D"/>
    <w:rsid w:val="39167469"/>
    <w:rsid w:val="391A0D07"/>
    <w:rsid w:val="39204CA1"/>
    <w:rsid w:val="39354F1D"/>
    <w:rsid w:val="394A28F1"/>
    <w:rsid w:val="395E69E1"/>
    <w:rsid w:val="39785A2E"/>
    <w:rsid w:val="397C551E"/>
    <w:rsid w:val="39CE1AF2"/>
    <w:rsid w:val="39F56B41"/>
    <w:rsid w:val="3A0F3643"/>
    <w:rsid w:val="3A184B1B"/>
    <w:rsid w:val="3A2160C5"/>
    <w:rsid w:val="3A217E73"/>
    <w:rsid w:val="3A543DA5"/>
    <w:rsid w:val="3A5F274A"/>
    <w:rsid w:val="3A8F1281"/>
    <w:rsid w:val="3AC328E0"/>
    <w:rsid w:val="3AD66EB0"/>
    <w:rsid w:val="3AF56409"/>
    <w:rsid w:val="3AFA0DF0"/>
    <w:rsid w:val="3B06511F"/>
    <w:rsid w:val="3B0C3FED"/>
    <w:rsid w:val="3B581673"/>
    <w:rsid w:val="3B97884F"/>
    <w:rsid w:val="3BB16FD5"/>
    <w:rsid w:val="3BC82243"/>
    <w:rsid w:val="3BC96A15"/>
    <w:rsid w:val="3BDB14B0"/>
    <w:rsid w:val="3BDF3B42"/>
    <w:rsid w:val="3C020450"/>
    <w:rsid w:val="3C157564"/>
    <w:rsid w:val="3C461E13"/>
    <w:rsid w:val="3C683B38"/>
    <w:rsid w:val="3C7F0E81"/>
    <w:rsid w:val="3C940DD1"/>
    <w:rsid w:val="3CBA425A"/>
    <w:rsid w:val="3CD504A1"/>
    <w:rsid w:val="3CED2111"/>
    <w:rsid w:val="3CF87058"/>
    <w:rsid w:val="3D0F6F78"/>
    <w:rsid w:val="3D313175"/>
    <w:rsid w:val="3D344362"/>
    <w:rsid w:val="3D42082D"/>
    <w:rsid w:val="3D4B29C5"/>
    <w:rsid w:val="3D94540A"/>
    <w:rsid w:val="3D9D1F07"/>
    <w:rsid w:val="3DAD7564"/>
    <w:rsid w:val="3DB7BF63"/>
    <w:rsid w:val="3DCC5572"/>
    <w:rsid w:val="3DDF7CEB"/>
    <w:rsid w:val="3DF06109"/>
    <w:rsid w:val="3DF22256"/>
    <w:rsid w:val="3DF862C0"/>
    <w:rsid w:val="3DFC6C2D"/>
    <w:rsid w:val="3E03620E"/>
    <w:rsid w:val="3E0472BD"/>
    <w:rsid w:val="3E1A5306"/>
    <w:rsid w:val="3E1D6BA4"/>
    <w:rsid w:val="3E245392"/>
    <w:rsid w:val="3E35373D"/>
    <w:rsid w:val="3E3D2DA2"/>
    <w:rsid w:val="3E3F2FBE"/>
    <w:rsid w:val="3E401509"/>
    <w:rsid w:val="3E410AE4"/>
    <w:rsid w:val="3EB219E2"/>
    <w:rsid w:val="3F040C13"/>
    <w:rsid w:val="3F171845"/>
    <w:rsid w:val="3F396276"/>
    <w:rsid w:val="3F3A3882"/>
    <w:rsid w:val="3F4E71C0"/>
    <w:rsid w:val="3F516B05"/>
    <w:rsid w:val="3F536256"/>
    <w:rsid w:val="3F553127"/>
    <w:rsid w:val="3F6A2E3E"/>
    <w:rsid w:val="3F8956A8"/>
    <w:rsid w:val="3FB011AF"/>
    <w:rsid w:val="3FB778B9"/>
    <w:rsid w:val="3FDC5A97"/>
    <w:rsid w:val="3FE040B5"/>
    <w:rsid w:val="40093F05"/>
    <w:rsid w:val="40633811"/>
    <w:rsid w:val="40736F4F"/>
    <w:rsid w:val="40860A30"/>
    <w:rsid w:val="40BB61AC"/>
    <w:rsid w:val="40BB76D4"/>
    <w:rsid w:val="40DA496F"/>
    <w:rsid w:val="40E7461E"/>
    <w:rsid w:val="41004C87"/>
    <w:rsid w:val="41200E85"/>
    <w:rsid w:val="412169AB"/>
    <w:rsid w:val="413775B0"/>
    <w:rsid w:val="41405083"/>
    <w:rsid w:val="41547280"/>
    <w:rsid w:val="417116E0"/>
    <w:rsid w:val="417E6496"/>
    <w:rsid w:val="419B30BD"/>
    <w:rsid w:val="419D4283"/>
    <w:rsid w:val="41C42BF4"/>
    <w:rsid w:val="41CE6B33"/>
    <w:rsid w:val="41F540C0"/>
    <w:rsid w:val="42051E29"/>
    <w:rsid w:val="42081788"/>
    <w:rsid w:val="420C1E72"/>
    <w:rsid w:val="420F2CA7"/>
    <w:rsid w:val="42162288"/>
    <w:rsid w:val="42164036"/>
    <w:rsid w:val="42176448"/>
    <w:rsid w:val="42241D3D"/>
    <w:rsid w:val="423522EA"/>
    <w:rsid w:val="423D5A66"/>
    <w:rsid w:val="424C7A58"/>
    <w:rsid w:val="42796719"/>
    <w:rsid w:val="428B1063"/>
    <w:rsid w:val="429C624A"/>
    <w:rsid w:val="42A04F26"/>
    <w:rsid w:val="42AB3941"/>
    <w:rsid w:val="42B21FB1"/>
    <w:rsid w:val="42B31885"/>
    <w:rsid w:val="42BD0BDC"/>
    <w:rsid w:val="42C30F47"/>
    <w:rsid w:val="42C67EC7"/>
    <w:rsid w:val="42E67EAC"/>
    <w:rsid w:val="432307B8"/>
    <w:rsid w:val="43520F9F"/>
    <w:rsid w:val="43571C4A"/>
    <w:rsid w:val="43637296"/>
    <w:rsid w:val="438C1AC6"/>
    <w:rsid w:val="43C9668D"/>
    <w:rsid w:val="43FF1225"/>
    <w:rsid w:val="440C071F"/>
    <w:rsid w:val="440C749E"/>
    <w:rsid w:val="441822E7"/>
    <w:rsid w:val="442A5B77"/>
    <w:rsid w:val="44354C47"/>
    <w:rsid w:val="4436276D"/>
    <w:rsid w:val="44466E54"/>
    <w:rsid w:val="44932709"/>
    <w:rsid w:val="44D83825"/>
    <w:rsid w:val="44DB729C"/>
    <w:rsid w:val="44E126D9"/>
    <w:rsid w:val="44F3065E"/>
    <w:rsid w:val="45321526"/>
    <w:rsid w:val="4533080F"/>
    <w:rsid w:val="454E01AF"/>
    <w:rsid w:val="457819D7"/>
    <w:rsid w:val="45965BB9"/>
    <w:rsid w:val="459836DD"/>
    <w:rsid w:val="45997458"/>
    <w:rsid w:val="45A0469A"/>
    <w:rsid w:val="45EA7CB3"/>
    <w:rsid w:val="45FA74F2"/>
    <w:rsid w:val="460645A9"/>
    <w:rsid w:val="46094DD0"/>
    <w:rsid w:val="462861CF"/>
    <w:rsid w:val="46752F28"/>
    <w:rsid w:val="46771714"/>
    <w:rsid w:val="469C658E"/>
    <w:rsid w:val="471E5E67"/>
    <w:rsid w:val="476A10AC"/>
    <w:rsid w:val="47740C02"/>
    <w:rsid w:val="479C6D8B"/>
    <w:rsid w:val="47AE585E"/>
    <w:rsid w:val="47C86159"/>
    <w:rsid w:val="47F46BC7"/>
    <w:rsid w:val="47FD447C"/>
    <w:rsid w:val="48013092"/>
    <w:rsid w:val="480C3F11"/>
    <w:rsid w:val="48215114"/>
    <w:rsid w:val="48276825"/>
    <w:rsid w:val="48403234"/>
    <w:rsid w:val="48450C39"/>
    <w:rsid w:val="48484C47"/>
    <w:rsid w:val="4850341A"/>
    <w:rsid w:val="48575F45"/>
    <w:rsid w:val="48667653"/>
    <w:rsid w:val="48671147"/>
    <w:rsid w:val="489857A5"/>
    <w:rsid w:val="489D100D"/>
    <w:rsid w:val="48A760EA"/>
    <w:rsid w:val="490E3CB9"/>
    <w:rsid w:val="491D5404"/>
    <w:rsid w:val="493A685C"/>
    <w:rsid w:val="49575660"/>
    <w:rsid w:val="499B3F9D"/>
    <w:rsid w:val="49A32653"/>
    <w:rsid w:val="49AB775A"/>
    <w:rsid w:val="49D87008"/>
    <w:rsid w:val="49DE656F"/>
    <w:rsid w:val="49F52028"/>
    <w:rsid w:val="49F7474D"/>
    <w:rsid w:val="49FC751B"/>
    <w:rsid w:val="4A011C57"/>
    <w:rsid w:val="4A0C2D29"/>
    <w:rsid w:val="4A1B668D"/>
    <w:rsid w:val="4A225C6E"/>
    <w:rsid w:val="4A2D4613"/>
    <w:rsid w:val="4A361719"/>
    <w:rsid w:val="4A363944"/>
    <w:rsid w:val="4A381CE6"/>
    <w:rsid w:val="4A41430B"/>
    <w:rsid w:val="4A4E40F1"/>
    <w:rsid w:val="4A7638C4"/>
    <w:rsid w:val="4AAC5537"/>
    <w:rsid w:val="4AC70024"/>
    <w:rsid w:val="4B3612A5"/>
    <w:rsid w:val="4B517C0B"/>
    <w:rsid w:val="4B5300A9"/>
    <w:rsid w:val="4B716315"/>
    <w:rsid w:val="4B7A3887"/>
    <w:rsid w:val="4B7B893A"/>
    <w:rsid w:val="4B9825BC"/>
    <w:rsid w:val="4BBA3C84"/>
    <w:rsid w:val="4BBB0BE9"/>
    <w:rsid w:val="4C2C2250"/>
    <w:rsid w:val="4C327CBE"/>
    <w:rsid w:val="4C3677AE"/>
    <w:rsid w:val="4C4D4AF8"/>
    <w:rsid w:val="4C79769B"/>
    <w:rsid w:val="4CBB7CB4"/>
    <w:rsid w:val="4CD945DE"/>
    <w:rsid w:val="4D0B0C3B"/>
    <w:rsid w:val="4D176E22"/>
    <w:rsid w:val="4D2252AB"/>
    <w:rsid w:val="4D4438D1"/>
    <w:rsid w:val="4D486E3D"/>
    <w:rsid w:val="4D562915"/>
    <w:rsid w:val="4D61085B"/>
    <w:rsid w:val="4D7D6BB9"/>
    <w:rsid w:val="4D821EF7"/>
    <w:rsid w:val="4D842D3A"/>
    <w:rsid w:val="4D9F1383"/>
    <w:rsid w:val="4DAB3F2C"/>
    <w:rsid w:val="4DAE0576"/>
    <w:rsid w:val="4DBB4542"/>
    <w:rsid w:val="4DC969B3"/>
    <w:rsid w:val="4DDD02DC"/>
    <w:rsid w:val="4DE44FE8"/>
    <w:rsid w:val="4E015B9A"/>
    <w:rsid w:val="4E0538DC"/>
    <w:rsid w:val="4E0C4F41"/>
    <w:rsid w:val="4E121B55"/>
    <w:rsid w:val="4E157897"/>
    <w:rsid w:val="4E235B10"/>
    <w:rsid w:val="4E2B44E3"/>
    <w:rsid w:val="4E542869"/>
    <w:rsid w:val="4E650DC9"/>
    <w:rsid w:val="4E8A2033"/>
    <w:rsid w:val="4E9B5FEF"/>
    <w:rsid w:val="4EA604F0"/>
    <w:rsid w:val="4EE23C1E"/>
    <w:rsid w:val="4EEF1E97"/>
    <w:rsid w:val="4F005E52"/>
    <w:rsid w:val="4F135B85"/>
    <w:rsid w:val="4F1813ED"/>
    <w:rsid w:val="4F31425D"/>
    <w:rsid w:val="4F363F69"/>
    <w:rsid w:val="4F4C720E"/>
    <w:rsid w:val="4F4E4E0F"/>
    <w:rsid w:val="4F5E3B4E"/>
    <w:rsid w:val="4F6F4B51"/>
    <w:rsid w:val="4F8922EB"/>
    <w:rsid w:val="4F9C201E"/>
    <w:rsid w:val="4FA7451F"/>
    <w:rsid w:val="4FDC68BF"/>
    <w:rsid w:val="4FDF956D"/>
    <w:rsid w:val="501A5E16"/>
    <w:rsid w:val="502A587C"/>
    <w:rsid w:val="505F4DFA"/>
    <w:rsid w:val="50A32828"/>
    <w:rsid w:val="50A8237D"/>
    <w:rsid w:val="50CA2BBB"/>
    <w:rsid w:val="50CF73BC"/>
    <w:rsid w:val="50DD19BA"/>
    <w:rsid w:val="50DD469C"/>
    <w:rsid w:val="50FD4D3F"/>
    <w:rsid w:val="510734C7"/>
    <w:rsid w:val="510D12CF"/>
    <w:rsid w:val="51280932"/>
    <w:rsid w:val="51340035"/>
    <w:rsid w:val="513D513B"/>
    <w:rsid w:val="514D6509"/>
    <w:rsid w:val="515B613D"/>
    <w:rsid w:val="517462F5"/>
    <w:rsid w:val="517A013D"/>
    <w:rsid w:val="518634B0"/>
    <w:rsid w:val="519F1952"/>
    <w:rsid w:val="51B87EF8"/>
    <w:rsid w:val="51BF0246"/>
    <w:rsid w:val="51D51818"/>
    <w:rsid w:val="51E71B9C"/>
    <w:rsid w:val="52353048"/>
    <w:rsid w:val="523A18EA"/>
    <w:rsid w:val="524F58D9"/>
    <w:rsid w:val="52640EAD"/>
    <w:rsid w:val="5268268C"/>
    <w:rsid w:val="52B670A9"/>
    <w:rsid w:val="52C11D9C"/>
    <w:rsid w:val="52FD455E"/>
    <w:rsid w:val="530A729F"/>
    <w:rsid w:val="532F2563"/>
    <w:rsid w:val="53400F13"/>
    <w:rsid w:val="534A3B3F"/>
    <w:rsid w:val="535D7D17"/>
    <w:rsid w:val="53731533"/>
    <w:rsid w:val="53937294"/>
    <w:rsid w:val="539EE037"/>
    <w:rsid w:val="539F032F"/>
    <w:rsid w:val="53A62432"/>
    <w:rsid w:val="53D6608D"/>
    <w:rsid w:val="53D8114B"/>
    <w:rsid w:val="53E126F6"/>
    <w:rsid w:val="54010530"/>
    <w:rsid w:val="543B00DA"/>
    <w:rsid w:val="54505070"/>
    <w:rsid w:val="54834C53"/>
    <w:rsid w:val="54841B20"/>
    <w:rsid w:val="548F0560"/>
    <w:rsid w:val="54A84FC1"/>
    <w:rsid w:val="550B4CFF"/>
    <w:rsid w:val="553D7E00"/>
    <w:rsid w:val="55442ED5"/>
    <w:rsid w:val="5552317F"/>
    <w:rsid w:val="555739DF"/>
    <w:rsid w:val="55766E6E"/>
    <w:rsid w:val="558A46C7"/>
    <w:rsid w:val="55B14176"/>
    <w:rsid w:val="55B164AD"/>
    <w:rsid w:val="55B55F10"/>
    <w:rsid w:val="55C81BB7"/>
    <w:rsid w:val="55D81588"/>
    <w:rsid w:val="561C3A3F"/>
    <w:rsid w:val="562A39A6"/>
    <w:rsid w:val="564B20A8"/>
    <w:rsid w:val="56582A17"/>
    <w:rsid w:val="565F6940"/>
    <w:rsid w:val="56710779"/>
    <w:rsid w:val="56867584"/>
    <w:rsid w:val="56AB6FEB"/>
    <w:rsid w:val="56AE3D11"/>
    <w:rsid w:val="56F20776"/>
    <w:rsid w:val="572052E3"/>
    <w:rsid w:val="57234DD3"/>
    <w:rsid w:val="57364B06"/>
    <w:rsid w:val="574C76A5"/>
    <w:rsid w:val="57511940"/>
    <w:rsid w:val="575B456D"/>
    <w:rsid w:val="57607DD5"/>
    <w:rsid w:val="57803B24"/>
    <w:rsid w:val="57877110"/>
    <w:rsid w:val="57961A49"/>
    <w:rsid w:val="57A31A70"/>
    <w:rsid w:val="57A556A6"/>
    <w:rsid w:val="57CF2865"/>
    <w:rsid w:val="57ED228D"/>
    <w:rsid w:val="581C470A"/>
    <w:rsid w:val="58201313"/>
    <w:rsid w:val="5827444F"/>
    <w:rsid w:val="582E0BB0"/>
    <w:rsid w:val="58382EB4"/>
    <w:rsid w:val="58496ABB"/>
    <w:rsid w:val="584D2F1D"/>
    <w:rsid w:val="58507E4A"/>
    <w:rsid w:val="587F24DD"/>
    <w:rsid w:val="588B70D4"/>
    <w:rsid w:val="58937D37"/>
    <w:rsid w:val="589C6BEB"/>
    <w:rsid w:val="58B2640F"/>
    <w:rsid w:val="58BA1767"/>
    <w:rsid w:val="58BE1257"/>
    <w:rsid w:val="58D81BED"/>
    <w:rsid w:val="59100865"/>
    <w:rsid w:val="591A2206"/>
    <w:rsid w:val="59285338"/>
    <w:rsid w:val="592D3CE7"/>
    <w:rsid w:val="59326E77"/>
    <w:rsid w:val="593E7CA2"/>
    <w:rsid w:val="594F0101"/>
    <w:rsid w:val="595C637A"/>
    <w:rsid w:val="59636391"/>
    <w:rsid w:val="59741916"/>
    <w:rsid w:val="597B4FC6"/>
    <w:rsid w:val="599109BB"/>
    <w:rsid w:val="599C169F"/>
    <w:rsid w:val="59E545C2"/>
    <w:rsid w:val="5A095AB5"/>
    <w:rsid w:val="5A0F163F"/>
    <w:rsid w:val="5A1530F9"/>
    <w:rsid w:val="5A252C10"/>
    <w:rsid w:val="5A2A46CB"/>
    <w:rsid w:val="5A466527"/>
    <w:rsid w:val="5A6E45B7"/>
    <w:rsid w:val="5A7302EB"/>
    <w:rsid w:val="5A754FD7"/>
    <w:rsid w:val="5A9545B4"/>
    <w:rsid w:val="5AAC584A"/>
    <w:rsid w:val="5AC4067B"/>
    <w:rsid w:val="5ADA1C4D"/>
    <w:rsid w:val="5AF60A5A"/>
    <w:rsid w:val="5B032756"/>
    <w:rsid w:val="5B12588A"/>
    <w:rsid w:val="5B136F0D"/>
    <w:rsid w:val="5B214990"/>
    <w:rsid w:val="5B345801"/>
    <w:rsid w:val="5B394BC5"/>
    <w:rsid w:val="5B402954"/>
    <w:rsid w:val="5B490B80"/>
    <w:rsid w:val="5B5C08B4"/>
    <w:rsid w:val="5B612747"/>
    <w:rsid w:val="5B6A0943"/>
    <w:rsid w:val="5B6C3DB3"/>
    <w:rsid w:val="5B6E3309"/>
    <w:rsid w:val="5B7C4AB2"/>
    <w:rsid w:val="5B80134A"/>
    <w:rsid w:val="5B865931"/>
    <w:rsid w:val="5B8D3163"/>
    <w:rsid w:val="5B8F2A37"/>
    <w:rsid w:val="5B964540"/>
    <w:rsid w:val="5B9B762E"/>
    <w:rsid w:val="5BA60B0D"/>
    <w:rsid w:val="5BAC22FE"/>
    <w:rsid w:val="5BCA3CDF"/>
    <w:rsid w:val="5BCD355F"/>
    <w:rsid w:val="5BD32D6E"/>
    <w:rsid w:val="5BE32D83"/>
    <w:rsid w:val="5BF62AB6"/>
    <w:rsid w:val="5BFE1967"/>
    <w:rsid w:val="5C2F7D76"/>
    <w:rsid w:val="5C7A5495"/>
    <w:rsid w:val="5C7D4F86"/>
    <w:rsid w:val="5CA06B9B"/>
    <w:rsid w:val="5CA73DB1"/>
    <w:rsid w:val="5CBC3D00"/>
    <w:rsid w:val="5CCE6A7C"/>
    <w:rsid w:val="5CDA5F34"/>
    <w:rsid w:val="5CDC6150"/>
    <w:rsid w:val="5CF54B1C"/>
    <w:rsid w:val="5D491032"/>
    <w:rsid w:val="5D550866"/>
    <w:rsid w:val="5D56104F"/>
    <w:rsid w:val="5D8660BC"/>
    <w:rsid w:val="5D926A59"/>
    <w:rsid w:val="5D9B0B63"/>
    <w:rsid w:val="5DD04B30"/>
    <w:rsid w:val="5DDC7A8A"/>
    <w:rsid w:val="5DE60909"/>
    <w:rsid w:val="5DF910AF"/>
    <w:rsid w:val="5E0E085B"/>
    <w:rsid w:val="5E3A22D5"/>
    <w:rsid w:val="5E4775F9"/>
    <w:rsid w:val="5EA70098"/>
    <w:rsid w:val="5EC16571"/>
    <w:rsid w:val="5EEC63F2"/>
    <w:rsid w:val="5F096FA4"/>
    <w:rsid w:val="5F11698F"/>
    <w:rsid w:val="5F1871E8"/>
    <w:rsid w:val="5F28567D"/>
    <w:rsid w:val="5F3018F4"/>
    <w:rsid w:val="5F7FDB0C"/>
    <w:rsid w:val="5F971568"/>
    <w:rsid w:val="5F9C1BC7"/>
    <w:rsid w:val="5FBF1411"/>
    <w:rsid w:val="60193217"/>
    <w:rsid w:val="60385CED"/>
    <w:rsid w:val="60563B24"/>
    <w:rsid w:val="60844B35"/>
    <w:rsid w:val="60B31CDB"/>
    <w:rsid w:val="60C03693"/>
    <w:rsid w:val="60C90799"/>
    <w:rsid w:val="60D20857"/>
    <w:rsid w:val="611F03B9"/>
    <w:rsid w:val="612F1F0B"/>
    <w:rsid w:val="616E2C9D"/>
    <w:rsid w:val="6171498D"/>
    <w:rsid w:val="61867AEA"/>
    <w:rsid w:val="619C7C5C"/>
    <w:rsid w:val="61AD1E69"/>
    <w:rsid w:val="61BD7BD2"/>
    <w:rsid w:val="61D94A0C"/>
    <w:rsid w:val="621E68C3"/>
    <w:rsid w:val="62487DE4"/>
    <w:rsid w:val="62960B4F"/>
    <w:rsid w:val="63460538"/>
    <w:rsid w:val="634F4AF1"/>
    <w:rsid w:val="635C139E"/>
    <w:rsid w:val="63600D6B"/>
    <w:rsid w:val="636F6376"/>
    <w:rsid w:val="63AB2695"/>
    <w:rsid w:val="63DC6A36"/>
    <w:rsid w:val="63E94CAF"/>
    <w:rsid w:val="63FD00F6"/>
    <w:rsid w:val="643E149E"/>
    <w:rsid w:val="64521136"/>
    <w:rsid w:val="648D1ADE"/>
    <w:rsid w:val="64B73A94"/>
    <w:rsid w:val="64C061E0"/>
    <w:rsid w:val="64D63485"/>
    <w:rsid w:val="64E33DF4"/>
    <w:rsid w:val="64EC323A"/>
    <w:rsid w:val="64FF527C"/>
    <w:rsid w:val="651B358E"/>
    <w:rsid w:val="651D3DBE"/>
    <w:rsid w:val="652811A1"/>
    <w:rsid w:val="654943D9"/>
    <w:rsid w:val="656A1E1F"/>
    <w:rsid w:val="65901886"/>
    <w:rsid w:val="6593581A"/>
    <w:rsid w:val="65B07941"/>
    <w:rsid w:val="65D06126"/>
    <w:rsid w:val="65D529C9"/>
    <w:rsid w:val="65E052B4"/>
    <w:rsid w:val="65E3555A"/>
    <w:rsid w:val="65FC33BF"/>
    <w:rsid w:val="660C45AF"/>
    <w:rsid w:val="661362E3"/>
    <w:rsid w:val="661865DF"/>
    <w:rsid w:val="661E1587"/>
    <w:rsid w:val="661F2C0A"/>
    <w:rsid w:val="662621EA"/>
    <w:rsid w:val="662F72F1"/>
    <w:rsid w:val="662F7D6C"/>
    <w:rsid w:val="669464D7"/>
    <w:rsid w:val="66B772E6"/>
    <w:rsid w:val="66BB0B84"/>
    <w:rsid w:val="66E300DB"/>
    <w:rsid w:val="66F07FD1"/>
    <w:rsid w:val="66F61F16"/>
    <w:rsid w:val="66F9345B"/>
    <w:rsid w:val="66FE2406"/>
    <w:rsid w:val="670F080C"/>
    <w:rsid w:val="671B1623"/>
    <w:rsid w:val="673C3DA6"/>
    <w:rsid w:val="67426E49"/>
    <w:rsid w:val="6744203C"/>
    <w:rsid w:val="675E5B17"/>
    <w:rsid w:val="676236F6"/>
    <w:rsid w:val="676F3F7F"/>
    <w:rsid w:val="67803B7C"/>
    <w:rsid w:val="6794411C"/>
    <w:rsid w:val="67A15484"/>
    <w:rsid w:val="67C25F42"/>
    <w:rsid w:val="67CF6087"/>
    <w:rsid w:val="67E427A5"/>
    <w:rsid w:val="68172D06"/>
    <w:rsid w:val="68232E85"/>
    <w:rsid w:val="684E58C1"/>
    <w:rsid w:val="68662D72"/>
    <w:rsid w:val="68692862"/>
    <w:rsid w:val="6873723D"/>
    <w:rsid w:val="688103FB"/>
    <w:rsid w:val="688C4126"/>
    <w:rsid w:val="68A55500"/>
    <w:rsid w:val="68AB2E7A"/>
    <w:rsid w:val="68CB2D94"/>
    <w:rsid w:val="68CB7079"/>
    <w:rsid w:val="68DE4FFE"/>
    <w:rsid w:val="690069D6"/>
    <w:rsid w:val="690E2FA5"/>
    <w:rsid w:val="69110F2F"/>
    <w:rsid w:val="6922313D"/>
    <w:rsid w:val="692F05F7"/>
    <w:rsid w:val="694D5CE0"/>
    <w:rsid w:val="694E17D6"/>
    <w:rsid w:val="6953779A"/>
    <w:rsid w:val="695F6A02"/>
    <w:rsid w:val="69692B1A"/>
    <w:rsid w:val="696D09BB"/>
    <w:rsid w:val="6982054A"/>
    <w:rsid w:val="69862A24"/>
    <w:rsid w:val="699018D3"/>
    <w:rsid w:val="69AD12F3"/>
    <w:rsid w:val="69CE27E1"/>
    <w:rsid w:val="69DD7064"/>
    <w:rsid w:val="69E50CDA"/>
    <w:rsid w:val="69F06925"/>
    <w:rsid w:val="69FA19C4"/>
    <w:rsid w:val="6A184540"/>
    <w:rsid w:val="6A20004C"/>
    <w:rsid w:val="6A425119"/>
    <w:rsid w:val="6A4B4173"/>
    <w:rsid w:val="6A5E6230"/>
    <w:rsid w:val="6A941A4E"/>
    <w:rsid w:val="6A9E390E"/>
    <w:rsid w:val="6AA45DD3"/>
    <w:rsid w:val="6AC81AC2"/>
    <w:rsid w:val="6AD00976"/>
    <w:rsid w:val="6AD64725"/>
    <w:rsid w:val="6ADF0BB9"/>
    <w:rsid w:val="6AE1235B"/>
    <w:rsid w:val="6AE90467"/>
    <w:rsid w:val="6AEB3A02"/>
    <w:rsid w:val="6AF04CEE"/>
    <w:rsid w:val="6B0A4F9D"/>
    <w:rsid w:val="6B0D0D45"/>
    <w:rsid w:val="6B1F203D"/>
    <w:rsid w:val="6B236656"/>
    <w:rsid w:val="6B264A3A"/>
    <w:rsid w:val="6B4750DC"/>
    <w:rsid w:val="6B4F073B"/>
    <w:rsid w:val="6B570828"/>
    <w:rsid w:val="6B61182A"/>
    <w:rsid w:val="6B6712DB"/>
    <w:rsid w:val="6B7721A7"/>
    <w:rsid w:val="6B7F265D"/>
    <w:rsid w:val="6B972A77"/>
    <w:rsid w:val="6B9D4CFC"/>
    <w:rsid w:val="6BA02A3F"/>
    <w:rsid w:val="6BAF1D1E"/>
    <w:rsid w:val="6BD91AAD"/>
    <w:rsid w:val="6BEA3CBA"/>
    <w:rsid w:val="6C066D46"/>
    <w:rsid w:val="6C1C5BD0"/>
    <w:rsid w:val="6C256AA0"/>
    <w:rsid w:val="6C3078F9"/>
    <w:rsid w:val="6C354F35"/>
    <w:rsid w:val="6C527105"/>
    <w:rsid w:val="6CAE4CE7"/>
    <w:rsid w:val="6CC10EBE"/>
    <w:rsid w:val="6CFE5C6F"/>
    <w:rsid w:val="6D082649"/>
    <w:rsid w:val="6D0B1684"/>
    <w:rsid w:val="6D18549A"/>
    <w:rsid w:val="6D1862E0"/>
    <w:rsid w:val="6D2154B9"/>
    <w:rsid w:val="6D283DD3"/>
    <w:rsid w:val="6D6558B3"/>
    <w:rsid w:val="6D762F0F"/>
    <w:rsid w:val="6D875C64"/>
    <w:rsid w:val="6D9F4AC6"/>
    <w:rsid w:val="6DB535E1"/>
    <w:rsid w:val="6DE50BDD"/>
    <w:rsid w:val="6DF8703C"/>
    <w:rsid w:val="6DFC39FA"/>
    <w:rsid w:val="6E1966BE"/>
    <w:rsid w:val="6E712470"/>
    <w:rsid w:val="6E736163"/>
    <w:rsid w:val="6E753D0F"/>
    <w:rsid w:val="6E755ABD"/>
    <w:rsid w:val="6E8B3532"/>
    <w:rsid w:val="6E941144"/>
    <w:rsid w:val="6E9F0D8B"/>
    <w:rsid w:val="6EA03AC1"/>
    <w:rsid w:val="6EC46A44"/>
    <w:rsid w:val="6ECE341F"/>
    <w:rsid w:val="6ED0363B"/>
    <w:rsid w:val="6EE449F0"/>
    <w:rsid w:val="6EE92007"/>
    <w:rsid w:val="6EF63287"/>
    <w:rsid w:val="6EF90C69"/>
    <w:rsid w:val="6F084B83"/>
    <w:rsid w:val="6F1D7CE4"/>
    <w:rsid w:val="6F6D4CC4"/>
    <w:rsid w:val="6F712728"/>
    <w:rsid w:val="6FE26134"/>
    <w:rsid w:val="701F03D6"/>
    <w:rsid w:val="7036127C"/>
    <w:rsid w:val="70627116"/>
    <w:rsid w:val="70986E39"/>
    <w:rsid w:val="70A730F3"/>
    <w:rsid w:val="70B623BC"/>
    <w:rsid w:val="70C8281B"/>
    <w:rsid w:val="70C95159"/>
    <w:rsid w:val="70EC2641"/>
    <w:rsid w:val="710475CC"/>
    <w:rsid w:val="713B6CCF"/>
    <w:rsid w:val="713C4FB8"/>
    <w:rsid w:val="7140235F"/>
    <w:rsid w:val="71662163"/>
    <w:rsid w:val="716963F3"/>
    <w:rsid w:val="716F2C97"/>
    <w:rsid w:val="717007BD"/>
    <w:rsid w:val="71CD62F2"/>
    <w:rsid w:val="71E01DE7"/>
    <w:rsid w:val="71F92EA9"/>
    <w:rsid w:val="72165809"/>
    <w:rsid w:val="721970A7"/>
    <w:rsid w:val="72284FDE"/>
    <w:rsid w:val="723B701D"/>
    <w:rsid w:val="723E5A70"/>
    <w:rsid w:val="725772F9"/>
    <w:rsid w:val="72630517"/>
    <w:rsid w:val="726522EC"/>
    <w:rsid w:val="726A7902"/>
    <w:rsid w:val="727A7B45"/>
    <w:rsid w:val="727B566C"/>
    <w:rsid w:val="72827AE5"/>
    <w:rsid w:val="7289422C"/>
    <w:rsid w:val="7298621E"/>
    <w:rsid w:val="729F57FE"/>
    <w:rsid w:val="72A2709C"/>
    <w:rsid w:val="72A921D9"/>
    <w:rsid w:val="72AB572C"/>
    <w:rsid w:val="72AB5F51"/>
    <w:rsid w:val="72BA6194"/>
    <w:rsid w:val="72C35F13"/>
    <w:rsid w:val="72CA214F"/>
    <w:rsid w:val="72D55F67"/>
    <w:rsid w:val="72E01973"/>
    <w:rsid w:val="72E17BC5"/>
    <w:rsid w:val="72E47A0B"/>
    <w:rsid w:val="72E94CCB"/>
    <w:rsid w:val="72FD0776"/>
    <w:rsid w:val="73016068"/>
    <w:rsid w:val="731C0BFD"/>
    <w:rsid w:val="731D6723"/>
    <w:rsid w:val="731F20C0"/>
    <w:rsid w:val="731F249B"/>
    <w:rsid w:val="732E6B82"/>
    <w:rsid w:val="733E17AF"/>
    <w:rsid w:val="73410663"/>
    <w:rsid w:val="7346211D"/>
    <w:rsid w:val="7358145B"/>
    <w:rsid w:val="735A34D3"/>
    <w:rsid w:val="73752023"/>
    <w:rsid w:val="73B452D9"/>
    <w:rsid w:val="73B54BAD"/>
    <w:rsid w:val="74033B6B"/>
    <w:rsid w:val="74055B35"/>
    <w:rsid w:val="743261FE"/>
    <w:rsid w:val="74361C48"/>
    <w:rsid w:val="74415EE0"/>
    <w:rsid w:val="74566390"/>
    <w:rsid w:val="74582108"/>
    <w:rsid w:val="74795BDB"/>
    <w:rsid w:val="74932B83"/>
    <w:rsid w:val="74DF586A"/>
    <w:rsid w:val="74FD46D9"/>
    <w:rsid w:val="74FD680C"/>
    <w:rsid w:val="74FE681D"/>
    <w:rsid w:val="75095FDC"/>
    <w:rsid w:val="751A59DC"/>
    <w:rsid w:val="7541307B"/>
    <w:rsid w:val="7568453F"/>
    <w:rsid w:val="75894543"/>
    <w:rsid w:val="75B73ED4"/>
    <w:rsid w:val="75F07F55"/>
    <w:rsid w:val="75F257F1"/>
    <w:rsid w:val="75FB0F9D"/>
    <w:rsid w:val="75FDCC0F"/>
    <w:rsid w:val="760442A1"/>
    <w:rsid w:val="76150EDB"/>
    <w:rsid w:val="761958C7"/>
    <w:rsid w:val="76426BCC"/>
    <w:rsid w:val="764346F2"/>
    <w:rsid w:val="76464DAE"/>
    <w:rsid w:val="768216BE"/>
    <w:rsid w:val="76975769"/>
    <w:rsid w:val="76A6C867"/>
    <w:rsid w:val="76C84BF7"/>
    <w:rsid w:val="76CE0460"/>
    <w:rsid w:val="76E25A80"/>
    <w:rsid w:val="76EC6B38"/>
    <w:rsid w:val="77316C41"/>
    <w:rsid w:val="773F0E71"/>
    <w:rsid w:val="77513458"/>
    <w:rsid w:val="7762504C"/>
    <w:rsid w:val="779B0E1C"/>
    <w:rsid w:val="77A552B4"/>
    <w:rsid w:val="77A6318B"/>
    <w:rsid w:val="77BC7940"/>
    <w:rsid w:val="77CE4F95"/>
    <w:rsid w:val="77DC095A"/>
    <w:rsid w:val="77EB3293"/>
    <w:rsid w:val="77EE068E"/>
    <w:rsid w:val="77F51A1C"/>
    <w:rsid w:val="78102198"/>
    <w:rsid w:val="782B75A0"/>
    <w:rsid w:val="782D27DB"/>
    <w:rsid w:val="783A644A"/>
    <w:rsid w:val="78654DF4"/>
    <w:rsid w:val="78670B6C"/>
    <w:rsid w:val="788039DC"/>
    <w:rsid w:val="788259A6"/>
    <w:rsid w:val="78855F37"/>
    <w:rsid w:val="78880AE2"/>
    <w:rsid w:val="7893138B"/>
    <w:rsid w:val="789607FB"/>
    <w:rsid w:val="78A84CE1"/>
    <w:rsid w:val="78BF3420"/>
    <w:rsid w:val="78C10072"/>
    <w:rsid w:val="78C55892"/>
    <w:rsid w:val="78CA7DC1"/>
    <w:rsid w:val="78EE6B97"/>
    <w:rsid w:val="790C0F9C"/>
    <w:rsid w:val="793979B4"/>
    <w:rsid w:val="794669D3"/>
    <w:rsid w:val="794C7D62"/>
    <w:rsid w:val="79E61F64"/>
    <w:rsid w:val="79E9735F"/>
    <w:rsid w:val="79FFE9CE"/>
    <w:rsid w:val="7A177D2A"/>
    <w:rsid w:val="7A193EA0"/>
    <w:rsid w:val="7A392094"/>
    <w:rsid w:val="7A523156"/>
    <w:rsid w:val="7A5371D8"/>
    <w:rsid w:val="7A65732D"/>
    <w:rsid w:val="7A7272A2"/>
    <w:rsid w:val="7A777060"/>
    <w:rsid w:val="7A7DFB0D"/>
    <w:rsid w:val="7A804167"/>
    <w:rsid w:val="7A861229"/>
    <w:rsid w:val="7AAD2A82"/>
    <w:rsid w:val="7AB43E11"/>
    <w:rsid w:val="7ABD0F17"/>
    <w:rsid w:val="7AD24D3F"/>
    <w:rsid w:val="7AEC35AA"/>
    <w:rsid w:val="7AFC2853"/>
    <w:rsid w:val="7B18614D"/>
    <w:rsid w:val="7B2A08C8"/>
    <w:rsid w:val="7B364826"/>
    <w:rsid w:val="7B445194"/>
    <w:rsid w:val="7B4C246F"/>
    <w:rsid w:val="7B713AB0"/>
    <w:rsid w:val="7B98103C"/>
    <w:rsid w:val="7BB120FE"/>
    <w:rsid w:val="7BCA5E02"/>
    <w:rsid w:val="7BD81D81"/>
    <w:rsid w:val="7BDE41BE"/>
    <w:rsid w:val="7C142DB9"/>
    <w:rsid w:val="7C345209"/>
    <w:rsid w:val="7C556F2D"/>
    <w:rsid w:val="7C605515"/>
    <w:rsid w:val="7C776EA4"/>
    <w:rsid w:val="7C7D2DBE"/>
    <w:rsid w:val="7C8906FD"/>
    <w:rsid w:val="7C8A4E29"/>
    <w:rsid w:val="7C9A0DE4"/>
    <w:rsid w:val="7CB41EA6"/>
    <w:rsid w:val="7CB4634A"/>
    <w:rsid w:val="7CBB67ED"/>
    <w:rsid w:val="7CBE74F1"/>
    <w:rsid w:val="7CCD48CC"/>
    <w:rsid w:val="7CD36E45"/>
    <w:rsid w:val="7CE704CD"/>
    <w:rsid w:val="7D014CCD"/>
    <w:rsid w:val="7D0F187B"/>
    <w:rsid w:val="7D1C786F"/>
    <w:rsid w:val="7D244AFE"/>
    <w:rsid w:val="7D24527D"/>
    <w:rsid w:val="7D4A280A"/>
    <w:rsid w:val="7D4C4BA9"/>
    <w:rsid w:val="7D570103"/>
    <w:rsid w:val="7D5F62B6"/>
    <w:rsid w:val="7D6A07B6"/>
    <w:rsid w:val="7D7D2BE0"/>
    <w:rsid w:val="7D8201F6"/>
    <w:rsid w:val="7D9134F5"/>
    <w:rsid w:val="7DC97BD3"/>
    <w:rsid w:val="7DCC321F"/>
    <w:rsid w:val="7DF06CD1"/>
    <w:rsid w:val="7DF3226B"/>
    <w:rsid w:val="7E0155BF"/>
    <w:rsid w:val="7E165AAB"/>
    <w:rsid w:val="7E2B43EA"/>
    <w:rsid w:val="7E2D0162"/>
    <w:rsid w:val="7E2F56CD"/>
    <w:rsid w:val="7E5202D3"/>
    <w:rsid w:val="7E9F0934"/>
    <w:rsid w:val="7F022716"/>
    <w:rsid w:val="7F1A5AAF"/>
    <w:rsid w:val="7F3350EE"/>
    <w:rsid w:val="7F4BBAC1"/>
    <w:rsid w:val="7F647B2B"/>
    <w:rsid w:val="7F78365F"/>
    <w:rsid w:val="7F7A20E4"/>
    <w:rsid w:val="7F89761A"/>
    <w:rsid w:val="7F935151"/>
    <w:rsid w:val="7FF30F37"/>
    <w:rsid w:val="7FF62632"/>
    <w:rsid w:val="7FF94C54"/>
    <w:rsid w:val="7FFF2BEA"/>
    <w:rsid w:val="7FFF5B2E"/>
    <w:rsid w:val="7FFFD8F4"/>
    <w:rsid w:val="8FBFFF6A"/>
    <w:rsid w:val="8FDEEFCD"/>
    <w:rsid w:val="8FFDACC8"/>
    <w:rsid w:val="96C4A4C9"/>
    <w:rsid w:val="AB7F0C03"/>
    <w:rsid w:val="AF3F9A10"/>
    <w:rsid w:val="BCFFB9C6"/>
    <w:rsid w:val="BFBF2567"/>
    <w:rsid w:val="BFFF88DA"/>
    <w:rsid w:val="D5FFD6CB"/>
    <w:rsid w:val="D97E399E"/>
    <w:rsid w:val="DAF672A4"/>
    <w:rsid w:val="DDFF51EA"/>
    <w:rsid w:val="DE5F0873"/>
    <w:rsid w:val="DE7A1BB0"/>
    <w:rsid w:val="DFFF8334"/>
    <w:rsid w:val="F1BF1CF4"/>
    <w:rsid w:val="F2BC3FE9"/>
    <w:rsid w:val="FB7E0FA2"/>
    <w:rsid w:val="FB7E78C5"/>
    <w:rsid w:val="FBC74DD8"/>
    <w:rsid w:val="FCEF1928"/>
    <w:rsid w:val="FDB3EB4A"/>
    <w:rsid w:val="FDF3423C"/>
    <w:rsid w:val="FDFF7BF7"/>
    <w:rsid w:val="FFB783C1"/>
    <w:rsid w:val="FFBB8FAA"/>
    <w:rsid w:val="FFBB9457"/>
    <w:rsid w:val="FFCEC102"/>
    <w:rsid w:val="FFFF5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4"/>
      <w:lang w:val="en-US" w:eastAsia="zh-CN" w:bidi="ar-SA"/>
    </w:rPr>
  </w:style>
  <w:style w:type="paragraph" w:styleId="2">
    <w:name w:val="heading 1"/>
    <w:basedOn w:val="1"/>
    <w:next w:val="1"/>
    <w:link w:val="22"/>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44"/>
    <w:qFormat/>
    <w:uiPriority w:val="0"/>
    <w:pPr>
      <w:jc w:val="left"/>
    </w:pPr>
  </w:style>
  <w:style w:type="paragraph" w:styleId="5">
    <w:name w:val="Body Text Indent"/>
    <w:basedOn w:val="1"/>
    <w:qFormat/>
    <w:uiPriority w:val="0"/>
    <w:pPr>
      <w:widowControl/>
      <w:spacing w:before="100" w:beforeAutospacing="1" w:after="100" w:afterAutospacing="1"/>
      <w:jc w:val="left"/>
    </w:pPr>
    <w:rPr>
      <w:rFonts w:ascii="宋体" w:hAnsi="宋体" w:eastAsia="宋体"/>
      <w:kern w:val="0"/>
      <w:sz w:val="24"/>
    </w:rPr>
  </w:style>
  <w:style w:type="paragraph" w:styleId="6">
    <w:name w:val="Date"/>
    <w:basedOn w:val="1"/>
    <w:next w:val="1"/>
    <w:link w:val="23"/>
    <w:qFormat/>
    <w:uiPriority w:val="0"/>
    <w:pPr>
      <w:ind w:left="100" w:leftChars="2500"/>
    </w:pPr>
  </w:style>
  <w:style w:type="paragraph" w:styleId="7">
    <w:name w:val="Body Text Indent 2"/>
    <w:basedOn w:val="1"/>
    <w:qFormat/>
    <w:uiPriority w:val="99"/>
    <w:pPr>
      <w:spacing w:line="480" w:lineRule="exact"/>
      <w:ind w:firstLine="480" w:firstLineChars="200"/>
    </w:pPr>
  </w:style>
  <w:style w:type="paragraph" w:styleId="8">
    <w:name w:val="Balloon Text"/>
    <w:basedOn w:val="1"/>
    <w:semiHidden/>
    <w:qFormat/>
    <w:uiPriority w:val="0"/>
    <w:rPr>
      <w:sz w:val="18"/>
      <w:szCs w:val="18"/>
    </w:rPr>
  </w:style>
  <w:style w:type="paragraph" w:styleId="9">
    <w:name w:val="footer"/>
    <w:basedOn w:val="1"/>
    <w:link w:val="24"/>
    <w:qFormat/>
    <w:uiPriority w:val="99"/>
    <w:pPr>
      <w:tabs>
        <w:tab w:val="center" w:pos="4153"/>
        <w:tab w:val="right" w:pos="8306"/>
      </w:tabs>
      <w:snapToGrid w:val="0"/>
      <w:jc w:val="left"/>
    </w:pPr>
    <w:rPr>
      <w:rFonts w:eastAsia="宋体"/>
      <w:sz w:val="18"/>
      <w:szCs w:val="18"/>
    </w:rPr>
  </w:style>
  <w:style w:type="paragraph" w:styleId="10">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paragraph" w:styleId="13">
    <w:name w:val="Normal (Web)"/>
    <w:basedOn w:val="1"/>
    <w:qFormat/>
    <w:uiPriority w:val="0"/>
    <w:pPr>
      <w:jc w:val="left"/>
    </w:pPr>
    <w:rPr>
      <w:kern w:val="0"/>
      <w:sz w:val="24"/>
    </w:rPr>
  </w:style>
  <w:style w:type="paragraph" w:styleId="14">
    <w:name w:val="annotation subject"/>
    <w:basedOn w:val="4"/>
    <w:next w:val="4"/>
    <w:link w:val="45"/>
    <w:qFormat/>
    <w:uiPriority w:val="0"/>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qFormat/>
    <w:uiPriority w:val="0"/>
  </w:style>
  <w:style w:type="character" w:styleId="19">
    <w:name w:val="FollowedHyperlink"/>
    <w:qFormat/>
    <w:uiPriority w:val="0"/>
    <w:rPr>
      <w:color w:val="333333"/>
      <w:u w:val="none"/>
    </w:rPr>
  </w:style>
  <w:style w:type="character" w:styleId="20">
    <w:name w:val="Hyperlink"/>
    <w:qFormat/>
    <w:uiPriority w:val="99"/>
    <w:rPr>
      <w:color w:val="333333"/>
      <w:u w:val="none"/>
    </w:rPr>
  </w:style>
  <w:style w:type="character" w:styleId="21">
    <w:name w:val="annotation reference"/>
    <w:basedOn w:val="17"/>
    <w:qFormat/>
    <w:uiPriority w:val="0"/>
    <w:rPr>
      <w:sz w:val="21"/>
      <w:szCs w:val="21"/>
    </w:rPr>
  </w:style>
  <w:style w:type="character" w:customStyle="1" w:styleId="22">
    <w:name w:val="标题 1 字符"/>
    <w:link w:val="2"/>
    <w:qFormat/>
    <w:uiPriority w:val="0"/>
    <w:rPr>
      <w:rFonts w:eastAsia="仿宋_GB2312"/>
      <w:b/>
      <w:bCs/>
      <w:kern w:val="44"/>
      <w:sz w:val="44"/>
      <w:szCs w:val="44"/>
    </w:rPr>
  </w:style>
  <w:style w:type="character" w:customStyle="1" w:styleId="23">
    <w:name w:val="日期 字符"/>
    <w:link w:val="6"/>
    <w:qFormat/>
    <w:uiPriority w:val="0"/>
    <w:rPr>
      <w:rFonts w:eastAsia="仿宋_GB2312"/>
      <w:kern w:val="2"/>
      <w:sz w:val="30"/>
      <w:szCs w:val="24"/>
    </w:rPr>
  </w:style>
  <w:style w:type="character" w:customStyle="1" w:styleId="24">
    <w:name w:val="页脚 字符"/>
    <w:link w:val="9"/>
    <w:qFormat/>
    <w:locked/>
    <w:uiPriority w:val="99"/>
    <w:rPr>
      <w:rFonts w:eastAsia="宋体"/>
      <w:kern w:val="2"/>
      <w:sz w:val="18"/>
      <w:szCs w:val="18"/>
      <w:lang w:val="en-US" w:eastAsia="zh-CN" w:bidi="ar-SA"/>
    </w:rPr>
  </w:style>
  <w:style w:type="character" w:customStyle="1" w:styleId="25">
    <w:name w:val="页眉 字符"/>
    <w:link w:val="10"/>
    <w:qFormat/>
    <w:uiPriority w:val="0"/>
    <w:rPr>
      <w:rFonts w:eastAsia="仿宋_GB2312"/>
      <w:kern w:val="2"/>
      <w:sz w:val="18"/>
      <w:szCs w:val="18"/>
    </w:rPr>
  </w:style>
  <w:style w:type="paragraph" w:styleId="26">
    <w:name w:val="List Paragraph"/>
    <w:basedOn w:val="1"/>
    <w:qFormat/>
    <w:uiPriority w:val="34"/>
    <w:pPr>
      <w:widowControl/>
      <w:ind w:firstLine="420" w:firstLineChars="200"/>
      <w:jc w:val="left"/>
    </w:pPr>
    <w:rPr>
      <w:rFonts w:ascii="宋体" w:hAnsi="宋体" w:eastAsia="宋体" w:cs="宋体"/>
      <w:kern w:val="0"/>
      <w:sz w:val="24"/>
    </w:rPr>
  </w:style>
  <w:style w:type="paragraph" w:customStyle="1" w:styleId="27">
    <w:name w:val="_Style 24"/>
    <w:unhideWhenUsed/>
    <w:qFormat/>
    <w:uiPriority w:val="99"/>
    <w:rPr>
      <w:rFonts w:ascii="Times New Roman" w:hAnsi="Times New Roman" w:eastAsia="仿宋_GB2312" w:cs="Times New Roman"/>
      <w:kern w:val="2"/>
      <w:sz w:val="30"/>
      <w:szCs w:val="24"/>
      <w:lang w:val="en-US" w:eastAsia="zh-CN" w:bidi="ar-SA"/>
    </w:rPr>
  </w:style>
  <w:style w:type="paragraph" w:customStyle="1" w:styleId="28">
    <w:name w:val="闻政页码"/>
    <w:qFormat/>
    <w:uiPriority w:val="6"/>
    <w:pPr>
      <w:jc w:val="center"/>
    </w:pPr>
    <w:rPr>
      <w:rFonts w:ascii="Times New Roman" w:hAnsi="Times New Roman" w:eastAsia="Times New Roman" w:cs="Times New Roman"/>
      <w:sz w:val="21"/>
      <w:szCs w:val="28"/>
      <w:lang w:val="en-US" w:eastAsia="zh-CN" w:bidi="ar-SA"/>
    </w:rPr>
  </w:style>
  <w:style w:type="character" w:customStyle="1" w:styleId="29">
    <w:name w:val="font31"/>
    <w:qFormat/>
    <w:uiPriority w:val="0"/>
    <w:rPr>
      <w:rFonts w:hint="eastAsia" w:ascii="仿宋_GB2312" w:eastAsia="仿宋_GB2312"/>
      <w:color w:val="000000"/>
      <w:sz w:val="22"/>
      <w:szCs w:val="22"/>
      <w:u w:val="none"/>
    </w:rPr>
  </w:style>
  <w:style w:type="character" w:customStyle="1" w:styleId="30">
    <w:name w:val="font01"/>
    <w:qFormat/>
    <w:uiPriority w:val="0"/>
    <w:rPr>
      <w:rFonts w:hint="default" w:ascii="Arial" w:hAnsi="Arial" w:cs="Arial"/>
      <w:color w:val="000000"/>
      <w:sz w:val="22"/>
      <w:szCs w:val="22"/>
      <w:u w:val="none"/>
    </w:rPr>
  </w:style>
  <w:style w:type="character" w:customStyle="1" w:styleId="31">
    <w:name w:val="font11"/>
    <w:qFormat/>
    <w:uiPriority w:val="0"/>
    <w:rPr>
      <w:rFonts w:hint="eastAsia" w:ascii="仿宋_GB2312" w:eastAsia="仿宋_GB2312" w:cs="仿宋_GB2312"/>
      <w:color w:val="000000"/>
      <w:sz w:val="24"/>
      <w:szCs w:val="24"/>
      <w:u w:val="none"/>
    </w:rPr>
  </w:style>
  <w:style w:type="paragraph" w:customStyle="1" w:styleId="32">
    <w:name w:val="WPSOffice手动目录 1"/>
    <w:qFormat/>
    <w:uiPriority w:val="0"/>
    <w:rPr>
      <w:rFonts w:ascii="Times New Roman" w:hAnsi="Times New Roman" w:eastAsia="宋体" w:cs="Times New Roman"/>
      <w:lang w:val="en-US" w:eastAsia="zh-CN" w:bidi="ar-SA"/>
    </w:rPr>
  </w:style>
  <w:style w:type="paragraph" w:customStyle="1" w:styleId="3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4">
    <w:name w:val="Table Text"/>
    <w:basedOn w:val="1"/>
    <w:semiHidden/>
    <w:qFormat/>
    <w:uiPriority w:val="0"/>
    <w:rPr>
      <w:rFonts w:ascii="宋体" w:hAnsi="宋体" w:eastAsia="宋体" w:cs="宋体"/>
      <w:sz w:val="29"/>
      <w:szCs w:val="29"/>
      <w:lang w:eastAsia="en-US"/>
    </w:rPr>
  </w:style>
  <w:style w:type="table" w:customStyle="1" w:styleId="35">
    <w:name w:val="Table Normal"/>
    <w:unhideWhenUsed/>
    <w:qFormat/>
    <w:uiPriority w:val="0"/>
    <w:tblPr>
      <w:tblCellMar>
        <w:top w:w="0" w:type="dxa"/>
        <w:left w:w="0" w:type="dxa"/>
        <w:bottom w:w="0" w:type="dxa"/>
        <w:right w:w="0" w:type="dxa"/>
      </w:tblCellMar>
    </w:tblPr>
  </w:style>
  <w:style w:type="character" w:customStyle="1" w:styleId="36">
    <w:name w:val="font81"/>
    <w:basedOn w:val="17"/>
    <w:qFormat/>
    <w:uiPriority w:val="0"/>
    <w:rPr>
      <w:rFonts w:hint="eastAsia" w:ascii="宋体" w:hAnsi="宋体" w:eastAsia="宋体" w:cs="宋体"/>
      <w:b/>
      <w:bCs/>
      <w:color w:val="000000"/>
      <w:sz w:val="20"/>
      <w:szCs w:val="20"/>
      <w:u w:val="none"/>
    </w:rPr>
  </w:style>
  <w:style w:type="character" w:customStyle="1" w:styleId="37">
    <w:name w:val="font91"/>
    <w:basedOn w:val="17"/>
    <w:qFormat/>
    <w:uiPriority w:val="0"/>
    <w:rPr>
      <w:rFonts w:hint="eastAsia" w:ascii="宋体" w:hAnsi="宋体" w:eastAsia="宋体" w:cs="宋体"/>
      <w:color w:val="000000"/>
      <w:sz w:val="20"/>
      <w:szCs w:val="20"/>
      <w:u w:val="none"/>
    </w:rPr>
  </w:style>
  <w:style w:type="character" w:customStyle="1" w:styleId="38">
    <w:name w:val="font101"/>
    <w:basedOn w:val="17"/>
    <w:qFormat/>
    <w:uiPriority w:val="0"/>
    <w:rPr>
      <w:rFonts w:hint="eastAsia" w:ascii="宋体" w:hAnsi="宋体" w:eastAsia="宋体" w:cs="宋体"/>
      <w:color w:val="000000"/>
      <w:sz w:val="20"/>
      <w:szCs w:val="20"/>
      <w:u w:val="none"/>
    </w:rPr>
  </w:style>
  <w:style w:type="character" w:customStyle="1" w:styleId="39">
    <w:name w:val="font21"/>
    <w:basedOn w:val="17"/>
    <w:qFormat/>
    <w:uiPriority w:val="0"/>
    <w:rPr>
      <w:rFonts w:hint="eastAsia" w:ascii="仿宋_GB2312" w:eastAsia="仿宋_GB2312" w:cs="仿宋_GB2312"/>
      <w:color w:val="000000"/>
      <w:sz w:val="24"/>
      <w:szCs w:val="24"/>
      <w:u w:val="none"/>
    </w:rPr>
  </w:style>
  <w:style w:type="character" w:customStyle="1" w:styleId="40">
    <w:name w:val="font41"/>
    <w:basedOn w:val="17"/>
    <w:qFormat/>
    <w:uiPriority w:val="0"/>
    <w:rPr>
      <w:rFonts w:hint="eastAsia" w:ascii="仿宋_GB2312" w:eastAsia="仿宋_GB2312" w:cs="仿宋_GB2312"/>
      <w:color w:val="000000"/>
      <w:sz w:val="22"/>
      <w:szCs w:val="22"/>
      <w:u w:val="none"/>
    </w:rPr>
  </w:style>
  <w:style w:type="character" w:customStyle="1" w:styleId="41">
    <w:name w:val="font51"/>
    <w:basedOn w:val="17"/>
    <w:qFormat/>
    <w:uiPriority w:val="0"/>
    <w:rPr>
      <w:rFonts w:hint="eastAsia" w:ascii="仿宋_GB2312" w:eastAsia="仿宋_GB2312" w:cs="仿宋_GB2312"/>
      <w:color w:val="000000"/>
      <w:sz w:val="22"/>
      <w:szCs w:val="22"/>
      <w:u w:val="none"/>
    </w:rPr>
  </w:style>
  <w:style w:type="character" w:customStyle="1" w:styleId="42">
    <w:name w:val="font61"/>
    <w:basedOn w:val="17"/>
    <w:qFormat/>
    <w:uiPriority w:val="0"/>
    <w:rPr>
      <w:rFonts w:hint="eastAsia" w:ascii="仿宋_GB2312" w:eastAsia="仿宋_GB2312" w:cs="仿宋_GB2312"/>
      <w:color w:val="FF0000"/>
      <w:sz w:val="22"/>
      <w:szCs w:val="22"/>
      <w:u w:val="none"/>
    </w:rPr>
  </w:style>
  <w:style w:type="paragraph" w:customStyle="1" w:styleId="43">
    <w:name w:val="修订1"/>
    <w:hidden/>
    <w:unhideWhenUsed/>
    <w:qFormat/>
    <w:uiPriority w:val="99"/>
    <w:rPr>
      <w:rFonts w:ascii="Times New Roman" w:hAnsi="Times New Roman" w:eastAsia="仿宋_GB2312" w:cs="Times New Roman"/>
      <w:kern w:val="2"/>
      <w:sz w:val="30"/>
      <w:szCs w:val="24"/>
      <w:lang w:val="en-US" w:eastAsia="zh-CN" w:bidi="ar-SA"/>
    </w:rPr>
  </w:style>
  <w:style w:type="character" w:customStyle="1" w:styleId="44">
    <w:name w:val="批注文字 字符"/>
    <w:basedOn w:val="17"/>
    <w:link w:val="4"/>
    <w:qFormat/>
    <w:uiPriority w:val="0"/>
    <w:rPr>
      <w:rFonts w:eastAsia="仿宋_GB2312"/>
      <w:kern w:val="2"/>
      <w:sz w:val="30"/>
      <w:szCs w:val="24"/>
    </w:rPr>
  </w:style>
  <w:style w:type="character" w:customStyle="1" w:styleId="45">
    <w:name w:val="批注主题 字符"/>
    <w:basedOn w:val="44"/>
    <w:link w:val="14"/>
    <w:qFormat/>
    <w:uiPriority w:val="0"/>
    <w:rPr>
      <w:rFonts w:eastAsia="仿宋_GB2312"/>
      <w:b/>
      <w:bCs/>
      <w:kern w:val="2"/>
      <w:sz w:val="30"/>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43</Pages>
  <Words>3812</Words>
  <Characters>21730</Characters>
  <Lines>181</Lines>
  <Paragraphs>50</Paragraphs>
  <TotalTime>41</TotalTime>
  <ScaleCrop>false</ScaleCrop>
  <LinksUpToDate>false</LinksUpToDate>
  <CharactersWithSpaces>25492</CharactersWithSpaces>
  <Application>WPS Office_11.8.2.1114_F1E327BC-269C-435d-A152-05C5408002CA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2024-01-04T23:22:00Z</dcterms:created>
  <dc:creator>lhn</dc:creator>
  <cp:lastModifiedBy>suma</cp:lastModifiedBy>
  <cp:lastPrinted>2025-04-21T16:49:00Z</cp:lastPrinted>
  <dcterms:modified xsi:type="dcterms:W3CDTF">2026-07-22T14:07:34Z</dcterms:modified>
  <dc:title>财政支出绩效评价管理暂行办法</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2052-11.8.2.1114</vt:lpwstr>
  </property>
  <property fmtid="{D5CDD505-2E9C-101B-9397-08002B2CF9AE}" pid="3" name="ICV">
    <vt:lpwstr>CBF3E7F14C094237AD36301434643B04_13</vt:lpwstr>
  </property>
  <property fmtid="{D5CDD505-2E9C-101B-9397-08002B2CF9AE}" pid="4" name="KSOTemplateDocerSaveRecord">
    <vt:lpwstr>eyJoZGlkIjoiN2YzNjBkOTgyNWQ1YTMxYzM3MzMwNWFiODNmOWIzYWMiLCJ1c2VySWQiOiI0NTQ1MDgyNTEifQ==</vt:lpwstr>
  </property>
</Properties>
</file>