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left="879" w:hanging="879"/>
        <w:jc w:val="center"/>
        <w:rPr>
          <w:rFonts w:hint="eastAsia" w:ascii="宋体" w:hAnsi="宋体" w:eastAsia="宋体" w:cs="Arial"/>
          <w:b/>
          <w:bCs/>
          <w:sz w:val="36"/>
          <w:szCs w:val="36"/>
        </w:rPr>
      </w:pPr>
      <w:bookmarkStart w:id="0" w:name="_Toc28984"/>
      <w:r>
        <w:rPr>
          <w:rFonts w:hint="eastAsia" w:ascii="宋体" w:hAnsi="宋体" w:eastAsia="宋体" w:cs="Arial"/>
          <w:b/>
          <w:bCs/>
          <w:sz w:val="36"/>
          <w:szCs w:val="36"/>
        </w:rPr>
        <w:t>青岛市政策性农业保险承保机构</w:t>
      </w:r>
    </w:p>
    <w:p>
      <w:pPr>
        <w:spacing w:line="520" w:lineRule="exact"/>
        <w:ind w:left="879" w:hanging="879"/>
        <w:jc w:val="center"/>
        <w:rPr>
          <w:rFonts w:hint="eastAsia" w:ascii="宋体" w:hAnsi="宋体" w:eastAsia="宋体" w:cs="Arial"/>
          <w:b/>
          <w:bCs/>
          <w:sz w:val="36"/>
          <w:szCs w:val="36"/>
        </w:rPr>
      </w:pPr>
      <w:r>
        <w:rPr>
          <w:rFonts w:hint="eastAsia" w:ascii="宋体" w:hAnsi="宋体" w:eastAsia="宋体" w:cs="Arial"/>
          <w:b/>
          <w:bCs/>
          <w:sz w:val="36"/>
          <w:szCs w:val="36"/>
        </w:rPr>
        <w:t>中路财产保险股份有限公司青岛分公司</w:t>
      </w:r>
    </w:p>
    <w:bookmarkEnd w:id="0"/>
    <w:p>
      <w:pPr>
        <w:spacing w:line="520" w:lineRule="exact"/>
        <w:ind w:left="879" w:hanging="879"/>
        <w:jc w:val="center"/>
        <w:rPr>
          <w:rFonts w:ascii="Arial" w:hAnsi="Arial" w:eastAsia="宋体" w:cs="Arial"/>
          <w:b/>
          <w:bCs/>
          <w:sz w:val="36"/>
          <w:szCs w:val="36"/>
        </w:rPr>
      </w:pPr>
      <w:r>
        <w:rPr>
          <w:rFonts w:hint="eastAsia" w:ascii="宋体" w:hAnsi="宋体" w:eastAsia="宋体" w:cs="Arial"/>
          <w:b/>
          <w:bCs/>
          <w:sz w:val="36"/>
          <w:szCs w:val="36"/>
        </w:rPr>
        <w:t>2025年度</w:t>
      </w:r>
      <w:r>
        <w:rPr>
          <w:rFonts w:ascii="宋体" w:hAnsi="宋体" w:eastAsia="宋体" w:cs="Arial"/>
          <w:b/>
          <w:bCs/>
          <w:sz w:val="36"/>
          <w:szCs w:val="36"/>
        </w:rPr>
        <w:t>绩效</w:t>
      </w:r>
      <w:r>
        <w:rPr>
          <w:rFonts w:hint="eastAsia" w:ascii="宋体" w:hAnsi="宋体" w:eastAsia="宋体" w:cs="Arial"/>
          <w:b/>
          <w:bCs/>
          <w:sz w:val="36"/>
          <w:szCs w:val="36"/>
        </w:rPr>
        <w:t>评价报告</w:t>
      </w:r>
    </w:p>
    <w:p>
      <w:pPr>
        <w:jc w:val="center"/>
        <w:rPr>
          <w:rFonts w:ascii="仿宋_GB2312"/>
          <w:szCs w:val="30"/>
        </w:rPr>
      </w:pPr>
    </w:p>
    <w:p>
      <w:pPr>
        <w:spacing w:line="560" w:lineRule="exact"/>
        <w:ind w:firstLine="560" w:firstLineChars="200"/>
        <w:outlineLvl w:val="0"/>
        <w:rPr>
          <w:rFonts w:hint="eastAsia" w:ascii="黑体" w:hAnsi="黑体" w:eastAsia="黑体"/>
          <w:sz w:val="28"/>
          <w:szCs w:val="28"/>
        </w:rPr>
      </w:pPr>
      <w:bookmarkStart w:id="1" w:name="_Toc232071881"/>
      <w:r>
        <w:rPr>
          <w:rFonts w:hint="eastAsia" w:ascii="黑体" w:hAnsi="黑体" w:eastAsia="黑体"/>
          <w:sz w:val="28"/>
          <w:szCs w:val="28"/>
        </w:rPr>
        <w:t>一、基本情况</w:t>
      </w:r>
      <w:bookmarkEnd w:id="1"/>
    </w:p>
    <w:p>
      <w:pPr>
        <w:spacing w:line="560" w:lineRule="exact"/>
        <w:ind w:firstLine="560" w:firstLineChars="200"/>
        <w:outlineLvl w:val="1"/>
        <w:rPr>
          <w:rFonts w:ascii="楷体_GB2312" w:eastAsia="楷体_GB2312"/>
          <w:sz w:val="28"/>
          <w:szCs w:val="28"/>
        </w:rPr>
      </w:pPr>
      <w:bookmarkStart w:id="2" w:name="_Toc232071882"/>
      <w:r>
        <w:rPr>
          <w:rFonts w:hint="eastAsia" w:ascii="楷体_GB2312" w:eastAsia="楷体_GB2312"/>
          <w:sz w:val="28"/>
          <w:szCs w:val="28"/>
        </w:rPr>
        <w:t>（一）项目概况</w:t>
      </w:r>
      <w:bookmarkEnd w:id="2"/>
    </w:p>
    <w:p>
      <w:pPr>
        <w:spacing w:line="560" w:lineRule="exact"/>
        <w:ind w:firstLine="560" w:firstLineChars="200"/>
        <w:rPr>
          <w:rFonts w:hint="eastAsia" w:ascii="仿宋_GB2312" w:hAnsi="宋体"/>
          <w:bCs/>
          <w:sz w:val="28"/>
          <w:szCs w:val="28"/>
        </w:rPr>
      </w:pPr>
      <w:bookmarkStart w:id="3" w:name="_Hlk108445660"/>
      <w:r>
        <w:rPr>
          <w:rFonts w:hint="eastAsia" w:ascii="仿宋_GB2312" w:hAnsi="宋体"/>
          <w:bCs/>
          <w:sz w:val="28"/>
          <w:szCs w:val="28"/>
        </w:rPr>
        <w:t>1.项目背景、主要内容及实施情况</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农业作为国民经济的根基，却因自身的弱质性，长期面临着自然灾害频发、市场价格波动大等风险，传统的农业生产方式使得农民个体抗风险能力极为薄弱，影响农业生产的稳定性与农民生活的保障性。同时农民收入水平有限，对农业保险的购买力较弱，市场机制在农业保险领域存在明显缺陷。在此背景下，我国政策性农业保险应运而生，旨在通过政府引导与政策支持，提升农业抗风险能力，稳定农业生产和农民收入。</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为进一步优化农业保险市场布局，促进农业保险高质量发展，根据《财政部 农业农村部关于加强政策性农业保险承保机构遴选管理工作的通知》（财金〔2020〕128号）、《青岛市财政局 青岛市发展和改革委员会 青岛市农业农村局等6部门印发关于加快青岛市农业保险高质量发展的实施意见的通知》（青财金〔2022〕12号）、《青岛市财政局等7部门</w:t>
      </w:r>
      <w:r>
        <w:rPr>
          <w:rFonts w:hint="eastAsia" w:ascii="仿宋_GB2312" w:hAnsi="宋体"/>
          <w:bCs/>
          <w:color w:val="000000"/>
          <w:sz w:val="28"/>
          <w:szCs w:val="28"/>
        </w:rPr>
        <w:t>关于印发&lt;</w:t>
      </w:r>
      <w:r>
        <w:rPr>
          <w:rFonts w:hint="eastAsia" w:ascii="仿宋_GB2312" w:hAnsi="宋体"/>
          <w:bCs/>
          <w:sz w:val="28"/>
          <w:szCs w:val="28"/>
        </w:rPr>
        <w:t>青岛市政策性农业保险承保机构遴选工作方案</w:t>
      </w:r>
      <w:r>
        <w:rPr>
          <w:rFonts w:hint="eastAsia" w:ascii="仿宋_GB2312" w:hAnsi="宋体"/>
          <w:bCs/>
          <w:color w:val="000000"/>
          <w:sz w:val="28"/>
          <w:szCs w:val="28"/>
        </w:rPr>
        <w:t>&gt;的通知》</w:t>
      </w:r>
      <w:r>
        <w:rPr>
          <w:rFonts w:hint="eastAsia" w:ascii="仿宋_GB2312" w:hAnsi="宋体"/>
          <w:bCs/>
          <w:sz w:val="28"/>
          <w:szCs w:val="28"/>
        </w:rPr>
        <w:t>（青财金〔2024〕2号），结合我市农业保险工作实际，2024年1月通过竞争性评审方式对青岛市政策性农业保险承保机构进行遴选。</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遴选确定的中标承保机构包括中国太平洋财产保险股份有限公司青岛分公司（以下简称“太平洋财险”）、中国人民财产保险股份有限公司青岛分公司（以下简称“</w:t>
      </w:r>
      <w:r>
        <w:rPr>
          <w:rFonts w:hint="eastAsia" w:ascii="仿宋_GB2312" w:hAnsi="楷体" w:cs="楷体"/>
          <w:spacing w:val="1"/>
          <w:sz w:val="28"/>
          <w:szCs w:val="28"/>
        </w:rPr>
        <w:t>人保财险”）</w:t>
      </w:r>
      <w:r>
        <w:rPr>
          <w:rFonts w:hint="eastAsia" w:ascii="仿宋_GB2312" w:hAnsi="宋体"/>
          <w:bCs/>
          <w:sz w:val="28"/>
          <w:szCs w:val="28"/>
        </w:rPr>
        <w:t>、中国平安财产保险股份有限公司青岛分公司（以下简称“平安财险”）、中华联合财产保险股份有限公司青岛分公司（以下简称“中华联合财险”）、太平财产保险有限公司青岛分公司（以下简称“太平财险”）、中路财产保险股份有限公司青岛分公司（以下简称“中路财险”）、中国人寿财产保险股份有限公司青岛市分公司（以下简称“人寿财险”）、中国大地财产保险股份有限公司青岛分公司（以下简称“大地财险”）、紫金财产保险股份有限公司青岛分公司（以下简称“紫金财险”）和泰山财产保险股份有限公司青岛分公司（以下简称“泰山财险”）十家单位。本次评价主要针对中路财险</w:t>
      </w:r>
      <w:r>
        <w:rPr>
          <w:rFonts w:hint="eastAsia" w:ascii="仿宋_GB2312"/>
          <w:sz w:val="28"/>
          <w:szCs w:val="28"/>
        </w:rPr>
        <w:t>2025年1月1日至2025年12月31日</w:t>
      </w:r>
      <w:r>
        <w:rPr>
          <w:rFonts w:hint="eastAsia" w:ascii="仿宋_GB2312" w:hAnsi="宋体"/>
          <w:bCs/>
          <w:sz w:val="28"/>
          <w:szCs w:val="28"/>
        </w:rPr>
        <w:t>政策性农业保险业务开展评价。</w:t>
      </w:r>
    </w:p>
    <w:p>
      <w:pPr>
        <w:spacing w:line="560" w:lineRule="exact"/>
        <w:ind w:firstLine="560" w:firstLineChars="200"/>
        <w:rPr>
          <w:rFonts w:hint="eastAsia" w:ascii="仿宋_GB2312" w:hAnsi="宋体"/>
          <w:bCs/>
          <w:sz w:val="28"/>
          <w:szCs w:val="28"/>
        </w:rPr>
      </w:pPr>
      <w:r>
        <w:rPr>
          <w:rFonts w:ascii="仿宋_GB2312" w:hAnsi="宋体"/>
          <w:bCs/>
          <w:sz w:val="28"/>
          <w:szCs w:val="28"/>
        </w:rPr>
        <w:t>2.服务内容</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（1）险种范围</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中路财险对青岛市行政区域内各级政府开展并提供保费补贴的种植、养殖、林业、渔业、目标价格保险等农业保险险种(涵盖中央和市级补贴险种)提供保险服务。涉及小麦完全成本保险、玉米完全成本保险、玉米收入保险等14个险种，不包括承保机构自主开展的各类涉农商业性保险品种。</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（2）服务地点及区域</w:t>
      </w:r>
    </w:p>
    <w:tbl>
      <w:tblPr>
        <w:tblStyle w:val="15"/>
        <w:tblW w:w="5257" w:type="pct"/>
        <w:jc w:val="center"/>
        <w:tblLayout w:type="autofit"/>
        <w:tblCellMar>
          <w:top w:w="0" w:type="dxa"/>
          <w:left w:w="108" w:type="dxa"/>
          <w:bottom w:w="0" w:type="dxa"/>
          <w:right w:w="108" w:type="dxa"/>
        </w:tblCellMar>
      </w:tblPr>
      <w:tblGrid>
        <w:gridCol w:w="908"/>
        <w:gridCol w:w="3544"/>
        <w:gridCol w:w="5074"/>
      </w:tblGrid>
      <w:tr>
        <w:tblPrEx>
          <w:tblCellMar>
            <w:top w:w="0" w:type="dxa"/>
            <w:left w:w="108" w:type="dxa"/>
            <w:bottom w:w="0" w:type="dxa"/>
            <w:right w:w="108" w:type="dxa"/>
          </w:tblCellMar>
        </w:tblPrEx>
        <w:trPr>
          <w:jc w:val="center"/>
        </w:trPr>
        <w:tc>
          <w:tcPr>
            <w:tcW w:w="477" w:type="pct"/>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区(市)</w:t>
            </w:r>
          </w:p>
        </w:tc>
        <w:tc>
          <w:tcPr>
            <w:tcW w:w="1860" w:type="pct"/>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承保区域</w:t>
            </w:r>
          </w:p>
        </w:tc>
        <w:tc>
          <w:tcPr>
            <w:tcW w:w="2663" w:type="pct"/>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承保险种</w:t>
            </w:r>
          </w:p>
        </w:tc>
      </w:tr>
      <w:tr>
        <w:tblPrEx>
          <w:tblCellMar>
            <w:top w:w="0" w:type="dxa"/>
            <w:left w:w="108" w:type="dxa"/>
            <w:bottom w:w="0" w:type="dxa"/>
            <w:right w:w="108" w:type="dxa"/>
          </w:tblCellMar>
        </w:tblPrEx>
        <w:trPr>
          <w:jc w:val="center"/>
        </w:trPr>
        <w:tc>
          <w:tcPr>
            <w:tcW w:w="47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胶州市</w:t>
            </w:r>
          </w:p>
        </w:tc>
        <w:tc>
          <w:tcPr>
            <w:tcW w:w="18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九龙街道、李哥庄镇、里岔镇、洋河镇</w:t>
            </w:r>
          </w:p>
        </w:tc>
        <w:tc>
          <w:tcPr>
            <w:tcW w:w="2663"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中央及市级政策性农业保险(不含政策性森林保险及2023年市级试点险种)</w:t>
            </w:r>
          </w:p>
        </w:tc>
      </w:tr>
      <w:tr>
        <w:tblPrEx>
          <w:tblCellMar>
            <w:top w:w="0" w:type="dxa"/>
            <w:left w:w="108" w:type="dxa"/>
            <w:bottom w:w="0" w:type="dxa"/>
            <w:right w:w="108" w:type="dxa"/>
          </w:tblCellMar>
        </w:tblPrEx>
        <w:trPr>
          <w:jc w:val="center"/>
        </w:trPr>
        <w:tc>
          <w:tcPr>
            <w:tcW w:w="47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莱西市</w:t>
            </w:r>
          </w:p>
        </w:tc>
        <w:tc>
          <w:tcPr>
            <w:tcW w:w="18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姜山镇、院上镇、望城街道</w:t>
            </w:r>
          </w:p>
        </w:tc>
        <w:tc>
          <w:tcPr>
            <w:tcW w:w="2663" w:type="pct"/>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r>
      <w:tr>
        <w:trPr>
          <w:jc w:val="center"/>
        </w:trPr>
        <w:tc>
          <w:tcPr>
            <w:tcW w:w="47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即墨区</w:t>
            </w:r>
          </w:p>
        </w:tc>
        <w:tc>
          <w:tcPr>
            <w:tcW w:w="18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全域</w:t>
            </w:r>
          </w:p>
        </w:tc>
        <w:tc>
          <w:tcPr>
            <w:tcW w:w="2663" w:type="pct"/>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市级试点特色险种</w:t>
            </w:r>
          </w:p>
        </w:tc>
      </w:tr>
      <w:tr>
        <w:tblPrEx>
          <w:tblCellMar>
            <w:top w:w="0" w:type="dxa"/>
            <w:left w:w="108" w:type="dxa"/>
            <w:bottom w:w="0" w:type="dxa"/>
            <w:right w:w="108" w:type="dxa"/>
          </w:tblCellMar>
        </w:tblPrEx>
        <w:trPr>
          <w:jc w:val="center"/>
        </w:trPr>
        <w:tc>
          <w:tcPr>
            <w:tcW w:w="47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崂山区</w:t>
            </w:r>
          </w:p>
        </w:tc>
        <w:tc>
          <w:tcPr>
            <w:tcW w:w="18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北宅街道、王哥庄街道、沙子口街道、中韩街道</w:t>
            </w:r>
          </w:p>
        </w:tc>
        <w:tc>
          <w:tcPr>
            <w:tcW w:w="2663" w:type="pct"/>
            <w:vMerge w:val="continue"/>
            <w:tcBorders>
              <w:left w:val="single" w:color="000000" w:sz="4" w:space="0"/>
              <w:right w:val="single" w:color="000000" w:sz="4" w:space="0"/>
            </w:tcBorders>
            <w:vAlign w:val="center"/>
          </w:tcPr>
          <w:p>
            <w:pPr>
              <w:jc w:val="center"/>
              <w:textAlignment w:val="center"/>
              <w:rPr>
                <w:rFonts w:hint="eastAsia" w:ascii="仿宋_GB2312" w:hAnsi="等线" w:cs="仿宋_GB2312"/>
                <w:color w:val="000000"/>
                <w:sz w:val="21"/>
                <w:szCs w:val="21"/>
              </w:rPr>
            </w:pPr>
          </w:p>
        </w:tc>
      </w:tr>
      <w:tr>
        <w:tblPrEx>
          <w:tblCellMar>
            <w:top w:w="0" w:type="dxa"/>
            <w:left w:w="108" w:type="dxa"/>
            <w:bottom w:w="0" w:type="dxa"/>
            <w:right w:w="108" w:type="dxa"/>
          </w:tblCellMar>
        </w:tblPrEx>
        <w:trPr>
          <w:jc w:val="center"/>
        </w:trPr>
        <w:tc>
          <w:tcPr>
            <w:tcW w:w="477"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城阳区</w:t>
            </w:r>
          </w:p>
        </w:tc>
        <w:tc>
          <w:tcPr>
            <w:tcW w:w="1860"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夏庄街道、惜福镇街道、棘洪滩街道</w:t>
            </w:r>
          </w:p>
        </w:tc>
        <w:tc>
          <w:tcPr>
            <w:tcW w:w="2663" w:type="pct"/>
            <w:vMerge w:val="continue"/>
            <w:tcBorders>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p>
        </w:tc>
      </w:tr>
    </w:tbl>
    <w:p>
      <w:pPr>
        <w:spacing w:line="560" w:lineRule="exact"/>
        <w:ind w:firstLine="560" w:firstLineChars="200"/>
        <w:rPr>
          <w:rFonts w:hint="eastAsia" w:ascii="仿宋_GB2312" w:hAnsi="宋体"/>
          <w:bCs/>
          <w:sz w:val="28"/>
          <w:szCs w:val="28"/>
        </w:rPr>
      </w:pPr>
      <w:r>
        <w:rPr>
          <w:rFonts w:hint="eastAsia" w:ascii="仿宋_GB2312" w:hAnsi="宋体"/>
          <w:bCs/>
          <w:sz w:val="28"/>
          <w:szCs w:val="28"/>
        </w:rPr>
        <w:t>（3）服务期限</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中路财险在遴选区域内承保服务期限自2024年3月1日起至2027年12月31日止。</w:t>
      </w:r>
    </w:p>
    <w:p>
      <w:pPr>
        <w:spacing w:line="560" w:lineRule="exact"/>
        <w:ind w:left="600"/>
        <w:rPr>
          <w:rFonts w:hint="eastAsia" w:ascii="仿宋_GB2312" w:hAnsi="宋体"/>
          <w:bCs/>
          <w:sz w:val="28"/>
          <w:szCs w:val="28"/>
        </w:rPr>
      </w:pPr>
      <w:r>
        <w:rPr>
          <w:rFonts w:hint="eastAsia" w:ascii="仿宋_GB2312" w:hAnsi="宋体"/>
          <w:bCs/>
          <w:sz w:val="28"/>
          <w:szCs w:val="28"/>
        </w:rPr>
        <w:t>3.中路财险承保基本情况</w:t>
      </w:r>
    </w:p>
    <w:p>
      <w:pPr>
        <w:spacing w:line="560" w:lineRule="exact"/>
        <w:ind w:firstLine="560"/>
        <w:rPr>
          <w:rFonts w:hint="eastAsia" w:ascii="仿宋_GB2312" w:hAnsi="宋体"/>
          <w:bCs/>
          <w:sz w:val="28"/>
          <w:szCs w:val="28"/>
        </w:rPr>
      </w:pPr>
      <w:r>
        <w:rPr>
          <w:rFonts w:hint="eastAsia" w:ascii="仿宋_GB2312" w:hAnsi="宋体"/>
          <w:bCs/>
          <w:sz w:val="28"/>
          <w:szCs w:val="28"/>
        </w:rPr>
        <w:t>中路财险在5个区（市）设立了4家支公司和一个营业部，根据本次服务内容评价的险种范围共涉及4家支公司和一个营业部（负责崂山区业务），涉及政策性农业保险险种及对应区（市）支公司列示如下（“</w:t>
      </w:r>
      <w:r>
        <w:rPr>
          <w:rFonts w:ascii="Arial" w:hAnsi="Arial" w:cs="Arial"/>
          <w:bCs/>
          <w:sz w:val="28"/>
          <w:szCs w:val="28"/>
        </w:rPr>
        <w:t>√</w:t>
      </w:r>
      <w:r>
        <w:rPr>
          <w:rFonts w:hint="eastAsia" w:ascii="仿宋_GB2312" w:hAnsi="宋体"/>
          <w:bCs/>
          <w:sz w:val="28"/>
          <w:szCs w:val="28"/>
        </w:rPr>
        <w:t>”表示评价期间即2025年1月1日至2025年12月31日期间有承保业务）：</w:t>
      </w:r>
    </w:p>
    <w:tbl>
      <w:tblPr>
        <w:tblStyle w:val="15"/>
        <w:tblW w:w="0" w:type="auto"/>
        <w:jc w:val="center"/>
        <w:tblLayout w:type="autofit"/>
        <w:tblCellMar>
          <w:top w:w="0" w:type="dxa"/>
          <w:left w:w="108" w:type="dxa"/>
          <w:bottom w:w="0" w:type="dxa"/>
          <w:right w:w="108" w:type="dxa"/>
        </w:tblCellMar>
      </w:tblPr>
      <w:tblGrid>
        <w:gridCol w:w="622"/>
        <w:gridCol w:w="2689"/>
        <w:gridCol w:w="1180"/>
        <w:gridCol w:w="1180"/>
        <w:gridCol w:w="1180"/>
        <w:gridCol w:w="1180"/>
        <w:gridCol w:w="1029"/>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险种</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莱西支公司</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胶州支公司</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城阳支公司</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即墨支公司</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营业部</w:t>
            </w:r>
            <w:r>
              <w:rPr>
                <w:rFonts w:hint="eastAsia" w:ascii="仿宋_GB2312" w:hAnsi="仿宋_GB2312" w:cs="仿宋_GB2312"/>
                <w:b/>
                <w:bCs/>
                <w:color w:val="000000"/>
                <w:kern w:val="0"/>
                <w:sz w:val="22"/>
                <w:szCs w:val="22"/>
                <w:lang w:bidi="ar"/>
              </w:rPr>
              <w:br w:type="textWrapping"/>
            </w:r>
            <w:r>
              <w:rPr>
                <w:rFonts w:hint="eastAsia" w:ascii="仿宋_GB2312" w:hAnsi="仿宋_GB2312" w:cs="仿宋_GB2312"/>
                <w:b/>
                <w:bCs/>
                <w:color w:val="000000"/>
                <w:kern w:val="0"/>
                <w:sz w:val="22"/>
                <w:szCs w:val="22"/>
                <w:lang w:bidi="ar"/>
              </w:rPr>
              <w:t>（崂山）</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小麦完全成本保险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玉米完全成本保险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玉米收入保险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大豆完全成本保险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大豆种植收入保险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马铃薯种植保险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育肥猪养殖保险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能繁母猪养殖保险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9</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奶牛养殖保险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日光温室大棚及棚内作物保险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11</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大、中拱棚及棚内作物保险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12</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果树气象指数保险</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肉牛收入保险</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生鲜牛乳收入保险</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r>
    </w:tbl>
    <w:p>
      <w:pPr>
        <w:spacing w:line="560" w:lineRule="exact"/>
        <w:ind w:firstLine="560"/>
        <w:rPr>
          <w:rFonts w:hint="eastAsia" w:ascii="仿宋_GB2312" w:hAnsi="宋体"/>
          <w:bCs/>
          <w:sz w:val="28"/>
          <w:szCs w:val="28"/>
        </w:rPr>
      </w:pPr>
      <w:r>
        <w:rPr>
          <w:rFonts w:hint="eastAsia" w:ascii="仿宋_GB2312" w:hAnsi="宋体"/>
          <w:bCs/>
          <w:sz w:val="28"/>
          <w:szCs w:val="28"/>
        </w:rPr>
        <w:t>上述险种1-11项为市级政策性农业保险，12-14项为市级试点特色险种。对应的实施方案如下：1-11项根据《</w:t>
      </w:r>
      <w:r>
        <w:rPr>
          <w:rFonts w:hint="eastAsia" w:ascii="仿宋_GB2312" w:hAnsi="宋体"/>
          <w:bCs/>
          <w:color w:val="000000"/>
          <w:sz w:val="28"/>
          <w:szCs w:val="28"/>
        </w:rPr>
        <w:t>关于印发&lt;</w:t>
      </w:r>
      <w:r>
        <w:rPr>
          <w:rFonts w:hint="eastAsia" w:ascii="仿宋_GB2312" w:hAnsi="宋体"/>
          <w:bCs/>
          <w:sz w:val="28"/>
          <w:szCs w:val="28"/>
        </w:rPr>
        <w:t>青岛市政策性农业保险实施方案（2024—2026年）</w:t>
      </w:r>
      <w:r>
        <w:rPr>
          <w:rFonts w:hint="eastAsia" w:ascii="仿宋_GB2312" w:hAnsi="宋体"/>
          <w:bCs/>
          <w:color w:val="000000"/>
          <w:sz w:val="28"/>
          <w:szCs w:val="28"/>
        </w:rPr>
        <w:t>&gt;的通知》</w:t>
      </w:r>
      <w:r>
        <w:rPr>
          <w:rFonts w:hint="eastAsia" w:ascii="仿宋_GB2312" w:hAnsi="宋体"/>
          <w:bCs/>
          <w:sz w:val="28"/>
          <w:szCs w:val="28"/>
        </w:rPr>
        <w:t>（青财金〔2024〕14号）、</w:t>
      </w:r>
      <w:bookmarkStart w:id="4" w:name="_Hlk230701629"/>
      <w:r>
        <w:rPr>
          <w:rFonts w:hint="eastAsia" w:ascii="仿宋_GB2312" w:hAnsi="宋体"/>
          <w:bCs/>
          <w:sz w:val="28"/>
          <w:szCs w:val="28"/>
        </w:rPr>
        <w:t>《关于在我市实施大豆完全成本保险和种植</w:t>
      </w:r>
      <w:r>
        <w:rPr>
          <w:rFonts w:hint="eastAsia" w:ascii="仿宋_GB2312" w:hAnsi="宋体"/>
          <w:bCs/>
          <w:color w:val="000000"/>
          <w:sz w:val="28"/>
          <w:szCs w:val="28"/>
        </w:rPr>
        <w:t>收人</w:t>
      </w:r>
      <w:r>
        <w:rPr>
          <w:rFonts w:hint="eastAsia" w:ascii="仿宋_GB2312" w:hAnsi="宋体"/>
          <w:bCs/>
          <w:sz w:val="28"/>
          <w:szCs w:val="28"/>
        </w:rPr>
        <w:t>保险的通知》（青财金〔2025〕8号）</w:t>
      </w:r>
      <w:bookmarkEnd w:id="4"/>
      <w:r>
        <w:rPr>
          <w:rFonts w:hint="eastAsia" w:ascii="仿宋_GB2312" w:hAnsi="宋体"/>
          <w:bCs/>
          <w:sz w:val="28"/>
          <w:szCs w:val="28"/>
        </w:rPr>
        <w:t>12-14项根据《</w:t>
      </w:r>
      <w:r>
        <w:rPr>
          <w:rFonts w:hint="eastAsia" w:ascii="仿宋_GB2312" w:hAnsi="宋体"/>
          <w:bCs/>
          <w:color w:val="000000"/>
          <w:sz w:val="28"/>
          <w:szCs w:val="28"/>
        </w:rPr>
        <w:t>关于印发&lt;</w:t>
      </w:r>
      <w:r>
        <w:rPr>
          <w:rFonts w:hint="eastAsia" w:ascii="仿宋_GB2312" w:hAnsi="宋体"/>
          <w:bCs/>
          <w:sz w:val="28"/>
          <w:szCs w:val="28"/>
        </w:rPr>
        <w:t>青岛市级特色农产品保险试点实施方案（2025—2026年）</w:t>
      </w:r>
      <w:r>
        <w:rPr>
          <w:rFonts w:hint="eastAsia" w:ascii="仿宋_GB2312" w:hAnsi="宋体"/>
          <w:bCs/>
          <w:color w:val="000000"/>
          <w:sz w:val="28"/>
          <w:szCs w:val="28"/>
        </w:rPr>
        <w:t>&gt;的通知》</w:t>
      </w:r>
      <w:r>
        <w:rPr>
          <w:rFonts w:hint="eastAsia" w:ascii="仿宋_GB2312" w:hAnsi="宋体"/>
          <w:bCs/>
          <w:sz w:val="28"/>
          <w:szCs w:val="28"/>
        </w:rPr>
        <w:t>（青财金〔2025〕24号）执行。</w:t>
      </w:r>
    </w:p>
    <w:p>
      <w:pPr>
        <w:spacing w:line="560" w:lineRule="exact"/>
        <w:ind w:firstLine="560"/>
        <w:rPr>
          <w:rFonts w:hint="eastAsia" w:ascii="仿宋_GB2312" w:hAnsi="宋体"/>
          <w:bCs/>
          <w:sz w:val="28"/>
          <w:szCs w:val="28"/>
        </w:rPr>
      </w:pPr>
      <w:r>
        <w:rPr>
          <w:rFonts w:hint="eastAsia" w:ascii="仿宋_GB2312" w:hAnsi="宋体"/>
          <w:bCs/>
          <w:sz w:val="28"/>
          <w:szCs w:val="28"/>
        </w:rPr>
        <w:t>政策规定的保额、保费、费率、农户保费收缴比例列示如下：</w:t>
      </w:r>
    </w:p>
    <w:bookmarkEnd w:id="3"/>
    <w:tbl>
      <w:tblPr>
        <w:tblStyle w:val="15"/>
        <w:tblW w:w="0" w:type="auto"/>
        <w:jc w:val="center"/>
        <w:tblLayout w:type="fixed"/>
        <w:tblCellMar>
          <w:top w:w="0" w:type="dxa"/>
          <w:left w:w="108" w:type="dxa"/>
          <w:bottom w:w="0" w:type="dxa"/>
          <w:right w:w="108" w:type="dxa"/>
        </w:tblCellMar>
      </w:tblPr>
      <w:tblGrid>
        <w:gridCol w:w="688"/>
        <w:gridCol w:w="1438"/>
        <w:gridCol w:w="2054"/>
        <w:gridCol w:w="1601"/>
        <w:gridCol w:w="2041"/>
        <w:gridCol w:w="1238"/>
      </w:tblGrid>
      <w:tr>
        <w:tblPrEx>
          <w:tblCellMar>
            <w:top w:w="0" w:type="dxa"/>
            <w:left w:w="108" w:type="dxa"/>
            <w:bottom w:w="0" w:type="dxa"/>
            <w:right w:w="108" w:type="dxa"/>
          </w:tblCellMar>
        </w:tblPrEx>
        <w:trPr>
          <w:tblHeader/>
          <w:jc w:val="center"/>
        </w:trPr>
        <w:tc>
          <w:tcPr>
            <w:tcW w:w="688"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序号</w:t>
            </w:r>
          </w:p>
        </w:tc>
        <w:tc>
          <w:tcPr>
            <w:tcW w:w="3492" w:type="dxa"/>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险种</w:t>
            </w:r>
          </w:p>
        </w:tc>
        <w:tc>
          <w:tcPr>
            <w:tcW w:w="1601"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保额(元/亩、头、只)</w:t>
            </w:r>
          </w:p>
        </w:tc>
        <w:tc>
          <w:tcPr>
            <w:tcW w:w="2041"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标准费率、保费(元/亩、头、只)</w:t>
            </w:r>
          </w:p>
        </w:tc>
        <w:tc>
          <w:tcPr>
            <w:tcW w:w="1238" w:type="dxa"/>
            <w:tcBorders>
              <w:top w:val="single" w:color="000000" w:sz="4" w:space="0"/>
              <w:left w:val="single" w:color="000000" w:sz="4" w:space="0"/>
              <w:bottom w:val="single" w:color="000000" w:sz="4" w:space="0"/>
              <w:right w:val="single" w:color="000000" w:sz="4" w:space="0"/>
            </w:tcBorders>
            <w:shd w:val="clear" w:color="auto" w:fill="BFBFBF"/>
            <w:noWrap/>
            <w:vAlign w:val="center"/>
          </w:tcPr>
          <w:p>
            <w:pPr>
              <w:widowControl/>
              <w:jc w:val="center"/>
              <w:textAlignment w:val="center"/>
              <w:rPr>
                <w:rFonts w:hint="eastAsia" w:ascii="仿宋_GB2312" w:hAnsi="仿宋_GB2312" w:cs="仿宋_GB2312"/>
                <w:b/>
                <w:bCs/>
                <w:color w:val="000000"/>
                <w:sz w:val="22"/>
                <w:szCs w:val="22"/>
              </w:rPr>
            </w:pPr>
            <w:r>
              <w:rPr>
                <w:rFonts w:hint="eastAsia" w:ascii="仿宋_GB2312" w:hAnsi="仿宋_GB2312" w:cs="仿宋_GB2312"/>
                <w:b/>
                <w:bCs/>
                <w:color w:val="000000"/>
                <w:kern w:val="0"/>
                <w:sz w:val="22"/>
                <w:szCs w:val="22"/>
                <w:lang w:bidi="ar"/>
              </w:rPr>
              <w:t>农户自缴比例</w:t>
            </w:r>
          </w:p>
        </w:tc>
      </w:tr>
      <w:tr>
        <w:tblPrEx>
          <w:tblCellMar>
            <w:top w:w="0" w:type="dxa"/>
            <w:left w:w="108" w:type="dxa"/>
            <w:bottom w:w="0" w:type="dxa"/>
            <w:right w:w="108" w:type="dxa"/>
          </w:tblCellMar>
        </w:tblPrEx>
        <w:trPr>
          <w:jc w:val="center"/>
        </w:trPr>
        <w:tc>
          <w:tcPr>
            <w:tcW w:w="68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w:t>
            </w:r>
          </w:p>
        </w:tc>
        <w:tc>
          <w:tcPr>
            <w:tcW w:w="14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小麦完全成本保险</w:t>
            </w:r>
          </w:p>
        </w:tc>
        <w:tc>
          <w:tcPr>
            <w:tcW w:w="20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风险等级低</w:t>
            </w:r>
          </w:p>
        </w:tc>
        <w:tc>
          <w:tcPr>
            <w:tcW w:w="160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30</w:t>
            </w:r>
          </w:p>
        </w:tc>
        <w:tc>
          <w:tcPr>
            <w:tcW w:w="123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风险等级高</w:t>
            </w:r>
          </w:p>
        </w:tc>
        <w:tc>
          <w:tcPr>
            <w:tcW w:w="1601"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34</w:t>
            </w:r>
          </w:p>
        </w:tc>
        <w:tc>
          <w:tcPr>
            <w:tcW w:w="123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r>
      <w:tr>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w:t>
            </w:r>
          </w:p>
        </w:tc>
        <w:tc>
          <w:tcPr>
            <w:tcW w:w="349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玉米完全成本保险</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950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40/42</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r>
      <w:tr>
        <w:tblPrEx>
          <w:tblCellMar>
            <w:top w:w="0" w:type="dxa"/>
            <w:left w:w="108" w:type="dxa"/>
            <w:bottom w:w="0" w:type="dxa"/>
            <w:right w:w="108" w:type="dxa"/>
          </w:tblCellMar>
        </w:tblPrEx>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w:t>
            </w:r>
          </w:p>
        </w:tc>
        <w:tc>
          <w:tcPr>
            <w:tcW w:w="3492"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55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r>
      <w:tr>
        <w:tblPrEx>
          <w:tblCellMar>
            <w:top w:w="0" w:type="dxa"/>
            <w:left w:w="108" w:type="dxa"/>
            <w:bottom w:w="0" w:type="dxa"/>
            <w:right w:w="108" w:type="dxa"/>
          </w:tblCellMar>
        </w:tblPrEx>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w:t>
            </w:r>
          </w:p>
        </w:tc>
        <w:tc>
          <w:tcPr>
            <w:tcW w:w="349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大豆完全成本保险</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700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r>
      <w:tr>
        <w:tblPrEx>
          <w:tblCellMar>
            <w:top w:w="0" w:type="dxa"/>
            <w:left w:w="108" w:type="dxa"/>
            <w:bottom w:w="0" w:type="dxa"/>
            <w:right w:w="108" w:type="dxa"/>
          </w:tblCellMar>
        </w:tblPrEx>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5</w:t>
            </w:r>
          </w:p>
        </w:tc>
        <w:tc>
          <w:tcPr>
            <w:tcW w:w="3492"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830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r>
      <w:tr>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w:t>
            </w:r>
          </w:p>
        </w:tc>
        <w:tc>
          <w:tcPr>
            <w:tcW w:w="349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马铃薯种植保险</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1200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blPrEx>
          <w:tblCellMar>
            <w:top w:w="0" w:type="dxa"/>
            <w:left w:w="108" w:type="dxa"/>
            <w:bottom w:w="0" w:type="dxa"/>
            <w:right w:w="108" w:type="dxa"/>
          </w:tblCellMar>
        </w:tblPrEx>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7</w:t>
            </w:r>
          </w:p>
        </w:tc>
        <w:tc>
          <w:tcPr>
            <w:tcW w:w="3492"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800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48</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blPrEx>
          <w:tblCellMar>
            <w:top w:w="0" w:type="dxa"/>
            <w:left w:w="108" w:type="dxa"/>
            <w:bottom w:w="0" w:type="dxa"/>
            <w:right w:w="108" w:type="dxa"/>
          </w:tblCellMar>
        </w:tblPrEx>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8</w:t>
            </w:r>
          </w:p>
        </w:tc>
        <w:tc>
          <w:tcPr>
            <w:tcW w:w="3492"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能繁母猪养殖保险</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1500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90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blPrEx>
          <w:tblCellMar>
            <w:top w:w="0" w:type="dxa"/>
            <w:left w:w="108" w:type="dxa"/>
            <w:bottom w:w="0" w:type="dxa"/>
            <w:right w:w="108" w:type="dxa"/>
          </w:tblCellMar>
        </w:tblPrEx>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9</w:t>
            </w:r>
          </w:p>
        </w:tc>
        <w:tc>
          <w:tcPr>
            <w:tcW w:w="3492"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rPr>
          <w:jc w:val="center"/>
        </w:trPr>
        <w:tc>
          <w:tcPr>
            <w:tcW w:w="68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w:t>
            </w:r>
          </w:p>
        </w:tc>
        <w:tc>
          <w:tcPr>
            <w:tcW w:w="14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日光温室大棚及棚内作物保险</w:t>
            </w: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墙体</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7500/13700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68/123</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棚架</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6500/6500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58/59</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卷帘机</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1500/2000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45/60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保温草毡</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3000/4550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69/105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塑料棚膜</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1000/1550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60/93</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棚内农作物</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3000/4200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150/210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restart"/>
            <w:tcBorders>
              <w:top w:val="single" w:color="000000" w:sz="4" w:space="0"/>
              <w:left w:val="single" w:color="000000" w:sz="4" w:space="0"/>
              <w:bottom w:val="nil"/>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11</w:t>
            </w:r>
          </w:p>
        </w:tc>
        <w:tc>
          <w:tcPr>
            <w:tcW w:w="1438" w:type="dxa"/>
            <w:vMerge w:val="restart"/>
            <w:tcBorders>
              <w:top w:val="single" w:color="000000" w:sz="4" w:space="0"/>
              <w:left w:val="single" w:color="000000" w:sz="4" w:space="0"/>
              <w:bottom w:val="nil"/>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大、中拱棚及棚内作物保险</w:t>
            </w: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钢架</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10000/16000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300/480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nil"/>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nil"/>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竹架</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6000/10000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240/400</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rPr>
          <w:jc w:val="center"/>
        </w:trPr>
        <w:tc>
          <w:tcPr>
            <w:tcW w:w="688" w:type="dxa"/>
            <w:vMerge w:val="restart"/>
            <w:tcBorders>
              <w:top w:val="single" w:color="000000" w:sz="4" w:space="0"/>
              <w:left w:val="single" w:color="000000" w:sz="4" w:space="0"/>
              <w:bottom w:val="nil"/>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12</w:t>
            </w:r>
          </w:p>
        </w:tc>
        <w:tc>
          <w:tcPr>
            <w:tcW w:w="1438" w:type="dxa"/>
            <w:vMerge w:val="restart"/>
            <w:tcBorders>
              <w:top w:val="single" w:color="000000" w:sz="4" w:space="0"/>
              <w:left w:val="single" w:color="000000" w:sz="4" w:space="0"/>
              <w:bottom w:val="nil"/>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果树气象指数保险</w:t>
            </w: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一类：苹果树、梨树</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3500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220.5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nil"/>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nil"/>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二类：桃树、杏树</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4500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283.5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nil"/>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nil"/>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三类：樱桃树</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4800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302.4</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nil"/>
              <w:right w:val="single" w:color="000000" w:sz="4" w:space="0"/>
            </w:tcBorders>
            <w:noWrap/>
            <w:vAlign w:val="center"/>
          </w:tcPr>
          <w:p>
            <w:pPr>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nil"/>
              <w:right w:val="single" w:color="000000" w:sz="4" w:space="0"/>
            </w:tcBorders>
            <w:vAlign w:val="center"/>
          </w:tcPr>
          <w:p>
            <w:pPr>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三类：蓝莓、葡萄</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5500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346.5</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40%</w:t>
            </w:r>
          </w:p>
        </w:tc>
      </w:tr>
      <w:tr>
        <w:trPr>
          <w:jc w:val="center"/>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13</w:t>
            </w:r>
          </w:p>
        </w:tc>
        <w:tc>
          <w:tcPr>
            <w:tcW w:w="349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肉牛收入保险</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7000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378</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blPrEx>
          <w:tblCellMar>
            <w:top w:w="0" w:type="dxa"/>
            <w:left w:w="108" w:type="dxa"/>
            <w:bottom w:w="0" w:type="dxa"/>
            <w:right w:w="108" w:type="dxa"/>
          </w:tblCellMar>
        </w:tblPrEx>
        <w:trPr>
          <w:jc w:val="center"/>
        </w:trPr>
        <w:tc>
          <w:tcPr>
            <w:tcW w:w="68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14</w:t>
            </w:r>
          </w:p>
        </w:tc>
        <w:tc>
          <w:tcPr>
            <w:tcW w:w="143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生鲜牛乳收入保险</w:t>
            </w: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200（不含）头以下</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2700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170.1</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0" w:lineRule="atLeast"/>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spacing w:line="20" w:lineRule="atLeast"/>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200（含）—500（不含）头</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2900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182.7</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blPrEx>
          <w:tblCellMar>
            <w:top w:w="0" w:type="dxa"/>
            <w:left w:w="108" w:type="dxa"/>
            <w:bottom w:w="0" w:type="dxa"/>
            <w:right w:w="108" w:type="dxa"/>
          </w:tblCellMar>
        </w:tblPrEx>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0" w:lineRule="atLeast"/>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spacing w:line="20" w:lineRule="atLeast"/>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500（含）—1000（不含）头</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3100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195.3</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r>
        <w:trPr>
          <w:jc w:val="center"/>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0" w:lineRule="atLeast"/>
              <w:jc w:val="center"/>
              <w:rPr>
                <w:rFonts w:hint="eastAsia" w:ascii="仿宋_GB2312" w:hAnsi="仿宋_GB2312" w:cs="仿宋_GB2312"/>
                <w:color w:val="000000"/>
                <w:sz w:val="22"/>
                <w:szCs w:val="22"/>
              </w:rPr>
            </w:pPr>
          </w:p>
        </w:tc>
        <w:tc>
          <w:tcPr>
            <w:tcW w:w="1438" w:type="dxa"/>
            <w:vMerge w:val="continue"/>
            <w:tcBorders>
              <w:top w:val="single" w:color="000000" w:sz="4" w:space="0"/>
              <w:left w:val="single" w:color="000000" w:sz="4" w:space="0"/>
              <w:bottom w:val="single" w:color="000000" w:sz="4" w:space="0"/>
              <w:right w:val="single" w:color="000000" w:sz="4" w:space="0"/>
            </w:tcBorders>
            <w:vAlign w:val="center"/>
          </w:tcPr>
          <w:p>
            <w:pPr>
              <w:spacing w:line="20" w:lineRule="atLeast"/>
              <w:jc w:val="center"/>
              <w:rPr>
                <w:rFonts w:hint="eastAsia" w:ascii="仿宋_GB2312" w:hAnsi="仿宋_GB2312" w:cs="仿宋_GB2312"/>
                <w:color w:val="000000"/>
                <w:sz w:val="22"/>
                <w:szCs w:val="22"/>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1000（含）头以上</w:t>
            </w:r>
          </w:p>
        </w:tc>
        <w:tc>
          <w:tcPr>
            <w:tcW w:w="160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3700</w:t>
            </w:r>
          </w:p>
        </w:tc>
        <w:tc>
          <w:tcPr>
            <w:tcW w:w="2041"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233.1</w:t>
            </w:r>
          </w:p>
        </w:tc>
        <w:tc>
          <w:tcPr>
            <w:tcW w:w="1238" w:type="dxa"/>
            <w:tcBorders>
              <w:top w:val="single" w:color="000000" w:sz="4" w:space="0"/>
              <w:left w:val="single" w:color="000000" w:sz="4" w:space="0"/>
              <w:bottom w:val="single" w:color="000000" w:sz="4" w:space="0"/>
              <w:right w:val="single" w:color="000000" w:sz="4" w:space="0"/>
            </w:tcBorders>
            <w:noWrap/>
            <w:vAlign w:val="center"/>
          </w:tcPr>
          <w:p>
            <w:pPr>
              <w:widowControl/>
              <w:spacing w:line="20" w:lineRule="atLeast"/>
              <w:jc w:val="center"/>
              <w:textAlignment w:val="center"/>
              <w:rPr>
                <w:rFonts w:hint="eastAsia" w:ascii="仿宋_GB2312" w:hAnsi="仿宋_GB2312" w:cs="仿宋_GB2312"/>
                <w:color w:val="000000"/>
                <w:sz w:val="22"/>
                <w:szCs w:val="22"/>
              </w:rPr>
            </w:pPr>
            <w:r>
              <w:rPr>
                <w:rFonts w:hint="eastAsia" w:ascii="仿宋_GB2312" w:hAnsi="仿宋_GB2312" w:cs="仿宋_GB2312"/>
                <w:color w:val="000000"/>
                <w:kern w:val="0"/>
                <w:sz w:val="22"/>
                <w:szCs w:val="22"/>
                <w:lang w:bidi="ar"/>
              </w:rPr>
              <w:t>20%</w:t>
            </w:r>
          </w:p>
        </w:tc>
      </w:tr>
    </w:tbl>
    <w:p>
      <w:pPr>
        <w:spacing w:line="20" w:lineRule="atLeast"/>
        <w:ind w:firstLine="422" w:firstLineChars="200"/>
        <w:rPr>
          <w:rFonts w:hint="eastAsia" w:ascii="仿宋_GB2312" w:hAnsi="宋体"/>
          <w:b/>
          <w:sz w:val="21"/>
          <w:szCs w:val="21"/>
        </w:rPr>
      </w:pPr>
      <w:r>
        <w:rPr>
          <w:rFonts w:hint="eastAsia" w:ascii="仿宋_GB2312" w:hAnsi="宋体"/>
          <w:b/>
          <w:sz w:val="21"/>
          <w:szCs w:val="21"/>
        </w:rPr>
        <w:t>注：政策性农业保险涉及农村低收入群体的自负保费由区（市）财政负担。</w:t>
      </w:r>
    </w:p>
    <w:p>
      <w:pPr>
        <w:spacing w:line="560" w:lineRule="exact"/>
        <w:ind w:firstLine="560" w:firstLineChars="200"/>
        <w:outlineLvl w:val="1"/>
        <w:rPr>
          <w:rFonts w:ascii="楷体_GB2312" w:eastAsia="楷体_GB2312"/>
          <w:sz w:val="28"/>
          <w:szCs w:val="28"/>
        </w:rPr>
      </w:pPr>
      <w:bookmarkStart w:id="5" w:name="_Toc232071883"/>
      <w:r>
        <w:rPr>
          <w:rFonts w:hint="eastAsia" w:ascii="楷体_GB2312" w:eastAsia="楷体_GB2312"/>
          <w:sz w:val="28"/>
          <w:szCs w:val="28"/>
        </w:rPr>
        <w:t>（二）项目绩效目标</w:t>
      </w:r>
      <w:bookmarkEnd w:id="5"/>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1.工作目标</w:t>
      </w:r>
    </w:p>
    <w:p>
      <w:pPr>
        <w:spacing w:line="560" w:lineRule="exact"/>
        <w:ind w:firstLine="560" w:firstLineChars="200"/>
        <w:rPr>
          <w:rFonts w:ascii="楷体_GB2312" w:eastAsia="楷体_GB2312"/>
          <w:sz w:val="28"/>
          <w:szCs w:val="28"/>
        </w:rPr>
      </w:pPr>
      <w:r>
        <w:rPr>
          <w:rFonts w:hint="eastAsia" w:ascii="仿宋_GB2312" w:hAnsi="宋体"/>
          <w:bCs/>
          <w:sz w:val="28"/>
          <w:szCs w:val="28"/>
        </w:rPr>
        <w:t>为引导和支持农户参加农业保险，中央财政主要保障关系国计民生和粮食安全的大宗农产品，重点支持农业生产环节；不断扩大农业保险覆盖面和风险保障水平，逐步建立市场化的农业生产风险防范化解机制；稳定农业生产，保障农民收入。</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2.具体指标</w:t>
      </w:r>
    </w:p>
    <w:tbl>
      <w:tblPr>
        <w:tblStyle w:val="15"/>
        <w:tblW w:w="0" w:type="auto"/>
        <w:jc w:val="center"/>
        <w:tblLayout w:type="autofit"/>
        <w:tblCellMar>
          <w:top w:w="0" w:type="dxa"/>
          <w:left w:w="108" w:type="dxa"/>
          <w:bottom w:w="0" w:type="dxa"/>
          <w:right w:w="108" w:type="dxa"/>
        </w:tblCellMar>
      </w:tblPr>
      <w:tblGrid>
        <w:gridCol w:w="675"/>
        <w:gridCol w:w="1134"/>
        <w:gridCol w:w="1134"/>
        <w:gridCol w:w="709"/>
        <w:gridCol w:w="5408"/>
      </w:tblGrid>
      <w:tr>
        <w:tblPrEx>
          <w:tblCellMar>
            <w:top w:w="0" w:type="dxa"/>
            <w:left w:w="108" w:type="dxa"/>
            <w:bottom w:w="0" w:type="dxa"/>
            <w:right w:w="108" w:type="dxa"/>
          </w:tblCellMar>
        </w:tblPrEx>
        <w:trPr>
          <w:tblHeader/>
          <w:jc w:val="center"/>
        </w:trPr>
        <w:tc>
          <w:tcPr>
            <w:tcW w:w="675"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1134"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709"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5408"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评价内容</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业务管理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（20）</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制度建设</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建立科学规范、合理完善的农业保险制度体系，包括：业务管理制度、费用管理制度、其他管理制度三方面。</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内控管理</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具备完善的内控管理体系，每年对下辖三分之一以上的区市级经办机构开展检查，组织保险业务及管理人员合规培训不少于2次。</w:t>
            </w:r>
          </w:p>
        </w:tc>
      </w:tr>
      <w:tr>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3</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组织架构</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承保机构市级分公司有专门的农业保险管理部门，并配备5名以上农业、保险等相关专业人员。具有独立完善的农业保险信息系统，并与青岛市农业保险监管平台对接通畅。</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4</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会计核算</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承保机构保险费用收支等财务管理制度执行是否规范；会计核算是否做到单独建账、分险种核算。</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5</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承保部署</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1.承保工作安排科学合理，年初拟定详细的承保方案。2.每年召开乡、村两级专（兼）职人员业务布置会议。</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6</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服务水平</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（47）</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赔付率</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承保机构不得惜赔，做到应赔尽赔。</w:t>
            </w:r>
          </w:p>
        </w:tc>
      </w:tr>
      <w:tr>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7</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承保任务      </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承保机构按照财政部门和业务主管部门下达的品种、规模进行承保，按时按量完成承保工作。</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8</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理赔规范      </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承保机构按照保险监管部门有关规定，规范开展查勘、定损、理赔等工作。</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理赔时效</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承保机构着力提升理赔质量和效率，切实提升农民获得感。</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减少灾害损失</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抽取一定数量不同受灾程度农户为样本，以样本农户保险赔款与成本损失之比，反映受灾农户成本损失补偿情况。损失补偿率=农户保险赔款金额/生产成本损失*100%。</w:t>
            </w:r>
          </w:p>
        </w:tc>
      </w:tr>
      <w:tr>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农户受益度</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试点地区农业保险保费补贴使农户受益的程度。</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案件处理率</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承保机构大力提高案件处理率，不得拖延处理时间。</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13</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综合费用率</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承保机构切实加强成本管理，提升业务效率。</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14</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（18分）</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规范展业承保</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承保机构是否执行“见费出单”制度，是否做到先收费、后出单。</w:t>
            </w:r>
          </w:p>
        </w:tc>
      </w:tr>
      <w:tr>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15</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信息公示</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承保情况与理赔结果公示。</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16</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保单完整、准确性</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承保机构规范管理保单档案，准确填写投保信息、费率等信息。</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17</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风险管控</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（5）</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风险管理</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通过购买再保险等方式适当分担风险，按规定提取、缴存和使用大灾风险准备金。</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18</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满意度</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（10）</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政策知晓率</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随机抽取一定比例农户，调查其对农业保险政策的知晓度。</w:t>
            </w:r>
          </w:p>
        </w:tc>
      </w:tr>
      <w:tr>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满意率</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随机抽取一定比例农户，调查其对农业保险服务是否满意。</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20</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加减分</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加分项</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在青岛开展的农业保险获得市级及以上奖励或表彰；入选典型案例等情况的。</w:t>
            </w:r>
          </w:p>
        </w:tc>
      </w:tr>
      <w:tr>
        <w:tblPrEx>
          <w:tblCellMar>
            <w:top w:w="0" w:type="dxa"/>
            <w:left w:w="108" w:type="dxa"/>
            <w:bottom w:w="0" w:type="dxa"/>
            <w:right w:w="108" w:type="dxa"/>
          </w:tblCellMar>
        </w:tblPrEx>
        <w:trPr>
          <w:jc w:val="center"/>
        </w:trPr>
        <w:tc>
          <w:tcPr>
            <w:tcW w:w="6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减分项</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54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出现审计问题；发生农户投诉、信访事件、负面舆情；受到保险监管部门行政处罚等情况的。</w:t>
            </w:r>
          </w:p>
        </w:tc>
      </w:tr>
    </w:tbl>
    <w:p>
      <w:pPr>
        <w:spacing w:line="560" w:lineRule="exact"/>
        <w:ind w:firstLine="560" w:firstLineChars="200"/>
        <w:outlineLvl w:val="0"/>
        <w:rPr>
          <w:rFonts w:hint="eastAsia" w:ascii="黑体" w:hAnsi="黑体" w:eastAsia="黑体"/>
          <w:sz w:val="28"/>
          <w:szCs w:val="28"/>
        </w:rPr>
      </w:pPr>
      <w:bookmarkStart w:id="6" w:name="_Toc232071884"/>
      <w:r>
        <w:rPr>
          <w:rFonts w:hint="eastAsia" w:ascii="黑体" w:hAnsi="黑体" w:eastAsia="黑体"/>
          <w:sz w:val="28"/>
          <w:szCs w:val="28"/>
        </w:rPr>
        <w:t>二、绩效评价工作开展情况</w:t>
      </w:r>
      <w:bookmarkEnd w:id="6"/>
    </w:p>
    <w:p>
      <w:pPr>
        <w:spacing w:line="560" w:lineRule="exact"/>
        <w:ind w:firstLine="560" w:firstLineChars="200"/>
        <w:outlineLvl w:val="1"/>
        <w:rPr>
          <w:rFonts w:ascii="楷体_GB2312" w:eastAsia="楷体_GB2312"/>
          <w:sz w:val="28"/>
          <w:szCs w:val="28"/>
        </w:rPr>
      </w:pPr>
      <w:bookmarkStart w:id="7" w:name="_Toc232071885"/>
      <w:r>
        <w:rPr>
          <w:rFonts w:hint="eastAsia" w:ascii="楷体_GB2312" w:eastAsia="楷体_GB2312"/>
          <w:sz w:val="28"/>
          <w:szCs w:val="28"/>
        </w:rPr>
        <w:t>（一）绩效评价目的、对象和范围</w:t>
      </w:r>
      <w:bookmarkEnd w:id="7"/>
    </w:p>
    <w:p>
      <w:pPr>
        <w:spacing w:line="560" w:lineRule="exact"/>
        <w:ind w:firstLine="560" w:firstLineChars="200"/>
        <w:rPr>
          <w:rFonts w:ascii="仿宋_GB2312"/>
          <w:sz w:val="28"/>
          <w:szCs w:val="28"/>
        </w:rPr>
      </w:pPr>
      <w:bookmarkStart w:id="8" w:name="_Toc16454"/>
      <w:r>
        <w:rPr>
          <w:rFonts w:hint="eastAsia" w:ascii="仿宋_GB2312"/>
          <w:sz w:val="28"/>
          <w:szCs w:val="28"/>
        </w:rPr>
        <w:t>通过对承保机构进行客观、公正的评价，总结</w:t>
      </w:r>
      <w:bookmarkStart w:id="9" w:name="_Hlk108452051"/>
      <w:r>
        <w:rPr>
          <w:rFonts w:hint="eastAsia" w:ascii="仿宋_GB2312"/>
          <w:sz w:val="28"/>
          <w:szCs w:val="28"/>
        </w:rPr>
        <w:t>政策性农业保险</w:t>
      </w:r>
      <w:bookmarkEnd w:id="9"/>
      <w:r>
        <w:rPr>
          <w:rFonts w:hint="eastAsia" w:ascii="仿宋_GB2312"/>
          <w:sz w:val="28"/>
          <w:szCs w:val="28"/>
        </w:rPr>
        <w:t>业务承办过程中的经验，发现问题，提出具体改进建议，进一步加强承保机构管理，提高专项资金使用效益。</w:t>
      </w:r>
      <w:bookmarkEnd w:id="8"/>
    </w:p>
    <w:p>
      <w:pPr>
        <w:spacing w:line="560" w:lineRule="exact"/>
        <w:ind w:firstLine="560" w:firstLineChars="200"/>
        <w:rPr>
          <w:rFonts w:ascii="仿宋_GB2312"/>
          <w:sz w:val="28"/>
          <w:szCs w:val="28"/>
        </w:rPr>
      </w:pPr>
      <w:bookmarkStart w:id="10" w:name="_Toc6984"/>
      <w:r>
        <w:rPr>
          <w:rFonts w:hint="eastAsia" w:ascii="仿宋_GB2312"/>
          <w:sz w:val="28"/>
          <w:szCs w:val="28"/>
        </w:rPr>
        <w:t>本次绩效评价对象为通过政府采购方式确定的青岛市政策性农业保险承保机构，</w:t>
      </w:r>
      <w:bookmarkEnd w:id="10"/>
      <w:bookmarkStart w:id="11" w:name="_Toc6979"/>
      <w:r>
        <w:rPr>
          <w:rFonts w:hint="eastAsia" w:ascii="仿宋_GB2312"/>
          <w:sz w:val="28"/>
          <w:szCs w:val="28"/>
        </w:rPr>
        <w:t>本次绩效评价期间为2025年1月1日至2025年12月31日。</w:t>
      </w:r>
      <w:bookmarkEnd w:id="11"/>
    </w:p>
    <w:p>
      <w:pPr>
        <w:spacing w:line="560" w:lineRule="exact"/>
        <w:ind w:firstLine="560" w:firstLineChars="200"/>
        <w:rPr>
          <w:rFonts w:ascii="仿宋_GB2312"/>
          <w:sz w:val="28"/>
          <w:szCs w:val="28"/>
        </w:rPr>
      </w:pPr>
      <w:bookmarkStart w:id="12" w:name="_Toc18687"/>
      <w:r>
        <w:rPr>
          <w:rFonts w:hint="eastAsia" w:ascii="仿宋_GB2312"/>
          <w:sz w:val="28"/>
          <w:szCs w:val="28"/>
        </w:rPr>
        <w:t>本绩效评价报告为中路财险单体绩效评价报告。</w:t>
      </w:r>
      <w:bookmarkEnd w:id="12"/>
    </w:p>
    <w:p>
      <w:pPr>
        <w:spacing w:line="560" w:lineRule="exact"/>
        <w:ind w:firstLine="560" w:firstLineChars="200"/>
        <w:outlineLvl w:val="1"/>
        <w:rPr>
          <w:rFonts w:ascii="楷体_GB2312" w:eastAsia="楷体_GB2312"/>
          <w:sz w:val="28"/>
          <w:szCs w:val="28"/>
        </w:rPr>
      </w:pPr>
      <w:bookmarkStart w:id="13" w:name="_Toc232071886"/>
      <w:r>
        <w:rPr>
          <w:rFonts w:hint="eastAsia" w:ascii="楷体_GB2312" w:eastAsia="楷体_GB2312"/>
          <w:sz w:val="28"/>
          <w:szCs w:val="28"/>
        </w:rPr>
        <w:t>（二）绩效评价原则、评价指标体系、评价方法、评价标准等</w:t>
      </w:r>
      <w:bookmarkEnd w:id="13"/>
    </w:p>
    <w:p>
      <w:pPr>
        <w:spacing w:line="560" w:lineRule="exact"/>
        <w:ind w:firstLine="560" w:firstLineChars="200"/>
        <w:rPr>
          <w:rFonts w:ascii="仿宋_GB2312"/>
          <w:sz w:val="28"/>
          <w:szCs w:val="28"/>
        </w:rPr>
      </w:pPr>
      <w:bookmarkStart w:id="14" w:name="_Toc22816"/>
      <w:r>
        <w:rPr>
          <w:rFonts w:hint="eastAsia" w:ascii="仿宋_GB2312"/>
          <w:sz w:val="28"/>
          <w:szCs w:val="28"/>
        </w:rPr>
        <w:t>1.绩效评价原则</w:t>
      </w:r>
      <w:bookmarkEnd w:id="14"/>
    </w:p>
    <w:p>
      <w:pPr>
        <w:spacing w:line="560" w:lineRule="exact"/>
        <w:ind w:firstLine="560" w:firstLineChars="200"/>
        <w:rPr>
          <w:rFonts w:ascii="仿宋_GB2312"/>
          <w:sz w:val="28"/>
          <w:szCs w:val="28"/>
        </w:rPr>
      </w:pPr>
      <w:bookmarkStart w:id="15" w:name="_Toc25266"/>
      <w:r>
        <w:rPr>
          <w:rFonts w:hint="eastAsia" w:ascii="仿宋_GB2312"/>
          <w:sz w:val="28"/>
          <w:szCs w:val="28"/>
        </w:rPr>
        <w:t>绩效评价原则通常包括：科学规范原则、绩效相关原则、政策相符原则、经济合理原则、依据充分原则、独立评价原则、保密原则等。</w:t>
      </w:r>
      <w:bookmarkEnd w:id="15"/>
    </w:p>
    <w:p>
      <w:pPr>
        <w:spacing w:line="560" w:lineRule="exact"/>
        <w:ind w:firstLine="560" w:firstLineChars="200"/>
        <w:rPr>
          <w:rFonts w:ascii="仿宋_GB2312"/>
          <w:sz w:val="28"/>
          <w:szCs w:val="28"/>
        </w:rPr>
      </w:pPr>
      <w:bookmarkStart w:id="16" w:name="_Toc6406"/>
      <w:r>
        <w:rPr>
          <w:rFonts w:hint="eastAsia" w:ascii="仿宋_GB2312"/>
          <w:sz w:val="28"/>
          <w:szCs w:val="28"/>
        </w:rPr>
        <w:t>2.评价指标体系</w:t>
      </w:r>
      <w:bookmarkEnd w:id="16"/>
    </w:p>
    <w:p>
      <w:pPr>
        <w:spacing w:line="560" w:lineRule="exact"/>
        <w:ind w:firstLine="560" w:firstLineChars="200"/>
        <w:rPr>
          <w:rFonts w:ascii="仿宋_GB2312"/>
          <w:sz w:val="28"/>
          <w:szCs w:val="28"/>
        </w:rPr>
      </w:pPr>
      <w:bookmarkStart w:id="17" w:name="_Toc30174"/>
      <w:r>
        <w:rPr>
          <w:rFonts w:hint="eastAsia" w:ascii="仿宋_GB2312"/>
          <w:sz w:val="28"/>
          <w:szCs w:val="28"/>
        </w:rPr>
        <w:t>为客观公正地反映本项目实施的绩效，评价指标体系是根据《中央财政农业保险保费补贴管理办法》</w:t>
      </w:r>
      <w:r>
        <w:rPr>
          <w:rFonts w:hint="eastAsia" w:ascii="仿宋_GB2312"/>
          <w:color w:val="000000"/>
          <w:sz w:val="28"/>
          <w:szCs w:val="28"/>
        </w:rPr>
        <w:t>（</w:t>
      </w:r>
      <w:r>
        <w:rPr>
          <w:rFonts w:hint="eastAsia" w:ascii="仿宋_GB2312"/>
          <w:sz w:val="28"/>
          <w:szCs w:val="28"/>
        </w:rPr>
        <w:t>财金〔2021〕130号)、《山东省财政厅等7部门关于印发山东省政策性农业保险承保机构绩效评价办法的通知》（鲁财金〔2022〕24号）、《青岛市政策性农业保险保费补贴资金管理实施细则》（青财规〔2022〕1号）等相关规定制定的，结合本项目的特点和实际情况对承保机构进行评价。指标体系由一级至三级指标及分值、评价内容、评价标准3个部分组成。</w:t>
      </w:r>
      <w:bookmarkEnd w:id="17"/>
    </w:p>
    <w:p>
      <w:pPr>
        <w:spacing w:line="560" w:lineRule="exact"/>
        <w:ind w:firstLine="560" w:firstLineChars="200"/>
        <w:rPr>
          <w:rFonts w:ascii="仿宋_GB2312"/>
          <w:sz w:val="28"/>
          <w:szCs w:val="28"/>
        </w:rPr>
      </w:pPr>
      <w:bookmarkStart w:id="18" w:name="_Toc13580"/>
      <w:r>
        <w:rPr>
          <w:rFonts w:hint="eastAsia" w:ascii="仿宋_GB2312"/>
          <w:sz w:val="28"/>
          <w:szCs w:val="28"/>
        </w:rPr>
        <w:t>本次绩效评价结果分为5个等级：</w:t>
      </w:r>
      <w:bookmarkEnd w:id="18"/>
    </w:p>
    <w:p>
      <w:pPr>
        <w:spacing w:line="560" w:lineRule="exact"/>
        <w:ind w:firstLine="560" w:firstLineChars="200"/>
        <w:rPr>
          <w:rFonts w:ascii="仿宋_GB2312"/>
          <w:sz w:val="28"/>
          <w:szCs w:val="28"/>
        </w:rPr>
      </w:pPr>
      <w:bookmarkStart w:id="19" w:name="_Toc14034"/>
      <w:r>
        <w:rPr>
          <w:rFonts w:hint="eastAsia" w:ascii="仿宋_GB2312"/>
          <w:sz w:val="28"/>
          <w:szCs w:val="28"/>
        </w:rPr>
        <w:t>得分在90分（含）以上为“优秀”；</w:t>
      </w:r>
      <w:bookmarkEnd w:id="19"/>
    </w:p>
    <w:p>
      <w:pPr>
        <w:spacing w:line="560" w:lineRule="exact"/>
        <w:ind w:firstLine="560" w:firstLineChars="200"/>
        <w:rPr>
          <w:rFonts w:ascii="仿宋_GB2312"/>
          <w:sz w:val="28"/>
          <w:szCs w:val="28"/>
        </w:rPr>
      </w:pPr>
      <w:bookmarkStart w:id="20" w:name="_Toc29247"/>
      <w:r>
        <w:rPr>
          <w:rFonts w:hint="eastAsia" w:ascii="仿宋_GB2312"/>
          <w:sz w:val="28"/>
          <w:szCs w:val="28"/>
        </w:rPr>
        <w:t>得分在80分（含）以上不足90分为“良好”；</w:t>
      </w:r>
      <w:bookmarkEnd w:id="20"/>
    </w:p>
    <w:p>
      <w:pPr>
        <w:spacing w:line="560" w:lineRule="exact"/>
        <w:ind w:firstLine="560" w:firstLineChars="200"/>
        <w:rPr>
          <w:rFonts w:ascii="仿宋_GB2312"/>
          <w:sz w:val="28"/>
          <w:szCs w:val="28"/>
        </w:rPr>
      </w:pPr>
      <w:bookmarkStart w:id="21" w:name="_Toc16807"/>
      <w:r>
        <w:rPr>
          <w:rFonts w:hint="eastAsia" w:ascii="仿宋_GB2312"/>
          <w:sz w:val="28"/>
          <w:szCs w:val="28"/>
        </w:rPr>
        <w:t>得分在70分（含）以上不足80分为“合格”；</w:t>
      </w:r>
      <w:bookmarkEnd w:id="21"/>
    </w:p>
    <w:p>
      <w:pPr>
        <w:spacing w:line="560" w:lineRule="exact"/>
        <w:ind w:firstLine="560" w:firstLineChars="200"/>
        <w:rPr>
          <w:rFonts w:ascii="仿宋_GB2312"/>
          <w:sz w:val="28"/>
          <w:szCs w:val="28"/>
        </w:rPr>
      </w:pPr>
      <w:bookmarkStart w:id="22" w:name="_Toc17042"/>
      <w:r>
        <w:rPr>
          <w:rFonts w:hint="eastAsia" w:ascii="仿宋_GB2312"/>
          <w:sz w:val="28"/>
          <w:szCs w:val="28"/>
        </w:rPr>
        <w:t>得分在60分（含）以上不足70分为“基本合格”；</w:t>
      </w:r>
      <w:bookmarkEnd w:id="22"/>
    </w:p>
    <w:p>
      <w:pPr>
        <w:spacing w:line="560" w:lineRule="exact"/>
        <w:ind w:firstLine="560" w:firstLineChars="200"/>
        <w:rPr>
          <w:rFonts w:ascii="仿宋_GB2312"/>
          <w:sz w:val="28"/>
          <w:szCs w:val="28"/>
        </w:rPr>
      </w:pPr>
      <w:bookmarkStart w:id="23" w:name="_Toc21979"/>
      <w:r>
        <w:rPr>
          <w:rFonts w:hint="eastAsia" w:ascii="仿宋_GB2312"/>
          <w:sz w:val="28"/>
          <w:szCs w:val="28"/>
        </w:rPr>
        <w:t>得分在60分以下为“不合格”。</w:t>
      </w:r>
      <w:bookmarkEnd w:id="23"/>
    </w:p>
    <w:p>
      <w:pPr>
        <w:spacing w:line="560" w:lineRule="exact"/>
        <w:ind w:firstLine="560" w:firstLineChars="200"/>
        <w:rPr>
          <w:rFonts w:ascii="仿宋_GB2312"/>
          <w:sz w:val="28"/>
          <w:szCs w:val="28"/>
        </w:rPr>
      </w:pPr>
      <w:bookmarkStart w:id="24" w:name="_Toc28562"/>
      <w:r>
        <w:rPr>
          <w:rFonts w:hint="eastAsia" w:ascii="仿宋_GB2312"/>
          <w:sz w:val="28"/>
          <w:szCs w:val="28"/>
        </w:rPr>
        <w:t>3.评价方法</w:t>
      </w:r>
      <w:bookmarkEnd w:id="24"/>
    </w:p>
    <w:p>
      <w:pPr>
        <w:spacing w:line="560" w:lineRule="exact"/>
        <w:ind w:firstLine="560" w:firstLineChars="200"/>
        <w:rPr>
          <w:rFonts w:ascii="仿宋_GB2312"/>
          <w:sz w:val="28"/>
          <w:szCs w:val="28"/>
        </w:rPr>
      </w:pPr>
      <w:bookmarkStart w:id="25" w:name="_Toc9893"/>
      <w:r>
        <w:rPr>
          <w:rFonts w:hint="eastAsia" w:ascii="仿宋_GB2312"/>
          <w:sz w:val="28"/>
          <w:szCs w:val="28"/>
        </w:rPr>
        <w:t>评价方法是指用于获取、分析绩效数据，得出评价结论的各种分析、评估和评价的方法。通常包括专家咨询法、问卷调查法、实地核查法等。</w:t>
      </w:r>
      <w:bookmarkEnd w:id="25"/>
    </w:p>
    <w:p>
      <w:pPr>
        <w:spacing w:line="560" w:lineRule="exact"/>
        <w:ind w:firstLine="560" w:firstLineChars="200"/>
        <w:rPr>
          <w:rFonts w:ascii="仿宋_GB2312"/>
          <w:sz w:val="28"/>
          <w:szCs w:val="28"/>
        </w:rPr>
      </w:pPr>
      <w:bookmarkStart w:id="26" w:name="_Toc14327"/>
      <w:r>
        <w:rPr>
          <w:rFonts w:hint="eastAsia" w:ascii="仿宋_GB2312"/>
          <w:sz w:val="28"/>
          <w:szCs w:val="28"/>
        </w:rPr>
        <w:t>4.评价标准</w:t>
      </w:r>
      <w:bookmarkEnd w:id="26"/>
    </w:p>
    <w:p>
      <w:pPr>
        <w:spacing w:line="560" w:lineRule="exact"/>
        <w:ind w:firstLine="560" w:firstLineChars="200"/>
        <w:rPr>
          <w:rFonts w:ascii="仿宋_GB2312"/>
          <w:sz w:val="28"/>
          <w:szCs w:val="28"/>
        </w:rPr>
      </w:pPr>
      <w:bookmarkStart w:id="27" w:name="_Toc22225"/>
      <w:r>
        <w:rPr>
          <w:rFonts w:hint="eastAsia" w:ascii="仿宋_GB2312"/>
          <w:sz w:val="28"/>
          <w:szCs w:val="28"/>
        </w:rPr>
        <w:t>衡量评价指标完成程度的标尺，一般包括计划标准、行业标准、历史标准等。评价标准应清晰、准确，具有可操作性，不得采用模糊表述方式。否决性核心指标评价标准，应依据法律法规、行业规范和历史数据确定，强化约束性，加大赋分权重，充分发挥否决性核心指标作用。</w:t>
      </w:r>
      <w:bookmarkEnd w:id="27"/>
    </w:p>
    <w:p>
      <w:pPr>
        <w:spacing w:line="560" w:lineRule="exact"/>
        <w:ind w:firstLine="560" w:firstLineChars="200"/>
        <w:outlineLvl w:val="1"/>
        <w:rPr>
          <w:rFonts w:ascii="楷体_GB2312" w:eastAsia="楷体_GB2312"/>
          <w:sz w:val="28"/>
          <w:szCs w:val="28"/>
        </w:rPr>
      </w:pPr>
      <w:bookmarkStart w:id="28" w:name="_Toc232071887"/>
      <w:r>
        <w:rPr>
          <w:rFonts w:hint="eastAsia" w:ascii="楷体_GB2312" w:eastAsia="楷体_GB2312"/>
          <w:sz w:val="28"/>
          <w:szCs w:val="28"/>
        </w:rPr>
        <w:t>（三）绩效评价工作过程</w:t>
      </w:r>
      <w:bookmarkEnd w:id="28"/>
    </w:p>
    <w:p>
      <w:pPr>
        <w:spacing w:line="560" w:lineRule="exact"/>
        <w:ind w:firstLine="560" w:firstLineChars="200"/>
        <w:rPr>
          <w:rFonts w:ascii="仿宋_GB2312"/>
          <w:sz w:val="28"/>
          <w:szCs w:val="28"/>
        </w:rPr>
      </w:pPr>
      <w:bookmarkStart w:id="29" w:name="_Toc23823"/>
      <w:r>
        <w:rPr>
          <w:rFonts w:hint="eastAsia" w:ascii="仿宋_GB2312"/>
          <w:sz w:val="28"/>
          <w:szCs w:val="28"/>
        </w:rPr>
        <w:t>本次绩效评价工作时间为2026年3月1日至5月31日，工作过程分为评价准备、评价实施和形成报告三个阶段。具体情况如下：</w:t>
      </w:r>
      <w:bookmarkEnd w:id="29"/>
    </w:p>
    <w:p>
      <w:pPr>
        <w:spacing w:line="560" w:lineRule="exact"/>
        <w:ind w:firstLine="560" w:firstLineChars="200"/>
        <w:rPr>
          <w:rFonts w:ascii="仿宋_GB2312"/>
          <w:sz w:val="28"/>
          <w:szCs w:val="28"/>
        </w:rPr>
      </w:pPr>
      <w:bookmarkStart w:id="30" w:name="_Toc11526"/>
      <w:r>
        <w:rPr>
          <w:rFonts w:hint="eastAsia" w:ascii="仿宋_GB2312"/>
          <w:sz w:val="28"/>
          <w:szCs w:val="28"/>
        </w:rPr>
        <w:t>1.评价准备阶段</w:t>
      </w:r>
      <w:bookmarkEnd w:id="30"/>
    </w:p>
    <w:p>
      <w:pPr>
        <w:spacing w:line="560" w:lineRule="exact"/>
        <w:ind w:firstLine="560" w:firstLineChars="200"/>
        <w:rPr>
          <w:rFonts w:ascii="仿宋_GB2312"/>
          <w:sz w:val="28"/>
          <w:szCs w:val="28"/>
        </w:rPr>
      </w:pPr>
      <w:bookmarkStart w:id="31" w:name="_Toc17581"/>
      <w:r>
        <w:rPr>
          <w:rFonts w:hint="eastAsia" w:ascii="仿宋_GB2312"/>
          <w:sz w:val="28"/>
          <w:szCs w:val="28"/>
        </w:rPr>
        <w:t>选取具备胜任能力的人员组建项目组和进行相关业务培训；制定整体计划和具体计划。</w:t>
      </w:r>
      <w:bookmarkEnd w:id="31"/>
    </w:p>
    <w:p>
      <w:pPr>
        <w:spacing w:line="560" w:lineRule="exact"/>
        <w:ind w:firstLine="560" w:firstLineChars="200"/>
        <w:rPr>
          <w:rFonts w:ascii="仿宋_GB2312"/>
          <w:sz w:val="28"/>
          <w:szCs w:val="28"/>
        </w:rPr>
      </w:pPr>
      <w:bookmarkStart w:id="32" w:name="_Toc11266"/>
      <w:r>
        <w:rPr>
          <w:rFonts w:hint="eastAsia" w:ascii="仿宋_GB2312"/>
          <w:sz w:val="28"/>
          <w:szCs w:val="28"/>
        </w:rPr>
        <w:t>2.评价实施阶段</w:t>
      </w:r>
      <w:bookmarkEnd w:id="32"/>
    </w:p>
    <w:p>
      <w:pPr>
        <w:spacing w:line="560" w:lineRule="exact"/>
        <w:ind w:firstLine="560" w:firstLineChars="200"/>
        <w:rPr>
          <w:rFonts w:ascii="仿宋_GB2312"/>
          <w:sz w:val="28"/>
          <w:szCs w:val="28"/>
        </w:rPr>
      </w:pPr>
      <w:bookmarkStart w:id="33" w:name="_Toc23635"/>
      <w:r>
        <w:rPr>
          <w:rFonts w:hint="eastAsia" w:ascii="仿宋_GB2312"/>
          <w:sz w:val="28"/>
          <w:szCs w:val="28"/>
        </w:rPr>
        <w:t>本次绩效评价</w:t>
      </w:r>
      <w:r>
        <w:rPr>
          <w:rFonts w:ascii="仿宋_GB2312"/>
          <w:sz w:val="28"/>
          <w:szCs w:val="28"/>
        </w:rPr>
        <w:t>采取</w:t>
      </w:r>
      <w:r>
        <w:rPr>
          <w:rFonts w:hint="eastAsia" w:ascii="仿宋_GB2312"/>
          <w:sz w:val="28"/>
          <w:szCs w:val="28"/>
        </w:rPr>
        <w:t>全面评价与重点评价相结合、现场评价与非现场评价相结合的方式，结合绩效评价表，梳理被评价单位提供的资料和政府部门提供的资料，核实预算的完成情况；同时审阅与绩效目标和指标相关材料；实地核实前期资料中获取信息，同时对农户进行满意度调查，最终得出评价结论，形成评价意见。</w:t>
      </w:r>
      <w:bookmarkEnd w:id="33"/>
    </w:p>
    <w:p>
      <w:pPr>
        <w:spacing w:line="560" w:lineRule="exact"/>
        <w:ind w:firstLine="560" w:firstLineChars="200"/>
        <w:rPr>
          <w:rFonts w:ascii="仿宋_GB2312"/>
          <w:sz w:val="28"/>
          <w:szCs w:val="28"/>
        </w:rPr>
      </w:pPr>
      <w:bookmarkStart w:id="34" w:name="_Toc1248"/>
      <w:r>
        <w:rPr>
          <w:rFonts w:ascii="仿宋_GB2312"/>
          <w:sz w:val="28"/>
          <w:szCs w:val="28"/>
        </w:rPr>
        <w:t>3</w:t>
      </w:r>
      <w:r>
        <w:rPr>
          <w:rFonts w:hint="eastAsia" w:ascii="仿宋_GB2312"/>
          <w:sz w:val="28"/>
          <w:szCs w:val="28"/>
        </w:rPr>
        <w:t>.撰写并报送报告阶段</w:t>
      </w:r>
      <w:bookmarkEnd w:id="34"/>
    </w:p>
    <w:p>
      <w:pPr>
        <w:spacing w:line="560" w:lineRule="exact"/>
        <w:ind w:firstLine="560" w:firstLineChars="200"/>
        <w:rPr>
          <w:rFonts w:ascii="仿宋_GB2312"/>
          <w:sz w:val="28"/>
          <w:szCs w:val="28"/>
        </w:rPr>
      </w:pPr>
      <w:bookmarkStart w:id="35" w:name="_Toc22892"/>
      <w:r>
        <w:rPr>
          <w:rFonts w:hint="eastAsia" w:ascii="仿宋_GB2312"/>
          <w:sz w:val="28"/>
          <w:szCs w:val="28"/>
        </w:rPr>
        <w:t>项目组根据现场评价意见和相关调研记录，进行评价分析并进行打分，撰写绩效评价报告；针对发现的问题，提出合理性建议和改进措施，形成整体评价报告进行提报，根据沟通反馈意见进一步完善报告。</w:t>
      </w:r>
      <w:bookmarkEnd w:id="35"/>
    </w:p>
    <w:p>
      <w:pPr>
        <w:spacing w:line="560" w:lineRule="exact"/>
        <w:ind w:firstLine="560" w:firstLineChars="200"/>
        <w:outlineLvl w:val="0"/>
        <w:rPr>
          <w:rFonts w:ascii="仿宋_GB2312"/>
          <w:sz w:val="28"/>
          <w:szCs w:val="28"/>
        </w:rPr>
      </w:pPr>
      <w:bookmarkStart w:id="36" w:name="_Toc232071888"/>
      <w:r>
        <w:rPr>
          <w:rFonts w:hint="eastAsia" w:ascii="黑体" w:hAnsi="黑体" w:eastAsia="黑体"/>
          <w:sz w:val="28"/>
          <w:szCs w:val="28"/>
        </w:rPr>
        <w:t>三、综合评价情况及评价结论</w:t>
      </w:r>
      <w:bookmarkEnd w:id="36"/>
    </w:p>
    <w:p>
      <w:pPr>
        <w:spacing w:line="560" w:lineRule="exact"/>
        <w:ind w:firstLine="560" w:firstLineChars="200"/>
        <w:outlineLvl w:val="1"/>
        <w:rPr>
          <w:rFonts w:hint="eastAsia" w:ascii="楷体_GB2312" w:hAnsi="宋体" w:eastAsia="楷体_GB2312"/>
          <w:bCs/>
          <w:sz w:val="28"/>
          <w:szCs w:val="28"/>
        </w:rPr>
      </w:pPr>
      <w:bookmarkStart w:id="37" w:name="_Toc232071889"/>
      <w:r>
        <w:rPr>
          <w:rFonts w:hint="eastAsia" w:ascii="楷体_GB2312" w:hAnsi="宋体" w:eastAsia="楷体_GB2312"/>
          <w:bCs/>
          <w:sz w:val="28"/>
          <w:szCs w:val="28"/>
        </w:rPr>
        <w:t>（一）</w:t>
      </w:r>
      <w:bookmarkStart w:id="38" w:name="_Hlk154440193"/>
      <w:r>
        <w:rPr>
          <w:rFonts w:hint="eastAsia" w:ascii="楷体_GB2312" w:hAnsi="宋体" w:eastAsia="楷体_GB2312"/>
          <w:bCs/>
          <w:sz w:val="28"/>
          <w:szCs w:val="28"/>
        </w:rPr>
        <w:t>绩效评价</w:t>
      </w:r>
      <w:bookmarkEnd w:id="38"/>
      <w:r>
        <w:rPr>
          <w:rFonts w:hint="eastAsia" w:ascii="楷体_GB2312" w:hAnsi="宋体" w:eastAsia="楷体_GB2312"/>
          <w:bCs/>
          <w:sz w:val="28"/>
          <w:szCs w:val="28"/>
        </w:rPr>
        <w:t>结论</w:t>
      </w:r>
      <w:bookmarkEnd w:id="37"/>
    </w:p>
    <w:p>
      <w:pPr>
        <w:spacing w:line="560" w:lineRule="exact"/>
        <w:ind w:firstLine="560" w:firstLineChars="200"/>
        <w:rPr>
          <w:rFonts w:ascii="仿宋_GB2312" w:cs="宋体"/>
          <w:bCs/>
          <w:sz w:val="28"/>
          <w:szCs w:val="28"/>
        </w:rPr>
      </w:pPr>
      <w:bookmarkStart w:id="39" w:name="_Toc26390"/>
      <w:r>
        <w:rPr>
          <w:rFonts w:hint="eastAsia" w:ascii="仿宋_GB2312" w:cs="宋体"/>
          <w:bCs/>
          <w:sz w:val="28"/>
          <w:szCs w:val="28"/>
        </w:rPr>
        <w:t>青岛市政策性农业保险承保机构即中路财险，绩效评价指标得分91.97分，评价等级为“优秀”。</w:t>
      </w:r>
      <w:bookmarkEnd w:id="39"/>
    </w:p>
    <w:p>
      <w:pPr>
        <w:spacing w:line="560" w:lineRule="exact"/>
        <w:ind w:firstLine="560" w:firstLineChars="200"/>
        <w:outlineLvl w:val="1"/>
        <w:rPr>
          <w:rFonts w:hint="eastAsia" w:ascii="楷体_GB2312" w:hAnsi="宋体" w:eastAsia="楷体_GB2312"/>
          <w:bCs/>
          <w:sz w:val="28"/>
          <w:szCs w:val="28"/>
        </w:rPr>
      </w:pPr>
      <w:bookmarkStart w:id="40" w:name="_Toc232071890"/>
      <w:bookmarkStart w:id="41" w:name="_Toc12355"/>
      <w:r>
        <w:rPr>
          <w:rFonts w:hint="eastAsia" w:ascii="楷体_GB2312" w:hAnsi="宋体" w:eastAsia="楷体_GB2312"/>
          <w:bCs/>
          <w:sz w:val="28"/>
          <w:szCs w:val="28"/>
        </w:rPr>
        <w:t>（二）绩效评价指标分析</w:t>
      </w:r>
      <w:bookmarkEnd w:id="40"/>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w:t>
      </w:r>
      <w:bookmarkEnd w:id="41"/>
      <w:r>
        <w:rPr>
          <w:rFonts w:hint="eastAsia" w:ascii="仿宋_GB2312" w:hAnsi="宋体"/>
          <w:bCs/>
          <w:sz w:val="28"/>
          <w:szCs w:val="28"/>
        </w:rPr>
        <w:t>整体得分情况</w:t>
      </w:r>
    </w:p>
    <w:p>
      <w:pPr>
        <w:spacing w:line="560" w:lineRule="exact"/>
        <w:ind w:firstLine="560" w:firstLineChars="200"/>
        <w:rPr>
          <w:rFonts w:ascii="仿宋_GB2312" w:cs="宋体"/>
          <w:sz w:val="28"/>
          <w:szCs w:val="28"/>
        </w:rPr>
      </w:pPr>
      <w:r>
        <w:rPr>
          <w:rFonts w:hint="eastAsia" w:ascii="仿宋_GB2312" w:cs="宋体"/>
          <w:bCs/>
          <w:sz w:val="28"/>
          <w:szCs w:val="28"/>
        </w:rPr>
        <w:t>被评价单位绩效评</w:t>
      </w:r>
      <w:r>
        <w:rPr>
          <w:rFonts w:hint="eastAsia" w:ascii="仿宋_GB2312" w:cs="宋体"/>
          <w:sz w:val="28"/>
          <w:szCs w:val="28"/>
        </w:rPr>
        <w:t>价得分为91.97分，评价结果为“优秀”。各部分分值和得分情况见下表。</w:t>
      </w:r>
    </w:p>
    <w:p>
      <w:pPr>
        <w:spacing w:line="560" w:lineRule="exact"/>
        <w:jc w:val="center"/>
        <w:rPr>
          <w:rFonts w:ascii="仿宋_GB2312" w:cs="宋体"/>
          <w:sz w:val="28"/>
          <w:szCs w:val="28"/>
        </w:rPr>
      </w:pPr>
      <w:r>
        <w:rPr>
          <w:rFonts w:hint="eastAsia" w:ascii="仿宋_GB2312" w:cs="宋体"/>
          <w:sz w:val="28"/>
          <w:szCs w:val="28"/>
        </w:rPr>
        <w:t>绩效得分整体情况表</w:t>
      </w:r>
    </w:p>
    <w:tbl>
      <w:tblPr>
        <w:tblStyle w:val="15"/>
        <w:tblW w:w="4997" w:type="pct"/>
        <w:jc w:val="center"/>
        <w:tblLayout w:type="autofit"/>
        <w:tblCellMar>
          <w:top w:w="0" w:type="dxa"/>
          <w:left w:w="108" w:type="dxa"/>
          <w:bottom w:w="0" w:type="dxa"/>
          <w:right w:w="108" w:type="dxa"/>
        </w:tblCellMar>
      </w:tblPr>
      <w:tblGrid>
        <w:gridCol w:w="966"/>
        <w:gridCol w:w="1680"/>
        <w:gridCol w:w="2872"/>
        <w:gridCol w:w="966"/>
        <w:gridCol w:w="1130"/>
        <w:gridCol w:w="1441"/>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bookmarkStart w:id="42" w:name="_Toc9964"/>
            <w:r>
              <w:rPr>
                <w:rFonts w:hint="eastAsia" w:ascii="仿宋_GB2312" w:hAnsi="等线" w:cs="仿宋_GB2312"/>
                <w:b/>
                <w:bCs/>
                <w:color w:val="000000"/>
                <w:kern w:val="0"/>
                <w:sz w:val="21"/>
                <w:szCs w:val="21"/>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业务管理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制度建设</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内控管理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3</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组织架构</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4</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会计核算</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5</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承保部署</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6</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服务水平</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（47）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赔付率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4.89</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81.50%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7</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承保任务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8</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理赔规范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83.33%</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9</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理赔时效</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10</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减少灾害损失</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85.71%</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农户受益度</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12</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案件处理率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4.58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91.60%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13</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综合费用率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14</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（18分）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规范展业承保</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15</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信息公示</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16</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保单完整、准确性</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66.67%</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风险管控</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18</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满意度</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政策知晓率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19</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20</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加减分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sz w:val="21"/>
                <w:szCs w:val="21"/>
              </w:rPr>
              <w:t>0.00</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等线"/>
                <w:color w:val="000000"/>
                <w:sz w:val="21"/>
                <w:szCs w:val="21"/>
              </w:rPr>
            </w:pPr>
            <w:r>
              <w:rPr>
                <w:rFonts w:hint="eastAsia" w:ascii="仿宋_GB2312" w:hAnsi="等线" w:cs="等线"/>
                <w:color w:val="000000"/>
                <w:kern w:val="0"/>
                <w:sz w:val="21"/>
                <w:szCs w:val="21"/>
                <w:lang w:bidi="ar"/>
              </w:rPr>
              <w:t>21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0.00</w:t>
            </w:r>
          </w:p>
        </w:tc>
      </w:tr>
      <w:tr>
        <w:tblPrEx>
          <w:tblCellMar>
            <w:top w:w="0" w:type="dxa"/>
            <w:left w:w="108" w:type="dxa"/>
            <w:bottom w:w="0" w:type="dxa"/>
            <w:right w:w="108" w:type="dxa"/>
          </w:tblCellMar>
        </w:tblPrEx>
        <w:trPr>
          <w:jc w:val="center"/>
        </w:trPr>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color w:val="000000"/>
                <w:kern w:val="0"/>
                <w:sz w:val="21"/>
                <w:szCs w:val="21"/>
                <w:lang w:bidi="ar"/>
              </w:rPr>
            </w:pPr>
            <w:r>
              <w:rPr>
                <w:rFonts w:hint="eastAsia" w:ascii="仿宋_GB2312" w:hAnsi="等线" w:cs="宋体"/>
                <w:b/>
                <w:bCs/>
                <w:color w:val="000000"/>
                <w:kern w:val="0"/>
                <w:sz w:val="21"/>
                <w:szCs w:val="21"/>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100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91.97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kern w:val="0"/>
                <w:sz w:val="21"/>
                <w:szCs w:val="21"/>
                <w:lang w:bidi="ar"/>
              </w:rPr>
            </w:pPr>
            <w:r>
              <w:rPr>
                <w:rFonts w:hint="eastAsia" w:ascii="仿宋_GB2312" w:hAnsi="等线" w:cs="仿宋_GB2312"/>
                <w:b/>
                <w:bCs/>
                <w:color w:val="000000"/>
                <w:kern w:val="0"/>
                <w:sz w:val="21"/>
                <w:szCs w:val="21"/>
                <w:lang w:bidi="ar"/>
              </w:rPr>
              <w:t>91.97%</w:t>
            </w:r>
          </w:p>
        </w:tc>
      </w:tr>
    </w:tbl>
    <w:p>
      <w:pPr>
        <w:spacing w:line="560" w:lineRule="exact"/>
        <w:ind w:firstLine="562" w:firstLineChars="200"/>
        <w:rPr>
          <w:rFonts w:hint="eastAsia" w:ascii="仿宋_GB2312" w:hAnsi="黑体"/>
          <w:b/>
          <w:sz w:val="28"/>
          <w:szCs w:val="28"/>
        </w:rPr>
      </w:pPr>
      <w:r>
        <w:rPr>
          <w:rFonts w:hint="eastAsia" w:ascii="仿宋_GB2312" w:hAnsi="宋体"/>
          <w:b/>
          <w:sz w:val="28"/>
          <w:szCs w:val="28"/>
        </w:rPr>
        <w:t>2、具体指标分析</w:t>
      </w:r>
      <w:bookmarkEnd w:id="42"/>
    </w:p>
    <w:p>
      <w:pPr>
        <w:spacing w:line="560" w:lineRule="exact"/>
        <w:ind w:firstLine="560" w:firstLineChars="200"/>
        <w:rPr>
          <w:rFonts w:ascii="仿宋_GB2312" w:cs="宋体"/>
          <w:sz w:val="28"/>
          <w:szCs w:val="28"/>
        </w:rPr>
      </w:pPr>
      <w:r>
        <w:rPr>
          <w:rFonts w:hint="eastAsia" w:ascii="仿宋_GB2312" w:cs="宋体"/>
          <w:sz w:val="28"/>
          <w:szCs w:val="28"/>
        </w:rPr>
        <w:t>（1）业务管理情况</w:t>
      </w:r>
    </w:p>
    <w:p>
      <w:pPr>
        <w:spacing w:line="560" w:lineRule="exact"/>
        <w:ind w:firstLine="560" w:firstLineChars="200"/>
        <w:rPr>
          <w:rFonts w:ascii="仿宋_GB2312" w:cs="宋体"/>
          <w:sz w:val="28"/>
          <w:szCs w:val="28"/>
        </w:rPr>
      </w:pPr>
      <w:r>
        <w:rPr>
          <w:rFonts w:hint="eastAsia" w:ascii="仿宋_GB2312" w:cs="宋体"/>
          <w:sz w:val="28"/>
          <w:szCs w:val="28"/>
        </w:rPr>
        <w:t>业务管理指标从制度建设、内控管理、组织架构、会计核算、承保部署五个方面进行评价。</w:t>
      </w:r>
    </w:p>
    <w:p>
      <w:pPr>
        <w:spacing w:line="560" w:lineRule="exact"/>
        <w:ind w:firstLine="560" w:firstLineChars="200"/>
        <w:rPr>
          <w:rFonts w:ascii="仿宋_GB2312" w:cs="宋体"/>
          <w:sz w:val="28"/>
          <w:szCs w:val="28"/>
        </w:rPr>
      </w:pPr>
      <w:r>
        <w:rPr>
          <w:rFonts w:hint="eastAsia" w:ascii="仿宋_GB2312" w:cs="宋体"/>
          <w:sz w:val="28"/>
          <w:szCs w:val="28"/>
        </w:rPr>
        <w:t>业务管理指标分值20分，实际得分20分，得分率为100%；得分情况见下表：</w:t>
      </w:r>
    </w:p>
    <w:tbl>
      <w:tblPr>
        <w:tblStyle w:val="15"/>
        <w:tblW w:w="4998" w:type="pct"/>
        <w:jc w:val="center"/>
        <w:tblLayout w:type="autofit"/>
        <w:tblCellMar>
          <w:top w:w="0" w:type="dxa"/>
          <w:left w:w="108" w:type="dxa"/>
          <w:bottom w:w="0" w:type="dxa"/>
          <w:right w:w="108" w:type="dxa"/>
        </w:tblCellMar>
      </w:tblPr>
      <w:tblGrid>
        <w:gridCol w:w="2205"/>
        <w:gridCol w:w="2205"/>
        <w:gridCol w:w="1327"/>
        <w:gridCol w:w="1327"/>
        <w:gridCol w:w="1992"/>
      </w:tblGrid>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业务管理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制度建设</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内控管理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组织架构</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会计核算</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承保部署</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100.00%</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w:t>
      </w:r>
      <w:r>
        <w:rPr>
          <w:rFonts w:hint="eastAsia" w:ascii="仿宋_GB2312" w:cs="宋体"/>
          <w:color w:val="000000"/>
          <w:sz w:val="28"/>
          <w:szCs w:val="28"/>
        </w:rPr>
        <w:t>）</w:t>
      </w:r>
      <w:r>
        <w:rPr>
          <w:rFonts w:hint="eastAsia" w:ascii="仿宋_GB2312" w:cs="宋体"/>
          <w:sz w:val="28"/>
          <w:szCs w:val="28"/>
        </w:rPr>
        <w:t>制度建设指标总分4分，实际得分4分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中路财险建立了完善的业务管理制度、费用管理制度以及其他管理制度，根据评分标准，得4分。制度建设具体情况如下：</w:t>
      </w:r>
    </w:p>
    <w:p>
      <w:pPr>
        <w:spacing w:line="560" w:lineRule="exact"/>
        <w:ind w:firstLine="560" w:firstLineChars="200"/>
        <w:rPr>
          <w:rFonts w:ascii="仿宋_GB2312" w:cs="宋体"/>
          <w:sz w:val="28"/>
          <w:szCs w:val="28"/>
        </w:rPr>
      </w:pPr>
      <w:r>
        <w:rPr>
          <w:rFonts w:hint="eastAsia" w:ascii="仿宋_GB2312" w:cs="宋体"/>
          <w:sz w:val="28"/>
          <w:szCs w:val="28"/>
        </w:rPr>
        <w:t>A.业务管理制度：中路财险制定或出台了《</w:t>
      </w:r>
      <w:r>
        <w:rPr>
          <w:rFonts w:hint="eastAsia" w:ascii="仿宋_GB2312" w:cs="宋体"/>
          <w:color w:val="000000"/>
          <w:sz w:val="28"/>
          <w:szCs w:val="28"/>
        </w:rPr>
        <w:t>关于印发&lt;</w:t>
      </w:r>
      <w:r>
        <w:rPr>
          <w:rFonts w:hint="eastAsia" w:ascii="仿宋_GB2312" w:cs="宋体"/>
          <w:sz w:val="28"/>
          <w:szCs w:val="28"/>
        </w:rPr>
        <w:t>农业保险承保实务规范</w:t>
      </w:r>
      <w:r>
        <w:rPr>
          <w:rFonts w:hint="eastAsia" w:ascii="仿宋_GB2312" w:cs="宋体"/>
          <w:color w:val="000000"/>
          <w:sz w:val="28"/>
          <w:szCs w:val="28"/>
        </w:rPr>
        <w:t>&gt;的通知》</w:t>
      </w:r>
      <w:r>
        <w:rPr>
          <w:rFonts w:hint="eastAsia" w:ascii="仿宋_GB2312" w:cs="宋体"/>
          <w:sz w:val="28"/>
          <w:szCs w:val="28"/>
        </w:rPr>
        <w:t>（中路青发</w:t>
      </w:r>
      <w:r>
        <w:rPr>
          <w:rFonts w:hint="eastAsia" w:ascii="仿宋_GB2312"/>
          <w:sz w:val="28"/>
          <w:szCs w:val="28"/>
        </w:rPr>
        <w:t>〔2024〕</w:t>
      </w:r>
      <w:r>
        <w:rPr>
          <w:rFonts w:hint="eastAsia" w:ascii="仿宋_GB2312" w:cs="宋体"/>
          <w:sz w:val="28"/>
          <w:szCs w:val="28"/>
        </w:rPr>
        <w:t>89号）、《</w:t>
      </w:r>
      <w:r>
        <w:rPr>
          <w:rFonts w:hint="eastAsia" w:ascii="仿宋_GB2312" w:cs="宋体"/>
          <w:color w:val="000000"/>
          <w:sz w:val="28"/>
          <w:szCs w:val="28"/>
        </w:rPr>
        <w:t>关于印发&lt;</w:t>
      </w:r>
      <w:r>
        <w:rPr>
          <w:rFonts w:hint="eastAsia" w:ascii="仿宋_GB2312" w:cs="宋体"/>
          <w:sz w:val="28"/>
          <w:szCs w:val="28"/>
        </w:rPr>
        <w:t>农业保险出单规程</w:t>
      </w:r>
      <w:r>
        <w:rPr>
          <w:rFonts w:hint="eastAsia" w:ascii="仿宋_GB2312" w:cs="宋体"/>
          <w:color w:val="000000"/>
          <w:sz w:val="28"/>
          <w:szCs w:val="28"/>
        </w:rPr>
        <w:t>&gt;的通知》</w:t>
      </w:r>
      <w:r>
        <w:rPr>
          <w:rFonts w:hint="eastAsia" w:ascii="仿宋_GB2312" w:cs="宋体"/>
          <w:sz w:val="28"/>
          <w:szCs w:val="28"/>
        </w:rPr>
        <w:t>（中路青发</w:t>
      </w:r>
      <w:r>
        <w:rPr>
          <w:rFonts w:hint="eastAsia" w:ascii="仿宋_GB2312"/>
          <w:sz w:val="28"/>
          <w:szCs w:val="28"/>
        </w:rPr>
        <w:t>〔2024〕</w:t>
      </w:r>
      <w:r>
        <w:rPr>
          <w:rFonts w:hint="eastAsia" w:ascii="仿宋_GB2312" w:cs="宋体"/>
          <w:sz w:val="28"/>
          <w:szCs w:val="28"/>
        </w:rPr>
        <w:t>88号）、《关于下发&lt;农业保险理赔操作实务</w:t>
      </w:r>
      <w:r>
        <w:rPr>
          <w:rFonts w:hint="eastAsia" w:ascii="仿宋_GB2312" w:cs="宋体"/>
          <w:color w:val="000000"/>
          <w:sz w:val="28"/>
          <w:szCs w:val="28"/>
        </w:rPr>
        <w:t>&gt;的通知》</w:t>
      </w:r>
      <w:r>
        <w:rPr>
          <w:rFonts w:hint="eastAsia" w:ascii="仿宋_GB2312" w:cs="宋体"/>
          <w:sz w:val="28"/>
          <w:szCs w:val="28"/>
        </w:rPr>
        <w:t>（中路青发</w:t>
      </w:r>
      <w:r>
        <w:rPr>
          <w:rFonts w:hint="eastAsia" w:ascii="仿宋_GB2312"/>
          <w:sz w:val="28"/>
          <w:szCs w:val="28"/>
        </w:rPr>
        <w:t>〔2022〕</w:t>
      </w:r>
      <w:r>
        <w:rPr>
          <w:rFonts w:hint="eastAsia" w:ascii="仿宋_GB2312" w:cs="宋体"/>
          <w:sz w:val="28"/>
          <w:szCs w:val="28"/>
        </w:rPr>
        <w:t>49号）、《关于下发&lt;农业保险核保核赔规范</w:t>
      </w:r>
      <w:r>
        <w:rPr>
          <w:rFonts w:hint="eastAsia" w:ascii="仿宋_GB2312" w:cs="宋体"/>
          <w:color w:val="000000"/>
          <w:sz w:val="28"/>
          <w:szCs w:val="28"/>
        </w:rPr>
        <w:t>&gt;的通知》</w:t>
      </w:r>
      <w:r>
        <w:rPr>
          <w:rFonts w:hint="eastAsia" w:ascii="仿宋_GB2312" w:cs="宋体"/>
          <w:sz w:val="28"/>
          <w:szCs w:val="28"/>
        </w:rPr>
        <w:t>（中路青发</w:t>
      </w:r>
      <w:r>
        <w:rPr>
          <w:rFonts w:hint="eastAsia" w:ascii="仿宋_GB2312"/>
          <w:sz w:val="28"/>
          <w:szCs w:val="28"/>
        </w:rPr>
        <w:t>〔2022〕</w:t>
      </w:r>
      <w:r>
        <w:rPr>
          <w:rFonts w:hint="eastAsia" w:ascii="仿宋_GB2312" w:cs="宋体"/>
          <w:sz w:val="28"/>
          <w:szCs w:val="28"/>
        </w:rPr>
        <w:t>72号）、《关于下发&lt;农业保险档案管理办法</w:t>
      </w:r>
      <w:r>
        <w:rPr>
          <w:rFonts w:hint="eastAsia" w:ascii="仿宋_GB2312" w:cs="宋体"/>
          <w:color w:val="000000"/>
          <w:sz w:val="28"/>
          <w:szCs w:val="28"/>
        </w:rPr>
        <w:t>&gt;的通知》</w:t>
      </w:r>
      <w:r>
        <w:rPr>
          <w:rFonts w:hint="eastAsia" w:ascii="仿宋_GB2312" w:cs="宋体"/>
          <w:sz w:val="28"/>
          <w:szCs w:val="28"/>
        </w:rPr>
        <w:t>（中路青发</w:t>
      </w:r>
      <w:r>
        <w:rPr>
          <w:rFonts w:hint="eastAsia" w:ascii="仿宋_GB2312"/>
          <w:sz w:val="28"/>
          <w:szCs w:val="28"/>
        </w:rPr>
        <w:t>〔2022〕</w:t>
      </w:r>
      <w:r>
        <w:rPr>
          <w:rFonts w:hint="eastAsia" w:ascii="仿宋_GB2312" w:cs="宋体"/>
          <w:sz w:val="28"/>
          <w:szCs w:val="28"/>
        </w:rPr>
        <w:t>50号）、《关于下发&lt;农业保险重大灾害应急预案</w:t>
      </w:r>
      <w:r>
        <w:rPr>
          <w:rFonts w:hint="eastAsia" w:ascii="仿宋_GB2312" w:cs="宋体"/>
          <w:color w:val="000000"/>
          <w:sz w:val="28"/>
          <w:szCs w:val="28"/>
        </w:rPr>
        <w:t>&gt;的通知》</w:t>
      </w:r>
      <w:r>
        <w:rPr>
          <w:rFonts w:hint="eastAsia" w:ascii="仿宋_GB2312" w:cs="宋体"/>
          <w:sz w:val="28"/>
          <w:szCs w:val="28"/>
        </w:rPr>
        <w:t>（中路青发</w:t>
      </w:r>
      <w:r>
        <w:rPr>
          <w:rFonts w:hint="eastAsia" w:ascii="仿宋_GB2312"/>
          <w:sz w:val="28"/>
          <w:szCs w:val="28"/>
        </w:rPr>
        <w:t>〔2022〕</w:t>
      </w:r>
      <w:r>
        <w:rPr>
          <w:rFonts w:hint="eastAsia" w:ascii="仿宋_GB2312" w:cs="宋体"/>
          <w:sz w:val="28"/>
          <w:szCs w:val="28"/>
        </w:rPr>
        <w:t>71号）等制度，内容</w:t>
      </w:r>
      <w:r>
        <w:rPr>
          <w:rFonts w:hint="eastAsia" w:ascii="仿宋_GB2312" w:cs="宋体"/>
          <w:color w:val="000000"/>
          <w:sz w:val="28"/>
          <w:szCs w:val="28"/>
        </w:rPr>
        <w:t>包含</w:t>
      </w:r>
      <w:r>
        <w:rPr>
          <w:rFonts w:hint="eastAsia" w:ascii="仿宋_GB2312" w:cs="宋体"/>
          <w:sz w:val="28"/>
          <w:szCs w:val="28"/>
        </w:rPr>
        <w:t>承保、理赔、核保核赔、档案管理、风险管理等方面。</w:t>
      </w:r>
    </w:p>
    <w:p>
      <w:pPr>
        <w:spacing w:line="560" w:lineRule="exact"/>
        <w:ind w:firstLine="560" w:firstLineChars="200"/>
        <w:rPr>
          <w:rFonts w:ascii="仿宋_GB2312" w:cs="宋体"/>
          <w:sz w:val="28"/>
          <w:szCs w:val="28"/>
        </w:rPr>
      </w:pPr>
      <w:r>
        <w:rPr>
          <w:rFonts w:hint="eastAsia" w:ascii="仿宋_GB2312" w:cs="宋体"/>
          <w:sz w:val="28"/>
          <w:szCs w:val="28"/>
        </w:rPr>
        <w:t>B.费用管理制度：中路财险制定或出台了《</w:t>
      </w:r>
      <w:r>
        <w:rPr>
          <w:rFonts w:hint="eastAsia" w:ascii="仿宋_GB2312" w:cs="宋体"/>
          <w:color w:val="000000"/>
          <w:sz w:val="28"/>
          <w:szCs w:val="28"/>
        </w:rPr>
        <w:t>关于印发&lt;</w:t>
      </w:r>
      <w:r>
        <w:rPr>
          <w:rFonts w:hint="eastAsia" w:ascii="仿宋_GB2312" w:cs="宋体"/>
          <w:sz w:val="28"/>
          <w:szCs w:val="28"/>
        </w:rPr>
        <w:t>农业保险费用管理办法</w:t>
      </w:r>
      <w:r>
        <w:rPr>
          <w:rFonts w:hint="eastAsia" w:ascii="仿宋_GB2312" w:cs="宋体"/>
          <w:color w:val="000000"/>
          <w:sz w:val="28"/>
          <w:szCs w:val="28"/>
        </w:rPr>
        <w:t>&gt;的通知》</w:t>
      </w:r>
      <w:r>
        <w:rPr>
          <w:rFonts w:hint="eastAsia" w:ascii="仿宋_GB2312" w:cs="宋体"/>
          <w:sz w:val="28"/>
          <w:szCs w:val="28"/>
        </w:rPr>
        <w:t>（中路青农发</w:t>
      </w:r>
      <w:r>
        <w:rPr>
          <w:rFonts w:hint="eastAsia" w:ascii="仿宋_GB2312"/>
          <w:sz w:val="28"/>
          <w:szCs w:val="28"/>
        </w:rPr>
        <w:t>〔2022〕</w:t>
      </w:r>
      <w:r>
        <w:rPr>
          <w:rFonts w:hint="eastAsia" w:ascii="仿宋_GB2312" w:cs="宋体"/>
          <w:sz w:val="28"/>
          <w:szCs w:val="28"/>
        </w:rPr>
        <w:t>1号）、《</w:t>
      </w:r>
      <w:r>
        <w:rPr>
          <w:rFonts w:hint="eastAsia" w:ascii="仿宋_GB2312" w:cs="宋体"/>
          <w:color w:val="000000"/>
          <w:sz w:val="28"/>
          <w:szCs w:val="28"/>
        </w:rPr>
        <w:t>关于印发&lt;</w:t>
      </w:r>
      <w:r>
        <w:rPr>
          <w:rFonts w:hint="eastAsia" w:ascii="仿宋_GB2312" w:cs="宋体"/>
          <w:sz w:val="28"/>
          <w:szCs w:val="28"/>
        </w:rPr>
        <w:t>农业保险协办工作及协办费管理制度实施细则&gt;的通知等制度》（中路青发</w:t>
      </w:r>
      <w:r>
        <w:rPr>
          <w:rFonts w:hint="eastAsia" w:ascii="仿宋_GB2312"/>
          <w:sz w:val="28"/>
          <w:szCs w:val="28"/>
        </w:rPr>
        <w:t>〔2024〕</w:t>
      </w:r>
      <w:r>
        <w:rPr>
          <w:rFonts w:hint="eastAsia" w:ascii="仿宋_GB2312" w:cs="宋体"/>
          <w:sz w:val="28"/>
          <w:szCs w:val="28"/>
        </w:rPr>
        <w:t>22号）、《预算管理办法》（中路发</w:t>
      </w:r>
      <w:r>
        <w:rPr>
          <w:rFonts w:hint="eastAsia" w:ascii="仿宋_GB2312"/>
          <w:sz w:val="28"/>
          <w:szCs w:val="28"/>
        </w:rPr>
        <w:t>〔2016〕</w:t>
      </w:r>
      <w:r>
        <w:rPr>
          <w:rFonts w:hint="eastAsia" w:ascii="仿宋_GB2312" w:cs="宋体"/>
          <w:sz w:val="28"/>
          <w:szCs w:val="28"/>
        </w:rPr>
        <w:t>51号）、《费用报销管理办法》（中路发</w:t>
      </w:r>
      <w:r>
        <w:rPr>
          <w:rFonts w:hint="eastAsia" w:ascii="仿宋_GB2312"/>
          <w:sz w:val="28"/>
          <w:szCs w:val="28"/>
        </w:rPr>
        <w:t>〔2024〕</w:t>
      </w:r>
      <w:r>
        <w:rPr>
          <w:rFonts w:hint="eastAsia" w:ascii="仿宋_GB2312" w:cs="宋体"/>
          <w:sz w:val="28"/>
          <w:szCs w:val="28"/>
        </w:rPr>
        <w:t>287号）、《收付费管理办法（修订）》（中路发</w:t>
      </w:r>
      <w:r>
        <w:rPr>
          <w:rFonts w:hint="eastAsia" w:ascii="仿宋_GB2312"/>
          <w:sz w:val="28"/>
          <w:szCs w:val="28"/>
        </w:rPr>
        <w:t>〔2017〕</w:t>
      </w:r>
      <w:r>
        <w:rPr>
          <w:rFonts w:hint="eastAsia" w:ascii="仿宋_GB2312" w:cs="宋体"/>
          <w:sz w:val="28"/>
          <w:szCs w:val="28"/>
        </w:rPr>
        <w:t>140号）等制度，内容</w:t>
      </w:r>
      <w:r>
        <w:rPr>
          <w:rFonts w:hint="eastAsia" w:ascii="仿宋_GB2312" w:cs="宋体"/>
          <w:color w:val="000000"/>
          <w:sz w:val="28"/>
          <w:szCs w:val="28"/>
        </w:rPr>
        <w:t>包含</w:t>
      </w:r>
      <w:r>
        <w:rPr>
          <w:rFonts w:hint="eastAsia" w:ascii="仿宋_GB2312" w:cs="宋体"/>
          <w:sz w:val="28"/>
          <w:szCs w:val="28"/>
        </w:rPr>
        <w:t>费用分类、预算、审批、支付、风险管控等方面。</w:t>
      </w:r>
    </w:p>
    <w:p>
      <w:pPr>
        <w:spacing w:line="560" w:lineRule="exact"/>
        <w:ind w:firstLine="560" w:firstLineChars="200"/>
        <w:rPr>
          <w:rFonts w:ascii="仿宋_GB2312" w:cs="宋体"/>
          <w:sz w:val="28"/>
          <w:szCs w:val="28"/>
        </w:rPr>
      </w:pPr>
      <w:r>
        <w:rPr>
          <w:rFonts w:hint="eastAsia" w:ascii="仿宋_GB2312" w:cs="宋体"/>
          <w:sz w:val="28"/>
          <w:szCs w:val="28"/>
        </w:rPr>
        <w:t>C.其他管理制度：中路财险制定或出台了《</w:t>
      </w:r>
      <w:r>
        <w:rPr>
          <w:rFonts w:hint="eastAsia" w:ascii="仿宋_GB2312" w:cs="宋体"/>
          <w:color w:val="000000"/>
          <w:sz w:val="28"/>
          <w:szCs w:val="28"/>
        </w:rPr>
        <w:t>关于印发&lt;</w:t>
      </w:r>
      <w:r>
        <w:rPr>
          <w:rFonts w:hint="eastAsia" w:ascii="仿宋_GB2312" w:cs="宋体"/>
          <w:sz w:val="28"/>
          <w:szCs w:val="28"/>
        </w:rPr>
        <w:t>农业保险产品开发管理办法</w:t>
      </w:r>
      <w:r>
        <w:rPr>
          <w:rFonts w:hint="eastAsia" w:ascii="仿宋_GB2312" w:cs="宋体"/>
          <w:color w:val="000000"/>
          <w:sz w:val="28"/>
          <w:szCs w:val="28"/>
        </w:rPr>
        <w:t>&gt;的通知》</w:t>
      </w:r>
      <w:r>
        <w:rPr>
          <w:rFonts w:hint="eastAsia" w:ascii="仿宋_GB2312" w:cs="宋体"/>
          <w:sz w:val="28"/>
          <w:szCs w:val="28"/>
        </w:rPr>
        <w:t>(中路青农发〔2022〕5号)、《关于下发&lt;农业保险重大灾害应急预案</w:t>
      </w:r>
      <w:r>
        <w:rPr>
          <w:rFonts w:hint="eastAsia" w:ascii="仿宋_GB2312" w:cs="宋体"/>
          <w:color w:val="000000"/>
          <w:sz w:val="28"/>
          <w:szCs w:val="28"/>
        </w:rPr>
        <w:t>&gt;的通知》</w:t>
      </w:r>
      <w:r>
        <w:rPr>
          <w:rFonts w:hint="eastAsia" w:ascii="仿宋_GB2312" w:cs="宋体"/>
          <w:sz w:val="28"/>
          <w:szCs w:val="28"/>
        </w:rPr>
        <w:t>（中路青发〔2022〕71号）、《关于下发&lt;农业保险专项投诉管理制度</w:t>
      </w:r>
      <w:r>
        <w:rPr>
          <w:rFonts w:hint="eastAsia" w:ascii="仿宋_GB2312" w:cs="宋体"/>
          <w:color w:val="000000"/>
          <w:sz w:val="28"/>
          <w:szCs w:val="28"/>
        </w:rPr>
        <w:t>&gt;的通知》</w:t>
      </w:r>
      <w:r>
        <w:rPr>
          <w:rFonts w:hint="eastAsia" w:ascii="仿宋_GB2312" w:cs="宋体"/>
          <w:sz w:val="28"/>
          <w:szCs w:val="28"/>
        </w:rPr>
        <w:t>（中路青发〔2022〕73号）、《</w:t>
      </w:r>
      <w:r>
        <w:rPr>
          <w:rFonts w:hint="eastAsia" w:ascii="仿宋_GB2312" w:cs="宋体"/>
          <w:color w:val="000000"/>
          <w:sz w:val="28"/>
          <w:szCs w:val="28"/>
        </w:rPr>
        <w:t>关于印发&lt;</w:t>
      </w:r>
      <w:r>
        <w:rPr>
          <w:rFonts w:hint="eastAsia" w:ascii="仿宋_GB2312" w:cs="宋体"/>
          <w:sz w:val="28"/>
          <w:szCs w:val="28"/>
        </w:rPr>
        <w:t>农业保险违规行为责任追究管理办法</w:t>
      </w:r>
      <w:r>
        <w:rPr>
          <w:rFonts w:hint="eastAsia" w:ascii="仿宋_GB2312" w:cs="宋体"/>
          <w:color w:val="000000"/>
          <w:sz w:val="28"/>
          <w:szCs w:val="28"/>
        </w:rPr>
        <w:t>&gt;的通知》</w:t>
      </w:r>
      <w:r>
        <w:rPr>
          <w:rFonts w:hint="eastAsia" w:ascii="仿宋_GB2312" w:cs="宋体"/>
          <w:sz w:val="28"/>
          <w:szCs w:val="28"/>
        </w:rPr>
        <w:t>(中路青农发〔2022〕4号)等制度，内容</w:t>
      </w:r>
      <w:r>
        <w:rPr>
          <w:rFonts w:hint="eastAsia" w:ascii="仿宋_GB2312" w:cs="宋体"/>
          <w:color w:val="000000"/>
          <w:sz w:val="28"/>
          <w:szCs w:val="28"/>
        </w:rPr>
        <w:t>包含</w:t>
      </w:r>
      <w:r>
        <w:rPr>
          <w:rFonts w:hint="eastAsia" w:ascii="仿宋_GB2312" w:cs="宋体"/>
          <w:sz w:val="28"/>
          <w:szCs w:val="28"/>
        </w:rPr>
        <w:t>产品管理、大灾应急预案、消费者投诉、内部稽核、内部问责等方面。</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综上，根据评分标准，得4分。</w:t>
      </w:r>
    </w:p>
    <w:p>
      <w:pPr>
        <w:spacing w:line="560" w:lineRule="exact"/>
        <w:ind w:firstLine="560" w:firstLineChars="200"/>
        <w:rPr>
          <w:rFonts w:ascii="仿宋_GB2312" w:cs="宋体"/>
          <w:sz w:val="28"/>
          <w:szCs w:val="28"/>
        </w:rPr>
      </w:pPr>
      <w:r>
        <w:rPr>
          <w:rFonts w:hint="eastAsia" w:ascii="仿宋_GB2312" w:cs="宋体"/>
          <w:sz w:val="28"/>
          <w:szCs w:val="28"/>
        </w:rPr>
        <w:t>2</w:t>
      </w:r>
      <w:r>
        <w:rPr>
          <w:rFonts w:hint="eastAsia" w:ascii="仿宋_GB2312" w:cs="宋体"/>
          <w:color w:val="000000"/>
          <w:sz w:val="28"/>
          <w:szCs w:val="28"/>
        </w:rPr>
        <w:t>）</w:t>
      </w:r>
      <w:r>
        <w:rPr>
          <w:rFonts w:hint="eastAsia" w:ascii="仿宋_GB2312" w:cs="宋体"/>
          <w:sz w:val="28"/>
          <w:szCs w:val="28"/>
        </w:rPr>
        <w:t>内控管理指标总分4分，实际得分4分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中路财险建立了完善的农险经营内控制度体系，保证承保、理赔、客户服务各项合规。</w:t>
      </w:r>
    </w:p>
    <w:p>
      <w:pPr>
        <w:spacing w:line="560" w:lineRule="exact"/>
        <w:ind w:firstLine="560" w:firstLineChars="200"/>
        <w:rPr>
          <w:rFonts w:ascii="仿宋_GB2312" w:cs="宋体"/>
          <w:sz w:val="28"/>
          <w:szCs w:val="28"/>
        </w:rPr>
      </w:pPr>
      <w:r>
        <w:rPr>
          <w:rFonts w:hint="eastAsia" w:ascii="仿宋_GB2312" w:cs="宋体"/>
          <w:sz w:val="28"/>
          <w:szCs w:val="28"/>
        </w:rPr>
        <w:t>2025年中路财险对胶州支公司、莱西支公司、即墨支公司、城阳支公司、青岛分公司营业部等5个区（市）级经办机构开展了政策性农险业务和特色险种业务承保理赔合规性和内控有效性的检查工作，区（市）占比100%，超过总量的三分之一。</w:t>
      </w:r>
    </w:p>
    <w:p>
      <w:pPr>
        <w:spacing w:line="560" w:lineRule="exact"/>
        <w:ind w:firstLine="560" w:firstLineChars="200"/>
        <w:rPr>
          <w:rFonts w:ascii="仿宋_GB2312" w:cs="宋体"/>
          <w:sz w:val="28"/>
          <w:szCs w:val="28"/>
        </w:rPr>
      </w:pPr>
      <w:r>
        <w:rPr>
          <w:rFonts w:hint="eastAsia" w:ascii="仿宋_GB2312" w:cs="宋体"/>
          <w:sz w:val="28"/>
          <w:szCs w:val="28"/>
        </w:rPr>
        <w:t>中路财险2025年组织了三次合规培训，分别在2025年5月21日、2025年9月4日、2025年12月26日进行了三次合规培训。</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综上，根据评分标准，得4分。</w:t>
      </w:r>
    </w:p>
    <w:p>
      <w:pPr>
        <w:spacing w:line="560" w:lineRule="exact"/>
        <w:ind w:left="600" w:leftChars="200"/>
        <w:rPr>
          <w:rFonts w:ascii="仿宋_GB2312" w:cs="宋体"/>
          <w:sz w:val="28"/>
          <w:szCs w:val="28"/>
        </w:rPr>
      </w:pPr>
      <w:r>
        <w:rPr>
          <w:rFonts w:hint="eastAsia" w:ascii="仿宋_GB2312" w:cs="宋体"/>
          <w:sz w:val="28"/>
          <w:szCs w:val="28"/>
        </w:rPr>
        <w:t>3</w:t>
      </w:r>
      <w:r>
        <w:rPr>
          <w:rFonts w:hint="eastAsia" w:ascii="仿宋_GB2312" w:cs="宋体"/>
          <w:color w:val="000000"/>
          <w:sz w:val="28"/>
          <w:szCs w:val="28"/>
        </w:rPr>
        <w:t>）</w:t>
      </w:r>
      <w:r>
        <w:rPr>
          <w:rFonts w:hint="eastAsia" w:ascii="仿宋_GB2312" w:cs="宋体"/>
          <w:sz w:val="28"/>
          <w:szCs w:val="28"/>
        </w:rPr>
        <w:t>组织架构指标总分4分，实际得分4分</w:t>
      </w:r>
      <w:r>
        <w:rPr>
          <w:rFonts w:hint="eastAsia" w:ascii="仿宋_GB2312" w:cs="宋体"/>
          <w:sz w:val="28"/>
          <w:szCs w:val="28"/>
          <w:lang w:eastAsia="zh-Hans"/>
        </w:rPr>
        <w:t>。</w:t>
      </w:r>
    </w:p>
    <w:p>
      <w:pPr>
        <w:spacing w:line="560" w:lineRule="exact"/>
        <w:ind w:firstLine="560" w:firstLineChars="200"/>
        <w:rPr>
          <w:rFonts w:ascii="仿宋_GB2312" w:cs="宋体"/>
          <w:sz w:val="28"/>
          <w:szCs w:val="28"/>
          <w:highlight w:val="green"/>
        </w:rPr>
      </w:pPr>
      <w:r>
        <w:rPr>
          <w:rFonts w:hint="eastAsia" w:ascii="仿宋_GB2312" w:cs="宋体"/>
          <w:sz w:val="28"/>
          <w:szCs w:val="28"/>
        </w:rPr>
        <w:t>中路财险设置了农业保险部，并配备7名农业保险专业人员；中路财险建立了完善的农险信息管理系统（包含：农险承保模块和农险理赔模块，同时引入无人机、卫星遥感等新技术）与青岛市农业保险监管平台对接通畅，承保数据与理赔数据核对一致。</w:t>
      </w:r>
    </w:p>
    <w:p>
      <w:pPr>
        <w:spacing w:line="560" w:lineRule="exact"/>
        <w:ind w:firstLine="560" w:firstLineChars="200"/>
        <w:rPr>
          <w:rFonts w:ascii="仿宋_GB2312" w:cs="宋体"/>
          <w:sz w:val="28"/>
          <w:szCs w:val="28"/>
        </w:rPr>
      </w:pPr>
      <w:r>
        <w:rPr>
          <w:rFonts w:hint="eastAsia" w:ascii="仿宋_GB2312" w:cs="宋体"/>
          <w:sz w:val="28"/>
          <w:szCs w:val="28"/>
        </w:rPr>
        <w:t>中路财险在各区（市）均设立了支公司或者营业部，在涉及农保业务的乡镇/街道设立了服务站，其中胶州市8个，莱西市9个，即墨区15个，崂山区3个，城阳区3个，共计38个站点。明细列示如下：</w:t>
      </w:r>
    </w:p>
    <w:tbl>
      <w:tblPr>
        <w:tblStyle w:val="15"/>
        <w:tblW w:w="4998" w:type="pct"/>
        <w:jc w:val="center"/>
        <w:tblLayout w:type="autofit"/>
        <w:tblCellMar>
          <w:top w:w="0" w:type="dxa"/>
          <w:left w:w="108" w:type="dxa"/>
          <w:bottom w:w="0" w:type="dxa"/>
          <w:right w:w="108" w:type="dxa"/>
        </w:tblCellMar>
      </w:tblPr>
      <w:tblGrid>
        <w:gridCol w:w="2431"/>
        <w:gridCol w:w="6625"/>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区(市)</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服务部或站点名称</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即墨区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北安街道三农服务站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移风店镇三农服务站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蓝村街道三农服务站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通济街道三农服务站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段泊岚镇三农服务站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金口镇三农服务站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龙泉镇三农服务站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灵山镇三农服务站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田横镇三农服务站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潮海街道服务站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大信镇服务站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龙山街道服务站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环秀街道服务站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温泉镇服务站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鳌山卫街道服务站</w:t>
            </w:r>
          </w:p>
        </w:tc>
      </w:tr>
      <w:tr>
        <w:tblPrEx>
          <w:tblCellMar>
            <w:top w:w="0" w:type="dxa"/>
            <w:left w:w="108" w:type="dxa"/>
            <w:bottom w:w="0" w:type="dxa"/>
            <w:right w:w="108" w:type="dxa"/>
          </w:tblCellMar>
        </w:tblPrEx>
        <w:trPr>
          <w:jc w:val="center"/>
        </w:trPr>
        <w:tc>
          <w:tcPr>
            <w:tcW w:w="0" w:type="auto"/>
            <w:vMerge w:val="restart"/>
            <w:tcBorders>
              <w:top w:val="nil"/>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胶州市</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九龙街道三农服务站</w:t>
            </w:r>
          </w:p>
        </w:tc>
      </w:tr>
      <w:tr>
        <w:tblPrEx>
          <w:tblCellMar>
            <w:top w:w="0" w:type="dxa"/>
            <w:left w:w="108" w:type="dxa"/>
            <w:bottom w:w="0" w:type="dxa"/>
            <w:right w:w="108" w:type="dxa"/>
          </w:tblCellMar>
        </w:tblPrEx>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里岔镇三农服务站</w:t>
            </w:r>
          </w:p>
        </w:tc>
      </w:tr>
      <w:tr>
        <w:tblPrEx>
          <w:tblCellMar>
            <w:top w:w="0" w:type="dxa"/>
            <w:left w:w="108" w:type="dxa"/>
            <w:bottom w:w="0" w:type="dxa"/>
            <w:right w:w="108" w:type="dxa"/>
          </w:tblCellMar>
        </w:tblPrEx>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洋河镇三农服务站</w:t>
            </w:r>
          </w:p>
        </w:tc>
      </w:tr>
      <w:tr>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李哥庄镇三农服务站</w:t>
            </w:r>
          </w:p>
        </w:tc>
      </w:tr>
      <w:tr>
        <w:tblPrEx>
          <w:tblCellMar>
            <w:top w:w="0" w:type="dxa"/>
            <w:left w:w="108" w:type="dxa"/>
            <w:bottom w:w="0" w:type="dxa"/>
            <w:right w:w="108" w:type="dxa"/>
          </w:tblCellMar>
        </w:tblPrEx>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胶西街道三农服务站</w:t>
            </w:r>
          </w:p>
        </w:tc>
      </w:tr>
      <w:tr>
        <w:tblPrEx>
          <w:tblCellMar>
            <w:top w:w="0" w:type="dxa"/>
            <w:left w:w="108" w:type="dxa"/>
            <w:bottom w:w="0" w:type="dxa"/>
            <w:right w:w="108" w:type="dxa"/>
          </w:tblCellMar>
        </w:tblPrEx>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铺集镇三农服务站</w:t>
            </w:r>
          </w:p>
        </w:tc>
      </w:tr>
      <w:tr>
        <w:tblPrEx>
          <w:tblCellMar>
            <w:top w:w="0" w:type="dxa"/>
            <w:left w:w="108" w:type="dxa"/>
            <w:bottom w:w="0" w:type="dxa"/>
            <w:right w:w="108" w:type="dxa"/>
          </w:tblCellMar>
        </w:tblPrEx>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胶莱街道三农服务站</w:t>
            </w:r>
          </w:p>
        </w:tc>
      </w:tr>
      <w:tr>
        <w:trPr>
          <w:jc w:val="center"/>
        </w:trPr>
        <w:tc>
          <w:tcPr>
            <w:tcW w:w="0" w:type="auto"/>
            <w:vMerge w:val="continue"/>
            <w:tcBorders>
              <w:top w:val="nil"/>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胶东街道三农服务站</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莱西市</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姜山镇三农服务站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院上镇三农服务站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望城街道三农服务站</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店埠镇服务部</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夏格庄镇服务部</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日庄镇服务部</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马连庄镇服务部</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沽河街道服务部</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河头店镇服务部</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城阳区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夏庄街道服务部</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惜福镇街道服务部</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棘洪滩街道服务部</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崂山区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北宅街道三农服务站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沙子口街道三农服务站</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_GB2312" w:hAnsi="仿宋_GB2312"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王哥庄街道三农服务站</w:t>
            </w:r>
          </w:p>
        </w:tc>
      </w:tr>
    </w:tbl>
    <w:p>
      <w:pPr>
        <w:spacing w:line="560" w:lineRule="exact"/>
        <w:ind w:firstLine="560" w:firstLineChars="200"/>
        <w:rPr>
          <w:rFonts w:ascii="仿宋_GB2312" w:cs="宋体"/>
          <w:sz w:val="28"/>
          <w:szCs w:val="28"/>
        </w:rPr>
      </w:pPr>
      <w:r>
        <w:rPr>
          <w:rFonts w:hint="eastAsia" w:ascii="仿宋_GB2312" w:cs="宋体"/>
          <w:sz w:val="28"/>
          <w:szCs w:val="28"/>
        </w:rPr>
        <w:t>综上，根据评分标准，得4分。</w:t>
      </w:r>
    </w:p>
    <w:p>
      <w:pPr>
        <w:spacing w:line="560" w:lineRule="exact"/>
        <w:ind w:firstLine="560" w:firstLineChars="200"/>
        <w:rPr>
          <w:rFonts w:ascii="仿宋_GB2312" w:cs="宋体"/>
          <w:sz w:val="28"/>
          <w:szCs w:val="28"/>
          <w:lang w:eastAsia="zh-Hans"/>
        </w:rPr>
      </w:pPr>
      <w:r>
        <w:rPr>
          <w:rFonts w:hint="eastAsia" w:ascii="仿宋_GB2312" w:cs="宋体"/>
          <w:sz w:val="28"/>
          <w:szCs w:val="28"/>
          <w:lang w:eastAsia="zh-Hans"/>
        </w:rPr>
        <w:t>4</w:t>
      </w:r>
      <w:r>
        <w:rPr>
          <w:rFonts w:hint="eastAsia" w:ascii="仿宋_GB2312" w:cs="宋体"/>
          <w:color w:val="000000"/>
          <w:sz w:val="28"/>
          <w:szCs w:val="28"/>
          <w:lang w:eastAsia="zh-Hans"/>
        </w:rPr>
        <w:t>）</w:t>
      </w:r>
      <w:r>
        <w:rPr>
          <w:rFonts w:hint="eastAsia" w:ascii="仿宋_GB2312" w:cs="宋体"/>
          <w:sz w:val="28"/>
          <w:szCs w:val="28"/>
        </w:rPr>
        <w:t>会计核算指标总分5分，实际得分5分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中路财险根据《农业保险业务会计核算办法（试行）》（中路综发</w:t>
      </w:r>
      <w:r>
        <w:rPr>
          <w:rFonts w:hint="eastAsia" w:ascii="仿宋_GB2312"/>
        </w:rPr>
        <w:t>〔2020〕</w:t>
      </w:r>
      <w:r>
        <w:rPr>
          <w:rFonts w:hint="eastAsia" w:ascii="仿宋_GB2312" w:cs="宋体"/>
          <w:sz w:val="28"/>
          <w:szCs w:val="28"/>
        </w:rPr>
        <w:t>80号）等相关制度，</w:t>
      </w:r>
      <w:r>
        <w:rPr>
          <w:rFonts w:hint="eastAsia" w:ascii="仿宋_GB2312" w:cs="宋体"/>
          <w:sz w:val="28"/>
          <w:szCs w:val="28"/>
          <w:lang w:eastAsia="zh-Hans"/>
        </w:rPr>
        <w:t>对目标保险标的保费资金单独建账、分险种核算，</w:t>
      </w:r>
      <w:r>
        <w:rPr>
          <w:rFonts w:hint="eastAsia" w:ascii="仿宋_GB2312" w:cs="宋体"/>
          <w:sz w:val="28"/>
          <w:szCs w:val="28"/>
        </w:rPr>
        <w:t>本次评价</w:t>
      </w:r>
      <w:r>
        <w:rPr>
          <w:rFonts w:hint="eastAsia" w:ascii="仿宋_GB2312" w:cs="宋体"/>
          <w:sz w:val="28"/>
          <w:szCs w:val="28"/>
          <w:lang w:eastAsia="zh-Hans"/>
        </w:rPr>
        <w:t>未发现</w:t>
      </w:r>
      <w:r>
        <w:rPr>
          <w:rFonts w:hint="eastAsia" w:ascii="仿宋_GB2312" w:cs="宋体"/>
          <w:sz w:val="28"/>
          <w:szCs w:val="28"/>
        </w:rPr>
        <w:t>中路财险</w:t>
      </w:r>
      <w:r>
        <w:rPr>
          <w:rFonts w:hint="eastAsia" w:ascii="仿宋_GB2312" w:cs="宋体"/>
          <w:sz w:val="28"/>
          <w:szCs w:val="28"/>
          <w:lang w:eastAsia="zh-Hans"/>
        </w:rPr>
        <w:t>保险收支不规范的情况</w:t>
      </w:r>
      <w:r>
        <w:rPr>
          <w:rFonts w:hint="eastAsia" w:ascii="仿宋_GB2312" w:cs="宋体"/>
          <w:sz w:val="28"/>
          <w:szCs w:val="28"/>
        </w:rPr>
        <w:t>。</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综上，根据评分标准，得5分</w:t>
      </w:r>
    </w:p>
    <w:p>
      <w:pPr>
        <w:spacing w:line="560" w:lineRule="exact"/>
        <w:ind w:firstLine="560" w:firstLineChars="200"/>
        <w:rPr>
          <w:rFonts w:ascii="仿宋_GB2312" w:cs="宋体"/>
          <w:sz w:val="28"/>
          <w:szCs w:val="28"/>
        </w:rPr>
      </w:pPr>
      <w:r>
        <w:rPr>
          <w:rFonts w:hint="eastAsia" w:ascii="仿宋_GB2312" w:cs="宋体"/>
          <w:sz w:val="28"/>
          <w:szCs w:val="28"/>
        </w:rPr>
        <w:t>5</w:t>
      </w:r>
      <w:r>
        <w:rPr>
          <w:rFonts w:hint="eastAsia" w:ascii="仿宋_GB2312" w:cs="宋体"/>
          <w:color w:val="000000"/>
          <w:sz w:val="28"/>
          <w:szCs w:val="28"/>
        </w:rPr>
        <w:t>）</w:t>
      </w:r>
      <w:r>
        <w:rPr>
          <w:rFonts w:hint="eastAsia" w:ascii="仿宋_GB2312" w:cs="宋体"/>
          <w:sz w:val="28"/>
          <w:szCs w:val="28"/>
        </w:rPr>
        <w:t>承保部署指标总分3分，实际得分3分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中路财险拟定了详细的承保服务方案，未发现承保机构的保额、费率、农户保费收缴比例存在不符合农业保险政策规定和工作要求的情况。当年各区（市）均已召开乡、村两级专（兼）职人员业务布置会议。</w:t>
      </w:r>
    </w:p>
    <w:p>
      <w:pPr>
        <w:spacing w:line="560" w:lineRule="exact"/>
        <w:ind w:firstLine="560" w:firstLineChars="200"/>
        <w:rPr>
          <w:rFonts w:ascii="仿宋_GB2312" w:cs="宋体"/>
          <w:sz w:val="28"/>
          <w:szCs w:val="28"/>
          <w:lang w:eastAsia="zh-Hans"/>
        </w:rPr>
      </w:pPr>
      <w:r>
        <w:rPr>
          <w:rFonts w:hint="eastAsia" w:ascii="仿宋_GB2312" w:cs="宋体"/>
          <w:sz w:val="28"/>
          <w:szCs w:val="28"/>
        </w:rPr>
        <w:t>综上，根据评分标准，得3分。</w:t>
      </w:r>
    </w:p>
    <w:p>
      <w:pPr>
        <w:spacing w:line="560" w:lineRule="exact"/>
        <w:ind w:firstLine="560" w:firstLineChars="200"/>
        <w:rPr>
          <w:rFonts w:ascii="仿宋_GB2312" w:cs="宋体"/>
          <w:sz w:val="28"/>
          <w:szCs w:val="28"/>
        </w:rPr>
      </w:pPr>
      <w:r>
        <w:rPr>
          <w:rFonts w:hint="eastAsia" w:ascii="仿宋_GB2312" w:cs="宋体"/>
          <w:sz w:val="28"/>
          <w:szCs w:val="28"/>
        </w:rPr>
        <w:t>（2）服务水平情况</w:t>
      </w:r>
    </w:p>
    <w:p>
      <w:pPr>
        <w:spacing w:line="560" w:lineRule="exact"/>
        <w:ind w:firstLine="560" w:firstLineChars="200"/>
        <w:rPr>
          <w:rFonts w:ascii="仿宋_GB2312" w:cs="宋体"/>
          <w:sz w:val="28"/>
          <w:szCs w:val="28"/>
        </w:rPr>
      </w:pPr>
      <w:r>
        <w:rPr>
          <w:rFonts w:hint="eastAsia" w:ascii="仿宋_GB2312" w:cs="宋体"/>
          <w:sz w:val="28"/>
          <w:szCs w:val="28"/>
        </w:rPr>
        <w:t>服务水平指标从赔付率、承保任务、理赔规范、理赔时效、减少灾害损失、农户受益度、案件处理率、综合费用率八个方面进行评价。</w:t>
      </w:r>
    </w:p>
    <w:p>
      <w:pPr>
        <w:spacing w:line="560" w:lineRule="exact"/>
        <w:ind w:firstLine="560" w:firstLineChars="200"/>
        <w:rPr>
          <w:rFonts w:ascii="仿宋_GB2312" w:cs="宋体"/>
          <w:sz w:val="28"/>
          <w:szCs w:val="28"/>
        </w:rPr>
      </w:pPr>
      <w:r>
        <w:rPr>
          <w:rFonts w:hint="eastAsia" w:ascii="仿宋_GB2312" w:cs="宋体"/>
          <w:sz w:val="28"/>
          <w:szCs w:val="28"/>
        </w:rPr>
        <w:t>服务水平指标分值47分，实际得分43.47分，得分率为92.49%；得分情况见下表：</w:t>
      </w:r>
    </w:p>
    <w:tbl>
      <w:tblPr>
        <w:tblStyle w:val="15"/>
        <w:tblW w:w="4997" w:type="pct"/>
        <w:jc w:val="center"/>
        <w:tblLayout w:type="autofit"/>
        <w:tblCellMar>
          <w:top w:w="0" w:type="dxa"/>
          <w:left w:w="108" w:type="dxa"/>
          <w:bottom w:w="0" w:type="dxa"/>
          <w:right w:w="108" w:type="dxa"/>
        </w:tblCellMar>
      </w:tblPr>
      <w:tblGrid>
        <w:gridCol w:w="1970"/>
        <w:gridCol w:w="2744"/>
        <w:gridCol w:w="1186"/>
        <w:gridCol w:w="1387"/>
        <w:gridCol w:w="1768"/>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服务水平</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（47）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赔付率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4.89</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81.50%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承保任务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3</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理赔规范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83.33%</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理赔时效</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减少灾害损失</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85.71%</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农户受益度</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案件处理率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4.58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91.60%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综合费用率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仿宋_GB2312" w:hAnsi="等线" w:cs="等线"/>
                <w:b/>
                <w:bCs/>
                <w:color w:val="000000"/>
                <w:sz w:val="21"/>
                <w:szCs w:val="21"/>
              </w:rPr>
            </w:pPr>
            <w:r>
              <w:rPr>
                <w:rFonts w:hint="eastAsia" w:ascii="仿宋_GB2312" w:hAnsi="等线" w:cs="等线"/>
                <w:b/>
                <w:bCs/>
                <w:color w:val="000000"/>
                <w:kern w:val="0"/>
                <w:sz w:val="21"/>
                <w:szCs w:val="21"/>
                <w:lang w:bidi="ar"/>
              </w:rPr>
              <w:t>47</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hint="eastAsia" w:ascii="仿宋_GB2312" w:hAnsi="等线" w:cs="等线"/>
                <w:b/>
                <w:bCs/>
                <w:color w:val="000000"/>
                <w:kern w:val="0"/>
                <w:sz w:val="21"/>
                <w:szCs w:val="21"/>
                <w:lang w:bidi="ar"/>
              </w:rPr>
            </w:pPr>
            <w:r>
              <w:rPr>
                <w:rFonts w:hint="eastAsia" w:ascii="仿宋_GB2312" w:hAnsi="等线" w:cs="等线"/>
                <w:b/>
                <w:bCs/>
                <w:color w:val="000000"/>
                <w:kern w:val="0"/>
                <w:sz w:val="21"/>
                <w:szCs w:val="21"/>
                <w:lang w:bidi="ar"/>
              </w:rPr>
              <w:t>43.47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仿宋_GB2312" w:hAnsi="等线" w:cs="等线"/>
                <w:b/>
                <w:bCs/>
                <w:color w:val="000000"/>
                <w:kern w:val="0"/>
                <w:sz w:val="21"/>
                <w:szCs w:val="21"/>
                <w:lang w:bidi="ar"/>
              </w:rPr>
            </w:pPr>
            <w:r>
              <w:rPr>
                <w:rFonts w:hint="eastAsia" w:ascii="仿宋_GB2312" w:hAnsi="等线" w:cs="等线"/>
                <w:b/>
                <w:bCs/>
                <w:color w:val="000000"/>
                <w:kern w:val="0"/>
                <w:sz w:val="21"/>
                <w:szCs w:val="21"/>
                <w:lang w:bidi="ar"/>
              </w:rPr>
              <w:t>92.49%</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w:t>
      </w:r>
      <w:r>
        <w:rPr>
          <w:rFonts w:hint="eastAsia" w:ascii="仿宋_GB2312" w:cs="宋体"/>
          <w:color w:val="000000"/>
          <w:sz w:val="28"/>
          <w:szCs w:val="28"/>
        </w:rPr>
        <w:t>）</w:t>
      </w:r>
      <w:r>
        <w:rPr>
          <w:rFonts w:hint="eastAsia" w:ascii="仿宋_GB2312" w:cs="宋体"/>
          <w:sz w:val="28"/>
          <w:szCs w:val="28"/>
        </w:rPr>
        <w:t>赔付率指标总分6分，实际得分4.89分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中路财险赔付率=已决赔款/保费收入=28527764.27/32871147.16=86.79%，全市范围内赔付率最高为102.56%。中路财险得分=3+((86.79%-60%)/(102.56%-60%))*3=4.89。</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综上，根据评分标准，得4.89分。</w:t>
      </w:r>
    </w:p>
    <w:p>
      <w:pPr>
        <w:spacing w:line="560" w:lineRule="exact"/>
        <w:ind w:left="40" w:firstLine="560"/>
        <w:rPr>
          <w:rFonts w:ascii="仿宋_GB2312" w:cs="宋体"/>
          <w:sz w:val="28"/>
          <w:szCs w:val="28"/>
        </w:rPr>
      </w:pPr>
      <w:r>
        <w:rPr>
          <w:rFonts w:hint="eastAsia" w:ascii="仿宋_GB2312" w:cs="宋体"/>
          <w:sz w:val="28"/>
          <w:szCs w:val="28"/>
        </w:rPr>
        <w:t>2)承保任务指标总分3分，实际得分3分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中路财险已按照财政部门和业务主管部门下达的品种、规模进行承保，按时按量完成承保工作。</w:t>
      </w:r>
    </w:p>
    <w:p>
      <w:pPr>
        <w:spacing w:line="560" w:lineRule="exact"/>
        <w:ind w:firstLine="560" w:firstLineChars="200"/>
        <w:rPr>
          <w:rFonts w:ascii="仿宋_GB2312" w:cs="宋体"/>
          <w:sz w:val="28"/>
          <w:szCs w:val="28"/>
        </w:rPr>
      </w:pPr>
      <w:bookmarkStart w:id="43" w:name="OLE_LINK3"/>
      <w:r>
        <w:rPr>
          <w:rFonts w:hint="eastAsia" w:ascii="仿宋_GB2312" w:cs="宋体"/>
          <w:sz w:val="28"/>
          <w:szCs w:val="28"/>
        </w:rPr>
        <w:t>综上，根据评分标准，</w:t>
      </w:r>
      <w:bookmarkEnd w:id="43"/>
      <w:r>
        <w:rPr>
          <w:rFonts w:hint="eastAsia" w:ascii="仿宋_GB2312" w:cs="宋体"/>
          <w:sz w:val="28"/>
          <w:szCs w:val="28"/>
        </w:rPr>
        <w:t>得3分。</w:t>
      </w:r>
    </w:p>
    <w:p>
      <w:pPr>
        <w:spacing w:line="560" w:lineRule="exact"/>
        <w:ind w:left="40" w:firstLine="560"/>
        <w:rPr>
          <w:rFonts w:ascii="仿宋_GB2312" w:cs="宋体"/>
          <w:sz w:val="28"/>
          <w:szCs w:val="28"/>
          <w:lang w:eastAsia="zh-Hans"/>
        </w:rPr>
      </w:pPr>
      <w:r>
        <w:rPr>
          <w:rFonts w:hint="eastAsia" w:ascii="仿宋_GB2312" w:cs="宋体"/>
          <w:sz w:val="28"/>
          <w:szCs w:val="28"/>
        </w:rPr>
        <w:t>3）理赔规范指标总分6分，实际得分5分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本次现场调研抽查区域为即墨区，涉及7个街道及乡镇，根据现场调研结果未有农户反映出现承保机构未到现场查勘定损、未对赔偿金额与农户进行协商、现场核查定损中存在先签字后出定损明细等问题。本次问卷调查收到有效问卷164份，其中有6人认为保险公司在定损过程中存在定损信息留白，先签字，再填写定损结果的情况，21人认为在定损过程中保险理赔员未对赔偿金额与农户进行协商。综合现场调研及问卷调查情况，该指标扣1分。</w:t>
      </w:r>
    </w:p>
    <w:p>
      <w:pPr>
        <w:spacing w:line="560" w:lineRule="exact"/>
        <w:ind w:firstLine="560" w:firstLineChars="200"/>
        <w:rPr>
          <w:rFonts w:ascii="仿宋_GB2312" w:cs="宋体"/>
          <w:sz w:val="28"/>
          <w:szCs w:val="28"/>
          <w:highlight w:val="yellow"/>
        </w:rPr>
      </w:pPr>
      <w:r>
        <w:rPr>
          <w:rFonts w:hint="eastAsia" w:ascii="仿宋_GB2312" w:cs="宋体"/>
          <w:sz w:val="28"/>
          <w:szCs w:val="28"/>
        </w:rPr>
        <w:t>综上，根据评分标准，得5分</w:t>
      </w:r>
    </w:p>
    <w:p>
      <w:pPr>
        <w:spacing w:line="560" w:lineRule="exact"/>
        <w:ind w:left="40" w:firstLine="560"/>
        <w:rPr>
          <w:rFonts w:ascii="仿宋_GB2312" w:cs="宋体"/>
          <w:sz w:val="28"/>
          <w:szCs w:val="28"/>
        </w:rPr>
      </w:pPr>
      <w:r>
        <w:rPr>
          <w:rFonts w:hint="eastAsia" w:ascii="仿宋_GB2312" w:cs="宋体"/>
          <w:sz w:val="28"/>
          <w:szCs w:val="28"/>
        </w:rPr>
        <w:t>4)理赔时效指标总分8分，实际得分8分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中路财险全市政策性农业保险从报案到查勘、从首次查勘到立案、从立案到核赔、从核赔到支付的平均时效得分计算依据如下：</w:t>
      </w:r>
    </w:p>
    <w:tbl>
      <w:tblPr>
        <w:tblStyle w:val="15"/>
        <w:tblW w:w="0" w:type="auto"/>
        <w:jc w:val="center"/>
        <w:tblLayout w:type="autofit"/>
        <w:tblCellMar>
          <w:top w:w="0" w:type="dxa"/>
          <w:left w:w="108" w:type="dxa"/>
          <w:bottom w:w="0" w:type="dxa"/>
          <w:right w:w="108" w:type="dxa"/>
        </w:tblCellMar>
      </w:tblPr>
      <w:tblGrid>
        <w:gridCol w:w="1896"/>
        <w:gridCol w:w="1481"/>
        <w:gridCol w:w="1903"/>
        <w:gridCol w:w="2957"/>
        <w:gridCol w:w="638"/>
      </w:tblGrid>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全市平均时效</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中路财险平均时效</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超出比例（负数为节约比例）</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从报案到查勘</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1.28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0.26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-79.69%</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从首次查勘到立案</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12.71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6.11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-51.95%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r>
      <w:tr>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从立案到核赔</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19.19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18.72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-2.44%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从核赔到支付</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1.37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0.97 </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-29.20%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2</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b/>
                <w:bCs/>
                <w:color w:val="000000"/>
                <w:sz w:val="21"/>
                <w:szCs w:val="21"/>
              </w:rPr>
            </w:pPr>
            <w:r>
              <w:rPr>
                <w:rFonts w:hint="eastAsia" w:ascii="仿宋_GB2312" w:hAnsi="等线" w:cs="仿宋_GB2312"/>
                <w:b/>
                <w:bCs/>
                <w:color w:val="00000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b/>
                <w:bCs/>
                <w:color w:val="000000"/>
                <w:sz w:val="21"/>
                <w:szCs w:val="21"/>
              </w:rPr>
            </w:pPr>
            <w:r>
              <w:rPr>
                <w:rFonts w:hint="eastAsia" w:ascii="仿宋_GB2312" w:hAnsi="等线" w:cs="仿宋_GB2312"/>
                <w:b/>
                <w:bCs/>
                <w:color w:val="00000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b/>
                <w:bCs/>
                <w:color w:val="000000"/>
                <w:sz w:val="21"/>
                <w:szCs w:val="21"/>
              </w:rPr>
            </w:pPr>
            <w:r>
              <w:rPr>
                <w:rFonts w:hint="eastAsia" w:ascii="仿宋_GB2312" w:hAnsi="等线" w:cs="仿宋_GB2312"/>
                <w:b/>
                <w:bCs/>
                <w:color w:val="000000"/>
                <w:sz w:val="21"/>
                <w:szCs w:val="21"/>
              </w:rPr>
              <w:t>—</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8</w:t>
            </w:r>
          </w:p>
        </w:tc>
      </w:tr>
    </w:tbl>
    <w:p>
      <w:pPr>
        <w:spacing w:line="560" w:lineRule="exact"/>
        <w:ind w:firstLine="560" w:firstLineChars="200"/>
        <w:rPr>
          <w:rFonts w:ascii="仿宋_GB2312" w:cs="宋体"/>
          <w:sz w:val="28"/>
          <w:szCs w:val="28"/>
        </w:rPr>
      </w:pPr>
      <w:r>
        <w:rPr>
          <w:rFonts w:hint="eastAsia" w:ascii="仿宋_GB2312" w:cs="宋体"/>
          <w:sz w:val="28"/>
          <w:szCs w:val="28"/>
        </w:rPr>
        <w:t>综上，根据评分标准，得8分。</w:t>
      </w:r>
    </w:p>
    <w:p>
      <w:pPr>
        <w:spacing w:line="560" w:lineRule="exact"/>
        <w:ind w:left="40" w:firstLine="560"/>
        <w:rPr>
          <w:rFonts w:ascii="仿宋_GB2312" w:cs="宋体"/>
          <w:sz w:val="28"/>
          <w:szCs w:val="28"/>
        </w:rPr>
      </w:pPr>
      <w:r>
        <w:rPr>
          <w:rFonts w:hint="eastAsia" w:ascii="仿宋_GB2312" w:cs="宋体"/>
          <w:sz w:val="28"/>
          <w:szCs w:val="28"/>
        </w:rPr>
        <w:t>5）减少灾害损失指标总分7分，实际得分6分</w:t>
      </w:r>
      <w:r>
        <w:rPr>
          <w:rFonts w:hint="eastAsia" w:ascii="仿宋_GB2312" w:cs="宋体"/>
          <w:sz w:val="28"/>
          <w:szCs w:val="28"/>
          <w:lang w:eastAsia="zh-Hans"/>
        </w:rPr>
        <w:t>。</w:t>
      </w:r>
    </w:p>
    <w:p>
      <w:pPr>
        <w:spacing w:line="560" w:lineRule="exact"/>
        <w:ind w:left="40" w:firstLine="560"/>
        <w:rPr>
          <w:rFonts w:ascii="仿宋_GB2312" w:cs="宋体"/>
          <w:sz w:val="28"/>
          <w:szCs w:val="28"/>
        </w:rPr>
      </w:pPr>
      <w:r>
        <w:rPr>
          <w:rFonts w:hint="eastAsia" w:ascii="仿宋_GB2312" w:cs="宋体"/>
          <w:sz w:val="28"/>
          <w:szCs w:val="28"/>
        </w:rPr>
        <w:t>根据中路财险提供的减少灾害损失的相关情况说明，按照中路财险测算，各类险种的生产成本损失补偿率均为</w:t>
      </w:r>
      <w:r>
        <w:rPr>
          <w:rFonts w:hint="eastAsia" w:ascii="仿宋_GB2312" w:cs="宋体"/>
          <w:color w:val="000000"/>
          <w:sz w:val="28"/>
          <w:szCs w:val="28"/>
        </w:rPr>
        <w:t>93.75%-122.33%</w:t>
      </w:r>
      <w:r>
        <w:rPr>
          <w:rFonts w:hint="eastAsia" w:ascii="仿宋_GB2312" w:cs="宋体"/>
          <w:sz w:val="28"/>
          <w:szCs w:val="28"/>
        </w:rPr>
        <w:t>之间。根据问卷调查情况来看，有2.44%的农户认为损失补偿率在30%以下；有1.83%的农户认为损失补偿率在30%（含）-50%；有14.02%的农户认为损失补偿率在50%（含）-80%；有81.71%的农户认为损失补偿率在80%（含）-100%。考虑到双方估算的立场差异导致的数据差异影响，本项酌情扣1分。</w:t>
      </w:r>
    </w:p>
    <w:p>
      <w:pPr>
        <w:spacing w:line="560" w:lineRule="exact"/>
        <w:ind w:left="40" w:firstLine="560"/>
        <w:rPr>
          <w:rFonts w:ascii="仿宋_GB2312" w:cs="宋体"/>
          <w:sz w:val="28"/>
          <w:szCs w:val="28"/>
        </w:rPr>
      </w:pPr>
      <w:r>
        <w:rPr>
          <w:rFonts w:hint="eastAsia" w:ascii="仿宋_GB2312" w:cs="宋体"/>
          <w:sz w:val="28"/>
          <w:szCs w:val="28"/>
        </w:rPr>
        <w:t>综上，根据评分标准，得6分。</w:t>
      </w:r>
    </w:p>
    <w:p>
      <w:pPr>
        <w:spacing w:line="560" w:lineRule="exact"/>
        <w:ind w:left="40" w:firstLine="560"/>
        <w:rPr>
          <w:rFonts w:ascii="仿宋_GB2312" w:cs="宋体"/>
          <w:sz w:val="28"/>
          <w:szCs w:val="28"/>
        </w:rPr>
      </w:pPr>
      <w:r>
        <w:rPr>
          <w:rFonts w:hint="eastAsia" w:ascii="仿宋_GB2312" w:cs="宋体"/>
          <w:sz w:val="28"/>
          <w:szCs w:val="28"/>
        </w:rPr>
        <w:t>6）农户受益度指标总分7分，实际得分7分</w:t>
      </w:r>
      <w:r>
        <w:rPr>
          <w:rFonts w:hint="eastAsia" w:ascii="仿宋_GB2312" w:cs="宋体"/>
          <w:sz w:val="28"/>
          <w:szCs w:val="28"/>
          <w:lang w:eastAsia="zh-Hans"/>
        </w:rPr>
        <w:t>。</w:t>
      </w:r>
    </w:p>
    <w:p>
      <w:pPr>
        <w:spacing w:line="560" w:lineRule="exact"/>
        <w:ind w:left="40" w:firstLine="560"/>
        <w:rPr>
          <w:rFonts w:ascii="仿宋_GB2312" w:cs="宋体"/>
          <w:sz w:val="28"/>
          <w:szCs w:val="28"/>
        </w:rPr>
      </w:pPr>
      <w:r>
        <w:rPr>
          <w:rFonts w:hint="eastAsia" w:ascii="仿宋_GB2312" w:cs="宋体"/>
          <w:sz w:val="28"/>
          <w:szCs w:val="28"/>
        </w:rPr>
        <w:t>中路财险农户受益度=农户获得的赔款总金额/受灾农户自缴保费=28527764.27/2763944.45=10.32倍。</w:t>
      </w:r>
    </w:p>
    <w:p>
      <w:pPr>
        <w:spacing w:line="560" w:lineRule="exact"/>
        <w:ind w:left="40" w:firstLine="560"/>
        <w:rPr>
          <w:rFonts w:ascii="仿宋_GB2312" w:cs="宋体"/>
          <w:sz w:val="28"/>
          <w:szCs w:val="28"/>
        </w:rPr>
      </w:pPr>
      <w:r>
        <w:rPr>
          <w:rFonts w:hint="eastAsia" w:ascii="仿宋_GB2312" w:cs="宋体"/>
          <w:sz w:val="28"/>
          <w:szCs w:val="28"/>
        </w:rPr>
        <w:t>综上，根据评分标准，得7分。</w:t>
      </w:r>
    </w:p>
    <w:p>
      <w:pPr>
        <w:spacing w:line="560" w:lineRule="exact"/>
        <w:ind w:left="40" w:firstLine="560"/>
        <w:rPr>
          <w:rFonts w:ascii="仿宋_GB2312" w:cs="宋体"/>
          <w:sz w:val="28"/>
          <w:szCs w:val="28"/>
        </w:rPr>
      </w:pPr>
      <w:r>
        <w:rPr>
          <w:rFonts w:hint="eastAsia" w:ascii="仿宋_GB2312" w:cs="宋体"/>
          <w:sz w:val="28"/>
          <w:szCs w:val="28"/>
        </w:rPr>
        <w:t>7）案件处理率指标总分5分，实际得分4.58分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案件处理率以承保机构案件处理率最高值为基准值，该承保机构得满分。本次评价案件处理率最高值为99.51%，中路财险案件处理率=已处理立案件数/总立案件数=1239/1359=91.17%,得分=案例处理率/基准值*5分=91.17%/99.51%*5=4.58分。</w:t>
      </w:r>
    </w:p>
    <w:p>
      <w:pPr>
        <w:spacing w:line="560" w:lineRule="exact"/>
        <w:ind w:left="40" w:firstLine="560"/>
        <w:rPr>
          <w:rFonts w:ascii="仿宋_GB2312" w:cs="宋体"/>
          <w:sz w:val="28"/>
          <w:szCs w:val="28"/>
        </w:rPr>
      </w:pPr>
      <w:r>
        <w:rPr>
          <w:rFonts w:hint="eastAsia" w:ascii="仿宋_GB2312" w:cs="宋体"/>
          <w:sz w:val="28"/>
          <w:szCs w:val="28"/>
        </w:rPr>
        <w:t>综上，根据评分标准，得4.58分。</w:t>
      </w:r>
    </w:p>
    <w:p>
      <w:pPr>
        <w:spacing w:line="560" w:lineRule="exact"/>
        <w:ind w:left="40" w:firstLine="560"/>
        <w:rPr>
          <w:rFonts w:ascii="仿宋_GB2312" w:cs="宋体"/>
          <w:sz w:val="28"/>
          <w:szCs w:val="28"/>
        </w:rPr>
      </w:pPr>
      <w:r>
        <w:rPr>
          <w:rFonts w:hint="eastAsia" w:ascii="仿宋_GB2312" w:cs="宋体"/>
          <w:sz w:val="28"/>
          <w:szCs w:val="28"/>
        </w:rPr>
        <w:t>8）综合费用率指标总分5分，实际得分5分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2025年度中路财险政策性农业保险综合费用率=费用/已赚净保费=2933575.17/25933679.72=11.31%&lt;20%。</w:t>
      </w:r>
    </w:p>
    <w:p>
      <w:pPr>
        <w:spacing w:line="560" w:lineRule="exact"/>
        <w:ind w:left="40" w:firstLine="560"/>
        <w:rPr>
          <w:rFonts w:ascii="仿宋_GB2312" w:cs="宋体"/>
          <w:sz w:val="28"/>
          <w:szCs w:val="28"/>
        </w:rPr>
      </w:pPr>
      <w:r>
        <w:rPr>
          <w:rFonts w:hint="eastAsia" w:ascii="仿宋_GB2312" w:cs="宋体"/>
          <w:sz w:val="28"/>
          <w:szCs w:val="28"/>
        </w:rPr>
        <w:t>综上，根据评分标准，得5分。</w:t>
      </w:r>
    </w:p>
    <w:p>
      <w:pPr>
        <w:spacing w:line="560" w:lineRule="exact"/>
        <w:ind w:firstLine="560" w:firstLineChars="200"/>
        <w:rPr>
          <w:rFonts w:ascii="仿宋_GB2312" w:cs="宋体"/>
          <w:sz w:val="28"/>
          <w:szCs w:val="28"/>
        </w:rPr>
      </w:pPr>
      <w:r>
        <w:rPr>
          <w:rFonts w:hint="eastAsia" w:ascii="仿宋_GB2312" w:cs="宋体"/>
          <w:sz w:val="28"/>
          <w:szCs w:val="28"/>
        </w:rPr>
        <w:t>（3）</w:t>
      </w:r>
      <w:r>
        <w:rPr>
          <w:rFonts w:hint="eastAsia" w:ascii="仿宋_GB2312" w:hAnsi="宋体" w:cs="宋体"/>
          <w:sz w:val="28"/>
          <w:szCs w:val="28"/>
        </w:rPr>
        <w:t>保单管理</w:t>
      </w:r>
      <w:r>
        <w:rPr>
          <w:rFonts w:hint="eastAsia" w:ascii="仿宋_GB2312" w:cs="宋体"/>
          <w:sz w:val="28"/>
          <w:szCs w:val="28"/>
        </w:rPr>
        <w:t>情况</w:t>
      </w:r>
    </w:p>
    <w:p>
      <w:pPr>
        <w:spacing w:line="560" w:lineRule="exact"/>
        <w:ind w:firstLine="560" w:firstLineChars="200"/>
        <w:rPr>
          <w:rFonts w:ascii="仿宋_GB2312" w:cs="宋体"/>
          <w:sz w:val="28"/>
          <w:szCs w:val="28"/>
        </w:rPr>
      </w:pPr>
      <w:r>
        <w:rPr>
          <w:rFonts w:hint="eastAsia" w:ascii="仿宋_GB2312" w:hAnsi="宋体" w:cs="宋体"/>
          <w:sz w:val="28"/>
          <w:szCs w:val="28"/>
        </w:rPr>
        <w:t>保单管理</w:t>
      </w:r>
      <w:r>
        <w:rPr>
          <w:rFonts w:hint="eastAsia" w:ascii="仿宋_GB2312" w:cs="宋体"/>
          <w:sz w:val="28"/>
          <w:szCs w:val="28"/>
        </w:rPr>
        <w:t>指标从规范展业承保、信息公示、保单完</w:t>
      </w:r>
      <w:r>
        <w:rPr>
          <w:rFonts w:hint="eastAsia" w:ascii="仿宋_GB2312" w:cs="宋体"/>
          <w:color w:val="000000"/>
          <w:sz w:val="28"/>
          <w:szCs w:val="28"/>
        </w:rPr>
        <w:t>整</w:t>
      </w:r>
      <w:r>
        <w:rPr>
          <w:rFonts w:hint="eastAsia" w:ascii="仿宋_GB2312" w:cs="宋体"/>
          <w:sz w:val="28"/>
          <w:szCs w:val="28"/>
        </w:rPr>
        <w:t>、准确性三个方面进行评价。</w:t>
      </w:r>
    </w:p>
    <w:p>
      <w:pPr>
        <w:spacing w:line="560" w:lineRule="exact"/>
        <w:ind w:firstLine="560" w:firstLineChars="200"/>
        <w:rPr>
          <w:rFonts w:ascii="仿宋_GB2312" w:cs="宋体"/>
          <w:sz w:val="28"/>
          <w:szCs w:val="28"/>
        </w:rPr>
      </w:pPr>
      <w:r>
        <w:rPr>
          <w:rFonts w:hint="eastAsia" w:ascii="仿宋_GB2312" w:hAnsi="宋体" w:cs="宋体"/>
          <w:sz w:val="28"/>
          <w:szCs w:val="28"/>
        </w:rPr>
        <w:t>保单管理</w:t>
      </w:r>
      <w:r>
        <w:rPr>
          <w:rFonts w:hint="eastAsia" w:ascii="仿宋_GB2312" w:cs="宋体"/>
          <w:sz w:val="28"/>
          <w:szCs w:val="28"/>
        </w:rPr>
        <w:t>类指标分值18分，实际得分15分，得分率为83.33%；得分情况见下表：</w:t>
      </w:r>
    </w:p>
    <w:tbl>
      <w:tblPr>
        <w:tblStyle w:val="15"/>
        <w:tblW w:w="5000" w:type="pct"/>
        <w:jc w:val="center"/>
        <w:tblLayout w:type="autofit"/>
        <w:tblCellMar>
          <w:top w:w="0" w:type="dxa"/>
          <w:left w:w="108" w:type="dxa"/>
          <w:bottom w:w="0" w:type="dxa"/>
          <w:right w:w="108" w:type="dxa"/>
        </w:tblCellMar>
      </w:tblPr>
      <w:tblGrid>
        <w:gridCol w:w="1920"/>
        <w:gridCol w:w="3283"/>
        <w:gridCol w:w="1105"/>
        <w:gridCol w:w="1105"/>
        <w:gridCol w:w="1647"/>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保单管理</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（18分）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规范展业承保</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7</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信息公示</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80.00%</w:t>
            </w:r>
          </w:p>
        </w:tc>
      </w:tr>
      <w:tr>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保单完整、准确性</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4</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66.67%</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18</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83.33%</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1）规范展业承保指标总分7分，实际得分7分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未发现中路财险不执行“见费出单”制度的情况，以行政村为单位集中投保的，有项目齐全的承保清单，未发现有不齐全的情况。</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综上，根据评分标准，本项得7分。</w:t>
      </w:r>
    </w:p>
    <w:p>
      <w:pPr>
        <w:spacing w:line="560" w:lineRule="exact"/>
        <w:ind w:firstLine="560" w:firstLineChars="200"/>
        <w:rPr>
          <w:rFonts w:ascii="仿宋_GB2312" w:cs="宋体"/>
          <w:sz w:val="28"/>
          <w:szCs w:val="28"/>
        </w:rPr>
      </w:pPr>
      <w:r>
        <w:rPr>
          <w:rFonts w:hint="eastAsia" w:ascii="仿宋_GB2312" w:cs="宋体"/>
          <w:sz w:val="28"/>
          <w:szCs w:val="28"/>
        </w:rPr>
        <w:t>2）信息公示指标总分</w:t>
      </w:r>
      <w:r>
        <w:rPr>
          <w:rFonts w:ascii="仿宋_GB2312" w:cs="宋体"/>
          <w:sz w:val="28"/>
          <w:szCs w:val="28"/>
        </w:rPr>
        <w:t>5</w:t>
      </w:r>
      <w:r>
        <w:rPr>
          <w:rFonts w:hint="eastAsia" w:ascii="仿宋_GB2312" w:cs="宋体"/>
          <w:sz w:val="28"/>
          <w:szCs w:val="28"/>
        </w:rPr>
        <w:t>分，实际得分4分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根据现场检查档案资料，保单号：202371600012025000009，险种：小麦完全成本保险，未隐藏被保险人身份证信息、银行卡号等个人隐私信息。</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综上，根据评分标准，本项得4分。</w:t>
      </w:r>
    </w:p>
    <w:p>
      <w:pPr>
        <w:spacing w:line="560" w:lineRule="exact"/>
        <w:ind w:firstLine="560" w:firstLineChars="200"/>
        <w:rPr>
          <w:rFonts w:ascii="仿宋_GB2312" w:cs="宋体"/>
          <w:sz w:val="28"/>
          <w:szCs w:val="28"/>
        </w:rPr>
      </w:pPr>
      <w:r>
        <w:rPr>
          <w:rFonts w:hint="eastAsia" w:ascii="仿宋_GB2312" w:cs="宋体"/>
          <w:sz w:val="28"/>
          <w:szCs w:val="28"/>
        </w:rPr>
        <w:t>3）保单完整、准确性指标总分6分，实际得分4分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本次评价共抽查各区（市）电子及纸质政策性农业保险承保档案86份，根据现场检查情况，存在投保单填写不规范、保险查验报告单填写不规范、投保分户清单填写不规范、承保流程倒置等问题。具体问题列示详见下表：</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1071"/>
        <w:gridCol w:w="1609"/>
        <w:gridCol w:w="3437"/>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700"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序号</w:t>
            </w:r>
          </w:p>
        </w:tc>
        <w:tc>
          <w:tcPr>
            <w:tcW w:w="1071"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类型</w:t>
            </w:r>
          </w:p>
        </w:tc>
        <w:tc>
          <w:tcPr>
            <w:tcW w:w="1609"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具体问题</w:t>
            </w:r>
          </w:p>
        </w:tc>
        <w:tc>
          <w:tcPr>
            <w:tcW w:w="3437" w:type="dxa"/>
            <w:tcBorders>
              <w:top w:val="single" w:color="000000" w:sz="4" w:space="0"/>
              <w:left w:val="single" w:color="000000" w:sz="4" w:space="0"/>
              <w:bottom w:val="single" w:color="000000" w:sz="4" w:space="0"/>
              <w:right w:val="nil"/>
            </w:tcBorders>
            <w:shd w:val="clear" w:color="auto" w:fill="BFBF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保单号/投保单号</w:t>
            </w:r>
          </w:p>
        </w:tc>
        <w:tc>
          <w:tcPr>
            <w:tcW w:w="2243" w:type="dxa"/>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仿宋_GB2312" w:cs="仿宋_GB2312"/>
                <w:b/>
                <w:bCs/>
                <w:color w:val="000000"/>
                <w:sz w:val="21"/>
                <w:szCs w:val="21"/>
              </w:rPr>
            </w:pPr>
            <w:r>
              <w:rPr>
                <w:rFonts w:hint="eastAsia" w:ascii="仿宋_GB2312" w:hAnsi="仿宋_GB2312" w:cs="仿宋_GB2312"/>
                <w:b/>
                <w:bCs/>
                <w:color w:val="000000"/>
                <w:kern w:val="0"/>
                <w:sz w:val="21"/>
                <w:szCs w:val="21"/>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1</w:t>
            </w:r>
          </w:p>
        </w:tc>
        <w:tc>
          <w:tcPr>
            <w:tcW w:w="107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投保单填写不规范</w:t>
            </w:r>
          </w:p>
        </w:tc>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投保单和保单的保险期间不一致</w:t>
            </w: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保单号:202371600012025001785</w:t>
            </w:r>
          </w:p>
        </w:tc>
        <w:tc>
          <w:tcPr>
            <w:tcW w:w="2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电子保单保险期间为2025年8月31日-2026年8月30日；投保单的保险期间为2025年9月1日-2026年8月31日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609" w:type="dxa"/>
            <w:vMerge w:val="restart"/>
            <w:tcBorders>
              <w:top w:val="single" w:color="000000" w:sz="4" w:space="0"/>
              <w:left w:val="single" w:color="000000" w:sz="4" w:space="0"/>
              <w:bottom w:val="nil"/>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投保单未填写日期</w:t>
            </w:r>
          </w:p>
        </w:tc>
        <w:tc>
          <w:tcPr>
            <w:tcW w:w="3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保单号:202371600012025000149</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609" w:type="dxa"/>
            <w:vMerge w:val="continue"/>
            <w:tcBorders>
              <w:top w:val="nil"/>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343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投保单号:102371600012025002050</w:t>
            </w:r>
          </w:p>
        </w:tc>
        <w:tc>
          <w:tcPr>
            <w:tcW w:w="2243"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60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投保单日期在缴费之后</w:t>
            </w: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保单号:202371600012025001689</w:t>
            </w:r>
          </w:p>
        </w:tc>
        <w:tc>
          <w:tcPr>
            <w:tcW w:w="2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保单缴费时间2025年8月8日；投保单日期滞后为2025年8月11日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60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保单号:202371600012025000088</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2</w:t>
            </w:r>
          </w:p>
        </w:tc>
        <w:tc>
          <w:tcPr>
            <w:tcW w:w="107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保险查验报告单填写不规范</w:t>
            </w:r>
          </w:p>
        </w:tc>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保险查验表投保人签章处空白</w:t>
            </w: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保单号:202371600012025000149</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保险查验表上下日期不一致</w:t>
            </w: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投保单号:102371600012025001821</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3</w:t>
            </w:r>
          </w:p>
        </w:tc>
        <w:tc>
          <w:tcPr>
            <w:tcW w:w="10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投保分户清单填写不规范</w:t>
            </w:r>
          </w:p>
        </w:tc>
        <w:tc>
          <w:tcPr>
            <w:tcW w:w="16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分户清单投保人处为空白</w:t>
            </w: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投保单号：102371620012025000805</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4</w:t>
            </w:r>
          </w:p>
        </w:tc>
        <w:tc>
          <w:tcPr>
            <w:tcW w:w="107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承保流程倒置</w:t>
            </w:r>
          </w:p>
        </w:tc>
        <w:tc>
          <w:tcPr>
            <w:tcW w:w="160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验标在缴费之后</w:t>
            </w:r>
          </w:p>
        </w:tc>
        <w:tc>
          <w:tcPr>
            <w:tcW w:w="3437" w:type="dxa"/>
            <w:tcBorders>
              <w:top w:val="single" w:color="000000" w:sz="4" w:space="0"/>
              <w:left w:val="single" w:color="000000" w:sz="4" w:space="0"/>
              <w:bottom w:val="single" w:color="000000" w:sz="4" w:space="0"/>
              <w:right w:val="nil"/>
            </w:tcBorders>
            <w:vAlign w:val="center"/>
          </w:tcPr>
          <w:p>
            <w:pPr>
              <w:widowControl/>
              <w:jc w:val="left"/>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保单号:202371600012025001689</w:t>
            </w:r>
          </w:p>
        </w:tc>
        <w:tc>
          <w:tcPr>
            <w:tcW w:w="224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缴费时间:2025年8月13日；查验时间为：2025年8月14日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160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cs="仿宋_GB2312"/>
                <w:color w:val="000000"/>
                <w:sz w:val="21"/>
                <w:szCs w:val="21"/>
              </w:rPr>
            </w:pPr>
          </w:p>
        </w:tc>
        <w:tc>
          <w:tcPr>
            <w:tcW w:w="3437" w:type="dxa"/>
            <w:tcBorders>
              <w:top w:val="single" w:color="000000" w:sz="4" w:space="0"/>
              <w:left w:val="single" w:color="000000" w:sz="4" w:space="0"/>
              <w:bottom w:val="single" w:color="000000" w:sz="4" w:space="0"/>
              <w:right w:val="nil"/>
            </w:tcBorders>
            <w:noWrap/>
            <w:vAlign w:val="center"/>
          </w:tcPr>
          <w:p>
            <w:pPr>
              <w:widowControl/>
              <w:jc w:val="left"/>
              <w:textAlignment w:val="center"/>
              <w:rPr>
                <w:rFonts w:hint="eastAsia"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保单号:202371600012025001702</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缴费时间:2025年8月8日；查验时间为：2015年8月11日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5</w:t>
            </w:r>
          </w:p>
        </w:tc>
        <w:tc>
          <w:tcPr>
            <w:tcW w:w="107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理赔确认单没有日期</w:t>
            </w:r>
          </w:p>
        </w:tc>
        <w:tc>
          <w:tcPr>
            <w:tcW w:w="160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农户签署的理赔确认单没有日期</w:t>
            </w:r>
          </w:p>
        </w:tc>
        <w:tc>
          <w:tcPr>
            <w:tcW w:w="3437" w:type="dxa"/>
            <w:tcBorders>
              <w:top w:val="single" w:color="000000" w:sz="4" w:space="0"/>
              <w:left w:val="single" w:color="000000" w:sz="4" w:space="0"/>
              <w:bottom w:val="single" w:color="000000" w:sz="4" w:space="0"/>
              <w:right w:val="nil"/>
            </w:tcBorders>
            <w:noWrap/>
            <w:vAlign w:val="center"/>
          </w:tcPr>
          <w:p>
            <w:pPr>
              <w:widowControl/>
              <w:jc w:val="left"/>
              <w:textAlignment w:val="center"/>
              <w:rPr>
                <w:rFonts w:hint="eastAsia" w:ascii="仿宋_GB2312" w:hAnsi="仿宋_GB2312" w:cs="仿宋_GB2312"/>
                <w:color w:val="000000"/>
                <w:sz w:val="21"/>
                <w:szCs w:val="21"/>
              </w:rPr>
            </w:pPr>
            <w:r>
              <w:rPr>
                <w:rFonts w:hint="eastAsia" w:ascii="仿宋_GB2312" w:hAnsi="仿宋_GB2312" w:cs="仿宋_GB2312"/>
                <w:color w:val="000000"/>
                <w:kern w:val="0"/>
                <w:sz w:val="21"/>
                <w:szCs w:val="21"/>
                <w:lang w:bidi="ar"/>
              </w:rPr>
              <w:t>保单号：202371600012025001570</w:t>
            </w:r>
          </w:p>
        </w:tc>
        <w:tc>
          <w:tcPr>
            <w:tcW w:w="22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cs="仿宋_GB2312"/>
                <w:color w:val="000000"/>
                <w:sz w:val="21"/>
                <w:szCs w:val="21"/>
              </w:rPr>
            </w:pPr>
          </w:p>
        </w:tc>
      </w:tr>
    </w:tbl>
    <w:p>
      <w:pPr>
        <w:spacing w:line="560" w:lineRule="exact"/>
        <w:ind w:firstLine="560" w:firstLineChars="200"/>
        <w:rPr>
          <w:rFonts w:ascii="仿宋_GB2312" w:cs="宋体"/>
          <w:sz w:val="28"/>
          <w:szCs w:val="28"/>
        </w:rPr>
      </w:pPr>
      <w:r>
        <w:rPr>
          <w:rFonts w:hint="eastAsia" w:ascii="仿宋_GB2312" w:cs="宋体"/>
          <w:sz w:val="28"/>
          <w:szCs w:val="28"/>
        </w:rPr>
        <w:t>综上，根据评分标准，本项得4分。</w:t>
      </w:r>
    </w:p>
    <w:p>
      <w:pPr>
        <w:spacing w:line="560" w:lineRule="exact"/>
        <w:ind w:firstLine="560" w:firstLineChars="200"/>
        <w:rPr>
          <w:rFonts w:ascii="仿宋_GB2312" w:cs="宋体"/>
          <w:sz w:val="28"/>
          <w:szCs w:val="28"/>
        </w:rPr>
      </w:pPr>
      <w:r>
        <w:rPr>
          <w:rFonts w:hint="eastAsia" w:ascii="仿宋_GB2312" w:cs="宋体"/>
          <w:sz w:val="28"/>
          <w:szCs w:val="28"/>
        </w:rPr>
        <w:t>（4）</w:t>
      </w:r>
      <w:r>
        <w:rPr>
          <w:rFonts w:hint="eastAsia" w:ascii="仿宋_GB2312" w:hAnsi="宋体" w:cs="宋体"/>
          <w:sz w:val="28"/>
          <w:szCs w:val="28"/>
        </w:rPr>
        <w:t>风险管控</w:t>
      </w:r>
      <w:r>
        <w:rPr>
          <w:rFonts w:hint="eastAsia" w:ascii="仿宋_GB2312" w:cs="宋体"/>
          <w:sz w:val="28"/>
          <w:szCs w:val="28"/>
        </w:rPr>
        <w:t>情况</w:t>
      </w:r>
    </w:p>
    <w:p>
      <w:pPr>
        <w:spacing w:line="560" w:lineRule="exact"/>
        <w:ind w:firstLine="560" w:firstLineChars="200"/>
        <w:rPr>
          <w:rFonts w:ascii="仿宋_GB2312" w:cs="宋体"/>
          <w:sz w:val="28"/>
          <w:szCs w:val="28"/>
        </w:rPr>
      </w:pPr>
      <w:r>
        <w:rPr>
          <w:rFonts w:hint="eastAsia" w:ascii="仿宋_GB2312" w:hAnsi="宋体" w:cs="宋体"/>
          <w:sz w:val="28"/>
          <w:szCs w:val="28"/>
        </w:rPr>
        <w:t>风险管控</w:t>
      </w:r>
      <w:r>
        <w:rPr>
          <w:rFonts w:hint="eastAsia" w:ascii="仿宋_GB2312" w:cs="宋体"/>
          <w:sz w:val="28"/>
          <w:szCs w:val="28"/>
        </w:rPr>
        <w:t>指标从风险管</w:t>
      </w:r>
      <w:r>
        <w:rPr>
          <w:rFonts w:hint="eastAsia" w:ascii="仿宋_GB2312" w:cs="宋体"/>
          <w:sz w:val="28"/>
          <w:szCs w:val="28"/>
          <w:lang w:eastAsia="zh-Hans"/>
        </w:rPr>
        <w:t>理</w:t>
      </w:r>
      <w:r>
        <w:rPr>
          <w:rFonts w:hint="eastAsia" w:ascii="仿宋_GB2312" w:cs="宋体"/>
          <w:sz w:val="28"/>
          <w:szCs w:val="28"/>
        </w:rPr>
        <w:t>一个方面进行评价。</w:t>
      </w:r>
    </w:p>
    <w:p>
      <w:pPr>
        <w:spacing w:line="560" w:lineRule="exact"/>
        <w:ind w:firstLine="560" w:firstLineChars="200"/>
        <w:rPr>
          <w:rFonts w:ascii="仿宋_GB2312" w:cs="宋体"/>
          <w:sz w:val="28"/>
          <w:szCs w:val="28"/>
        </w:rPr>
      </w:pPr>
      <w:r>
        <w:rPr>
          <w:rFonts w:hint="eastAsia" w:ascii="仿宋_GB2312" w:hAnsi="宋体" w:cs="宋体"/>
          <w:sz w:val="28"/>
          <w:szCs w:val="28"/>
        </w:rPr>
        <w:t>风险管控</w:t>
      </w:r>
      <w:r>
        <w:rPr>
          <w:rFonts w:hint="eastAsia" w:ascii="仿宋_GB2312" w:cs="宋体"/>
          <w:sz w:val="28"/>
          <w:szCs w:val="28"/>
        </w:rPr>
        <w:t>类指标分值5分，实际得分5分，得分率为100%；得分情况见下表：</w:t>
      </w:r>
    </w:p>
    <w:tbl>
      <w:tblPr>
        <w:tblStyle w:val="15"/>
        <w:tblW w:w="4998" w:type="pct"/>
        <w:jc w:val="center"/>
        <w:tblLayout w:type="autofit"/>
        <w:tblCellMar>
          <w:top w:w="0" w:type="dxa"/>
          <w:left w:w="108" w:type="dxa"/>
          <w:bottom w:w="0" w:type="dxa"/>
          <w:right w:w="108" w:type="dxa"/>
        </w:tblCellMar>
      </w:tblPr>
      <w:tblGrid>
        <w:gridCol w:w="2205"/>
        <w:gridCol w:w="2205"/>
        <w:gridCol w:w="1327"/>
        <w:gridCol w:w="1327"/>
        <w:gridCol w:w="1992"/>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风险管控</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风险管理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100.00%</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1）风险管理指标总分</w:t>
      </w:r>
      <w:r>
        <w:rPr>
          <w:rFonts w:ascii="仿宋_GB2312" w:cs="宋体"/>
          <w:sz w:val="28"/>
          <w:szCs w:val="28"/>
        </w:rPr>
        <w:t>5</w:t>
      </w:r>
      <w:r>
        <w:rPr>
          <w:rFonts w:hint="eastAsia" w:ascii="仿宋_GB2312" w:cs="宋体"/>
          <w:sz w:val="28"/>
          <w:szCs w:val="28"/>
        </w:rPr>
        <w:t>分，实际得分5分</w:t>
      </w:r>
      <w:r>
        <w:rPr>
          <w:rFonts w:hint="eastAsia" w:ascii="仿宋_GB2312" w:cs="宋体"/>
          <w:sz w:val="28"/>
          <w:szCs w:val="28"/>
          <w:lang w:eastAsia="zh-Hans"/>
        </w:rPr>
        <w:t>。</w:t>
      </w:r>
    </w:p>
    <w:p>
      <w:pPr>
        <w:spacing w:line="360" w:lineRule="auto"/>
        <w:ind w:firstLine="560" w:firstLineChars="200"/>
        <w:rPr>
          <w:rFonts w:ascii="仿宋_GB2312" w:cs="宋体"/>
          <w:sz w:val="28"/>
          <w:szCs w:val="28"/>
        </w:rPr>
      </w:pPr>
      <w:r>
        <w:rPr>
          <w:rFonts w:hint="eastAsia" w:ascii="仿宋_GB2312" w:cs="宋体"/>
          <w:sz w:val="28"/>
          <w:szCs w:val="28"/>
        </w:rPr>
        <w:t>A.中路财险总公司（分出公司）与中国农业再保险股份有限公司签订了再保险协议，协议约定“由分出公司在本协议期限内直接承保的各类农业保险业务（包括共同保险业务），分出公司按其在保险单中独立承担的保险责任的20%（分保比例）向中国农再办理成数分保”。</w:t>
      </w:r>
      <w:bookmarkStart w:id="44" w:name="_Hlk169170744"/>
      <w:r>
        <w:rPr>
          <w:rFonts w:hint="eastAsia" w:ascii="仿宋_GB2312" w:cs="宋体"/>
          <w:sz w:val="28"/>
          <w:szCs w:val="28"/>
        </w:rPr>
        <w:t>2025年度中路财险</w:t>
      </w:r>
      <w:bookmarkEnd w:id="44"/>
      <w:r>
        <w:rPr>
          <w:rFonts w:hint="eastAsia" w:ascii="仿宋_GB2312" w:cs="宋体"/>
          <w:sz w:val="28"/>
          <w:szCs w:val="28"/>
        </w:rPr>
        <w:t>分出保费23498821.17元。</w:t>
      </w:r>
    </w:p>
    <w:p>
      <w:pPr>
        <w:spacing w:line="560" w:lineRule="exact"/>
        <w:ind w:firstLine="560" w:firstLineChars="200"/>
        <w:rPr>
          <w:rFonts w:ascii="仿宋_GB2312" w:cs="宋体"/>
          <w:sz w:val="28"/>
          <w:szCs w:val="28"/>
          <w:highlight w:val="yellow"/>
        </w:rPr>
      </w:pPr>
      <w:r>
        <w:rPr>
          <w:rFonts w:hint="eastAsia" w:ascii="仿宋_GB2312" w:cs="宋体"/>
          <w:sz w:val="28"/>
          <w:szCs w:val="28"/>
        </w:rPr>
        <w:t>B.中路财险按照《中路财产保险股份有限公司农业保险大灾风险准备金管理及核算办法（试行）》（中路综发</w:t>
      </w:r>
      <w:r>
        <w:rPr>
          <w:rFonts w:hint="eastAsia" w:ascii="仿宋_GB2312"/>
          <w:szCs w:val="28"/>
        </w:rPr>
        <w:t>〔2020〕</w:t>
      </w:r>
      <w:r>
        <w:rPr>
          <w:rFonts w:hint="eastAsia" w:ascii="仿宋_GB2312" w:cs="宋体"/>
          <w:sz w:val="28"/>
          <w:szCs w:val="28"/>
        </w:rPr>
        <w:t>83号）规定计提农业保险大灾风险准备金（公司分别按照农业保险保费收入和超额承保利润的一定比例，计提大灾准备金），公司计提保费准备金，分别以种植业、养殖业、林业等大类险种的保费收入（净保费，即保费收入+分入保费-分出保费）为计提基础，青岛地区种植业、养殖业、森林保险的保费准备金计提比例分别为6%、3%、6%，2025年度中路财险种植业保险净保费1953.59万元，养殖业保险净保费780.08万元，森林保险净保费15.80万元。应计提大灾准备金141.57万元。2025年度账面大灾准备金计提141.57万元，符合管理办法提取标准。</w:t>
      </w:r>
    </w:p>
    <w:p>
      <w:pPr>
        <w:spacing w:line="560" w:lineRule="exact"/>
        <w:ind w:firstLine="560" w:firstLineChars="200"/>
        <w:rPr>
          <w:rFonts w:ascii="仿宋_GB2312" w:cs="宋体"/>
          <w:sz w:val="28"/>
          <w:szCs w:val="28"/>
        </w:rPr>
      </w:pPr>
      <w:r>
        <w:rPr>
          <w:rFonts w:hint="eastAsia" w:ascii="仿宋_GB2312" w:cs="宋体"/>
          <w:sz w:val="28"/>
          <w:szCs w:val="28"/>
        </w:rPr>
        <w:t>2025年度中路财险按规定向市财政局报送了《中路保险青岛分公司关于2025年农业保险大灾准备金计提和使用情况的报告》。</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综上，根据评分标准，得5分。</w:t>
      </w:r>
    </w:p>
    <w:p>
      <w:pPr>
        <w:spacing w:line="560" w:lineRule="exact"/>
        <w:ind w:firstLine="560" w:firstLineChars="200"/>
        <w:rPr>
          <w:rFonts w:ascii="仿宋_GB2312" w:cs="宋体"/>
          <w:sz w:val="28"/>
          <w:szCs w:val="28"/>
        </w:rPr>
      </w:pPr>
      <w:r>
        <w:rPr>
          <w:rFonts w:hint="eastAsia" w:ascii="仿宋_GB2312" w:cs="宋体"/>
          <w:sz w:val="28"/>
          <w:szCs w:val="28"/>
        </w:rPr>
        <w:t>（5）</w:t>
      </w:r>
      <w:r>
        <w:rPr>
          <w:rFonts w:hint="eastAsia" w:ascii="仿宋_GB2312" w:hAnsi="宋体" w:cs="宋体"/>
          <w:sz w:val="28"/>
          <w:szCs w:val="28"/>
        </w:rPr>
        <w:t>满意度</w:t>
      </w:r>
      <w:r>
        <w:rPr>
          <w:rFonts w:hint="eastAsia" w:ascii="仿宋_GB2312" w:cs="宋体"/>
          <w:sz w:val="28"/>
          <w:szCs w:val="28"/>
        </w:rPr>
        <w:t>情况</w:t>
      </w:r>
    </w:p>
    <w:p>
      <w:pPr>
        <w:spacing w:line="560" w:lineRule="exact"/>
        <w:ind w:firstLine="560" w:firstLineChars="200"/>
        <w:rPr>
          <w:rFonts w:ascii="仿宋_GB2312" w:cs="宋体"/>
          <w:sz w:val="28"/>
          <w:szCs w:val="28"/>
        </w:rPr>
      </w:pPr>
      <w:r>
        <w:rPr>
          <w:rFonts w:hint="eastAsia" w:ascii="仿宋_GB2312" w:hAnsi="宋体" w:cs="宋体"/>
          <w:sz w:val="28"/>
          <w:szCs w:val="28"/>
        </w:rPr>
        <w:t>满意度</w:t>
      </w:r>
      <w:r>
        <w:rPr>
          <w:rFonts w:hint="eastAsia" w:ascii="仿宋_GB2312" w:cs="宋体"/>
          <w:sz w:val="28"/>
          <w:szCs w:val="28"/>
        </w:rPr>
        <w:t>指标从政策知晓率、满意率两个方面进行评价。</w:t>
      </w:r>
    </w:p>
    <w:p>
      <w:pPr>
        <w:spacing w:line="560" w:lineRule="exact"/>
        <w:ind w:firstLine="560" w:firstLineChars="200"/>
        <w:rPr>
          <w:rFonts w:ascii="仿宋_GB2312" w:cs="宋体"/>
          <w:sz w:val="28"/>
          <w:szCs w:val="28"/>
        </w:rPr>
      </w:pPr>
      <w:r>
        <w:rPr>
          <w:rFonts w:hint="eastAsia" w:ascii="仿宋_GB2312" w:hAnsi="宋体" w:cs="宋体"/>
          <w:sz w:val="28"/>
          <w:szCs w:val="28"/>
        </w:rPr>
        <w:t>满意度</w:t>
      </w:r>
      <w:r>
        <w:rPr>
          <w:rFonts w:hint="eastAsia" w:ascii="仿宋_GB2312" w:cs="宋体"/>
          <w:sz w:val="28"/>
          <w:szCs w:val="28"/>
        </w:rPr>
        <w:t>指标分值10分，实际得分10分，得分率为100%；得分情况见下表：</w:t>
      </w:r>
    </w:p>
    <w:tbl>
      <w:tblPr>
        <w:tblStyle w:val="15"/>
        <w:tblW w:w="4998" w:type="pct"/>
        <w:jc w:val="center"/>
        <w:tblLayout w:type="autofit"/>
        <w:tblCellMar>
          <w:top w:w="0" w:type="dxa"/>
          <w:left w:w="108" w:type="dxa"/>
          <w:bottom w:w="0" w:type="dxa"/>
          <w:right w:w="108" w:type="dxa"/>
        </w:tblCellMar>
      </w:tblPr>
      <w:tblGrid>
        <w:gridCol w:w="2106"/>
        <w:gridCol w:w="2515"/>
        <w:gridCol w:w="1267"/>
        <w:gridCol w:w="1267"/>
        <w:gridCol w:w="1901"/>
      </w:tblGrid>
      <w:tr>
        <w:tblPrEx>
          <w:tblCellMar>
            <w:top w:w="0" w:type="dxa"/>
            <w:left w:w="108" w:type="dxa"/>
            <w:bottom w:w="0" w:type="dxa"/>
            <w:right w:w="108"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满意度</w:t>
            </w:r>
            <w:r>
              <w:rPr>
                <w:rFonts w:hint="eastAsia" w:ascii="仿宋_GB2312" w:hAnsi="等线" w:cs="仿宋_GB2312"/>
                <w:color w:val="000000"/>
                <w:kern w:val="0"/>
                <w:sz w:val="21"/>
                <w:szCs w:val="21"/>
                <w:lang w:bidi="ar"/>
              </w:rPr>
              <w:br w:type="textWrapping"/>
            </w: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政策知晓率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满意率</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100.00%</w:t>
            </w:r>
          </w:p>
        </w:tc>
      </w:tr>
      <w:tr>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100.00%</w:t>
            </w:r>
          </w:p>
        </w:tc>
      </w:tr>
    </w:tbl>
    <w:p>
      <w:pPr>
        <w:spacing w:line="560" w:lineRule="exact"/>
        <w:ind w:firstLine="560" w:firstLineChars="200"/>
        <w:rPr>
          <w:rFonts w:ascii="仿宋_GB2312" w:cs="宋体"/>
          <w:sz w:val="28"/>
          <w:szCs w:val="28"/>
        </w:rPr>
      </w:pPr>
      <w:r>
        <w:rPr>
          <w:rFonts w:hint="eastAsia" w:ascii="仿宋_GB2312" w:cs="宋体"/>
          <w:sz w:val="28"/>
          <w:szCs w:val="28"/>
        </w:rPr>
        <w:t>实际得分具体原因分析如下：</w:t>
      </w:r>
    </w:p>
    <w:p>
      <w:pPr>
        <w:spacing w:line="560" w:lineRule="exact"/>
        <w:ind w:firstLine="560" w:firstLineChars="200"/>
        <w:rPr>
          <w:rFonts w:ascii="仿宋_GB2312" w:cs="宋体"/>
          <w:sz w:val="28"/>
          <w:szCs w:val="28"/>
        </w:rPr>
      </w:pPr>
      <w:r>
        <w:rPr>
          <w:rFonts w:hint="eastAsia" w:ascii="仿宋_GB2312" w:cs="宋体"/>
          <w:sz w:val="28"/>
          <w:szCs w:val="28"/>
        </w:rPr>
        <w:t>1）政策知晓率指标总分5分，实际得分5分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本次评价主要通过电子问卷及现场调研形式开展满意度调查，共计发放164份调查问卷，其中有效问卷164份，政策知晓率为99.39%。</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综上，根据评分标准，得5分。</w:t>
      </w:r>
    </w:p>
    <w:p>
      <w:pPr>
        <w:spacing w:line="560" w:lineRule="exact"/>
        <w:ind w:firstLine="560" w:firstLineChars="200"/>
        <w:rPr>
          <w:rFonts w:ascii="仿宋_GB2312" w:cs="宋体"/>
          <w:sz w:val="28"/>
          <w:szCs w:val="28"/>
          <w:lang w:eastAsia="zh-Hans"/>
        </w:rPr>
      </w:pPr>
      <w:r>
        <w:rPr>
          <w:rFonts w:hint="eastAsia" w:ascii="仿宋_GB2312" w:cs="宋体"/>
          <w:sz w:val="28"/>
          <w:szCs w:val="28"/>
        </w:rPr>
        <w:t>2）满意率指标总分5分，实际得分5分</w:t>
      </w:r>
      <w:r>
        <w:rPr>
          <w:rFonts w:hint="eastAsia" w:ascii="仿宋_GB2312" w:cs="宋体"/>
          <w:sz w:val="28"/>
          <w:szCs w:val="28"/>
          <w:lang w:eastAsia="zh-Hans"/>
        </w:rPr>
        <w:t>。</w:t>
      </w:r>
    </w:p>
    <w:p>
      <w:pPr>
        <w:spacing w:line="560" w:lineRule="exact"/>
        <w:ind w:firstLine="560" w:firstLineChars="200"/>
        <w:rPr>
          <w:rFonts w:ascii="仿宋_GB2312" w:cs="宋体"/>
          <w:sz w:val="28"/>
          <w:szCs w:val="28"/>
          <w:lang w:eastAsia="zh-Hans"/>
        </w:rPr>
      </w:pPr>
      <w:r>
        <w:rPr>
          <w:rFonts w:hint="eastAsia" w:ascii="仿宋_GB2312" w:cs="宋体"/>
          <w:sz w:val="28"/>
          <w:szCs w:val="28"/>
          <w:lang w:eastAsia="zh-Hans"/>
        </w:rPr>
        <w:t>本次评价主要通过电子问卷及现场调研形式开展满意度调查，共计发放164份调查问卷，其中有效问卷164份，满意度为99.97</w:t>
      </w:r>
      <w:r>
        <w:rPr>
          <w:rFonts w:hint="eastAsia" w:ascii="仿宋_GB2312" w:cs="宋体"/>
          <w:sz w:val="28"/>
          <w:szCs w:val="28"/>
        </w:rPr>
        <w:t>%</w:t>
      </w:r>
      <w:r>
        <w:rPr>
          <w:rFonts w:hint="eastAsia" w:ascii="仿宋_GB2312" w:cs="宋体"/>
          <w:sz w:val="28"/>
          <w:szCs w:val="28"/>
          <w:lang w:eastAsia="zh-Hans"/>
        </w:rPr>
        <w:t>。</w:t>
      </w:r>
    </w:p>
    <w:p>
      <w:pPr>
        <w:spacing w:line="560" w:lineRule="exact"/>
        <w:ind w:firstLine="560" w:firstLineChars="200"/>
        <w:rPr>
          <w:rFonts w:ascii="仿宋_GB2312" w:cs="宋体"/>
          <w:sz w:val="28"/>
          <w:szCs w:val="28"/>
        </w:rPr>
      </w:pPr>
      <w:r>
        <w:rPr>
          <w:rFonts w:hint="eastAsia" w:ascii="仿宋_GB2312" w:cs="宋体"/>
          <w:sz w:val="28"/>
          <w:szCs w:val="28"/>
        </w:rPr>
        <w:t>综上，根据评分标准，得10分。</w:t>
      </w:r>
    </w:p>
    <w:p>
      <w:pPr>
        <w:spacing w:line="560" w:lineRule="exact"/>
        <w:ind w:firstLine="560" w:firstLineChars="200"/>
        <w:rPr>
          <w:rFonts w:ascii="仿宋_GB2312" w:cs="宋体"/>
          <w:sz w:val="28"/>
          <w:szCs w:val="28"/>
        </w:rPr>
      </w:pPr>
      <w:r>
        <w:rPr>
          <w:rFonts w:hint="eastAsia" w:ascii="仿宋_GB2312" w:cs="宋体"/>
          <w:sz w:val="28"/>
          <w:szCs w:val="28"/>
        </w:rPr>
        <w:t>（6）加减分</w:t>
      </w:r>
    </w:p>
    <w:p>
      <w:pPr>
        <w:spacing w:line="560" w:lineRule="exact"/>
        <w:ind w:firstLine="560" w:firstLineChars="200"/>
        <w:rPr>
          <w:rFonts w:ascii="仿宋_GB2312" w:cs="宋体"/>
          <w:sz w:val="28"/>
          <w:szCs w:val="28"/>
        </w:rPr>
      </w:pPr>
      <w:r>
        <w:rPr>
          <w:rFonts w:hint="eastAsia" w:ascii="仿宋_GB2312" w:cs="宋体"/>
          <w:sz w:val="28"/>
          <w:szCs w:val="28"/>
        </w:rPr>
        <w:t>加减分指标从加分项、减分项两个方面进行评价。</w:t>
      </w:r>
    </w:p>
    <w:p>
      <w:pPr>
        <w:spacing w:line="560" w:lineRule="exact"/>
        <w:ind w:firstLine="560" w:firstLineChars="200"/>
        <w:rPr>
          <w:rFonts w:ascii="仿宋_GB2312" w:cs="宋体"/>
          <w:sz w:val="28"/>
          <w:szCs w:val="28"/>
        </w:rPr>
      </w:pPr>
      <w:r>
        <w:rPr>
          <w:rFonts w:hint="eastAsia" w:ascii="仿宋_GB2312" w:cs="宋体"/>
          <w:sz w:val="28"/>
          <w:szCs w:val="28"/>
        </w:rPr>
        <w:t>加减分指标分值≤10分，实际得分-1.5分，得分情况见下表：</w:t>
      </w:r>
    </w:p>
    <w:tbl>
      <w:tblPr>
        <w:tblStyle w:val="15"/>
        <w:tblW w:w="4998" w:type="pct"/>
        <w:jc w:val="center"/>
        <w:tblLayout w:type="autofit"/>
        <w:tblCellMar>
          <w:top w:w="0" w:type="dxa"/>
          <w:left w:w="108" w:type="dxa"/>
          <w:bottom w:w="0" w:type="dxa"/>
          <w:right w:w="108" w:type="dxa"/>
        </w:tblCellMar>
      </w:tblPr>
      <w:tblGrid>
        <w:gridCol w:w="2260"/>
        <w:gridCol w:w="2260"/>
        <w:gridCol w:w="1362"/>
        <w:gridCol w:w="1364"/>
        <w:gridCol w:w="1810"/>
      </w:tblGrid>
      <w:tr>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BFBFBF"/>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得分率</w:t>
            </w:r>
          </w:p>
        </w:tc>
      </w:tr>
      <w:tr>
        <w:tblPrEx>
          <w:tblCellMar>
            <w:top w:w="0" w:type="dxa"/>
            <w:left w:w="108" w:type="dxa"/>
            <w:bottom w:w="0" w:type="dxa"/>
            <w:right w:w="108" w:type="dxa"/>
          </w:tblCellMar>
        </w:tblPrEx>
        <w:trPr>
          <w:jc w:val="center"/>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加减分</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加分项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0.00 </w:t>
            </w:r>
          </w:p>
        </w:tc>
      </w:tr>
      <w:tr>
        <w:tblPrEx>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等线" w:cs="仿宋_GB2312"/>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减分项</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-1.5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color w:val="000000"/>
                <w:sz w:val="21"/>
                <w:szCs w:val="21"/>
              </w:rPr>
            </w:pPr>
            <w:r>
              <w:rPr>
                <w:rFonts w:hint="eastAsia" w:ascii="仿宋_GB2312" w:hAnsi="等线" w:cs="仿宋_GB2312"/>
                <w:color w:val="000000"/>
                <w:kern w:val="0"/>
                <w:sz w:val="21"/>
                <w:szCs w:val="21"/>
                <w:lang w:bidi="ar"/>
              </w:rPr>
              <w:t xml:space="preserve">0.00 </w:t>
            </w:r>
          </w:p>
        </w:tc>
      </w:tr>
      <w:tr>
        <w:trPr>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合计</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≤10</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-1.5</w:t>
            </w:r>
          </w:p>
        </w:tc>
        <w:tc>
          <w:tcPr>
            <w:tcW w:w="0" w:type="auto"/>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等线" w:cs="仿宋_GB2312"/>
                <w:b/>
                <w:bCs/>
                <w:color w:val="000000"/>
                <w:sz w:val="21"/>
                <w:szCs w:val="21"/>
              </w:rPr>
            </w:pPr>
            <w:r>
              <w:rPr>
                <w:rFonts w:hint="eastAsia" w:ascii="仿宋_GB2312" w:hAnsi="等线" w:cs="仿宋_GB2312"/>
                <w:b/>
                <w:bCs/>
                <w:color w:val="000000"/>
                <w:kern w:val="0"/>
                <w:sz w:val="21"/>
                <w:szCs w:val="21"/>
                <w:lang w:bidi="ar"/>
              </w:rPr>
              <w:t xml:space="preserve">0.00 </w:t>
            </w:r>
          </w:p>
        </w:tc>
      </w:tr>
    </w:tbl>
    <w:p>
      <w:pPr>
        <w:spacing w:line="560" w:lineRule="atLeast"/>
        <w:ind w:firstLine="560" w:firstLineChars="200"/>
        <w:rPr>
          <w:rFonts w:ascii="仿宋_GB2312" w:cs="宋体"/>
          <w:sz w:val="28"/>
          <w:szCs w:val="28"/>
        </w:rPr>
      </w:pPr>
      <w:r>
        <w:rPr>
          <w:rFonts w:hint="eastAsia" w:ascii="仿宋_GB2312" w:cs="宋体"/>
          <w:sz w:val="28"/>
          <w:szCs w:val="28"/>
        </w:rPr>
        <w:t>1）加分项指标≤10，评价期间无加分事项，实际得分0分；</w:t>
      </w:r>
    </w:p>
    <w:p>
      <w:pPr>
        <w:spacing w:line="560" w:lineRule="atLeast"/>
        <w:ind w:firstLine="560" w:firstLineChars="200"/>
        <w:rPr>
          <w:rFonts w:ascii="仿宋_GB2312" w:cs="宋体"/>
          <w:sz w:val="28"/>
          <w:szCs w:val="28"/>
        </w:rPr>
      </w:pPr>
      <w:r>
        <w:rPr>
          <w:rFonts w:hint="eastAsia" w:ascii="仿宋_GB2312" w:cs="宋体"/>
          <w:sz w:val="28"/>
          <w:szCs w:val="28"/>
        </w:rPr>
        <w:t>2）减分项指标≤10，实际得分-1.5分。</w:t>
      </w:r>
    </w:p>
    <w:p>
      <w:pPr>
        <w:pStyle w:val="7"/>
        <w:spacing w:line="560" w:lineRule="atLeast"/>
        <w:ind w:firstLine="560"/>
        <w:rPr>
          <w:rFonts w:ascii="仿宋_GB2312" w:cs="宋体"/>
          <w:sz w:val="28"/>
          <w:szCs w:val="28"/>
        </w:rPr>
      </w:pPr>
      <w:r>
        <w:rPr>
          <w:rFonts w:hint="eastAsia" w:ascii="仿宋_GB2312" w:cs="宋体"/>
          <w:sz w:val="28"/>
          <w:szCs w:val="28"/>
        </w:rPr>
        <w:t>根据项目单位提供的资料及评价组的现场检查发现，上一年度政策性农业保险承保机构绩效评价中出现的档案管理不规范以及案件处理率较低这两方面的问题，仍未进行有效整改，在本次评价工作中依然存在。其中案件处理率，上一年案件处理率为88.81%，本年度案件处理率为91.17%，较上一年度增长2.59%，但综合来看，仍为全市较低水平，与全市最高值99.51%对比，相差8.34%。</w:t>
      </w:r>
    </w:p>
    <w:p>
      <w:pPr>
        <w:spacing w:line="560" w:lineRule="atLeast"/>
        <w:ind w:firstLine="560" w:firstLineChars="200"/>
        <w:rPr>
          <w:rFonts w:ascii="仿宋_GB2312" w:cs="宋体"/>
          <w:sz w:val="28"/>
          <w:szCs w:val="28"/>
        </w:rPr>
      </w:pPr>
      <w:r>
        <w:rPr>
          <w:rFonts w:hint="eastAsia" w:ascii="仿宋_GB2312" w:cs="宋体"/>
          <w:sz w:val="28"/>
          <w:szCs w:val="28"/>
        </w:rPr>
        <w:t>综上，根据评分标准，得-1.5分。</w:t>
      </w:r>
    </w:p>
    <w:p>
      <w:pPr>
        <w:spacing w:line="560" w:lineRule="exact"/>
        <w:ind w:firstLine="560" w:firstLineChars="200"/>
        <w:outlineLvl w:val="0"/>
        <w:rPr>
          <w:rFonts w:hint="eastAsia" w:ascii="黑体" w:hAnsi="黑体" w:eastAsia="黑体"/>
          <w:sz w:val="28"/>
          <w:szCs w:val="28"/>
        </w:rPr>
      </w:pPr>
      <w:bookmarkStart w:id="45" w:name="_Toc232071891"/>
      <w:bookmarkStart w:id="46" w:name="_Hlk109648540"/>
      <w:r>
        <w:rPr>
          <w:rFonts w:hint="eastAsia" w:ascii="黑体" w:hAnsi="黑体" w:eastAsia="黑体"/>
          <w:sz w:val="28"/>
          <w:szCs w:val="28"/>
        </w:rPr>
        <w:t>四、存在的问题及相关建议</w:t>
      </w:r>
      <w:bookmarkEnd w:id="45"/>
    </w:p>
    <w:p>
      <w:pPr>
        <w:spacing w:line="560" w:lineRule="exact"/>
        <w:ind w:firstLine="560" w:firstLineChars="200"/>
        <w:outlineLvl w:val="1"/>
        <w:rPr>
          <w:rFonts w:ascii="仿宋_GB2312" w:cs="宋体"/>
          <w:sz w:val="28"/>
          <w:szCs w:val="28"/>
        </w:rPr>
      </w:pPr>
      <w:bookmarkStart w:id="47" w:name="_Toc232071892"/>
      <w:r>
        <w:rPr>
          <w:rFonts w:hint="eastAsia" w:ascii="楷体_GB2312" w:eastAsia="楷体_GB2312"/>
          <w:sz w:val="28"/>
          <w:szCs w:val="28"/>
        </w:rPr>
        <w:t>（一）存</w:t>
      </w:r>
      <w:r>
        <w:rPr>
          <w:rFonts w:ascii="楷体_GB2312" w:eastAsia="楷体_GB2312"/>
          <w:sz w:val="28"/>
          <w:szCs w:val="28"/>
        </w:rPr>
        <w:t>在的问题</w:t>
      </w:r>
      <w:bookmarkEnd w:id="47"/>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1.查勘定损流程不规范</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根据通过收到的满意度问卷调查发现，理赔查勘定损环节存在操作不规范情形，个别农户反映存在定损信息留白、农户先行签字、后续补填定损结果的情况，未严格落实标准化定损、双方协商确认的工作要求。</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w:t>
      </w:r>
      <w:r>
        <w:rPr>
          <w:rFonts w:hint="eastAsia" w:ascii="仿宋_GB2312" w:hAnsi="宋体"/>
          <w:bCs/>
          <w:color w:val="000000"/>
          <w:sz w:val="28"/>
          <w:szCs w:val="28"/>
        </w:rPr>
        <w:t>案件</w:t>
      </w:r>
      <w:r>
        <w:rPr>
          <w:rFonts w:hint="eastAsia" w:ascii="仿宋_GB2312" w:hAnsi="宋体"/>
          <w:bCs/>
          <w:sz w:val="28"/>
          <w:szCs w:val="28"/>
        </w:rPr>
        <w:t>处理效率有待提高</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上一年案件处理率为88.81%，本年度案件处理率为91.17%，较上一年度增长2.59%，但综合来看，仍为全市较低水平，与全市最高值99.51%对比，相差8.34%。根据项目公司提供的资料，截至2025年12月31日，仍有5笔案件已报案但还没完成立案，案件处理效率有待提高。</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3.个别保单公示信息不规范</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经查看公示信息发现，个别保单仍存在公示不规范的问题，</w:t>
      </w:r>
      <w:r>
        <w:rPr>
          <w:rFonts w:hint="eastAsia" w:ascii="仿宋_GB2312" w:cs="宋体"/>
          <w:sz w:val="28"/>
          <w:szCs w:val="28"/>
        </w:rPr>
        <w:t>如：</w:t>
      </w:r>
      <w:r>
        <w:rPr>
          <w:rFonts w:hint="eastAsia" w:ascii="仿宋_GB2312" w:cs="宋体"/>
          <w:color w:val="000000"/>
          <w:sz w:val="28"/>
          <w:szCs w:val="28"/>
        </w:rPr>
        <w:t>公</w:t>
      </w:r>
      <w:r>
        <w:rPr>
          <w:rFonts w:hint="eastAsia" w:ascii="仿宋_GB2312" w:cs="宋体"/>
          <w:sz w:val="28"/>
          <w:szCs w:val="28"/>
        </w:rPr>
        <w:t>示时未隐藏被保险人身份证信息、银行卡号等个人隐私信息，且农户签字处为空白。</w:t>
      </w:r>
      <w:r>
        <w:rPr>
          <w:rFonts w:hint="eastAsia" w:ascii="仿宋_GB2312" w:hAnsi="宋体"/>
          <w:bCs/>
          <w:sz w:val="28"/>
          <w:szCs w:val="28"/>
        </w:rPr>
        <w:t>详见本报告三、综合评价情况及评价结论2.具体指标分析（3）保单管理情况2）</w:t>
      </w:r>
      <w:r>
        <w:rPr>
          <w:rFonts w:hint="eastAsia" w:ascii="仿宋_GB2312" w:cs="宋体"/>
          <w:sz w:val="28"/>
          <w:szCs w:val="28"/>
        </w:rPr>
        <w:t>信息公示</w:t>
      </w:r>
      <w:r>
        <w:rPr>
          <w:rFonts w:hint="eastAsia" w:ascii="仿宋_GB2312" w:hAnsi="宋体"/>
          <w:bCs/>
          <w:sz w:val="28"/>
          <w:szCs w:val="28"/>
        </w:rPr>
        <w:t>指标。</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4.保单档案填写不规范</w:t>
      </w:r>
    </w:p>
    <w:bookmarkEnd w:id="46"/>
    <w:p>
      <w:pPr>
        <w:spacing w:line="560" w:lineRule="exact"/>
        <w:ind w:firstLine="560" w:firstLineChars="200"/>
        <w:rPr>
          <w:rFonts w:ascii="仿宋_GB2312" w:cs="宋体"/>
          <w:sz w:val="28"/>
          <w:szCs w:val="28"/>
        </w:rPr>
      </w:pPr>
      <w:r>
        <w:rPr>
          <w:rFonts w:hint="eastAsia" w:ascii="仿宋_GB2312" w:hAnsi="宋体"/>
          <w:bCs/>
          <w:sz w:val="28"/>
          <w:szCs w:val="28"/>
        </w:rPr>
        <w:t>本次抽查86份电子及纸质承保档案发现多项问题：一是投保单存在未填写日期、保险期间与保单不一致、投保日期滞后于缴费日期等问题；二是保险查验报告单存在签章空白、上下日期不一致问题；三是投保分户清单存在投保人信息空白问题；四是存在先缴费、后验标的承保流程倒置违规情况；五是部分农户理赔确认单未填写签署日期，整体保单档案规范性、完整性不足。详见本报告三、综合评价情况及评价结论2.具体指标分析（3）保单管理情况3）</w:t>
      </w:r>
      <w:r>
        <w:rPr>
          <w:rFonts w:hint="eastAsia" w:ascii="仿宋_GB2312" w:cs="宋体"/>
          <w:sz w:val="28"/>
          <w:szCs w:val="28"/>
        </w:rPr>
        <w:t>保单完</w:t>
      </w:r>
      <w:r>
        <w:rPr>
          <w:rFonts w:hint="eastAsia" w:ascii="仿宋_GB2312" w:cs="宋体"/>
          <w:color w:val="000000"/>
          <w:sz w:val="28"/>
          <w:szCs w:val="28"/>
        </w:rPr>
        <w:t>整</w:t>
      </w:r>
      <w:r>
        <w:rPr>
          <w:rFonts w:hint="eastAsia" w:ascii="仿宋_GB2312" w:cs="宋体"/>
          <w:sz w:val="28"/>
          <w:szCs w:val="28"/>
        </w:rPr>
        <w:t>、准确性指标。</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5.个别地区承保工作效率偏低，服务时效性不足</w:t>
      </w:r>
    </w:p>
    <w:p>
      <w:pPr>
        <w:spacing w:line="560" w:lineRule="exact"/>
        <w:ind w:firstLine="560" w:firstLineChars="200"/>
        <w:rPr>
          <w:rFonts w:hint="eastAsia" w:ascii="仿宋_GB2312" w:hAnsi="宋体"/>
          <w:bCs/>
          <w:sz w:val="28"/>
          <w:szCs w:val="28"/>
        </w:rPr>
      </w:pPr>
      <w:r>
        <w:rPr>
          <w:rFonts w:hint="eastAsia" w:ascii="仿宋_GB2312" w:cs="宋体"/>
          <w:sz w:val="28"/>
          <w:szCs w:val="28"/>
        </w:rPr>
        <w:t>根</w:t>
      </w:r>
      <w:r>
        <w:rPr>
          <w:rFonts w:hint="eastAsia" w:ascii="仿宋_GB2312" w:hAnsi="宋体"/>
          <w:bCs/>
          <w:sz w:val="28"/>
          <w:szCs w:val="28"/>
        </w:rPr>
        <w:t>据走访农户及现场调查，胶州市里岔镇的</w:t>
      </w:r>
      <w:r>
        <w:rPr>
          <w:rFonts w:hint="eastAsia" w:ascii="仿宋_GB2312" w:hAnsi="宋体"/>
          <w:bCs/>
          <w:color w:val="000000"/>
          <w:sz w:val="28"/>
          <w:szCs w:val="28"/>
        </w:rPr>
        <w:t>农户反映</w:t>
      </w:r>
      <w:r>
        <w:rPr>
          <w:rFonts w:hint="eastAsia" w:ascii="仿宋_GB2312" w:hAnsi="宋体"/>
          <w:bCs/>
          <w:sz w:val="28"/>
          <w:szCs w:val="28"/>
        </w:rPr>
        <w:t>出去年承保中路财险的能繁母猪养殖保险，一方面，整体承保流程环节</w:t>
      </w:r>
      <w:r>
        <w:rPr>
          <w:rFonts w:hint="eastAsia" w:ascii="仿宋_GB2312" w:hAnsi="宋体"/>
          <w:bCs/>
          <w:color w:val="000000"/>
          <w:sz w:val="28"/>
          <w:szCs w:val="28"/>
        </w:rPr>
        <w:t>繁琐</w:t>
      </w:r>
      <w:r>
        <w:rPr>
          <w:rFonts w:hint="eastAsia" w:ascii="仿宋_GB2312" w:hAnsi="宋体"/>
          <w:bCs/>
          <w:sz w:val="28"/>
          <w:szCs w:val="28"/>
        </w:rPr>
        <w:t>、衔接不畅，全流程耗费时间过长，农户投保周期被大幅拉长；另一方面，协保员人手不够，现场查勘响应速度慢、查勘耗时久，未能做到快速核验、及时跟进，且查勘完成后保单出单不及时，部分农户未能参保。整体服务节奏无法适配农户养殖投保的实际需求，影响农户参保体验，导致参保农户自身认可度不足。</w:t>
      </w:r>
    </w:p>
    <w:p>
      <w:pPr>
        <w:spacing w:line="560" w:lineRule="exact"/>
        <w:ind w:firstLine="560" w:firstLineChars="200"/>
        <w:outlineLvl w:val="1"/>
        <w:rPr>
          <w:rFonts w:hint="eastAsia" w:ascii="仿宋_GB2312" w:hAnsi="宋体"/>
          <w:bCs/>
          <w:sz w:val="28"/>
          <w:szCs w:val="28"/>
        </w:rPr>
      </w:pPr>
      <w:bookmarkStart w:id="48" w:name="_Toc232071893"/>
      <w:r>
        <w:rPr>
          <w:rFonts w:hint="eastAsia" w:ascii="楷体_GB2312" w:eastAsia="楷体_GB2312"/>
          <w:sz w:val="28"/>
          <w:szCs w:val="28"/>
        </w:rPr>
        <w:t>（二）相关</w:t>
      </w:r>
      <w:r>
        <w:rPr>
          <w:rFonts w:ascii="楷体_GB2312" w:eastAsia="楷体_GB2312"/>
          <w:sz w:val="28"/>
          <w:szCs w:val="28"/>
        </w:rPr>
        <w:t>建议</w:t>
      </w:r>
      <w:bookmarkEnd w:id="48"/>
    </w:p>
    <w:p>
      <w:pPr>
        <w:spacing w:line="560" w:lineRule="exact"/>
        <w:ind w:firstLine="560" w:firstLineChars="200"/>
        <w:rPr>
          <w:rFonts w:ascii="仿宋_GB2312" w:cs="宋体"/>
          <w:sz w:val="28"/>
          <w:szCs w:val="28"/>
        </w:rPr>
      </w:pPr>
      <w:r>
        <w:rPr>
          <w:rFonts w:hint="eastAsia" w:ascii="仿宋_GB2312" w:hAnsi="宋体"/>
          <w:bCs/>
          <w:sz w:val="28"/>
          <w:szCs w:val="28"/>
        </w:rPr>
        <w:t>1.</w:t>
      </w:r>
      <w:r>
        <w:rPr>
          <w:rFonts w:hint="eastAsia" w:ascii="仿宋_GB2312" w:cs="宋体"/>
          <w:sz w:val="28"/>
          <w:szCs w:val="28"/>
        </w:rPr>
        <w:t>优化勘察定损流程，全面规范定损作业</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严格执行农业保险查勘、定损、理赔标准化管理规定，明确现场定损工作流程，要求工作人员完成现场查勘、精准核定损失、确定定损结果后，再组织农户签字确认。常态化开展一线理赔人员实操培训和合规警示教育，定期抽查定损档案、回访农户，对先签字后补录信息的违规行为严肃整改，全面规范理赔操作流程。</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2.建立案件动态督办机制，闭环整改历史遗留问题，持续提升案件处置效率</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搭</w:t>
      </w:r>
      <w:r>
        <w:rPr>
          <w:rFonts w:hint="eastAsia" w:ascii="仿宋_GB2312" w:hAnsi="宋体"/>
          <w:bCs/>
          <w:color w:val="000000"/>
          <w:sz w:val="28"/>
          <w:szCs w:val="28"/>
        </w:rPr>
        <w:t>建理</w:t>
      </w:r>
      <w:r>
        <w:rPr>
          <w:rFonts w:hint="eastAsia" w:ascii="仿宋_GB2312" w:hAnsi="宋体"/>
          <w:bCs/>
          <w:sz w:val="28"/>
          <w:szCs w:val="28"/>
        </w:rPr>
        <w:t>赔案件全周期动态管理台账，对已立案未核赔、超期未办结案件进行专项督办，明确办结时限、压实责任人，压缩案件处理周期，稳步提升案件处理率。针对历年绩效评价发现的问题建立专项整改台账，逐项制定整改措施、完成整改验证、留存整改档案，实现问题闭环管理，杜绝同类问题反复出现。</w:t>
      </w:r>
    </w:p>
    <w:p>
      <w:pPr>
        <w:spacing w:line="560" w:lineRule="exact"/>
        <w:ind w:firstLine="560" w:firstLineChars="200"/>
        <w:rPr>
          <w:rFonts w:hint="eastAsia" w:ascii="仿宋_GB2312" w:hAnsi="宋体"/>
          <w:bCs/>
          <w:sz w:val="28"/>
          <w:szCs w:val="28"/>
        </w:rPr>
      </w:pPr>
      <w:r>
        <w:rPr>
          <w:rFonts w:hint="eastAsia" w:ascii="仿宋_GB2312" w:hAnsi="宋体"/>
          <w:bCs/>
          <w:sz w:val="28"/>
          <w:szCs w:val="28"/>
        </w:rPr>
        <w:t>3.规范保单公示管理</w:t>
      </w:r>
    </w:p>
    <w:p>
      <w:pPr>
        <w:spacing w:line="560" w:lineRule="exact"/>
        <w:ind w:firstLine="560" w:firstLineChars="200"/>
        <w:rPr>
          <w:rFonts w:ascii="仿宋_GB2312" w:cs="宋体"/>
          <w:sz w:val="28"/>
          <w:szCs w:val="28"/>
        </w:rPr>
      </w:pPr>
      <w:r>
        <w:rPr>
          <w:rFonts w:hint="eastAsia" w:ascii="仿宋_GB2312" w:cs="宋体"/>
          <w:sz w:val="28"/>
          <w:szCs w:val="28"/>
        </w:rPr>
        <w:t>建立“双人审核、事前复核”的保单公示机制，公示前逐一核对承保数据、公示时序、影像资料，修正错误信息，确保公示内容真实准确。严格落实农户个人信息保护要求，对身份证、银行卡等敏感信息进行脱敏遮挡处理。规范公示流程，必须在投保手续全部办结后开展公示工作，留存完整公示影像资料，保障公示流程合规、信息安全。</w:t>
      </w:r>
    </w:p>
    <w:p>
      <w:pPr>
        <w:spacing w:line="560" w:lineRule="exact"/>
        <w:ind w:firstLine="560" w:firstLineChars="200"/>
        <w:rPr>
          <w:rFonts w:ascii="仿宋_GB2312" w:cs="宋体"/>
          <w:sz w:val="28"/>
          <w:szCs w:val="28"/>
        </w:rPr>
      </w:pPr>
      <w:r>
        <w:rPr>
          <w:rFonts w:hint="eastAsia" w:ascii="仿宋_GB2312" w:cs="宋体"/>
          <w:sz w:val="28"/>
          <w:szCs w:val="28"/>
        </w:rPr>
        <w:t>4.加强保单档案管理</w:t>
      </w:r>
    </w:p>
    <w:p>
      <w:pPr>
        <w:spacing w:line="560" w:lineRule="exact"/>
        <w:ind w:firstLine="560" w:firstLineChars="200"/>
        <w:rPr>
          <w:rFonts w:ascii="仿宋_GB2312" w:cs="宋体"/>
          <w:sz w:val="28"/>
          <w:szCs w:val="28"/>
        </w:rPr>
      </w:pPr>
      <w:r>
        <w:rPr>
          <w:rFonts w:hint="eastAsia" w:ascii="仿宋_GB2312" w:cs="宋体"/>
          <w:sz w:val="28"/>
          <w:szCs w:val="28"/>
        </w:rPr>
        <w:t>制定统一的农业保险保单档案填写操作细则，明确投保单、查验单、分户清单、理赔单据的填写规范、时间节点、签章要求，统一操作标准。按照“先验标、后缴费、再出单”的标准化承保流程，避免流程倒置问题。安排专人定期对纸质、电子保单档案进行全面抽查，对填写不规范、资料缺失、流程违规的档案立即整改，建立档案问题整改台账，持续提升保单档案管理规范化水平。</w:t>
      </w:r>
    </w:p>
    <w:p>
      <w:pPr>
        <w:spacing w:line="560" w:lineRule="exact"/>
        <w:ind w:firstLine="560" w:firstLineChars="200"/>
        <w:rPr>
          <w:rFonts w:ascii="仿宋_GB2312" w:cs="宋体"/>
          <w:sz w:val="28"/>
          <w:szCs w:val="28"/>
        </w:rPr>
      </w:pPr>
      <w:r>
        <w:rPr>
          <w:rFonts w:hint="eastAsia" w:ascii="仿宋_GB2312" w:cs="宋体"/>
          <w:sz w:val="28"/>
          <w:szCs w:val="28"/>
        </w:rPr>
        <w:t>5.优化承保全流程，全面提升工作服务效率</w:t>
      </w:r>
    </w:p>
    <w:p>
      <w:pPr>
        <w:spacing w:line="560" w:lineRule="exact"/>
        <w:ind w:firstLine="560" w:firstLineChars="200"/>
        <w:rPr>
          <w:rFonts w:ascii="仿宋_GB2312" w:cs="宋体"/>
          <w:sz w:val="28"/>
          <w:szCs w:val="28"/>
        </w:rPr>
      </w:pPr>
      <w:r>
        <w:rPr>
          <w:rFonts w:ascii="仿宋_GB2312" w:cs="宋体"/>
          <w:sz w:val="28"/>
          <w:szCs w:val="28"/>
        </w:rPr>
        <w:t>聚焦农户反映的时效</w:t>
      </w:r>
      <w:r>
        <w:rPr>
          <w:rFonts w:hint="eastAsia" w:ascii="仿宋_GB2312" w:cs="宋体"/>
          <w:sz w:val="28"/>
          <w:szCs w:val="28"/>
        </w:rPr>
        <w:t>问题</w:t>
      </w:r>
      <w:r>
        <w:rPr>
          <w:rFonts w:ascii="仿宋_GB2312" w:cs="宋体"/>
          <w:sz w:val="28"/>
          <w:szCs w:val="28"/>
        </w:rPr>
        <w:t>，全面精简、优化育繁母猪保险承保工作流程。梳理现有承保各环节冗余流程，简化农户投保手续，压缩整体承保办理周期；建立快速查勘响应机制，配备专属基层工作人员，缩短现场查勘响应时长，做到接报即查、快速核验，提升现场服务效率。同时，明确保单出单时限，实行查勘完成后限时出单制度，杜绝拖延出单问题，保障农户能够及时持有有效保单，切实解决流程</w:t>
      </w:r>
      <w:r>
        <w:rPr>
          <w:rFonts w:ascii="仿宋_GB2312" w:cs="宋体"/>
          <w:color w:val="000000"/>
          <w:sz w:val="28"/>
          <w:szCs w:val="28"/>
        </w:rPr>
        <w:t>繁琐</w:t>
      </w:r>
      <w:r>
        <w:rPr>
          <w:rFonts w:ascii="仿宋_GB2312" w:cs="宋体"/>
          <w:sz w:val="28"/>
          <w:szCs w:val="28"/>
        </w:rPr>
        <w:t>、时效滞后的核心问题，提升基础服务质量。</w:t>
      </w:r>
    </w:p>
    <w:p>
      <w:pPr>
        <w:spacing w:line="560" w:lineRule="exact"/>
        <w:ind w:firstLine="560" w:firstLineChars="200"/>
        <w:rPr>
          <w:rFonts w:ascii="仿宋_GB2312" w:cs="宋体"/>
          <w:sz w:val="28"/>
          <w:szCs w:val="28"/>
        </w:rPr>
      </w:pPr>
      <w:r>
        <w:rPr>
          <w:rFonts w:ascii="仿宋_GB2312" w:cs="宋体"/>
          <w:sz w:val="28"/>
          <w:szCs w:val="28"/>
        </w:rPr>
        <w:t>针对前期服务短板，建立农户回访机制，主动对接辖区养殖户，耐心解答农户投保、理赔相关疑问，主动公示服务流程、办理时限，公开透明开展保险服务。高效处理农户各类业务诉求，及时解决农户投保过程中遇到的问题，用标准化、高效率的服务扭转农户固有负面认知，逐步重拾农户的信任度，调动农户参保积极性。同时，针对周边观望农户、未参保农户开展定向宣传，结合真实参保案例讲解保险保障价值，打消农户投保顾虑。常态化开展宣传工作，持续扩大宣传辐射范围，充分挖掘潜在参保资源，稳步提升区域育繁母猪保险投保覆盖率，切实发挥养殖保险兜底保障作用。</w:t>
      </w:r>
    </w:p>
    <w:p>
      <w:bookmarkStart w:id="49" w:name="_GoBack"/>
      <w:bookmarkEnd w:id="49"/>
    </w:p>
    <w:sectPr>
      <w:headerReference r:id="rId3" w:type="default"/>
      <w:footerReference r:id="rId4" w:type="default"/>
      <w:pgSz w:w="11906" w:h="16838"/>
      <w:pgMar w:top="1417" w:right="1531" w:bottom="1417" w:left="1531" w:header="737" w:footer="851"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方正小标宋_GBK">
    <w:panose1 w:val="02000000000000000000"/>
    <w:charset w:val="86"/>
    <w:family w:val="script"/>
    <w:pitch w:val="default"/>
    <w:sig w:usb0="00000001" w:usb1="0800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0"/>
  <w:drawingGridVerticalSpacing w:val="204"/>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4Mzc2MmRmYWQyODM3NTAwZWU2YmMyY2QxY2QifQ=="/>
  </w:docVars>
  <w:rsids>
    <w:rsidRoot w:val="000D3013"/>
    <w:rsid w:val="00000C4F"/>
    <w:rsid w:val="000020B0"/>
    <w:rsid w:val="000041BF"/>
    <w:rsid w:val="000044F4"/>
    <w:rsid w:val="000054D9"/>
    <w:rsid w:val="00006703"/>
    <w:rsid w:val="00006A40"/>
    <w:rsid w:val="00006D45"/>
    <w:rsid w:val="00007536"/>
    <w:rsid w:val="00007AC4"/>
    <w:rsid w:val="00007E32"/>
    <w:rsid w:val="000103D5"/>
    <w:rsid w:val="00010E2A"/>
    <w:rsid w:val="0001310D"/>
    <w:rsid w:val="00013D59"/>
    <w:rsid w:val="000164AA"/>
    <w:rsid w:val="00016A21"/>
    <w:rsid w:val="00022328"/>
    <w:rsid w:val="0002344C"/>
    <w:rsid w:val="00023C95"/>
    <w:rsid w:val="00026554"/>
    <w:rsid w:val="0002708E"/>
    <w:rsid w:val="00027369"/>
    <w:rsid w:val="00030A0B"/>
    <w:rsid w:val="00031710"/>
    <w:rsid w:val="00031EC4"/>
    <w:rsid w:val="00032C4A"/>
    <w:rsid w:val="000333D8"/>
    <w:rsid w:val="00036789"/>
    <w:rsid w:val="0003682C"/>
    <w:rsid w:val="00037759"/>
    <w:rsid w:val="00037B24"/>
    <w:rsid w:val="000401B2"/>
    <w:rsid w:val="00042CA1"/>
    <w:rsid w:val="00043502"/>
    <w:rsid w:val="00043F49"/>
    <w:rsid w:val="00044271"/>
    <w:rsid w:val="000457F0"/>
    <w:rsid w:val="00050595"/>
    <w:rsid w:val="00050D10"/>
    <w:rsid w:val="000521A3"/>
    <w:rsid w:val="00054B60"/>
    <w:rsid w:val="0005622C"/>
    <w:rsid w:val="000573DD"/>
    <w:rsid w:val="00057759"/>
    <w:rsid w:val="00061D97"/>
    <w:rsid w:val="000621DD"/>
    <w:rsid w:val="000634F0"/>
    <w:rsid w:val="00065210"/>
    <w:rsid w:val="00067563"/>
    <w:rsid w:val="00070858"/>
    <w:rsid w:val="00070FBA"/>
    <w:rsid w:val="00071061"/>
    <w:rsid w:val="00071327"/>
    <w:rsid w:val="000717D0"/>
    <w:rsid w:val="00071FBC"/>
    <w:rsid w:val="000733FF"/>
    <w:rsid w:val="0007388A"/>
    <w:rsid w:val="0007390C"/>
    <w:rsid w:val="00074B1E"/>
    <w:rsid w:val="00075D4A"/>
    <w:rsid w:val="0007739E"/>
    <w:rsid w:val="00080221"/>
    <w:rsid w:val="00082473"/>
    <w:rsid w:val="00083AD1"/>
    <w:rsid w:val="000842E3"/>
    <w:rsid w:val="00084365"/>
    <w:rsid w:val="0008571E"/>
    <w:rsid w:val="00085899"/>
    <w:rsid w:val="0008725A"/>
    <w:rsid w:val="00087D40"/>
    <w:rsid w:val="00087EB1"/>
    <w:rsid w:val="00090446"/>
    <w:rsid w:val="000910A5"/>
    <w:rsid w:val="0009122F"/>
    <w:rsid w:val="000919E6"/>
    <w:rsid w:val="00091F3E"/>
    <w:rsid w:val="00092DE5"/>
    <w:rsid w:val="00092F7C"/>
    <w:rsid w:val="000941E3"/>
    <w:rsid w:val="000946D4"/>
    <w:rsid w:val="00096E82"/>
    <w:rsid w:val="00096F20"/>
    <w:rsid w:val="000A0552"/>
    <w:rsid w:val="000A1A16"/>
    <w:rsid w:val="000A2EA9"/>
    <w:rsid w:val="000A4B24"/>
    <w:rsid w:val="000A502C"/>
    <w:rsid w:val="000A5266"/>
    <w:rsid w:val="000A795A"/>
    <w:rsid w:val="000A7C4E"/>
    <w:rsid w:val="000B03DA"/>
    <w:rsid w:val="000B068D"/>
    <w:rsid w:val="000B0CEF"/>
    <w:rsid w:val="000B3010"/>
    <w:rsid w:val="000B6003"/>
    <w:rsid w:val="000B710F"/>
    <w:rsid w:val="000B7269"/>
    <w:rsid w:val="000B7D92"/>
    <w:rsid w:val="000C3221"/>
    <w:rsid w:val="000C323A"/>
    <w:rsid w:val="000C3DBE"/>
    <w:rsid w:val="000C4ECE"/>
    <w:rsid w:val="000C6BFE"/>
    <w:rsid w:val="000C6E8A"/>
    <w:rsid w:val="000C7A6E"/>
    <w:rsid w:val="000D17C2"/>
    <w:rsid w:val="000D2FF8"/>
    <w:rsid w:val="000D3013"/>
    <w:rsid w:val="000D3E8B"/>
    <w:rsid w:val="000D453F"/>
    <w:rsid w:val="000D48A1"/>
    <w:rsid w:val="000D4C37"/>
    <w:rsid w:val="000D5E83"/>
    <w:rsid w:val="000D638C"/>
    <w:rsid w:val="000D638E"/>
    <w:rsid w:val="000D63F2"/>
    <w:rsid w:val="000D6CE4"/>
    <w:rsid w:val="000D7069"/>
    <w:rsid w:val="000D707A"/>
    <w:rsid w:val="000D7F9C"/>
    <w:rsid w:val="000E06BA"/>
    <w:rsid w:val="000E08F6"/>
    <w:rsid w:val="000E15F4"/>
    <w:rsid w:val="000E275D"/>
    <w:rsid w:val="000E4D94"/>
    <w:rsid w:val="000E6599"/>
    <w:rsid w:val="000E79DA"/>
    <w:rsid w:val="000F03A1"/>
    <w:rsid w:val="000F0904"/>
    <w:rsid w:val="000F090A"/>
    <w:rsid w:val="000F1754"/>
    <w:rsid w:val="000F23EC"/>
    <w:rsid w:val="000F28B4"/>
    <w:rsid w:val="000F47BA"/>
    <w:rsid w:val="00100AD8"/>
    <w:rsid w:val="001035F8"/>
    <w:rsid w:val="00104BEB"/>
    <w:rsid w:val="0010563D"/>
    <w:rsid w:val="001079C4"/>
    <w:rsid w:val="001123DD"/>
    <w:rsid w:val="00112D41"/>
    <w:rsid w:val="00114388"/>
    <w:rsid w:val="001144D2"/>
    <w:rsid w:val="0011454F"/>
    <w:rsid w:val="001149EB"/>
    <w:rsid w:val="00115780"/>
    <w:rsid w:val="001158A4"/>
    <w:rsid w:val="00115CFF"/>
    <w:rsid w:val="00115DBE"/>
    <w:rsid w:val="00117263"/>
    <w:rsid w:val="00117915"/>
    <w:rsid w:val="00117CC2"/>
    <w:rsid w:val="00117D6F"/>
    <w:rsid w:val="00120945"/>
    <w:rsid w:val="001209E4"/>
    <w:rsid w:val="00120F75"/>
    <w:rsid w:val="0012120D"/>
    <w:rsid w:val="0012239F"/>
    <w:rsid w:val="00123D2B"/>
    <w:rsid w:val="00125AC7"/>
    <w:rsid w:val="00126214"/>
    <w:rsid w:val="00127EF5"/>
    <w:rsid w:val="00130088"/>
    <w:rsid w:val="0013078C"/>
    <w:rsid w:val="0013156D"/>
    <w:rsid w:val="00131EBF"/>
    <w:rsid w:val="00132826"/>
    <w:rsid w:val="00132F18"/>
    <w:rsid w:val="00133D7A"/>
    <w:rsid w:val="0013468F"/>
    <w:rsid w:val="00134E3C"/>
    <w:rsid w:val="0013511B"/>
    <w:rsid w:val="001354D8"/>
    <w:rsid w:val="0013574C"/>
    <w:rsid w:val="0013582A"/>
    <w:rsid w:val="00137947"/>
    <w:rsid w:val="00140531"/>
    <w:rsid w:val="0014274E"/>
    <w:rsid w:val="00142CE2"/>
    <w:rsid w:val="00143132"/>
    <w:rsid w:val="00145E13"/>
    <w:rsid w:val="00145E8B"/>
    <w:rsid w:val="001462C5"/>
    <w:rsid w:val="001478FD"/>
    <w:rsid w:val="00147BD1"/>
    <w:rsid w:val="00150D75"/>
    <w:rsid w:val="00151AA5"/>
    <w:rsid w:val="00152E5F"/>
    <w:rsid w:val="00153E4F"/>
    <w:rsid w:val="00154B7E"/>
    <w:rsid w:val="001565E7"/>
    <w:rsid w:val="0015787B"/>
    <w:rsid w:val="00160E5E"/>
    <w:rsid w:val="00161918"/>
    <w:rsid w:val="001634BE"/>
    <w:rsid w:val="00165443"/>
    <w:rsid w:val="0016678E"/>
    <w:rsid w:val="00170502"/>
    <w:rsid w:val="00171EA9"/>
    <w:rsid w:val="00173265"/>
    <w:rsid w:val="00173AD5"/>
    <w:rsid w:val="00173CD7"/>
    <w:rsid w:val="00173EC9"/>
    <w:rsid w:val="00174106"/>
    <w:rsid w:val="00174270"/>
    <w:rsid w:val="00175251"/>
    <w:rsid w:val="001752ED"/>
    <w:rsid w:val="00176075"/>
    <w:rsid w:val="001766C3"/>
    <w:rsid w:val="0017757B"/>
    <w:rsid w:val="00177995"/>
    <w:rsid w:val="00180D04"/>
    <w:rsid w:val="0018261E"/>
    <w:rsid w:val="00183174"/>
    <w:rsid w:val="00183289"/>
    <w:rsid w:val="001853DF"/>
    <w:rsid w:val="00185D0B"/>
    <w:rsid w:val="00185F52"/>
    <w:rsid w:val="00187579"/>
    <w:rsid w:val="00190C62"/>
    <w:rsid w:val="0019183E"/>
    <w:rsid w:val="0019233E"/>
    <w:rsid w:val="0019250D"/>
    <w:rsid w:val="00192C2B"/>
    <w:rsid w:val="00193275"/>
    <w:rsid w:val="00195B81"/>
    <w:rsid w:val="001965AC"/>
    <w:rsid w:val="00196720"/>
    <w:rsid w:val="00196D07"/>
    <w:rsid w:val="00197E8A"/>
    <w:rsid w:val="001A302E"/>
    <w:rsid w:val="001A3CD3"/>
    <w:rsid w:val="001A50E3"/>
    <w:rsid w:val="001A5319"/>
    <w:rsid w:val="001A6949"/>
    <w:rsid w:val="001A717E"/>
    <w:rsid w:val="001A7658"/>
    <w:rsid w:val="001B026D"/>
    <w:rsid w:val="001B11FD"/>
    <w:rsid w:val="001B15F9"/>
    <w:rsid w:val="001B23B9"/>
    <w:rsid w:val="001B3071"/>
    <w:rsid w:val="001B3D93"/>
    <w:rsid w:val="001B4BFE"/>
    <w:rsid w:val="001B61D8"/>
    <w:rsid w:val="001B77F3"/>
    <w:rsid w:val="001C146D"/>
    <w:rsid w:val="001C19D9"/>
    <w:rsid w:val="001C1D23"/>
    <w:rsid w:val="001C50D1"/>
    <w:rsid w:val="001C5A5C"/>
    <w:rsid w:val="001C7E85"/>
    <w:rsid w:val="001D0C26"/>
    <w:rsid w:val="001D15DA"/>
    <w:rsid w:val="001D208F"/>
    <w:rsid w:val="001D23CE"/>
    <w:rsid w:val="001D27B6"/>
    <w:rsid w:val="001D3095"/>
    <w:rsid w:val="001D339C"/>
    <w:rsid w:val="001D43BB"/>
    <w:rsid w:val="001D4D0B"/>
    <w:rsid w:val="001D4F07"/>
    <w:rsid w:val="001D5252"/>
    <w:rsid w:val="001D5CB6"/>
    <w:rsid w:val="001D5CD5"/>
    <w:rsid w:val="001D60CC"/>
    <w:rsid w:val="001D7644"/>
    <w:rsid w:val="001D7CEB"/>
    <w:rsid w:val="001E0568"/>
    <w:rsid w:val="001E06D8"/>
    <w:rsid w:val="001E14E4"/>
    <w:rsid w:val="001E47D2"/>
    <w:rsid w:val="001E4F3D"/>
    <w:rsid w:val="001E66BA"/>
    <w:rsid w:val="001E6951"/>
    <w:rsid w:val="001F16C2"/>
    <w:rsid w:val="001F1768"/>
    <w:rsid w:val="001F18DB"/>
    <w:rsid w:val="001F23A6"/>
    <w:rsid w:val="001F2DA0"/>
    <w:rsid w:val="001F2FF1"/>
    <w:rsid w:val="001F32CE"/>
    <w:rsid w:val="001F5502"/>
    <w:rsid w:val="001F65FD"/>
    <w:rsid w:val="001F6E16"/>
    <w:rsid w:val="001F7358"/>
    <w:rsid w:val="00201680"/>
    <w:rsid w:val="002017B8"/>
    <w:rsid w:val="00202742"/>
    <w:rsid w:val="002031C0"/>
    <w:rsid w:val="00204620"/>
    <w:rsid w:val="0020619A"/>
    <w:rsid w:val="002065AF"/>
    <w:rsid w:val="002106CC"/>
    <w:rsid w:val="00211DC0"/>
    <w:rsid w:val="00215582"/>
    <w:rsid w:val="002230CD"/>
    <w:rsid w:val="0022480F"/>
    <w:rsid w:val="00224D99"/>
    <w:rsid w:val="002253C0"/>
    <w:rsid w:val="00227385"/>
    <w:rsid w:val="00227C7C"/>
    <w:rsid w:val="00227E4A"/>
    <w:rsid w:val="002306D1"/>
    <w:rsid w:val="002318C5"/>
    <w:rsid w:val="002320C0"/>
    <w:rsid w:val="00233257"/>
    <w:rsid w:val="00233F68"/>
    <w:rsid w:val="00233F9F"/>
    <w:rsid w:val="00236171"/>
    <w:rsid w:val="002369F3"/>
    <w:rsid w:val="00236C29"/>
    <w:rsid w:val="00237843"/>
    <w:rsid w:val="00237A5E"/>
    <w:rsid w:val="00237E22"/>
    <w:rsid w:val="00237F15"/>
    <w:rsid w:val="00241C5A"/>
    <w:rsid w:val="00242B43"/>
    <w:rsid w:val="0024370D"/>
    <w:rsid w:val="00243D13"/>
    <w:rsid w:val="00245594"/>
    <w:rsid w:val="0024693C"/>
    <w:rsid w:val="00246969"/>
    <w:rsid w:val="002469E4"/>
    <w:rsid w:val="00246F8C"/>
    <w:rsid w:val="00247E49"/>
    <w:rsid w:val="00251468"/>
    <w:rsid w:val="00251C6F"/>
    <w:rsid w:val="00252B67"/>
    <w:rsid w:val="002532CF"/>
    <w:rsid w:val="00253806"/>
    <w:rsid w:val="00255698"/>
    <w:rsid w:val="00255804"/>
    <w:rsid w:val="002559FA"/>
    <w:rsid w:val="00255D05"/>
    <w:rsid w:val="002564B9"/>
    <w:rsid w:val="00256C6E"/>
    <w:rsid w:val="00256D07"/>
    <w:rsid w:val="00261E2A"/>
    <w:rsid w:val="00264330"/>
    <w:rsid w:val="0026590E"/>
    <w:rsid w:val="00271324"/>
    <w:rsid w:val="002731A5"/>
    <w:rsid w:val="00274E4C"/>
    <w:rsid w:val="00275389"/>
    <w:rsid w:val="002768BC"/>
    <w:rsid w:val="00277C1A"/>
    <w:rsid w:val="002802AA"/>
    <w:rsid w:val="0028158D"/>
    <w:rsid w:val="0028193B"/>
    <w:rsid w:val="00281C7A"/>
    <w:rsid w:val="00283C40"/>
    <w:rsid w:val="0028402B"/>
    <w:rsid w:val="00286270"/>
    <w:rsid w:val="00287D56"/>
    <w:rsid w:val="00291A41"/>
    <w:rsid w:val="00291CA5"/>
    <w:rsid w:val="00292FCF"/>
    <w:rsid w:val="002951D5"/>
    <w:rsid w:val="00297011"/>
    <w:rsid w:val="00297D84"/>
    <w:rsid w:val="002A1051"/>
    <w:rsid w:val="002A1C04"/>
    <w:rsid w:val="002A2979"/>
    <w:rsid w:val="002A38B5"/>
    <w:rsid w:val="002A7743"/>
    <w:rsid w:val="002B0EAB"/>
    <w:rsid w:val="002B161F"/>
    <w:rsid w:val="002B1C30"/>
    <w:rsid w:val="002B2092"/>
    <w:rsid w:val="002B71CF"/>
    <w:rsid w:val="002C046D"/>
    <w:rsid w:val="002C0CA2"/>
    <w:rsid w:val="002C1909"/>
    <w:rsid w:val="002C2184"/>
    <w:rsid w:val="002C2526"/>
    <w:rsid w:val="002C3642"/>
    <w:rsid w:val="002C48D0"/>
    <w:rsid w:val="002D1448"/>
    <w:rsid w:val="002D184A"/>
    <w:rsid w:val="002D1AA0"/>
    <w:rsid w:val="002D2D27"/>
    <w:rsid w:val="002D3CD6"/>
    <w:rsid w:val="002D4D45"/>
    <w:rsid w:val="002D6843"/>
    <w:rsid w:val="002E0054"/>
    <w:rsid w:val="002E0726"/>
    <w:rsid w:val="002E1A5F"/>
    <w:rsid w:val="002E3721"/>
    <w:rsid w:val="002E42C5"/>
    <w:rsid w:val="002E4380"/>
    <w:rsid w:val="002E4388"/>
    <w:rsid w:val="002E607A"/>
    <w:rsid w:val="002E6BF0"/>
    <w:rsid w:val="002F1336"/>
    <w:rsid w:val="002F1496"/>
    <w:rsid w:val="002F2869"/>
    <w:rsid w:val="002F690E"/>
    <w:rsid w:val="00301356"/>
    <w:rsid w:val="00302A4B"/>
    <w:rsid w:val="00302C9F"/>
    <w:rsid w:val="0030306B"/>
    <w:rsid w:val="00303447"/>
    <w:rsid w:val="003039F3"/>
    <w:rsid w:val="00304B06"/>
    <w:rsid w:val="00304DAA"/>
    <w:rsid w:val="00306394"/>
    <w:rsid w:val="00306D3B"/>
    <w:rsid w:val="00306F49"/>
    <w:rsid w:val="0030710F"/>
    <w:rsid w:val="00307603"/>
    <w:rsid w:val="003103E4"/>
    <w:rsid w:val="0031071A"/>
    <w:rsid w:val="00310744"/>
    <w:rsid w:val="00311DFD"/>
    <w:rsid w:val="003136DD"/>
    <w:rsid w:val="003137B1"/>
    <w:rsid w:val="00315A5A"/>
    <w:rsid w:val="00316281"/>
    <w:rsid w:val="0031779D"/>
    <w:rsid w:val="003208A7"/>
    <w:rsid w:val="00321909"/>
    <w:rsid w:val="00321AF1"/>
    <w:rsid w:val="0032278E"/>
    <w:rsid w:val="00322CA9"/>
    <w:rsid w:val="00322F73"/>
    <w:rsid w:val="00324FB0"/>
    <w:rsid w:val="0032572C"/>
    <w:rsid w:val="00326938"/>
    <w:rsid w:val="00326D49"/>
    <w:rsid w:val="00327FB8"/>
    <w:rsid w:val="00330561"/>
    <w:rsid w:val="00331916"/>
    <w:rsid w:val="00331E31"/>
    <w:rsid w:val="003332E3"/>
    <w:rsid w:val="00333344"/>
    <w:rsid w:val="00333935"/>
    <w:rsid w:val="003359AD"/>
    <w:rsid w:val="003433B7"/>
    <w:rsid w:val="00345C63"/>
    <w:rsid w:val="00345CCF"/>
    <w:rsid w:val="00346B21"/>
    <w:rsid w:val="00351237"/>
    <w:rsid w:val="00351506"/>
    <w:rsid w:val="00351F5E"/>
    <w:rsid w:val="00355420"/>
    <w:rsid w:val="003555F6"/>
    <w:rsid w:val="0035568B"/>
    <w:rsid w:val="00355DCB"/>
    <w:rsid w:val="00362981"/>
    <w:rsid w:val="00364790"/>
    <w:rsid w:val="003666A3"/>
    <w:rsid w:val="00370020"/>
    <w:rsid w:val="00370613"/>
    <w:rsid w:val="00371969"/>
    <w:rsid w:val="00372854"/>
    <w:rsid w:val="00374617"/>
    <w:rsid w:val="003752AA"/>
    <w:rsid w:val="00375AFF"/>
    <w:rsid w:val="003803FA"/>
    <w:rsid w:val="00382CE7"/>
    <w:rsid w:val="00382F86"/>
    <w:rsid w:val="003834D1"/>
    <w:rsid w:val="003837C0"/>
    <w:rsid w:val="00383F5D"/>
    <w:rsid w:val="003859A0"/>
    <w:rsid w:val="00385DBB"/>
    <w:rsid w:val="00386D5B"/>
    <w:rsid w:val="003925F3"/>
    <w:rsid w:val="0039366B"/>
    <w:rsid w:val="00393CBC"/>
    <w:rsid w:val="00394D60"/>
    <w:rsid w:val="0039737D"/>
    <w:rsid w:val="003A1D9B"/>
    <w:rsid w:val="003A5463"/>
    <w:rsid w:val="003A5BE7"/>
    <w:rsid w:val="003A5FF3"/>
    <w:rsid w:val="003A759D"/>
    <w:rsid w:val="003B2FBA"/>
    <w:rsid w:val="003B56CE"/>
    <w:rsid w:val="003B5CF1"/>
    <w:rsid w:val="003B63F3"/>
    <w:rsid w:val="003B67B3"/>
    <w:rsid w:val="003C0263"/>
    <w:rsid w:val="003C1D21"/>
    <w:rsid w:val="003C29C3"/>
    <w:rsid w:val="003C2DED"/>
    <w:rsid w:val="003C34DB"/>
    <w:rsid w:val="003C3909"/>
    <w:rsid w:val="003C3F4C"/>
    <w:rsid w:val="003C4AE1"/>
    <w:rsid w:val="003C60ED"/>
    <w:rsid w:val="003C781C"/>
    <w:rsid w:val="003D04B3"/>
    <w:rsid w:val="003D086A"/>
    <w:rsid w:val="003D1F81"/>
    <w:rsid w:val="003D5FDB"/>
    <w:rsid w:val="003D6B7B"/>
    <w:rsid w:val="003D7301"/>
    <w:rsid w:val="003E2DF2"/>
    <w:rsid w:val="003E45FF"/>
    <w:rsid w:val="003E4828"/>
    <w:rsid w:val="003E4932"/>
    <w:rsid w:val="003E53D2"/>
    <w:rsid w:val="003E5CBA"/>
    <w:rsid w:val="003E6D8A"/>
    <w:rsid w:val="003E7C23"/>
    <w:rsid w:val="003F4AA8"/>
    <w:rsid w:val="003F4DF5"/>
    <w:rsid w:val="003F59DD"/>
    <w:rsid w:val="00403568"/>
    <w:rsid w:val="004071DA"/>
    <w:rsid w:val="004113BE"/>
    <w:rsid w:val="0041194D"/>
    <w:rsid w:val="004134E3"/>
    <w:rsid w:val="00413836"/>
    <w:rsid w:val="004142FB"/>
    <w:rsid w:val="0041432D"/>
    <w:rsid w:val="0041517E"/>
    <w:rsid w:val="004158EA"/>
    <w:rsid w:val="004161F8"/>
    <w:rsid w:val="00417168"/>
    <w:rsid w:val="00421B24"/>
    <w:rsid w:val="0042255F"/>
    <w:rsid w:val="00422C1B"/>
    <w:rsid w:val="004239DF"/>
    <w:rsid w:val="004249FF"/>
    <w:rsid w:val="004262E0"/>
    <w:rsid w:val="00426C8C"/>
    <w:rsid w:val="004313B5"/>
    <w:rsid w:val="00432E77"/>
    <w:rsid w:val="004340F8"/>
    <w:rsid w:val="0043564A"/>
    <w:rsid w:val="00436BD8"/>
    <w:rsid w:val="00436D39"/>
    <w:rsid w:val="00441AC0"/>
    <w:rsid w:val="00444F3B"/>
    <w:rsid w:val="00445978"/>
    <w:rsid w:val="00445A9E"/>
    <w:rsid w:val="00445FBE"/>
    <w:rsid w:val="00446375"/>
    <w:rsid w:val="00446D6E"/>
    <w:rsid w:val="00446E04"/>
    <w:rsid w:val="004502C1"/>
    <w:rsid w:val="004554DD"/>
    <w:rsid w:val="004600C8"/>
    <w:rsid w:val="004637DF"/>
    <w:rsid w:val="00463B91"/>
    <w:rsid w:val="00467A03"/>
    <w:rsid w:val="00470B10"/>
    <w:rsid w:val="00471F51"/>
    <w:rsid w:val="00472D49"/>
    <w:rsid w:val="0047304D"/>
    <w:rsid w:val="00473FEF"/>
    <w:rsid w:val="00474496"/>
    <w:rsid w:val="004840D6"/>
    <w:rsid w:val="00485346"/>
    <w:rsid w:val="004855CE"/>
    <w:rsid w:val="00485B6C"/>
    <w:rsid w:val="004943B1"/>
    <w:rsid w:val="004943B2"/>
    <w:rsid w:val="004947B6"/>
    <w:rsid w:val="00494B55"/>
    <w:rsid w:val="004952DD"/>
    <w:rsid w:val="00495704"/>
    <w:rsid w:val="00496A1B"/>
    <w:rsid w:val="00496B43"/>
    <w:rsid w:val="00496EAB"/>
    <w:rsid w:val="00497671"/>
    <w:rsid w:val="004978EB"/>
    <w:rsid w:val="00497995"/>
    <w:rsid w:val="004A077E"/>
    <w:rsid w:val="004A30B4"/>
    <w:rsid w:val="004A50DE"/>
    <w:rsid w:val="004A5C28"/>
    <w:rsid w:val="004A7460"/>
    <w:rsid w:val="004B015C"/>
    <w:rsid w:val="004B0250"/>
    <w:rsid w:val="004B042E"/>
    <w:rsid w:val="004B1DA8"/>
    <w:rsid w:val="004B513D"/>
    <w:rsid w:val="004B69DD"/>
    <w:rsid w:val="004B7060"/>
    <w:rsid w:val="004B7749"/>
    <w:rsid w:val="004B7936"/>
    <w:rsid w:val="004B7AAF"/>
    <w:rsid w:val="004B7DD1"/>
    <w:rsid w:val="004C0EC1"/>
    <w:rsid w:val="004C0F66"/>
    <w:rsid w:val="004C0F89"/>
    <w:rsid w:val="004C7693"/>
    <w:rsid w:val="004D339F"/>
    <w:rsid w:val="004D42E1"/>
    <w:rsid w:val="004D4D82"/>
    <w:rsid w:val="004D5FE1"/>
    <w:rsid w:val="004D6C37"/>
    <w:rsid w:val="004D7BDF"/>
    <w:rsid w:val="004E1B28"/>
    <w:rsid w:val="004E40AD"/>
    <w:rsid w:val="004E4450"/>
    <w:rsid w:val="004E5FA9"/>
    <w:rsid w:val="004E71AE"/>
    <w:rsid w:val="004E7487"/>
    <w:rsid w:val="004F4899"/>
    <w:rsid w:val="004F579C"/>
    <w:rsid w:val="004F5BEC"/>
    <w:rsid w:val="004F67C0"/>
    <w:rsid w:val="004F6DF2"/>
    <w:rsid w:val="004F7D86"/>
    <w:rsid w:val="00500773"/>
    <w:rsid w:val="00501904"/>
    <w:rsid w:val="0050257B"/>
    <w:rsid w:val="005031BC"/>
    <w:rsid w:val="00505267"/>
    <w:rsid w:val="005069B5"/>
    <w:rsid w:val="00507C72"/>
    <w:rsid w:val="0051246B"/>
    <w:rsid w:val="005141E3"/>
    <w:rsid w:val="00523488"/>
    <w:rsid w:val="00524B03"/>
    <w:rsid w:val="0052628E"/>
    <w:rsid w:val="00526AB6"/>
    <w:rsid w:val="00530325"/>
    <w:rsid w:val="00531C50"/>
    <w:rsid w:val="005324CA"/>
    <w:rsid w:val="00533B93"/>
    <w:rsid w:val="00533E0D"/>
    <w:rsid w:val="0053486D"/>
    <w:rsid w:val="005357B6"/>
    <w:rsid w:val="00535B8D"/>
    <w:rsid w:val="005366F4"/>
    <w:rsid w:val="0054054A"/>
    <w:rsid w:val="005410CB"/>
    <w:rsid w:val="0054218F"/>
    <w:rsid w:val="00542C27"/>
    <w:rsid w:val="00543499"/>
    <w:rsid w:val="00545B75"/>
    <w:rsid w:val="005467CB"/>
    <w:rsid w:val="005469FB"/>
    <w:rsid w:val="00547CC6"/>
    <w:rsid w:val="00550E51"/>
    <w:rsid w:val="0055103A"/>
    <w:rsid w:val="0055267D"/>
    <w:rsid w:val="0055333F"/>
    <w:rsid w:val="005538C9"/>
    <w:rsid w:val="00553EC9"/>
    <w:rsid w:val="005548A5"/>
    <w:rsid w:val="00556BC7"/>
    <w:rsid w:val="00557527"/>
    <w:rsid w:val="0056057D"/>
    <w:rsid w:val="00561B00"/>
    <w:rsid w:val="005622AF"/>
    <w:rsid w:val="00562D5F"/>
    <w:rsid w:val="00563274"/>
    <w:rsid w:val="00563A8A"/>
    <w:rsid w:val="00563F3E"/>
    <w:rsid w:val="00566100"/>
    <w:rsid w:val="00571417"/>
    <w:rsid w:val="00571898"/>
    <w:rsid w:val="00571DD9"/>
    <w:rsid w:val="00572429"/>
    <w:rsid w:val="00572446"/>
    <w:rsid w:val="005741E0"/>
    <w:rsid w:val="0057425C"/>
    <w:rsid w:val="00575BAE"/>
    <w:rsid w:val="00577CC9"/>
    <w:rsid w:val="00582FAD"/>
    <w:rsid w:val="0058328D"/>
    <w:rsid w:val="005832A4"/>
    <w:rsid w:val="00583918"/>
    <w:rsid w:val="00584117"/>
    <w:rsid w:val="0058612E"/>
    <w:rsid w:val="005864EE"/>
    <w:rsid w:val="00587665"/>
    <w:rsid w:val="00592CC9"/>
    <w:rsid w:val="0059354D"/>
    <w:rsid w:val="00593DC7"/>
    <w:rsid w:val="005977E9"/>
    <w:rsid w:val="005A0325"/>
    <w:rsid w:val="005A0CEB"/>
    <w:rsid w:val="005A16DF"/>
    <w:rsid w:val="005A1708"/>
    <w:rsid w:val="005A3614"/>
    <w:rsid w:val="005A3F9E"/>
    <w:rsid w:val="005A49A9"/>
    <w:rsid w:val="005A4A14"/>
    <w:rsid w:val="005A5F6D"/>
    <w:rsid w:val="005A69D2"/>
    <w:rsid w:val="005A7218"/>
    <w:rsid w:val="005A72EB"/>
    <w:rsid w:val="005B29D2"/>
    <w:rsid w:val="005B2E17"/>
    <w:rsid w:val="005C001C"/>
    <w:rsid w:val="005C081B"/>
    <w:rsid w:val="005C0DBA"/>
    <w:rsid w:val="005C28A5"/>
    <w:rsid w:val="005C4794"/>
    <w:rsid w:val="005C5AC9"/>
    <w:rsid w:val="005C6B07"/>
    <w:rsid w:val="005C743E"/>
    <w:rsid w:val="005C7545"/>
    <w:rsid w:val="005C7B9A"/>
    <w:rsid w:val="005D0360"/>
    <w:rsid w:val="005D11FE"/>
    <w:rsid w:val="005D225C"/>
    <w:rsid w:val="005D2358"/>
    <w:rsid w:val="005D599C"/>
    <w:rsid w:val="005D628C"/>
    <w:rsid w:val="005D62FF"/>
    <w:rsid w:val="005D7C02"/>
    <w:rsid w:val="005E0705"/>
    <w:rsid w:val="005E232C"/>
    <w:rsid w:val="005E2C69"/>
    <w:rsid w:val="005E3335"/>
    <w:rsid w:val="005E3A5C"/>
    <w:rsid w:val="005E5BF4"/>
    <w:rsid w:val="005E6257"/>
    <w:rsid w:val="005E6DE8"/>
    <w:rsid w:val="005F0587"/>
    <w:rsid w:val="005F1161"/>
    <w:rsid w:val="005F17BD"/>
    <w:rsid w:val="005F1D07"/>
    <w:rsid w:val="005F37F0"/>
    <w:rsid w:val="00600156"/>
    <w:rsid w:val="00601966"/>
    <w:rsid w:val="006022E1"/>
    <w:rsid w:val="00602952"/>
    <w:rsid w:val="0060321F"/>
    <w:rsid w:val="00603AA4"/>
    <w:rsid w:val="006049E5"/>
    <w:rsid w:val="00604B52"/>
    <w:rsid w:val="00606C2D"/>
    <w:rsid w:val="00612345"/>
    <w:rsid w:val="0061235A"/>
    <w:rsid w:val="006133D5"/>
    <w:rsid w:val="00613EFB"/>
    <w:rsid w:val="006152C7"/>
    <w:rsid w:val="00615A07"/>
    <w:rsid w:val="00615CBF"/>
    <w:rsid w:val="006173D8"/>
    <w:rsid w:val="006208EB"/>
    <w:rsid w:val="00621F10"/>
    <w:rsid w:val="0062201D"/>
    <w:rsid w:val="00623839"/>
    <w:rsid w:val="00623DE3"/>
    <w:rsid w:val="006269D8"/>
    <w:rsid w:val="00626C00"/>
    <w:rsid w:val="0063278E"/>
    <w:rsid w:val="00633735"/>
    <w:rsid w:val="006344DD"/>
    <w:rsid w:val="00636442"/>
    <w:rsid w:val="00636623"/>
    <w:rsid w:val="00642E3C"/>
    <w:rsid w:val="006453BC"/>
    <w:rsid w:val="00645526"/>
    <w:rsid w:val="00645882"/>
    <w:rsid w:val="0064653D"/>
    <w:rsid w:val="0064685E"/>
    <w:rsid w:val="00647A2A"/>
    <w:rsid w:val="00651304"/>
    <w:rsid w:val="00651A46"/>
    <w:rsid w:val="00652751"/>
    <w:rsid w:val="00656C71"/>
    <w:rsid w:val="00656DC7"/>
    <w:rsid w:val="00657F26"/>
    <w:rsid w:val="00660018"/>
    <w:rsid w:val="006608D5"/>
    <w:rsid w:val="00661238"/>
    <w:rsid w:val="00661372"/>
    <w:rsid w:val="00661E58"/>
    <w:rsid w:val="00663393"/>
    <w:rsid w:val="00663B9D"/>
    <w:rsid w:val="0066406F"/>
    <w:rsid w:val="006644E2"/>
    <w:rsid w:val="00664BA2"/>
    <w:rsid w:val="00664EE1"/>
    <w:rsid w:val="00665B9D"/>
    <w:rsid w:val="00671876"/>
    <w:rsid w:val="00672068"/>
    <w:rsid w:val="00672CA8"/>
    <w:rsid w:val="0067796F"/>
    <w:rsid w:val="00677C32"/>
    <w:rsid w:val="00680B21"/>
    <w:rsid w:val="006820B4"/>
    <w:rsid w:val="006843AC"/>
    <w:rsid w:val="00686330"/>
    <w:rsid w:val="00687683"/>
    <w:rsid w:val="006935F4"/>
    <w:rsid w:val="00693BD0"/>
    <w:rsid w:val="00693F0D"/>
    <w:rsid w:val="00694A8A"/>
    <w:rsid w:val="006957DD"/>
    <w:rsid w:val="006964FE"/>
    <w:rsid w:val="006A3DC6"/>
    <w:rsid w:val="006A4BFA"/>
    <w:rsid w:val="006A5F7A"/>
    <w:rsid w:val="006B045D"/>
    <w:rsid w:val="006B05E4"/>
    <w:rsid w:val="006B1FB6"/>
    <w:rsid w:val="006B2D6A"/>
    <w:rsid w:val="006B44FC"/>
    <w:rsid w:val="006B73AC"/>
    <w:rsid w:val="006C1E90"/>
    <w:rsid w:val="006C2502"/>
    <w:rsid w:val="006C5D63"/>
    <w:rsid w:val="006C6CD8"/>
    <w:rsid w:val="006C6EE5"/>
    <w:rsid w:val="006C6F37"/>
    <w:rsid w:val="006D061A"/>
    <w:rsid w:val="006D3FAB"/>
    <w:rsid w:val="006D6BA6"/>
    <w:rsid w:val="006D78B9"/>
    <w:rsid w:val="006E1410"/>
    <w:rsid w:val="006E1535"/>
    <w:rsid w:val="006E1C9B"/>
    <w:rsid w:val="006E2266"/>
    <w:rsid w:val="006E271C"/>
    <w:rsid w:val="006E3257"/>
    <w:rsid w:val="006E5E1D"/>
    <w:rsid w:val="006E783A"/>
    <w:rsid w:val="006F0D0B"/>
    <w:rsid w:val="006F1272"/>
    <w:rsid w:val="006F2700"/>
    <w:rsid w:val="006F35AE"/>
    <w:rsid w:val="006F36C5"/>
    <w:rsid w:val="006F380C"/>
    <w:rsid w:val="006F5978"/>
    <w:rsid w:val="006F702C"/>
    <w:rsid w:val="006F7059"/>
    <w:rsid w:val="006F754B"/>
    <w:rsid w:val="00700538"/>
    <w:rsid w:val="00700D40"/>
    <w:rsid w:val="00703279"/>
    <w:rsid w:val="00703BD9"/>
    <w:rsid w:val="00703CC2"/>
    <w:rsid w:val="00704E1A"/>
    <w:rsid w:val="00706358"/>
    <w:rsid w:val="00707A94"/>
    <w:rsid w:val="007103CF"/>
    <w:rsid w:val="007112FB"/>
    <w:rsid w:val="007146ED"/>
    <w:rsid w:val="00714EAC"/>
    <w:rsid w:val="00716DD6"/>
    <w:rsid w:val="00716DFF"/>
    <w:rsid w:val="00721659"/>
    <w:rsid w:val="007229E8"/>
    <w:rsid w:val="00722C07"/>
    <w:rsid w:val="00723376"/>
    <w:rsid w:val="007233A9"/>
    <w:rsid w:val="00730F16"/>
    <w:rsid w:val="00731F5C"/>
    <w:rsid w:val="007320AB"/>
    <w:rsid w:val="00732D0E"/>
    <w:rsid w:val="00733847"/>
    <w:rsid w:val="00733F97"/>
    <w:rsid w:val="00734C5F"/>
    <w:rsid w:val="0073703E"/>
    <w:rsid w:val="00741696"/>
    <w:rsid w:val="00741737"/>
    <w:rsid w:val="007420D8"/>
    <w:rsid w:val="0074329E"/>
    <w:rsid w:val="007437A0"/>
    <w:rsid w:val="00743DEC"/>
    <w:rsid w:val="007448F3"/>
    <w:rsid w:val="00744BBB"/>
    <w:rsid w:val="00746022"/>
    <w:rsid w:val="007469D7"/>
    <w:rsid w:val="00746B56"/>
    <w:rsid w:val="007475C1"/>
    <w:rsid w:val="007476C5"/>
    <w:rsid w:val="00747E9E"/>
    <w:rsid w:val="0075036D"/>
    <w:rsid w:val="00750A17"/>
    <w:rsid w:val="00750BDD"/>
    <w:rsid w:val="00750FAF"/>
    <w:rsid w:val="00751CEB"/>
    <w:rsid w:val="007530E3"/>
    <w:rsid w:val="0075455D"/>
    <w:rsid w:val="007545C7"/>
    <w:rsid w:val="0075477F"/>
    <w:rsid w:val="0075582C"/>
    <w:rsid w:val="00755FE3"/>
    <w:rsid w:val="00761C68"/>
    <w:rsid w:val="00761F15"/>
    <w:rsid w:val="00764644"/>
    <w:rsid w:val="0076634C"/>
    <w:rsid w:val="00767067"/>
    <w:rsid w:val="007675CD"/>
    <w:rsid w:val="00767810"/>
    <w:rsid w:val="007729DB"/>
    <w:rsid w:val="007730AB"/>
    <w:rsid w:val="00775D3B"/>
    <w:rsid w:val="007764BB"/>
    <w:rsid w:val="007768A1"/>
    <w:rsid w:val="00776EDE"/>
    <w:rsid w:val="00780906"/>
    <w:rsid w:val="007819EB"/>
    <w:rsid w:val="00783540"/>
    <w:rsid w:val="00783A28"/>
    <w:rsid w:val="00783AA8"/>
    <w:rsid w:val="00786401"/>
    <w:rsid w:val="0078702A"/>
    <w:rsid w:val="00787654"/>
    <w:rsid w:val="00787F13"/>
    <w:rsid w:val="007900E7"/>
    <w:rsid w:val="00790953"/>
    <w:rsid w:val="007933D6"/>
    <w:rsid w:val="00793930"/>
    <w:rsid w:val="007947F1"/>
    <w:rsid w:val="007959C3"/>
    <w:rsid w:val="00797224"/>
    <w:rsid w:val="007978FA"/>
    <w:rsid w:val="00797D7A"/>
    <w:rsid w:val="007A09BF"/>
    <w:rsid w:val="007A1274"/>
    <w:rsid w:val="007A1871"/>
    <w:rsid w:val="007A195B"/>
    <w:rsid w:val="007A1A03"/>
    <w:rsid w:val="007A1B1B"/>
    <w:rsid w:val="007A1FE9"/>
    <w:rsid w:val="007A3274"/>
    <w:rsid w:val="007A5477"/>
    <w:rsid w:val="007A5C98"/>
    <w:rsid w:val="007B1E9B"/>
    <w:rsid w:val="007B3257"/>
    <w:rsid w:val="007B3852"/>
    <w:rsid w:val="007B38E3"/>
    <w:rsid w:val="007B39D5"/>
    <w:rsid w:val="007B4644"/>
    <w:rsid w:val="007B50B6"/>
    <w:rsid w:val="007C095B"/>
    <w:rsid w:val="007C0CB3"/>
    <w:rsid w:val="007C10CD"/>
    <w:rsid w:val="007C227D"/>
    <w:rsid w:val="007C3A44"/>
    <w:rsid w:val="007C5D3E"/>
    <w:rsid w:val="007C6F88"/>
    <w:rsid w:val="007D020A"/>
    <w:rsid w:val="007D1FB2"/>
    <w:rsid w:val="007D28D6"/>
    <w:rsid w:val="007D3384"/>
    <w:rsid w:val="007D4065"/>
    <w:rsid w:val="007D5A5F"/>
    <w:rsid w:val="007D68F1"/>
    <w:rsid w:val="007D723D"/>
    <w:rsid w:val="007E012E"/>
    <w:rsid w:val="007E0462"/>
    <w:rsid w:val="007E04FC"/>
    <w:rsid w:val="007E100D"/>
    <w:rsid w:val="007E157C"/>
    <w:rsid w:val="007E166F"/>
    <w:rsid w:val="007E1AC4"/>
    <w:rsid w:val="007E1DEB"/>
    <w:rsid w:val="007E3FDA"/>
    <w:rsid w:val="007E4C4E"/>
    <w:rsid w:val="007E5FE5"/>
    <w:rsid w:val="007E62AA"/>
    <w:rsid w:val="007E6403"/>
    <w:rsid w:val="007F296F"/>
    <w:rsid w:val="007F2A32"/>
    <w:rsid w:val="007F2C17"/>
    <w:rsid w:val="007F3AAB"/>
    <w:rsid w:val="007F5BC1"/>
    <w:rsid w:val="007F6225"/>
    <w:rsid w:val="007F6BF4"/>
    <w:rsid w:val="007F6D0D"/>
    <w:rsid w:val="007F7B09"/>
    <w:rsid w:val="00801A2D"/>
    <w:rsid w:val="008020B4"/>
    <w:rsid w:val="00802755"/>
    <w:rsid w:val="0080277A"/>
    <w:rsid w:val="00803555"/>
    <w:rsid w:val="00803B7F"/>
    <w:rsid w:val="0080407D"/>
    <w:rsid w:val="00804671"/>
    <w:rsid w:val="00804695"/>
    <w:rsid w:val="008064AC"/>
    <w:rsid w:val="00806EA7"/>
    <w:rsid w:val="00807FD3"/>
    <w:rsid w:val="0081056B"/>
    <w:rsid w:val="00810E55"/>
    <w:rsid w:val="008134D9"/>
    <w:rsid w:val="00814F9C"/>
    <w:rsid w:val="008153D5"/>
    <w:rsid w:val="008154A0"/>
    <w:rsid w:val="00816F0A"/>
    <w:rsid w:val="00817BC1"/>
    <w:rsid w:val="008209AB"/>
    <w:rsid w:val="00820E2D"/>
    <w:rsid w:val="0082152F"/>
    <w:rsid w:val="00822BBA"/>
    <w:rsid w:val="00823FF6"/>
    <w:rsid w:val="00824E66"/>
    <w:rsid w:val="008252BA"/>
    <w:rsid w:val="008262D7"/>
    <w:rsid w:val="00826E21"/>
    <w:rsid w:val="00831377"/>
    <w:rsid w:val="00832711"/>
    <w:rsid w:val="00832C1F"/>
    <w:rsid w:val="008335E4"/>
    <w:rsid w:val="00835283"/>
    <w:rsid w:val="008358F7"/>
    <w:rsid w:val="00836307"/>
    <w:rsid w:val="0083674A"/>
    <w:rsid w:val="00837FEB"/>
    <w:rsid w:val="00840089"/>
    <w:rsid w:val="0084009B"/>
    <w:rsid w:val="00840271"/>
    <w:rsid w:val="00840EEE"/>
    <w:rsid w:val="0084179A"/>
    <w:rsid w:val="00841EEA"/>
    <w:rsid w:val="0084560F"/>
    <w:rsid w:val="00847A33"/>
    <w:rsid w:val="0085132F"/>
    <w:rsid w:val="00851676"/>
    <w:rsid w:val="00853C01"/>
    <w:rsid w:val="00855967"/>
    <w:rsid w:val="008568F9"/>
    <w:rsid w:val="00856D11"/>
    <w:rsid w:val="00856E84"/>
    <w:rsid w:val="0086385D"/>
    <w:rsid w:val="00863A88"/>
    <w:rsid w:val="00866067"/>
    <w:rsid w:val="00867E9C"/>
    <w:rsid w:val="00871F03"/>
    <w:rsid w:val="00881E89"/>
    <w:rsid w:val="00883200"/>
    <w:rsid w:val="00885DD4"/>
    <w:rsid w:val="00886D51"/>
    <w:rsid w:val="00886EE7"/>
    <w:rsid w:val="00887931"/>
    <w:rsid w:val="00887D06"/>
    <w:rsid w:val="00891DB3"/>
    <w:rsid w:val="00891EE9"/>
    <w:rsid w:val="0089382A"/>
    <w:rsid w:val="00893AA8"/>
    <w:rsid w:val="00893E39"/>
    <w:rsid w:val="00894C25"/>
    <w:rsid w:val="00896716"/>
    <w:rsid w:val="008974DD"/>
    <w:rsid w:val="008975A0"/>
    <w:rsid w:val="008A0340"/>
    <w:rsid w:val="008A1766"/>
    <w:rsid w:val="008A193E"/>
    <w:rsid w:val="008A2B48"/>
    <w:rsid w:val="008A337C"/>
    <w:rsid w:val="008A37DF"/>
    <w:rsid w:val="008A3C43"/>
    <w:rsid w:val="008A4645"/>
    <w:rsid w:val="008A475D"/>
    <w:rsid w:val="008A54C7"/>
    <w:rsid w:val="008A6F32"/>
    <w:rsid w:val="008B0889"/>
    <w:rsid w:val="008B2F76"/>
    <w:rsid w:val="008B31EB"/>
    <w:rsid w:val="008B41CF"/>
    <w:rsid w:val="008B5C9E"/>
    <w:rsid w:val="008C074B"/>
    <w:rsid w:val="008C18F0"/>
    <w:rsid w:val="008C6481"/>
    <w:rsid w:val="008C6974"/>
    <w:rsid w:val="008C7DDA"/>
    <w:rsid w:val="008D2CC7"/>
    <w:rsid w:val="008D5148"/>
    <w:rsid w:val="008D612E"/>
    <w:rsid w:val="008D7928"/>
    <w:rsid w:val="008E1ABD"/>
    <w:rsid w:val="008E238C"/>
    <w:rsid w:val="008E431B"/>
    <w:rsid w:val="008E436B"/>
    <w:rsid w:val="008E4C4E"/>
    <w:rsid w:val="008E50DC"/>
    <w:rsid w:val="008E534A"/>
    <w:rsid w:val="008E5CC5"/>
    <w:rsid w:val="008E7162"/>
    <w:rsid w:val="008E76F7"/>
    <w:rsid w:val="008E7DB6"/>
    <w:rsid w:val="008F0004"/>
    <w:rsid w:val="008F0F7B"/>
    <w:rsid w:val="008F36D0"/>
    <w:rsid w:val="008F4916"/>
    <w:rsid w:val="008F59BC"/>
    <w:rsid w:val="008F7700"/>
    <w:rsid w:val="00901643"/>
    <w:rsid w:val="00901DF1"/>
    <w:rsid w:val="00903BB2"/>
    <w:rsid w:val="00903DB2"/>
    <w:rsid w:val="009041BD"/>
    <w:rsid w:val="00904716"/>
    <w:rsid w:val="00904FF6"/>
    <w:rsid w:val="00905401"/>
    <w:rsid w:val="00905729"/>
    <w:rsid w:val="00905B70"/>
    <w:rsid w:val="0090733A"/>
    <w:rsid w:val="00910232"/>
    <w:rsid w:val="009139E1"/>
    <w:rsid w:val="009149C0"/>
    <w:rsid w:val="00915112"/>
    <w:rsid w:val="009160CA"/>
    <w:rsid w:val="0092080B"/>
    <w:rsid w:val="00920D57"/>
    <w:rsid w:val="00921544"/>
    <w:rsid w:val="00921BCF"/>
    <w:rsid w:val="009235E5"/>
    <w:rsid w:val="00924283"/>
    <w:rsid w:val="00924774"/>
    <w:rsid w:val="009251B0"/>
    <w:rsid w:val="009254E2"/>
    <w:rsid w:val="00925DB0"/>
    <w:rsid w:val="009274EE"/>
    <w:rsid w:val="00927A6D"/>
    <w:rsid w:val="00930AE6"/>
    <w:rsid w:val="009340F2"/>
    <w:rsid w:val="009342E2"/>
    <w:rsid w:val="00934629"/>
    <w:rsid w:val="00937062"/>
    <w:rsid w:val="009371C2"/>
    <w:rsid w:val="00937D7C"/>
    <w:rsid w:val="00940043"/>
    <w:rsid w:val="00940A92"/>
    <w:rsid w:val="009426FB"/>
    <w:rsid w:val="009429AD"/>
    <w:rsid w:val="009435E7"/>
    <w:rsid w:val="00943B0C"/>
    <w:rsid w:val="00943B5E"/>
    <w:rsid w:val="0094507B"/>
    <w:rsid w:val="00945587"/>
    <w:rsid w:val="0094627A"/>
    <w:rsid w:val="009505D5"/>
    <w:rsid w:val="0095082E"/>
    <w:rsid w:val="00952BFC"/>
    <w:rsid w:val="00954238"/>
    <w:rsid w:val="009545C8"/>
    <w:rsid w:val="00955737"/>
    <w:rsid w:val="009560CD"/>
    <w:rsid w:val="0096060C"/>
    <w:rsid w:val="00960611"/>
    <w:rsid w:val="00960A0B"/>
    <w:rsid w:val="00960C2A"/>
    <w:rsid w:val="00961776"/>
    <w:rsid w:val="009617BB"/>
    <w:rsid w:val="00961CAF"/>
    <w:rsid w:val="00962D5C"/>
    <w:rsid w:val="00964107"/>
    <w:rsid w:val="009665BB"/>
    <w:rsid w:val="00967849"/>
    <w:rsid w:val="00967D72"/>
    <w:rsid w:val="0097166D"/>
    <w:rsid w:val="00971852"/>
    <w:rsid w:val="009719E6"/>
    <w:rsid w:val="00972190"/>
    <w:rsid w:val="00976CE9"/>
    <w:rsid w:val="00976E9D"/>
    <w:rsid w:val="00977FF4"/>
    <w:rsid w:val="0098142A"/>
    <w:rsid w:val="00982408"/>
    <w:rsid w:val="00982989"/>
    <w:rsid w:val="00982D5B"/>
    <w:rsid w:val="009843EB"/>
    <w:rsid w:val="0099223E"/>
    <w:rsid w:val="009932AE"/>
    <w:rsid w:val="00993A67"/>
    <w:rsid w:val="00994DB1"/>
    <w:rsid w:val="00994E57"/>
    <w:rsid w:val="00996001"/>
    <w:rsid w:val="00996DBD"/>
    <w:rsid w:val="00996EE2"/>
    <w:rsid w:val="009A077B"/>
    <w:rsid w:val="009A08BC"/>
    <w:rsid w:val="009A53F1"/>
    <w:rsid w:val="009A5F9A"/>
    <w:rsid w:val="009A5FA3"/>
    <w:rsid w:val="009A745F"/>
    <w:rsid w:val="009B0028"/>
    <w:rsid w:val="009B0561"/>
    <w:rsid w:val="009B340D"/>
    <w:rsid w:val="009B4D31"/>
    <w:rsid w:val="009B5703"/>
    <w:rsid w:val="009B5944"/>
    <w:rsid w:val="009B62F5"/>
    <w:rsid w:val="009B6DB4"/>
    <w:rsid w:val="009B792F"/>
    <w:rsid w:val="009B7AD9"/>
    <w:rsid w:val="009C0304"/>
    <w:rsid w:val="009C082C"/>
    <w:rsid w:val="009C2EBA"/>
    <w:rsid w:val="009C316A"/>
    <w:rsid w:val="009C37EF"/>
    <w:rsid w:val="009C3824"/>
    <w:rsid w:val="009C3CA7"/>
    <w:rsid w:val="009C449B"/>
    <w:rsid w:val="009C4908"/>
    <w:rsid w:val="009C53EA"/>
    <w:rsid w:val="009C733B"/>
    <w:rsid w:val="009D092C"/>
    <w:rsid w:val="009D1251"/>
    <w:rsid w:val="009D13D2"/>
    <w:rsid w:val="009D2B6B"/>
    <w:rsid w:val="009D33AD"/>
    <w:rsid w:val="009D34A8"/>
    <w:rsid w:val="009D40EF"/>
    <w:rsid w:val="009D5557"/>
    <w:rsid w:val="009D7AC8"/>
    <w:rsid w:val="009D7C08"/>
    <w:rsid w:val="009E03A0"/>
    <w:rsid w:val="009E1DFC"/>
    <w:rsid w:val="009E2D83"/>
    <w:rsid w:val="009E4530"/>
    <w:rsid w:val="009E5B5F"/>
    <w:rsid w:val="009E5F70"/>
    <w:rsid w:val="009E738F"/>
    <w:rsid w:val="009E77A2"/>
    <w:rsid w:val="009F2513"/>
    <w:rsid w:val="009F3CB4"/>
    <w:rsid w:val="009F5079"/>
    <w:rsid w:val="009F5095"/>
    <w:rsid w:val="009F556D"/>
    <w:rsid w:val="009F59C3"/>
    <w:rsid w:val="009F63DE"/>
    <w:rsid w:val="009F695D"/>
    <w:rsid w:val="009F6CB5"/>
    <w:rsid w:val="009F705D"/>
    <w:rsid w:val="009F72B0"/>
    <w:rsid w:val="009F79A6"/>
    <w:rsid w:val="00A002CC"/>
    <w:rsid w:val="00A012D4"/>
    <w:rsid w:val="00A01AE9"/>
    <w:rsid w:val="00A02A6B"/>
    <w:rsid w:val="00A02F62"/>
    <w:rsid w:val="00A04E6B"/>
    <w:rsid w:val="00A0702C"/>
    <w:rsid w:val="00A072DE"/>
    <w:rsid w:val="00A077BC"/>
    <w:rsid w:val="00A12076"/>
    <w:rsid w:val="00A13024"/>
    <w:rsid w:val="00A139A1"/>
    <w:rsid w:val="00A15ABA"/>
    <w:rsid w:val="00A15C44"/>
    <w:rsid w:val="00A17696"/>
    <w:rsid w:val="00A20D39"/>
    <w:rsid w:val="00A21A03"/>
    <w:rsid w:val="00A21CB5"/>
    <w:rsid w:val="00A239D6"/>
    <w:rsid w:val="00A24122"/>
    <w:rsid w:val="00A254CA"/>
    <w:rsid w:val="00A26172"/>
    <w:rsid w:val="00A26423"/>
    <w:rsid w:val="00A2757E"/>
    <w:rsid w:val="00A2792A"/>
    <w:rsid w:val="00A30D66"/>
    <w:rsid w:val="00A339DA"/>
    <w:rsid w:val="00A341CB"/>
    <w:rsid w:val="00A360A8"/>
    <w:rsid w:val="00A37060"/>
    <w:rsid w:val="00A37098"/>
    <w:rsid w:val="00A4018A"/>
    <w:rsid w:val="00A40C7E"/>
    <w:rsid w:val="00A4162E"/>
    <w:rsid w:val="00A416F2"/>
    <w:rsid w:val="00A425AF"/>
    <w:rsid w:val="00A42F78"/>
    <w:rsid w:val="00A446F4"/>
    <w:rsid w:val="00A50F55"/>
    <w:rsid w:val="00A51B44"/>
    <w:rsid w:val="00A55676"/>
    <w:rsid w:val="00A55EA4"/>
    <w:rsid w:val="00A562A2"/>
    <w:rsid w:val="00A5676D"/>
    <w:rsid w:val="00A5692F"/>
    <w:rsid w:val="00A57201"/>
    <w:rsid w:val="00A6122F"/>
    <w:rsid w:val="00A62348"/>
    <w:rsid w:val="00A63817"/>
    <w:rsid w:val="00A64068"/>
    <w:rsid w:val="00A651E9"/>
    <w:rsid w:val="00A658AD"/>
    <w:rsid w:val="00A6595E"/>
    <w:rsid w:val="00A659A4"/>
    <w:rsid w:val="00A65E53"/>
    <w:rsid w:val="00A66891"/>
    <w:rsid w:val="00A66BA7"/>
    <w:rsid w:val="00A67337"/>
    <w:rsid w:val="00A674FD"/>
    <w:rsid w:val="00A678DC"/>
    <w:rsid w:val="00A72B3E"/>
    <w:rsid w:val="00A747AF"/>
    <w:rsid w:val="00A74EC8"/>
    <w:rsid w:val="00A75964"/>
    <w:rsid w:val="00A75AB0"/>
    <w:rsid w:val="00A773E4"/>
    <w:rsid w:val="00A77476"/>
    <w:rsid w:val="00A7762E"/>
    <w:rsid w:val="00A80ABE"/>
    <w:rsid w:val="00A813D3"/>
    <w:rsid w:val="00A81953"/>
    <w:rsid w:val="00A83272"/>
    <w:rsid w:val="00A8372C"/>
    <w:rsid w:val="00A85C6B"/>
    <w:rsid w:val="00A85CA1"/>
    <w:rsid w:val="00A86479"/>
    <w:rsid w:val="00A918B9"/>
    <w:rsid w:val="00A92D85"/>
    <w:rsid w:val="00A93CAC"/>
    <w:rsid w:val="00A93D61"/>
    <w:rsid w:val="00A940EE"/>
    <w:rsid w:val="00A95398"/>
    <w:rsid w:val="00A957A3"/>
    <w:rsid w:val="00A96AD6"/>
    <w:rsid w:val="00A9719E"/>
    <w:rsid w:val="00A972CC"/>
    <w:rsid w:val="00A972E6"/>
    <w:rsid w:val="00A97C36"/>
    <w:rsid w:val="00AA0127"/>
    <w:rsid w:val="00AA3510"/>
    <w:rsid w:val="00AA3FFD"/>
    <w:rsid w:val="00AA4706"/>
    <w:rsid w:val="00AA5445"/>
    <w:rsid w:val="00AA5928"/>
    <w:rsid w:val="00AA65E9"/>
    <w:rsid w:val="00AA70AC"/>
    <w:rsid w:val="00AA7556"/>
    <w:rsid w:val="00AA7B4D"/>
    <w:rsid w:val="00AB1EA3"/>
    <w:rsid w:val="00AB2031"/>
    <w:rsid w:val="00AB3FE6"/>
    <w:rsid w:val="00AB41DF"/>
    <w:rsid w:val="00AB48EF"/>
    <w:rsid w:val="00AB6740"/>
    <w:rsid w:val="00AC03E8"/>
    <w:rsid w:val="00AC16A4"/>
    <w:rsid w:val="00AC29DE"/>
    <w:rsid w:val="00AC3047"/>
    <w:rsid w:val="00AC309E"/>
    <w:rsid w:val="00AC5460"/>
    <w:rsid w:val="00AD13F7"/>
    <w:rsid w:val="00AD16E4"/>
    <w:rsid w:val="00AD39A9"/>
    <w:rsid w:val="00AD404E"/>
    <w:rsid w:val="00AD4C8A"/>
    <w:rsid w:val="00AD5308"/>
    <w:rsid w:val="00AD6CFB"/>
    <w:rsid w:val="00AD6F2B"/>
    <w:rsid w:val="00AE1066"/>
    <w:rsid w:val="00AE11E9"/>
    <w:rsid w:val="00AE28F5"/>
    <w:rsid w:val="00AE29CA"/>
    <w:rsid w:val="00AE3F70"/>
    <w:rsid w:val="00AE5028"/>
    <w:rsid w:val="00AE5268"/>
    <w:rsid w:val="00AE5DB1"/>
    <w:rsid w:val="00AE7A5E"/>
    <w:rsid w:val="00AF1905"/>
    <w:rsid w:val="00AF59AE"/>
    <w:rsid w:val="00AF5B15"/>
    <w:rsid w:val="00B00538"/>
    <w:rsid w:val="00B010A9"/>
    <w:rsid w:val="00B02500"/>
    <w:rsid w:val="00B034AF"/>
    <w:rsid w:val="00B039CF"/>
    <w:rsid w:val="00B06BDF"/>
    <w:rsid w:val="00B109C5"/>
    <w:rsid w:val="00B10F3B"/>
    <w:rsid w:val="00B113D1"/>
    <w:rsid w:val="00B13330"/>
    <w:rsid w:val="00B14005"/>
    <w:rsid w:val="00B155CB"/>
    <w:rsid w:val="00B16780"/>
    <w:rsid w:val="00B225CF"/>
    <w:rsid w:val="00B24972"/>
    <w:rsid w:val="00B25315"/>
    <w:rsid w:val="00B25DA3"/>
    <w:rsid w:val="00B2624A"/>
    <w:rsid w:val="00B27855"/>
    <w:rsid w:val="00B30BBB"/>
    <w:rsid w:val="00B30C07"/>
    <w:rsid w:val="00B311A9"/>
    <w:rsid w:val="00B32017"/>
    <w:rsid w:val="00B32B05"/>
    <w:rsid w:val="00B33893"/>
    <w:rsid w:val="00B363C8"/>
    <w:rsid w:val="00B376E2"/>
    <w:rsid w:val="00B40AAC"/>
    <w:rsid w:val="00B413D5"/>
    <w:rsid w:val="00B417E0"/>
    <w:rsid w:val="00B4222E"/>
    <w:rsid w:val="00B427B8"/>
    <w:rsid w:val="00B43104"/>
    <w:rsid w:val="00B475FA"/>
    <w:rsid w:val="00B47C75"/>
    <w:rsid w:val="00B504E2"/>
    <w:rsid w:val="00B5135D"/>
    <w:rsid w:val="00B54A3D"/>
    <w:rsid w:val="00B54EAC"/>
    <w:rsid w:val="00B57B3C"/>
    <w:rsid w:val="00B57D94"/>
    <w:rsid w:val="00B60543"/>
    <w:rsid w:val="00B60D23"/>
    <w:rsid w:val="00B61E09"/>
    <w:rsid w:val="00B63D51"/>
    <w:rsid w:val="00B63DD2"/>
    <w:rsid w:val="00B64E89"/>
    <w:rsid w:val="00B65A48"/>
    <w:rsid w:val="00B70628"/>
    <w:rsid w:val="00B71038"/>
    <w:rsid w:val="00B72456"/>
    <w:rsid w:val="00B735D0"/>
    <w:rsid w:val="00B73F2C"/>
    <w:rsid w:val="00B74289"/>
    <w:rsid w:val="00B75CB9"/>
    <w:rsid w:val="00B829AE"/>
    <w:rsid w:val="00B82BC9"/>
    <w:rsid w:val="00B82F8E"/>
    <w:rsid w:val="00B8365B"/>
    <w:rsid w:val="00B84905"/>
    <w:rsid w:val="00B85514"/>
    <w:rsid w:val="00B91C17"/>
    <w:rsid w:val="00B91C34"/>
    <w:rsid w:val="00B92C86"/>
    <w:rsid w:val="00B93C5C"/>
    <w:rsid w:val="00B9411B"/>
    <w:rsid w:val="00B94B26"/>
    <w:rsid w:val="00B9522A"/>
    <w:rsid w:val="00B970E8"/>
    <w:rsid w:val="00B97285"/>
    <w:rsid w:val="00B97F03"/>
    <w:rsid w:val="00BA0056"/>
    <w:rsid w:val="00BA0D41"/>
    <w:rsid w:val="00BA0F9B"/>
    <w:rsid w:val="00BA1A55"/>
    <w:rsid w:val="00BA4B47"/>
    <w:rsid w:val="00BA4CE4"/>
    <w:rsid w:val="00BA56CD"/>
    <w:rsid w:val="00BA7074"/>
    <w:rsid w:val="00BA74EA"/>
    <w:rsid w:val="00BB3136"/>
    <w:rsid w:val="00BB3D4A"/>
    <w:rsid w:val="00BB509C"/>
    <w:rsid w:val="00BB6554"/>
    <w:rsid w:val="00BB69C3"/>
    <w:rsid w:val="00BB7131"/>
    <w:rsid w:val="00BB73EB"/>
    <w:rsid w:val="00BB748C"/>
    <w:rsid w:val="00BC084D"/>
    <w:rsid w:val="00BC155D"/>
    <w:rsid w:val="00BC37DE"/>
    <w:rsid w:val="00BC3BFD"/>
    <w:rsid w:val="00BD048C"/>
    <w:rsid w:val="00BD091B"/>
    <w:rsid w:val="00BD0E97"/>
    <w:rsid w:val="00BD115C"/>
    <w:rsid w:val="00BD38C6"/>
    <w:rsid w:val="00BD737D"/>
    <w:rsid w:val="00BD75AC"/>
    <w:rsid w:val="00BD77B3"/>
    <w:rsid w:val="00BE1689"/>
    <w:rsid w:val="00BE781E"/>
    <w:rsid w:val="00BF156A"/>
    <w:rsid w:val="00BF20D6"/>
    <w:rsid w:val="00BF28CF"/>
    <w:rsid w:val="00BF2B21"/>
    <w:rsid w:val="00BF398C"/>
    <w:rsid w:val="00BF45F8"/>
    <w:rsid w:val="00BF4BAA"/>
    <w:rsid w:val="00BF5D08"/>
    <w:rsid w:val="00BF7AD2"/>
    <w:rsid w:val="00C001C0"/>
    <w:rsid w:val="00C008BA"/>
    <w:rsid w:val="00C00C04"/>
    <w:rsid w:val="00C02477"/>
    <w:rsid w:val="00C054F9"/>
    <w:rsid w:val="00C055F4"/>
    <w:rsid w:val="00C05828"/>
    <w:rsid w:val="00C10063"/>
    <w:rsid w:val="00C10A00"/>
    <w:rsid w:val="00C125CA"/>
    <w:rsid w:val="00C12AF1"/>
    <w:rsid w:val="00C144DB"/>
    <w:rsid w:val="00C15436"/>
    <w:rsid w:val="00C16BB8"/>
    <w:rsid w:val="00C2196C"/>
    <w:rsid w:val="00C21E08"/>
    <w:rsid w:val="00C234BA"/>
    <w:rsid w:val="00C24751"/>
    <w:rsid w:val="00C247E0"/>
    <w:rsid w:val="00C24A6E"/>
    <w:rsid w:val="00C2511B"/>
    <w:rsid w:val="00C25892"/>
    <w:rsid w:val="00C25E94"/>
    <w:rsid w:val="00C265E4"/>
    <w:rsid w:val="00C26E67"/>
    <w:rsid w:val="00C27DE9"/>
    <w:rsid w:val="00C3286D"/>
    <w:rsid w:val="00C32D61"/>
    <w:rsid w:val="00C33009"/>
    <w:rsid w:val="00C33C66"/>
    <w:rsid w:val="00C33CD0"/>
    <w:rsid w:val="00C34989"/>
    <w:rsid w:val="00C34BE7"/>
    <w:rsid w:val="00C35021"/>
    <w:rsid w:val="00C3632D"/>
    <w:rsid w:val="00C4006A"/>
    <w:rsid w:val="00C416B7"/>
    <w:rsid w:val="00C41C45"/>
    <w:rsid w:val="00C4339E"/>
    <w:rsid w:val="00C454C2"/>
    <w:rsid w:val="00C46434"/>
    <w:rsid w:val="00C469AD"/>
    <w:rsid w:val="00C46CEC"/>
    <w:rsid w:val="00C47718"/>
    <w:rsid w:val="00C4779E"/>
    <w:rsid w:val="00C47D4D"/>
    <w:rsid w:val="00C50BF3"/>
    <w:rsid w:val="00C50EAF"/>
    <w:rsid w:val="00C54117"/>
    <w:rsid w:val="00C54FB3"/>
    <w:rsid w:val="00C55543"/>
    <w:rsid w:val="00C55E75"/>
    <w:rsid w:val="00C56080"/>
    <w:rsid w:val="00C5779D"/>
    <w:rsid w:val="00C57E02"/>
    <w:rsid w:val="00C61C9E"/>
    <w:rsid w:val="00C61DE8"/>
    <w:rsid w:val="00C623BC"/>
    <w:rsid w:val="00C62D6D"/>
    <w:rsid w:val="00C6323D"/>
    <w:rsid w:val="00C64903"/>
    <w:rsid w:val="00C65AE1"/>
    <w:rsid w:val="00C66081"/>
    <w:rsid w:val="00C66269"/>
    <w:rsid w:val="00C66C24"/>
    <w:rsid w:val="00C67255"/>
    <w:rsid w:val="00C70CD0"/>
    <w:rsid w:val="00C73CEE"/>
    <w:rsid w:val="00C74592"/>
    <w:rsid w:val="00C74A4F"/>
    <w:rsid w:val="00C75617"/>
    <w:rsid w:val="00C75691"/>
    <w:rsid w:val="00C75941"/>
    <w:rsid w:val="00C76129"/>
    <w:rsid w:val="00C77673"/>
    <w:rsid w:val="00C8192E"/>
    <w:rsid w:val="00C82D5B"/>
    <w:rsid w:val="00C82EDF"/>
    <w:rsid w:val="00C852DF"/>
    <w:rsid w:val="00C865E9"/>
    <w:rsid w:val="00C86CCC"/>
    <w:rsid w:val="00C877FB"/>
    <w:rsid w:val="00C8792E"/>
    <w:rsid w:val="00C879E7"/>
    <w:rsid w:val="00C87EE1"/>
    <w:rsid w:val="00C906BC"/>
    <w:rsid w:val="00C90964"/>
    <w:rsid w:val="00C9189E"/>
    <w:rsid w:val="00C91EE2"/>
    <w:rsid w:val="00C92ECA"/>
    <w:rsid w:val="00CA1E2A"/>
    <w:rsid w:val="00CA2D7B"/>
    <w:rsid w:val="00CA3A7F"/>
    <w:rsid w:val="00CA48A5"/>
    <w:rsid w:val="00CA4F8A"/>
    <w:rsid w:val="00CA55F0"/>
    <w:rsid w:val="00CA6ED3"/>
    <w:rsid w:val="00CB0AE5"/>
    <w:rsid w:val="00CB1AF6"/>
    <w:rsid w:val="00CB1BD5"/>
    <w:rsid w:val="00CB1C25"/>
    <w:rsid w:val="00CB25C8"/>
    <w:rsid w:val="00CB499D"/>
    <w:rsid w:val="00CB4D13"/>
    <w:rsid w:val="00CB541B"/>
    <w:rsid w:val="00CB581E"/>
    <w:rsid w:val="00CB5F96"/>
    <w:rsid w:val="00CB627D"/>
    <w:rsid w:val="00CB63F6"/>
    <w:rsid w:val="00CC178A"/>
    <w:rsid w:val="00CC49AD"/>
    <w:rsid w:val="00CD11F4"/>
    <w:rsid w:val="00CD1A58"/>
    <w:rsid w:val="00CD253E"/>
    <w:rsid w:val="00CD2A6F"/>
    <w:rsid w:val="00CD2AD8"/>
    <w:rsid w:val="00CD4C01"/>
    <w:rsid w:val="00CD58D7"/>
    <w:rsid w:val="00CD5E14"/>
    <w:rsid w:val="00CE2AF3"/>
    <w:rsid w:val="00CE389A"/>
    <w:rsid w:val="00CE448B"/>
    <w:rsid w:val="00CE50FD"/>
    <w:rsid w:val="00CE59C8"/>
    <w:rsid w:val="00CE7745"/>
    <w:rsid w:val="00CE7D06"/>
    <w:rsid w:val="00CF2DE4"/>
    <w:rsid w:val="00CF447B"/>
    <w:rsid w:val="00CF4C23"/>
    <w:rsid w:val="00CF60A9"/>
    <w:rsid w:val="00CF629C"/>
    <w:rsid w:val="00CF6DC3"/>
    <w:rsid w:val="00CF6DC8"/>
    <w:rsid w:val="00CF78FC"/>
    <w:rsid w:val="00D01A2B"/>
    <w:rsid w:val="00D02E86"/>
    <w:rsid w:val="00D03002"/>
    <w:rsid w:val="00D05874"/>
    <w:rsid w:val="00D06C04"/>
    <w:rsid w:val="00D06D16"/>
    <w:rsid w:val="00D11BFC"/>
    <w:rsid w:val="00D11D89"/>
    <w:rsid w:val="00D128AE"/>
    <w:rsid w:val="00D12C02"/>
    <w:rsid w:val="00D13573"/>
    <w:rsid w:val="00D13EF2"/>
    <w:rsid w:val="00D1679C"/>
    <w:rsid w:val="00D1740E"/>
    <w:rsid w:val="00D218DD"/>
    <w:rsid w:val="00D22408"/>
    <w:rsid w:val="00D22CD1"/>
    <w:rsid w:val="00D24E2E"/>
    <w:rsid w:val="00D24E34"/>
    <w:rsid w:val="00D26F85"/>
    <w:rsid w:val="00D30BAE"/>
    <w:rsid w:val="00D30C4B"/>
    <w:rsid w:val="00D316C4"/>
    <w:rsid w:val="00D31975"/>
    <w:rsid w:val="00D32543"/>
    <w:rsid w:val="00D33799"/>
    <w:rsid w:val="00D33CBB"/>
    <w:rsid w:val="00D34328"/>
    <w:rsid w:val="00D36434"/>
    <w:rsid w:val="00D36B2B"/>
    <w:rsid w:val="00D409F4"/>
    <w:rsid w:val="00D432F6"/>
    <w:rsid w:val="00D43F67"/>
    <w:rsid w:val="00D460FB"/>
    <w:rsid w:val="00D46593"/>
    <w:rsid w:val="00D47978"/>
    <w:rsid w:val="00D47C88"/>
    <w:rsid w:val="00D47EDF"/>
    <w:rsid w:val="00D51A8F"/>
    <w:rsid w:val="00D53B0A"/>
    <w:rsid w:val="00D55621"/>
    <w:rsid w:val="00D5593F"/>
    <w:rsid w:val="00D5652A"/>
    <w:rsid w:val="00D56611"/>
    <w:rsid w:val="00D57F20"/>
    <w:rsid w:val="00D62252"/>
    <w:rsid w:val="00D62444"/>
    <w:rsid w:val="00D63B38"/>
    <w:rsid w:val="00D63B6E"/>
    <w:rsid w:val="00D65D07"/>
    <w:rsid w:val="00D66B60"/>
    <w:rsid w:val="00D67A9F"/>
    <w:rsid w:val="00D71EBC"/>
    <w:rsid w:val="00D745BB"/>
    <w:rsid w:val="00D770AA"/>
    <w:rsid w:val="00D77344"/>
    <w:rsid w:val="00D8003B"/>
    <w:rsid w:val="00D80D8F"/>
    <w:rsid w:val="00D81427"/>
    <w:rsid w:val="00D81463"/>
    <w:rsid w:val="00D81EC3"/>
    <w:rsid w:val="00D838D2"/>
    <w:rsid w:val="00D83E48"/>
    <w:rsid w:val="00D8400D"/>
    <w:rsid w:val="00D84187"/>
    <w:rsid w:val="00D85393"/>
    <w:rsid w:val="00D8690D"/>
    <w:rsid w:val="00D9014F"/>
    <w:rsid w:val="00D90FB0"/>
    <w:rsid w:val="00D92173"/>
    <w:rsid w:val="00D92810"/>
    <w:rsid w:val="00D94B15"/>
    <w:rsid w:val="00D962C4"/>
    <w:rsid w:val="00D9664C"/>
    <w:rsid w:val="00DA1FD0"/>
    <w:rsid w:val="00DA23C9"/>
    <w:rsid w:val="00DA3044"/>
    <w:rsid w:val="00DA3E3E"/>
    <w:rsid w:val="00DA47F7"/>
    <w:rsid w:val="00DA6D66"/>
    <w:rsid w:val="00DA7328"/>
    <w:rsid w:val="00DA7841"/>
    <w:rsid w:val="00DB033B"/>
    <w:rsid w:val="00DB063A"/>
    <w:rsid w:val="00DB26E1"/>
    <w:rsid w:val="00DB32CE"/>
    <w:rsid w:val="00DB5759"/>
    <w:rsid w:val="00DC02A2"/>
    <w:rsid w:val="00DC0EDC"/>
    <w:rsid w:val="00DC2101"/>
    <w:rsid w:val="00DC2205"/>
    <w:rsid w:val="00DC3365"/>
    <w:rsid w:val="00DC33DF"/>
    <w:rsid w:val="00DC358E"/>
    <w:rsid w:val="00DC36BC"/>
    <w:rsid w:val="00DC4938"/>
    <w:rsid w:val="00DC6E8E"/>
    <w:rsid w:val="00DC79BC"/>
    <w:rsid w:val="00DD1593"/>
    <w:rsid w:val="00DD246E"/>
    <w:rsid w:val="00DD25FD"/>
    <w:rsid w:val="00DD3AA2"/>
    <w:rsid w:val="00DD45A9"/>
    <w:rsid w:val="00DD547E"/>
    <w:rsid w:val="00DD6679"/>
    <w:rsid w:val="00DD737B"/>
    <w:rsid w:val="00DE2560"/>
    <w:rsid w:val="00DE25D1"/>
    <w:rsid w:val="00DE26C1"/>
    <w:rsid w:val="00DE377D"/>
    <w:rsid w:val="00DE59C0"/>
    <w:rsid w:val="00DE65A0"/>
    <w:rsid w:val="00DE68A3"/>
    <w:rsid w:val="00DF0344"/>
    <w:rsid w:val="00DF22B0"/>
    <w:rsid w:val="00DF3B5D"/>
    <w:rsid w:val="00DF3E47"/>
    <w:rsid w:val="00DF503D"/>
    <w:rsid w:val="00DF6143"/>
    <w:rsid w:val="00DF7C90"/>
    <w:rsid w:val="00E00F64"/>
    <w:rsid w:val="00E029E4"/>
    <w:rsid w:val="00E033E4"/>
    <w:rsid w:val="00E03D80"/>
    <w:rsid w:val="00E04993"/>
    <w:rsid w:val="00E05368"/>
    <w:rsid w:val="00E057A2"/>
    <w:rsid w:val="00E05BA8"/>
    <w:rsid w:val="00E06D2F"/>
    <w:rsid w:val="00E07305"/>
    <w:rsid w:val="00E07791"/>
    <w:rsid w:val="00E1131C"/>
    <w:rsid w:val="00E11CE7"/>
    <w:rsid w:val="00E12451"/>
    <w:rsid w:val="00E12504"/>
    <w:rsid w:val="00E1712F"/>
    <w:rsid w:val="00E230FF"/>
    <w:rsid w:val="00E237AD"/>
    <w:rsid w:val="00E23DA9"/>
    <w:rsid w:val="00E24218"/>
    <w:rsid w:val="00E24A87"/>
    <w:rsid w:val="00E24D25"/>
    <w:rsid w:val="00E254B9"/>
    <w:rsid w:val="00E25A84"/>
    <w:rsid w:val="00E25D4E"/>
    <w:rsid w:val="00E26B18"/>
    <w:rsid w:val="00E27BD1"/>
    <w:rsid w:val="00E30B76"/>
    <w:rsid w:val="00E35765"/>
    <w:rsid w:val="00E403C7"/>
    <w:rsid w:val="00E41F3D"/>
    <w:rsid w:val="00E42E10"/>
    <w:rsid w:val="00E43A04"/>
    <w:rsid w:val="00E43AE1"/>
    <w:rsid w:val="00E45056"/>
    <w:rsid w:val="00E45D76"/>
    <w:rsid w:val="00E460B4"/>
    <w:rsid w:val="00E50209"/>
    <w:rsid w:val="00E5085B"/>
    <w:rsid w:val="00E50C79"/>
    <w:rsid w:val="00E513C2"/>
    <w:rsid w:val="00E5156D"/>
    <w:rsid w:val="00E52083"/>
    <w:rsid w:val="00E54F1D"/>
    <w:rsid w:val="00E5656A"/>
    <w:rsid w:val="00E57B2B"/>
    <w:rsid w:val="00E57F67"/>
    <w:rsid w:val="00E60A37"/>
    <w:rsid w:val="00E61C80"/>
    <w:rsid w:val="00E61FAC"/>
    <w:rsid w:val="00E633CF"/>
    <w:rsid w:val="00E6385E"/>
    <w:rsid w:val="00E658AD"/>
    <w:rsid w:val="00E669DC"/>
    <w:rsid w:val="00E6773F"/>
    <w:rsid w:val="00E70F3B"/>
    <w:rsid w:val="00E71F6B"/>
    <w:rsid w:val="00E72251"/>
    <w:rsid w:val="00E766C3"/>
    <w:rsid w:val="00E76744"/>
    <w:rsid w:val="00E77E43"/>
    <w:rsid w:val="00E81778"/>
    <w:rsid w:val="00E851BE"/>
    <w:rsid w:val="00E932EA"/>
    <w:rsid w:val="00E940CB"/>
    <w:rsid w:val="00EA0813"/>
    <w:rsid w:val="00EA20E5"/>
    <w:rsid w:val="00EA225B"/>
    <w:rsid w:val="00EA464E"/>
    <w:rsid w:val="00EB0007"/>
    <w:rsid w:val="00EB0293"/>
    <w:rsid w:val="00EB0C2C"/>
    <w:rsid w:val="00EB192B"/>
    <w:rsid w:val="00EB38E8"/>
    <w:rsid w:val="00EB4998"/>
    <w:rsid w:val="00EB5332"/>
    <w:rsid w:val="00EB7344"/>
    <w:rsid w:val="00EC110D"/>
    <w:rsid w:val="00EC6336"/>
    <w:rsid w:val="00EC6DE3"/>
    <w:rsid w:val="00EC6F85"/>
    <w:rsid w:val="00EC70C4"/>
    <w:rsid w:val="00EC7D0F"/>
    <w:rsid w:val="00ED0583"/>
    <w:rsid w:val="00ED0E43"/>
    <w:rsid w:val="00ED0E8D"/>
    <w:rsid w:val="00ED27BE"/>
    <w:rsid w:val="00ED3B8F"/>
    <w:rsid w:val="00ED3CE8"/>
    <w:rsid w:val="00ED5B4F"/>
    <w:rsid w:val="00ED6BBF"/>
    <w:rsid w:val="00ED7E13"/>
    <w:rsid w:val="00EE3C53"/>
    <w:rsid w:val="00EE51DA"/>
    <w:rsid w:val="00EE6100"/>
    <w:rsid w:val="00EE7953"/>
    <w:rsid w:val="00EE7CA9"/>
    <w:rsid w:val="00EF0308"/>
    <w:rsid w:val="00EF0BB8"/>
    <w:rsid w:val="00EF0F6E"/>
    <w:rsid w:val="00EF10C1"/>
    <w:rsid w:val="00EF10F6"/>
    <w:rsid w:val="00EF2140"/>
    <w:rsid w:val="00EF238F"/>
    <w:rsid w:val="00EF2FF6"/>
    <w:rsid w:val="00EF37CA"/>
    <w:rsid w:val="00EF3E75"/>
    <w:rsid w:val="00EF5578"/>
    <w:rsid w:val="00EF6F49"/>
    <w:rsid w:val="00EF7E9E"/>
    <w:rsid w:val="00EF7ED2"/>
    <w:rsid w:val="00F00C59"/>
    <w:rsid w:val="00F01623"/>
    <w:rsid w:val="00F02CBF"/>
    <w:rsid w:val="00F02D49"/>
    <w:rsid w:val="00F03DA7"/>
    <w:rsid w:val="00F046DA"/>
    <w:rsid w:val="00F048D5"/>
    <w:rsid w:val="00F04B43"/>
    <w:rsid w:val="00F0625C"/>
    <w:rsid w:val="00F070BF"/>
    <w:rsid w:val="00F07480"/>
    <w:rsid w:val="00F074A2"/>
    <w:rsid w:val="00F11E4A"/>
    <w:rsid w:val="00F12B21"/>
    <w:rsid w:val="00F14760"/>
    <w:rsid w:val="00F14F87"/>
    <w:rsid w:val="00F159B6"/>
    <w:rsid w:val="00F20650"/>
    <w:rsid w:val="00F21328"/>
    <w:rsid w:val="00F213AE"/>
    <w:rsid w:val="00F21578"/>
    <w:rsid w:val="00F223D6"/>
    <w:rsid w:val="00F22A19"/>
    <w:rsid w:val="00F22D29"/>
    <w:rsid w:val="00F24930"/>
    <w:rsid w:val="00F2576A"/>
    <w:rsid w:val="00F26016"/>
    <w:rsid w:val="00F2751F"/>
    <w:rsid w:val="00F2788C"/>
    <w:rsid w:val="00F27E19"/>
    <w:rsid w:val="00F3206D"/>
    <w:rsid w:val="00F32E60"/>
    <w:rsid w:val="00F34728"/>
    <w:rsid w:val="00F34818"/>
    <w:rsid w:val="00F34F8C"/>
    <w:rsid w:val="00F36289"/>
    <w:rsid w:val="00F36578"/>
    <w:rsid w:val="00F3696D"/>
    <w:rsid w:val="00F40DF8"/>
    <w:rsid w:val="00F41EC9"/>
    <w:rsid w:val="00F426B6"/>
    <w:rsid w:val="00F42A46"/>
    <w:rsid w:val="00F430D9"/>
    <w:rsid w:val="00F4375C"/>
    <w:rsid w:val="00F44654"/>
    <w:rsid w:val="00F45B28"/>
    <w:rsid w:val="00F45FBD"/>
    <w:rsid w:val="00F471C3"/>
    <w:rsid w:val="00F50ACC"/>
    <w:rsid w:val="00F51419"/>
    <w:rsid w:val="00F52360"/>
    <w:rsid w:val="00F52A92"/>
    <w:rsid w:val="00F5378A"/>
    <w:rsid w:val="00F5398D"/>
    <w:rsid w:val="00F54EF4"/>
    <w:rsid w:val="00F5578E"/>
    <w:rsid w:val="00F5589A"/>
    <w:rsid w:val="00F559E7"/>
    <w:rsid w:val="00F56B7C"/>
    <w:rsid w:val="00F57647"/>
    <w:rsid w:val="00F57848"/>
    <w:rsid w:val="00F57A3B"/>
    <w:rsid w:val="00F57FD0"/>
    <w:rsid w:val="00F60908"/>
    <w:rsid w:val="00F62030"/>
    <w:rsid w:val="00F62E41"/>
    <w:rsid w:val="00F63614"/>
    <w:rsid w:val="00F63A2F"/>
    <w:rsid w:val="00F6417A"/>
    <w:rsid w:val="00F64DC6"/>
    <w:rsid w:val="00F66326"/>
    <w:rsid w:val="00F668DA"/>
    <w:rsid w:val="00F67FE4"/>
    <w:rsid w:val="00F71514"/>
    <w:rsid w:val="00F71EC9"/>
    <w:rsid w:val="00F73BAA"/>
    <w:rsid w:val="00F74779"/>
    <w:rsid w:val="00F75F42"/>
    <w:rsid w:val="00F76C4B"/>
    <w:rsid w:val="00F8007B"/>
    <w:rsid w:val="00F80F9F"/>
    <w:rsid w:val="00F81B68"/>
    <w:rsid w:val="00F8215A"/>
    <w:rsid w:val="00F85E83"/>
    <w:rsid w:val="00F85FFA"/>
    <w:rsid w:val="00F9000B"/>
    <w:rsid w:val="00F90858"/>
    <w:rsid w:val="00F91395"/>
    <w:rsid w:val="00F91A91"/>
    <w:rsid w:val="00F93AF0"/>
    <w:rsid w:val="00F96B96"/>
    <w:rsid w:val="00F97B2D"/>
    <w:rsid w:val="00FA0D67"/>
    <w:rsid w:val="00FA3841"/>
    <w:rsid w:val="00FA582C"/>
    <w:rsid w:val="00FA68C2"/>
    <w:rsid w:val="00FB1473"/>
    <w:rsid w:val="00FB22BF"/>
    <w:rsid w:val="00FB24C2"/>
    <w:rsid w:val="00FB28BD"/>
    <w:rsid w:val="00FB3A3E"/>
    <w:rsid w:val="00FB3B43"/>
    <w:rsid w:val="00FB4F7D"/>
    <w:rsid w:val="00FB5097"/>
    <w:rsid w:val="00FB5824"/>
    <w:rsid w:val="00FB7289"/>
    <w:rsid w:val="00FC0243"/>
    <w:rsid w:val="00FC071C"/>
    <w:rsid w:val="00FC1056"/>
    <w:rsid w:val="00FC2198"/>
    <w:rsid w:val="00FC24E5"/>
    <w:rsid w:val="00FC363B"/>
    <w:rsid w:val="00FC4783"/>
    <w:rsid w:val="00FC717F"/>
    <w:rsid w:val="00FC7182"/>
    <w:rsid w:val="00FD12D8"/>
    <w:rsid w:val="00FD1C1D"/>
    <w:rsid w:val="00FD3AAD"/>
    <w:rsid w:val="00FD47B4"/>
    <w:rsid w:val="00FD51CD"/>
    <w:rsid w:val="00FD534F"/>
    <w:rsid w:val="00FD5947"/>
    <w:rsid w:val="00FD6B9A"/>
    <w:rsid w:val="00FD7288"/>
    <w:rsid w:val="00FE264F"/>
    <w:rsid w:val="00FE412F"/>
    <w:rsid w:val="00FE47A0"/>
    <w:rsid w:val="00FE4B81"/>
    <w:rsid w:val="00FF127A"/>
    <w:rsid w:val="00FF217D"/>
    <w:rsid w:val="00FF22B6"/>
    <w:rsid w:val="00FF26A9"/>
    <w:rsid w:val="00FF29E7"/>
    <w:rsid w:val="00FF32B0"/>
    <w:rsid w:val="00FF369E"/>
    <w:rsid w:val="00FF3B04"/>
    <w:rsid w:val="00FF3CBD"/>
    <w:rsid w:val="00FF45F0"/>
    <w:rsid w:val="00FF52D2"/>
    <w:rsid w:val="00FF738B"/>
    <w:rsid w:val="01002678"/>
    <w:rsid w:val="010158D6"/>
    <w:rsid w:val="010F3B4F"/>
    <w:rsid w:val="016F0A91"/>
    <w:rsid w:val="019C2363"/>
    <w:rsid w:val="01B841E6"/>
    <w:rsid w:val="01BB1B90"/>
    <w:rsid w:val="01E74ACC"/>
    <w:rsid w:val="01F3069B"/>
    <w:rsid w:val="020B6A0C"/>
    <w:rsid w:val="023A109F"/>
    <w:rsid w:val="025A34EF"/>
    <w:rsid w:val="02603A5A"/>
    <w:rsid w:val="026D010F"/>
    <w:rsid w:val="028A32C5"/>
    <w:rsid w:val="029F53A6"/>
    <w:rsid w:val="02C53124"/>
    <w:rsid w:val="02D2752A"/>
    <w:rsid w:val="02F474A0"/>
    <w:rsid w:val="030B47EA"/>
    <w:rsid w:val="031169F8"/>
    <w:rsid w:val="031E276F"/>
    <w:rsid w:val="03232EAE"/>
    <w:rsid w:val="03247659"/>
    <w:rsid w:val="033B56D0"/>
    <w:rsid w:val="0357423A"/>
    <w:rsid w:val="035A307B"/>
    <w:rsid w:val="037051F5"/>
    <w:rsid w:val="03806F86"/>
    <w:rsid w:val="03817477"/>
    <w:rsid w:val="039C33B8"/>
    <w:rsid w:val="03AC070B"/>
    <w:rsid w:val="03AF7CB3"/>
    <w:rsid w:val="03D1158F"/>
    <w:rsid w:val="03D1333D"/>
    <w:rsid w:val="03E70DB3"/>
    <w:rsid w:val="04040843"/>
    <w:rsid w:val="04071455"/>
    <w:rsid w:val="04385E02"/>
    <w:rsid w:val="04722D72"/>
    <w:rsid w:val="047654EA"/>
    <w:rsid w:val="04893134"/>
    <w:rsid w:val="04C2259B"/>
    <w:rsid w:val="04CB2483"/>
    <w:rsid w:val="04F532E4"/>
    <w:rsid w:val="050B668C"/>
    <w:rsid w:val="050E411D"/>
    <w:rsid w:val="05160A26"/>
    <w:rsid w:val="0526590B"/>
    <w:rsid w:val="05283431"/>
    <w:rsid w:val="05353DA0"/>
    <w:rsid w:val="05616943"/>
    <w:rsid w:val="0571302A"/>
    <w:rsid w:val="0596483F"/>
    <w:rsid w:val="05A306C5"/>
    <w:rsid w:val="05A708E3"/>
    <w:rsid w:val="05A80472"/>
    <w:rsid w:val="05EF0E4C"/>
    <w:rsid w:val="06110369"/>
    <w:rsid w:val="062C627F"/>
    <w:rsid w:val="06707908"/>
    <w:rsid w:val="06734B80"/>
    <w:rsid w:val="06936492"/>
    <w:rsid w:val="06C47189"/>
    <w:rsid w:val="06F24750"/>
    <w:rsid w:val="073562D9"/>
    <w:rsid w:val="07414C7E"/>
    <w:rsid w:val="075E313A"/>
    <w:rsid w:val="0764271A"/>
    <w:rsid w:val="07852A45"/>
    <w:rsid w:val="0788465B"/>
    <w:rsid w:val="07AC789C"/>
    <w:rsid w:val="07B93EF8"/>
    <w:rsid w:val="07C37CC9"/>
    <w:rsid w:val="07C84A57"/>
    <w:rsid w:val="07DC15D4"/>
    <w:rsid w:val="07E06245"/>
    <w:rsid w:val="08166439"/>
    <w:rsid w:val="08297BEC"/>
    <w:rsid w:val="08587BB8"/>
    <w:rsid w:val="086C1887"/>
    <w:rsid w:val="08793FA4"/>
    <w:rsid w:val="08856DEC"/>
    <w:rsid w:val="088771F6"/>
    <w:rsid w:val="08AC4379"/>
    <w:rsid w:val="08AC6127"/>
    <w:rsid w:val="08C03FC5"/>
    <w:rsid w:val="09150170"/>
    <w:rsid w:val="096133B5"/>
    <w:rsid w:val="09842961"/>
    <w:rsid w:val="09CC105C"/>
    <w:rsid w:val="09F2400E"/>
    <w:rsid w:val="0A044046"/>
    <w:rsid w:val="0A0D59D6"/>
    <w:rsid w:val="0A11651F"/>
    <w:rsid w:val="0A1259E1"/>
    <w:rsid w:val="0A3D797F"/>
    <w:rsid w:val="0A6071C9"/>
    <w:rsid w:val="0A6E7403"/>
    <w:rsid w:val="0A8D3D36"/>
    <w:rsid w:val="0AC203B3"/>
    <w:rsid w:val="0ADE54B0"/>
    <w:rsid w:val="0B204BAA"/>
    <w:rsid w:val="0B3475D8"/>
    <w:rsid w:val="0B6D6042"/>
    <w:rsid w:val="0B7B07E8"/>
    <w:rsid w:val="0B9E3157"/>
    <w:rsid w:val="0BA13D85"/>
    <w:rsid w:val="0BB43C70"/>
    <w:rsid w:val="0BE5207C"/>
    <w:rsid w:val="0BEF6A57"/>
    <w:rsid w:val="0BF002FA"/>
    <w:rsid w:val="0BF7590B"/>
    <w:rsid w:val="0C142961"/>
    <w:rsid w:val="0C2D1E57"/>
    <w:rsid w:val="0C62191E"/>
    <w:rsid w:val="0C72611A"/>
    <w:rsid w:val="0C7B4653"/>
    <w:rsid w:val="0CBA42BE"/>
    <w:rsid w:val="0CE5418E"/>
    <w:rsid w:val="0CF602B9"/>
    <w:rsid w:val="0D074274"/>
    <w:rsid w:val="0D197B03"/>
    <w:rsid w:val="0D233138"/>
    <w:rsid w:val="0D36577E"/>
    <w:rsid w:val="0D466B4A"/>
    <w:rsid w:val="0D477973"/>
    <w:rsid w:val="0D49488C"/>
    <w:rsid w:val="0D5154EF"/>
    <w:rsid w:val="0D561518"/>
    <w:rsid w:val="0D6D6BDD"/>
    <w:rsid w:val="0D766D35"/>
    <w:rsid w:val="0DA770F4"/>
    <w:rsid w:val="0DDE4FD5"/>
    <w:rsid w:val="0DDE6C7A"/>
    <w:rsid w:val="0E866CD7"/>
    <w:rsid w:val="0E8843D7"/>
    <w:rsid w:val="0E9B4C74"/>
    <w:rsid w:val="0EA77ABC"/>
    <w:rsid w:val="0EAF4BC3"/>
    <w:rsid w:val="0EBB3483"/>
    <w:rsid w:val="0EBD28D6"/>
    <w:rsid w:val="0EC35F79"/>
    <w:rsid w:val="0F07055B"/>
    <w:rsid w:val="0F0D1FF7"/>
    <w:rsid w:val="0F16254C"/>
    <w:rsid w:val="0F19465C"/>
    <w:rsid w:val="0F1A64E0"/>
    <w:rsid w:val="0F2F5B7D"/>
    <w:rsid w:val="0F4A0448"/>
    <w:rsid w:val="0FAD5F50"/>
    <w:rsid w:val="0FC63F72"/>
    <w:rsid w:val="0FEE7355"/>
    <w:rsid w:val="101E688E"/>
    <w:rsid w:val="10A92F89"/>
    <w:rsid w:val="10AA3D13"/>
    <w:rsid w:val="10B954A3"/>
    <w:rsid w:val="10D426BF"/>
    <w:rsid w:val="10DC1574"/>
    <w:rsid w:val="10F22B45"/>
    <w:rsid w:val="10FF1EB7"/>
    <w:rsid w:val="110805BA"/>
    <w:rsid w:val="11101BD9"/>
    <w:rsid w:val="112C7269"/>
    <w:rsid w:val="11336B8B"/>
    <w:rsid w:val="115D0906"/>
    <w:rsid w:val="11634B2D"/>
    <w:rsid w:val="118443AE"/>
    <w:rsid w:val="11847C41"/>
    <w:rsid w:val="11B5058F"/>
    <w:rsid w:val="11D92230"/>
    <w:rsid w:val="120E7E53"/>
    <w:rsid w:val="122570FC"/>
    <w:rsid w:val="1232090E"/>
    <w:rsid w:val="127557DC"/>
    <w:rsid w:val="12A165D1"/>
    <w:rsid w:val="12AB5A42"/>
    <w:rsid w:val="12C37CA8"/>
    <w:rsid w:val="12D87D4F"/>
    <w:rsid w:val="12E05D5D"/>
    <w:rsid w:val="130D1EB8"/>
    <w:rsid w:val="13405DEA"/>
    <w:rsid w:val="13421B62"/>
    <w:rsid w:val="13441D7E"/>
    <w:rsid w:val="13703D8A"/>
    <w:rsid w:val="138B678C"/>
    <w:rsid w:val="13E10C14"/>
    <w:rsid w:val="142179C9"/>
    <w:rsid w:val="14221993"/>
    <w:rsid w:val="143E4B76"/>
    <w:rsid w:val="146C71DB"/>
    <w:rsid w:val="147A636F"/>
    <w:rsid w:val="14951D9C"/>
    <w:rsid w:val="14C81A92"/>
    <w:rsid w:val="15187863"/>
    <w:rsid w:val="152A0AFF"/>
    <w:rsid w:val="153E45AB"/>
    <w:rsid w:val="154D2A40"/>
    <w:rsid w:val="15511622"/>
    <w:rsid w:val="1563166D"/>
    <w:rsid w:val="15664323"/>
    <w:rsid w:val="156F0C08"/>
    <w:rsid w:val="15782C7E"/>
    <w:rsid w:val="158521DA"/>
    <w:rsid w:val="15902DB4"/>
    <w:rsid w:val="15915971"/>
    <w:rsid w:val="15DD2016"/>
    <w:rsid w:val="15E52C78"/>
    <w:rsid w:val="15FC6D54"/>
    <w:rsid w:val="160839E3"/>
    <w:rsid w:val="160F2EF4"/>
    <w:rsid w:val="16244DAE"/>
    <w:rsid w:val="1670209A"/>
    <w:rsid w:val="168A2E4A"/>
    <w:rsid w:val="170B42AE"/>
    <w:rsid w:val="17346F48"/>
    <w:rsid w:val="174279CC"/>
    <w:rsid w:val="1746135D"/>
    <w:rsid w:val="1759391E"/>
    <w:rsid w:val="176531A5"/>
    <w:rsid w:val="177D47DC"/>
    <w:rsid w:val="17A27073"/>
    <w:rsid w:val="17C70888"/>
    <w:rsid w:val="17CE585E"/>
    <w:rsid w:val="1800023D"/>
    <w:rsid w:val="1812204D"/>
    <w:rsid w:val="18131D1F"/>
    <w:rsid w:val="182867BE"/>
    <w:rsid w:val="18523889"/>
    <w:rsid w:val="18532FFB"/>
    <w:rsid w:val="18575CB1"/>
    <w:rsid w:val="186C7681"/>
    <w:rsid w:val="188E3A9B"/>
    <w:rsid w:val="18941F78"/>
    <w:rsid w:val="18A14B0A"/>
    <w:rsid w:val="18C87BF9"/>
    <w:rsid w:val="18DE057F"/>
    <w:rsid w:val="18DF1DBE"/>
    <w:rsid w:val="18E67F66"/>
    <w:rsid w:val="18F25DD8"/>
    <w:rsid w:val="1901426D"/>
    <w:rsid w:val="19263CD4"/>
    <w:rsid w:val="198649CA"/>
    <w:rsid w:val="19C203AA"/>
    <w:rsid w:val="19EB46AD"/>
    <w:rsid w:val="19F908B3"/>
    <w:rsid w:val="1A07314F"/>
    <w:rsid w:val="1A143C27"/>
    <w:rsid w:val="1A3348FA"/>
    <w:rsid w:val="1A4A64AD"/>
    <w:rsid w:val="1A74451A"/>
    <w:rsid w:val="1A7A7E33"/>
    <w:rsid w:val="1AB67028"/>
    <w:rsid w:val="1ABA2925"/>
    <w:rsid w:val="1ACC5F94"/>
    <w:rsid w:val="1AD03EF7"/>
    <w:rsid w:val="1ADF2A75"/>
    <w:rsid w:val="1AFD138A"/>
    <w:rsid w:val="1B18188F"/>
    <w:rsid w:val="1B1E04AF"/>
    <w:rsid w:val="1B2D1349"/>
    <w:rsid w:val="1B530684"/>
    <w:rsid w:val="1BBF3C13"/>
    <w:rsid w:val="1C055E22"/>
    <w:rsid w:val="1C621919"/>
    <w:rsid w:val="1C6C177F"/>
    <w:rsid w:val="1CC84492"/>
    <w:rsid w:val="1CCB0E1A"/>
    <w:rsid w:val="1CE41EDC"/>
    <w:rsid w:val="1CED6FE2"/>
    <w:rsid w:val="1CEF0D86"/>
    <w:rsid w:val="1D272E0E"/>
    <w:rsid w:val="1D544EE0"/>
    <w:rsid w:val="1D7E7C3A"/>
    <w:rsid w:val="1DA63635"/>
    <w:rsid w:val="1E1E141D"/>
    <w:rsid w:val="1E560BB7"/>
    <w:rsid w:val="1E605764"/>
    <w:rsid w:val="1E831280"/>
    <w:rsid w:val="1E9062B3"/>
    <w:rsid w:val="1EAC6A29"/>
    <w:rsid w:val="1EB15DEE"/>
    <w:rsid w:val="1EBA64FA"/>
    <w:rsid w:val="1ED35E52"/>
    <w:rsid w:val="1F0B19A2"/>
    <w:rsid w:val="1F326319"/>
    <w:rsid w:val="1F337736"/>
    <w:rsid w:val="1F3519C7"/>
    <w:rsid w:val="1F644744"/>
    <w:rsid w:val="1F8E6313"/>
    <w:rsid w:val="1F974C4D"/>
    <w:rsid w:val="1FBC4A4A"/>
    <w:rsid w:val="1FC234F7"/>
    <w:rsid w:val="1FCF54B9"/>
    <w:rsid w:val="1FD128F4"/>
    <w:rsid w:val="1FDD6B7C"/>
    <w:rsid w:val="20104D96"/>
    <w:rsid w:val="201605FE"/>
    <w:rsid w:val="2058178A"/>
    <w:rsid w:val="205828F1"/>
    <w:rsid w:val="20887022"/>
    <w:rsid w:val="20AC2D10"/>
    <w:rsid w:val="20B50445"/>
    <w:rsid w:val="20BE4F05"/>
    <w:rsid w:val="20EB0691"/>
    <w:rsid w:val="211B1C44"/>
    <w:rsid w:val="213F215E"/>
    <w:rsid w:val="21440B7A"/>
    <w:rsid w:val="215501D5"/>
    <w:rsid w:val="21556294"/>
    <w:rsid w:val="21A52231"/>
    <w:rsid w:val="21D267A7"/>
    <w:rsid w:val="21E238C4"/>
    <w:rsid w:val="21FF50C2"/>
    <w:rsid w:val="22241727"/>
    <w:rsid w:val="22297C26"/>
    <w:rsid w:val="22526CF4"/>
    <w:rsid w:val="22937D89"/>
    <w:rsid w:val="229677D4"/>
    <w:rsid w:val="22B56758"/>
    <w:rsid w:val="22BA5BB9"/>
    <w:rsid w:val="22BF31CF"/>
    <w:rsid w:val="22D35FB3"/>
    <w:rsid w:val="22E03E0A"/>
    <w:rsid w:val="22E845A7"/>
    <w:rsid w:val="231A51D5"/>
    <w:rsid w:val="23403395"/>
    <w:rsid w:val="23490CEA"/>
    <w:rsid w:val="234A7F6B"/>
    <w:rsid w:val="23867849"/>
    <w:rsid w:val="23C245F9"/>
    <w:rsid w:val="23F031C9"/>
    <w:rsid w:val="241F1A4B"/>
    <w:rsid w:val="243506CB"/>
    <w:rsid w:val="243E32C2"/>
    <w:rsid w:val="24443260"/>
    <w:rsid w:val="24447509"/>
    <w:rsid w:val="248845EB"/>
    <w:rsid w:val="24910391"/>
    <w:rsid w:val="24A2182C"/>
    <w:rsid w:val="24CD11E7"/>
    <w:rsid w:val="24F904EE"/>
    <w:rsid w:val="2500362B"/>
    <w:rsid w:val="25174E41"/>
    <w:rsid w:val="252437BD"/>
    <w:rsid w:val="252A53E4"/>
    <w:rsid w:val="252F4101"/>
    <w:rsid w:val="253634F0"/>
    <w:rsid w:val="255319AC"/>
    <w:rsid w:val="255B2F57"/>
    <w:rsid w:val="25695674"/>
    <w:rsid w:val="256972AA"/>
    <w:rsid w:val="259C15A5"/>
    <w:rsid w:val="25AB1A79"/>
    <w:rsid w:val="25F34F3E"/>
    <w:rsid w:val="25FD5DBC"/>
    <w:rsid w:val="262B0B7B"/>
    <w:rsid w:val="263E265D"/>
    <w:rsid w:val="265F25D3"/>
    <w:rsid w:val="2661414A"/>
    <w:rsid w:val="267279EF"/>
    <w:rsid w:val="268564DD"/>
    <w:rsid w:val="26906C30"/>
    <w:rsid w:val="26A56238"/>
    <w:rsid w:val="26DD00C8"/>
    <w:rsid w:val="26EA4592"/>
    <w:rsid w:val="26EF1BA9"/>
    <w:rsid w:val="271B474C"/>
    <w:rsid w:val="27421CD9"/>
    <w:rsid w:val="274A6239"/>
    <w:rsid w:val="275E69F5"/>
    <w:rsid w:val="27644345"/>
    <w:rsid w:val="276F1C0A"/>
    <w:rsid w:val="277771D4"/>
    <w:rsid w:val="27781B9E"/>
    <w:rsid w:val="27950FB5"/>
    <w:rsid w:val="27A65506"/>
    <w:rsid w:val="27CC1EEA"/>
    <w:rsid w:val="27D91903"/>
    <w:rsid w:val="27E70AD2"/>
    <w:rsid w:val="27ED0BE4"/>
    <w:rsid w:val="27F03E2A"/>
    <w:rsid w:val="27F33AC9"/>
    <w:rsid w:val="284A1FB6"/>
    <w:rsid w:val="285B23AE"/>
    <w:rsid w:val="287606AE"/>
    <w:rsid w:val="287E31E4"/>
    <w:rsid w:val="28927479"/>
    <w:rsid w:val="289742A6"/>
    <w:rsid w:val="28D177B8"/>
    <w:rsid w:val="28D7016F"/>
    <w:rsid w:val="28D76D98"/>
    <w:rsid w:val="28EC45F2"/>
    <w:rsid w:val="28FD4CC9"/>
    <w:rsid w:val="28FF0804"/>
    <w:rsid w:val="291A3EBF"/>
    <w:rsid w:val="29686BF8"/>
    <w:rsid w:val="297168A5"/>
    <w:rsid w:val="2996455E"/>
    <w:rsid w:val="299F1E59"/>
    <w:rsid w:val="29D33359"/>
    <w:rsid w:val="29DB0625"/>
    <w:rsid w:val="29E277A3"/>
    <w:rsid w:val="29F37C02"/>
    <w:rsid w:val="2A1074FE"/>
    <w:rsid w:val="2A355E7E"/>
    <w:rsid w:val="2A5B32EA"/>
    <w:rsid w:val="2A757E5C"/>
    <w:rsid w:val="2A800CEA"/>
    <w:rsid w:val="2A9B3B6E"/>
    <w:rsid w:val="2AA131BA"/>
    <w:rsid w:val="2AAD417B"/>
    <w:rsid w:val="2AD25A69"/>
    <w:rsid w:val="2AF60BF3"/>
    <w:rsid w:val="2B522706"/>
    <w:rsid w:val="2B672E16"/>
    <w:rsid w:val="2B746B21"/>
    <w:rsid w:val="2B756E42"/>
    <w:rsid w:val="2B8A3541"/>
    <w:rsid w:val="2BAF1907"/>
    <w:rsid w:val="2BD10B3A"/>
    <w:rsid w:val="2C1957AC"/>
    <w:rsid w:val="2C3342E6"/>
    <w:rsid w:val="2C4320AD"/>
    <w:rsid w:val="2C464019"/>
    <w:rsid w:val="2C732482"/>
    <w:rsid w:val="2CAD1288"/>
    <w:rsid w:val="2CC35DB4"/>
    <w:rsid w:val="2CD05FD9"/>
    <w:rsid w:val="2CD679BC"/>
    <w:rsid w:val="2CFA3055"/>
    <w:rsid w:val="2D353D8B"/>
    <w:rsid w:val="2D3752CF"/>
    <w:rsid w:val="2D3E2F42"/>
    <w:rsid w:val="2D412A32"/>
    <w:rsid w:val="2D517119"/>
    <w:rsid w:val="2D524C40"/>
    <w:rsid w:val="2D621327"/>
    <w:rsid w:val="2D8172D3"/>
    <w:rsid w:val="2D8C0AA2"/>
    <w:rsid w:val="2D9E48E8"/>
    <w:rsid w:val="2D9F29B4"/>
    <w:rsid w:val="2DD37B2E"/>
    <w:rsid w:val="2DE0049D"/>
    <w:rsid w:val="2DE73DBF"/>
    <w:rsid w:val="2DF960CB"/>
    <w:rsid w:val="2DFD4BAB"/>
    <w:rsid w:val="2E1F3B03"/>
    <w:rsid w:val="2E3C2382"/>
    <w:rsid w:val="2E704A6D"/>
    <w:rsid w:val="2EC37384"/>
    <w:rsid w:val="2EEE2551"/>
    <w:rsid w:val="2F1228D8"/>
    <w:rsid w:val="2F287E07"/>
    <w:rsid w:val="2F307DD8"/>
    <w:rsid w:val="2F890167"/>
    <w:rsid w:val="2F8F217B"/>
    <w:rsid w:val="2F920DA6"/>
    <w:rsid w:val="2F9652B7"/>
    <w:rsid w:val="2F9E416C"/>
    <w:rsid w:val="2FA539B8"/>
    <w:rsid w:val="2FA837EF"/>
    <w:rsid w:val="2FA951DB"/>
    <w:rsid w:val="2FBB0A9A"/>
    <w:rsid w:val="2FD14541"/>
    <w:rsid w:val="2FE933B3"/>
    <w:rsid w:val="2FF27970"/>
    <w:rsid w:val="2FF418E7"/>
    <w:rsid w:val="2FF817EF"/>
    <w:rsid w:val="302A1EA4"/>
    <w:rsid w:val="30430644"/>
    <w:rsid w:val="30483416"/>
    <w:rsid w:val="3048473A"/>
    <w:rsid w:val="305C0286"/>
    <w:rsid w:val="307D6477"/>
    <w:rsid w:val="30901D07"/>
    <w:rsid w:val="3095731D"/>
    <w:rsid w:val="30CC6AB7"/>
    <w:rsid w:val="30FC0F59"/>
    <w:rsid w:val="31344D88"/>
    <w:rsid w:val="313E0D04"/>
    <w:rsid w:val="31411253"/>
    <w:rsid w:val="315F792B"/>
    <w:rsid w:val="3178368F"/>
    <w:rsid w:val="31876D63"/>
    <w:rsid w:val="31900804"/>
    <w:rsid w:val="31AE45D8"/>
    <w:rsid w:val="31B9703B"/>
    <w:rsid w:val="31BB7257"/>
    <w:rsid w:val="31BE28A4"/>
    <w:rsid w:val="31EF3498"/>
    <w:rsid w:val="31FC33CC"/>
    <w:rsid w:val="32130E41"/>
    <w:rsid w:val="321A0DA3"/>
    <w:rsid w:val="321B5F48"/>
    <w:rsid w:val="322F37A1"/>
    <w:rsid w:val="323A4A21"/>
    <w:rsid w:val="323E39C7"/>
    <w:rsid w:val="324A2ACB"/>
    <w:rsid w:val="3251196A"/>
    <w:rsid w:val="32560D2E"/>
    <w:rsid w:val="32672F3B"/>
    <w:rsid w:val="327B0795"/>
    <w:rsid w:val="327F1123"/>
    <w:rsid w:val="328F1215"/>
    <w:rsid w:val="32A47CEB"/>
    <w:rsid w:val="32E93950"/>
    <w:rsid w:val="32FC7B27"/>
    <w:rsid w:val="330B7BF2"/>
    <w:rsid w:val="332350B4"/>
    <w:rsid w:val="337C6572"/>
    <w:rsid w:val="3383112B"/>
    <w:rsid w:val="338A4C41"/>
    <w:rsid w:val="33CD3272"/>
    <w:rsid w:val="340B47D8"/>
    <w:rsid w:val="341C7F4E"/>
    <w:rsid w:val="34264730"/>
    <w:rsid w:val="342B281C"/>
    <w:rsid w:val="34325184"/>
    <w:rsid w:val="345B5664"/>
    <w:rsid w:val="345F0910"/>
    <w:rsid w:val="34646690"/>
    <w:rsid w:val="34784F8C"/>
    <w:rsid w:val="34A00474"/>
    <w:rsid w:val="34DB5522"/>
    <w:rsid w:val="34E268A9"/>
    <w:rsid w:val="3540170E"/>
    <w:rsid w:val="35A26038"/>
    <w:rsid w:val="35A832C0"/>
    <w:rsid w:val="35A973C7"/>
    <w:rsid w:val="35CB37E1"/>
    <w:rsid w:val="35CB4E04"/>
    <w:rsid w:val="35DD2C66"/>
    <w:rsid w:val="35E623C9"/>
    <w:rsid w:val="361E2C1F"/>
    <w:rsid w:val="363E0457"/>
    <w:rsid w:val="36463B94"/>
    <w:rsid w:val="364D069A"/>
    <w:rsid w:val="367C4B66"/>
    <w:rsid w:val="368A3636"/>
    <w:rsid w:val="369167D9"/>
    <w:rsid w:val="36A2225C"/>
    <w:rsid w:val="36F21B1E"/>
    <w:rsid w:val="36F3056E"/>
    <w:rsid w:val="3747333B"/>
    <w:rsid w:val="37482556"/>
    <w:rsid w:val="37773C20"/>
    <w:rsid w:val="379B05EC"/>
    <w:rsid w:val="37A95DA4"/>
    <w:rsid w:val="37B207B5"/>
    <w:rsid w:val="37BE35FD"/>
    <w:rsid w:val="37C06D83"/>
    <w:rsid w:val="37CF580A"/>
    <w:rsid w:val="37D72911"/>
    <w:rsid w:val="37FCC844"/>
    <w:rsid w:val="38174ABC"/>
    <w:rsid w:val="38451629"/>
    <w:rsid w:val="38463968"/>
    <w:rsid w:val="384F4255"/>
    <w:rsid w:val="38641B0F"/>
    <w:rsid w:val="387E2D8D"/>
    <w:rsid w:val="388109FB"/>
    <w:rsid w:val="38824072"/>
    <w:rsid w:val="38883C0B"/>
    <w:rsid w:val="38A00F55"/>
    <w:rsid w:val="38DB3D3B"/>
    <w:rsid w:val="38E277E7"/>
    <w:rsid w:val="38E5105E"/>
    <w:rsid w:val="38EA6674"/>
    <w:rsid w:val="39167469"/>
    <w:rsid w:val="391A0D07"/>
    <w:rsid w:val="39204CA1"/>
    <w:rsid w:val="39354F1D"/>
    <w:rsid w:val="394A28F1"/>
    <w:rsid w:val="395712EB"/>
    <w:rsid w:val="395E69E1"/>
    <w:rsid w:val="3971469F"/>
    <w:rsid w:val="39AC7D00"/>
    <w:rsid w:val="3A0A0D7C"/>
    <w:rsid w:val="3A217E73"/>
    <w:rsid w:val="3A257964"/>
    <w:rsid w:val="3A8F1281"/>
    <w:rsid w:val="3AB72586"/>
    <w:rsid w:val="3AC52EF5"/>
    <w:rsid w:val="3ACC4283"/>
    <w:rsid w:val="3AD924FC"/>
    <w:rsid w:val="3ADA3168"/>
    <w:rsid w:val="3AEC0D6E"/>
    <w:rsid w:val="3AF56409"/>
    <w:rsid w:val="3B0C3FED"/>
    <w:rsid w:val="3B143534"/>
    <w:rsid w:val="3B225C51"/>
    <w:rsid w:val="3B3D3DF1"/>
    <w:rsid w:val="3B47390A"/>
    <w:rsid w:val="3B581673"/>
    <w:rsid w:val="3B97884F"/>
    <w:rsid w:val="3B9F3545"/>
    <w:rsid w:val="3BAC19BF"/>
    <w:rsid w:val="3BC82243"/>
    <w:rsid w:val="3BDB14B0"/>
    <w:rsid w:val="3BDF3B42"/>
    <w:rsid w:val="3C020450"/>
    <w:rsid w:val="3C3519B4"/>
    <w:rsid w:val="3C461E13"/>
    <w:rsid w:val="3C7F0E81"/>
    <w:rsid w:val="3CBA425A"/>
    <w:rsid w:val="3D204412"/>
    <w:rsid w:val="3D290A1D"/>
    <w:rsid w:val="3D3B749E"/>
    <w:rsid w:val="3D42082D"/>
    <w:rsid w:val="3D4B29C5"/>
    <w:rsid w:val="3D6E0485"/>
    <w:rsid w:val="3D94540A"/>
    <w:rsid w:val="3DAD7564"/>
    <w:rsid w:val="3DB7BF63"/>
    <w:rsid w:val="3DD55258"/>
    <w:rsid w:val="3DDE30D7"/>
    <w:rsid w:val="3DDF7CEB"/>
    <w:rsid w:val="3DE572A3"/>
    <w:rsid w:val="3DF77869"/>
    <w:rsid w:val="3DFC6C2D"/>
    <w:rsid w:val="3E0E2682"/>
    <w:rsid w:val="3E1A5306"/>
    <w:rsid w:val="3E3F2FBE"/>
    <w:rsid w:val="3E401509"/>
    <w:rsid w:val="3E9E16E1"/>
    <w:rsid w:val="3EB219E2"/>
    <w:rsid w:val="3EF20030"/>
    <w:rsid w:val="3EFB0C93"/>
    <w:rsid w:val="3F040C13"/>
    <w:rsid w:val="3F152A8D"/>
    <w:rsid w:val="3F171845"/>
    <w:rsid w:val="3F316DAB"/>
    <w:rsid w:val="3F3F2FD1"/>
    <w:rsid w:val="3F400D9C"/>
    <w:rsid w:val="3F485DF7"/>
    <w:rsid w:val="3F553127"/>
    <w:rsid w:val="3F56036D"/>
    <w:rsid w:val="3FB83028"/>
    <w:rsid w:val="3FC45529"/>
    <w:rsid w:val="3FE363E5"/>
    <w:rsid w:val="400C0C7E"/>
    <w:rsid w:val="40633811"/>
    <w:rsid w:val="40640ABA"/>
    <w:rsid w:val="40860A30"/>
    <w:rsid w:val="409C29E0"/>
    <w:rsid w:val="40C86858"/>
    <w:rsid w:val="40E7461E"/>
    <w:rsid w:val="41004C87"/>
    <w:rsid w:val="41150A3E"/>
    <w:rsid w:val="413775B0"/>
    <w:rsid w:val="4148218A"/>
    <w:rsid w:val="414867C0"/>
    <w:rsid w:val="418C2BD1"/>
    <w:rsid w:val="419B30BD"/>
    <w:rsid w:val="419D4283"/>
    <w:rsid w:val="419D4ED4"/>
    <w:rsid w:val="41AF3A4F"/>
    <w:rsid w:val="41F12821"/>
    <w:rsid w:val="420C1E72"/>
    <w:rsid w:val="42283963"/>
    <w:rsid w:val="428B1063"/>
    <w:rsid w:val="428C42F8"/>
    <w:rsid w:val="42A17DA3"/>
    <w:rsid w:val="42AB3941"/>
    <w:rsid w:val="42B31885"/>
    <w:rsid w:val="42C30F47"/>
    <w:rsid w:val="42C67EC7"/>
    <w:rsid w:val="42D71A17"/>
    <w:rsid w:val="42E67EAC"/>
    <w:rsid w:val="43520F9F"/>
    <w:rsid w:val="43637296"/>
    <w:rsid w:val="437E1006"/>
    <w:rsid w:val="438C1AC6"/>
    <w:rsid w:val="43C74575"/>
    <w:rsid w:val="43E837B0"/>
    <w:rsid w:val="440525B4"/>
    <w:rsid w:val="440C071F"/>
    <w:rsid w:val="442A5B77"/>
    <w:rsid w:val="442B6778"/>
    <w:rsid w:val="44466E54"/>
    <w:rsid w:val="444E5D09"/>
    <w:rsid w:val="44706E4E"/>
    <w:rsid w:val="4488746D"/>
    <w:rsid w:val="44B57B36"/>
    <w:rsid w:val="44D83825"/>
    <w:rsid w:val="44DC3315"/>
    <w:rsid w:val="44E87F0C"/>
    <w:rsid w:val="44F3065E"/>
    <w:rsid w:val="45115112"/>
    <w:rsid w:val="45726B02"/>
    <w:rsid w:val="457819D7"/>
    <w:rsid w:val="45A0469A"/>
    <w:rsid w:val="45EA7CB3"/>
    <w:rsid w:val="45FA74F2"/>
    <w:rsid w:val="462861CF"/>
    <w:rsid w:val="463C0ED7"/>
    <w:rsid w:val="465957BB"/>
    <w:rsid w:val="4668385B"/>
    <w:rsid w:val="46752F28"/>
    <w:rsid w:val="469C658E"/>
    <w:rsid w:val="46A00372"/>
    <w:rsid w:val="46B02CAB"/>
    <w:rsid w:val="46B331DC"/>
    <w:rsid w:val="46BD7176"/>
    <w:rsid w:val="47110682"/>
    <w:rsid w:val="474D4056"/>
    <w:rsid w:val="476A10AC"/>
    <w:rsid w:val="47784E4E"/>
    <w:rsid w:val="479C6D8B"/>
    <w:rsid w:val="47AF2F63"/>
    <w:rsid w:val="47B10A89"/>
    <w:rsid w:val="47C86159"/>
    <w:rsid w:val="47DC13C2"/>
    <w:rsid w:val="47EA3F9B"/>
    <w:rsid w:val="47FD447C"/>
    <w:rsid w:val="48030BB8"/>
    <w:rsid w:val="480C3F11"/>
    <w:rsid w:val="48215114"/>
    <w:rsid w:val="48276825"/>
    <w:rsid w:val="482C45B3"/>
    <w:rsid w:val="48403234"/>
    <w:rsid w:val="48450C39"/>
    <w:rsid w:val="4850341A"/>
    <w:rsid w:val="485338EE"/>
    <w:rsid w:val="48643D4D"/>
    <w:rsid w:val="489857A5"/>
    <w:rsid w:val="48A57EC2"/>
    <w:rsid w:val="48E7672C"/>
    <w:rsid w:val="49061651"/>
    <w:rsid w:val="491D5404"/>
    <w:rsid w:val="492359B6"/>
    <w:rsid w:val="49404D90"/>
    <w:rsid w:val="49470B5C"/>
    <w:rsid w:val="497B39E0"/>
    <w:rsid w:val="49A32653"/>
    <w:rsid w:val="49F7474D"/>
    <w:rsid w:val="49FC751B"/>
    <w:rsid w:val="4A1B668D"/>
    <w:rsid w:val="4A361719"/>
    <w:rsid w:val="4A363944"/>
    <w:rsid w:val="4A41430B"/>
    <w:rsid w:val="4A4E40F1"/>
    <w:rsid w:val="4AB32D6A"/>
    <w:rsid w:val="4AC63884"/>
    <w:rsid w:val="4ADE67A9"/>
    <w:rsid w:val="4B11183E"/>
    <w:rsid w:val="4B2F78B4"/>
    <w:rsid w:val="4B517C0B"/>
    <w:rsid w:val="4B7B893A"/>
    <w:rsid w:val="4B985ABC"/>
    <w:rsid w:val="4BBB0BE9"/>
    <w:rsid w:val="4BC528A6"/>
    <w:rsid w:val="4C265483"/>
    <w:rsid w:val="4C4D4AF8"/>
    <w:rsid w:val="4C78482C"/>
    <w:rsid w:val="4C854292"/>
    <w:rsid w:val="4C8E586B"/>
    <w:rsid w:val="4CC624B4"/>
    <w:rsid w:val="4CD945DE"/>
    <w:rsid w:val="4CE11DB5"/>
    <w:rsid w:val="4CEF5BAF"/>
    <w:rsid w:val="4D0B0C3B"/>
    <w:rsid w:val="4D3A507C"/>
    <w:rsid w:val="4D4438D1"/>
    <w:rsid w:val="4D562915"/>
    <w:rsid w:val="4D7D6BB9"/>
    <w:rsid w:val="4D842D3A"/>
    <w:rsid w:val="4D9F626A"/>
    <w:rsid w:val="4DA05A2E"/>
    <w:rsid w:val="4DDD02DC"/>
    <w:rsid w:val="4DF96CE5"/>
    <w:rsid w:val="4E121B55"/>
    <w:rsid w:val="4E157897"/>
    <w:rsid w:val="4E2B44E3"/>
    <w:rsid w:val="4E347D1E"/>
    <w:rsid w:val="4E3E294A"/>
    <w:rsid w:val="4E473EF5"/>
    <w:rsid w:val="4E5B174E"/>
    <w:rsid w:val="4E650DC9"/>
    <w:rsid w:val="4EB330D2"/>
    <w:rsid w:val="4ED41F08"/>
    <w:rsid w:val="4ED432AF"/>
    <w:rsid w:val="4F135B85"/>
    <w:rsid w:val="4F50502B"/>
    <w:rsid w:val="4F5E3B4E"/>
    <w:rsid w:val="4F6F4B51"/>
    <w:rsid w:val="4F710AFD"/>
    <w:rsid w:val="4F722CCD"/>
    <w:rsid w:val="4F8922EB"/>
    <w:rsid w:val="4FDC68BF"/>
    <w:rsid w:val="4FDF956D"/>
    <w:rsid w:val="4FFB4442"/>
    <w:rsid w:val="4FFC2ABD"/>
    <w:rsid w:val="50010EFC"/>
    <w:rsid w:val="503E6C32"/>
    <w:rsid w:val="507C59AC"/>
    <w:rsid w:val="509947B0"/>
    <w:rsid w:val="50A32828"/>
    <w:rsid w:val="50B54BFE"/>
    <w:rsid w:val="50C17863"/>
    <w:rsid w:val="50CA2BBB"/>
    <w:rsid w:val="50CF73BC"/>
    <w:rsid w:val="50E13A61"/>
    <w:rsid w:val="51280932"/>
    <w:rsid w:val="513D513B"/>
    <w:rsid w:val="514D6509"/>
    <w:rsid w:val="51542485"/>
    <w:rsid w:val="515B613D"/>
    <w:rsid w:val="517462F5"/>
    <w:rsid w:val="518101F9"/>
    <w:rsid w:val="51B87EF8"/>
    <w:rsid w:val="52484CBE"/>
    <w:rsid w:val="524F58D9"/>
    <w:rsid w:val="525A7F6F"/>
    <w:rsid w:val="52640EAD"/>
    <w:rsid w:val="5268268C"/>
    <w:rsid w:val="528024FB"/>
    <w:rsid w:val="52B670A9"/>
    <w:rsid w:val="52D9610A"/>
    <w:rsid w:val="52FD455E"/>
    <w:rsid w:val="532F2563"/>
    <w:rsid w:val="53400F13"/>
    <w:rsid w:val="53731533"/>
    <w:rsid w:val="539179C0"/>
    <w:rsid w:val="539EE037"/>
    <w:rsid w:val="53AE3CB5"/>
    <w:rsid w:val="53D6608D"/>
    <w:rsid w:val="53D8739D"/>
    <w:rsid w:val="53E126F6"/>
    <w:rsid w:val="53F817ED"/>
    <w:rsid w:val="54010530"/>
    <w:rsid w:val="5415414D"/>
    <w:rsid w:val="54316AAD"/>
    <w:rsid w:val="54505070"/>
    <w:rsid w:val="547D1CF3"/>
    <w:rsid w:val="548169FA"/>
    <w:rsid w:val="54924E23"/>
    <w:rsid w:val="54AC059B"/>
    <w:rsid w:val="550B4CFF"/>
    <w:rsid w:val="555739DF"/>
    <w:rsid w:val="5575773B"/>
    <w:rsid w:val="557B4484"/>
    <w:rsid w:val="55B164AD"/>
    <w:rsid w:val="55B177EA"/>
    <w:rsid w:val="55C81BB7"/>
    <w:rsid w:val="55D81588"/>
    <w:rsid w:val="561C3A3F"/>
    <w:rsid w:val="562543F0"/>
    <w:rsid w:val="562A39A6"/>
    <w:rsid w:val="565F6940"/>
    <w:rsid w:val="568E01E7"/>
    <w:rsid w:val="56943A72"/>
    <w:rsid w:val="56AB6FEB"/>
    <w:rsid w:val="56B85264"/>
    <w:rsid w:val="57120E18"/>
    <w:rsid w:val="57234DD3"/>
    <w:rsid w:val="574C76A5"/>
    <w:rsid w:val="57632AF2"/>
    <w:rsid w:val="5774562F"/>
    <w:rsid w:val="57877110"/>
    <w:rsid w:val="57931F59"/>
    <w:rsid w:val="57A556A6"/>
    <w:rsid w:val="57BD6FD6"/>
    <w:rsid w:val="581C470A"/>
    <w:rsid w:val="58201313"/>
    <w:rsid w:val="5827444F"/>
    <w:rsid w:val="58382EB4"/>
    <w:rsid w:val="58535244"/>
    <w:rsid w:val="587B479B"/>
    <w:rsid w:val="58937D37"/>
    <w:rsid w:val="58B02697"/>
    <w:rsid w:val="58BA1767"/>
    <w:rsid w:val="58DE5456"/>
    <w:rsid w:val="58E10AA2"/>
    <w:rsid w:val="58EE436D"/>
    <w:rsid w:val="59100865"/>
    <w:rsid w:val="59285338"/>
    <w:rsid w:val="59433B27"/>
    <w:rsid w:val="59543BB4"/>
    <w:rsid w:val="5960230F"/>
    <w:rsid w:val="596D2336"/>
    <w:rsid w:val="597B4FC6"/>
    <w:rsid w:val="599109BB"/>
    <w:rsid w:val="59B83EF9"/>
    <w:rsid w:val="59BB5797"/>
    <w:rsid w:val="59C56616"/>
    <w:rsid w:val="59C74CE3"/>
    <w:rsid w:val="59D93E6F"/>
    <w:rsid w:val="59E06FAB"/>
    <w:rsid w:val="5A095AB5"/>
    <w:rsid w:val="5A0F163F"/>
    <w:rsid w:val="5A1530F9"/>
    <w:rsid w:val="5A2A46CB"/>
    <w:rsid w:val="5A6E45B7"/>
    <w:rsid w:val="5A754FD7"/>
    <w:rsid w:val="5A9304C2"/>
    <w:rsid w:val="5ADF54B5"/>
    <w:rsid w:val="5AF60A5A"/>
    <w:rsid w:val="5B032756"/>
    <w:rsid w:val="5B07329F"/>
    <w:rsid w:val="5B214990"/>
    <w:rsid w:val="5B345801"/>
    <w:rsid w:val="5B4517BC"/>
    <w:rsid w:val="5B6A0943"/>
    <w:rsid w:val="5BA60B0D"/>
    <w:rsid w:val="5BF136F2"/>
    <w:rsid w:val="5BFE1967"/>
    <w:rsid w:val="5C3E7FB9"/>
    <w:rsid w:val="5C762B7C"/>
    <w:rsid w:val="5C8F6A67"/>
    <w:rsid w:val="5CA06B9B"/>
    <w:rsid w:val="5CBC3D00"/>
    <w:rsid w:val="5CD375BA"/>
    <w:rsid w:val="5D3F4A3A"/>
    <w:rsid w:val="5D423AD9"/>
    <w:rsid w:val="5D491032"/>
    <w:rsid w:val="5D550866"/>
    <w:rsid w:val="5D924A61"/>
    <w:rsid w:val="5D926A59"/>
    <w:rsid w:val="5D9B0B63"/>
    <w:rsid w:val="5DA327CA"/>
    <w:rsid w:val="5DC50992"/>
    <w:rsid w:val="5DC56BE4"/>
    <w:rsid w:val="5DDC45FE"/>
    <w:rsid w:val="5DE60909"/>
    <w:rsid w:val="5E062D59"/>
    <w:rsid w:val="5E0E085B"/>
    <w:rsid w:val="5E0F378C"/>
    <w:rsid w:val="5E3A22D5"/>
    <w:rsid w:val="5E4775F9"/>
    <w:rsid w:val="5EF13A09"/>
    <w:rsid w:val="5F096FA4"/>
    <w:rsid w:val="5F1F2324"/>
    <w:rsid w:val="5F28567D"/>
    <w:rsid w:val="5F3018F4"/>
    <w:rsid w:val="5F3A53B0"/>
    <w:rsid w:val="5F441D8B"/>
    <w:rsid w:val="5F7FDB0C"/>
    <w:rsid w:val="5F971568"/>
    <w:rsid w:val="5F9C5723"/>
    <w:rsid w:val="600D5D21"/>
    <w:rsid w:val="603E0401"/>
    <w:rsid w:val="603E67DA"/>
    <w:rsid w:val="60563B24"/>
    <w:rsid w:val="606C77EB"/>
    <w:rsid w:val="60B62814"/>
    <w:rsid w:val="60C03693"/>
    <w:rsid w:val="611D1740"/>
    <w:rsid w:val="612260FC"/>
    <w:rsid w:val="61283090"/>
    <w:rsid w:val="61291238"/>
    <w:rsid w:val="61642739"/>
    <w:rsid w:val="616E2C9D"/>
    <w:rsid w:val="617C580C"/>
    <w:rsid w:val="61AD1E69"/>
    <w:rsid w:val="61BD7BD2"/>
    <w:rsid w:val="628A7090"/>
    <w:rsid w:val="62F12261"/>
    <w:rsid w:val="632768D6"/>
    <w:rsid w:val="63375EC1"/>
    <w:rsid w:val="63460538"/>
    <w:rsid w:val="634E142A"/>
    <w:rsid w:val="634F4AF1"/>
    <w:rsid w:val="635C139E"/>
    <w:rsid w:val="636F6376"/>
    <w:rsid w:val="63765563"/>
    <w:rsid w:val="63780255"/>
    <w:rsid w:val="638C3D00"/>
    <w:rsid w:val="63917BE0"/>
    <w:rsid w:val="63BF2ABD"/>
    <w:rsid w:val="63F518A5"/>
    <w:rsid w:val="63FD00F6"/>
    <w:rsid w:val="640D3093"/>
    <w:rsid w:val="64252719"/>
    <w:rsid w:val="643D14BE"/>
    <w:rsid w:val="64412D3D"/>
    <w:rsid w:val="64521136"/>
    <w:rsid w:val="64AF7CA6"/>
    <w:rsid w:val="64B74DAD"/>
    <w:rsid w:val="64D8544F"/>
    <w:rsid w:val="64EC323A"/>
    <w:rsid w:val="65055B18"/>
    <w:rsid w:val="651D3DBE"/>
    <w:rsid w:val="65387C9C"/>
    <w:rsid w:val="654235D8"/>
    <w:rsid w:val="6593581A"/>
    <w:rsid w:val="65B07941"/>
    <w:rsid w:val="65D529C9"/>
    <w:rsid w:val="65E052B4"/>
    <w:rsid w:val="65E2561F"/>
    <w:rsid w:val="661362E3"/>
    <w:rsid w:val="661865DF"/>
    <w:rsid w:val="661F2C0A"/>
    <w:rsid w:val="66476133"/>
    <w:rsid w:val="666D606B"/>
    <w:rsid w:val="66770C98"/>
    <w:rsid w:val="66806798"/>
    <w:rsid w:val="669464D7"/>
    <w:rsid w:val="66A02E32"/>
    <w:rsid w:val="66CD6B09"/>
    <w:rsid w:val="66E300DB"/>
    <w:rsid w:val="66F07FD1"/>
    <w:rsid w:val="66F9345B"/>
    <w:rsid w:val="66FE2406"/>
    <w:rsid w:val="670F080C"/>
    <w:rsid w:val="67426E49"/>
    <w:rsid w:val="6744203C"/>
    <w:rsid w:val="675E5B17"/>
    <w:rsid w:val="67617776"/>
    <w:rsid w:val="676F3F7F"/>
    <w:rsid w:val="67803B7C"/>
    <w:rsid w:val="6794411C"/>
    <w:rsid w:val="67E427A5"/>
    <w:rsid w:val="68000819"/>
    <w:rsid w:val="68232E85"/>
    <w:rsid w:val="68356310"/>
    <w:rsid w:val="68435627"/>
    <w:rsid w:val="6873723D"/>
    <w:rsid w:val="688103FB"/>
    <w:rsid w:val="68A55500"/>
    <w:rsid w:val="68AB2E7A"/>
    <w:rsid w:val="68B97345"/>
    <w:rsid w:val="68BC152C"/>
    <w:rsid w:val="68CB2D94"/>
    <w:rsid w:val="68E11616"/>
    <w:rsid w:val="690345F1"/>
    <w:rsid w:val="6922313D"/>
    <w:rsid w:val="692F05F7"/>
    <w:rsid w:val="69392234"/>
    <w:rsid w:val="694B7F95"/>
    <w:rsid w:val="69794D27"/>
    <w:rsid w:val="697E2871"/>
    <w:rsid w:val="699018D3"/>
    <w:rsid w:val="69CE27E1"/>
    <w:rsid w:val="69DD7064"/>
    <w:rsid w:val="69E50CDA"/>
    <w:rsid w:val="69F06925"/>
    <w:rsid w:val="6A0665BA"/>
    <w:rsid w:val="6A20004C"/>
    <w:rsid w:val="6AA34B66"/>
    <w:rsid w:val="6AC81AC2"/>
    <w:rsid w:val="6AD00976"/>
    <w:rsid w:val="6AD64725"/>
    <w:rsid w:val="6ADC556D"/>
    <w:rsid w:val="6AE90467"/>
    <w:rsid w:val="6AEB3A02"/>
    <w:rsid w:val="6AF04CEE"/>
    <w:rsid w:val="6AF723A7"/>
    <w:rsid w:val="6B1F203D"/>
    <w:rsid w:val="6B236656"/>
    <w:rsid w:val="6B361121"/>
    <w:rsid w:val="6B570828"/>
    <w:rsid w:val="6B5E1F1B"/>
    <w:rsid w:val="6B61182A"/>
    <w:rsid w:val="6B7721A7"/>
    <w:rsid w:val="6BC66EC3"/>
    <w:rsid w:val="6BD9765A"/>
    <w:rsid w:val="6BEF307E"/>
    <w:rsid w:val="6C1A06BB"/>
    <w:rsid w:val="6C256AA0"/>
    <w:rsid w:val="6C3C2E17"/>
    <w:rsid w:val="6C501D6F"/>
    <w:rsid w:val="6C79329D"/>
    <w:rsid w:val="6C7E663A"/>
    <w:rsid w:val="6CA709F7"/>
    <w:rsid w:val="6CAE4CE7"/>
    <w:rsid w:val="6CB01570"/>
    <w:rsid w:val="6CB56076"/>
    <w:rsid w:val="6CBE317C"/>
    <w:rsid w:val="6CFE5C6F"/>
    <w:rsid w:val="6D01750D"/>
    <w:rsid w:val="6D056FFD"/>
    <w:rsid w:val="6D082649"/>
    <w:rsid w:val="6D1862E0"/>
    <w:rsid w:val="6D283DD3"/>
    <w:rsid w:val="6D6558B3"/>
    <w:rsid w:val="6D762F0F"/>
    <w:rsid w:val="6D875C64"/>
    <w:rsid w:val="6D9F4AC6"/>
    <w:rsid w:val="6DB535E1"/>
    <w:rsid w:val="6DC04CD2"/>
    <w:rsid w:val="6DCF760B"/>
    <w:rsid w:val="6DF8703C"/>
    <w:rsid w:val="6E11552E"/>
    <w:rsid w:val="6E18518F"/>
    <w:rsid w:val="6E1966BE"/>
    <w:rsid w:val="6E1E7093"/>
    <w:rsid w:val="6E337B9A"/>
    <w:rsid w:val="6E3B6A4F"/>
    <w:rsid w:val="6E4C2A0A"/>
    <w:rsid w:val="6E5B6C37"/>
    <w:rsid w:val="6E60505E"/>
    <w:rsid w:val="6E736163"/>
    <w:rsid w:val="6E753D0F"/>
    <w:rsid w:val="6E8B3532"/>
    <w:rsid w:val="6E941144"/>
    <w:rsid w:val="6EA168B2"/>
    <w:rsid w:val="6EE449F0"/>
    <w:rsid w:val="6EF63287"/>
    <w:rsid w:val="6F067393"/>
    <w:rsid w:val="6F1D7CE4"/>
    <w:rsid w:val="6F490CF7"/>
    <w:rsid w:val="6F6D4CC4"/>
    <w:rsid w:val="6F9920B9"/>
    <w:rsid w:val="6FA00508"/>
    <w:rsid w:val="6FA10B33"/>
    <w:rsid w:val="6FD85466"/>
    <w:rsid w:val="702B1923"/>
    <w:rsid w:val="70473489"/>
    <w:rsid w:val="70627116"/>
    <w:rsid w:val="707E74FD"/>
    <w:rsid w:val="70A25924"/>
    <w:rsid w:val="70EB02B8"/>
    <w:rsid w:val="70EC2641"/>
    <w:rsid w:val="71044E9D"/>
    <w:rsid w:val="713B6CCF"/>
    <w:rsid w:val="713C4FB8"/>
    <w:rsid w:val="717007BD"/>
    <w:rsid w:val="718304F0"/>
    <w:rsid w:val="718F4A08"/>
    <w:rsid w:val="71A1306D"/>
    <w:rsid w:val="71B608C6"/>
    <w:rsid w:val="71C34D91"/>
    <w:rsid w:val="71F2699E"/>
    <w:rsid w:val="71FB09CF"/>
    <w:rsid w:val="72165809"/>
    <w:rsid w:val="72171306"/>
    <w:rsid w:val="721970A7"/>
    <w:rsid w:val="72284FDE"/>
    <w:rsid w:val="724177ED"/>
    <w:rsid w:val="724265FE"/>
    <w:rsid w:val="7243144C"/>
    <w:rsid w:val="725772F9"/>
    <w:rsid w:val="726A7902"/>
    <w:rsid w:val="727A7B45"/>
    <w:rsid w:val="728964BD"/>
    <w:rsid w:val="72AB572C"/>
    <w:rsid w:val="72B837DC"/>
    <w:rsid w:val="7346211D"/>
    <w:rsid w:val="7358145B"/>
    <w:rsid w:val="73B452D9"/>
    <w:rsid w:val="73F3CCD8"/>
    <w:rsid w:val="74033B6B"/>
    <w:rsid w:val="74055B35"/>
    <w:rsid w:val="74361C48"/>
    <w:rsid w:val="74415EE0"/>
    <w:rsid w:val="744F6DB0"/>
    <w:rsid w:val="745148D6"/>
    <w:rsid w:val="74582108"/>
    <w:rsid w:val="74822CE1"/>
    <w:rsid w:val="74932B83"/>
    <w:rsid w:val="74AE6AE2"/>
    <w:rsid w:val="74B63BFA"/>
    <w:rsid w:val="74FD46D9"/>
    <w:rsid w:val="74FD680C"/>
    <w:rsid w:val="74FE681D"/>
    <w:rsid w:val="75095FDC"/>
    <w:rsid w:val="75397EDA"/>
    <w:rsid w:val="753A7B6F"/>
    <w:rsid w:val="7541307B"/>
    <w:rsid w:val="75531CD2"/>
    <w:rsid w:val="755C09F2"/>
    <w:rsid w:val="75683B9B"/>
    <w:rsid w:val="757545F4"/>
    <w:rsid w:val="75F07F55"/>
    <w:rsid w:val="75F53987"/>
    <w:rsid w:val="76150EDB"/>
    <w:rsid w:val="76426BCC"/>
    <w:rsid w:val="768216BE"/>
    <w:rsid w:val="769413F2"/>
    <w:rsid w:val="76A6C867"/>
    <w:rsid w:val="76E25A80"/>
    <w:rsid w:val="770056C4"/>
    <w:rsid w:val="77066657"/>
    <w:rsid w:val="771019C9"/>
    <w:rsid w:val="77277B70"/>
    <w:rsid w:val="773F0E71"/>
    <w:rsid w:val="774808B4"/>
    <w:rsid w:val="774C5829"/>
    <w:rsid w:val="775A1CF3"/>
    <w:rsid w:val="775D17E4"/>
    <w:rsid w:val="7762504C"/>
    <w:rsid w:val="776C5E7A"/>
    <w:rsid w:val="779A31F2"/>
    <w:rsid w:val="779B0E1C"/>
    <w:rsid w:val="77A552B4"/>
    <w:rsid w:val="77BC7940"/>
    <w:rsid w:val="77C74EAF"/>
    <w:rsid w:val="77EB3293"/>
    <w:rsid w:val="77F21009"/>
    <w:rsid w:val="77F51A1C"/>
    <w:rsid w:val="77FE6B23"/>
    <w:rsid w:val="78102198"/>
    <w:rsid w:val="78191BAF"/>
    <w:rsid w:val="782D7408"/>
    <w:rsid w:val="783A644A"/>
    <w:rsid w:val="786B1CDE"/>
    <w:rsid w:val="787119EB"/>
    <w:rsid w:val="788259A6"/>
    <w:rsid w:val="78855F37"/>
    <w:rsid w:val="7893138B"/>
    <w:rsid w:val="78A84CE1"/>
    <w:rsid w:val="78BF3420"/>
    <w:rsid w:val="78C064CE"/>
    <w:rsid w:val="78CA7DC1"/>
    <w:rsid w:val="78DF5F11"/>
    <w:rsid w:val="78E84C32"/>
    <w:rsid w:val="78F148D9"/>
    <w:rsid w:val="78F46178"/>
    <w:rsid w:val="791505C8"/>
    <w:rsid w:val="793979B4"/>
    <w:rsid w:val="79986827"/>
    <w:rsid w:val="79E9735F"/>
    <w:rsid w:val="79EC0B0A"/>
    <w:rsid w:val="79FFE9CE"/>
    <w:rsid w:val="7A097A01"/>
    <w:rsid w:val="7A1268B5"/>
    <w:rsid w:val="7A177D2A"/>
    <w:rsid w:val="7A193EA0"/>
    <w:rsid w:val="7A316DFD"/>
    <w:rsid w:val="7A392094"/>
    <w:rsid w:val="7A523156"/>
    <w:rsid w:val="7A5371D8"/>
    <w:rsid w:val="7A592736"/>
    <w:rsid w:val="7A661A9C"/>
    <w:rsid w:val="7A777060"/>
    <w:rsid w:val="7A7DFB0D"/>
    <w:rsid w:val="7A861229"/>
    <w:rsid w:val="7AAD2A82"/>
    <w:rsid w:val="7ABD0F17"/>
    <w:rsid w:val="7AE07C8F"/>
    <w:rsid w:val="7AFC2853"/>
    <w:rsid w:val="7B03623F"/>
    <w:rsid w:val="7B292109"/>
    <w:rsid w:val="7B98103C"/>
    <w:rsid w:val="7BCE2CB0"/>
    <w:rsid w:val="7BDE41BE"/>
    <w:rsid w:val="7BE129E3"/>
    <w:rsid w:val="7C556F2D"/>
    <w:rsid w:val="7C605515"/>
    <w:rsid w:val="7C8906FD"/>
    <w:rsid w:val="7CB73744"/>
    <w:rsid w:val="7CB9242C"/>
    <w:rsid w:val="7CBB67ED"/>
    <w:rsid w:val="7CBE74F1"/>
    <w:rsid w:val="7CCD2F68"/>
    <w:rsid w:val="7CF90201"/>
    <w:rsid w:val="7D1C786F"/>
    <w:rsid w:val="7D2C5EE0"/>
    <w:rsid w:val="7D4A280A"/>
    <w:rsid w:val="7D4C4BA9"/>
    <w:rsid w:val="7D570103"/>
    <w:rsid w:val="7DD43A8E"/>
    <w:rsid w:val="7DEC566F"/>
    <w:rsid w:val="7DF06CD1"/>
    <w:rsid w:val="7E070AE2"/>
    <w:rsid w:val="7E165AAB"/>
    <w:rsid w:val="7E2B43EA"/>
    <w:rsid w:val="7E3C65F7"/>
    <w:rsid w:val="7E6B47E6"/>
    <w:rsid w:val="7E81225C"/>
    <w:rsid w:val="7ED94418"/>
    <w:rsid w:val="7EE13986"/>
    <w:rsid w:val="7F3350EE"/>
    <w:rsid w:val="7F4BBAC1"/>
    <w:rsid w:val="7F647B2B"/>
    <w:rsid w:val="7F780C1C"/>
    <w:rsid w:val="7F7A20E4"/>
    <w:rsid w:val="7F89761A"/>
    <w:rsid w:val="7F935151"/>
    <w:rsid w:val="7FA04963"/>
    <w:rsid w:val="7FEC5D2F"/>
    <w:rsid w:val="7FF94C54"/>
    <w:rsid w:val="7FFF2BEA"/>
    <w:rsid w:val="7FFF5B2E"/>
    <w:rsid w:val="7FFFD8F4"/>
    <w:rsid w:val="8FBFFF6A"/>
    <w:rsid w:val="8FDEEFCD"/>
    <w:rsid w:val="8FFDACC8"/>
    <w:rsid w:val="96C4A4C9"/>
    <w:rsid w:val="AB7F0C03"/>
    <w:rsid w:val="AF3F9A10"/>
    <w:rsid w:val="BCFFB9C6"/>
    <w:rsid w:val="BFBF2567"/>
    <w:rsid w:val="BFFF88DA"/>
    <w:rsid w:val="D5FFD6CB"/>
    <w:rsid w:val="D97E399E"/>
    <w:rsid w:val="DAF672A4"/>
    <w:rsid w:val="DDFF51EA"/>
    <w:rsid w:val="DE5F0873"/>
    <w:rsid w:val="DE7A1BB0"/>
    <w:rsid w:val="DFFF8334"/>
    <w:rsid w:val="F1BF1CF4"/>
    <w:rsid w:val="F2BC3FE9"/>
    <w:rsid w:val="FB7E0FA2"/>
    <w:rsid w:val="FB7E78C5"/>
    <w:rsid w:val="FBC74DD8"/>
    <w:rsid w:val="FCEF1928"/>
    <w:rsid w:val="FDB3EB4A"/>
    <w:rsid w:val="FDF3423C"/>
    <w:rsid w:val="FDFF7BF7"/>
    <w:rsid w:val="FFB783C1"/>
    <w:rsid w:val="FFBB8FAA"/>
    <w:rsid w:val="FFBB9457"/>
    <w:rsid w:val="FFCEC102"/>
    <w:rsid w:val="FF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560" w:lineRule="exact"/>
      <w:outlineLvl w:val="1"/>
    </w:pPr>
    <w:rPr>
      <w:rFonts w:ascii="Arial" w:hAnsi="Arial"/>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qFormat/>
    <w:uiPriority w:val="0"/>
    <w:pPr>
      <w:jc w:val="left"/>
    </w:pPr>
  </w:style>
  <w:style w:type="paragraph" w:styleId="5">
    <w:name w:val="Body Text Indent"/>
    <w:basedOn w:val="1"/>
    <w:qFormat/>
    <w:uiPriority w:val="0"/>
    <w:pPr>
      <w:widowControl/>
      <w:spacing w:before="100" w:beforeAutospacing="1" w:after="100" w:afterAutospacing="1"/>
      <w:jc w:val="left"/>
    </w:pPr>
    <w:rPr>
      <w:rFonts w:ascii="宋体" w:hAnsi="宋体" w:eastAsia="宋体"/>
      <w:kern w:val="0"/>
      <w:sz w:val="24"/>
    </w:rPr>
  </w:style>
  <w:style w:type="paragraph" w:styleId="6">
    <w:name w:val="Date"/>
    <w:basedOn w:val="1"/>
    <w:next w:val="1"/>
    <w:link w:val="24"/>
    <w:qFormat/>
    <w:uiPriority w:val="0"/>
    <w:pPr>
      <w:ind w:left="100" w:leftChars="2500"/>
    </w:pPr>
  </w:style>
  <w:style w:type="paragraph" w:styleId="7">
    <w:name w:val="Body Text Indent 2"/>
    <w:basedOn w:val="1"/>
    <w:qFormat/>
    <w:uiPriority w:val="99"/>
    <w:pPr>
      <w:spacing w:line="480" w:lineRule="exact"/>
      <w:ind w:firstLine="480" w:firstLineChars="200"/>
    </w:p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rFonts w:eastAsia="宋体"/>
      <w:sz w:val="18"/>
      <w:szCs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jc w:val="left"/>
    </w:pPr>
    <w:rPr>
      <w:kern w:val="0"/>
      <w:sz w:val="24"/>
    </w:rPr>
  </w:style>
  <w:style w:type="paragraph" w:styleId="14">
    <w:name w:val="annotation subject"/>
    <w:basedOn w:val="4"/>
    <w:next w:val="4"/>
    <w:link w:val="27"/>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FollowedHyperlink"/>
    <w:qFormat/>
    <w:uiPriority w:val="0"/>
    <w:rPr>
      <w:color w:val="333333"/>
      <w:u w:val="none"/>
    </w:rPr>
  </w:style>
  <w:style w:type="character" w:styleId="20">
    <w:name w:val="Hyperlink"/>
    <w:qFormat/>
    <w:uiPriority w:val="99"/>
    <w:rPr>
      <w:color w:val="333333"/>
      <w:u w:val="none"/>
    </w:rPr>
  </w:style>
  <w:style w:type="character" w:styleId="21">
    <w:name w:val="annotation reference"/>
    <w:qFormat/>
    <w:uiPriority w:val="0"/>
    <w:rPr>
      <w:sz w:val="21"/>
      <w:szCs w:val="21"/>
    </w:rPr>
  </w:style>
  <w:style w:type="character" w:customStyle="1" w:styleId="22">
    <w:name w:val="标题 1 字符"/>
    <w:link w:val="2"/>
    <w:qFormat/>
    <w:uiPriority w:val="0"/>
    <w:rPr>
      <w:rFonts w:eastAsia="仿宋_GB2312"/>
      <w:b/>
      <w:bCs/>
      <w:kern w:val="44"/>
      <w:sz w:val="44"/>
      <w:szCs w:val="44"/>
    </w:rPr>
  </w:style>
  <w:style w:type="character" w:customStyle="1" w:styleId="23">
    <w:name w:val="批注文字 字符"/>
    <w:link w:val="4"/>
    <w:qFormat/>
    <w:uiPriority w:val="0"/>
    <w:rPr>
      <w:rFonts w:eastAsia="仿宋_GB2312"/>
      <w:kern w:val="2"/>
      <w:sz w:val="30"/>
      <w:szCs w:val="24"/>
    </w:rPr>
  </w:style>
  <w:style w:type="character" w:customStyle="1" w:styleId="24">
    <w:name w:val="日期 字符"/>
    <w:link w:val="6"/>
    <w:qFormat/>
    <w:uiPriority w:val="0"/>
    <w:rPr>
      <w:rFonts w:eastAsia="仿宋_GB2312"/>
      <w:kern w:val="2"/>
      <w:sz w:val="30"/>
      <w:szCs w:val="24"/>
    </w:rPr>
  </w:style>
  <w:style w:type="character" w:customStyle="1" w:styleId="25">
    <w:name w:val="页脚 字符"/>
    <w:link w:val="9"/>
    <w:qFormat/>
    <w:locked/>
    <w:uiPriority w:val="99"/>
    <w:rPr>
      <w:rFonts w:eastAsia="宋体"/>
      <w:kern w:val="2"/>
      <w:sz w:val="18"/>
      <w:szCs w:val="18"/>
      <w:lang w:val="en-US" w:eastAsia="zh-CN" w:bidi="ar-SA"/>
    </w:rPr>
  </w:style>
  <w:style w:type="character" w:customStyle="1" w:styleId="26">
    <w:name w:val="页眉 字符"/>
    <w:link w:val="10"/>
    <w:qFormat/>
    <w:uiPriority w:val="0"/>
    <w:rPr>
      <w:rFonts w:eastAsia="仿宋_GB2312"/>
      <w:kern w:val="2"/>
      <w:sz w:val="18"/>
      <w:szCs w:val="18"/>
    </w:rPr>
  </w:style>
  <w:style w:type="character" w:customStyle="1" w:styleId="27">
    <w:name w:val="批注主题 字符"/>
    <w:link w:val="14"/>
    <w:qFormat/>
    <w:uiPriority w:val="0"/>
    <w:rPr>
      <w:rFonts w:eastAsia="仿宋_GB2312"/>
      <w:b/>
      <w:bCs/>
      <w:kern w:val="2"/>
      <w:sz w:val="30"/>
      <w:szCs w:val="24"/>
    </w:rPr>
  </w:style>
  <w:style w:type="paragraph" w:styleId="28">
    <w:name w:val="List Paragraph"/>
    <w:basedOn w:val="1"/>
    <w:qFormat/>
    <w:uiPriority w:val="34"/>
    <w:pPr>
      <w:widowControl/>
      <w:ind w:firstLine="420" w:firstLineChars="200"/>
      <w:jc w:val="left"/>
    </w:pPr>
    <w:rPr>
      <w:rFonts w:ascii="宋体" w:hAnsi="宋体" w:eastAsia="宋体" w:cs="宋体"/>
      <w:kern w:val="0"/>
      <w:sz w:val="24"/>
    </w:rPr>
  </w:style>
  <w:style w:type="paragraph" w:customStyle="1" w:styleId="29">
    <w:name w:val="_Style 28"/>
    <w:unhideWhenUsed/>
    <w:qFormat/>
    <w:uiPriority w:val="99"/>
    <w:rPr>
      <w:rFonts w:ascii="Times New Roman" w:hAnsi="Times New Roman" w:eastAsia="仿宋_GB2312" w:cs="Times New Roman"/>
      <w:kern w:val="2"/>
      <w:sz w:val="30"/>
      <w:szCs w:val="24"/>
      <w:lang w:val="en-US" w:eastAsia="zh-CN" w:bidi="ar-SA"/>
    </w:rPr>
  </w:style>
  <w:style w:type="paragraph" w:customStyle="1" w:styleId="30">
    <w:name w:val="闻政页码"/>
    <w:qFormat/>
    <w:uiPriority w:val="6"/>
    <w:pPr>
      <w:jc w:val="center"/>
    </w:pPr>
    <w:rPr>
      <w:rFonts w:ascii="Times New Roman" w:hAnsi="Times New Roman" w:eastAsia="Times New Roman" w:cs="Times New Roman"/>
      <w:sz w:val="21"/>
      <w:szCs w:val="28"/>
      <w:lang w:val="en-US" w:eastAsia="zh-CN" w:bidi="ar-SA"/>
    </w:rPr>
  </w:style>
  <w:style w:type="character" w:customStyle="1" w:styleId="31">
    <w:name w:val="font31"/>
    <w:qFormat/>
    <w:uiPriority w:val="0"/>
    <w:rPr>
      <w:rFonts w:hint="eastAsia" w:ascii="仿宋_GB2312" w:eastAsia="仿宋_GB2312"/>
      <w:color w:val="000000"/>
      <w:sz w:val="22"/>
      <w:szCs w:val="22"/>
      <w:u w:val="none"/>
    </w:rPr>
  </w:style>
  <w:style w:type="character" w:customStyle="1" w:styleId="32">
    <w:name w:val="font01"/>
    <w:qFormat/>
    <w:uiPriority w:val="0"/>
    <w:rPr>
      <w:rFonts w:hint="default" w:ascii="Arial" w:hAnsi="Arial" w:cs="Arial"/>
      <w:color w:val="000000"/>
      <w:sz w:val="22"/>
      <w:szCs w:val="22"/>
      <w:u w:val="none"/>
    </w:rPr>
  </w:style>
  <w:style w:type="character" w:customStyle="1" w:styleId="33">
    <w:name w:val="font11"/>
    <w:qFormat/>
    <w:uiPriority w:val="0"/>
    <w:rPr>
      <w:rFonts w:hint="eastAsia" w:ascii="仿宋_GB2312" w:eastAsia="仿宋_GB2312" w:cs="仿宋_GB2312"/>
      <w:color w:val="000000"/>
      <w:sz w:val="24"/>
      <w:szCs w:val="24"/>
      <w:u w:val="none"/>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6">
    <w:name w:val="Table Text"/>
    <w:basedOn w:val="1"/>
    <w:semiHidden/>
    <w:qFormat/>
    <w:uiPriority w:val="0"/>
    <w:rPr>
      <w:rFonts w:ascii="宋体" w:hAnsi="宋体" w:eastAsia="宋体" w:cs="宋体"/>
      <w:sz w:val="29"/>
      <w:szCs w:val="29"/>
      <w:lang w:eastAsia="en-US"/>
    </w:rPr>
  </w:style>
  <w:style w:type="table" w:customStyle="1" w:styleId="37">
    <w:name w:val="Table Normal"/>
    <w:unhideWhenUsed/>
    <w:qFormat/>
    <w:uiPriority w:val="0"/>
    <w:tblPr>
      <w:tblCellMar>
        <w:top w:w="0" w:type="dxa"/>
        <w:left w:w="0" w:type="dxa"/>
        <w:bottom w:w="0" w:type="dxa"/>
        <w:right w:w="0" w:type="dxa"/>
      </w:tblCellMar>
    </w:tblPr>
  </w:style>
  <w:style w:type="character" w:customStyle="1" w:styleId="38">
    <w:name w:val="font81"/>
    <w:qFormat/>
    <w:uiPriority w:val="0"/>
    <w:rPr>
      <w:rFonts w:hint="eastAsia" w:ascii="宋体" w:hAnsi="宋体" w:eastAsia="宋体" w:cs="宋体"/>
      <w:b/>
      <w:bCs/>
      <w:color w:val="000000"/>
      <w:sz w:val="20"/>
      <w:szCs w:val="20"/>
      <w:u w:val="none"/>
    </w:rPr>
  </w:style>
  <w:style w:type="character" w:customStyle="1" w:styleId="39">
    <w:name w:val="font91"/>
    <w:qFormat/>
    <w:uiPriority w:val="0"/>
    <w:rPr>
      <w:rFonts w:hint="eastAsia" w:ascii="宋体" w:hAnsi="宋体" w:eastAsia="宋体" w:cs="宋体"/>
      <w:color w:val="000000"/>
      <w:sz w:val="20"/>
      <w:szCs w:val="20"/>
      <w:u w:val="none"/>
    </w:rPr>
  </w:style>
  <w:style w:type="character" w:customStyle="1" w:styleId="40">
    <w:name w:val="font101"/>
    <w:qFormat/>
    <w:uiPriority w:val="0"/>
    <w:rPr>
      <w:rFonts w:hint="eastAsia" w:ascii="宋体" w:hAnsi="宋体" w:eastAsia="宋体" w:cs="宋体"/>
      <w:color w:val="000000"/>
      <w:sz w:val="20"/>
      <w:szCs w:val="20"/>
      <w:u w:val="none"/>
    </w:rPr>
  </w:style>
  <w:style w:type="character" w:customStyle="1" w:styleId="41">
    <w:name w:val="font21"/>
    <w:qFormat/>
    <w:uiPriority w:val="0"/>
    <w:rPr>
      <w:rFonts w:hint="eastAsia" w:ascii="仿宋_GB2312" w:eastAsia="仿宋_GB2312" w:cs="仿宋_GB2312"/>
      <w:color w:val="000000"/>
      <w:sz w:val="24"/>
      <w:szCs w:val="24"/>
      <w:u w:val="none"/>
    </w:rPr>
  </w:style>
  <w:style w:type="character" w:customStyle="1" w:styleId="42">
    <w:name w:val="font41"/>
    <w:qFormat/>
    <w:uiPriority w:val="0"/>
    <w:rPr>
      <w:rFonts w:hint="eastAsia" w:ascii="仿宋_GB2312" w:eastAsia="仿宋_GB2312" w:cs="仿宋_GB2312"/>
      <w:color w:val="000000"/>
      <w:sz w:val="22"/>
      <w:szCs w:val="22"/>
      <w:u w:val="none"/>
    </w:rPr>
  </w:style>
  <w:style w:type="character" w:customStyle="1" w:styleId="43">
    <w:name w:val="font51"/>
    <w:qFormat/>
    <w:uiPriority w:val="0"/>
    <w:rPr>
      <w:rFonts w:hint="eastAsia" w:ascii="仿宋_GB2312" w:eastAsia="仿宋_GB2312" w:cs="仿宋_GB2312"/>
      <w:color w:val="000000"/>
      <w:sz w:val="22"/>
      <w:szCs w:val="22"/>
      <w:u w:val="none"/>
    </w:rPr>
  </w:style>
  <w:style w:type="character" w:customStyle="1" w:styleId="44">
    <w:name w:val="font61"/>
    <w:qFormat/>
    <w:uiPriority w:val="0"/>
    <w:rPr>
      <w:rFonts w:hint="eastAsia" w:ascii="仿宋_GB2312" w:eastAsia="仿宋_GB2312" w:cs="仿宋_GB2312"/>
      <w:color w:val="FF0000"/>
      <w:sz w:val="22"/>
      <w:szCs w:val="22"/>
      <w:u w:val="none"/>
    </w:rPr>
  </w:style>
  <w:style w:type="character" w:customStyle="1" w:styleId="45">
    <w:name w:val="font7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42</Pages>
  <Words>3731</Words>
  <Characters>21268</Characters>
  <Lines>177</Lines>
  <Paragraphs>49</Paragraphs>
  <TotalTime>11</TotalTime>
  <ScaleCrop>false</ScaleCrop>
  <LinksUpToDate>false</LinksUpToDate>
  <CharactersWithSpaces>24950</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2024-01-04T23:22:00Z</dcterms:created>
  <dc:creator>lhn</dc:creator>
  <cp:lastModifiedBy>suma</cp:lastModifiedBy>
  <cp:lastPrinted>2025-04-21T16:49:00Z</cp:lastPrinted>
  <dcterms:modified xsi:type="dcterms:W3CDTF">2026-07-22T14:09:42Z</dcterms:modified>
  <dc:title>财政支出绩效评价管理暂行办法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CFFD86EFB58C4AC9BDE683EBF059B029_13</vt:lpwstr>
  </property>
  <property fmtid="{D5CDD505-2E9C-101B-9397-08002B2CF9AE}" pid="4" name="KSOTemplateDocerSaveRecord">
    <vt:lpwstr>eyJoZGlkIjoiN2YzNjBkOTgyNWQ1YTMxYzM3MzMwNWFiODNmOWIzYWMiLCJ1c2VySWQiOiI0NTQ1MDgyNTEifQ==</vt:lpwstr>
  </property>
</Properties>
</file>