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eastAsia="zh-CN"/>
        </w:rPr>
        <w:t>青岛市民营经济发展局</w:t>
      </w:r>
      <w:r>
        <w:rPr>
          <w:rFonts w:hint="eastAsia" w:ascii="方正小标宋简体" w:eastAsia="方正小标宋简体"/>
          <w:sz w:val="44"/>
          <w:szCs w:val="44"/>
          <w:lang w:val="en-US" w:eastAsia="zh-CN"/>
        </w:rPr>
        <w:t>2023年</w:t>
      </w:r>
    </w:p>
    <w:p>
      <w:pPr>
        <w:pageBreakBefore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lang w:val="en-US" w:eastAsia="zh-CN"/>
        </w:rPr>
      </w:pPr>
      <w:r>
        <w:rPr>
          <w:rFonts w:hint="eastAsia" w:ascii="方正小标宋简体" w:eastAsia="方正小标宋简体"/>
          <w:sz w:val="44"/>
          <w:szCs w:val="44"/>
          <w:lang w:val="en-US" w:eastAsia="zh-CN"/>
        </w:rPr>
        <w:t>政府信息公开工作年度报告</w:t>
      </w:r>
    </w:p>
    <w:p>
      <w:pPr>
        <w:pageBreakBefore w:val="0"/>
        <w:kinsoku/>
        <w:wordWrap/>
        <w:overflowPunct/>
        <w:topLinePunct w:val="0"/>
        <w:autoSpaceDE/>
        <w:autoSpaceDN/>
        <w:bidi w:val="0"/>
        <w:adjustRightInd/>
        <w:snapToGrid/>
        <w:spacing w:line="560" w:lineRule="exact"/>
        <w:ind w:firstLine="642" w:firstLineChars="200"/>
        <w:textAlignment w:val="auto"/>
        <w:rPr>
          <w:rFonts w:hint="eastAsia" w:ascii="楷体_GB2312" w:eastAsia="楷体_GB2312"/>
          <w:b/>
          <w:bCs/>
          <w:sz w:val="32"/>
          <w:szCs w:val="32"/>
        </w:rPr>
      </w:pPr>
    </w:p>
    <w:p>
      <w:pPr>
        <w:pStyle w:val="2"/>
        <w:pageBreakBefore w:val="0"/>
        <w:numPr>
          <w:ilvl w:val="0"/>
          <w:numId w:val="0"/>
        </w:numPr>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bCs w:val="0"/>
          <w:color w:val="auto"/>
          <w:sz w:val="32"/>
          <w:szCs w:val="32"/>
          <w:shd w:val="clear" w:color="auto" w:fill="auto"/>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color w:val="auto"/>
          <w:sz w:val="32"/>
          <w:szCs w:val="32"/>
          <w:shd w:val="clear" w:color="auto" w:fill="auto"/>
        </w:rPr>
        <w:t>本报告根据《中华人民共和国政府信息公开条例》（以下简称《条例》）等有关要求编制。本报告由总体情况、主动公开政府信息的情况、收到和处理政府信息公开申请的情况、因政府信息公开工作被申请行政复议和提起行政诉讼的情况、政府信息公开工作存在的主要问题及改进情况、其他需要报告的事项组成。本年度报告的电子版可在青岛政务网</w:t>
      </w:r>
      <w:r>
        <w:rPr>
          <w:rFonts w:hint="default" w:ascii="Times New Roman" w:hAnsi="Times New Roman" w:eastAsia="仿宋_GB2312" w:cs="Times New Roman"/>
          <w:b w:val="0"/>
          <w:bCs w:val="0"/>
          <w:color w:val="auto"/>
          <w:sz w:val="32"/>
          <w:szCs w:val="32"/>
          <w:shd w:val="clear" w:color="auto" w:fill="auto"/>
        </w:rPr>
        <w:t>（www.qingdao.gov.cn）</w:t>
      </w:r>
      <w:r>
        <w:rPr>
          <w:rFonts w:hint="eastAsia" w:ascii="仿宋_GB2312" w:hAnsi="仿宋_GB2312" w:eastAsia="仿宋_GB2312" w:cs="仿宋_GB2312"/>
          <w:b w:val="0"/>
          <w:bCs w:val="0"/>
          <w:color w:val="auto"/>
          <w:sz w:val="32"/>
          <w:szCs w:val="32"/>
          <w:shd w:val="clear" w:color="auto" w:fill="auto"/>
        </w:rPr>
        <w:t>下载。如对本报告有任何疑问，请与青岛市</w:t>
      </w:r>
      <w:r>
        <w:rPr>
          <w:rFonts w:hint="eastAsia" w:ascii="仿宋_GB2312" w:hAnsi="仿宋_GB2312" w:eastAsia="仿宋_GB2312" w:cs="仿宋_GB2312"/>
          <w:b w:val="0"/>
          <w:bCs w:val="0"/>
          <w:color w:val="auto"/>
          <w:sz w:val="32"/>
          <w:szCs w:val="32"/>
          <w:shd w:val="clear" w:color="auto" w:fill="auto"/>
          <w:lang w:eastAsia="zh-CN"/>
        </w:rPr>
        <w:t>民营经济发展局</w:t>
      </w:r>
      <w:r>
        <w:rPr>
          <w:rFonts w:hint="eastAsia" w:ascii="仿宋_GB2312" w:hAnsi="仿宋_GB2312" w:eastAsia="仿宋_GB2312" w:cs="仿宋_GB2312"/>
          <w:b w:val="0"/>
          <w:bCs w:val="0"/>
          <w:color w:val="auto"/>
          <w:sz w:val="32"/>
          <w:szCs w:val="32"/>
          <w:shd w:val="clear" w:color="auto" w:fill="auto"/>
        </w:rPr>
        <w:t xml:space="preserve">联系（地址：青岛市市南区香港中路 </w:t>
      </w:r>
      <w:r>
        <w:rPr>
          <w:rFonts w:hint="eastAsia" w:ascii="Times New Roman" w:hAnsi="Times New Roman" w:eastAsia="仿宋_GB2312" w:cs="Times New Roman"/>
          <w:b w:val="0"/>
          <w:bCs w:val="0"/>
          <w:color w:val="auto"/>
          <w:sz w:val="32"/>
          <w:szCs w:val="32"/>
          <w:shd w:val="clear" w:color="auto" w:fill="auto"/>
          <w:lang w:val="en-US" w:eastAsia="zh-CN"/>
        </w:rPr>
        <w:t>19</w:t>
      </w:r>
      <w:r>
        <w:rPr>
          <w:rFonts w:hint="eastAsia" w:ascii="仿宋_GB2312" w:hAnsi="仿宋_GB2312" w:eastAsia="仿宋_GB2312" w:cs="仿宋_GB2312"/>
          <w:b w:val="0"/>
          <w:bCs w:val="0"/>
          <w:color w:val="auto"/>
          <w:sz w:val="32"/>
          <w:szCs w:val="32"/>
          <w:shd w:val="clear" w:color="auto" w:fill="auto"/>
        </w:rPr>
        <w:t>号，邮编：</w:t>
      </w:r>
      <w:r>
        <w:rPr>
          <w:rFonts w:hint="eastAsia" w:ascii="Times New Roman" w:hAnsi="Times New Roman" w:eastAsia="仿宋_GB2312" w:cs="Times New Roman"/>
          <w:b w:val="0"/>
          <w:bCs w:val="0"/>
          <w:color w:val="auto"/>
          <w:sz w:val="32"/>
          <w:szCs w:val="32"/>
          <w:shd w:val="clear" w:color="auto" w:fill="auto"/>
          <w:lang w:val="en-US" w:eastAsia="zh-CN"/>
        </w:rPr>
        <w:t>266071</w:t>
      </w:r>
      <w:r>
        <w:rPr>
          <w:rFonts w:hint="eastAsia" w:ascii="仿宋_GB2312" w:hAnsi="仿宋_GB2312" w:eastAsia="仿宋_GB2312" w:cs="仿宋_GB2312"/>
          <w:b w:val="0"/>
          <w:bCs w:val="0"/>
          <w:color w:val="auto"/>
          <w:sz w:val="32"/>
          <w:szCs w:val="32"/>
          <w:shd w:val="clear" w:color="auto" w:fill="auto"/>
        </w:rPr>
        <w:t>，电话：</w:t>
      </w:r>
      <w:r>
        <w:rPr>
          <w:rFonts w:hint="eastAsia" w:ascii="Times New Roman" w:hAnsi="Times New Roman" w:eastAsia="仿宋_GB2312" w:cs="Times New Roman"/>
          <w:b w:val="0"/>
          <w:bCs w:val="0"/>
          <w:color w:val="auto"/>
          <w:sz w:val="32"/>
          <w:szCs w:val="32"/>
          <w:shd w:val="clear" w:color="auto" w:fill="auto"/>
          <w:lang w:val="en-US" w:eastAsia="zh-CN"/>
        </w:rPr>
        <w:t>0532-85912830</w:t>
      </w:r>
      <w:r>
        <w:rPr>
          <w:rFonts w:hint="eastAsia" w:ascii="仿宋_GB2312" w:hAnsi="仿宋_GB2312" w:eastAsia="仿宋_GB2312" w:cs="仿宋_GB2312"/>
          <w:b w:val="0"/>
          <w:bCs w:val="0"/>
          <w:color w:val="auto"/>
          <w:sz w:val="32"/>
          <w:szCs w:val="32"/>
          <w:shd w:val="clear" w:color="auto" w:fill="auto"/>
        </w:rPr>
        <w:t>，传真：</w:t>
      </w:r>
      <w:r>
        <w:rPr>
          <w:rFonts w:hint="eastAsia" w:ascii="Times New Roman" w:hAnsi="Times New Roman" w:eastAsia="仿宋_GB2312" w:cs="Times New Roman"/>
          <w:b w:val="0"/>
          <w:bCs w:val="0"/>
          <w:color w:val="auto"/>
          <w:sz w:val="32"/>
          <w:szCs w:val="32"/>
          <w:shd w:val="clear" w:color="auto" w:fill="auto"/>
          <w:lang w:val="en-US" w:eastAsia="zh-CN"/>
        </w:rPr>
        <w:t>0532-85912663</w:t>
      </w:r>
      <w:r>
        <w:rPr>
          <w:rFonts w:hint="eastAsia" w:ascii="仿宋_GB2312" w:hAnsi="仿宋_GB2312" w:eastAsia="仿宋_GB2312" w:cs="仿宋_GB2312"/>
          <w:b w:val="0"/>
          <w:bCs w:val="0"/>
          <w:color w:val="auto"/>
          <w:sz w:val="32"/>
          <w:szCs w:val="32"/>
          <w:shd w:val="clear" w:color="auto" w:fill="auto"/>
        </w:rPr>
        <w:t>，电子邮箱：</w:t>
      </w:r>
      <w:r>
        <w:rPr>
          <w:rFonts w:hint="default" w:ascii="Times New Roman" w:hAnsi="Times New Roman" w:eastAsia="仿宋_GB2312" w:cs="Times New Roman"/>
          <w:b w:val="0"/>
          <w:bCs w:val="0"/>
          <w:color w:val="auto"/>
          <w:sz w:val="32"/>
          <w:szCs w:val="32"/>
          <w:shd w:val="clear" w:color="auto" w:fill="auto"/>
          <w:lang w:val="en-US" w:eastAsia="zh-CN"/>
        </w:rPr>
        <w:t>qdmfj</w:t>
      </w:r>
      <w:r>
        <w:rPr>
          <w:rFonts w:hint="default" w:ascii="Times New Roman" w:hAnsi="Times New Roman" w:eastAsia="仿宋_GB2312" w:cs="Times New Roman"/>
          <w:b w:val="0"/>
          <w:bCs w:val="0"/>
          <w:color w:val="auto"/>
          <w:sz w:val="32"/>
          <w:szCs w:val="32"/>
          <w:shd w:val="clear" w:color="auto" w:fill="auto"/>
        </w:rPr>
        <w:t>@qd.shandong.cn</w:t>
      </w:r>
      <w:r>
        <w:rPr>
          <w:rFonts w:hint="eastAsia" w:ascii="仿宋_GB2312" w:hAnsi="仿宋_GB2312" w:eastAsia="仿宋_GB2312" w:cs="仿宋_GB2312"/>
          <w:b w:val="0"/>
          <w:bCs w:val="0"/>
          <w:color w:val="auto"/>
          <w:sz w:val="32"/>
          <w:szCs w:val="32"/>
          <w:shd w:val="clear" w:color="auto" w:fill="auto"/>
        </w:rPr>
        <w:t>）。</w:t>
      </w:r>
    </w:p>
    <w:p>
      <w:pPr>
        <w:pStyle w:val="2"/>
        <w:pageBreakBefore w:val="0"/>
        <w:numPr>
          <w:ilvl w:val="0"/>
          <w:numId w:val="0"/>
        </w:numPr>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 xml:space="preserve">    </w:t>
      </w:r>
      <w:r>
        <w:rPr>
          <w:rFonts w:hint="eastAsia" w:ascii="黑体" w:hAnsi="黑体" w:eastAsia="黑体" w:cs="黑体"/>
          <w:b w:val="0"/>
          <w:bCs w:val="0"/>
          <w:color w:val="auto"/>
          <w:sz w:val="32"/>
          <w:szCs w:val="32"/>
          <w:shd w:val="clear" w:color="auto" w:fill="auto"/>
          <w:lang w:val="en-US" w:eastAsia="zh-CN"/>
        </w:rPr>
        <w:t>一、总体情况</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FF0000"/>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rPr>
        <w:t>青岛市</w:t>
      </w:r>
      <w:r>
        <w:rPr>
          <w:rFonts w:hint="eastAsia" w:ascii="仿宋_GB2312" w:hAnsi="仿宋_GB2312" w:eastAsia="仿宋_GB2312" w:cs="仿宋_GB2312"/>
          <w:color w:val="auto"/>
          <w:sz w:val="32"/>
          <w:szCs w:val="32"/>
          <w:shd w:val="clear" w:color="auto" w:fill="auto"/>
          <w:lang w:eastAsia="zh-CN"/>
        </w:rPr>
        <w:t>民营经济发展局</w:t>
      </w:r>
      <w:r>
        <w:rPr>
          <w:rFonts w:hint="eastAsia" w:ascii="仿宋_GB2312" w:hAnsi="仿宋_GB2312" w:eastAsia="仿宋_GB2312" w:cs="仿宋_GB2312"/>
          <w:color w:val="auto"/>
          <w:sz w:val="32"/>
          <w:szCs w:val="32"/>
          <w:shd w:val="clear" w:color="auto" w:fill="auto"/>
        </w:rPr>
        <w:t>始终坚持以习近平新时代中国特色社会主义思想为指导，深入贯彻《中华人民共和国政府信息公开条例》，坚持以公开为常态、不公开为例外，及时主动向社会公开</w:t>
      </w:r>
      <w:r>
        <w:rPr>
          <w:rFonts w:hint="eastAsia" w:ascii="仿宋_GB2312" w:hAnsi="仿宋_GB2312" w:eastAsia="仿宋_GB2312" w:cs="仿宋_GB2312"/>
          <w:color w:val="auto"/>
          <w:sz w:val="32"/>
          <w:szCs w:val="32"/>
          <w:shd w:val="clear" w:color="auto" w:fill="auto"/>
          <w:lang w:eastAsia="zh-CN"/>
        </w:rPr>
        <w:t>民营和中小企业</w:t>
      </w:r>
      <w:r>
        <w:rPr>
          <w:rFonts w:hint="eastAsia" w:ascii="仿宋_GB2312" w:hAnsi="仿宋_GB2312" w:eastAsia="仿宋_GB2312" w:cs="仿宋_GB2312"/>
          <w:color w:val="auto"/>
          <w:sz w:val="32"/>
          <w:szCs w:val="32"/>
          <w:shd w:val="clear" w:color="auto" w:fill="auto"/>
        </w:rPr>
        <w:t>有关政策和措施，积极回应市民关切，持续优化提升政务公开体验感，</w:t>
      </w:r>
      <w:r>
        <w:rPr>
          <w:rFonts w:hint="eastAsia" w:ascii="仿宋_GB2312" w:hAnsi="仿宋_GB2312" w:eastAsia="仿宋_GB2312" w:cs="仿宋_GB2312"/>
          <w:color w:val="auto"/>
          <w:sz w:val="32"/>
          <w:szCs w:val="32"/>
          <w:shd w:val="clear" w:color="auto" w:fill="auto"/>
          <w:lang w:eastAsia="zh-CN"/>
        </w:rPr>
        <w:t>不断提升</w:t>
      </w:r>
      <w:r>
        <w:rPr>
          <w:rFonts w:hint="eastAsia" w:ascii="仿宋_GB2312" w:hAnsi="仿宋_GB2312" w:eastAsia="仿宋_GB2312" w:cs="仿宋_GB2312"/>
          <w:color w:val="auto"/>
          <w:sz w:val="32"/>
          <w:szCs w:val="32"/>
          <w:shd w:val="clear" w:color="auto" w:fill="auto"/>
        </w:rPr>
        <w:t>人民群众幸福感和获得感。</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auto"/>
          <w:sz w:val="32"/>
          <w:szCs w:val="32"/>
          <w:shd w:val="clear" w:color="auto" w:fill="auto"/>
          <w:lang w:eastAsia="zh-CN"/>
        </w:rPr>
      </w:pPr>
      <w:r>
        <w:rPr>
          <w:rFonts w:hint="eastAsia" w:ascii="楷体_GB2312" w:hAnsi="楷体_GB2312" w:eastAsia="楷体_GB2312" w:cs="楷体_GB2312"/>
          <w:color w:val="auto"/>
          <w:sz w:val="32"/>
          <w:szCs w:val="32"/>
          <w:shd w:val="clear" w:color="auto" w:fill="auto"/>
          <w:lang w:val="en-US" w:eastAsia="zh-CN"/>
        </w:rPr>
        <w:t xml:space="preserve">    </w:t>
      </w:r>
      <w:r>
        <w:rPr>
          <w:rFonts w:hint="eastAsia" w:ascii="楷体_GB2312" w:hAnsi="楷体_GB2312" w:eastAsia="楷体_GB2312" w:cs="楷体_GB2312"/>
          <w:color w:val="auto"/>
          <w:sz w:val="32"/>
          <w:szCs w:val="32"/>
          <w:shd w:val="clear" w:color="auto" w:fill="auto"/>
          <w:lang w:eastAsia="zh-CN"/>
        </w:rPr>
        <w:t>（一）主动公开方面</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FF0000"/>
          <w:sz w:val="32"/>
          <w:szCs w:val="32"/>
          <w:shd w:val="clear" w:color="auto" w:fill="auto"/>
        </w:rPr>
      </w:pPr>
      <w:r>
        <w:rPr>
          <w:rFonts w:hint="eastAsia" w:ascii="仿宋_GB2312" w:hAnsi="仿宋_GB2312" w:eastAsia="仿宋_GB2312" w:cs="仿宋_GB2312"/>
          <w:color w:val="FF0000"/>
          <w:sz w:val="32"/>
          <w:szCs w:val="32"/>
          <w:shd w:val="clear" w:color="auto" w:fill="auto"/>
          <w:lang w:val="en-US" w:eastAsia="zh-CN"/>
        </w:rPr>
        <w:t xml:space="preserve">   </w:t>
      </w:r>
      <w:r>
        <w:rPr>
          <w:rFonts w:hint="eastAsia" w:ascii="Times New Roman" w:hAnsi="Times New Roman" w:eastAsia="仿宋_GB2312" w:cs="Times New Roman"/>
          <w:b w:val="0"/>
          <w:bCs w:val="0"/>
          <w:color w:val="auto"/>
          <w:kern w:val="44"/>
          <w:sz w:val="32"/>
          <w:szCs w:val="32"/>
          <w:shd w:val="clear" w:color="auto" w:fill="auto"/>
          <w:lang w:val="en-US" w:eastAsia="zh-CN" w:bidi="ar-SA"/>
        </w:rPr>
        <w:t xml:space="preserve"> 2023</w:t>
      </w:r>
      <w:r>
        <w:rPr>
          <w:rFonts w:hint="eastAsia" w:ascii="仿宋_GB2312" w:hAnsi="仿宋_GB2312" w:eastAsia="仿宋_GB2312" w:cs="仿宋_GB2312"/>
          <w:color w:val="auto"/>
          <w:sz w:val="32"/>
          <w:szCs w:val="32"/>
          <w:shd w:val="clear" w:color="auto" w:fill="auto"/>
          <w:lang w:val="en-US" w:eastAsia="zh-CN"/>
        </w:rPr>
        <w:t>年，市民营经济局通过青岛政务网政府部门信息公开专栏、局官方网站、“青岛民营经济和中小企业”微信公众号等平台累计向社会主动发布各类信息</w:t>
      </w:r>
      <w:r>
        <w:rPr>
          <w:rFonts w:hint="eastAsia" w:ascii="Times New Roman" w:hAnsi="Times New Roman" w:eastAsia="仿宋_GB2312" w:cs="Times New Roman"/>
          <w:b w:val="0"/>
          <w:bCs w:val="0"/>
          <w:color w:val="auto"/>
          <w:kern w:val="44"/>
          <w:sz w:val="32"/>
          <w:szCs w:val="32"/>
          <w:shd w:val="clear" w:color="auto" w:fill="auto"/>
          <w:lang w:val="en-US" w:eastAsia="zh-CN" w:bidi="ar-SA"/>
        </w:rPr>
        <w:t>1529</w:t>
      </w:r>
      <w:r>
        <w:rPr>
          <w:rFonts w:hint="eastAsia" w:ascii="仿宋_GB2312" w:hAnsi="仿宋_GB2312" w:eastAsia="仿宋_GB2312" w:cs="仿宋_GB2312"/>
          <w:color w:val="auto"/>
          <w:sz w:val="32"/>
          <w:szCs w:val="32"/>
          <w:shd w:val="clear" w:color="auto" w:fill="auto"/>
          <w:lang w:val="en-US" w:eastAsia="zh-CN"/>
        </w:rPr>
        <w:t>条，涵盖通知公告、政策解读、工作动态、创业创新、融资服务等多类信息。</w:t>
      </w:r>
      <w:r>
        <w:rPr>
          <w:rFonts w:hint="eastAsia" w:ascii="仿宋_GB2312" w:hAnsi="仿宋_GB2312" w:eastAsia="仿宋_GB2312" w:cs="仿宋_GB2312"/>
          <w:color w:val="auto"/>
          <w:sz w:val="32"/>
          <w:szCs w:val="32"/>
          <w:shd w:val="clear" w:color="auto" w:fill="auto"/>
        </w:rPr>
        <w:t>坚持回应社会关切，</w:t>
      </w:r>
      <w:r>
        <w:rPr>
          <w:rFonts w:hint="eastAsia" w:ascii="仿宋_GB2312" w:hAnsi="仿宋_GB2312" w:eastAsia="仿宋_GB2312" w:cs="仿宋_GB2312"/>
          <w:color w:val="auto"/>
          <w:sz w:val="32"/>
          <w:szCs w:val="32"/>
          <w:shd w:val="clear" w:color="auto" w:fill="auto"/>
          <w:lang w:eastAsia="zh-CN"/>
        </w:rPr>
        <w:t>全年共组织</w:t>
      </w:r>
      <w:r>
        <w:rPr>
          <w:rFonts w:hint="eastAsia" w:ascii="Times New Roman" w:hAnsi="Times New Roman" w:eastAsia="仿宋_GB2312" w:cs="Times New Roman"/>
          <w:b w:val="0"/>
          <w:bCs w:val="0"/>
          <w:color w:val="auto"/>
          <w:kern w:val="44"/>
          <w:sz w:val="32"/>
          <w:szCs w:val="32"/>
          <w:shd w:val="clear" w:color="auto" w:fill="auto"/>
          <w:lang w:val="en-US" w:eastAsia="zh-CN" w:bidi="ar-SA"/>
        </w:rPr>
        <w:t>4</w:t>
      </w:r>
      <w:r>
        <w:rPr>
          <w:rFonts w:hint="eastAsia" w:ascii="仿宋_GB2312" w:hAnsi="仿宋_GB2312" w:eastAsia="仿宋_GB2312" w:cs="仿宋_GB2312"/>
          <w:color w:val="auto"/>
          <w:sz w:val="32"/>
          <w:szCs w:val="32"/>
          <w:shd w:val="clear" w:color="auto" w:fill="auto"/>
          <w:lang w:val="en-US" w:eastAsia="zh-CN"/>
        </w:rPr>
        <w:t>场新闻发布会，对深化“百场万企”“千校万企”行动、第五届全球独角兽企业</w:t>
      </w:r>
      <w:r>
        <w:rPr>
          <w:rFonts w:hint="eastAsia" w:ascii="Times New Roman" w:hAnsi="Times New Roman" w:eastAsia="仿宋_GB2312" w:cs="Times New Roman"/>
          <w:b w:val="0"/>
          <w:bCs w:val="0"/>
          <w:color w:val="auto"/>
          <w:kern w:val="44"/>
          <w:sz w:val="32"/>
          <w:szCs w:val="32"/>
          <w:shd w:val="clear" w:color="auto" w:fill="auto"/>
          <w:lang w:val="en-US" w:eastAsia="zh-CN" w:bidi="ar-SA"/>
        </w:rPr>
        <w:t>500</w:t>
      </w:r>
      <w:r>
        <w:rPr>
          <w:rFonts w:hint="eastAsia" w:ascii="仿宋_GB2312" w:hAnsi="仿宋_GB2312" w:eastAsia="仿宋_GB2312" w:cs="仿宋_GB2312"/>
          <w:color w:val="auto"/>
          <w:sz w:val="32"/>
          <w:szCs w:val="32"/>
          <w:shd w:val="clear" w:color="auto" w:fill="auto"/>
          <w:lang w:val="en-US" w:eastAsia="zh-CN"/>
        </w:rPr>
        <w:t>强大会、</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shd w:val="clear" w:color="auto" w:fill="auto"/>
          <w:lang w:val="en-US" w:eastAsia="zh-CN"/>
        </w:rPr>
        <w:t>青岛中小企业国际采购洽谈会、青岛市资本市场赋能中小企业专精特新发展大会等重点工作、重要活动进行全面深入解读，取得较好的社会效果。积极参与“三民活动”、民生在线、行风在线等，向市民汇报</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shd w:val="clear" w:color="auto" w:fill="auto"/>
          <w:lang w:val="en-US" w:eastAsia="zh-CN"/>
        </w:rPr>
        <w:t>年民营经济和中小企业工作情况，</w:t>
      </w:r>
      <w:r>
        <w:rPr>
          <w:rFonts w:hint="eastAsia" w:ascii="仿宋_GB2312" w:hAnsi="仿宋_GB2312" w:eastAsia="仿宋_GB2312" w:cs="仿宋_GB2312"/>
          <w:bCs/>
          <w:color w:val="auto"/>
          <w:sz w:val="32"/>
          <w:szCs w:val="32"/>
        </w:rPr>
        <w:t>通过政府信箱、政务热线、建议提案</w:t>
      </w:r>
      <w:r>
        <w:rPr>
          <w:rFonts w:hint="eastAsia" w:ascii="仿宋_GB2312" w:hAnsi="仿宋_GB2312" w:eastAsia="仿宋_GB2312" w:cs="仿宋_GB2312"/>
          <w:bCs/>
          <w:color w:val="auto"/>
          <w:sz w:val="32"/>
          <w:szCs w:val="32"/>
          <w:lang w:eastAsia="zh-CN"/>
        </w:rPr>
        <w:t>、民生在线、行风在线</w:t>
      </w:r>
      <w:r>
        <w:rPr>
          <w:rFonts w:hint="eastAsia" w:ascii="仿宋_GB2312" w:hAnsi="仿宋_GB2312" w:eastAsia="仿宋_GB2312" w:cs="仿宋_GB2312"/>
          <w:bCs/>
          <w:color w:val="auto"/>
          <w:sz w:val="32"/>
          <w:szCs w:val="32"/>
        </w:rPr>
        <w:t>等</w:t>
      </w:r>
      <w:r>
        <w:rPr>
          <w:rFonts w:hint="eastAsia" w:ascii="仿宋_GB2312" w:hAnsi="仿宋_GB2312" w:eastAsia="仿宋_GB2312" w:cs="仿宋_GB2312"/>
          <w:bCs/>
          <w:color w:val="auto"/>
          <w:sz w:val="32"/>
          <w:szCs w:val="32"/>
          <w:lang w:eastAsia="zh-CN"/>
        </w:rPr>
        <w:t>渠道回复市民意见建议和政策咨询</w:t>
      </w:r>
      <w:r>
        <w:rPr>
          <w:rFonts w:hint="eastAsia" w:ascii="Times New Roman" w:hAnsi="Times New Roman" w:eastAsia="仿宋_GB2312" w:cs="Times New Roman"/>
          <w:b w:val="0"/>
          <w:bCs w:val="0"/>
          <w:color w:val="auto"/>
          <w:kern w:val="44"/>
          <w:sz w:val="32"/>
          <w:szCs w:val="32"/>
          <w:shd w:val="clear" w:color="auto" w:fill="auto"/>
          <w:lang w:val="en-US" w:eastAsia="zh-CN" w:bidi="ar-SA"/>
        </w:rPr>
        <w:t>164</w:t>
      </w:r>
      <w:r>
        <w:rPr>
          <w:rFonts w:hint="eastAsia" w:ascii="仿宋_GB2312" w:hAnsi="仿宋_GB2312" w:eastAsia="仿宋_GB2312" w:cs="仿宋_GB2312"/>
          <w:bCs/>
          <w:color w:val="auto"/>
          <w:sz w:val="32"/>
          <w:szCs w:val="32"/>
          <w:lang w:eastAsia="zh-CN"/>
        </w:rPr>
        <w:t>条，</w:t>
      </w:r>
      <w:r>
        <w:rPr>
          <w:rFonts w:hint="eastAsia" w:ascii="仿宋_GB2312" w:hAnsi="仿宋_GB2312" w:eastAsia="仿宋_GB2312" w:cs="仿宋_GB2312"/>
          <w:color w:val="auto"/>
          <w:sz w:val="32"/>
          <w:szCs w:val="32"/>
          <w:shd w:val="clear" w:color="auto" w:fill="auto"/>
          <w:lang w:val="en-US" w:eastAsia="zh-CN"/>
        </w:rPr>
        <w:t>全部及时给予答复和落实。</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FF0000"/>
          <w:sz w:val="32"/>
          <w:szCs w:val="32"/>
          <w:shd w:val="clear" w:color="auto" w:fill="auto"/>
          <w:lang w:eastAsia="zh-CN"/>
        </w:rPr>
      </w:pPr>
      <w:r>
        <w:rPr>
          <w:rFonts w:hint="eastAsia" w:ascii="楷体_GB2312" w:hAnsi="楷体_GB2312" w:eastAsia="楷体_GB2312" w:cs="楷体_GB2312"/>
          <w:color w:val="FF0000"/>
          <w:sz w:val="32"/>
          <w:szCs w:val="32"/>
          <w:shd w:val="clear" w:color="auto" w:fill="auto"/>
          <w:lang w:val="en-US" w:eastAsia="zh-CN"/>
        </w:rPr>
        <w:t xml:space="preserve">    </w:t>
      </w:r>
      <w:r>
        <w:rPr>
          <w:rFonts w:hint="eastAsia" w:ascii="楷体_GB2312" w:hAnsi="楷体_GB2312" w:eastAsia="楷体_GB2312" w:cs="楷体_GB2312"/>
          <w:color w:val="auto"/>
          <w:sz w:val="32"/>
          <w:szCs w:val="32"/>
          <w:shd w:val="clear" w:color="auto" w:fill="auto"/>
          <w:lang w:eastAsia="zh-CN"/>
        </w:rPr>
        <w:t>（二）依申请公开方面</w:t>
      </w:r>
      <w:bookmarkStart w:id="0" w:name="_GoBack"/>
      <w:bookmarkEnd w:id="0"/>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FF0000"/>
          <w:sz w:val="32"/>
          <w:szCs w:val="32"/>
          <w:shd w:val="clear" w:color="auto" w:fill="auto"/>
          <w:lang w:val="en-US" w:eastAsia="zh-CN"/>
        </w:rPr>
      </w:pPr>
      <w:r>
        <w:rPr>
          <w:rFonts w:hint="eastAsia" w:ascii="仿宋_GB2312" w:hAnsi="仿宋_GB2312" w:eastAsia="仿宋_GB2312" w:cs="仿宋_GB2312"/>
          <w:color w:val="FF0000"/>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lang w:val="en-US" w:eastAsia="zh-CN"/>
        </w:rPr>
        <w:t>进一步修订完善《青岛市民营经济发展局信息公开指南》，对主动公开、依申请公开信息获取方式和途径等进一步明确，并确保渠道畅通。</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shd w:val="clear" w:color="auto" w:fill="auto"/>
          <w:lang w:val="en-US" w:eastAsia="zh-CN"/>
        </w:rPr>
        <w:t>年，网上受理依申请公开</w:t>
      </w:r>
      <w:r>
        <w:rPr>
          <w:rFonts w:hint="eastAsia" w:ascii="Times New Roman" w:hAnsi="Times New Roman" w:eastAsia="仿宋_GB2312" w:cs="Times New Roman"/>
          <w:b w:val="0"/>
          <w:bCs w:val="0"/>
          <w:color w:val="auto"/>
          <w:kern w:val="44"/>
          <w:sz w:val="32"/>
          <w:szCs w:val="32"/>
          <w:shd w:val="clear" w:color="auto" w:fill="auto"/>
          <w:lang w:val="en-US" w:eastAsia="zh-CN" w:bidi="ar-SA"/>
        </w:rPr>
        <w:t>1</w:t>
      </w:r>
      <w:r>
        <w:rPr>
          <w:rFonts w:hint="eastAsia" w:ascii="仿宋_GB2312" w:hAnsi="仿宋_GB2312" w:eastAsia="仿宋_GB2312" w:cs="仿宋_GB2312"/>
          <w:color w:val="auto"/>
          <w:sz w:val="32"/>
          <w:szCs w:val="32"/>
          <w:shd w:val="clear" w:color="auto" w:fill="auto"/>
          <w:lang w:val="en-US" w:eastAsia="zh-CN"/>
        </w:rPr>
        <w:t>件，已按照规定时限和流程予以答复，做到答复及时准确规范。本年度无因政府信息公开申请提起行政复议、行政诉讼情况。</w:t>
      </w:r>
    </w:p>
    <w:p>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FF0000"/>
          <w:sz w:val="32"/>
          <w:szCs w:val="32"/>
          <w:shd w:val="clear" w:color="auto" w:fill="auto"/>
          <w:lang w:eastAsia="zh-CN"/>
        </w:rPr>
      </w:pPr>
      <w:r>
        <w:rPr>
          <w:rFonts w:hint="eastAsia" w:ascii="仿宋_GB2312" w:hAnsi="仿宋_GB2312" w:eastAsia="仿宋_GB2312" w:cs="仿宋_GB2312"/>
          <w:color w:val="FF0000"/>
          <w:sz w:val="32"/>
          <w:szCs w:val="32"/>
          <w:shd w:val="clear" w:color="auto" w:fill="auto"/>
          <w:lang w:val="en-US" w:eastAsia="zh-CN"/>
        </w:rPr>
        <w:t xml:space="preserve">   </w:t>
      </w:r>
      <w:r>
        <w:rPr>
          <w:rFonts w:hint="eastAsia" w:ascii="楷体_GB2312" w:hAnsi="楷体_GB2312" w:eastAsia="楷体_GB2312" w:cs="楷体_GB2312"/>
          <w:color w:val="FF0000"/>
          <w:sz w:val="32"/>
          <w:szCs w:val="32"/>
          <w:shd w:val="clear" w:color="auto" w:fill="auto"/>
          <w:lang w:val="en-US" w:eastAsia="zh-CN"/>
        </w:rPr>
        <w:t xml:space="preserve"> </w:t>
      </w:r>
      <w:r>
        <w:rPr>
          <w:rFonts w:hint="eastAsia" w:ascii="楷体_GB2312" w:hAnsi="楷体_GB2312" w:eastAsia="楷体_GB2312" w:cs="楷体_GB2312"/>
          <w:color w:val="auto"/>
          <w:sz w:val="32"/>
          <w:szCs w:val="32"/>
          <w:shd w:val="clear" w:color="auto" w:fill="auto"/>
          <w:lang w:eastAsia="zh-CN"/>
        </w:rPr>
        <w:t>（三）政府信息管理方面</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FF0000"/>
          <w:sz w:val="32"/>
          <w:szCs w:val="32"/>
          <w:shd w:val="clear" w:color="auto" w:fill="auto"/>
          <w:lang w:val="en-US" w:eastAsia="zh-CN"/>
        </w:rPr>
      </w:pPr>
      <w:r>
        <w:rPr>
          <w:rFonts w:hint="eastAsia" w:ascii="仿宋_GB2312" w:hAnsi="仿宋_GB2312" w:eastAsia="仿宋_GB2312" w:cs="仿宋_GB2312"/>
          <w:color w:val="FF0000"/>
          <w:sz w:val="32"/>
          <w:szCs w:val="32"/>
          <w:shd w:val="clear" w:color="auto" w:fill="auto"/>
          <w:lang w:val="en-US" w:eastAsia="zh-CN"/>
        </w:rPr>
        <w:t xml:space="preserve">    </w:t>
      </w:r>
      <w:r>
        <w:rPr>
          <w:rFonts w:hint="eastAsia" w:ascii="仿宋_GB2312" w:hAnsi="仿宋_GB2312" w:eastAsia="仿宋_GB2312" w:cs="仿宋_GB2312"/>
          <w:color w:val="auto"/>
          <w:sz w:val="32"/>
          <w:szCs w:val="32"/>
          <w:shd w:val="clear" w:color="auto" w:fill="auto"/>
          <w:lang w:eastAsia="zh-CN"/>
        </w:rPr>
        <w:t>制定并实施《</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shd w:val="clear" w:color="auto" w:fill="auto"/>
          <w:lang w:val="en-US" w:eastAsia="zh-CN"/>
        </w:rPr>
        <w:t>年青岛市民营经济发展局政务公开工作实施方案》，明确总体要求、公开内容和工作要求。</w:t>
      </w:r>
      <w:r>
        <w:rPr>
          <w:rFonts w:hint="eastAsia" w:ascii="仿宋_GB2312" w:hAnsi="仿宋_GB2312" w:eastAsia="仿宋_GB2312" w:cs="仿宋_GB2312"/>
          <w:color w:val="auto"/>
          <w:sz w:val="32"/>
          <w:szCs w:val="32"/>
          <w:shd w:val="clear" w:color="auto" w:fill="auto"/>
        </w:rPr>
        <w:t>严格执行内容发布审核制度和“三审三校”机制，坚持分级分类审核，先审后发，确保发布的信息准确权威、语义明确、表述规范，坚决杜绝因信息内容发布不当引发网络安全事件和负面舆情。</w:t>
      </w:r>
    </w:p>
    <w:p>
      <w:pPr>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FF0000"/>
          <w:sz w:val="32"/>
          <w:szCs w:val="32"/>
          <w:shd w:val="clear" w:color="auto" w:fill="auto"/>
          <w:lang w:eastAsia="zh-CN"/>
        </w:rPr>
      </w:pPr>
      <w:r>
        <w:rPr>
          <w:rFonts w:hint="eastAsia" w:ascii="楷体_GB2312" w:hAnsi="楷体_GB2312" w:eastAsia="楷体_GB2312" w:cs="楷体_GB2312"/>
          <w:color w:val="FF0000"/>
          <w:sz w:val="32"/>
          <w:szCs w:val="32"/>
          <w:shd w:val="clear" w:color="auto" w:fill="auto"/>
          <w:lang w:val="en-US" w:eastAsia="zh-CN"/>
        </w:rPr>
        <w:t xml:space="preserve">    </w:t>
      </w:r>
      <w:r>
        <w:rPr>
          <w:rFonts w:hint="eastAsia" w:ascii="楷体_GB2312" w:hAnsi="楷体_GB2312" w:eastAsia="楷体_GB2312" w:cs="楷体_GB2312"/>
          <w:color w:val="auto"/>
          <w:sz w:val="32"/>
          <w:szCs w:val="32"/>
          <w:shd w:val="clear" w:color="auto" w:fill="auto"/>
          <w:lang w:eastAsia="zh-CN"/>
        </w:rPr>
        <w:t>（四）政府信息公开平台建设方面</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市民营经济局按照政府网站、政务新媒体相关要求，多次对局官方网站、“青岛民营经济和中小企业”微信公众号进行自查，针对发现问题及时整改。同时，优化调整网站栏目，专栏化运营微信公众号，</w:t>
      </w:r>
      <w:r>
        <w:rPr>
          <w:rFonts w:hint="eastAsia" w:ascii="仿宋_GB2312" w:hAnsi="仿宋_GB2312" w:eastAsia="仿宋_GB2312" w:cs="仿宋_GB2312"/>
          <w:color w:val="auto"/>
          <w:sz w:val="32"/>
          <w:szCs w:val="32"/>
          <w:shd w:val="clear" w:color="auto" w:fill="auto"/>
        </w:rPr>
        <w:t>持续加大信息公开力度，</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shd w:val="clear" w:color="auto" w:fill="auto"/>
        </w:rPr>
        <w:t>年</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青岛政务网累计发布信息</w:t>
      </w:r>
      <w:r>
        <w:rPr>
          <w:rFonts w:hint="eastAsia" w:ascii="Times New Roman" w:hAnsi="Times New Roman" w:eastAsia="仿宋_GB2312" w:cs="Times New Roman"/>
          <w:b w:val="0"/>
          <w:bCs w:val="0"/>
          <w:color w:val="auto"/>
          <w:kern w:val="44"/>
          <w:sz w:val="32"/>
          <w:szCs w:val="32"/>
          <w:shd w:val="clear" w:color="auto" w:fill="auto"/>
          <w:lang w:val="en-US" w:eastAsia="zh-CN" w:bidi="ar-SA"/>
        </w:rPr>
        <w:t>113</w:t>
      </w:r>
      <w:r>
        <w:rPr>
          <w:rFonts w:hint="eastAsia" w:ascii="仿宋_GB2312" w:hAnsi="仿宋_GB2312" w:eastAsia="仿宋_GB2312" w:cs="仿宋_GB2312"/>
          <w:color w:val="auto"/>
          <w:sz w:val="32"/>
          <w:szCs w:val="32"/>
          <w:shd w:val="clear" w:color="auto" w:fill="auto"/>
          <w:lang w:val="en-US" w:eastAsia="zh-CN"/>
        </w:rPr>
        <w:t>条，</w:t>
      </w:r>
      <w:r>
        <w:rPr>
          <w:rFonts w:hint="eastAsia" w:ascii="仿宋_GB2312" w:hAnsi="仿宋_GB2312" w:eastAsia="仿宋_GB2312" w:cs="仿宋_GB2312"/>
          <w:color w:val="auto"/>
          <w:sz w:val="32"/>
          <w:szCs w:val="32"/>
          <w:shd w:val="clear" w:color="auto" w:fill="auto"/>
        </w:rPr>
        <w:t>网站累计发布信息</w:t>
      </w:r>
      <w:r>
        <w:rPr>
          <w:rFonts w:hint="eastAsia" w:ascii="Times New Roman" w:hAnsi="Times New Roman" w:eastAsia="仿宋_GB2312" w:cs="Times New Roman"/>
          <w:b w:val="0"/>
          <w:bCs w:val="0"/>
          <w:color w:val="auto"/>
          <w:kern w:val="44"/>
          <w:sz w:val="32"/>
          <w:szCs w:val="32"/>
          <w:shd w:val="clear" w:color="auto" w:fill="auto"/>
          <w:lang w:val="en-US" w:eastAsia="zh-CN" w:bidi="ar-SA"/>
        </w:rPr>
        <w:t>392</w:t>
      </w:r>
      <w:r>
        <w:rPr>
          <w:rFonts w:hint="eastAsia" w:ascii="仿宋_GB2312" w:hAnsi="仿宋_GB2312" w:eastAsia="仿宋_GB2312" w:cs="仿宋_GB2312"/>
          <w:color w:val="auto"/>
          <w:sz w:val="32"/>
          <w:szCs w:val="32"/>
          <w:shd w:val="clear" w:color="auto" w:fill="auto"/>
        </w:rPr>
        <w:t>条，</w:t>
      </w:r>
      <w:r>
        <w:rPr>
          <w:rFonts w:hint="eastAsia" w:ascii="仿宋_GB2312" w:hAnsi="仿宋_GB2312" w:eastAsia="仿宋_GB2312" w:cs="仿宋_GB2312"/>
          <w:color w:val="auto"/>
          <w:sz w:val="32"/>
          <w:szCs w:val="32"/>
          <w:shd w:val="clear" w:color="auto" w:fill="auto"/>
          <w:lang w:eastAsia="zh-CN"/>
        </w:rPr>
        <w:t>微信公众号累计发布信息</w:t>
      </w:r>
      <w:r>
        <w:rPr>
          <w:rFonts w:hint="eastAsia" w:ascii="Times New Roman" w:hAnsi="Times New Roman" w:eastAsia="仿宋_GB2312" w:cs="Times New Roman"/>
          <w:b w:val="0"/>
          <w:bCs w:val="0"/>
          <w:color w:val="auto"/>
          <w:kern w:val="44"/>
          <w:sz w:val="32"/>
          <w:szCs w:val="32"/>
          <w:shd w:val="clear" w:color="auto" w:fill="auto"/>
          <w:lang w:val="en-US" w:eastAsia="zh-CN" w:bidi="ar-SA"/>
        </w:rPr>
        <w:t>1024</w:t>
      </w:r>
      <w:r>
        <w:rPr>
          <w:rFonts w:hint="eastAsia" w:ascii="仿宋_GB2312" w:hAnsi="仿宋_GB2312" w:eastAsia="仿宋_GB2312" w:cs="仿宋_GB2312"/>
          <w:color w:val="auto"/>
          <w:sz w:val="32"/>
          <w:szCs w:val="32"/>
          <w:shd w:val="clear" w:color="auto" w:fill="auto"/>
          <w:lang w:val="en-US" w:eastAsia="zh-CN"/>
        </w:rPr>
        <w:t>条，切实促进政务运行和平台建设相互融合、同步推进。</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shd w:val="clear" w:color="auto" w:fill="auto"/>
          <w:lang w:val="en-US" w:eastAsia="zh-CN"/>
        </w:rPr>
      </w:pPr>
      <w:r>
        <w:rPr>
          <w:rFonts w:hint="eastAsia" w:ascii="楷体_GB2312" w:hAnsi="楷体_GB2312" w:eastAsia="楷体_GB2312" w:cs="楷体_GB2312"/>
          <w:color w:val="auto"/>
          <w:sz w:val="32"/>
          <w:szCs w:val="32"/>
          <w:shd w:val="clear" w:color="auto" w:fill="auto"/>
          <w:lang w:val="en-US" w:eastAsia="zh-CN"/>
        </w:rPr>
        <w:t>（五）监督保障</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调整规范主动公开基本信息目录，编制《青岛市民营经济发展局政府信息主动公开基本信息目录》并进行公开。严格落实信息公开保密审查制度，按照“谁提供、谁审核、谁公开”的原则，对公开内容进行严格审查，填写信息公开保密审查表。加强政府门户网站管理队伍的建设，通过多种形式加强对网站管理人员、信息报送员综合能力、专业技能等方面的培训，提高信息发布能力。</w:t>
      </w:r>
    </w:p>
    <w:p>
      <w:pPr>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主动公开政府信息情况</w:t>
      </w:r>
    </w:p>
    <w:tbl>
      <w:tblPr>
        <w:tblStyle w:val="14"/>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3</w:t>
            </w:r>
          </w:p>
        </w:tc>
        <w:tc>
          <w:tcPr>
            <w:tcW w:w="2206" w:type="dxa"/>
            <w:tcBorders>
              <w:top w:val="nil"/>
              <w:left w:val="nil"/>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2</w:t>
            </w:r>
          </w:p>
        </w:tc>
      </w:tr>
      <w:tr>
        <w:tblPrEx>
          <w:tblLayout w:type="fixed"/>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pageBreakBefore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收到和处理政府信息公开申请情况</w:t>
      </w:r>
    </w:p>
    <w:tbl>
      <w:tblPr>
        <w:tblStyle w:val="14"/>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pageBreakBefore w:val="0"/>
              <w:widowControl/>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黑体" w:hAnsi="黑体" w:eastAsia="黑体"/>
                <w:szCs w:val="21"/>
              </w:rPr>
            </w:pP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right="-107" w:rightChars="-51"/>
              <w:jc w:val="center"/>
              <w:textAlignment w:val="auto"/>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63" w:leftChars="-30" w:right="-134" w:rightChars="-64"/>
              <w:jc w:val="center"/>
              <w:textAlignment w:val="auto"/>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一、本年新收政府信息公开申请数量</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textAlignment w:val="auto"/>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4677" w:type="dxa"/>
            <w:gridSpan w:val="2"/>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szCs w:val="21"/>
              </w:rPr>
            </w:pPr>
            <w:r>
              <w:rPr>
                <w:rFonts w:hint="eastAsia" w:ascii="黑体" w:hAnsi="黑体" w:eastAsia="黑体"/>
                <w:kern w:val="0"/>
                <w:szCs w:val="21"/>
              </w:rPr>
              <w:t>（二）部分公开（区分处理的，只计这一情形，不计其他情形）</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8.属于行政查询事项</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665" w:hRule="exact"/>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pageBreakBefore w:val="0"/>
              <w:widowControl/>
              <w:kinsoku/>
              <w:wordWrap/>
              <w:overflowPunct/>
              <w:topLinePunct w:val="0"/>
              <w:autoSpaceDE/>
              <w:autoSpaceDN/>
              <w:bidi w:val="0"/>
              <w:adjustRightInd/>
              <w:snapToGrid/>
              <w:spacing w:line="560" w:lineRule="exact"/>
              <w:ind w:firstLine="21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restart"/>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1701" w:type="dxa"/>
            <w:vMerge w:val="continue"/>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p>
        </w:tc>
        <w:tc>
          <w:tcPr>
            <w:tcW w:w="2976"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Cs w:val="21"/>
              </w:rPr>
            </w:pPr>
          </w:p>
        </w:tc>
        <w:tc>
          <w:tcPr>
            <w:tcW w:w="4677" w:type="dxa"/>
            <w:gridSpan w:val="2"/>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textAlignment w:val="auto"/>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pageBreakBefore w:val="0"/>
        <w:numPr>
          <w:ilvl w:val="0"/>
          <w:numId w:val="1"/>
        </w:numPr>
        <w:kinsoku/>
        <w:wordWrap/>
        <w:overflowPunct/>
        <w:topLinePunct w:val="0"/>
        <w:autoSpaceDE/>
        <w:autoSpaceDN/>
        <w:bidi w:val="0"/>
        <w:adjustRightInd/>
        <w:snapToGrid/>
        <w:spacing w:line="560" w:lineRule="exact"/>
        <w:ind w:left="0" w:leftChars="0" w:firstLine="64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因政府信息公开工作被申请行政复议、提起行政诉讼情况</w:t>
      </w:r>
    </w:p>
    <w:tbl>
      <w:tblPr>
        <w:tblStyle w:val="1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ascii="黑体" w:hAnsi="黑体" w:eastAsia="黑体"/>
                <w:kern w:val="0"/>
                <w:sz w:val="20"/>
                <w:szCs w:val="20"/>
              </w:rPr>
            </w:pPr>
            <w:r>
              <w:rPr>
                <w:rFonts w:ascii="黑体" w:hAnsi="黑体" w:eastAsia="黑体"/>
                <w:kern w:val="0"/>
                <w:sz w:val="20"/>
                <w:szCs w:val="20"/>
              </w:rPr>
              <w:t>结果</w:t>
            </w:r>
          </w:p>
          <w:p>
            <w:pPr>
              <w:pageBreakBefore w:val="0"/>
              <w:widowControl/>
              <w:kinsoku/>
              <w:wordWrap/>
              <w:overflowPunct/>
              <w:topLinePunct w:val="0"/>
              <w:autoSpaceDE/>
              <w:autoSpaceDN/>
              <w:bidi w:val="0"/>
              <w:adjustRightInd/>
              <w:snapToGrid/>
              <w:spacing w:line="560" w:lineRule="exact"/>
              <w:ind w:left="-149" w:leftChars="-71" w:right="-170"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43" w:leftChars="-21" w:right="-132"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82" w:leftChars="-39" w:right="-97"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ascii="黑体" w:hAnsi="黑体" w:eastAsia="黑体"/>
                <w:kern w:val="0"/>
                <w:sz w:val="20"/>
                <w:szCs w:val="20"/>
              </w:rPr>
            </w:pPr>
            <w:r>
              <w:rPr>
                <w:rFonts w:ascii="黑体" w:hAnsi="黑体" w:eastAsia="黑体"/>
                <w:kern w:val="0"/>
                <w:sz w:val="20"/>
                <w:szCs w:val="20"/>
              </w:rPr>
              <w:t>尚未</w:t>
            </w:r>
          </w:p>
          <w:p>
            <w:pPr>
              <w:pageBreakBefore w:val="0"/>
              <w:widowControl/>
              <w:kinsoku/>
              <w:wordWrap/>
              <w:overflowPunct/>
              <w:topLinePunct w:val="0"/>
              <w:autoSpaceDE/>
              <w:autoSpaceDN/>
              <w:bidi w:val="0"/>
              <w:adjustRightInd/>
              <w:snapToGrid/>
              <w:spacing w:line="560" w:lineRule="exact"/>
              <w:ind w:left="-118" w:leftChars="-56" w:right="-118"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kern w:val="0"/>
                <w:sz w:val="20"/>
                <w:szCs w:val="20"/>
              </w:rPr>
            </w:pPr>
            <w:r>
              <w:rPr>
                <w:rFonts w:ascii="黑体" w:hAnsi="黑体" w:eastAsia="黑体"/>
                <w:kern w:val="0"/>
                <w:sz w:val="20"/>
                <w:szCs w:val="20"/>
              </w:rPr>
              <w:t>总</w:t>
            </w:r>
          </w:p>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kinsoku/>
              <w:wordWrap/>
              <w:overflowPunct/>
              <w:topLinePunct w:val="0"/>
              <w:autoSpaceDE/>
              <w:autoSpaceDN/>
              <w:bidi w:val="0"/>
              <w:adjustRightInd/>
              <w:snapToGrid/>
              <w:spacing w:line="560" w:lineRule="exact"/>
              <w:textAlignment w:val="auto"/>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05" w:leftChars="-50" w:right="-126"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86" w:leftChars="-41" w:right="-88"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ascii="黑体" w:hAnsi="黑体" w:eastAsia="黑体"/>
                <w:kern w:val="0"/>
                <w:sz w:val="20"/>
                <w:szCs w:val="20"/>
              </w:rPr>
            </w:pPr>
            <w:r>
              <w:rPr>
                <w:rFonts w:ascii="黑体" w:hAnsi="黑体" w:eastAsia="黑体"/>
                <w:kern w:val="0"/>
                <w:sz w:val="20"/>
                <w:szCs w:val="20"/>
              </w:rPr>
              <w:t>其他</w:t>
            </w:r>
          </w:p>
          <w:p>
            <w:pPr>
              <w:pageBreakBefore w:val="0"/>
              <w:widowControl/>
              <w:kinsoku/>
              <w:wordWrap/>
              <w:overflowPunct/>
              <w:topLinePunct w:val="0"/>
              <w:autoSpaceDE/>
              <w:autoSpaceDN/>
              <w:bidi w:val="0"/>
              <w:adjustRightInd/>
              <w:snapToGrid/>
              <w:spacing w:line="560" w:lineRule="exact"/>
              <w:ind w:left="-126" w:leftChars="-60" w:right="-136"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ascii="黑体" w:hAnsi="黑体" w:eastAsia="黑体"/>
                <w:kern w:val="0"/>
                <w:sz w:val="20"/>
                <w:szCs w:val="20"/>
              </w:rPr>
            </w:pPr>
            <w:r>
              <w:rPr>
                <w:rFonts w:ascii="黑体" w:hAnsi="黑体" w:eastAsia="黑体"/>
                <w:kern w:val="0"/>
                <w:sz w:val="20"/>
                <w:szCs w:val="20"/>
              </w:rPr>
              <w:t>尚未</w:t>
            </w:r>
          </w:p>
          <w:p>
            <w:pPr>
              <w:pageBreakBefore w:val="0"/>
              <w:widowControl/>
              <w:kinsoku/>
              <w:wordWrap/>
              <w:overflowPunct/>
              <w:topLinePunct w:val="0"/>
              <w:autoSpaceDE/>
              <w:autoSpaceDN/>
              <w:bidi w:val="0"/>
              <w:adjustRightInd/>
              <w:snapToGrid/>
              <w:spacing w:line="560" w:lineRule="exact"/>
              <w:ind w:left="-164" w:leftChars="-78" w:right="-153"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99" w:leftChars="-47" w:right="-78"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ascii="黑体" w:hAnsi="黑体" w:eastAsia="黑体"/>
                <w:kern w:val="0"/>
                <w:sz w:val="20"/>
                <w:szCs w:val="20"/>
              </w:rPr>
            </w:pPr>
            <w:r>
              <w:rPr>
                <w:rFonts w:ascii="黑体" w:hAnsi="黑体" w:eastAsia="黑体"/>
                <w:kern w:val="0"/>
                <w:sz w:val="20"/>
                <w:szCs w:val="20"/>
              </w:rPr>
              <w:t>结果</w:t>
            </w:r>
          </w:p>
          <w:p>
            <w:pPr>
              <w:pageBreakBefore w:val="0"/>
              <w:widowControl/>
              <w:kinsoku/>
              <w:wordWrap/>
              <w:overflowPunct/>
              <w:topLinePunct w:val="0"/>
              <w:autoSpaceDE/>
              <w:autoSpaceDN/>
              <w:bidi w:val="0"/>
              <w:adjustRightInd/>
              <w:snapToGrid/>
              <w:spacing w:line="560" w:lineRule="exact"/>
              <w:ind w:left="-136" w:leftChars="-65" w:right="-124"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pPr>
              <w:pageBreakBefore w:val="0"/>
              <w:widowControl/>
              <w:kinsoku/>
              <w:wordWrap/>
              <w:overflowPunct/>
              <w:topLinePunct w:val="0"/>
              <w:autoSpaceDE/>
              <w:autoSpaceDN/>
              <w:bidi w:val="0"/>
              <w:adjustRightInd/>
              <w:snapToGrid/>
              <w:spacing w:line="560" w:lineRule="exact"/>
              <w:ind w:left="-173" w:leftChars="-83" w:right="-134"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ind w:left="-67" w:leftChars="-33" w:right="-105"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line="560" w:lineRule="exact"/>
              <w:jc w:val="center"/>
              <w:textAlignment w:val="auto"/>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pageBreakBefore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黑体" w:hAnsi="黑体" w:eastAsia="黑体" w:cs="黑体"/>
          <w:sz w:val="32"/>
          <w:szCs w:val="32"/>
          <w:lang w:val="en-US" w:eastAsia="zh-CN"/>
        </w:rPr>
      </w:pP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五、政府信息公开工作存在的主要问题及改进情况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FF0000"/>
          <w:sz w:val="32"/>
          <w:szCs w:val="32"/>
          <w:lang w:val="en-US" w:eastAsia="zh-CN"/>
        </w:rPr>
      </w:pPr>
      <w:r>
        <w:rPr>
          <w:rFonts w:hint="eastAsia" w:ascii="楷体_GB2312" w:hAnsi="楷体_GB2312" w:eastAsia="楷体_GB2312" w:cs="楷体_GB2312"/>
          <w:color w:val="auto"/>
          <w:sz w:val="32"/>
          <w:szCs w:val="32"/>
          <w:lang w:val="en-US" w:eastAsia="zh-CN"/>
        </w:rPr>
        <w:t>（一）主要问题</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一是政务公开的系统培训、学习交流较少，政府信息公开主动意识仍需提高，目前存在公开不及时等问题。二是政策解读缺少图片图表、</w:t>
      </w:r>
      <w:r>
        <w:rPr>
          <w:rFonts w:hint="eastAsia" w:ascii="Times New Roman" w:hAnsi="Times New Roman" w:eastAsia="仿宋_GB2312" w:cs="Times New Roman"/>
          <w:b w:val="0"/>
          <w:bCs w:val="0"/>
          <w:color w:val="auto"/>
          <w:kern w:val="44"/>
          <w:sz w:val="32"/>
          <w:szCs w:val="32"/>
          <w:shd w:val="clear" w:color="auto" w:fill="auto"/>
          <w:lang w:val="en-US" w:eastAsia="zh-CN" w:bidi="ar-SA"/>
        </w:rPr>
        <w:t>H5</w:t>
      </w:r>
      <w:r>
        <w:rPr>
          <w:rFonts w:hint="eastAsia" w:ascii="仿宋_GB2312" w:hAnsi="仿宋_GB2312" w:eastAsia="仿宋_GB2312" w:cs="仿宋_GB2312"/>
          <w:color w:val="auto"/>
          <w:sz w:val="32"/>
          <w:szCs w:val="32"/>
          <w:lang w:val="en-US" w:eastAsia="zh-CN"/>
        </w:rPr>
        <w:t>动画、专家解读、媒体解读等形式，政策解读形式还有待进一步丰富。</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（二）改进措施</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一是加大政务工作和培训力度，不断提高工作人员对政务公开重要性的认识水平和工作能力。二是丰富政策解读形式，根据政策文件的重要程度、影响范围和受众特点，做好多形式解读、多角度解读。</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六、其他需要报告的事项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（一）收取信息处理费的情况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auto"/>
          <w:sz w:val="32"/>
          <w:szCs w:val="32"/>
          <w:lang w:val="en-US" w:eastAsia="zh-CN"/>
        </w:rPr>
        <w:t>本年度未收取信息处理费。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（二）落实上级年度政务公开工作要点情况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auto"/>
          <w:sz w:val="32"/>
          <w:szCs w:val="32"/>
          <w:lang w:val="en-US" w:eastAsia="zh-CN"/>
        </w:rPr>
        <w:t>按照《</w:t>
      </w:r>
      <w:r>
        <w:rPr>
          <w:rFonts w:hint="default" w:ascii="Times New Roman" w:hAnsi="Times New Roman" w:eastAsia="仿宋_GB2312" w:cs="Times New Roman"/>
          <w:color w:val="auto"/>
          <w:sz w:val="32"/>
          <w:szCs w:val="32"/>
          <w:lang w:val="en-US" w:eastAsia="zh-CN"/>
        </w:rPr>
        <w:t>2023</w:t>
      </w:r>
      <w:r>
        <w:rPr>
          <w:rFonts w:hint="eastAsia" w:ascii="仿宋_GB2312" w:hAnsi="仿宋_GB2312" w:eastAsia="仿宋_GB2312" w:cs="仿宋_GB2312"/>
          <w:color w:val="auto"/>
          <w:sz w:val="32"/>
          <w:szCs w:val="32"/>
          <w:lang w:val="en-US" w:eastAsia="zh-CN"/>
        </w:rPr>
        <w:t>年青岛市政务公开工作要点》相关要求，印发《</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lang w:val="en-US" w:eastAsia="zh-CN"/>
        </w:rPr>
        <w:t>年青岛市民营经济发展局政务公开工作实施方案》，进行市民营经济局政务公开工作量化考评责任分解，部门主要负责同志听取政务公开工作汇报，以公开促落实、促规范、促服务。</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（三）人大代表建议和政协提案办理结果公开情况</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lang w:val="en-US" w:eastAsia="zh-CN"/>
        </w:rPr>
        <w:t>年，青岛市民营经济发展局共办理人大代表建议、政协委员提案</w:t>
      </w:r>
      <w:r>
        <w:rPr>
          <w:rFonts w:hint="eastAsia" w:ascii="Times New Roman" w:hAnsi="Times New Roman" w:eastAsia="仿宋_GB2312" w:cs="Times New Roman"/>
          <w:b w:val="0"/>
          <w:bCs w:val="0"/>
          <w:color w:val="auto"/>
          <w:kern w:val="44"/>
          <w:sz w:val="32"/>
          <w:szCs w:val="32"/>
          <w:shd w:val="clear" w:color="auto" w:fill="auto"/>
          <w:lang w:val="en-US" w:eastAsia="zh-CN" w:bidi="ar-SA"/>
        </w:rPr>
        <w:t>38</w:t>
      </w:r>
      <w:r>
        <w:rPr>
          <w:rFonts w:hint="eastAsia" w:ascii="仿宋_GB2312" w:hAnsi="仿宋_GB2312" w:eastAsia="仿宋_GB2312" w:cs="仿宋_GB2312"/>
          <w:color w:val="auto"/>
          <w:sz w:val="32"/>
          <w:szCs w:val="32"/>
          <w:lang w:val="en-US" w:eastAsia="zh-CN"/>
        </w:rPr>
        <w:t>件，其中牵头主办</w:t>
      </w:r>
      <w:r>
        <w:rPr>
          <w:rFonts w:hint="eastAsia" w:ascii="Times New Roman" w:hAnsi="Times New Roman" w:eastAsia="仿宋_GB2312" w:cs="Times New Roman"/>
          <w:b w:val="0"/>
          <w:bCs w:val="0"/>
          <w:color w:val="auto"/>
          <w:kern w:val="44"/>
          <w:sz w:val="32"/>
          <w:szCs w:val="32"/>
          <w:shd w:val="clear" w:color="auto" w:fill="auto"/>
          <w:lang w:val="en-US" w:eastAsia="zh-CN" w:bidi="ar-SA"/>
        </w:rPr>
        <w:t>16</w:t>
      </w:r>
      <w:r>
        <w:rPr>
          <w:rFonts w:hint="eastAsia" w:ascii="仿宋_GB2312" w:hAnsi="仿宋_GB2312" w:eastAsia="仿宋_GB2312" w:cs="仿宋_GB2312"/>
          <w:color w:val="auto"/>
          <w:sz w:val="32"/>
          <w:szCs w:val="32"/>
          <w:lang w:val="en-US" w:eastAsia="zh-CN"/>
        </w:rPr>
        <w:t>件，全部按期办理完毕。</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（四）年度政务公开工作创新情况</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局党组会议创新设立“民企时间”议题，每次邀请</w:t>
      </w:r>
      <w:r>
        <w:rPr>
          <w:rFonts w:hint="eastAsia" w:ascii="Times New Roman" w:hAnsi="Times New Roman" w:eastAsia="仿宋_GB2312" w:cs="Times New Roman"/>
          <w:b w:val="0"/>
          <w:bCs w:val="0"/>
          <w:color w:val="auto"/>
          <w:kern w:val="44"/>
          <w:sz w:val="32"/>
          <w:szCs w:val="32"/>
          <w:shd w:val="clear" w:color="auto" w:fill="auto"/>
          <w:lang w:val="en-US" w:eastAsia="zh-CN" w:bidi="ar-SA"/>
        </w:rPr>
        <w:t>1</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Times New Roman"/>
          <w:b w:val="0"/>
          <w:bCs w:val="0"/>
          <w:color w:val="auto"/>
          <w:kern w:val="44"/>
          <w:sz w:val="32"/>
          <w:szCs w:val="32"/>
          <w:shd w:val="clear" w:color="auto" w:fill="auto"/>
          <w:lang w:val="en-US" w:eastAsia="zh-CN" w:bidi="ar-SA"/>
        </w:rPr>
        <w:t>2</w:t>
      </w:r>
      <w:r>
        <w:rPr>
          <w:rFonts w:hint="eastAsia" w:ascii="仿宋_GB2312" w:hAnsi="仿宋_GB2312" w:eastAsia="仿宋_GB2312" w:cs="仿宋_GB2312"/>
          <w:color w:val="auto"/>
          <w:sz w:val="32"/>
          <w:szCs w:val="32"/>
          <w:lang w:val="en-US" w:eastAsia="zh-CN"/>
        </w:rPr>
        <w:t>名民营企业代表参会，让企业家在事关工作决策的会议上谈企业发展历程、谈行业发展态势、谈工作意见建议，以政企面对面新颖形式向民营企业代表解读政策，实现惠企政策直达精准推送。同时，借助市级主流媒体宣传优势，会同市广播电视台开启“民企时间”视频号宣传专项，常态化做好会议公开工作，借助新媒体账号打造了解民企的窗口、联系民企的桥梁、服务民企的平台。</w:t>
      </w:r>
      <w:r>
        <w:rPr>
          <w:rFonts w:hint="default" w:ascii="Times New Roman" w:hAnsi="Times New Roman" w:eastAsia="仿宋_GB2312" w:cs="Times New Roman"/>
          <w:color w:val="auto"/>
          <w:sz w:val="32"/>
          <w:szCs w:val="32"/>
          <w:lang w:val="en-US" w:eastAsia="zh-CN"/>
        </w:rPr>
        <w:t>2023</w:t>
      </w:r>
      <w:r>
        <w:rPr>
          <w:rFonts w:hint="eastAsia" w:ascii="仿宋_GB2312" w:hAnsi="仿宋_GB2312" w:eastAsia="仿宋_GB2312" w:cs="仿宋_GB2312"/>
          <w:color w:val="auto"/>
          <w:sz w:val="32"/>
          <w:szCs w:val="32"/>
          <w:lang w:val="en-US" w:eastAsia="zh-CN"/>
        </w:rPr>
        <w:t>年，共举办</w:t>
      </w:r>
      <w:r>
        <w:rPr>
          <w:rFonts w:hint="eastAsia" w:ascii="Times New Roman" w:hAnsi="Times New Roman" w:eastAsia="仿宋_GB2312" w:cs="Times New Roman"/>
          <w:b w:val="0"/>
          <w:bCs w:val="0"/>
          <w:color w:val="auto"/>
          <w:kern w:val="44"/>
          <w:sz w:val="32"/>
          <w:szCs w:val="32"/>
          <w:shd w:val="clear" w:color="auto" w:fill="auto"/>
          <w:lang w:val="en-US" w:eastAsia="zh-CN" w:bidi="ar-SA"/>
        </w:rPr>
        <w:t>26</w:t>
      </w:r>
      <w:r>
        <w:rPr>
          <w:rFonts w:hint="eastAsia" w:ascii="仿宋_GB2312" w:hAnsi="仿宋_GB2312" w:eastAsia="仿宋_GB2312" w:cs="仿宋_GB2312"/>
          <w:color w:val="auto"/>
          <w:sz w:val="32"/>
          <w:szCs w:val="32"/>
          <w:lang w:val="en-US" w:eastAsia="zh-CN"/>
        </w:rPr>
        <w:t>期活动，</w:t>
      </w:r>
      <w:r>
        <w:rPr>
          <w:rFonts w:hint="eastAsia" w:ascii="Times New Roman" w:hAnsi="Times New Roman" w:eastAsia="仿宋_GB2312" w:cs="Times New Roman"/>
          <w:b w:val="0"/>
          <w:bCs w:val="0"/>
          <w:color w:val="auto"/>
          <w:kern w:val="44"/>
          <w:sz w:val="32"/>
          <w:szCs w:val="32"/>
          <w:shd w:val="clear" w:color="auto" w:fill="auto"/>
          <w:lang w:val="en-US" w:eastAsia="zh-CN" w:bidi="ar-SA"/>
        </w:rPr>
        <w:t>58</w:t>
      </w:r>
      <w:r>
        <w:rPr>
          <w:rFonts w:hint="eastAsia" w:ascii="仿宋_GB2312" w:hAnsi="仿宋_GB2312" w:eastAsia="仿宋_GB2312" w:cs="仿宋_GB2312"/>
          <w:color w:val="auto"/>
          <w:sz w:val="32"/>
          <w:szCs w:val="32"/>
          <w:lang w:val="en-US" w:eastAsia="zh-CN"/>
        </w:rPr>
        <w:t>名民营企业家参加，发布</w:t>
      </w:r>
      <w:r>
        <w:rPr>
          <w:rFonts w:hint="eastAsia" w:ascii="Times New Roman" w:hAnsi="Times New Roman" w:eastAsia="仿宋_GB2312" w:cs="Times New Roman"/>
          <w:b w:val="0"/>
          <w:bCs w:val="0"/>
          <w:color w:val="auto"/>
          <w:kern w:val="44"/>
          <w:sz w:val="32"/>
          <w:szCs w:val="32"/>
          <w:shd w:val="clear" w:color="auto" w:fill="auto"/>
          <w:lang w:val="en-US" w:eastAsia="zh-CN" w:bidi="ar-SA"/>
        </w:rPr>
        <w:t>17</w:t>
      </w:r>
      <w:r>
        <w:rPr>
          <w:rFonts w:hint="eastAsia" w:ascii="仿宋_GB2312" w:hAnsi="仿宋_GB2312" w:eastAsia="仿宋_GB2312" w:cs="仿宋_GB2312"/>
          <w:color w:val="auto"/>
          <w:sz w:val="32"/>
          <w:szCs w:val="32"/>
          <w:lang w:val="en-US" w:eastAsia="zh-CN"/>
        </w:rPr>
        <w:t>期短视频。国家发改委《促进民营经济发展壮大动态》刊发我局“民企时间”做法。</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（五）政府信息公开工作年度报告数据统计需要说明的事项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auto"/>
          <w:sz w:val="32"/>
          <w:szCs w:val="32"/>
          <w:lang w:val="en-US" w:eastAsia="zh-CN"/>
        </w:rPr>
        <w:t>本年度报告中所列数据的统计期限自</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lang w:val="en-US" w:eastAsia="zh-CN"/>
        </w:rPr>
        <w:t>年</w:t>
      </w:r>
      <w:r>
        <w:rPr>
          <w:rFonts w:hint="eastAsia" w:ascii="Times New Roman" w:hAnsi="Times New Roman" w:eastAsia="仿宋_GB2312" w:cs="Times New Roman"/>
          <w:b w:val="0"/>
          <w:bCs w:val="0"/>
          <w:color w:val="auto"/>
          <w:kern w:val="44"/>
          <w:sz w:val="32"/>
          <w:szCs w:val="32"/>
          <w:shd w:val="clear" w:color="auto" w:fill="auto"/>
          <w:lang w:val="en-US" w:eastAsia="zh-CN" w:bidi="ar-SA"/>
        </w:rPr>
        <w:t>1</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Times New Roman"/>
          <w:b w:val="0"/>
          <w:bCs w:val="0"/>
          <w:color w:val="auto"/>
          <w:kern w:val="44"/>
          <w:sz w:val="32"/>
          <w:szCs w:val="32"/>
          <w:shd w:val="clear" w:color="auto" w:fill="auto"/>
          <w:lang w:val="en-US" w:eastAsia="zh-CN" w:bidi="ar-SA"/>
        </w:rPr>
        <w:t>1</w:t>
      </w:r>
      <w:r>
        <w:rPr>
          <w:rFonts w:hint="eastAsia" w:ascii="仿宋_GB2312" w:hAnsi="仿宋_GB2312" w:eastAsia="仿宋_GB2312" w:cs="仿宋_GB2312"/>
          <w:color w:val="auto"/>
          <w:sz w:val="32"/>
          <w:szCs w:val="32"/>
          <w:lang w:val="en-US" w:eastAsia="zh-CN"/>
        </w:rPr>
        <w:t>日至</w:t>
      </w:r>
      <w:r>
        <w:rPr>
          <w:rFonts w:hint="eastAsia" w:ascii="Times New Roman" w:hAnsi="Times New Roman" w:eastAsia="仿宋_GB2312" w:cs="Times New Roman"/>
          <w:b w:val="0"/>
          <w:bCs w:val="0"/>
          <w:color w:val="auto"/>
          <w:kern w:val="44"/>
          <w:sz w:val="32"/>
          <w:szCs w:val="32"/>
          <w:shd w:val="clear" w:color="auto" w:fill="auto"/>
          <w:lang w:val="en-US" w:eastAsia="zh-CN" w:bidi="ar-SA"/>
        </w:rPr>
        <w:t>2023</w:t>
      </w:r>
      <w:r>
        <w:rPr>
          <w:rFonts w:hint="eastAsia" w:ascii="仿宋_GB2312" w:hAnsi="仿宋_GB2312" w:eastAsia="仿宋_GB2312" w:cs="仿宋_GB2312"/>
          <w:color w:val="auto"/>
          <w:sz w:val="32"/>
          <w:szCs w:val="32"/>
          <w:lang w:val="en-US" w:eastAsia="zh-CN"/>
        </w:rPr>
        <w:t>年</w:t>
      </w:r>
      <w:r>
        <w:rPr>
          <w:rFonts w:hint="eastAsia" w:ascii="Times New Roman" w:hAnsi="Times New Roman" w:eastAsia="仿宋_GB2312" w:cs="Times New Roman"/>
          <w:b w:val="0"/>
          <w:bCs w:val="0"/>
          <w:color w:val="auto"/>
          <w:kern w:val="44"/>
          <w:sz w:val="32"/>
          <w:szCs w:val="32"/>
          <w:shd w:val="clear" w:color="auto" w:fill="auto"/>
          <w:lang w:val="en-US" w:eastAsia="zh-CN" w:bidi="ar-SA"/>
        </w:rPr>
        <w:t>12</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Times New Roman"/>
          <w:b w:val="0"/>
          <w:bCs w:val="0"/>
          <w:color w:val="auto"/>
          <w:kern w:val="44"/>
          <w:sz w:val="32"/>
          <w:szCs w:val="32"/>
          <w:shd w:val="clear" w:color="auto" w:fill="auto"/>
          <w:lang w:val="en-US" w:eastAsia="zh-CN" w:bidi="ar-SA"/>
        </w:rPr>
        <w:t>31</w:t>
      </w:r>
      <w:r>
        <w:rPr>
          <w:rFonts w:hint="eastAsia" w:ascii="仿宋_GB2312" w:hAnsi="仿宋_GB2312" w:eastAsia="仿宋_GB2312" w:cs="仿宋_GB2312"/>
          <w:color w:val="auto"/>
          <w:sz w:val="32"/>
          <w:szCs w:val="32"/>
          <w:lang w:val="en-US" w:eastAsia="zh-CN"/>
        </w:rPr>
        <w:t>日。</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（六）本行政机关认为需要报告的其他事项</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pPr>
        <w:pageBreakBefore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（七）其他有关文件专门要求通过政府信息公开工作年度报告予以报告的事项</w:t>
      </w:r>
    </w:p>
    <w:p>
      <w:pPr>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等线">
    <w:altName w:val="仿宋"/>
    <w:panose1 w:val="00000000000000000000"/>
    <w:charset w:val="86"/>
    <w:family w:val="auto"/>
    <w:pitch w:val="default"/>
    <w:sig w:usb0="00000000" w:usb1="00000000" w:usb2="00000016" w:usb3="00000000" w:csb0="0004000F" w:csb1="00000000"/>
  </w:font>
  <w:font w:name="等线 Light">
    <w:altName w:val="仿宋"/>
    <w:panose1 w:val="00000000000000000000"/>
    <w:charset w:val="86"/>
    <w:family w:val="auto"/>
    <w:pitch w:val="default"/>
    <w:sig w:usb0="00000000" w:usb1="00000000" w:usb2="00000016" w:usb3="00000000" w:csb0="0004000F" w:csb1="00000000"/>
  </w:font>
  <w:font w:name="Menlo">
    <w:altName w:val="仿宋"/>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eastAsia="宋体"/>
        <w:sz w:val="28"/>
        <w:szCs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snapToGrid w:val="0"/>
                  <w:rPr>
                    <w:rFonts w:eastAsia="宋体"/>
                    <w:sz w:val="18"/>
                  </w:rPr>
                </w:pPr>
                <w:r>
                  <w:rPr>
                    <w:rFonts w:hint="eastAsia" w:eastAsia="宋体"/>
                    <w:sz w:val="18"/>
                  </w:rPr>
                  <w:fldChar w:fldCharType="begin"/>
                </w:r>
                <w:r>
                  <w:rPr>
                    <w:rFonts w:hint="eastAsia" w:eastAsia="宋体"/>
                    <w:sz w:val="18"/>
                  </w:rPr>
                  <w:instrText xml:space="preserve"> PAGE  \* MERGEFORMAT </w:instrText>
                </w:r>
                <w:r>
                  <w:rPr>
                    <w:rFonts w:hint="eastAsia" w:eastAsia="宋体"/>
                    <w:sz w:val="18"/>
                  </w:rPr>
                  <w:fldChar w:fldCharType="separate"/>
                </w:r>
                <w:r>
                  <w:t>15</w:t>
                </w:r>
                <w:r>
                  <w:rPr>
                    <w:rFonts w:hint="eastAsia" w:eastAsia="宋体"/>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DEB21D"/>
    <w:multiLevelType w:val="singleLevel"/>
    <w:tmpl w:val="D9DEB21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A6246"/>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05984"/>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71F274B"/>
    <w:rsid w:val="10AF0478"/>
    <w:rsid w:val="29BBAA1B"/>
    <w:rsid w:val="2DEE5794"/>
    <w:rsid w:val="30B4A50C"/>
    <w:rsid w:val="3767404F"/>
    <w:rsid w:val="3C787E8C"/>
    <w:rsid w:val="3D0D1852"/>
    <w:rsid w:val="3EB5A0E3"/>
    <w:rsid w:val="3EBBC3DC"/>
    <w:rsid w:val="3ECE1617"/>
    <w:rsid w:val="3F35427A"/>
    <w:rsid w:val="3F69AF6D"/>
    <w:rsid w:val="3FB7A7FA"/>
    <w:rsid w:val="3FB96516"/>
    <w:rsid w:val="3FDF5C72"/>
    <w:rsid w:val="3FFCB63D"/>
    <w:rsid w:val="3FFFC0B9"/>
    <w:rsid w:val="47CF9EB4"/>
    <w:rsid w:val="4AF3E027"/>
    <w:rsid w:val="4BFF1CAA"/>
    <w:rsid w:val="4CDE39D7"/>
    <w:rsid w:val="4EFDC62F"/>
    <w:rsid w:val="51DF8434"/>
    <w:rsid w:val="55EB8A88"/>
    <w:rsid w:val="56FD0121"/>
    <w:rsid w:val="56FE9D68"/>
    <w:rsid w:val="5BFC2891"/>
    <w:rsid w:val="5DB76CE3"/>
    <w:rsid w:val="5DFB7AF8"/>
    <w:rsid w:val="601C5E1C"/>
    <w:rsid w:val="6BDF428B"/>
    <w:rsid w:val="6F960DA5"/>
    <w:rsid w:val="737D8F3A"/>
    <w:rsid w:val="73CECAB8"/>
    <w:rsid w:val="73EF249E"/>
    <w:rsid w:val="76E704A4"/>
    <w:rsid w:val="77769D60"/>
    <w:rsid w:val="778FA2EC"/>
    <w:rsid w:val="77FF9A47"/>
    <w:rsid w:val="7D5D744B"/>
    <w:rsid w:val="7EBE83A6"/>
    <w:rsid w:val="7EFF85AD"/>
    <w:rsid w:val="7F17F24B"/>
    <w:rsid w:val="7F3D347D"/>
    <w:rsid w:val="7F7BE04B"/>
    <w:rsid w:val="7FBD6946"/>
    <w:rsid w:val="7FFB49E4"/>
    <w:rsid w:val="7FFDE489"/>
    <w:rsid w:val="7FFF5ED6"/>
    <w:rsid w:val="9DFEE37C"/>
    <w:rsid w:val="9FDEB7E3"/>
    <w:rsid w:val="AD6FC8B2"/>
    <w:rsid w:val="AEDE361F"/>
    <w:rsid w:val="B37917A9"/>
    <w:rsid w:val="B37D2B01"/>
    <w:rsid w:val="B69C6A21"/>
    <w:rsid w:val="BA5E75EC"/>
    <w:rsid w:val="BDFF80E3"/>
    <w:rsid w:val="BEFDF491"/>
    <w:rsid w:val="BF637E71"/>
    <w:rsid w:val="BFEB0950"/>
    <w:rsid w:val="CDAF829A"/>
    <w:rsid w:val="D1FF1393"/>
    <w:rsid w:val="D6E9F848"/>
    <w:rsid w:val="D7FE8E6A"/>
    <w:rsid w:val="D9FD036D"/>
    <w:rsid w:val="DF7EDF9B"/>
    <w:rsid w:val="E2D79A2D"/>
    <w:rsid w:val="E3FD68D8"/>
    <w:rsid w:val="E5FFE985"/>
    <w:rsid w:val="E7F3E80E"/>
    <w:rsid w:val="E9F9D2F0"/>
    <w:rsid w:val="EB738B83"/>
    <w:rsid w:val="EBDF1880"/>
    <w:rsid w:val="EBF5B3BE"/>
    <w:rsid w:val="EF7F4544"/>
    <w:rsid w:val="EF7F4E4A"/>
    <w:rsid w:val="EFFB3895"/>
    <w:rsid w:val="F3D77AA6"/>
    <w:rsid w:val="F59FC374"/>
    <w:rsid w:val="F5EEEA2C"/>
    <w:rsid w:val="F6EF7C24"/>
    <w:rsid w:val="F74BECBF"/>
    <w:rsid w:val="F757149D"/>
    <w:rsid w:val="F7879B06"/>
    <w:rsid w:val="F7D7FDFA"/>
    <w:rsid w:val="F7FB0E91"/>
    <w:rsid w:val="FBEF247A"/>
    <w:rsid w:val="FBFD88B9"/>
    <w:rsid w:val="FC377823"/>
    <w:rsid w:val="FC624794"/>
    <w:rsid w:val="FDF6C527"/>
    <w:rsid w:val="FDFB10F7"/>
    <w:rsid w:val="FE139175"/>
    <w:rsid w:val="FEBCA51A"/>
    <w:rsid w:val="FF6BFD30"/>
    <w:rsid w:val="FF9FD728"/>
    <w:rsid w:val="FFCEEFD9"/>
    <w:rsid w:val="FFFF6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styleId="8">
    <w:name w:val="FollowedHyperlink"/>
    <w:basedOn w:val="6"/>
    <w:unhideWhenUsed/>
    <w:qFormat/>
    <w:uiPriority w:val="99"/>
    <w:rPr>
      <w:color w:val="337AB7"/>
      <w:u w:val="single"/>
    </w:rPr>
  </w:style>
  <w:style w:type="character" w:styleId="9">
    <w:name w:val="HTML Definition"/>
    <w:basedOn w:val="6"/>
    <w:unhideWhenUsed/>
    <w:qFormat/>
    <w:uiPriority w:val="99"/>
    <w:rPr>
      <w:i/>
    </w:rPr>
  </w:style>
  <w:style w:type="character" w:styleId="10">
    <w:name w:val="Hyperlink"/>
    <w:basedOn w:val="6"/>
    <w:unhideWhenUsed/>
    <w:qFormat/>
    <w:uiPriority w:val="99"/>
    <w:rPr>
      <w:color w:val="337AB7"/>
      <w:u w:val="single"/>
    </w:rPr>
  </w:style>
  <w:style w:type="character" w:styleId="11">
    <w:name w:val="HTML Code"/>
    <w:basedOn w:val="6"/>
    <w:unhideWhenUsed/>
    <w:qFormat/>
    <w:uiPriority w:val="99"/>
    <w:rPr>
      <w:rFonts w:ascii="Menlo" w:hAnsi="Menlo" w:eastAsia="Menlo" w:cs="Menlo"/>
      <w:color w:val="C7254E"/>
      <w:sz w:val="21"/>
      <w:szCs w:val="21"/>
      <w:shd w:val="clear" w:color="auto" w:fill="F9F2F4"/>
    </w:rPr>
  </w:style>
  <w:style w:type="character" w:styleId="12">
    <w:name w:val="HTML Keyboard"/>
    <w:basedOn w:val="6"/>
    <w:unhideWhenUsed/>
    <w:qFormat/>
    <w:uiPriority w:val="99"/>
    <w:rPr>
      <w:rFonts w:hint="default" w:ascii="Menlo" w:hAnsi="Menlo" w:eastAsia="Menlo" w:cs="Menlo"/>
      <w:color w:val="FFFFFF"/>
      <w:sz w:val="21"/>
      <w:szCs w:val="21"/>
      <w:shd w:val="clear" w:color="auto" w:fill="333333"/>
    </w:rPr>
  </w:style>
  <w:style w:type="character" w:styleId="13">
    <w:name w:val="HTML Sample"/>
    <w:basedOn w:val="6"/>
    <w:unhideWhenUsed/>
    <w:qFormat/>
    <w:uiPriority w:val="99"/>
    <w:rPr>
      <w:rFonts w:hint="default" w:ascii="Menlo" w:hAnsi="Menlo" w:eastAsia="Menlo" w:cs="Menlo"/>
      <w:sz w:val="21"/>
      <w:szCs w:val="21"/>
    </w:rPr>
  </w:style>
  <w:style w:type="character" w:customStyle="1" w:styleId="15">
    <w:name w:val="页眉 Char"/>
    <w:basedOn w:val="6"/>
    <w:link w:val="5"/>
    <w:qFormat/>
    <w:uiPriority w:val="99"/>
    <w:rPr>
      <w:sz w:val="18"/>
      <w:szCs w:val="18"/>
    </w:rPr>
  </w:style>
  <w:style w:type="character" w:customStyle="1" w:styleId="16">
    <w:name w:val="页脚 Char"/>
    <w:basedOn w:val="6"/>
    <w:link w:val="4"/>
    <w:qFormat/>
    <w:uiPriority w:val="99"/>
    <w:rPr>
      <w:sz w:val="18"/>
      <w:szCs w:val="18"/>
    </w:rPr>
  </w:style>
  <w:style w:type="character" w:customStyle="1" w:styleId="17">
    <w:name w:val="标题 1 Char"/>
    <w:basedOn w:val="6"/>
    <w:link w:val="2"/>
    <w:qFormat/>
    <w:uiPriority w:val="9"/>
    <w:rPr>
      <w:b/>
      <w:bCs/>
      <w:kern w:val="44"/>
      <w:sz w:val="44"/>
      <w:szCs w:val="44"/>
    </w:rPr>
  </w:style>
  <w:style w:type="character" w:customStyle="1" w:styleId="18">
    <w:name w:val="标题 2 Char"/>
    <w:basedOn w:val="6"/>
    <w:link w:val="3"/>
    <w:qFormat/>
    <w:uiPriority w:val="9"/>
    <w:rPr>
      <w:rFonts w:asciiTheme="majorHAnsi" w:hAnsiTheme="majorHAnsi" w:eastAsiaTheme="majorEastAsia" w:cstheme="majorBidi"/>
      <w:b/>
      <w:bCs/>
      <w:sz w:val="32"/>
      <w:szCs w:val="32"/>
    </w:rPr>
  </w:style>
  <w:style w:type="paragraph" w:customStyle="1" w:styleId="19">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1414</Words>
  <Characters>8062</Characters>
  <Lines>67</Lines>
  <Paragraphs>18</Paragraphs>
  <TotalTime>80</TotalTime>
  <ScaleCrop>false</ScaleCrop>
  <LinksUpToDate>false</LinksUpToDate>
  <CharactersWithSpaces>9458</CharactersWithSpaces>
  <Application>WPS Office_10.8.0.7178_F1E327BC-269C-435d-A152-05C5408002CA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2022-01-10T00:57:00Z</dcterms:created>
  <dc:creator>qiyuanhua0168@163.com</dc:creator>
  <cp:lastModifiedBy>user</cp:lastModifiedBy>
  <cp:lastPrinted>2021-12-10T17:42:00Z</cp:lastPrinted>
  <dcterms:modified xsi:type="dcterms:W3CDTF">2024-01-15T15:25:30Z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