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44"/>
          <w:szCs w:val="44"/>
        </w:rPr>
      </w:pPr>
      <w:r>
        <w:rPr>
          <w:rFonts w:hint="eastAsia" w:asciiTheme="majorEastAsia" w:hAnsiTheme="majorEastAsia" w:eastAsiaTheme="majorEastAsia"/>
          <w:sz w:val="44"/>
          <w:szCs w:val="44"/>
        </w:rPr>
        <w:t>青岛市公安局</w:t>
      </w:r>
    </w:p>
    <w:p>
      <w:pPr>
        <w:jc w:val="center"/>
        <w:rPr>
          <w:rFonts w:asciiTheme="majorEastAsia" w:hAnsiTheme="majorEastAsia" w:eastAsiaTheme="majorEastAsia"/>
          <w:sz w:val="44"/>
          <w:szCs w:val="44"/>
        </w:rPr>
      </w:pPr>
      <w:r>
        <w:rPr>
          <w:rFonts w:hint="eastAsia" w:asciiTheme="majorEastAsia" w:hAnsiTheme="majorEastAsia" w:eastAsiaTheme="majorEastAsia"/>
          <w:sz w:val="44"/>
          <w:szCs w:val="44"/>
        </w:rPr>
        <w:t>2</w:t>
      </w:r>
      <w:r>
        <w:rPr>
          <w:rFonts w:asciiTheme="majorEastAsia" w:hAnsiTheme="majorEastAsia" w:eastAsiaTheme="majorEastAsia"/>
          <w:sz w:val="44"/>
          <w:szCs w:val="44"/>
        </w:rPr>
        <w:t>02</w:t>
      </w:r>
      <w:r>
        <w:rPr>
          <w:rFonts w:hint="eastAsia" w:asciiTheme="majorEastAsia" w:hAnsiTheme="majorEastAsia" w:eastAsiaTheme="majorEastAsia"/>
          <w:sz w:val="44"/>
          <w:szCs w:val="44"/>
        </w:rPr>
        <w:t>3年政府信息公开工作年度报告</w:t>
      </w:r>
    </w:p>
    <w:p>
      <w:pPr>
        <w:jc w:val="left"/>
        <w:rPr>
          <w:rFonts w:ascii="仿宋_GB2312" w:eastAsia="仿宋_GB2312" w:hAnsiTheme="majorEastAsia"/>
          <w:sz w:val="32"/>
          <w:szCs w:val="32"/>
        </w:rPr>
      </w:pPr>
    </w:p>
    <w:p>
      <w:pPr>
        <w:spacing w:line="560" w:lineRule="exact"/>
        <w:ind w:firstLine="640" w:firstLineChars="200"/>
        <w:rPr>
          <w:rStyle w:val="9"/>
          <w:rFonts w:ascii="仿宋_GB2312" w:hAnsi="Calibri" w:eastAsia="仿宋_GB2312"/>
          <w:sz w:val="32"/>
          <w:szCs w:val="32"/>
        </w:rPr>
      </w:pPr>
      <w:r>
        <w:rPr>
          <w:rFonts w:hint="eastAsia" w:ascii="仿宋_GB2312" w:hAnsi="仿宋" w:eastAsia="仿宋_GB2312" w:cs="宋体"/>
          <w:kern w:val="0"/>
          <w:sz w:val="32"/>
          <w:szCs w:val="32"/>
        </w:rPr>
        <w:t>根据《中华人民共和国政府信息公开条例》（以下简称《条例》），青岛市公安局编制了2023年政府信息公开工作年度报告，全文包括总体情况、主动公开政府信息情况、政府信息依申请公开办理情况、因政府信息公开申请行政复议和提起行政诉讼情况、</w:t>
      </w:r>
      <w:r>
        <w:rPr>
          <w:rFonts w:hint="eastAsia" w:ascii="仿宋_GB2312" w:hAnsi="仿宋" w:eastAsia="仿宋_GB2312"/>
          <w:sz w:val="32"/>
          <w:szCs w:val="32"/>
        </w:rPr>
        <w:t>政府信息公开工作存在的主要问题及改进情况</w:t>
      </w:r>
      <w:r>
        <w:rPr>
          <w:rFonts w:hint="eastAsia" w:ascii="仿宋_GB2312" w:hAnsi="仿宋" w:eastAsia="仿宋_GB2312" w:cs="宋体"/>
          <w:kern w:val="0"/>
          <w:sz w:val="32"/>
          <w:szCs w:val="32"/>
        </w:rPr>
        <w:t>等。本报告的电子版可以在青岛市政务网（网址：</w:t>
      </w:r>
      <w:r>
        <w:fldChar w:fldCharType="begin"/>
      </w:r>
      <w:r>
        <w:instrText xml:space="preserve"> HYPERLINK "http://www.qingdao.gov.cn/zwgk/xxgk/" </w:instrText>
      </w:r>
      <w:r>
        <w:fldChar w:fldCharType="separate"/>
      </w:r>
      <w:r>
        <w:rPr>
          <w:rStyle w:val="9"/>
          <w:rFonts w:hint="eastAsia" w:ascii="仿宋_GB2312" w:hAnsi="Calibri" w:eastAsia="仿宋_GB2312"/>
          <w:sz w:val="32"/>
          <w:szCs w:val="32"/>
        </w:rPr>
        <w:t>http://www.qingdao.gov.cn/zwgk/xxgk/</w:t>
      </w:r>
      <w:r>
        <w:rPr>
          <w:rStyle w:val="9"/>
          <w:rFonts w:hint="eastAsia" w:ascii="仿宋_GB2312" w:hAnsi="Calibri" w:eastAsia="仿宋_GB2312"/>
          <w:sz w:val="32"/>
          <w:szCs w:val="32"/>
        </w:rPr>
        <w:fldChar w:fldCharType="end"/>
      </w:r>
    </w:p>
    <w:p>
      <w:pPr>
        <w:spacing w:line="560" w:lineRule="exact"/>
        <w:rPr>
          <w:rFonts w:ascii="仿宋" w:hAnsi="仿宋" w:eastAsia="仿宋" w:cs="Helvetica"/>
          <w:sz w:val="32"/>
          <w:szCs w:val="32"/>
        </w:rPr>
      </w:pPr>
      <w:r>
        <w:rPr>
          <w:rFonts w:hint="eastAsia" w:ascii="仿宋_GB2312" w:hAnsi="Calibri" w:eastAsia="仿宋_GB2312"/>
          <w:sz w:val="32"/>
          <w:szCs w:val="32"/>
        </w:rPr>
        <w:t>gaj/gkzn/</w:t>
      </w:r>
      <w:r>
        <w:rPr>
          <w:rFonts w:hint="eastAsia" w:ascii="仿宋_GB2312" w:hAnsi="仿宋" w:eastAsia="仿宋_GB2312" w:cs="宋体"/>
          <w:kern w:val="0"/>
          <w:sz w:val="32"/>
          <w:szCs w:val="32"/>
        </w:rPr>
        <w:t>）、青岛市公安局互联网门户网站（网址：</w:t>
      </w:r>
      <w:r>
        <w:fldChar w:fldCharType="begin"/>
      </w:r>
      <w:r>
        <w:instrText xml:space="preserve"> HYPERLINK "http://police.qingdao.gov.cn/" </w:instrText>
      </w:r>
      <w:r>
        <w:fldChar w:fldCharType="separate"/>
      </w:r>
      <w:r>
        <w:rPr>
          <w:rStyle w:val="9"/>
          <w:rFonts w:ascii="仿宋" w:hAnsi="仿宋" w:eastAsia="仿宋"/>
          <w:sz w:val="32"/>
          <w:szCs w:val="32"/>
        </w:rPr>
        <w:t>http://police.qingdao.gov.cn/</w:t>
      </w:r>
      <w:r>
        <w:rPr>
          <w:rStyle w:val="9"/>
          <w:rFonts w:ascii="仿宋" w:hAnsi="仿宋" w:eastAsia="仿宋"/>
          <w:sz w:val="32"/>
          <w:szCs w:val="32"/>
        </w:rPr>
        <w:fldChar w:fldCharType="end"/>
      </w:r>
      <w:r>
        <w:rPr>
          <w:rFonts w:hint="eastAsia" w:ascii="仿宋_GB2312" w:hAnsi="仿宋" w:eastAsia="仿宋_GB2312" w:cs="宋体"/>
          <w:kern w:val="0"/>
          <w:sz w:val="32"/>
          <w:szCs w:val="32"/>
        </w:rPr>
        <w:t>）下载。如对本报告存在任何疑问，请联系青岛市公安局政务公开工作办公室，联系电话：0532-66570072，电子邮件：</w:t>
      </w:r>
      <w:r>
        <w:rPr>
          <w:rFonts w:ascii="仿宋" w:hAnsi="仿宋" w:eastAsia="仿宋" w:cs="Helvetica"/>
          <w:sz w:val="32"/>
          <w:szCs w:val="32"/>
        </w:rPr>
        <w:t xml:space="preserve"> </w:t>
      </w:r>
      <w:r>
        <w:fldChar w:fldCharType="begin"/>
      </w:r>
      <w:r>
        <w:instrText xml:space="preserve"> HYPERLINK "mailto:ga.zfxxgk@qd" </w:instrText>
      </w:r>
      <w:r>
        <w:fldChar w:fldCharType="separate"/>
      </w:r>
      <w:r>
        <w:rPr>
          <w:rStyle w:val="9"/>
          <w:rFonts w:ascii="仿宋" w:hAnsi="仿宋" w:eastAsia="仿宋" w:cs="Helvetica"/>
          <w:sz w:val="32"/>
          <w:szCs w:val="32"/>
        </w:rPr>
        <w:t>ga.zfxxgk@qd</w:t>
      </w:r>
      <w:r>
        <w:rPr>
          <w:rStyle w:val="9"/>
          <w:rFonts w:ascii="仿宋" w:hAnsi="仿宋" w:eastAsia="仿宋" w:cs="Helvetica"/>
          <w:sz w:val="32"/>
          <w:szCs w:val="32"/>
        </w:rPr>
        <w:fldChar w:fldCharType="end"/>
      </w:r>
      <w:r>
        <w:rPr>
          <w:rFonts w:hint="eastAsia" w:ascii="仿宋" w:hAnsi="仿宋" w:eastAsia="仿宋" w:cs="Helvetica"/>
          <w:sz w:val="32"/>
          <w:szCs w:val="32"/>
        </w:rPr>
        <w:t>.</w:t>
      </w:r>
    </w:p>
    <w:p>
      <w:pPr>
        <w:spacing w:line="560" w:lineRule="exact"/>
        <w:rPr>
          <w:rFonts w:ascii="仿宋_GB2312" w:hAnsi="仿宋" w:eastAsia="仿宋_GB2312" w:cs="宋体"/>
          <w:kern w:val="0"/>
          <w:sz w:val="32"/>
          <w:szCs w:val="32"/>
        </w:rPr>
      </w:pPr>
      <w:r>
        <w:rPr>
          <w:rFonts w:ascii="仿宋" w:hAnsi="仿宋" w:eastAsia="仿宋" w:cs="Helvetica"/>
          <w:sz w:val="32"/>
          <w:szCs w:val="32"/>
        </w:rPr>
        <w:t>shandong.cn</w:t>
      </w:r>
      <w:r>
        <w:rPr>
          <w:rFonts w:hint="eastAsia" w:ascii="仿宋_GB2312" w:hAnsi="仿宋" w:eastAsia="仿宋_GB2312" w:cs="宋体"/>
          <w:kern w:val="0"/>
          <w:sz w:val="32"/>
          <w:szCs w:val="32"/>
        </w:rPr>
        <w:t>。</w:t>
      </w:r>
    </w:p>
    <w:p>
      <w:pPr>
        <w:pStyle w:val="12"/>
        <w:spacing w:line="560" w:lineRule="exact"/>
        <w:ind w:firstLine="707" w:firstLineChars="221"/>
        <w:jc w:val="left"/>
        <w:rPr>
          <w:rFonts w:ascii="黑体" w:hAnsi="黑体" w:eastAsia="黑体"/>
          <w:sz w:val="32"/>
          <w:szCs w:val="32"/>
        </w:rPr>
      </w:pPr>
      <w:r>
        <w:rPr>
          <w:rFonts w:hint="eastAsia" w:ascii="黑体" w:hAnsi="黑体" w:eastAsia="黑体"/>
          <w:sz w:val="32"/>
          <w:szCs w:val="32"/>
        </w:rPr>
        <w:t>一、总体情况</w:t>
      </w:r>
    </w:p>
    <w:p>
      <w:pPr>
        <w:adjustRightInd w:val="0"/>
        <w:snapToGrid w:val="0"/>
        <w:spacing w:line="560" w:lineRule="exact"/>
        <w:ind w:firstLine="640" w:firstLineChars="200"/>
        <w:jc w:val="left"/>
        <w:rPr>
          <w:rFonts w:ascii="黑体" w:hAnsi="黑体" w:eastAsia="黑体"/>
          <w:sz w:val="32"/>
          <w:szCs w:val="32"/>
        </w:rPr>
      </w:pPr>
      <w:r>
        <w:rPr>
          <w:rFonts w:hint="eastAsia" w:ascii="仿宋_GB2312" w:hAnsi="黑体" w:eastAsia="仿宋_GB2312"/>
          <w:sz w:val="32"/>
          <w:szCs w:val="32"/>
        </w:rPr>
        <w:t>2023年，青岛市公安局坚持以习近平新时代中国特色社会主义思想为指导，根据市委、市政府和上级公安机关政府信息公开工作部署，坚持以人民为中心的发展思想，认真履行《中华人民共和国政府信息公开条例》所赋予的工作职责，</w:t>
      </w:r>
      <w:r>
        <w:rPr>
          <w:rFonts w:hint="eastAsia" w:ascii="仿宋_GB2312" w:hAnsi="微软雅黑" w:eastAsia="仿宋_GB2312"/>
          <w:sz w:val="32"/>
          <w:szCs w:val="32"/>
        </w:rPr>
        <w:t>不断拓宽政府信息公开深度、广度，提升警务透明度，</w:t>
      </w:r>
      <w:r>
        <w:rPr>
          <w:rFonts w:ascii="Times New Roman" w:hAnsi="Times New Roman" w:eastAsia="仿宋_GB2312" w:cs="Times New Roman"/>
          <w:sz w:val="32"/>
          <w:szCs w:val="32"/>
          <w:shd w:val="clear" w:color="auto" w:fill="FFFFFF"/>
        </w:rPr>
        <w:t>公安政府信息公开工作在优化法治营商环境、服务企业群众以及提高公安机关执法服务公信力等方面发挥了重要作用。</w:t>
      </w:r>
    </w:p>
    <w:p>
      <w:pPr>
        <w:pStyle w:val="12"/>
        <w:spacing w:line="560" w:lineRule="exact"/>
        <w:ind w:firstLine="640"/>
        <w:jc w:val="left"/>
        <w:rPr>
          <w:rFonts w:ascii="仿宋_GB2312" w:hAnsi="仿宋" w:eastAsia="仿宋_GB2312" w:cs="宋体"/>
          <w:kern w:val="0"/>
          <w:sz w:val="32"/>
          <w:szCs w:val="32"/>
        </w:rPr>
      </w:pPr>
      <w:r>
        <w:rPr>
          <w:rFonts w:hint="eastAsia" w:ascii="楷体_GB2312" w:hAnsi="仿宋" w:eastAsia="楷体_GB2312"/>
          <w:sz w:val="32"/>
          <w:szCs w:val="32"/>
        </w:rPr>
        <w:t>（一）主动公开。</w:t>
      </w:r>
      <w:r>
        <w:rPr>
          <w:rFonts w:hint="eastAsia" w:ascii="仿宋_GB2312" w:hAnsi="仿宋" w:eastAsia="仿宋_GB2312"/>
          <w:sz w:val="32"/>
          <w:szCs w:val="32"/>
        </w:rPr>
        <w:t>一是继续扩大公安政府信息供给量，除依法及时公开法定主动公开政府信息外，还进一步加大各类公安政务服务类信息的发布，年内发布各类政务信息4037条，政务信息发布数量列市直部门第一名。二</w:t>
      </w:r>
      <w:r>
        <w:rPr>
          <w:rFonts w:hint="eastAsia" w:ascii="仿宋_GB2312" w:hAnsi="仿宋" w:eastAsia="仿宋_GB2312"/>
          <w:sz w:val="32"/>
          <w:szCs w:val="32"/>
          <w:shd w:val="clear" w:color="auto" w:fill="FFFFFF"/>
        </w:rPr>
        <w:t>是按照社会经济运行和群众生产生活实际需求在政府信息公开平台设置信息发布模块，提高政府信息供给的准确性、时效性。三是继续拓宽政府信息公开渠道，除青岛政务网和市公安局门户网站外，</w:t>
      </w:r>
      <w:r>
        <w:rPr>
          <w:rFonts w:ascii="Times New Roman" w:hAnsi="Times New Roman" w:eastAsia="仿宋_GB2312" w:cs="Times New Roman"/>
          <w:sz w:val="32"/>
          <w:szCs w:val="32"/>
          <w:shd w:val="clear" w:color="auto" w:fill="FFFFFF"/>
        </w:rPr>
        <w:t>通过人大政协建议提案办理、在线访谈、政府信箱、政务热线等形式</w:t>
      </w:r>
      <w:r>
        <w:rPr>
          <w:rFonts w:hint="eastAsia" w:ascii="仿宋_GB2312" w:hAnsi="Times New Roman" w:eastAsia="仿宋_GB2312" w:cs="Times New Roman"/>
          <w:sz w:val="32"/>
          <w:szCs w:val="32"/>
        </w:rPr>
        <w:t>推进政民互动</w:t>
      </w:r>
      <w:r>
        <w:rPr>
          <w:rFonts w:ascii="Times New Roman" w:hAnsi="Times New Roman" w:eastAsia="仿宋_GB2312" w:cs="Times New Roman"/>
          <w:sz w:val="32"/>
          <w:szCs w:val="32"/>
          <w:shd w:val="clear" w:color="auto" w:fill="FFFFFF"/>
        </w:rPr>
        <w:t>，与群众、企事业单位互动交流2万余人次，网络播放量2300万人次。组织警营开放</w:t>
      </w:r>
      <w:r>
        <w:rPr>
          <w:rFonts w:ascii="Times New Roman" w:hAnsi="Times New Roman" w:eastAsia="仿宋_GB2312" w:cs="Times New Roman"/>
          <w:sz w:val="32"/>
          <w:szCs w:val="32"/>
        </w:rPr>
        <w:t>活动23场次，3.5万人次通过“云开放”参与“警营开放”活动。</w:t>
      </w:r>
      <w:r>
        <w:rPr>
          <w:rFonts w:hint="eastAsia" w:ascii="仿宋_GB2312" w:hAnsi="仿宋" w:eastAsia="仿宋_GB2312"/>
          <w:sz w:val="32"/>
          <w:szCs w:val="32"/>
          <w:shd w:val="clear" w:color="auto" w:fill="FFFFFF"/>
        </w:rPr>
        <w:t>四是继续扩大公众参与，公安</w:t>
      </w:r>
      <w:r>
        <w:rPr>
          <w:rFonts w:ascii="Times New Roman" w:hAnsi="Times New Roman" w:eastAsia="仿宋_GB2312" w:cs="Times New Roman"/>
          <w:sz w:val="32"/>
          <w:szCs w:val="32"/>
        </w:rPr>
        <w:t>政策决策过程中深入了解民情、广泛集中民智、充分体现民意，通过公众参与、专家论证、风险评估、合法性审查、集体讨论决定等环节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确保决策制度科学、程序正当、过程公开、责任明确。今年以来对8项拟实施的政策措施公开征集意见建议并向社会公开意见建议征集结果。五</w:t>
      </w:r>
      <w:r>
        <w:rPr>
          <w:rFonts w:hint="eastAsia" w:ascii="仿宋_GB2312" w:hAnsi="仿宋" w:eastAsia="仿宋_GB2312"/>
          <w:sz w:val="32"/>
          <w:szCs w:val="32"/>
          <w:shd w:val="clear" w:color="auto" w:fill="FFFFFF"/>
        </w:rPr>
        <w:t>是继续加强政务新媒体整合管理和便民服务，全市各级公安机关运营政务新媒体账号55个，</w:t>
      </w:r>
      <w:r>
        <w:rPr>
          <w:rFonts w:hint="eastAsia" w:ascii="仿宋_GB2312" w:hAnsi="仿宋_GB2312" w:eastAsia="仿宋_GB2312" w:cs="仿宋_GB2312"/>
          <w:sz w:val="32"/>
          <w:szCs w:val="32"/>
        </w:rPr>
        <w:t>发布稿件5.8万余篇，阅读量达1.2亿余人次，各类公安政务新媒体在服务社会群众、预防违法犯罪、展示打击服务成果等方面发挥了重要作用。</w:t>
      </w:r>
    </w:p>
    <w:p>
      <w:pPr>
        <w:pStyle w:val="12"/>
        <w:spacing w:line="560" w:lineRule="exact"/>
        <w:ind w:firstLine="640"/>
        <w:jc w:val="left"/>
        <w:rPr>
          <w:rFonts w:ascii="仿宋_GB2312" w:hAnsi="仿宋" w:eastAsia="仿宋_GB2312"/>
          <w:color w:val="FF0000"/>
          <w:sz w:val="32"/>
          <w:szCs w:val="32"/>
        </w:rPr>
      </w:pPr>
      <w:r>
        <w:rPr>
          <w:rFonts w:hint="eastAsia" w:ascii="楷体_GB2312" w:hAnsi="仿宋" w:eastAsia="楷体_GB2312"/>
          <w:sz w:val="32"/>
          <w:szCs w:val="32"/>
        </w:rPr>
        <w:t>(二）依申请公开。</w:t>
      </w:r>
      <w:r>
        <w:rPr>
          <w:rFonts w:hint="eastAsia" w:ascii="仿宋_GB2312" w:hAnsi="仿宋" w:eastAsia="仿宋_GB2312"/>
          <w:sz w:val="32"/>
          <w:szCs w:val="32"/>
          <w:shd w:val="clear" w:color="auto" w:fill="FFFFFF"/>
        </w:rPr>
        <w:t>2023年，全市公安机关共收到政府信息公开申请267件（较2022年上升43.5% ）。所有申请均为自然人申请，</w:t>
      </w:r>
      <w:r>
        <w:rPr>
          <w:rFonts w:hint="eastAsia" w:ascii="仿宋_GB2312" w:eastAsia="仿宋_GB2312"/>
          <w:sz w:val="32"/>
          <w:szCs w:val="32"/>
        </w:rPr>
        <w:t>青岛市公安局按照法定程序和时限依法答复</w:t>
      </w:r>
      <w:r>
        <w:rPr>
          <w:rFonts w:hint="eastAsia" w:ascii="仿宋_GB2312" w:hAnsi="仿宋" w:eastAsia="仿宋_GB2312"/>
          <w:sz w:val="32"/>
          <w:szCs w:val="32"/>
          <w:shd w:val="clear" w:color="auto" w:fill="FFFFFF"/>
        </w:rPr>
        <w:t>。全市公安机关因政府信息依申请公开被行政复议10起，被行政诉讼10起（未经复议直接起诉7起，</w:t>
      </w:r>
      <w:r>
        <w:rPr>
          <w:rFonts w:hint="eastAsia" w:ascii="仿宋_GB2312" w:eastAsia="仿宋_GB2312"/>
          <w:sz w:val="32"/>
          <w:szCs w:val="32"/>
        </w:rPr>
        <w:t>复议后起诉3起</w:t>
      </w:r>
      <w:r>
        <w:rPr>
          <w:rFonts w:hint="eastAsia" w:ascii="仿宋_GB2312" w:hAnsi="仿宋" w:eastAsia="仿宋_GB2312"/>
          <w:sz w:val="32"/>
          <w:szCs w:val="32"/>
          <w:shd w:val="clear" w:color="auto" w:fill="FFFFFF"/>
        </w:rPr>
        <w:t>），未出现被纠错和败诉情况。</w:t>
      </w:r>
    </w:p>
    <w:p>
      <w:pPr>
        <w:pStyle w:val="12"/>
        <w:shd w:val="clear" w:color="auto" w:fill="FFFFFF"/>
        <w:spacing w:line="560" w:lineRule="exact"/>
        <w:ind w:firstLine="640"/>
        <w:jc w:val="left"/>
        <w:rPr>
          <w:rFonts w:ascii="仿宋_GB2312" w:hAnsi="仿宋" w:eastAsia="仿宋_GB2312"/>
          <w:sz w:val="32"/>
          <w:szCs w:val="32"/>
        </w:rPr>
      </w:pPr>
      <w:r>
        <w:rPr>
          <w:rFonts w:hint="eastAsia" w:ascii="楷体_GB2312" w:hAnsi="仿宋" w:eastAsia="楷体_GB2312"/>
          <w:sz w:val="32"/>
          <w:szCs w:val="32"/>
        </w:rPr>
        <w:t>（三）政府信息管理。</w:t>
      </w:r>
      <w:r>
        <w:rPr>
          <w:rFonts w:hint="eastAsia" w:ascii="仿宋_GB2312" w:hAnsi="仿宋" w:eastAsia="仿宋_GB2312"/>
          <w:sz w:val="32"/>
          <w:szCs w:val="32"/>
        </w:rPr>
        <w:t>一是对市公安局</w:t>
      </w:r>
      <w:r>
        <w:rPr>
          <w:rFonts w:hint="eastAsia" w:ascii="仿宋_GB2312" w:hAnsi="仿宋" w:eastAsia="仿宋_GB2312" w:cs="Arial"/>
          <w:sz w:val="32"/>
          <w:szCs w:val="32"/>
          <w:shd w:val="clear" w:color="auto" w:fill="FFFFFF"/>
        </w:rPr>
        <w:t>政府信息发布机制、审查机制、协调机制和动态调整机制进行修订完善。二是调整发布市公安局政府信息主动公开目录。三是年内两次</w:t>
      </w:r>
      <w:r>
        <w:rPr>
          <w:rFonts w:hint="eastAsia" w:ascii="仿宋_GB2312" w:hAnsi="仿宋" w:eastAsia="仿宋_GB2312"/>
          <w:sz w:val="32"/>
          <w:szCs w:val="32"/>
          <w:shd w:val="clear" w:color="auto" w:fill="FFFFFF"/>
        </w:rPr>
        <w:t>对市公安局行政规范性文件进行清理并发布清理结果。</w:t>
      </w:r>
      <w:r>
        <w:rPr>
          <w:rFonts w:hint="eastAsia" w:ascii="仿宋_GB2312" w:hAnsi="仿宋" w:eastAsia="仿宋_GB2312" w:cs="Arial"/>
          <w:sz w:val="32"/>
          <w:szCs w:val="32"/>
          <w:shd w:val="clear" w:color="auto" w:fill="FFFFFF"/>
        </w:rPr>
        <w:t>行政规范性文件实施全生命周期规范管理，根据立、改、废等情况动态调整更新。</w:t>
      </w:r>
      <w:r>
        <w:rPr>
          <w:rFonts w:hint="eastAsia" w:ascii="仿宋_GB2312" w:hAnsi="仿宋" w:eastAsia="仿宋_GB2312"/>
          <w:sz w:val="32"/>
          <w:szCs w:val="32"/>
        </w:rPr>
        <w:t>汇总公布了《</w:t>
      </w:r>
      <w:r>
        <w:rPr>
          <w:rFonts w:hint="eastAsia" w:ascii="仿宋_GB2312" w:hAnsi="仿宋" w:eastAsia="仿宋_GB2312"/>
          <w:sz w:val="32"/>
          <w:szCs w:val="32"/>
          <w:shd w:val="clear" w:color="auto" w:fill="FFFFFF"/>
        </w:rPr>
        <w:t>青岛市公安局现行有效行政规范性文件目录</w:t>
      </w:r>
      <w:r>
        <w:rPr>
          <w:rFonts w:hint="eastAsia" w:ascii="仿宋_GB2312" w:hAnsi="仿宋" w:eastAsia="仿宋_GB2312"/>
          <w:sz w:val="32"/>
          <w:szCs w:val="32"/>
        </w:rPr>
        <w:t>》和《</w:t>
      </w:r>
      <w:r>
        <w:rPr>
          <w:rFonts w:hint="eastAsia" w:ascii="仿宋_GB2312" w:hAnsi="仿宋" w:eastAsia="仿宋_GB2312"/>
          <w:sz w:val="32"/>
          <w:szCs w:val="32"/>
          <w:shd w:val="clear" w:color="auto" w:fill="FFFFFF"/>
        </w:rPr>
        <w:t>青岛市公安局行政规范性文件目录》。</w:t>
      </w:r>
      <w:r>
        <w:rPr>
          <w:rFonts w:hint="eastAsia" w:ascii="仿宋_GB2312" w:hAnsi="仿宋" w:eastAsia="仿宋_GB2312" w:cs="Arial"/>
          <w:sz w:val="32"/>
          <w:szCs w:val="32"/>
          <w:shd w:val="clear" w:color="auto" w:fill="FFFFFF"/>
        </w:rPr>
        <w:t>四是</w:t>
      </w:r>
      <w:r>
        <w:rPr>
          <w:rFonts w:hint="eastAsia" w:ascii="仿宋_GB2312" w:hAnsi="仿宋" w:eastAsia="仿宋_GB2312"/>
          <w:sz w:val="32"/>
          <w:szCs w:val="32"/>
          <w:shd w:val="clear" w:color="auto" w:fill="FFFFFF"/>
        </w:rPr>
        <w:t>严格落实公文公开属性源头认定机制,主动公开的行政公文同步制作、发布政策解读。五是</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val="zh-CN"/>
        </w:rPr>
        <w:t>全市公安机关政务新媒体排查整顿</w:t>
      </w:r>
      <w:r>
        <w:rPr>
          <w:rFonts w:hint="eastAsia" w:ascii="仿宋_GB2312" w:hAnsi="仿宋_GB2312" w:eastAsia="仿宋_GB2312" w:cs="仿宋_GB2312"/>
          <w:sz w:val="32"/>
          <w:szCs w:val="32"/>
        </w:rPr>
        <w:t>行动</w:t>
      </w:r>
      <w:r>
        <w:rPr>
          <w:rFonts w:hint="eastAsia" w:ascii="仿宋_GB2312" w:hAnsi="仿宋_GB2312" w:eastAsia="仿宋_GB2312" w:cs="仿宋_GB2312"/>
          <w:sz w:val="32"/>
          <w:szCs w:val="32"/>
          <w:lang w:val="zh-CN"/>
        </w:rPr>
        <w:t>，将原有的65个政务新媒体账号精简合并为55个。</w:t>
      </w:r>
    </w:p>
    <w:p>
      <w:pPr>
        <w:pStyle w:val="12"/>
        <w:spacing w:line="560" w:lineRule="exact"/>
        <w:ind w:firstLine="640"/>
        <w:jc w:val="left"/>
        <w:rPr>
          <w:rFonts w:ascii="仿宋_GB2312" w:hAnsi="仿宋" w:eastAsia="仿宋_GB2312"/>
          <w:sz w:val="32"/>
          <w:szCs w:val="32"/>
        </w:rPr>
      </w:pPr>
      <w:r>
        <w:rPr>
          <w:rFonts w:hint="eastAsia" w:ascii="楷体_GB2312" w:hAnsi="仿宋" w:eastAsia="楷体_GB2312"/>
          <w:sz w:val="32"/>
          <w:szCs w:val="32"/>
        </w:rPr>
        <w:t>(四)平台建设。2023年，</w:t>
      </w:r>
      <w:r>
        <w:rPr>
          <w:rFonts w:hint="eastAsia" w:ascii="仿宋_GB2312" w:hAnsi="仿宋" w:eastAsia="仿宋_GB2312"/>
          <w:sz w:val="32"/>
          <w:szCs w:val="32"/>
        </w:rPr>
        <w:t>青岛市公安局对互联网门户网站进行了升级改造，并继续依托青岛市政务网及青岛市公安局互联网门户网站作为官方发布平台，以新闻媒体、新闻发布会、政策吹风会、政务公开专区、政务新媒体、人大政协建议提案办理、在线访谈、警营开放等为辅助，加强政民互动交流。线下设政务公开专区2处（市民中心和青岛市车管所），规范设置15处政府信息公开查阅受理点。</w:t>
      </w:r>
    </w:p>
    <w:p>
      <w:pPr>
        <w:pStyle w:val="12"/>
        <w:spacing w:line="560" w:lineRule="exact"/>
        <w:ind w:firstLine="640"/>
        <w:jc w:val="left"/>
        <w:rPr>
          <w:rFonts w:ascii="仿宋_GB2312" w:hAnsi="仿宋" w:eastAsia="仿宋_GB2312"/>
          <w:sz w:val="32"/>
          <w:szCs w:val="32"/>
        </w:rPr>
      </w:pPr>
      <w:r>
        <w:rPr>
          <w:rFonts w:hint="eastAsia" w:ascii="楷体_GB2312" w:hAnsi="仿宋" w:eastAsia="楷体_GB2312"/>
          <w:sz w:val="32"/>
          <w:szCs w:val="32"/>
        </w:rPr>
        <w:t>（五）监督保障。</w:t>
      </w:r>
      <w:r>
        <w:rPr>
          <w:rFonts w:hint="eastAsia" w:ascii="仿宋_GB2312" w:hAnsi="仿宋" w:eastAsia="仿宋_GB2312"/>
          <w:sz w:val="32"/>
          <w:szCs w:val="32"/>
        </w:rPr>
        <w:t>对市公安局政务公开工作领导机构和承办体系进行调整，开展政府信息公开业务培训，提高各级公安机关政府信息公开工作人员工作能力和水平。目前，市级公安机关政府信息公开工作设专职工作人员1人、兼职工作人员1人，局直单位及各分局分别设专管人员。2023年，市公安局共组织进行政府信息公开工作培训6次，指导、培训工作人员89人次。青岛市公安局已将政府信息公开工作纳入全局综合考核。</w:t>
      </w:r>
    </w:p>
    <w:p>
      <w:pPr>
        <w:pStyle w:val="12"/>
        <w:ind w:firstLine="707" w:firstLineChars="221"/>
        <w:jc w:val="left"/>
        <w:rPr>
          <w:rFonts w:ascii="黑体" w:hAnsi="黑体" w:eastAsia="黑体"/>
          <w:sz w:val="32"/>
          <w:szCs w:val="32"/>
        </w:rPr>
      </w:pPr>
      <w:r>
        <w:rPr>
          <w:rFonts w:hint="eastAsia" w:ascii="黑体" w:hAnsi="黑体" w:eastAsia="黑体"/>
          <w:sz w:val="32"/>
          <w:szCs w:val="32"/>
        </w:rPr>
        <w:t>二、主动公开政府信息情况</w:t>
      </w:r>
    </w:p>
    <w:tbl>
      <w:tblPr>
        <w:tblStyle w:val="7"/>
        <w:tblW w:w="86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50"/>
        <w:gridCol w:w="1950"/>
        <w:gridCol w:w="1951"/>
        <w:gridCol w:w="27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gridSpan w:val="4"/>
          </w:tcPr>
          <w:p>
            <w:pPr>
              <w:pStyle w:val="12"/>
              <w:ind w:firstLine="562"/>
              <w:jc w:val="center"/>
              <w:rPr>
                <w:rFonts w:ascii="仿宋_GB2312" w:eastAsia="仿宋_GB2312" w:hAnsiTheme="majorEastAsia"/>
                <w:b/>
                <w:sz w:val="28"/>
                <w:szCs w:val="28"/>
              </w:rPr>
            </w:pPr>
            <w:r>
              <w:rPr>
                <w:rFonts w:hint="eastAsia" w:ascii="仿宋_GB2312" w:eastAsia="仿宋_GB2312" w:hAnsiTheme="majorEastAsia"/>
                <w:b/>
                <w:sz w:val="28"/>
                <w:szCs w:val="28"/>
              </w:rPr>
              <w:t>第二十条  第(一)项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482"/>
              <w:rPr>
                <w:rFonts w:ascii="仿宋_GB2312" w:eastAsia="仿宋_GB2312" w:hAnsiTheme="majorEastAsia"/>
                <w:b/>
                <w:sz w:val="24"/>
                <w:szCs w:val="24"/>
              </w:rPr>
            </w:pPr>
            <w:r>
              <w:rPr>
                <w:rFonts w:hint="eastAsia" w:ascii="仿宋_GB2312" w:eastAsia="仿宋_GB2312" w:hAnsiTheme="majorEastAsia"/>
                <w:b/>
                <w:sz w:val="24"/>
                <w:szCs w:val="24"/>
              </w:rPr>
              <w:t>信息内容</w:t>
            </w:r>
          </w:p>
        </w:tc>
        <w:tc>
          <w:tcPr>
            <w:tcW w:w="1950" w:type="dxa"/>
          </w:tcPr>
          <w:p>
            <w:pPr>
              <w:pStyle w:val="12"/>
              <w:ind w:firstLine="0" w:firstLineChars="0"/>
              <w:rPr>
                <w:rFonts w:ascii="仿宋_GB2312" w:eastAsia="仿宋_GB2312" w:hAnsiTheme="majorEastAsia"/>
                <w:b/>
                <w:sz w:val="24"/>
                <w:szCs w:val="24"/>
              </w:rPr>
            </w:pPr>
            <w:r>
              <w:rPr>
                <w:rFonts w:hint="eastAsia" w:ascii="仿宋_GB2312" w:eastAsia="仿宋_GB2312" w:hAnsiTheme="majorEastAsia"/>
                <w:b/>
                <w:sz w:val="24"/>
                <w:szCs w:val="24"/>
              </w:rPr>
              <w:t>本年制发件数</w:t>
            </w:r>
          </w:p>
        </w:tc>
        <w:tc>
          <w:tcPr>
            <w:tcW w:w="1951" w:type="dxa"/>
          </w:tcPr>
          <w:p>
            <w:pPr>
              <w:pStyle w:val="12"/>
              <w:ind w:firstLine="0" w:firstLineChars="0"/>
              <w:rPr>
                <w:rFonts w:ascii="仿宋_GB2312" w:eastAsia="仿宋_GB2312" w:hAnsiTheme="majorEastAsia"/>
                <w:b/>
                <w:sz w:val="24"/>
                <w:szCs w:val="24"/>
              </w:rPr>
            </w:pPr>
            <w:r>
              <w:rPr>
                <w:rFonts w:hint="eastAsia" w:ascii="仿宋_GB2312" w:eastAsia="仿宋_GB2312" w:hAnsiTheme="majorEastAsia"/>
                <w:b/>
                <w:sz w:val="24"/>
                <w:szCs w:val="24"/>
              </w:rPr>
              <w:t>本年废止件数</w:t>
            </w:r>
          </w:p>
        </w:tc>
        <w:tc>
          <w:tcPr>
            <w:tcW w:w="2762" w:type="dxa"/>
          </w:tcPr>
          <w:p>
            <w:pPr>
              <w:pStyle w:val="12"/>
              <w:ind w:firstLine="482"/>
              <w:jc w:val="center"/>
              <w:rPr>
                <w:rFonts w:ascii="仿宋_GB2312" w:eastAsia="仿宋_GB2312" w:hAnsiTheme="majorEastAsia"/>
                <w:b/>
                <w:sz w:val="24"/>
                <w:szCs w:val="24"/>
              </w:rPr>
            </w:pPr>
            <w:r>
              <w:rPr>
                <w:rFonts w:hint="eastAsia" w:ascii="仿宋_GB2312" w:eastAsia="仿宋_GB2312" w:hAnsiTheme="majorEastAsia"/>
                <w:b/>
                <w:sz w:val="24"/>
                <w:szCs w:val="24"/>
              </w:rPr>
              <w:t>现行有效件数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480"/>
              <w:rPr>
                <w:rFonts w:ascii="仿宋_GB2312" w:eastAsia="仿宋_GB2312" w:hAnsiTheme="majorEastAsia"/>
                <w:sz w:val="24"/>
                <w:szCs w:val="24"/>
              </w:rPr>
            </w:pPr>
            <w:r>
              <w:rPr>
                <w:rFonts w:hint="eastAsia" w:ascii="仿宋_GB2312" w:eastAsia="仿宋_GB2312" w:hAnsiTheme="majorEastAsia"/>
                <w:sz w:val="24"/>
                <w:szCs w:val="24"/>
              </w:rPr>
              <w:t>规章</w:t>
            </w:r>
          </w:p>
        </w:tc>
        <w:tc>
          <w:tcPr>
            <w:tcW w:w="1950" w:type="dxa"/>
          </w:tcPr>
          <w:p>
            <w:pPr>
              <w:pStyle w:val="12"/>
              <w:ind w:firstLine="480"/>
              <w:jc w:val="center"/>
              <w:rPr>
                <w:rFonts w:ascii="仿宋_GB2312" w:hAnsi="宋体" w:eastAsia="仿宋_GB2312"/>
                <w:sz w:val="24"/>
                <w:szCs w:val="24"/>
              </w:rPr>
            </w:pPr>
            <w:r>
              <w:rPr>
                <w:rFonts w:hint="eastAsia" w:ascii="仿宋_GB2312" w:hAnsi="宋体" w:eastAsia="仿宋_GB2312"/>
                <w:sz w:val="24"/>
                <w:szCs w:val="24"/>
              </w:rPr>
              <w:t>0</w:t>
            </w:r>
          </w:p>
        </w:tc>
        <w:tc>
          <w:tcPr>
            <w:tcW w:w="1951" w:type="dxa"/>
          </w:tcPr>
          <w:p>
            <w:pPr>
              <w:pStyle w:val="12"/>
              <w:ind w:firstLine="480"/>
              <w:jc w:val="center"/>
              <w:rPr>
                <w:rFonts w:ascii="仿宋_GB2312" w:hAnsi="宋体" w:eastAsia="仿宋_GB2312"/>
                <w:sz w:val="24"/>
                <w:szCs w:val="24"/>
              </w:rPr>
            </w:pPr>
            <w:r>
              <w:rPr>
                <w:rFonts w:hint="eastAsia" w:ascii="仿宋_GB2312" w:hAnsi="宋体" w:eastAsia="仿宋_GB2312"/>
                <w:sz w:val="24"/>
                <w:szCs w:val="24"/>
              </w:rPr>
              <w:t>0</w:t>
            </w:r>
          </w:p>
        </w:tc>
        <w:tc>
          <w:tcPr>
            <w:tcW w:w="2762" w:type="dxa"/>
          </w:tcPr>
          <w:p>
            <w:pPr>
              <w:pStyle w:val="12"/>
              <w:ind w:firstLine="480"/>
              <w:jc w:val="center"/>
              <w:rPr>
                <w:rFonts w:ascii="仿宋_GB2312" w:hAnsi="宋体" w:eastAsia="仿宋_GB2312"/>
                <w:sz w:val="24"/>
                <w:szCs w:val="24"/>
              </w:rPr>
            </w:pPr>
            <w:r>
              <w:rPr>
                <w:rFonts w:ascii="仿宋_GB2312" w:hAnsi="宋体" w:eastAsia="仿宋_GB2312"/>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0" w:firstLineChars="0"/>
              <w:rPr>
                <w:rFonts w:ascii="仿宋_GB2312" w:eastAsia="仿宋_GB2312" w:hAnsiTheme="majorEastAsia"/>
                <w:sz w:val="24"/>
                <w:szCs w:val="24"/>
              </w:rPr>
            </w:pPr>
            <w:r>
              <w:rPr>
                <w:rFonts w:hint="eastAsia" w:ascii="仿宋_GB2312" w:eastAsia="仿宋_GB2312" w:hAnsiTheme="majorEastAsia"/>
                <w:sz w:val="24"/>
                <w:szCs w:val="24"/>
              </w:rPr>
              <w:t>行政规范性文件</w:t>
            </w:r>
          </w:p>
        </w:tc>
        <w:tc>
          <w:tcPr>
            <w:tcW w:w="1950" w:type="dxa"/>
          </w:tcPr>
          <w:p>
            <w:pPr>
              <w:pStyle w:val="12"/>
              <w:ind w:firstLine="480"/>
              <w:jc w:val="center"/>
              <w:rPr>
                <w:rFonts w:ascii="仿宋_GB2312" w:hAnsi="宋体" w:eastAsia="仿宋_GB2312"/>
                <w:sz w:val="24"/>
                <w:szCs w:val="24"/>
              </w:rPr>
            </w:pPr>
            <w:r>
              <w:rPr>
                <w:rFonts w:hint="eastAsia" w:ascii="仿宋_GB2312" w:hAnsi="宋体" w:eastAsia="仿宋_GB2312"/>
                <w:sz w:val="24"/>
                <w:szCs w:val="24"/>
              </w:rPr>
              <w:t>4</w:t>
            </w:r>
          </w:p>
        </w:tc>
        <w:tc>
          <w:tcPr>
            <w:tcW w:w="1951" w:type="dxa"/>
          </w:tcPr>
          <w:p>
            <w:pPr>
              <w:pStyle w:val="12"/>
              <w:ind w:firstLine="480"/>
              <w:jc w:val="center"/>
              <w:rPr>
                <w:rFonts w:ascii="仿宋_GB2312" w:hAnsi="宋体" w:eastAsia="仿宋_GB2312"/>
                <w:sz w:val="24"/>
                <w:szCs w:val="24"/>
              </w:rPr>
            </w:pPr>
            <w:r>
              <w:rPr>
                <w:rFonts w:hint="eastAsia" w:ascii="仿宋_GB2312" w:hAnsi="宋体" w:eastAsia="仿宋_GB2312"/>
                <w:sz w:val="24"/>
                <w:szCs w:val="24"/>
              </w:rPr>
              <w:t>0</w:t>
            </w:r>
          </w:p>
        </w:tc>
        <w:tc>
          <w:tcPr>
            <w:tcW w:w="2762" w:type="dxa"/>
          </w:tcPr>
          <w:p>
            <w:pPr>
              <w:pStyle w:val="12"/>
              <w:ind w:firstLine="480"/>
              <w:jc w:val="center"/>
              <w:rPr>
                <w:rFonts w:ascii="仿宋_GB2312" w:hAnsi="宋体" w:eastAsia="仿宋_GB2312"/>
                <w:sz w:val="24"/>
                <w:szCs w:val="24"/>
              </w:rPr>
            </w:pPr>
            <w:r>
              <w:rPr>
                <w:rFonts w:hint="eastAsia" w:ascii="仿宋_GB2312" w:hAnsi="宋体" w:eastAsia="仿宋_GB2312"/>
                <w:sz w:val="24"/>
                <w:szCs w:val="24"/>
              </w:rPr>
              <w:t>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9" w:hRule="atLeast"/>
        </w:trPr>
        <w:tc>
          <w:tcPr>
            <w:tcW w:w="8613" w:type="dxa"/>
            <w:gridSpan w:val="4"/>
          </w:tcPr>
          <w:p>
            <w:pPr>
              <w:pStyle w:val="12"/>
              <w:ind w:firstLine="562"/>
              <w:jc w:val="center"/>
              <w:rPr>
                <w:rFonts w:ascii="仿宋_GB2312" w:eastAsia="仿宋_GB2312" w:hAnsiTheme="majorEastAsia"/>
                <w:b/>
                <w:sz w:val="28"/>
                <w:szCs w:val="28"/>
              </w:rPr>
            </w:pPr>
            <w:r>
              <w:rPr>
                <w:rFonts w:hint="eastAsia" w:ascii="仿宋_GB2312" w:eastAsia="仿宋_GB2312" w:hAnsiTheme="majorEastAsia"/>
                <w:b/>
                <w:sz w:val="28"/>
                <w:szCs w:val="28"/>
              </w:rPr>
              <w:t>第二十条  第（五）项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482"/>
              <w:rPr>
                <w:rFonts w:ascii="仿宋_GB2312" w:eastAsia="仿宋_GB2312" w:hAnsiTheme="majorEastAsia"/>
                <w:b/>
                <w:sz w:val="24"/>
                <w:szCs w:val="24"/>
              </w:rPr>
            </w:pPr>
            <w:r>
              <w:rPr>
                <w:rFonts w:hint="eastAsia" w:ascii="仿宋_GB2312" w:eastAsia="仿宋_GB2312" w:hAnsiTheme="majorEastAsia"/>
                <w:b/>
                <w:sz w:val="24"/>
                <w:szCs w:val="24"/>
              </w:rPr>
              <w:t>信息内容</w:t>
            </w:r>
          </w:p>
        </w:tc>
        <w:tc>
          <w:tcPr>
            <w:tcW w:w="6663" w:type="dxa"/>
            <w:gridSpan w:val="3"/>
          </w:tcPr>
          <w:p>
            <w:pPr>
              <w:pStyle w:val="12"/>
              <w:ind w:firstLine="482"/>
              <w:jc w:val="center"/>
              <w:rPr>
                <w:rFonts w:ascii="仿宋_GB2312" w:eastAsia="仿宋_GB2312" w:hAnsiTheme="majorEastAsia"/>
                <w:b/>
                <w:sz w:val="24"/>
                <w:szCs w:val="24"/>
              </w:rPr>
            </w:pPr>
            <w:r>
              <w:rPr>
                <w:rFonts w:hint="eastAsia" w:ascii="仿宋_GB2312" w:eastAsia="仿宋_GB2312" w:hAnsiTheme="majorEastAsia"/>
                <w:b/>
                <w:sz w:val="24"/>
                <w:szCs w:val="24"/>
              </w:rPr>
              <w:t>本年处理决定数量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480"/>
              <w:rPr>
                <w:rFonts w:ascii="仿宋_GB2312" w:eastAsia="仿宋_GB2312" w:hAnsiTheme="majorEastAsia"/>
                <w:sz w:val="24"/>
                <w:szCs w:val="24"/>
              </w:rPr>
            </w:pPr>
            <w:r>
              <w:rPr>
                <w:rFonts w:hint="eastAsia" w:ascii="仿宋_GB2312" w:eastAsia="仿宋_GB2312" w:hAnsiTheme="majorEastAsia"/>
                <w:sz w:val="24"/>
                <w:szCs w:val="24"/>
              </w:rPr>
              <w:t>行政许可</w:t>
            </w:r>
          </w:p>
        </w:tc>
        <w:tc>
          <w:tcPr>
            <w:tcW w:w="6663" w:type="dxa"/>
            <w:gridSpan w:val="3"/>
          </w:tcPr>
          <w:p>
            <w:pPr>
              <w:pStyle w:val="12"/>
              <w:ind w:firstLine="480"/>
              <w:jc w:val="center"/>
              <w:rPr>
                <w:rFonts w:ascii="仿宋_GB2312" w:eastAsia="仿宋_GB2312" w:hAnsiTheme="majorEastAsia"/>
                <w:sz w:val="24"/>
                <w:szCs w:val="24"/>
              </w:rPr>
            </w:pPr>
            <w:r>
              <w:rPr>
                <w:rFonts w:hint="eastAsia" w:ascii="仿宋_GB2312" w:eastAsia="仿宋_GB2312" w:hAnsiTheme="majorEastAsia"/>
                <w:kern w:val="0"/>
                <w:sz w:val="24"/>
                <w:szCs w:val="24"/>
              </w:rPr>
              <w:t>123.4676万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gridSpan w:val="4"/>
          </w:tcPr>
          <w:p>
            <w:pPr>
              <w:pStyle w:val="12"/>
              <w:ind w:firstLine="562"/>
              <w:jc w:val="center"/>
              <w:rPr>
                <w:rFonts w:ascii="仿宋_GB2312" w:eastAsia="仿宋_GB2312" w:hAnsiTheme="majorEastAsia"/>
                <w:b/>
                <w:sz w:val="28"/>
                <w:szCs w:val="28"/>
              </w:rPr>
            </w:pPr>
            <w:r>
              <w:rPr>
                <w:rFonts w:hint="eastAsia" w:ascii="仿宋_GB2312" w:eastAsia="仿宋_GB2312" w:hAnsiTheme="majorEastAsia"/>
                <w:b/>
                <w:sz w:val="28"/>
                <w:szCs w:val="28"/>
              </w:rPr>
              <w:t>第二十条  第（六）项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482"/>
              <w:jc w:val="left"/>
              <w:rPr>
                <w:rFonts w:ascii="仿宋_GB2312" w:eastAsia="仿宋_GB2312" w:hAnsiTheme="majorEastAsia"/>
                <w:b/>
                <w:sz w:val="24"/>
                <w:szCs w:val="24"/>
              </w:rPr>
            </w:pPr>
            <w:r>
              <w:rPr>
                <w:rFonts w:hint="eastAsia" w:ascii="仿宋_GB2312" w:eastAsia="仿宋_GB2312" w:hAnsiTheme="majorEastAsia"/>
                <w:b/>
                <w:sz w:val="24"/>
                <w:szCs w:val="24"/>
              </w:rPr>
              <w:t>信息内容</w:t>
            </w:r>
          </w:p>
        </w:tc>
        <w:tc>
          <w:tcPr>
            <w:tcW w:w="6663" w:type="dxa"/>
            <w:gridSpan w:val="3"/>
          </w:tcPr>
          <w:p>
            <w:pPr>
              <w:pStyle w:val="12"/>
              <w:ind w:firstLine="482"/>
              <w:jc w:val="center"/>
              <w:rPr>
                <w:rFonts w:ascii="仿宋_GB2312" w:eastAsia="仿宋_GB2312" w:hAnsiTheme="majorEastAsia"/>
                <w:b/>
                <w:sz w:val="24"/>
                <w:szCs w:val="24"/>
              </w:rPr>
            </w:pPr>
            <w:r>
              <w:rPr>
                <w:rFonts w:hint="eastAsia" w:ascii="仿宋_GB2312" w:eastAsia="仿宋_GB2312" w:hAnsiTheme="majorEastAsia"/>
                <w:b/>
                <w:sz w:val="24"/>
                <w:szCs w:val="24"/>
              </w:rPr>
              <w:t>本年处理决定数量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480"/>
              <w:jc w:val="left"/>
              <w:rPr>
                <w:rFonts w:ascii="仿宋_GB2312" w:eastAsia="仿宋_GB2312" w:hAnsiTheme="majorEastAsia"/>
                <w:sz w:val="24"/>
                <w:szCs w:val="24"/>
              </w:rPr>
            </w:pPr>
            <w:r>
              <w:rPr>
                <w:rFonts w:hint="eastAsia" w:ascii="仿宋_GB2312" w:eastAsia="仿宋_GB2312" w:hAnsiTheme="majorEastAsia"/>
                <w:sz w:val="24"/>
                <w:szCs w:val="24"/>
              </w:rPr>
              <w:t>行政处罚</w:t>
            </w:r>
          </w:p>
        </w:tc>
        <w:tc>
          <w:tcPr>
            <w:tcW w:w="6663" w:type="dxa"/>
            <w:gridSpan w:val="3"/>
          </w:tcPr>
          <w:p>
            <w:pPr>
              <w:pStyle w:val="12"/>
              <w:ind w:firstLine="480"/>
              <w:jc w:val="center"/>
              <w:rPr>
                <w:rFonts w:ascii="仿宋_GB2312" w:eastAsia="仿宋_GB2312" w:hAnsiTheme="majorEastAsia"/>
                <w:sz w:val="24"/>
                <w:szCs w:val="24"/>
              </w:rPr>
            </w:pPr>
            <w:r>
              <w:rPr>
                <w:rFonts w:hint="eastAsia" w:ascii="仿宋_GB2312" w:eastAsia="仿宋_GB2312" w:hAnsiTheme="majorEastAsia"/>
                <w:kern w:val="0"/>
                <w:sz w:val="24"/>
                <w:szCs w:val="24"/>
              </w:rPr>
              <w:t>188.1995万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pStyle w:val="12"/>
              <w:ind w:firstLine="480"/>
              <w:jc w:val="left"/>
              <w:rPr>
                <w:rFonts w:ascii="仿宋_GB2312" w:eastAsia="仿宋_GB2312" w:hAnsiTheme="majorEastAsia"/>
                <w:sz w:val="24"/>
                <w:szCs w:val="24"/>
              </w:rPr>
            </w:pPr>
            <w:r>
              <w:rPr>
                <w:rFonts w:hint="eastAsia" w:ascii="仿宋_GB2312" w:eastAsia="仿宋_GB2312" w:hAnsiTheme="majorEastAsia"/>
                <w:sz w:val="24"/>
                <w:szCs w:val="24"/>
              </w:rPr>
              <w:t>行政强制</w:t>
            </w:r>
          </w:p>
        </w:tc>
        <w:tc>
          <w:tcPr>
            <w:tcW w:w="6663" w:type="dxa"/>
            <w:gridSpan w:val="3"/>
          </w:tcPr>
          <w:p>
            <w:pPr>
              <w:pStyle w:val="12"/>
              <w:ind w:firstLine="480"/>
              <w:jc w:val="center"/>
              <w:rPr>
                <w:rFonts w:ascii="仿宋_GB2312" w:eastAsia="仿宋_GB2312" w:hAnsiTheme="majorEastAsia"/>
                <w:sz w:val="24"/>
                <w:szCs w:val="24"/>
              </w:rPr>
            </w:pPr>
            <w:r>
              <w:rPr>
                <w:rFonts w:hint="eastAsia" w:ascii="仿宋_GB2312" w:eastAsia="仿宋_GB2312" w:hAnsiTheme="majorEastAsia"/>
                <w:kern w:val="0"/>
                <w:sz w:val="24"/>
                <w:szCs w:val="24"/>
              </w:rPr>
              <w:t>9663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13" w:type="dxa"/>
            <w:gridSpan w:val="4"/>
          </w:tcPr>
          <w:p>
            <w:pPr>
              <w:pStyle w:val="12"/>
              <w:ind w:firstLine="562"/>
              <w:jc w:val="center"/>
              <w:rPr>
                <w:rFonts w:ascii="仿宋_GB2312" w:eastAsia="仿宋_GB2312" w:hAnsiTheme="majorEastAsia"/>
                <w:b/>
                <w:sz w:val="28"/>
                <w:szCs w:val="28"/>
              </w:rPr>
            </w:pPr>
            <w:r>
              <w:rPr>
                <w:rFonts w:hint="eastAsia" w:ascii="仿宋_GB2312" w:eastAsia="仿宋_GB2312" w:hAnsiTheme="majorEastAsia"/>
                <w:b/>
                <w:sz w:val="28"/>
                <w:szCs w:val="28"/>
              </w:rPr>
              <w:t>第二十条  第（八）项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0" w:type="dxa"/>
          </w:tcPr>
          <w:p>
            <w:pPr>
              <w:ind w:firstLine="419" w:firstLineChars="174"/>
              <w:rPr>
                <w:rFonts w:ascii="仿宋_GB2312" w:eastAsia="仿宋_GB2312" w:hAnsiTheme="majorEastAsia"/>
                <w:b/>
                <w:sz w:val="24"/>
                <w:szCs w:val="24"/>
              </w:rPr>
            </w:pPr>
            <w:r>
              <w:rPr>
                <w:rFonts w:hint="eastAsia" w:ascii="仿宋_GB2312" w:eastAsia="仿宋_GB2312" w:hAnsiTheme="majorEastAsia"/>
                <w:b/>
                <w:sz w:val="24"/>
                <w:szCs w:val="24"/>
              </w:rPr>
              <w:t>信息内容</w:t>
            </w:r>
          </w:p>
        </w:tc>
        <w:tc>
          <w:tcPr>
            <w:tcW w:w="6663" w:type="dxa"/>
            <w:gridSpan w:val="3"/>
          </w:tcPr>
          <w:p>
            <w:pPr>
              <w:pStyle w:val="12"/>
              <w:ind w:firstLine="482"/>
              <w:jc w:val="center"/>
              <w:rPr>
                <w:rFonts w:ascii="仿宋_GB2312" w:eastAsia="仿宋_GB2312" w:hAnsiTheme="majorEastAsia"/>
                <w:b/>
                <w:sz w:val="24"/>
                <w:szCs w:val="24"/>
              </w:rPr>
            </w:pPr>
            <w:r>
              <w:rPr>
                <w:rFonts w:hint="eastAsia" w:ascii="仿宋_GB2312" w:eastAsia="仿宋_GB2312" w:hAnsiTheme="majorEastAsia"/>
                <w:b/>
                <w:sz w:val="24"/>
                <w:szCs w:val="24"/>
              </w:rPr>
              <w:t>本年收费金额（单位：万元）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trPr>
        <w:tc>
          <w:tcPr>
            <w:tcW w:w="1950" w:type="dxa"/>
          </w:tcPr>
          <w:p>
            <w:pPr>
              <w:pStyle w:val="12"/>
              <w:ind w:firstLine="0" w:firstLineChars="0"/>
              <w:rPr>
                <w:rFonts w:ascii="仿宋_GB2312" w:eastAsia="仿宋_GB2312" w:hAnsiTheme="majorEastAsia"/>
                <w:sz w:val="24"/>
                <w:szCs w:val="24"/>
              </w:rPr>
            </w:pPr>
            <w:r>
              <w:rPr>
                <w:rFonts w:hint="eastAsia" w:ascii="仿宋_GB2312" w:eastAsia="仿宋_GB2312" w:hAnsiTheme="majorEastAsia"/>
                <w:sz w:val="24"/>
                <w:szCs w:val="24"/>
              </w:rPr>
              <w:t>行政事业性收费</w:t>
            </w:r>
          </w:p>
        </w:tc>
        <w:tc>
          <w:tcPr>
            <w:tcW w:w="6663" w:type="dxa"/>
            <w:gridSpan w:val="3"/>
          </w:tcPr>
          <w:p>
            <w:pPr>
              <w:pStyle w:val="12"/>
              <w:ind w:firstLine="480"/>
              <w:jc w:val="center"/>
              <w:rPr>
                <w:rFonts w:ascii="仿宋_GB2312" w:eastAsia="仿宋_GB2312" w:hAnsiTheme="majorEastAsia"/>
                <w:sz w:val="24"/>
                <w:szCs w:val="24"/>
              </w:rPr>
            </w:pPr>
            <w:r>
              <w:rPr>
                <w:rFonts w:hint="eastAsia" w:ascii="仿宋_GB2312" w:eastAsia="仿宋_GB2312" w:hAnsiTheme="majorEastAsia"/>
                <w:kern w:val="0"/>
                <w:sz w:val="24"/>
                <w:szCs w:val="24"/>
              </w:rPr>
              <w:t>28806.86</w:t>
            </w:r>
          </w:p>
        </w:tc>
      </w:tr>
    </w:tbl>
    <w:p>
      <w:pPr>
        <w:pStyle w:val="12"/>
        <w:ind w:firstLine="566" w:firstLineChars="177"/>
        <w:jc w:val="center"/>
        <w:rPr>
          <w:rFonts w:ascii="黑体" w:hAnsi="黑体" w:eastAsia="黑体"/>
          <w:sz w:val="32"/>
          <w:szCs w:val="32"/>
        </w:rPr>
      </w:pPr>
    </w:p>
    <w:p>
      <w:pPr>
        <w:pStyle w:val="12"/>
        <w:ind w:firstLine="566" w:firstLineChars="177"/>
        <w:jc w:val="left"/>
        <w:rPr>
          <w:rFonts w:ascii="黑体" w:hAnsi="黑体" w:eastAsia="黑体"/>
          <w:sz w:val="32"/>
          <w:szCs w:val="32"/>
        </w:rPr>
      </w:pPr>
    </w:p>
    <w:p>
      <w:pPr>
        <w:pStyle w:val="12"/>
        <w:ind w:firstLine="566" w:firstLineChars="177"/>
        <w:jc w:val="left"/>
        <w:rPr>
          <w:rFonts w:ascii="黑体" w:hAnsi="黑体" w:eastAsia="黑体"/>
          <w:sz w:val="32"/>
          <w:szCs w:val="32"/>
        </w:rPr>
      </w:pPr>
    </w:p>
    <w:p>
      <w:pPr>
        <w:pStyle w:val="12"/>
        <w:ind w:firstLine="566" w:firstLineChars="177"/>
        <w:jc w:val="left"/>
        <w:rPr>
          <w:rFonts w:ascii="黑体" w:hAnsi="黑体" w:eastAsia="黑体"/>
          <w:sz w:val="32"/>
          <w:szCs w:val="32"/>
        </w:rPr>
      </w:pPr>
    </w:p>
    <w:p>
      <w:pPr>
        <w:pStyle w:val="12"/>
        <w:ind w:firstLine="566" w:firstLineChars="177"/>
        <w:jc w:val="left"/>
        <w:rPr>
          <w:rFonts w:ascii="黑体" w:hAnsi="黑体" w:eastAsia="黑体"/>
          <w:sz w:val="32"/>
          <w:szCs w:val="32"/>
        </w:rPr>
      </w:pPr>
    </w:p>
    <w:p>
      <w:pPr>
        <w:pStyle w:val="12"/>
        <w:ind w:firstLine="566" w:firstLineChars="177"/>
        <w:jc w:val="left"/>
        <w:rPr>
          <w:rFonts w:hint="eastAsia" w:ascii="黑体" w:hAnsi="黑体" w:eastAsia="黑体"/>
          <w:sz w:val="32"/>
          <w:szCs w:val="32"/>
        </w:rPr>
      </w:pPr>
    </w:p>
    <w:p>
      <w:pPr>
        <w:pStyle w:val="12"/>
        <w:ind w:firstLine="566" w:firstLineChars="177"/>
        <w:jc w:val="left"/>
        <w:rPr>
          <w:rFonts w:ascii="黑体" w:hAnsi="黑体" w:eastAsia="黑体"/>
          <w:sz w:val="32"/>
          <w:szCs w:val="32"/>
        </w:rPr>
      </w:pPr>
    </w:p>
    <w:p>
      <w:pPr>
        <w:pStyle w:val="12"/>
        <w:ind w:firstLine="566" w:firstLineChars="177"/>
        <w:jc w:val="left"/>
        <w:rPr>
          <w:rFonts w:ascii="黑体" w:hAnsi="黑体" w:eastAsia="黑体"/>
          <w:sz w:val="32"/>
          <w:szCs w:val="32"/>
        </w:rPr>
      </w:pPr>
    </w:p>
    <w:p>
      <w:pPr>
        <w:pStyle w:val="12"/>
        <w:ind w:firstLine="566" w:firstLineChars="177"/>
        <w:jc w:val="left"/>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07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76"/>
        <w:gridCol w:w="666"/>
        <w:gridCol w:w="2595"/>
        <w:gridCol w:w="843"/>
        <w:gridCol w:w="702"/>
        <w:gridCol w:w="784"/>
        <w:gridCol w:w="896"/>
        <w:gridCol w:w="701"/>
        <w:gridCol w:w="702"/>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37"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（本列数据的勾稽关系为：第一项加第二项之和，等于第三项加第四项之和）</w:t>
            </w:r>
          </w:p>
        </w:tc>
        <w:tc>
          <w:tcPr>
            <w:tcW w:w="5234"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3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84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自然人</w:t>
            </w:r>
          </w:p>
        </w:tc>
        <w:tc>
          <w:tcPr>
            <w:tcW w:w="378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法人或其他组织</w:t>
            </w:r>
          </w:p>
        </w:tc>
        <w:tc>
          <w:tcPr>
            <w:tcW w:w="60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22"/>
              </w:rPr>
            </w:pPr>
            <w:r>
              <w:rPr>
                <w:rFonts w:hint="eastAsia" w:ascii="黑体" w:hAnsi="黑体" w:eastAsia="黑体"/>
                <w:sz w:val="2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9" w:hRule="atLeast"/>
        </w:trPr>
        <w:tc>
          <w:tcPr>
            <w:tcW w:w="383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84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商业企业</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科研</w:t>
            </w:r>
          </w:p>
          <w:p>
            <w:pPr>
              <w:jc w:val="left"/>
              <w:rPr>
                <w:rFonts w:ascii="黑体" w:hAnsi="黑体" w:eastAsia="黑体"/>
                <w:sz w:val="18"/>
                <w:szCs w:val="18"/>
              </w:rPr>
            </w:pPr>
            <w:r>
              <w:rPr>
                <w:rFonts w:hint="eastAsia" w:ascii="黑体" w:hAnsi="黑体" w:eastAsia="黑体"/>
                <w:sz w:val="18"/>
                <w:szCs w:val="18"/>
              </w:rPr>
              <w:t>机构</w:t>
            </w:r>
          </w:p>
        </w:tc>
        <w:tc>
          <w:tcPr>
            <w:tcW w:w="89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社会公益组织</w:t>
            </w:r>
          </w:p>
        </w:tc>
        <w:tc>
          <w:tcPr>
            <w:tcW w:w="70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法律服务机构</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其他</w:t>
            </w:r>
          </w:p>
        </w:tc>
        <w:tc>
          <w:tcPr>
            <w:tcW w:w="60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440" w:firstLineChars="200"/>
              <w:jc w:val="left"/>
              <w:rPr>
                <w:rFonts w:ascii="黑体" w:hAnsi="黑体" w:eastAsia="黑体"/>
                <w:sz w:val="2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37"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一、本年新收政府信息公开申请数量</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267</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267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37"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二、上年结转政府信息公开申请数量</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三、本年度办理结果</w:t>
            </w:r>
          </w:p>
        </w:tc>
        <w:tc>
          <w:tcPr>
            <w:tcW w:w="326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ascii="黑体" w:hAnsi="黑体" w:eastAsia="黑体"/>
                <w:sz w:val="18"/>
                <w:szCs w:val="18"/>
              </w:rPr>
              <w:t>（一）予以公开</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77</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77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326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（二）部分公开（区分处理的，只计这一情形，不计其他情形）</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9</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18"/>
                <w:szCs w:val="18"/>
              </w:rPr>
            </w:pPr>
            <w:r>
              <w:rPr>
                <w:rFonts w:hint="eastAsia" w:ascii="黑体" w:hAnsi="黑体" w:eastAsia="黑体"/>
                <w:sz w:val="18"/>
                <w:szCs w:val="18"/>
              </w:rPr>
              <w:t>（三）不予公开</w:t>
            </w: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1.属于国家秘密</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6</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2.其他法律行政法规禁止公开</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3</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3.危及“三安全一稳定”</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4.保护第三方合法权益</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1</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5.属于三类内部事务信息</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5</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6.属于四类过程性信息</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1</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7.属于行政执法案卷</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9</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8.属于行政查询事项</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18"/>
                <w:szCs w:val="18"/>
              </w:rPr>
            </w:pPr>
            <w:r>
              <w:rPr>
                <w:rFonts w:hint="eastAsia" w:ascii="黑体" w:hAnsi="黑体" w:eastAsia="黑体"/>
                <w:sz w:val="18"/>
                <w:szCs w:val="18"/>
              </w:rPr>
              <w:t>（四）无法提供</w:t>
            </w: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1.本机关不掌握相关政府信息</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133</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133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2.没有现成信息需要另行制作</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6</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ind w:firstLine="200" w:firstLineChars="100"/>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3.补正后申请内容仍不明确</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18"/>
                <w:szCs w:val="18"/>
              </w:rPr>
            </w:pPr>
            <w:r>
              <w:rPr>
                <w:rFonts w:hint="eastAsia" w:ascii="黑体" w:hAnsi="黑体" w:eastAsia="黑体"/>
                <w:sz w:val="18"/>
                <w:szCs w:val="18"/>
              </w:rPr>
              <w:t>（五）不予处理</w:t>
            </w: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1.信访举报投诉类申请</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4</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2.重复申请</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9</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3.要求提供公开出版物</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4.无正当理由大量反复申请</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5.要求行政机关确认或重新出具已获取信息</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restart"/>
            <w:tcBorders>
              <w:top w:val="nil"/>
              <w:left w:val="nil"/>
              <w:right w:val="single" w:color="auto" w:sz="8" w:space="0"/>
            </w:tcBorders>
            <w:shd w:val="clear" w:color="auto" w:fill="auto"/>
            <w:tcMar>
              <w:left w:w="108" w:type="dxa"/>
              <w:right w:w="108" w:type="dxa"/>
            </w:tcMar>
            <w:vAlign w:val="center"/>
          </w:tcPr>
          <w:p>
            <w:pPr>
              <w:jc w:val="center"/>
              <w:rPr>
                <w:rFonts w:ascii="黑体" w:hAnsi="黑体" w:eastAsia="黑体"/>
                <w:sz w:val="18"/>
                <w:szCs w:val="18"/>
              </w:rPr>
            </w:pPr>
            <w:r>
              <w:rPr>
                <w:rFonts w:hint="eastAsia" w:ascii="黑体" w:hAnsi="黑体" w:eastAsia="黑体"/>
                <w:sz w:val="18"/>
                <w:szCs w:val="18"/>
              </w:rPr>
              <w:t>（六）其他处理</w:t>
            </w: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1.申请人无正当理由逾期不补正、行政机关不再处理其政府信息公开申请</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88" w:hRule="atLeast"/>
        </w:trPr>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left w:val="nil"/>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2.申请人逾期未按收费通知要求缴纳费用、行政机关不再处理其政府信息公开申请</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666" w:type="dxa"/>
            <w:vMerge w:val="continue"/>
            <w:tcBorders>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259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3.其他</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2</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9" w:hRule="atLeast"/>
        </w:trPr>
        <w:tc>
          <w:tcPr>
            <w:tcW w:w="57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p>
        </w:tc>
        <w:tc>
          <w:tcPr>
            <w:tcW w:w="3261" w:type="dxa"/>
            <w:gridSpan w:val="2"/>
            <w:tcBorders>
              <w:top w:val="nil"/>
              <w:left w:val="nil"/>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（七）总计</w:t>
            </w:r>
          </w:p>
        </w:tc>
        <w:tc>
          <w:tcPr>
            <w:tcW w:w="843" w:type="dxa"/>
            <w:tcBorders>
              <w:top w:val="nil"/>
              <w:left w:val="nil"/>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265</w:t>
            </w:r>
          </w:p>
        </w:tc>
        <w:tc>
          <w:tcPr>
            <w:tcW w:w="702" w:type="dxa"/>
            <w:tcBorders>
              <w:top w:val="nil"/>
              <w:left w:val="nil"/>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right w:val="single" w:color="auto" w:sz="8" w:space="0"/>
            </w:tcBorders>
            <w:shd w:val="clear" w:color="auto" w:fill="auto"/>
            <w:tcMar>
              <w:left w:w="108" w:type="dxa"/>
              <w:right w:w="108" w:type="dxa"/>
            </w:tcMar>
            <w:vAlign w:val="center"/>
          </w:tcPr>
          <w:p>
            <w:pPr>
              <w:rPr>
                <w:rFonts w:ascii="黑体" w:hAnsi="黑体" w:eastAsia="黑体"/>
                <w:sz w:val="20"/>
                <w:szCs w:val="20"/>
              </w:rPr>
            </w:pPr>
            <w:r>
              <w:rPr>
                <w:rFonts w:hint="eastAsia" w:ascii="黑体" w:hAnsi="黑体" w:eastAsia="黑体"/>
                <w:sz w:val="20"/>
                <w:szCs w:val="20"/>
              </w:rPr>
              <w:t>265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37"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left"/>
              <w:rPr>
                <w:rFonts w:ascii="黑体" w:hAnsi="黑体" w:eastAsia="黑体"/>
                <w:sz w:val="18"/>
                <w:szCs w:val="18"/>
              </w:rPr>
            </w:pPr>
            <w:r>
              <w:rPr>
                <w:rFonts w:hint="eastAsia" w:ascii="黑体" w:hAnsi="黑体" w:eastAsia="黑体"/>
                <w:sz w:val="18"/>
                <w:szCs w:val="18"/>
              </w:rPr>
              <w:t>四、结转下年度继续办理</w:t>
            </w:r>
          </w:p>
        </w:tc>
        <w:tc>
          <w:tcPr>
            <w:tcW w:w="843"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2</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8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89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1"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黑体" w:hAnsi="黑体" w:eastAsia="黑体"/>
                <w:sz w:val="20"/>
                <w:szCs w:val="20"/>
              </w:rPr>
            </w:pPr>
            <w:r>
              <w:rPr>
                <w:rFonts w:hint="eastAsia" w:ascii="黑体" w:hAnsi="黑体" w:eastAsia="黑体"/>
                <w:sz w:val="20"/>
                <w:szCs w:val="20"/>
              </w:rPr>
              <w:t>2</w:t>
            </w:r>
          </w:p>
        </w:tc>
      </w:tr>
    </w:tbl>
    <w:p>
      <w:pPr>
        <w:snapToGrid w:val="0"/>
        <w:ind w:firstLine="440" w:firstLineChars="200"/>
        <w:jc w:val="left"/>
        <w:rPr>
          <w:rFonts w:ascii="仿宋_GB2312" w:hAnsi="宋体" w:eastAsia="仿宋_GB2312" w:cs="宋体"/>
          <w:color w:val="333333"/>
          <w:kern w:val="0"/>
          <w:sz w:val="22"/>
          <w:shd w:val="clear" w:color="auto" w:fill="FFFFFF"/>
        </w:rPr>
      </w:pPr>
    </w:p>
    <w:p>
      <w:pPr>
        <w:snapToGrid w:val="0"/>
        <w:ind w:firstLine="440" w:firstLineChars="200"/>
        <w:jc w:val="left"/>
        <w:rPr>
          <w:rFonts w:ascii="仿宋_GB2312" w:hAnsi="宋体" w:eastAsia="仿宋_GB2312" w:cs="宋体"/>
          <w:color w:val="333333"/>
          <w:kern w:val="0"/>
          <w:sz w:val="22"/>
          <w:shd w:val="clear" w:color="auto" w:fill="FFFFFF"/>
        </w:rPr>
      </w:pPr>
    </w:p>
    <w:p>
      <w:pPr>
        <w:snapToGrid w:val="0"/>
        <w:ind w:firstLine="440" w:firstLineChars="200"/>
        <w:jc w:val="left"/>
        <w:rPr>
          <w:rFonts w:ascii="仿宋_GB2312" w:hAnsi="宋体" w:eastAsia="仿宋_GB2312" w:cs="宋体"/>
          <w:color w:val="333333"/>
          <w:kern w:val="0"/>
          <w:sz w:val="22"/>
          <w:shd w:val="clear" w:color="auto" w:fill="FFFFFF"/>
        </w:rPr>
      </w:pPr>
    </w:p>
    <w:p>
      <w:pPr>
        <w:snapToGrid w:val="0"/>
        <w:ind w:firstLine="440" w:firstLineChars="200"/>
        <w:jc w:val="left"/>
        <w:rPr>
          <w:rFonts w:ascii="仿宋_GB2312" w:hAnsi="宋体" w:eastAsia="仿宋_GB2312" w:cs="宋体"/>
          <w:color w:val="333333"/>
          <w:kern w:val="0"/>
          <w:sz w:val="22"/>
          <w:shd w:val="clear" w:color="auto" w:fill="FFFFFF"/>
        </w:rPr>
      </w:pPr>
    </w:p>
    <w:p>
      <w:pPr>
        <w:snapToGrid w:val="0"/>
        <w:ind w:firstLine="440" w:firstLineChars="200"/>
        <w:jc w:val="left"/>
        <w:rPr>
          <w:rFonts w:hint="eastAsia" w:ascii="仿宋_GB2312" w:hAnsi="宋体" w:eastAsia="仿宋_GB2312" w:cs="宋体"/>
          <w:color w:val="333333"/>
          <w:kern w:val="0"/>
          <w:sz w:val="22"/>
          <w:shd w:val="clear" w:color="auto" w:fill="FFFFFF"/>
        </w:rPr>
      </w:pPr>
    </w:p>
    <w:p>
      <w:pPr>
        <w:snapToGrid w:val="0"/>
        <w:ind w:firstLine="440" w:firstLineChars="200"/>
        <w:jc w:val="left"/>
        <w:rPr>
          <w:rFonts w:hint="eastAsia" w:ascii="仿宋_GB2312" w:hAnsi="宋体" w:eastAsia="仿宋_GB2312" w:cs="宋体"/>
          <w:color w:val="333333"/>
          <w:kern w:val="0"/>
          <w:sz w:val="22"/>
          <w:shd w:val="clear" w:color="auto" w:fill="FFFFFF"/>
        </w:rPr>
      </w:pPr>
    </w:p>
    <w:p>
      <w:pPr>
        <w:snapToGrid w:val="0"/>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519"/>
        <w:gridCol w:w="689"/>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93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ind w:firstLine="360" w:firstLineChars="200"/>
              <w:jc w:val="center"/>
              <w:rPr>
                <w:rFonts w:ascii="黑体" w:hAnsi="黑体" w:eastAsia="黑体"/>
                <w:sz w:val="18"/>
                <w:szCs w:val="18"/>
              </w:rPr>
            </w:pPr>
            <w:r>
              <w:rPr>
                <w:rFonts w:hint="eastAsia" w:ascii="黑体" w:hAnsi="黑体" w:eastAsia="黑体"/>
                <w:sz w:val="18"/>
                <w:szCs w:val="18"/>
              </w:rPr>
              <w:t>行政复议</w:t>
            </w:r>
          </w:p>
        </w:tc>
        <w:tc>
          <w:tcPr>
            <w:tcW w:w="6136"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center"/>
              <w:rPr>
                <w:rFonts w:ascii="黑体" w:hAnsi="黑体" w:eastAsia="黑体"/>
                <w:sz w:val="18"/>
                <w:szCs w:val="18"/>
              </w:rPr>
            </w:pPr>
            <w:r>
              <w:rPr>
                <w:rFonts w:hint="eastAsia" w:ascii="黑体" w:hAnsi="黑体" w:eastAsia="黑体"/>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尚未审结</w:t>
            </w:r>
          </w:p>
        </w:tc>
        <w:tc>
          <w:tcPr>
            <w:tcW w:w="51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总计</w:t>
            </w:r>
          </w:p>
        </w:tc>
        <w:tc>
          <w:tcPr>
            <w:tcW w:w="3109"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center"/>
              <w:rPr>
                <w:rFonts w:ascii="黑体" w:hAnsi="黑体" w:eastAsia="黑体"/>
                <w:sz w:val="18"/>
                <w:szCs w:val="18"/>
              </w:rPr>
            </w:pPr>
            <w:r>
              <w:rPr>
                <w:rFonts w:hint="eastAsia" w:ascii="黑体" w:hAnsi="黑体" w:eastAsia="黑体"/>
                <w:sz w:val="18"/>
                <w:szCs w:val="18"/>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360" w:firstLineChars="200"/>
              <w:jc w:val="center"/>
              <w:rPr>
                <w:rFonts w:ascii="黑体" w:hAnsi="黑体" w:eastAsia="黑体"/>
                <w:sz w:val="18"/>
                <w:szCs w:val="18"/>
              </w:rPr>
            </w:pPr>
            <w:r>
              <w:rPr>
                <w:rFonts w:hint="eastAsia" w:ascii="黑体" w:hAnsi="黑体" w:eastAsia="黑体"/>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440" w:firstLineChars="200"/>
              <w:rPr>
                <w:rFonts w:ascii="黑体" w:hAnsi="黑体" w:eastAsia="黑体"/>
                <w:sz w:val="22"/>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ind w:firstLine="440" w:firstLineChars="200"/>
              <w:rPr>
                <w:rFonts w:ascii="黑体" w:hAnsi="黑体" w:eastAsia="黑体"/>
                <w:sz w:val="22"/>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440" w:firstLineChars="200"/>
              <w:rPr>
                <w:rFonts w:ascii="黑体" w:hAnsi="黑体" w:eastAsia="黑体"/>
                <w:sz w:val="22"/>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360" w:firstLineChars="200"/>
              <w:rPr>
                <w:rFonts w:ascii="黑体" w:hAnsi="黑体" w:eastAsia="黑体"/>
                <w:sz w:val="18"/>
                <w:szCs w:val="18"/>
              </w:rPr>
            </w:pPr>
          </w:p>
        </w:tc>
        <w:tc>
          <w:tcPr>
            <w:tcW w:w="51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ind w:firstLine="360" w:firstLineChars="200"/>
              <w:rPr>
                <w:rFonts w:ascii="黑体" w:hAnsi="黑体" w:eastAsia="黑体"/>
                <w:sz w:val="18"/>
                <w:szCs w:val="18"/>
              </w:rPr>
            </w:pPr>
          </w:p>
        </w:tc>
        <w:tc>
          <w:tcPr>
            <w:tcW w:w="689"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18"/>
                <w:szCs w:val="18"/>
              </w:rPr>
            </w:pPr>
            <w:r>
              <w:rPr>
                <w:rFonts w:hint="eastAsia" w:ascii="黑体" w:hAnsi="黑体" w:eastAsia="黑体"/>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ind w:firstLine="220" w:firstLineChars="100"/>
              <w:jc w:val="left"/>
              <w:rPr>
                <w:rFonts w:ascii="黑体" w:hAnsi="黑体" w:eastAsia="黑体"/>
                <w:sz w:val="22"/>
              </w:rPr>
            </w:pPr>
            <w:r>
              <w:rPr>
                <w:rFonts w:hint="eastAsia" w:eastAsia="黑体"/>
                <w:sz w:val="22"/>
              </w:rPr>
              <w:t>7</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22"/>
              </w:rPr>
            </w:pPr>
            <w:r>
              <w:rPr>
                <w:rFonts w:hint="eastAsia" w:eastAsia="黑体"/>
                <w:sz w:val="22"/>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22"/>
              </w:rPr>
            </w:pPr>
            <w:r>
              <w:rPr>
                <w:rFonts w:hint="eastAsia" w:eastAsia="黑体"/>
                <w:sz w:val="22"/>
              </w:rPr>
              <w:t>2</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1</w:t>
            </w:r>
          </w:p>
        </w:tc>
        <w:tc>
          <w:tcPr>
            <w:tcW w:w="519"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10</w:t>
            </w:r>
          </w:p>
        </w:tc>
        <w:tc>
          <w:tcPr>
            <w:tcW w:w="689"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6</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7</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2</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eastAsia="黑体"/>
                <w:sz w:val="18"/>
                <w:szCs w:val="18"/>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ascii="黑体" w:hAnsi="黑体" w:eastAsia="黑体"/>
                <w:sz w:val="18"/>
                <w:szCs w:val="18"/>
              </w:rPr>
            </w:pPr>
            <w:r>
              <w:rPr>
                <w:rFonts w:hint="eastAsia" w:ascii="黑体" w:hAnsi="黑体" w:eastAsia="黑体"/>
                <w:sz w:val="18"/>
                <w:szCs w:val="18"/>
              </w:rPr>
              <w:t>3</w:t>
            </w:r>
          </w:p>
        </w:tc>
      </w:tr>
    </w:tbl>
    <w:p>
      <w:pPr>
        <w:pStyle w:val="12"/>
        <w:spacing w:line="560" w:lineRule="exact"/>
        <w:ind w:firstLine="640"/>
        <w:jc w:val="left"/>
        <w:rPr>
          <w:rFonts w:ascii="黑体" w:hAnsi="黑体" w:eastAsia="黑体"/>
          <w:sz w:val="32"/>
          <w:szCs w:val="32"/>
        </w:rPr>
      </w:pPr>
      <w:r>
        <w:rPr>
          <w:rFonts w:hint="eastAsia" w:ascii="黑体" w:hAnsi="黑体" w:eastAsia="黑体"/>
          <w:sz w:val="32"/>
          <w:szCs w:val="32"/>
        </w:rPr>
        <w:t>五、存在的主要问题及改进情况</w:t>
      </w:r>
    </w:p>
    <w:p>
      <w:pPr>
        <w:pStyle w:val="12"/>
        <w:spacing w:line="560" w:lineRule="exact"/>
        <w:ind w:left="2" w:leftChars="1" w:firstLine="640"/>
        <w:jc w:val="left"/>
        <w:rPr>
          <w:rFonts w:ascii="仿宋" w:hAnsi="仿宋" w:eastAsia="仿宋"/>
          <w:sz w:val="32"/>
          <w:szCs w:val="32"/>
        </w:rPr>
      </w:pPr>
      <w:r>
        <w:rPr>
          <w:rFonts w:hint="eastAsia" w:ascii="仿宋" w:hAnsi="仿宋" w:eastAsia="仿宋"/>
          <w:sz w:val="32"/>
          <w:szCs w:val="32"/>
          <w:shd w:val="clear" w:color="auto" w:fill="FFFFFF"/>
        </w:rPr>
        <w:t>2023年，青岛市公安局在</w:t>
      </w:r>
      <w:r>
        <w:rPr>
          <w:rFonts w:hint="eastAsia" w:ascii="仿宋_GB2312" w:eastAsia="仿宋_GB2312"/>
          <w:sz w:val="32"/>
          <w:szCs w:val="32"/>
        </w:rPr>
        <w:t>拓展政府信息公开渠道、丰富政府信息供给等方面取得了</w:t>
      </w:r>
      <w:r>
        <w:rPr>
          <w:rFonts w:hint="eastAsia" w:ascii="仿宋" w:hAnsi="仿宋" w:eastAsia="仿宋"/>
          <w:sz w:val="32"/>
          <w:szCs w:val="32"/>
          <w:shd w:val="clear" w:color="auto" w:fill="FFFFFF"/>
        </w:rPr>
        <w:t>一定的成绩，但是政务信息</w:t>
      </w:r>
      <w:r>
        <w:rPr>
          <w:rFonts w:hint="eastAsia" w:ascii="仿宋_GB2312" w:eastAsia="仿宋_GB2312"/>
          <w:sz w:val="32"/>
          <w:szCs w:val="32"/>
        </w:rPr>
        <w:t>关联性整合、精准服务社会经济运行以及对社会发展和群众关切有效回应等</w:t>
      </w:r>
      <w:r>
        <w:rPr>
          <w:rFonts w:hint="eastAsia" w:ascii="仿宋" w:hAnsi="仿宋" w:eastAsia="仿宋"/>
          <w:sz w:val="32"/>
          <w:szCs w:val="32"/>
          <w:shd w:val="clear" w:color="auto" w:fill="FFFFFF"/>
        </w:rPr>
        <w:t>方面依然存在不足，基层政府信息公开工作人员公开意识不强、业务不熟等情况依然存在。2024年，青岛</w:t>
      </w:r>
      <w:r>
        <w:rPr>
          <w:rFonts w:hint="eastAsia" w:ascii="仿宋_GB2312" w:hAnsi="仿宋" w:eastAsia="仿宋_GB2312"/>
          <w:sz w:val="32"/>
          <w:szCs w:val="32"/>
          <w:shd w:val="clear" w:color="auto" w:fill="FFFFFF"/>
        </w:rPr>
        <w:t>市公安局将在市委、市政府的领导下，严格履行法定公开职责，进一步提高政府信息供给的覆盖面、精准度和时效性，加强政务公开工作人员培训，切实提高公安机关政府信息公开服务社会、服务群众的水平和能力</w:t>
      </w:r>
      <w:r>
        <w:rPr>
          <w:rFonts w:hint="eastAsia" w:ascii="仿宋_GB2312" w:hAnsi="仿宋" w:eastAsia="仿宋_GB2312"/>
          <w:sz w:val="32"/>
          <w:szCs w:val="32"/>
        </w:rPr>
        <w:t>。</w:t>
      </w:r>
    </w:p>
    <w:p>
      <w:pPr>
        <w:pStyle w:val="5"/>
        <w:widowControl/>
        <w:shd w:val="clear" w:color="auto" w:fill="FFFFFF"/>
        <w:spacing w:beforeAutospacing="0" w:afterAutospacing="0" w:line="560" w:lineRule="exact"/>
        <w:ind w:firstLine="420"/>
        <w:rPr>
          <w:rFonts w:ascii="Helvetica" w:hAnsi="Helvetica" w:eastAsia="Helvetica" w:cs="Helvetica"/>
          <w:color w:val="333333"/>
          <w:sz w:val="32"/>
          <w:szCs w:val="32"/>
        </w:rPr>
      </w:pPr>
      <w:r>
        <w:rPr>
          <w:rFonts w:ascii="黑体" w:hAnsi="宋体" w:eastAsia="黑体" w:cs="黑体"/>
          <w:color w:val="333333"/>
          <w:sz w:val="32"/>
          <w:szCs w:val="32"/>
          <w:shd w:val="clear" w:color="auto" w:fill="FFFFFF"/>
        </w:rPr>
        <w:t>六</w:t>
      </w:r>
      <w:r>
        <w:rPr>
          <w:rFonts w:hint="eastAsia" w:ascii="黑体" w:hAnsi="宋体" w:eastAsia="黑体" w:cs="黑体"/>
          <w:color w:val="333333"/>
          <w:sz w:val="32"/>
          <w:szCs w:val="32"/>
          <w:shd w:val="clear" w:color="auto" w:fill="FFFFFF"/>
        </w:rPr>
        <w:t>、其他需要报告的事项</w:t>
      </w:r>
    </w:p>
    <w:p>
      <w:pPr>
        <w:pStyle w:val="5"/>
        <w:widowControl/>
        <w:shd w:val="clear" w:color="auto" w:fill="FFFFFF"/>
        <w:spacing w:beforeAutospacing="0" w:afterAutospacing="0" w:line="560" w:lineRule="exact"/>
        <w:ind w:firstLine="42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（一）收取信息处理费的情况。本年度，青岛市公安局未向政府信息公开申请人收取费用。</w:t>
      </w:r>
    </w:p>
    <w:p>
      <w:pPr>
        <w:pStyle w:val="5"/>
        <w:widowControl/>
        <w:shd w:val="clear" w:color="auto" w:fill="FFFFFF"/>
        <w:spacing w:beforeAutospacing="0" w:afterAutospacing="0" w:line="560" w:lineRule="exact"/>
        <w:ind w:firstLine="42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（二）落实上级政务公开工作要点情况。本年度，青岛市公安局严格按照市政府年度政务公开工作要点，结合公安工作实际，依法依规开展各项工作。</w:t>
      </w:r>
    </w:p>
    <w:p>
      <w:pPr>
        <w:pStyle w:val="5"/>
        <w:widowControl/>
        <w:shd w:val="clear" w:color="auto" w:fill="FFFFFF"/>
        <w:spacing w:beforeAutospacing="0" w:afterAutospacing="0" w:line="560" w:lineRule="exact"/>
        <w:ind w:firstLine="42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人大代表建议和政协委员提案办理结果公开情况。2023年，市公安局收到人大代表建议、政协委员提案共82件（主办41件、协办41件），其中人大建议共52件（主办29件、协办23件），政协提案30件（主办12件、协办18件），全部按时办结，并通过青岛政务网公开发布。</w:t>
      </w:r>
    </w:p>
    <w:p>
      <w:pPr>
        <w:pStyle w:val="5"/>
        <w:widowControl/>
        <w:numPr>
          <w:ilvl w:val="0"/>
          <w:numId w:val="1"/>
        </w:numPr>
        <w:shd w:val="clear" w:color="auto" w:fill="FFFFFF"/>
        <w:spacing w:beforeAutospacing="0" w:afterAutospacing="0" w:line="560" w:lineRule="exact"/>
        <w:ind w:firstLine="42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年度政务公开工作创新情况。2</w:t>
      </w:r>
      <w:r>
        <w:rPr>
          <w:rFonts w:ascii="仿宋_GB2312" w:hAnsi="仿宋_GB2312" w:eastAsia="仿宋_GB2312" w:cs="仿宋_GB2312"/>
          <w:color w:val="333333"/>
          <w:sz w:val="32"/>
          <w:szCs w:val="32"/>
          <w:shd w:val="clear" w:color="auto" w:fill="FFFFFF"/>
        </w:rPr>
        <w:t>023</w:t>
      </w:r>
      <w:r>
        <w:rPr>
          <w:rFonts w:hint="eastAsia" w:ascii="仿宋_GB2312" w:hAnsi="仿宋_GB2312" w:eastAsia="仿宋_GB2312" w:cs="仿宋_GB2312"/>
          <w:color w:val="333333"/>
          <w:sz w:val="32"/>
          <w:szCs w:val="32"/>
          <w:shd w:val="clear" w:color="auto" w:fill="FFFFFF"/>
        </w:rPr>
        <w:t>年，青岛市公安局对门户网站进行升级改造，进一步提高政府信息发布的规范化、便利性和精准度。</w:t>
      </w:r>
    </w:p>
    <w:p>
      <w:pPr>
        <w:pStyle w:val="5"/>
        <w:widowControl/>
        <w:numPr>
          <w:ilvl w:val="0"/>
          <w:numId w:val="1"/>
        </w:numPr>
        <w:shd w:val="clear" w:color="auto" w:fill="FFFFFF"/>
        <w:spacing w:beforeAutospacing="0" w:afterAutospacing="0" w:line="560" w:lineRule="exact"/>
        <w:ind w:firstLine="42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政府信息公开工作年度报告数据统计需要说明的事项。</w:t>
      </w:r>
      <w:r>
        <w:rPr>
          <w:rFonts w:hint="eastAsia" w:ascii="仿宋_GB2312" w:hAnsi="仿宋" w:eastAsia="仿宋_GB2312" w:cs="宋体"/>
          <w:sz w:val="32"/>
          <w:szCs w:val="32"/>
        </w:rPr>
        <w:t>本报告中所列数据统计期限从2023年1月1日至2023年12月31日</w:t>
      </w:r>
      <w:r>
        <w:rPr>
          <w:rFonts w:hint="eastAsia" w:ascii="仿宋_GB2312" w:hAnsi="仿宋" w:eastAsia="仿宋_GB2312" w:cs="宋体"/>
          <w:sz w:val="32"/>
          <w:szCs w:val="32"/>
          <w:lang w:eastAsia="zh-CN"/>
        </w:rPr>
        <w:t>，</w:t>
      </w:r>
      <w:r>
        <w:rPr>
          <w:rFonts w:hint="eastAsia" w:ascii="仿宋_GB2312" w:hAnsi="仿宋" w:eastAsia="仿宋_GB2312" w:cs="宋体"/>
          <w:sz w:val="32"/>
          <w:szCs w:val="32"/>
          <w:lang w:val="en-US" w:eastAsia="zh-CN"/>
        </w:rPr>
        <w:t>数据包含市公安局内设机构及各直属单位。</w:t>
      </w:r>
      <w:bookmarkStart w:id="0" w:name="_GoBack"/>
      <w:bookmarkEnd w:id="0"/>
    </w:p>
    <w:p>
      <w:pPr>
        <w:pStyle w:val="5"/>
        <w:widowControl/>
        <w:shd w:val="clear" w:color="auto" w:fill="FFFFFF"/>
        <w:spacing w:beforeAutospacing="0" w:afterAutospacing="0" w:line="560" w:lineRule="exact"/>
        <w:ind w:firstLine="42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（六）本行政机关认为需要报告的其他事项。无。</w:t>
      </w:r>
    </w:p>
    <w:p>
      <w:pPr>
        <w:pStyle w:val="5"/>
        <w:widowControl/>
        <w:shd w:val="clear" w:color="auto" w:fill="FFFFFF"/>
        <w:spacing w:beforeAutospacing="0" w:afterAutospacing="0" w:line="560" w:lineRule="exact"/>
        <w:ind w:firstLine="42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（七）其他有关文件专门要求通过政府信息公开工作年度报告予以报告的事项。无。</w:t>
      </w:r>
    </w:p>
    <w:p>
      <w:pPr>
        <w:pStyle w:val="12"/>
        <w:spacing w:line="560" w:lineRule="exact"/>
        <w:ind w:firstLine="640"/>
        <w:jc w:val="left"/>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4474"/>
      <w:docPartObj>
        <w:docPartGallery w:val="AutoText"/>
      </w:docPartObj>
    </w:sdtPr>
    <w:sdtContent>
      <w:p>
        <w:pPr>
          <w:pStyle w:val="3"/>
          <w:jc w:val="right"/>
        </w:pPr>
        <w:r>
          <w:fldChar w:fldCharType="begin"/>
        </w:r>
        <w:r>
          <w:instrText xml:space="preserve"> PAGE   \* MERGEFORMAT </w:instrText>
        </w:r>
        <w:r>
          <w:fldChar w:fldCharType="separate"/>
        </w:r>
        <w:r>
          <w:rPr>
            <w:lang w:val="zh-CN"/>
          </w:rPr>
          <w:t>5</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9CDA39"/>
    <w:multiLevelType w:val="singleLevel"/>
    <w:tmpl w:val="BB9CDA3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B17"/>
    <w:rsid w:val="00011DBF"/>
    <w:rsid w:val="0002365C"/>
    <w:rsid w:val="0002461D"/>
    <w:rsid w:val="00025562"/>
    <w:rsid w:val="00035D26"/>
    <w:rsid w:val="00044869"/>
    <w:rsid w:val="000465C8"/>
    <w:rsid w:val="00071A00"/>
    <w:rsid w:val="000840C2"/>
    <w:rsid w:val="000867E4"/>
    <w:rsid w:val="000904B2"/>
    <w:rsid w:val="0009604B"/>
    <w:rsid w:val="000C6CAE"/>
    <w:rsid w:val="000D20DB"/>
    <w:rsid w:val="000D47DA"/>
    <w:rsid w:val="00102EE1"/>
    <w:rsid w:val="0011029E"/>
    <w:rsid w:val="00114097"/>
    <w:rsid w:val="00120422"/>
    <w:rsid w:val="00124CC0"/>
    <w:rsid w:val="00135DB5"/>
    <w:rsid w:val="00145B76"/>
    <w:rsid w:val="0018094E"/>
    <w:rsid w:val="00180D05"/>
    <w:rsid w:val="00186891"/>
    <w:rsid w:val="001975A0"/>
    <w:rsid w:val="001C62AC"/>
    <w:rsid w:val="001D56FA"/>
    <w:rsid w:val="001F034F"/>
    <w:rsid w:val="002325B5"/>
    <w:rsid w:val="00247DC0"/>
    <w:rsid w:val="00262EF3"/>
    <w:rsid w:val="002749DA"/>
    <w:rsid w:val="0028250E"/>
    <w:rsid w:val="00292647"/>
    <w:rsid w:val="0029521A"/>
    <w:rsid w:val="00295E50"/>
    <w:rsid w:val="002D268C"/>
    <w:rsid w:val="00302BA9"/>
    <w:rsid w:val="00333C56"/>
    <w:rsid w:val="00337BD6"/>
    <w:rsid w:val="00356361"/>
    <w:rsid w:val="00357852"/>
    <w:rsid w:val="00366D69"/>
    <w:rsid w:val="0036790F"/>
    <w:rsid w:val="00375288"/>
    <w:rsid w:val="003A2C49"/>
    <w:rsid w:val="003B1C16"/>
    <w:rsid w:val="003B452E"/>
    <w:rsid w:val="003C1D23"/>
    <w:rsid w:val="00410D46"/>
    <w:rsid w:val="00432417"/>
    <w:rsid w:val="004556C3"/>
    <w:rsid w:val="0047054E"/>
    <w:rsid w:val="00487504"/>
    <w:rsid w:val="00492344"/>
    <w:rsid w:val="00496200"/>
    <w:rsid w:val="004A6E5A"/>
    <w:rsid w:val="004C3EE7"/>
    <w:rsid w:val="004D0F5B"/>
    <w:rsid w:val="004D6007"/>
    <w:rsid w:val="004F2CB2"/>
    <w:rsid w:val="00500656"/>
    <w:rsid w:val="00502715"/>
    <w:rsid w:val="00511980"/>
    <w:rsid w:val="00535F57"/>
    <w:rsid w:val="0054036C"/>
    <w:rsid w:val="005A08B2"/>
    <w:rsid w:val="005A6153"/>
    <w:rsid w:val="005B1F04"/>
    <w:rsid w:val="005D4BE1"/>
    <w:rsid w:val="005F044D"/>
    <w:rsid w:val="00600347"/>
    <w:rsid w:val="0060636A"/>
    <w:rsid w:val="00607D96"/>
    <w:rsid w:val="00611FF9"/>
    <w:rsid w:val="0067401D"/>
    <w:rsid w:val="0068169C"/>
    <w:rsid w:val="006A1CBA"/>
    <w:rsid w:val="006B4252"/>
    <w:rsid w:val="006C29BF"/>
    <w:rsid w:val="006D6CCD"/>
    <w:rsid w:val="006E7211"/>
    <w:rsid w:val="006F1F52"/>
    <w:rsid w:val="00701F93"/>
    <w:rsid w:val="007119C3"/>
    <w:rsid w:val="00715A1F"/>
    <w:rsid w:val="007169AC"/>
    <w:rsid w:val="007229D9"/>
    <w:rsid w:val="007271B4"/>
    <w:rsid w:val="00730F2D"/>
    <w:rsid w:val="0074699F"/>
    <w:rsid w:val="007508A3"/>
    <w:rsid w:val="00783363"/>
    <w:rsid w:val="00796E1D"/>
    <w:rsid w:val="007C4D6F"/>
    <w:rsid w:val="007D4B36"/>
    <w:rsid w:val="007E3CCB"/>
    <w:rsid w:val="007F0FEA"/>
    <w:rsid w:val="007F543F"/>
    <w:rsid w:val="00800527"/>
    <w:rsid w:val="008140FF"/>
    <w:rsid w:val="00815A80"/>
    <w:rsid w:val="008402D3"/>
    <w:rsid w:val="00863C90"/>
    <w:rsid w:val="0089241C"/>
    <w:rsid w:val="008F100E"/>
    <w:rsid w:val="008F7A63"/>
    <w:rsid w:val="00905C6E"/>
    <w:rsid w:val="0091778F"/>
    <w:rsid w:val="00930DE1"/>
    <w:rsid w:val="0093306F"/>
    <w:rsid w:val="00954650"/>
    <w:rsid w:val="00973626"/>
    <w:rsid w:val="00992933"/>
    <w:rsid w:val="009B3285"/>
    <w:rsid w:val="009B6E82"/>
    <w:rsid w:val="009C3B8C"/>
    <w:rsid w:val="009C6EC0"/>
    <w:rsid w:val="009D736D"/>
    <w:rsid w:val="009F5BC2"/>
    <w:rsid w:val="00A01DC9"/>
    <w:rsid w:val="00A14E81"/>
    <w:rsid w:val="00A54805"/>
    <w:rsid w:val="00A65F07"/>
    <w:rsid w:val="00A950EE"/>
    <w:rsid w:val="00A95F3D"/>
    <w:rsid w:val="00AC424E"/>
    <w:rsid w:val="00B22BAE"/>
    <w:rsid w:val="00B23493"/>
    <w:rsid w:val="00B50DC5"/>
    <w:rsid w:val="00B523C4"/>
    <w:rsid w:val="00B72675"/>
    <w:rsid w:val="00B727B8"/>
    <w:rsid w:val="00B84842"/>
    <w:rsid w:val="00B87BB3"/>
    <w:rsid w:val="00BB470A"/>
    <w:rsid w:val="00BC2B20"/>
    <w:rsid w:val="00BC4CF8"/>
    <w:rsid w:val="00BD1566"/>
    <w:rsid w:val="00BD3CFD"/>
    <w:rsid w:val="00BE7A84"/>
    <w:rsid w:val="00BF7FBB"/>
    <w:rsid w:val="00C017E9"/>
    <w:rsid w:val="00C04EB1"/>
    <w:rsid w:val="00C24E93"/>
    <w:rsid w:val="00C315C2"/>
    <w:rsid w:val="00C439A4"/>
    <w:rsid w:val="00C66FDB"/>
    <w:rsid w:val="00CA3E9E"/>
    <w:rsid w:val="00CB1C65"/>
    <w:rsid w:val="00CE00ED"/>
    <w:rsid w:val="00D14B09"/>
    <w:rsid w:val="00D36801"/>
    <w:rsid w:val="00D86188"/>
    <w:rsid w:val="00DD085C"/>
    <w:rsid w:val="00DF61C4"/>
    <w:rsid w:val="00E03E32"/>
    <w:rsid w:val="00E043DC"/>
    <w:rsid w:val="00E10447"/>
    <w:rsid w:val="00E1232F"/>
    <w:rsid w:val="00E232CD"/>
    <w:rsid w:val="00E566FE"/>
    <w:rsid w:val="00E632C3"/>
    <w:rsid w:val="00E87CAA"/>
    <w:rsid w:val="00E940F9"/>
    <w:rsid w:val="00EA0128"/>
    <w:rsid w:val="00EA6DFB"/>
    <w:rsid w:val="00EF1115"/>
    <w:rsid w:val="00EF4060"/>
    <w:rsid w:val="00F24AF7"/>
    <w:rsid w:val="00F36902"/>
    <w:rsid w:val="00F643D2"/>
    <w:rsid w:val="00F72DFA"/>
    <w:rsid w:val="00F76B17"/>
    <w:rsid w:val="00F958CA"/>
    <w:rsid w:val="00FA7F1A"/>
    <w:rsid w:val="00FD7157"/>
    <w:rsid w:val="00FE4962"/>
    <w:rsid w:val="00FF1608"/>
    <w:rsid w:val="00FF7206"/>
    <w:rsid w:val="612F3D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rFonts w:ascii="Calibri" w:hAnsi="Calibri" w:eastAsia="宋体" w:cs="Times New Roman"/>
      <w:kern w:val="0"/>
      <w:sz w:val="24"/>
      <w:szCs w:val="24"/>
    </w:rPr>
  </w:style>
  <w:style w:type="table" w:styleId="7">
    <w:name w:val="Table Grid"/>
    <w:basedOn w:val="6"/>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Hyperlink"/>
    <w:basedOn w:val="8"/>
    <w:unhideWhenUsed/>
    <w:uiPriority w:val="99"/>
    <w:rPr>
      <w:color w:val="0000FF"/>
      <w:u w:val="single"/>
    </w:rPr>
  </w:style>
  <w:style w:type="character" w:customStyle="1" w:styleId="10">
    <w:name w:val="页眉 字符"/>
    <w:basedOn w:val="8"/>
    <w:link w:val="4"/>
    <w:uiPriority w:val="99"/>
    <w:rPr>
      <w:sz w:val="18"/>
      <w:szCs w:val="18"/>
    </w:rPr>
  </w:style>
  <w:style w:type="character" w:customStyle="1" w:styleId="11">
    <w:name w:val="页脚 字符"/>
    <w:basedOn w:val="8"/>
    <w:link w:val="3"/>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8"/>
    <w:link w:val="2"/>
    <w:uiPriority w:val="99"/>
    <w:rPr>
      <w:sz w:val="18"/>
      <w:szCs w:val="18"/>
    </w:rPr>
  </w:style>
  <w:style w:type="character" w:customStyle="1" w:styleId="14">
    <w:name w:val="批注框文本 Char1"/>
    <w:basedOn w:val="8"/>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C5A35-E38F-46CA-B390-857B138391B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602</Words>
  <Characters>3437</Characters>
  <Lines>28</Lines>
  <Paragraphs>8</Paragraphs>
  <TotalTime>3147</TotalTime>
  <ScaleCrop>false</ScaleCrop>
  <LinksUpToDate>false</LinksUpToDate>
  <CharactersWithSpaces>4031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2024-01-16T06:03:00Z</dcterms:created>
  <dc:creator>微软用户</dc:creator>
  <cp:lastModifiedBy>Administrator</cp:lastModifiedBy>
  <cp:lastPrinted>2024-01-25T02:33:00Z</cp:lastPrinted>
  <dcterms:modified xsi:type="dcterms:W3CDTF">2024-02-18T08:17:50Z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66FB12224E7046D18D2452C9870E9458</vt:lpwstr>
  </property>
</Properties>
</file>