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机动车驾驶证申领和使用规定（中华人民共和国公安部令第162号）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第六十一条  公安机关交通管理部门应当实行机动车驾驶证电子化，机动车驾驶人可以通过互联网交通安全综合服务管理平台申请机动车驾驶证电子版。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机动车驾驶证电</w:t>
      </w:r>
      <w:bookmarkStart w:id="0" w:name="_GoBack"/>
      <w:bookmarkEnd w:id="0"/>
      <w:r>
        <w:rPr>
          <w:rFonts w:hint="eastAsia" w:ascii="仿宋_GB2312" w:hAnsi="仿宋_GB2312" w:eastAsia="仿宋_GB2312" w:cs="仿宋_GB2312"/>
          <w:sz w:val="32"/>
          <w:szCs w:val="32"/>
        </w:rPr>
        <w:t xml:space="preserve">子版与纸质版具有同等效力。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公安机关交通管理部门对机动车驾驶人的道路交通安全违法行为，除依法给予行政处罚外，实行道路交通安全违法行为累积记分制度，记分周期为12个月，满分为12分。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机动车驾驶人在一个记分周期内记分达到12分的，应当按规定参加学习、考试。</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1" w:fontKey="{8A5181EA-1DA0-40F7-86D0-80BCBF9EE4DC}"/>
  </w:font>
  <w:font w:name="仿宋_GB2312">
    <w:panose1 w:val="02010609030101010101"/>
    <w:charset w:val="86"/>
    <w:family w:val="auto"/>
    <w:pitch w:val="default"/>
    <w:sig w:usb0="00000001" w:usb1="080E0000" w:usb2="00000000" w:usb3="00000000" w:csb0="00040000" w:csb1="00000000"/>
    <w:embedRegular r:id="rId2" w:fontKey="{0EDB6BDB-B86B-40D7-B463-79F2C227DF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kZWVmZTk5OGE0MjI4MjBhMTE5NjgzYzhlOTNlZTAifQ=="/>
  </w:docVars>
  <w:rsids>
    <w:rsidRoot w:val="30363B62"/>
    <w:rsid w:val="30363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2024-05-10T09:34:00Z</dcterms:created>
  <dc:creator>鱼</dc:creator>
  <cp:lastModifiedBy>鱼</cp:lastModifiedBy>
  <dcterms:modified xsi:type="dcterms:W3CDTF">2024-05-10T09:34:55Z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B2F1FF4A0CD042A4B116982AE496243B_11</vt:lpwstr>
  </property>
</Properties>
</file>