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bookmarkStart w:id="0" w:name="_GoBack"/>
      <w:bookmarkEnd w:id="0"/>
    </w:p>
    <w:p>
      <w:pPr>
        <w:spacing w:line="560" w:lineRule="exact"/>
        <w:jc w:val="center"/>
        <w:rPr>
          <w:rFonts w:hint="eastAsia" w:ascii="方正小标宋_GBK" w:eastAsia="方正小标宋_GBK"/>
          <w:color w:val="auto"/>
          <w:sz w:val="44"/>
          <w:szCs w:val="44"/>
        </w:rPr>
      </w:pPr>
      <w:r>
        <w:rPr>
          <w:rFonts w:hint="eastAsia" w:ascii="方正小标宋_GBK" w:eastAsia="方正小标宋_GBK"/>
          <w:color w:val="auto"/>
          <w:sz w:val="44"/>
          <w:szCs w:val="44"/>
          <w:lang w:eastAsia="zh-CN"/>
        </w:rPr>
        <w:t>青岛市公安局</w:t>
      </w:r>
      <w:r>
        <w:rPr>
          <w:rFonts w:hint="eastAsia" w:ascii="方正小标宋_GBK" w:eastAsia="方正小标宋_GBK"/>
          <w:color w:val="auto"/>
          <w:sz w:val="44"/>
          <w:szCs w:val="44"/>
          <w:lang w:val="en-US" w:eastAsia="zh-CN"/>
        </w:rPr>
        <w:t>2024年度“双随机、一公开”监管</w:t>
      </w:r>
      <w:r>
        <w:rPr>
          <w:rFonts w:hint="eastAsia" w:ascii="方正小标宋_GBK" w:eastAsia="方正小标宋_GBK"/>
          <w:color w:val="auto"/>
          <w:sz w:val="44"/>
          <w:szCs w:val="44"/>
        </w:rPr>
        <w:t>抽查事项清单</w:t>
      </w:r>
    </w:p>
    <w:p>
      <w:pPr>
        <w:spacing w:line="560" w:lineRule="exact"/>
        <w:rPr>
          <w:rFonts w:ascii="仿宋_GB2312" w:eastAsia="仿宋_GB2312"/>
          <w:color w:val="auto"/>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40"/>
        <w:gridCol w:w="1705"/>
        <w:gridCol w:w="1404"/>
        <w:gridCol w:w="1248"/>
        <w:gridCol w:w="996"/>
        <w:gridCol w:w="1560"/>
        <w:gridCol w:w="1907"/>
        <w:gridCol w:w="3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序号</w:t>
            </w:r>
          </w:p>
        </w:tc>
        <w:tc>
          <w:tcPr>
            <w:tcW w:w="1440"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抽查</w:t>
            </w:r>
            <w:r>
              <w:rPr>
                <w:rFonts w:ascii="黑体" w:hAnsi="黑体" w:eastAsia="黑体"/>
                <w:color w:val="auto"/>
                <w:sz w:val="28"/>
                <w:szCs w:val="28"/>
              </w:rPr>
              <w:t>事项</w:t>
            </w:r>
          </w:p>
        </w:tc>
        <w:tc>
          <w:tcPr>
            <w:tcW w:w="1705"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抽查内容</w:t>
            </w:r>
          </w:p>
        </w:tc>
        <w:tc>
          <w:tcPr>
            <w:tcW w:w="1404"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检查对象</w:t>
            </w:r>
          </w:p>
        </w:tc>
        <w:tc>
          <w:tcPr>
            <w:tcW w:w="1248"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事项</w:t>
            </w:r>
          </w:p>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类别</w:t>
            </w:r>
          </w:p>
        </w:tc>
        <w:tc>
          <w:tcPr>
            <w:tcW w:w="996"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检查</w:t>
            </w:r>
            <w:r>
              <w:rPr>
                <w:rFonts w:ascii="黑体" w:hAnsi="黑体" w:eastAsia="黑体"/>
                <w:color w:val="auto"/>
                <w:sz w:val="28"/>
                <w:szCs w:val="28"/>
              </w:rPr>
              <w:t>方式</w:t>
            </w:r>
          </w:p>
        </w:tc>
        <w:tc>
          <w:tcPr>
            <w:tcW w:w="1560"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抽查</w:t>
            </w:r>
            <w:r>
              <w:rPr>
                <w:rFonts w:ascii="黑体" w:hAnsi="黑体" w:eastAsia="黑体"/>
                <w:color w:val="auto"/>
                <w:sz w:val="28"/>
                <w:szCs w:val="28"/>
              </w:rPr>
              <w:t>比例及频次</w:t>
            </w:r>
          </w:p>
        </w:tc>
        <w:tc>
          <w:tcPr>
            <w:tcW w:w="1907"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检查主体</w:t>
            </w:r>
          </w:p>
        </w:tc>
        <w:tc>
          <w:tcPr>
            <w:tcW w:w="3086" w:type="dxa"/>
            <w:noWrap w:val="0"/>
            <w:vAlign w:val="center"/>
          </w:tcPr>
          <w:p>
            <w:pPr>
              <w:spacing w:line="560" w:lineRule="exact"/>
              <w:jc w:val="center"/>
              <w:rPr>
                <w:rFonts w:hint="eastAsia" w:ascii="黑体" w:hAnsi="黑体" w:eastAsia="黑体"/>
                <w:color w:val="auto"/>
                <w:sz w:val="28"/>
                <w:szCs w:val="28"/>
              </w:rPr>
            </w:pPr>
            <w:r>
              <w:rPr>
                <w:rFonts w:hint="eastAsia" w:ascii="黑体" w:hAnsi="黑体" w:eastAsia="黑体"/>
                <w:color w:val="auto"/>
                <w:sz w:val="28"/>
                <w:szCs w:val="28"/>
              </w:rPr>
              <w:t>检查</w:t>
            </w:r>
            <w:r>
              <w:rPr>
                <w:rFonts w:ascii="黑体" w:hAnsi="黑体" w:eastAsia="黑体"/>
                <w:color w:val="auto"/>
                <w:sz w:val="28"/>
                <w:szCs w:val="28"/>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val="en-US" w:eastAsia="zh-CN"/>
              </w:rPr>
            </w:pPr>
            <w:r>
              <w:rPr>
                <w:rFonts w:hint="eastAsia" w:ascii="仿宋_GB2312" w:hAnsi="仿宋_GB2312" w:eastAsia="仿宋_GB2312" w:cs="仿宋_GB2312"/>
                <w:color w:val="auto"/>
                <w:sz w:val="24"/>
                <w:shd w:val="clear" w:color="auto" w:fill="FFFFFF"/>
                <w:lang w:val="en-US" w:eastAsia="zh-CN"/>
              </w:rPr>
              <w:t>1</w:t>
            </w:r>
          </w:p>
        </w:tc>
        <w:tc>
          <w:tcPr>
            <w:tcW w:w="144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外国人来华工作检查</w:t>
            </w:r>
          </w:p>
        </w:tc>
        <w:tc>
          <w:tcPr>
            <w:tcW w:w="1705"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外国人持有的护照或者其他国际旅行证件，外国人停留居留证件的检查</w:t>
            </w:r>
          </w:p>
        </w:tc>
        <w:tc>
          <w:tcPr>
            <w:tcW w:w="1404"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办理A类、B类、C类外国人来华工作许可的单位</w:t>
            </w:r>
          </w:p>
        </w:tc>
        <w:tc>
          <w:tcPr>
            <w:tcW w:w="1248"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现场检查</w:t>
            </w:r>
          </w:p>
        </w:tc>
        <w:tc>
          <w:tcPr>
            <w:tcW w:w="156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全年抽查比例不低于5%，本年度6至11月抽查一次</w:t>
            </w:r>
          </w:p>
        </w:tc>
        <w:tc>
          <w:tcPr>
            <w:tcW w:w="1907"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市、县（市、区）级公安部门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《出境入境管理法》第三十八条。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val="en-US" w:eastAsia="zh-CN"/>
              </w:rPr>
            </w:pPr>
            <w:r>
              <w:rPr>
                <w:rFonts w:hint="eastAsia" w:ascii="仿宋_GB2312" w:hAnsi="仿宋_GB2312" w:eastAsia="仿宋_GB2312" w:cs="仿宋_GB2312"/>
                <w:color w:val="auto"/>
                <w:sz w:val="24"/>
                <w:shd w:val="clear" w:color="auto" w:fill="FFFFFF"/>
                <w:lang w:val="en-US" w:eastAsia="zh-CN"/>
              </w:rPr>
              <w:t>2</w:t>
            </w:r>
          </w:p>
        </w:tc>
        <w:tc>
          <w:tcPr>
            <w:tcW w:w="144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易制毒化学品企业专项抽查</w:t>
            </w:r>
          </w:p>
        </w:tc>
        <w:tc>
          <w:tcPr>
            <w:tcW w:w="1705"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抽查非药品类易制毒化学品的使用、交易情况</w:t>
            </w:r>
          </w:p>
        </w:tc>
        <w:tc>
          <w:tcPr>
            <w:tcW w:w="1404"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非药品类易制毒化学品生产经营企业</w:t>
            </w:r>
          </w:p>
        </w:tc>
        <w:tc>
          <w:tcPr>
            <w:tcW w:w="1248"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现场检查、网络</w:t>
            </w:r>
            <w:r>
              <w:rPr>
                <w:rFonts w:hint="eastAsia" w:ascii="仿宋_GB2312" w:hAnsi="仿宋_GB2312" w:eastAsia="仿宋_GB2312" w:cs="仿宋_GB2312"/>
                <w:strike w:val="0"/>
                <w:dstrike w:val="0"/>
                <w:color w:val="auto"/>
                <w:sz w:val="22"/>
                <w:szCs w:val="22"/>
                <w:shd w:val="clear" w:color="auto" w:fill="FFFFFF"/>
                <w:lang w:eastAsia="zh-CN"/>
              </w:rPr>
              <w:t>检查</w:t>
            </w:r>
          </w:p>
        </w:tc>
        <w:tc>
          <w:tcPr>
            <w:tcW w:w="156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全年抽查比例5%，每年抽查1次</w:t>
            </w:r>
          </w:p>
        </w:tc>
        <w:tc>
          <w:tcPr>
            <w:tcW w:w="1907"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市、县（市、区）级公安部门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1.《禁毒法》第六十四条。</w:t>
            </w:r>
          </w:p>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2.《易制毒化学品管理条例》第三十二条。</w:t>
            </w:r>
          </w:p>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3.《易制毒化学品购销和运输管理办法》第三条、第七条、第十五条、第二十条。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val="en-US" w:eastAsia="zh-CN"/>
              </w:rPr>
            </w:pPr>
            <w:r>
              <w:rPr>
                <w:rFonts w:hint="eastAsia" w:ascii="仿宋_GB2312" w:hAnsi="仿宋_GB2312" w:eastAsia="仿宋_GB2312" w:cs="仿宋_GB2312"/>
                <w:color w:val="auto"/>
                <w:sz w:val="24"/>
                <w:shd w:val="clear" w:color="auto" w:fill="FFFFFF"/>
                <w:lang w:val="en-US" w:eastAsia="zh-CN"/>
              </w:rPr>
              <w:t>3</w:t>
            </w:r>
          </w:p>
        </w:tc>
        <w:tc>
          <w:tcPr>
            <w:tcW w:w="144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对保安服务公司开展活动情况的</w:t>
            </w:r>
            <w:r>
              <w:rPr>
                <w:rFonts w:hint="eastAsia" w:ascii="仿宋_GB2312" w:hAnsi="仿宋_GB2312" w:eastAsia="仿宋_GB2312" w:cs="仿宋_GB2312"/>
                <w:strike w:val="0"/>
                <w:dstrike w:val="0"/>
                <w:color w:val="auto"/>
                <w:sz w:val="22"/>
                <w:szCs w:val="22"/>
                <w:shd w:val="clear" w:color="auto" w:fill="FFFFFF"/>
                <w:lang w:eastAsia="zh-CN"/>
              </w:rPr>
              <w:t>监督</w:t>
            </w:r>
            <w:r>
              <w:rPr>
                <w:rFonts w:hint="eastAsia" w:ascii="仿宋_GB2312" w:hAnsi="仿宋_GB2312" w:eastAsia="仿宋_GB2312" w:cs="仿宋_GB2312"/>
                <w:color w:val="auto"/>
                <w:sz w:val="22"/>
                <w:szCs w:val="22"/>
                <w:shd w:val="clear" w:color="auto" w:fill="FFFFFF"/>
              </w:rPr>
              <w:t>检查</w:t>
            </w:r>
          </w:p>
        </w:tc>
        <w:tc>
          <w:tcPr>
            <w:tcW w:w="1705"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保安服务公司基本情况、经营情况、服务活动开展情况及保安员管理情况</w:t>
            </w:r>
          </w:p>
        </w:tc>
        <w:tc>
          <w:tcPr>
            <w:tcW w:w="1404"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保安服务公司</w:t>
            </w:r>
          </w:p>
        </w:tc>
        <w:tc>
          <w:tcPr>
            <w:tcW w:w="1248"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现场检查</w:t>
            </w:r>
          </w:p>
        </w:tc>
        <w:tc>
          <w:tcPr>
            <w:tcW w:w="156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全年抽查比例不低于5%，每年抽查1次</w:t>
            </w:r>
          </w:p>
        </w:tc>
        <w:tc>
          <w:tcPr>
            <w:tcW w:w="1907"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市、县（市、区）级公安部门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1.《保安服务管理条例》第三十八条。</w:t>
            </w:r>
          </w:p>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2.《公安机关实施保安服务管理条例办法》第二条、第三条、第四条、第五条、第三十七条、第三十八条、第三十九条。</w:t>
            </w:r>
          </w:p>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3.《山东省保安服务管理办法》第十五条。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val="en-US" w:eastAsia="zh-CN"/>
              </w:rPr>
            </w:pPr>
            <w:r>
              <w:rPr>
                <w:rFonts w:hint="eastAsia" w:ascii="仿宋_GB2312" w:hAnsi="仿宋_GB2312" w:eastAsia="仿宋_GB2312" w:cs="仿宋_GB2312"/>
                <w:color w:val="auto"/>
                <w:sz w:val="24"/>
                <w:shd w:val="clear" w:color="auto" w:fill="FFFFFF"/>
                <w:lang w:val="en-US" w:eastAsia="zh-CN"/>
              </w:rPr>
              <w:t>4</w:t>
            </w:r>
          </w:p>
        </w:tc>
        <w:tc>
          <w:tcPr>
            <w:tcW w:w="144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对宾馆、旅店取得许可证及治安安全情况的检查</w:t>
            </w:r>
          </w:p>
        </w:tc>
        <w:tc>
          <w:tcPr>
            <w:tcW w:w="1705"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1.是否取得特种行业许可证，重点开展用作旅馆的自建房特种行业许可证复核工作；</w:t>
            </w:r>
          </w:p>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2.是否严格落实“四实”（实名、实数、实情、实时）登记制度，重点是检查落实接待未成年人入住“五必须”规定情况；</w:t>
            </w:r>
          </w:p>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3.是否建立安全管理制度、治安保卫组织或者指定安全保卫人员</w:t>
            </w:r>
          </w:p>
        </w:tc>
        <w:tc>
          <w:tcPr>
            <w:tcW w:w="1404"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各类宾馆、旅店</w:t>
            </w:r>
          </w:p>
        </w:tc>
        <w:tc>
          <w:tcPr>
            <w:tcW w:w="1248"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现场检查</w:t>
            </w:r>
          </w:p>
        </w:tc>
        <w:tc>
          <w:tcPr>
            <w:tcW w:w="156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全年抽查比例不低于5%，每年抽查1次</w:t>
            </w:r>
          </w:p>
        </w:tc>
        <w:tc>
          <w:tcPr>
            <w:tcW w:w="1907"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lang w:eastAsia="zh-CN"/>
              </w:rPr>
              <w:t>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1.《旅馆业治安管理办法》第十四条。</w:t>
            </w:r>
          </w:p>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2.《关于深化娱乐服务场所和特种行业治安管理改革进一步依法加强事中事后监管的工作意见》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val="en-US" w:eastAsia="zh-CN"/>
              </w:rPr>
            </w:pPr>
            <w:r>
              <w:rPr>
                <w:rFonts w:hint="eastAsia" w:ascii="仿宋_GB2312" w:hAnsi="仿宋_GB2312" w:eastAsia="仿宋_GB2312" w:cs="仿宋_GB2312"/>
                <w:color w:val="auto"/>
                <w:sz w:val="24"/>
                <w:shd w:val="clear" w:color="auto" w:fill="FFFFFF"/>
                <w:lang w:val="en-US" w:eastAsia="zh-CN"/>
              </w:rPr>
              <w:t>5</w:t>
            </w:r>
          </w:p>
        </w:tc>
        <w:tc>
          <w:tcPr>
            <w:tcW w:w="144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对民用枪支配置单位安全管理情况的检查</w:t>
            </w:r>
          </w:p>
        </w:tc>
        <w:tc>
          <w:tcPr>
            <w:tcW w:w="1705"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1.检查枪弹库（室）是否符合安全防范要求，严格落实24小时值守、枪弹分离、双人双锁等制度；</w:t>
            </w:r>
          </w:p>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2.核查枪弹调拨总量、每日消耗量、库存数量等</w:t>
            </w:r>
            <w:r>
              <w:rPr>
                <w:rFonts w:hint="eastAsia" w:ascii="仿宋_GB2312" w:hAnsi="仿宋_GB2312" w:eastAsia="仿宋_GB2312" w:cs="仿宋_GB2312"/>
                <w:strike w:val="0"/>
                <w:dstrike w:val="0"/>
                <w:color w:val="auto"/>
                <w:sz w:val="22"/>
                <w:szCs w:val="22"/>
                <w:shd w:val="clear" w:color="auto" w:fill="FFFFFF"/>
              </w:rPr>
              <w:t>；</w:t>
            </w:r>
            <w:r>
              <w:rPr>
                <w:rFonts w:hint="eastAsia" w:ascii="仿宋_GB2312" w:hAnsi="仿宋_GB2312" w:eastAsia="仿宋_GB2312" w:cs="仿宋_GB2312"/>
                <w:strike w:val="0"/>
                <w:dstrike w:val="0"/>
                <w:color w:val="auto"/>
                <w:sz w:val="22"/>
                <w:szCs w:val="22"/>
                <w:shd w:val="clear" w:color="auto" w:fill="FFFFFF"/>
                <w:lang w:val="en-US" w:eastAsia="zh-CN"/>
              </w:rPr>
              <w:t>3.检查是否违规对外开展经营性射击活动</w:t>
            </w:r>
          </w:p>
        </w:tc>
        <w:tc>
          <w:tcPr>
            <w:tcW w:w="1404"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民用枪支配置单位</w:t>
            </w:r>
          </w:p>
        </w:tc>
        <w:tc>
          <w:tcPr>
            <w:tcW w:w="1248"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重点检查事项</w:t>
            </w:r>
          </w:p>
        </w:tc>
        <w:tc>
          <w:tcPr>
            <w:tcW w:w="99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现场检查</w:t>
            </w:r>
          </w:p>
        </w:tc>
        <w:tc>
          <w:tcPr>
            <w:tcW w:w="156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strike w:val="0"/>
                <w:dstrike w:val="0"/>
                <w:color w:val="auto"/>
                <w:sz w:val="22"/>
                <w:szCs w:val="22"/>
                <w:shd w:val="clear" w:color="auto" w:fill="FFFFFF"/>
              </w:rPr>
              <w:t>全年抽查比例</w:t>
            </w:r>
            <w:r>
              <w:rPr>
                <w:rFonts w:hint="eastAsia" w:ascii="仿宋_GB2312" w:hAnsi="仿宋_GB2312" w:eastAsia="仿宋_GB2312" w:cs="仿宋_GB2312"/>
                <w:strike w:val="0"/>
                <w:dstrike w:val="0"/>
                <w:color w:val="auto"/>
                <w:sz w:val="22"/>
                <w:szCs w:val="22"/>
                <w:shd w:val="clear" w:color="auto" w:fill="FFFFFF"/>
                <w:lang w:val="en-US" w:eastAsia="zh-CN"/>
              </w:rPr>
              <w:t>100%，每年抽查一次</w:t>
            </w:r>
          </w:p>
        </w:tc>
        <w:tc>
          <w:tcPr>
            <w:tcW w:w="1907"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市、县（市、区）级公安部门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《枪支管理法》第二十条、第二十八条。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val="en-US" w:eastAsia="zh-CN"/>
              </w:rPr>
            </w:pPr>
            <w:r>
              <w:rPr>
                <w:rFonts w:hint="eastAsia" w:ascii="仿宋_GB2312" w:hAnsi="仿宋_GB2312" w:eastAsia="仿宋_GB2312" w:cs="仿宋_GB2312"/>
                <w:color w:val="auto"/>
                <w:sz w:val="24"/>
                <w:shd w:val="clear" w:color="auto" w:fill="FFFFFF"/>
                <w:lang w:val="en-US" w:eastAsia="zh-CN"/>
              </w:rPr>
              <w:t>6</w:t>
            </w:r>
          </w:p>
        </w:tc>
        <w:tc>
          <w:tcPr>
            <w:tcW w:w="144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对焰火晚会以及其他大型焰火燃放活动的监督检查</w:t>
            </w:r>
          </w:p>
        </w:tc>
        <w:tc>
          <w:tcPr>
            <w:tcW w:w="1705"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1.是否制订技术设计方案和组织实施方案；</w:t>
            </w:r>
          </w:p>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2.检查主办单位落实安全主体责任情况；</w:t>
            </w:r>
          </w:p>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3.举办过程中，安全工作落实及实施监督检查情况</w:t>
            </w:r>
          </w:p>
        </w:tc>
        <w:tc>
          <w:tcPr>
            <w:tcW w:w="1404"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焰火晚会以及其他大型焰火燃放活动的主办单位</w:t>
            </w:r>
          </w:p>
        </w:tc>
        <w:tc>
          <w:tcPr>
            <w:tcW w:w="1248"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现场检查、查阅资料</w:t>
            </w:r>
          </w:p>
        </w:tc>
        <w:tc>
          <w:tcPr>
            <w:tcW w:w="156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u w:val="none"/>
                <w:shd w:val="clear" w:color="auto" w:fill="FFFFFF"/>
              </w:rPr>
              <w:t>全年抽查比例不低于</w:t>
            </w:r>
            <w:r>
              <w:rPr>
                <w:rFonts w:hint="eastAsia" w:ascii="仿宋_GB2312" w:hAnsi="仿宋_GB2312" w:eastAsia="仿宋_GB2312" w:cs="仿宋_GB2312"/>
                <w:color w:val="auto"/>
                <w:sz w:val="22"/>
                <w:szCs w:val="22"/>
                <w:u w:val="none"/>
                <w:shd w:val="clear" w:color="auto" w:fill="FFFFFF"/>
                <w:lang w:val="en-US" w:eastAsia="zh-CN"/>
              </w:rPr>
              <w:t>30</w:t>
            </w:r>
            <w:r>
              <w:rPr>
                <w:rFonts w:hint="eastAsia" w:ascii="仿宋_GB2312" w:hAnsi="仿宋_GB2312" w:eastAsia="仿宋_GB2312" w:cs="仿宋_GB2312"/>
                <w:color w:val="auto"/>
                <w:sz w:val="22"/>
                <w:szCs w:val="22"/>
                <w:u w:val="none"/>
                <w:shd w:val="clear" w:color="auto" w:fill="FFFFFF"/>
              </w:rPr>
              <w:t>%，每年抽查1次</w:t>
            </w:r>
          </w:p>
        </w:tc>
        <w:tc>
          <w:tcPr>
            <w:tcW w:w="1907"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lang w:eastAsia="zh-CN"/>
              </w:rPr>
              <w:t>市、县（市、区）级公安部门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《民用爆炸物品安全管理条例》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val="en-US" w:eastAsia="zh-CN"/>
              </w:rPr>
            </w:pPr>
            <w:r>
              <w:rPr>
                <w:rFonts w:hint="eastAsia" w:ascii="仿宋_GB2312" w:hAnsi="仿宋_GB2312" w:eastAsia="仿宋_GB2312" w:cs="仿宋_GB2312"/>
                <w:color w:val="auto"/>
                <w:sz w:val="24"/>
                <w:shd w:val="clear" w:color="auto" w:fill="FFFFFF"/>
                <w:lang w:val="en-US" w:eastAsia="zh-CN"/>
              </w:rPr>
              <w:t>7</w:t>
            </w:r>
          </w:p>
        </w:tc>
        <w:tc>
          <w:tcPr>
            <w:tcW w:w="144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对大型群众性活动的监督检查</w:t>
            </w:r>
          </w:p>
        </w:tc>
        <w:tc>
          <w:tcPr>
            <w:tcW w:w="1705"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1.是否制订大型群众性活动安全</w:t>
            </w:r>
            <w:r>
              <w:rPr>
                <w:rFonts w:hint="eastAsia" w:ascii="仿宋_GB2312" w:hAnsi="仿宋_GB2312" w:eastAsia="仿宋_GB2312" w:cs="仿宋_GB2312"/>
                <w:strike w:val="0"/>
                <w:dstrike w:val="0"/>
                <w:color w:val="auto"/>
                <w:sz w:val="22"/>
                <w:szCs w:val="22"/>
                <w:shd w:val="clear" w:color="auto" w:fill="FFFFFF"/>
                <w:lang w:eastAsia="zh-CN"/>
              </w:rPr>
              <w:t>监督</w:t>
            </w:r>
            <w:r>
              <w:rPr>
                <w:rFonts w:hint="eastAsia" w:ascii="仿宋_GB2312" w:hAnsi="仿宋_GB2312" w:eastAsia="仿宋_GB2312" w:cs="仿宋_GB2312"/>
                <w:color w:val="auto"/>
                <w:sz w:val="22"/>
                <w:szCs w:val="22"/>
                <w:shd w:val="clear" w:color="auto" w:fill="FFFFFF"/>
              </w:rPr>
              <w:t>方案和突发事件处置预案；</w:t>
            </w:r>
          </w:p>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2.举办前，对活动</w:t>
            </w:r>
            <w:r>
              <w:rPr>
                <w:rFonts w:hint="eastAsia" w:ascii="仿宋_GB2312" w:hAnsi="仿宋_GB2312" w:eastAsia="仿宋_GB2312" w:cs="仿宋_GB2312"/>
                <w:strike w:val="0"/>
                <w:dstrike w:val="0"/>
                <w:color w:val="auto"/>
                <w:sz w:val="22"/>
                <w:szCs w:val="22"/>
                <w:shd w:val="clear" w:color="auto" w:fill="FFFFFF"/>
                <w:lang w:eastAsia="zh-CN"/>
              </w:rPr>
              <w:t>场所</w:t>
            </w:r>
            <w:r>
              <w:rPr>
                <w:rFonts w:hint="eastAsia" w:ascii="仿宋_GB2312" w:hAnsi="仿宋_GB2312" w:eastAsia="仿宋_GB2312" w:cs="仿宋_GB2312"/>
                <w:color w:val="auto"/>
                <w:sz w:val="22"/>
                <w:szCs w:val="22"/>
                <w:shd w:val="clear" w:color="auto" w:fill="FFFFFF"/>
              </w:rPr>
              <w:t>组织安全检查情况；</w:t>
            </w:r>
          </w:p>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3.举办过程中，</w:t>
            </w:r>
            <w:r>
              <w:rPr>
                <w:rFonts w:hint="eastAsia" w:ascii="仿宋_GB2312" w:hAnsi="仿宋_GB2312" w:eastAsia="仿宋_GB2312" w:cs="仿宋_GB2312"/>
                <w:strike w:val="0"/>
                <w:dstrike w:val="0"/>
                <w:color w:val="auto"/>
                <w:sz w:val="22"/>
                <w:szCs w:val="22"/>
                <w:shd w:val="clear" w:color="auto" w:fill="FFFFFF"/>
                <w:lang w:eastAsia="zh-CN"/>
              </w:rPr>
              <w:t>安全工作</w:t>
            </w:r>
            <w:r>
              <w:rPr>
                <w:rFonts w:hint="eastAsia" w:ascii="仿宋_GB2312" w:hAnsi="仿宋_GB2312" w:eastAsia="仿宋_GB2312" w:cs="仿宋_GB2312"/>
                <w:color w:val="auto"/>
                <w:sz w:val="22"/>
                <w:szCs w:val="22"/>
                <w:shd w:val="clear" w:color="auto" w:fill="FFFFFF"/>
              </w:rPr>
              <w:t>落实及实施监督检查情况</w:t>
            </w:r>
          </w:p>
        </w:tc>
        <w:tc>
          <w:tcPr>
            <w:tcW w:w="1404"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大型群众性活动的承办单位</w:t>
            </w:r>
          </w:p>
        </w:tc>
        <w:tc>
          <w:tcPr>
            <w:tcW w:w="1248"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现场检查、查阅资料</w:t>
            </w:r>
          </w:p>
        </w:tc>
        <w:tc>
          <w:tcPr>
            <w:tcW w:w="156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全年抽查比例不低于5%，每年抽查1次</w:t>
            </w:r>
          </w:p>
        </w:tc>
        <w:tc>
          <w:tcPr>
            <w:tcW w:w="1907"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市、县（市、区）级公安部门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《大型群众性活动安全管理条例》第十条。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eastAsia="zh-CN"/>
              </w:rPr>
            </w:pPr>
            <w:r>
              <w:rPr>
                <w:rFonts w:hint="eastAsia" w:ascii="仿宋_GB2312" w:hAnsi="仿宋_GB2312" w:eastAsia="仿宋_GB2312" w:cs="仿宋_GB2312"/>
                <w:color w:val="auto"/>
                <w:sz w:val="24"/>
                <w:shd w:val="clear" w:color="auto" w:fill="FFFFFF"/>
                <w:lang w:val="en-US" w:eastAsia="zh-CN"/>
              </w:rPr>
              <w:t>8</w:t>
            </w:r>
          </w:p>
        </w:tc>
        <w:tc>
          <w:tcPr>
            <w:tcW w:w="1440"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对互联网上网服务营业场所经营情况的检查</w:t>
            </w:r>
          </w:p>
        </w:tc>
        <w:tc>
          <w:tcPr>
            <w:tcW w:w="1705"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互联网上网服务营业场所经营情况检查</w:t>
            </w:r>
          </w:p>
        </w:tc>
        <w:tc>
          <w:tcPr>
            <w:tcW w:w="1404"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互联网上网服务营业场所</w:t>
            </w:r>
          </w:p>
        </w:tc>
        <w:tc>
          <w:tcPr>
            <w:tcW w:w="1248" w:type="dxa"/>
            <w:noWrap w:val="0"/>
            <w:vAlign w:val="center"/>
          </w:tcPr>
          <w:p>
            <w:pPr>
              <w:spacing w:line="320" w:lineRule="exact"/>
              <w:jc w:val="center"/>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现场检查</w:t>
            </w:r>
          </w:p>
        </w:tc>
        <w:tc>
          <w:tcPr>
            <w:tcW w:w="1560"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全年抽查比例不低于5%，每年抽查1次</w:t>
            </w:r>
          </w:p>
        </w:tc>
        <w:tc>
          <w:tcPr>
            <w:tcW w:w="1907"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市、县（市、区）级公安部门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《互联网上网服务营业场所管理条例》第三十二条、第三十三条。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828" w:type="dxa"/>
            <w:noWrap w:val="0"/>
            <w:vAlign w:val="center"/>
          </w:tcPr>
          <w:p>
            <w:pPr>
              <w:spacing w:line="320" w:lineRule="exact"/>
              <w:jc w:val="center"/>
              <w:rPr>
                <w:rFonts w:hint="eastAsia" w:ascii="仿宋_GB2312" w:hAnsi="仿宋_GB2312" w:eastAsia="仿宋_GB2312" w:cs="仿宋_GB2312"/>
                <w:color w:val="auto"/>
                <w:sz w:val="24"/>
                <w:shd w:val="clear" w:color="auto" w:fill="FFFFFF"/>
                <w:lang w:eastAsia="zh-CN"/>
              </w:rPr>
            </w:pPr>
            <w:r>
              <w:rPr>
                <w:rFonts w:hint="eastAsia" w:ascii="仿宋_GB2312" w:hAnsi="仿宋_GB2312" w:eastAsia="仿宋_GB2312" w:cs="仿宋_GB2312"/>
                <w:color w:val="auto"/>
                <w:sz w:val="24"/>
                <w:shd w:val="clear" w:color="auto" w:fill="FFFFFF"/>
                <w:lang w:val="en-US" w:eastAsia="zh-CN"/>
              </w:rPr>
              <w:t>9</w:t>
            </w:r>
          </w:p>
        </w:tc>
        <w:tc>
          <w:tcPr>
            <w:tcW w:w="1440"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对网络运营者的监督检查</w:t>
            </w:r>
          </w:p>
        </w:tc>
        <w:tc>
          <w:tcPr>
            <w:tcW w:w="1705"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网络安全保护管理以及技术措施的落实情况</w:t>
            </w:r>
          </w:p>
        </w:tc>
        <w:tc>
          <w:tcPr>
            <w:tcW w:w="1404"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互联网服务提供者和联网使用单位</w:t>
            </w:r>
          </w:p>
        </w:tc>
        <w:tc>
          <w:tcPr>
            <w:tcW w:w="1248" w:type="dxa"/>
            <w:noWrap w:val="0"/>
            <w:vAlign w:val="center"/>
          </w:tcPr>
          <w:p>
            <w:pPr>
              <w:spacing w:line="320" w:lineRule="exact"/>
              <w:jc w:val="center"/>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现场检查、网络</w:t>
            </w:r>
          </w:p>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检查</w:t>
            </w:r>
          </w:p>
        </w:tc>
        <w:tc>
          <w:tcPr>
            <w:tcW w:w="1560"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全年抽查比例不低于5%，每年抽查1次</w:t>
            </w:r>
          </w:p>
        </w:tc>
        <w:tc>
          <w:tcPr>
            <w:tcW w:w="1907"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市、县（市、区）级公安部门</w:t>
            </w:r>
          </w:p>
        </w:tc>
        <w:tc>
          <w:tcPr>
            <w:tcW w:w="3086"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《计算机信息系统安全保护条例》第十七条。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trPr>
        <w:tc>
          <w:tcPr>
            <w:tcW w:w="828" w:type="dxa"/>
            <w:noWrap w:val="0"/>
            <w:vAlign w:val="center"/>
          </w:tcPr>
          <w:p>
            <w:pPr>
              <w:spacing w:line="320" w:lineRule="exact"/>
              <w:jc w:val="center"/>
              <w:rPr>
                <w:rFonts w:hint="default" w:ascii="仿宋_GB2312" w:hAnsi="仿宋_GB2312" w:eastAsia="仿宋_GB2312" w:cs="仿宋_GB2312"/>
                <w:color w:val="auto"/>
                <w:sz w:val="24"/>
                <w:shd w:val="clear" w:color="auto" w:fill="FFFFFF"/>
                <w:lang w:val="en-US" w:eastAsia="zh-CN"/>
              </w:rPr>
            </w:pPr>
            <w:r>
              <w:rPr>
                <w:rFonts w:hint="eastAsia" w:ascii="仿宋_GB2312" w:hAnsi="仿宋_GB2312" w:eastAsia="仿宋_GB2312" w:cs="仿宋_GB2312"/>
                <w:color w:val="auto"/>
                <w:sz w:val="24"/>
                <w:shd w:val="clear" w:color="auto" w:fill="FFFFFF"/>
                <w:lang w:val="en-US" w:eastAsia="zh-CN"/>
              </w:rPr>
              <w:t>10</w:t>
            </w:r>
          </w:p>
        </w:tc>
        <w:tc>
          <w:tcPr>
            <w:tcW w:w="1440" w:type="dxa"/>
            <w:noWrap w:val="0"/>
            <w:vAlign w:val="center"/>
          </w:tcPr>
          <w:p>
            <w:pPr>
              <w:spacing w:line="320" w:lineRule="exact"/>
              <w:jc w:val="left"/>
              <w:rPr>
                <w:rFonts w:hint="default"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对爆破作业单位的监督检查</w:t>
            </w:r>
            <w:r>
              <w:rPr>
                <w:rFonts w:hint="eastAsia" w:ascii="仿宋_GB2312" w:hAnsi="仿宋_GB2312" w:eastAsia="仿宋_GB2312" w:cs="仿宋_GB2312"/>
                <w:strike w:val="0"/>
                <w:dstrike w:val="0"/>
                <w:color w:val="auto"/>
                <w:sz w:val="22"/>
                <w:szCs w:val="22"/>
                <w:shd w:val="clear" w:color="auto" w:fill="FFFFFF"/>
                <w:lang w:eastAsia="zh-CN"/>
              </w:rPr>
              <w:t>：</w:t>
            </w:r>
            <w:r>
              <w:rPr>
                <w:rFonts w:hint="eastAsia" w:ascii="仿宋_GB2312" w:hAnsi="仿宋_GB2312" w:eastAsia="仿宋_GB2312" w:cs="仿宋_GB2312"/>
                <w:strike w:val="0"/>
                <w:dstrike w:val="0"/>
                <w:color w:val="auto"/>
                <w:sz w:val="22"/>
                <w:szCs w:val="22"/>
                <w:shd w:val="clear" w:color="auto" w:fill="FFFFFF"/>
                <w:lang w:val="en-US" w:eastAsia="zh-CN"/>
              </w:rPr>
              <w:t>1.民用爆炸物品储存情况的检查；2.爆破作业单位有关制度情况的检查；3.爆破作业单位作业情况的检查</w:t>
            </w:r>
          </w:p>
        </w:tc>
        <w:tc>
          <w:tcPr>
            <w:tcW w:w="1705" w:type="dxa"/>
            <w:noWrap w:val="0"/>
            <w:vAlign w:val="center"/>
          </w:tcPr>
          <w:p>
            <w:pPr>
              <w:spacing w:line="320" w:lineRule="exact"/>
              <w:jc w:val="left"/>
              <w:rPr>
                <w:rFonts w:hint="eastAsia" w:ascii="仿宋_GB2312" w:hAnsi="仿宋_GB2312" w:eastAsia="仿宋_GB2312" w:cs="仿宋_GB2312"/>
                <w:color w:val="auto"/>
                <w:sz w:val="22"/>
                <w:szCs w:val="22"/>
                <w:shd w:val="clear" w:color="auto" w:fill="FFFFFF"/>
              </w:rPr>
            </w:pPr>
            <w:r>
              <w:rPr>
                <w:rFonts w:hint="eastAsia" w:ascii="仿宋_GB2312" w:hAnsi="仿宋_GB2312" w:eastAsia="仿宋_GB2312" w:cs="仿宋_GB2312"/>
                <w:color w:val="auto"/>
                <w:sz w:val="22"/>
                <w:szCs w:val="22"/>
                <w:shd w:val="clear" w:color="auto" w:fill="FFFFFF"/>
              </w:rPr>
              <w:t>1.落实出入库登记、“日清点、周核对、月检查”以及库房人防、物防、技防、犬防等情况；</w:t>
            </w:r>
          </w:p>
          <w:p>
            <w:pPr>
              <w:spacing w:line="320" w:lineRule="exact"/>
              <w:jc w:val="left"/>
              <w:rPr>
                <w:rFonts w:hint="eastAsia" w:ascii="仿宋_GB2312" w:hAnsi="仿宋_GB2312" w:eastAsia="仿宋_GB2312" w:cs="仿宋_GB2312"/>
                <w:strike w:val="0"/>
                <w:dstrike w:val="0"/>
                <w:color w:val="auto"/>
                <w:sz w:val="22"/>
                <w:szCs w:val="22"/>
                <w:shd w:val="clear" w:color="auto" w:fill="FFFFFF"/>
                <w:lang w:eastAsia="zh-CN"/>
              </w:rPr>
            </w:pPr>
            <w:r>
              <w:rPr>
                <w:rFonts w:hint="eastAsia" w:ascii="仿宋_GB2312" w:hAnsi="仿宋_GB2312" w:eastAsia="仿宋_GB2312" w:cs="仿宋_GB2312"/>
                <w:color w:val="auto"/>
                <w:sz w:val="22"/>
                <w:szCs w:val="22"/>
                <w:shd w:val="clear" w:color="auto" w:fill="FFFFFF"/>
              </w:rPr>
              <w:t>2.安全责任制、安全检查、安全教育、流向登记等制度情</w:t>
            </w:r>
            <w:r>
              <w:rPr>
                <w:rFonts w:hint="eastAsia" w:ascii="仿宋_GB2312" w:hAnsi="仿宋_GB2312" w:eastAsia="仿宋_GB2312" w:cs="仿宋_GB2312"/>
                <w:strike w:val="0"/>
                <w:dstrike w:val="0"/>
                <w:color w:val="auto"/>
                <w:sz w:val="22"/>
                <w:szCs w:val="22"/>
                <w:shd w:val="clear" w:color="auto" w:fill="FFFFFF"/>
              </w:rPr>
              <w:t>况</w:t>
            </w:r>
            <w:r>
              <w:rPr>
                <w:rFonts w:hint="eastAsia" w:ascii="仿宋_GB2312" w:hAnsi="仿宋_GB2312" w:eastAsia="仿宋_GB2312" w:cs="仿宋_GB2312"/>
                <w:strike w:val="0"/>
                <w:dstrike w:val="0"/>
                <w:color w:val="auto"/>
                <w:sz w:val="22"/>
                <w:szCs w:val="22"/>
                <w:shd w:val="clear" w:color="auto" w:fill="FFFFFF"/>
                <w:lang w:eastAsia="zh-CN"/>
              </w:rPr>
              <w:t>；</w:t>
            </w:r>
          </w:p>
          <w:p>
            <w:pPr>
              <w:spacing w:line="320" w:lineRule="exact"/>
              <w:jc w:val="left"/>
              <w:rPr>
                <w:rFonts w:hint="default" w:ascii="仿宋_GB2312" w:hAnsi="仿宋_GB2312" w:eastAsia="仿宋_GB2312" w:cs="仿宋_GB2312"/>
                <w:color w:val="auto"/>
                <w:sz w:val="22"/>
                <w:szCs w:val="22"/>
                <w:shd w:val="clear" w:color="auto" w:fill="FFFFFF"/>
                <w:lang w:val="en-US" w:eastAsia="zh-CN"/>
              </w:rPr>
            </w:pPr>
            <w:r>
              <w:rPr>
                <w:rFonts w:hint="eastAsia" w:ascii="仿宋_GB2312" w:hAnsi="仿宋_GB2312" w:eastAsia="仿宋_GB2312" w:cs="仿宋_GB2312"/>
                <w:strike w:val="0"/>
                <w:dstrike w:val="0"/>
                <w:color w:val="auto"/>
                <w:sz w:val="22"/>
                <w:szCs w:val="22"/>
                <w:shd w:val="clear" w:color="auto" w:fill="FFFFFF"/>
                <w:lang w:val="en-US" w:eastAsia="zh-CN"/>
              </w:rPr>
              <w:t>3.《爆破安全规程》等要求的现场安全作业措施情况</w:t>
            </w:r>
          </w:p>
        </w:tc>
        <w:tc>
          <w:tcPr>
            <w:tcW w:w="1404"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爆破作业单位</w:t>
            </w:r>
          </w:p>
        </w:tc>
        <w:tc>
          <w:tcPr>
            <w:tcW w:w="1248" w:type="dxa"/>
            <w:noWrap w:val="0"/>
            <w:vAlign w:val="center"/>
          </w:tcPr>
          <w:p>
            <w:pPr>
              <w:spacing w:line="320" w:lineRule="exact"/>
              <w:jc w:val="center"/>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一般检查事项</w:t>
            </w:r>
          </w:p>
        </w:tc>
        <w:tc>
          <w:tcPr>
            <w:tcW w:w="99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现场检查、书面检查</w:t>
            </w:r>
          </w:p>
        </w:tc>
        <w:tc>
          <w:tcPr>
            <w:tcW w:w="1560"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全年抽查比例不低于5%，每年抽查1次</w:t>
            </w:r>
          </w:p>
        </w:tc>
        <w:tc>
          <w:tcPr>
            <w:tcW w:w="1907"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市级公安部门</w:t>
            </w:r>
          </w:p>
        </w:tc>
        <w:tc>
          <w:tcPr>
            <w:tcW w:w="3086" w:type="dxa"/>
            <w:noWrap w:val="0"/>
            <w:vAlign w:val="center"/>
          </w:tcPr>
          <w:p>
            <w:pPr>
              <w:spacing w:line="320" w:lineRule="exact"/>
              <w:jc w:val="left"/>
              <w:rPr>
                <w:rFonts w:hint="eastAsia" w:ascii="仿宋_GB2312" w:hAnsi="仿宋_GB2312" w:eastAsia="仿宋_GB2312" w:cs="仿宋_GB2312"/>
                <w:color w:val="auto"/>
                <w:kern w:val="2"/>
                <w:sz w:val="22"/>
                <w:szCs w:val="22"/>
                <w:shd w:val="clear" w:color="auto" w:fill="FFFFFF"/>
                <w:lang w:val="en-US" w:eastAsia="zh-CN" w:bidi="ar-SA"/>
              </w:rPr>
            </w:pPr>
            <w:r>
              <w:rPr>
                <w:rFonts w:hint="eastAsia" w:ascii="仿宋_GB2312" w:hAnsi="仿宋_GB2312" w:eastAsia="仿宋_GB2312" w:cs="仿宋_GB2312"/>
                <w:color w:val="auto"/>
                <w:sz w:val="22"/>
                <w:szCs w:val="22"/>
                <w:shd w:val="clear" w:color="auto" w:fill="FFFFFF"/>
              </w:rPr>
              <w:t>《民用爆炸物品安全管理条例》</w:t>
            </w:r>
          </w:p>
        </w:tc>
      </w:tr>
    </w:tbl>
    <w:p>
      <w:pPr>
        <w:autoSpaceDE w:val="0"/>
        <w:autoSpaceDN w:val="0"/>
        <w:spacing w:line="240" w:lineRule="auto"/>
        <w:rPr>
          <w:color w:val="auto"/>
        </w:rPr>
      </w:pPr>
    </w:p>
    <w:sectPr>
      <w:pgSz w:w="16838" w:h="11906"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E4CD0"/>
    <w:rsid w:val="009028FE"/>
    <w:rsid w:val="009C6B5E"/>
    <w:rsid w:val="00A10903"/>
    <w:rsid w:val="00B024F6"/>
    <w:rsid w:val="00D43495"/>
    <w:rsid w:val="00EA0541"/>
    <w:rsid w:val="01D505DE"/>
    <w:rsid w:val="02395C87"/>
    <w:rsid w:val="031D30A1"/>
    <w:rsid w:val="04D93F1E"/>
    <w:rsid w:val="07B102A9"/>
    <w:rsid w:val="085924E8"/>
    <w:rsid w:val="0A9A29DA"/>
    <w:rsid w:val="0B71777A"/>
    <w:rsid w:val="0C0044C7"/>
    <w:rsid w:val="0CBF152C"/>
    <w:rsid w:val="116046C0"/>
    <w:rsid w:val="135B667B"/>
    <w:rsid w:val="1B4B3CE5"/>
    <w:rsid w:val="1B510F70"/>
    <w:rsid w:val="1F2C1918"/>
    <w:rsid w:val="24A27589"/>
    <w:rsid w:val="275F4349"/>
    <w:rsid w:val="28A31488"/>
    <w:rsid w:val="290B167A"/>
    <w:rsid w:val="2ACF072B"/>
    <w:rsid w:val="2E815D00"/>
    <w:rsid w:val="2F3E372A"/>
    <w:rsid w:val="2F9A6FD5"/>
    <w:rsid w:val="30213935"/>
    <w:rsid w:val="30406AFD"/>
    <w:rsid w:val="330F7658"/>
    <w:rsid w:val="35B13975"/>
    <w:rsid w:val="3BC6521A"/>
    <w:rsid w:val="3EE813FC"/>
    <w:rsid w:val="40851389"/>
    <w:rsid w:val="41CC3598"/>
    <w:rsid w:val="456A7B0C"/>
    <w:rsid w:val="4BC067DA"/>
    <w:rsid w:val="4BF31E5C"/>
    <w:rsid w:val="4CF03137"/>
    <w:rsid w:val="4E383A52"/>
    <w:rsid w:val="4F8965CF"/>
    <w:rsid w:val="4FAE1D52"/>
    <w:rsid w:val="524E5F77"/>
    <w:rsid w:val="53570BFD"/>
    <w:rsid w:val="53B21068"/>
    <w:rsid w:val="548B6991"/>
    <w:rsid w:val="55490A5E"/>
    <w:rsid w:val="5A1E380D"/>
    <w:rsid w:val="5DA01351"/>
    <w:rsid w:val="5DAF2D16"/>
    <w:rsid w:val="5FA712AA"/>
    <w:rsid w:val="605D3940"/>
    <w:rsid w:val="6250726A"/>
    <w:rsid w:val="652F7946"/>
    <w:rsid w:val="67E87498"/>
    <w:rsid w:val="686822CC"/>
    <w:rsid w:val="69AD1ED5"/>
    <w:rsid w:val="6B4503EE"/>
    <w:rsid w:val="7568625C"/>
    <w:rsid w:val="75C56466"/>
    <w:rsid w:val="76B636F4"/>
    <w:rsid w:val="784F60B0"/>
    <w:rsid w:val="79986B03"/>
    <w:rsid w:val="7A62347F"/>
    <w:rsid w:val="7ECF3E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iPriority w:val="0"/>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5</Pages>
  <Words>1701</Words>
  <Characters>1746</Characters>
  <Lines>3</Lines>
  <Paragraphs>1</Paragraphs>
  <TotalTime>150</TotalTime>
  <ScaleCrop>false</ScaleCrop>
  <LinksUpToDate>false</LinksUpToDate>
  <CharactersWithSpaces>1746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2020-01-17T08:06:00Z</dcterms:created>
  <dc:creator>Lenovo</dc:creator>
  <cp:lastModifiedBy>1</cp:lastModifiedBy>
  <cp:lastPrinted>2020-01-19T01:27:00Z</cp:lastPrinted>
  <dcterms:modified xsi:type="dcterms:W3CDTF">2024-05-17T02:54:26Z</dcterms:modified>
  <dc:title>附件1：</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445E3E1621E8415AA161891B701685E7</vt:lpwstr>
  </property>
</Properties>
</file>