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520" w:lineRule="exact"/>
        <w:jc w:val="center"/>
        <w:textAlignment w:val="auto"/>
        <w:rPr>
          <w:rFonts w:ascii="黑体" w:hAnsi="黑体" w:eastAsia="黑体" w:cs="Times New Roman"/>
          <w:color w:val="auto"/>
          <w:sz w:val="44"/>
          <w:szCs w:val="44"/>
        </w:rPr>
      </w:pPr>
      <w:bookmarkStart w:id="0" w:name="_GoBack"/>
      <w:r>
        <w:rPr>
          <w:rFonts w:hint="eastAsia" w:ascii="黑体" w:hAnsi="黑体" w:eastAsia="黑体" w:cs="Times New Roman"/>
          <w:color w:val="auto"/>
          <w:sz w:val="44"/>
          <w:szCs w:val="44"/>
        </w:rPr>
        <w:t>确有困难的单位住房公积金降低缴存比例或者缓缴审核服务指南</w:t>
      </w:r>
    </w:p>
    <w:p>
      <w:pPr>
        <w:pStyle w:val="2"/>
        <w:keepNext/>
        <w:keepLines/>
        <w:pageBreakBefore w:val="0"/>
        <w:widowControl w:val="0"/>
        <w:kinsoku/>
        <w:wordWrap/>
        <w:overflowPunct/>
        <w:topLinePunct w:val="0"/>
        <w:autoSpaceDE/>
        <w:autoSpaceDN/>
        <w:bidi w:val="0"/>
        <w:adjustRightInd w:val="0"/>
        <w:snapToGrid w:val="0"/>
        <w:spacing w:before="0" w:after="0" w:line="560" w:lineRule="exact"/>
        <w:jc w:val="center"/>
        <w:textAlignment w:val="auto"/>
        <w:rPr>
          <w:rFonts w:hint="eastAsia" w:ascii="仿宋_GB2312" w:hAnsi="黑体" w:eastAsia="仿宋_GB2312" w:cs="Times New Roman"/>
          <w:color w:val="auto"/>
          <w:sz w:val="32"/>
          <w:szCs w:val="32"/>
          <w:lang w:val="en-US" w:eastAsia="zh-CN"/>
        </w:rPr>
      </w:pPr>
      <w:r>
        <w:rPr>
          <w:rFonts w:hint="eastAsia" w:ascii="仿宋_GB2312" w:hAnsi="黑体" w:eastAsia="仿宋_GB2312" w:cs="Times New Roman"/>
          <w:color w:val="auto"/>
          <w:sz w:val="32"/>
          <w:szCs w:val="32"/>
          <w:lang w:val="en-US" w:eastAsia="zh-CN"/>
        </w:rPr>
        <w:t>更新日期：2022年7月28日</w:t>
      </w:r>
    </w:p>
    <w:p>
      <w:pPr>
        <w:pStyle w:val="9"/>
        <w:keepNext w:val="0"/>
        <w:keepLines w:val="0"/>
        <w:pageBreakBefore w:val="0"/>
        <w:widowControl w:val="0"/>
        <w:numPr>
          <w:ilvl w:val="0"/>
          <w:numId w:val="1"/>
        </w:numPr>
        <w:kinsoku/>
        <w:wordWrap/>
        <w:overflowPunct/>
        <w:topLinePunct w:val="0"/>
        <w:autoSpaceDE/>
        <w:autoSpaceDN/>
        <w:bidi w:val="0"/>
        <w:adjustRightInd w:val="0"/>
        <w:snapToGrid w:val="0"/>
        <w:spacing w:line="520" w:lineRule="exact"/>
        <w:ind w:firstLineChars="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事项名称</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确有困难的单位住房公积金降低缴存比例或者缓缴审核</w:t>
      </w:r>
    </w:p>
    <w:p>
      <w:pPr>
        <w:pStyle w:val="9"/>
        <w:keepNext w:val="0"/>
        <w:keepLines w:val="0"/>
        <w:pageBreakBefore w:val="0"/>
        <w:widowControl w:val="0"/>
        <w:numPr>
          <w:ilvl w:val="0"/>
          <w:numId w:val="1"/>
        </w:numPr>
        <w:kinsoku/>
        <w:wordWrap/>
        <w:overflowPunct/>
        <w:topLinePunct w:val="0"/>
        <w:autoSpaceDE/>
        <w:autoSpaceDN/>
        <w:bidi w:val="0"/>
        <w:adjustRightInd w:val="0"/>
        <w:snapToGrid w:val="0"/>
        <w:spacing w:line="520" w:lineRule="exact"/>
        <w:ind w:firstLineChars="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办理依据</w:t>
      </w:r>
    </w:p>
    <w:p>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15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（一）《住房公积金管理条例》（1999年4月3日国务院令第262号发布 根据2002年3月24日《国务院关于修改&lt;住房公积金管理条例&gt;的决定》和2019年3月24日《国务院关于修改部分行政法规的决定》修订）；</w:t>
      </w:r>
    </w:p>
    <w:p>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15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（二）《山东省住房和城乡建设厅 、山东省发展和改革委员会、山东省财政厅、中国人民银行济南分行关于贯彻建金〔2016〕74号文件规范和阶段性适当降低住房公积金缴存比例的通知》；</w:t>
      </w:r>
    </w:p>
    <w:p>
      <w:pPr>
        <w:keepNext w:val="0"/>
        <w:keepLines w:val="0"/>
        <w:pageBreakBefore w:val="0"/>
        <w:widowControl w:val="0"/>
        <w:kinsoku/>
        <w:wordWrap/>
        <w:overflowPunct/>
        <w:topLinePunct w:val="0"/>
        <w:autoSpaceDE/>
        <w:autoSpaceDN/>
        <w:bidi w:val="0"/>
        <w:adjustRightInd w:val="0"/>
        <w:snapToGrid w:val="0"/>
        <w:spacing w:line="520" w:lineRule="exact"/>
        <w:jc w:val="left"/>
        <w:textAlignment w:val="auto"/>
        <w:rPr>
          <w:rFonts w:ascii="仿宋_GB2312" w:hAnsi="宋体" w:eastAsia="仿宋_GB2312"/>
          <w:color w:val="auto"/>
          <w:sz w:val="32"/>
          <w:szCs w:val="32"/>
        </w:rPr>
      </w:pPr>
      <w:r>
        <w:rPr>
          <w:rFonts w:hint="eastAsia" w:ascii="仿宋_GB2312" w:hAnsi="黑体" w:eastAsia="仿宋_GB2312" w:cs="Times New Roman"/>
          <w:color w:val="auto"/>
          <w:sz w:val="32"/>
          <w:szCs w:val="32"/>
        </w:rPr>
        <w:t xml:space="preserve">   （三）《青岛市住房公积金管理中心单位降低住房公积金缴存比例或缓缴住房公积金审核管理规定》（</w:t>
      </w:r>
      <w:r>
        <w:rPr>
          <w:rFonts w:hint="eastAsia" w:ascii="仿宋_GB2312" w:hAnsi="宋体" w:eastAsia="仿宋_GB2312"/>
          <w:color w:val="auto"/>
          <w:sz w:val="32"/>
          <w:szCs w:val="32"/>
        </w:rPr>
        <w:t>青住金规〔201</w:t>
      </w:r>
      <w:r>
        <w:rPr>
          <w:rFonts w:ascii="仿宋_GB2312" w:hAnsi="宋体" w:eastAsia="仿宋_GB2312"/>
          <w:color w:val="auto"/>
          <w:sz w:val="32"/>
          <w:szCs w:val="32"/>
        </w:rPr>
        <w:t>9</w:t>
      </w:r>
      <w:r>
        <w:rPr>
          <w:rFonts w:hint="eastAsia" w:ascii="仿宋_GB2312" w:hAnsi="宋体" w:eastAsia="仿宋_GB2312"/>
          <w:color w:val="auto"/>
          <w:sz w:val="32"/>
          <w:szCs w:val="32"/>
        </w:rPr>
        <w:t>〕3号</w:t>
      </w:r>
      <w:r>
        <w:rPr>
          <w:rFonts w:hint="eastAsia" w:ascii="仿宋_GB2312" w:hAnsi="黑体" w:eastAsia="仿宋_GB2312" w:cs="Times New Roman"/>
          <w:color w:val="auto"/>
          <w:sz w:val="32"/>
          <w:szCs w:val="32"/>
        </w:rPr>
        <w:t>）；</w:t>
      </w:r>
    </w:p>
    <w:p>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150"/>
        <w:jc w:val="left"/>
        <w:textAlignment w:val="auto"/>
        <w:rPr>
          <w:rFonts w:ascii="仿宋_GB2312" w:eastAsia="仿宋_GB2312"/>
          <w:color w:val="auto"/>
          <w:sz w:val="32"/>
          <w:szCs w:val="32"/>
        </w:rPr>
      </w:pPr>
      <w:r>
        <w:rPr>
          <w:rFonts w:hint="eastAsia" w:ascii="仿宋_GB2312" w:hAnsi="黑体" w:eastAsia="仿宋_GB2312" w:cs="Times New Roman"/>
          <w:color w:val="auto"/>
          <w:sz w:val="32"/>
          <w:szCs w:val="32"/>
        </w:rPr>
        <w:t>（四）</w:t>
      </w:r>
      <w:r>
        <w:rPr>
          <w:rFonts w:hint="eastAsia" w:ascii="仿宋_GB2312" w:eastAsia="仿宋_GB2312"/>
          <w:color w:val="auto"/>
          <w:sz w:val="32"/>
          <w:szCs w:val="32"/>
        </w:rPr>
        <w:t>《住房公积金归集业务标准》（中华人民共和国国家标准GB/T 51271-2017）</w:t>
      </w:r>
      <w:r>
        <w:rPr>
          <w:rFonts w:hint="eastAsia" w:ascii="仿宋_GB2312" w:hAnsi="黑体" w:eastAsia="仿宋_GB2312" w:cs="Times New Roman"/>
          <w:color w:val="auto"/>
          <w:sz w:val="32"/>
          <w:szCs w:val="32"/>
        </w:rPr>
        <w:t>；</w:t>
      </w:r>
    </w:p>
    <w:p>
      <w:pPr>
        <w:keepNext w:val="0"/>
        <w:keepLines w:val="0"/>
        <w:pageBreakBefore w:val="0"/>
        <w:widowControl w:val="0"/>
        <w:kinsoku/>
        <w:wordWrap/>
        <w:overflowPunct/>
        <w:topLinePunct w:val="0"/>
        <w:autoSpaceDE/>
        <w:autoSpaceDN/>
        <w:bidi w:val="0"/>
        <w:adjustRightInd w:val="0"/>
        <w:snapToGrid w:val="0"/>
        <w:spacing w:line="520" w:lineRule="exact"/>
        <w:jc w:val="left"/>
        <w:textAlignment w:val="auto"/>
        <w:rPr>
          <w:rFonts w:ascii="仿宋_GB2312" w:hAnsi="宋体" w:eastAsia="仿宋_GB2312"/>
          <w:color w:val="auto"/>
          <w:sz w:val="32"/>
          <w:szCs w:val="32"/>
        </w:rPr>
      </w:pPr>
      <w:r>
        <w:rPr>
          <w:rFonts w:hint="eastAsia" w:ascii="仿宋_GB2312" w:hAnsi="黑体" w:eastAsia="仿宋_GB2312" w:cs="Times New Roman"/>
          <w:color w:val="auto"/>
          <w:sz w:val="32"/>
          <w:szCs w:val="32"/>
        </w:rPr>
        <w:t xml:space="preserve">   （五）《关于优化本市部分住房公积金业务办理事项的通知》（</w:t>
      </w:r>
      <w:r>
        <w:rPr>
          <w:rFonts w:hint="eastAsia" w:ascii="仿宋_GB2312" w:hAnsi="宋体" w:eastAsia="仿宋_GB2312"/>
          <w:color w:val="auto"/>
          <w:sz w:val="32"/>
          <w:szCs w:val="32"/>
        </w:rPr>
        <w:t>青住金字〔20</w:t>
      </w:r>
      <w:r>
        <w:rPr>
          <w:rFonts w:ascii="仿宋_GB2312" w:hAnsi="宋体" w:eastAsia="仿宋_GB2312"/>
          <w:color w:val="auto"/>
          <w:sz w:val="32"/>
          <w:szCs w:val="32"/>
        </w:rPr>
        <w:t>20</w:t>
      </w:r>
      <w:r>
        <w:rPr>
          <w:rFonts w:hint="eastAsia" w:ascii="仿宋_GB2312" w:hAnsi="宋体" w:eastAsia="仿宋_GB2312"/>
          <w:color w:val="auto"/>
          <w:sz w:val="32"/>
          <w:szCs w:val="32"/>
        </w:rPr>
        <w:t>〕31号）。</w:t>
      </w:r>
    </w:p>
    <w:p>
      <w:pPr>
        <w:pStyle w:val="9"/>
        <w:keepNext w:val="0"/>
        <w:keepLines w:val="0"/>
        <w:pageBreakBefore w:val="0"/>
        <w:widowControl w:val="0"/>
        <w:numPr>
          <w:ilvl w:val="0"/>
          <w:numId w:val="1"/>
        </w:numPr>
        <w:kinsoku/>
        <w:wordWrap/>
        <w:overflowPunct/>
        <w:topLinePunct w:val="0"/>
        <w:autoSpaceDE/>
        <w:autoSpaceDN/>
        <w:bidi w:val="0"/>
        <w:adjustRightInd w:val="0"/>
        <w:snapToGrid w:val="0"/>
        <w:spacing w:line="520" w:lineRule="exact"/>
        <w:ind w:firstLineChars="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受理单位及办理地点</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青岛市住房公积金管理中心所辖各区（市）管理处营业大厅</w:t>
      </w:r>
    </w:p>
    <w:p>
      <w:pPr>
        <w:keepNext w:val="0"/>
        <w:keepLines w:val="0"/>
        <w:pageBreakBefore w:val="0"/>
        <w:widowControl w:val="0"/>
        <w:kinsoku/>
        <w:wordWrap/>
        <w:overflowPunct/>
        <w:topLinePunct w:val="0"/>
        <w:autoSpaceDE/>
        <w:autoSpaceDN/>
        <w:bidi w:val="0"/>
        <w:adjustRightInd w:val="0"/>
        <w:snapToGrid w:val="0"/>
        <w:spacing w:line="520" w:lineRule="exact"/>
        <w:ind w:left="3358" w:leftChars="304" w:hanging="2720" w:hangingChars="85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 xml:space="preserve">市南管理处  </w:t>
      </w:r>
      <w:r>
        <w:rPr>
          <w:rFonts w:ascii="仿宋_GB2312" w:hAnsi="黑体" w:eastAsia="仿宋_GB2312" w:cs="Times New Roman"/>
          <w:color w:val="auto"/>
          <w:sz w:val="32"/>
          <w:szCs w:val="32"/>
        </w:rPr>
        <w:t>地址：</w:t>
      </w:r>
      <w:r>
        <w:rPr>
          <w:rFonts w:hint="eastAsia" w:ascii="仿宋_GB2312" w:hAnsi="黑体" w:eastAsia="仿宋_GB2312" w:cs="Times New Roman"/>
          <w:color w:val="auto"/>
          <w:sz w:val="32"/>
          <w:szCs w:val="32"/>
        </w:rPr>
        <w:t>青岛市民中心（市南区福州南路17，27号）2楼南侧大厅</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市北管理处  地址：市北区敦化路328号诺德广场A座5楼</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李沧管理处  地址：李沧区京口路47号百通大厦7楼</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崂山管理处  地址：</w:t>
      </w:r>
      <w:r>
        <w:rPr>
          <w:rFonts w:hint="eastAsia" w:ascii="仿宋_GB2312" w:hAnsi="黑体" w:eastAsia="仿宋_GB2312" w:cs="Times New Roman"/>
          <w:color w:val="auto"/>
          <w:w w:val="90"/>
          <w:sz w:val="32"/>
          <w:szCs w:val="32"/>
        </w:rPr>
        <w:t>崂山区海尔路182-8号半岛国际大厦5楼</w:t>
      </w:r>
    </w:p>
    <w:p>
      <w:pPr>
        <w:keepNext w:val="0"/>
        <w:keepLines w:val="0"/>
        <w:pageBreakBefore w:val="0"/>
        <w:widowControl w:val="0"/>
        <w:kinsoku/>
        <w:wordWrap/>
        <w:overflowPunct/>
        <w:topLinePunct w:val="0"/>
        <w:autoSpaceDE/>
        <w:autoSpaceDN/>
        <w:bidi w:val="0"/>
        <w:adjustRightInd w:val="0"/>
        <w:snapToGrid w:val="0"/>
        <w:spacing w:line="520" w:lineRule="exact"/>
        <w:ind w:left="3358" w:leftChars="304" w:hanging="2720" w:hangingChars="85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城阳管理处  地址：城阳区正阳路205号B座6楼</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黄岛管理处第一营业大厅</w:t>
      </w:r>
    </w:p>
    <w:p>
      <w:pPr>
        <w:keepNext w:val="0"/>
        <w:keepLines w:val="0"/>
        <w:pageBreakBefore w:val="0"/>
        <w:widowControl w:val="0"/>
        <w:kinsoku/>
        <w:wordWrap/>
        <w:overflowPunct/>
        <w:topLinePunct w:val="0"/>
        <w:autoSpaceDE/>
        <w:autoSpaceDN/>
        <w:bidi w:val="0"/>
        <w:adjustRightInd w:val="0"/>
        <w:snapToGrid w:val="0"/>
        <w:spacing w:line="520" w:lineRule="exact"/>
        <w:ind w:firstLine="2400" w:firstLineChars="75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 xml:space="preserve"> 地址：黄岛区长江东路313号悦海大厦</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 xml:space="preserve">黄岛管理处第二营业大厅 </w:t>
      </w:r>
    </w:p>
    <w:p>
      <w:pPr>
        <w:keepNext w:val="0"/>
        <w:keepLines w:val="0"/>
        <w:pageBreakBefore w:val="0"/>
        <w:widowControl w:val="0"/>
        <w:kinsoku/>
        <w:wordWrap/>
        <w:overflowPunct/>
        <w:topLinePunct w:val="0"/>
        <w:autoSpaceDE/>
        <w:autoSpaceDN/>
        <w:bidi w:val="0"/>
        <w:adjustRightInd w:val="0"/>
        <w:snapToGrid w:val="0"/>
        <w:spacing w:line="520" w:lineRule="exact"/>
        <w:ind w:firstLine="2560" w:firstLineChars="8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地址：</w:t>
      </w:r>
      <w:r>
        <w:rPr>
          <w:rFonts w:ascii="仿宋_GB2312" w:hAnsi="黑体" w:eastAsia="仿宋_GB2312" w:cs="Times New Roman"/>
          <w:color w:val="auto"/>
          <w:sz w:val="32"/>
          <w:szCs w:val="32"/>
        </w:rPr>
        <w:t>黄岛区</w:t>
      </w:r>
      <w:r>
        <w:rPr>
          <w:rFonts w:hint="eastAsia" w:ascii="仿宋_GB2312" w:hAnsi="黑体" w:eastAsia="仿宋_GB2312" w:cs="Times New Roman"/>
          <w:color w:val="auto"/>
          <w:sz w:val="32"/>
          <w:szCs w:val="32"/>
        </w:rPr>
        <w:t>双珠</w:t>
      </w:r>
      <w:r>
        <w:rPr>
          <w:rFonts w:ascii="仿宋_GB2312" w:hAnsi="黑体" w:eastAsia="仿宋_GB2312" w:cs="Times New Roman"/>
          <w:color w:val="auto"/>
          <w:sz w:val="32"/>
          <w:szCs w:val="32"/>
        </w:rPr>
        <w:t>路</w:t>
      </w:r>
      <w:r>
        <w:rPr>
          <w:rFonts w:hint="eastAsia" w:ascii="仿宋_GB2312" w:hAnsi="黑体" w:eastAsia="仿宋_GB2312" w:cs="Times New Roman"/>
          <w:color w:val="auto"/>
          <w:sz w:val="32"/>
          <w:szCs w:val="32"/>
        </w:rPr>
        <w:t>399</w:t>
      </w:r>
      <w:r>
        <w:rPr>
          <w:rFonts w:ascii="仿宋_GB2312" w:hAnsi="黑体" w:eastAsia="仿宋_GB2312" w:cs="Times New Roman"/>
          <w:color w:val="auto"/>
          <w:sz w:val="32"/>
          <w:szCs w:val="32"/>
        </w:rPr>
        <w:t>号光大商务中心3楼</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即墨管理处  地址：</w:t>
      </w:r>
      <w:r>
        <w:rPr>
          <w:rFonts w:ascii="仿宋_GB2312" w:hAnsi="黑体" w:eastAsia="仿宋_GB2312" w:cs="Times New Roman"/>
          <w:color w:val="auto"/>
          <w:sz w:val="32"/>
          <w:szCs w:val="32"/>
        </w:rPr>
        <w:t>即墨</w:t>
      </w:r>
      <w:r>
        <w:rPr>
          <w:rFonts w:hint="eastAsia" w:ascii="仿宋_GB2312" w:hAnsi="黑体" w:eastAsia="仿宋_GB2312" w:cs="Times New Roman"/>
          <w:color w:val="auto"/>
          <w:sz w:val="32"/>
          <w:szCs w:val="32"/>
        </w:rPr>
        <w:t>区</w:t>
      </w:r>
      <w:r>
        <w:rPr>
          <w:rFonts w:ascii="仿宋_GB2312" w:hAnsi="黑体" w:eastAsia="仿宋_GB2312" w:cs="Times New Roman"/>
          <w:color w:val="auto"/>
          <w:sz w:val="32"/>
          <w:szCs w:val="32"/>
        </w:rPr>
        <w:t>蓝鳌路788号德馨大厦</w:t>
      </w:r>
      <w:r>
        <w:rPr>
          <w:rFonts w:hint="eastAsia" w:ascii="仿宋_GB2312" w:hAnsi="黑体" w:eastAsia="仿宋_GB2312" w:cs="Times New Roman"/>
          <w:color w:val="auto"/>
          <w:sz w:val="32"/>
          <w:szCs w:val="32"/>
        </w:rPr>
        <w:t>3</w:t>
      </w:r>
      <w:r>
        <w:rPr>
          <w:rFonts w:ascii="仿宋_GB2312" w:hAnsi="黑体" w:eastAsia="仿宋_GB2312" w:cs="Times New Roman"/>
          <w:color w:val="auto"/>
          <w:sz w:val="32"/>
          <w:szCs w:val="32"/>
        </w:rPr>
        <w:t>楼</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w w:val="85"/>
          <w:sz w:val="32"/>
          <w:szCs w:val="32"/>
        </w:rPr>
      </w:pPr>
      <w:r>
        <w:rPr>
          <w:rFonts w:hint="eastAsia" w:ascii="仿宋_GB2312" w:hAnsi="黑体" w:eastAsia="仿宋_GB2312" w:cs="Times New Roman"/>
          <w:color w:val="auto"/>
          <w:sz w:val="32"/>
          <w:szCs w:val="32"/>
        </w:rPr>
        <w:t>胶州管理处  地址：</w:t>
      </w:r>
      <w:r>
        <w:rPr>
          <w:rFonts w:hint="eastAsia" w:ascii="仿宋_GB2312" w:hAnsi="黑体" w:eastAsia="仿宋_GB2312" w:cs="Times New Roman"/>
          <w:color w:val="auto"/>
          <w:w w:val="85"/>
          <w:sz w:val="32"/>
          <w:szCs w:val="32"/>
        </w:rPr>
        <w:t>胶州市澳门路333号天泰金融广场4号楼10楼</w:t>
      </w:r>
    </w:p>
    <w:p>
      <w:pPr>
        <w:keepNext w:val="0"/>
        <w:keepLines w:val="0"/>
        <w:pageBreakBefore w:val="0"/>
        <w:widowControl w:val="0"/>
        <w:kinsoku/>
        <w:wordWrap/>
        <w:overflowPunct/>
        <w:topLinePunct w:val="0"/>
        <w:autoSpaceDE/>
        <w:autoSpaceDN/>
        <w:bidi w:val="0"/>
        <w:adjustRightInd w:val="0"/>
        <w:snapToGrid w:val="0"/>
        <w:spacing w:line="520" w:lineRule="exact"/>
        <w:ind w:left="3038" w:leftChars="304" w:hanging="2400" w:hangingChars="75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平度管理处  地址：</w:t>
      </w:r>
      <w:r>
        <w:rPr>
          <w:rFonts w:ascii="仿宋_GB2312" w:hAnsi="黑体" w:eastAsia="仿宋_GB2312" w:cs="Times New Roman"/>
          <w:color w:val="auto"/>
          <w:sz w:val="32"/>
          <w:szCs w:val="32"/>
        </w:rPr>
        <w:t>平度市红旗路23号鼎峰大厦6楼</w:t>
      </w:r>
    </w:p>
    <w:p>
      <w:pPr>
        <w:pStyle w:val="2"/>
        <w:keepNext/>
        <w:keepLines/>
        <w:pageBreakBefore w:val="0"/>
        <w:widowControl w:val="0"/>
        <w:kinsoku/>
        <w:wordWrap/>
        <w:overflowPunct/>
        <w:topLinePunct w:val="0"/>
        <w:autoSpaceDE/>
        <w:autoSpaceDN/>
        <w:bidi w:val="0"/>
        <w:adjustRightInd w:val="0"/>
        <w:snapToGrid w:val="0"/>
        <w:spacing w:before="0" w:after="0" w:line="560" w:lineRule="exact"/>
        <w:ind w:firstLine="640" w:firstLineChars="200"/>
        <w:textAlignment w:val="auto"/>
        <w:rPr>
          <w:color w:val="auto"/>
        </w:rPr>
      </w:pPr>
      <w:r>
        <w:rPr>
          <w:rFonts w:hint="eastAsia" w:ascii="仿宋_GB2312" w:hAnsi="黑体" w:eastAsia="仿宋_GB2312" w:cs="Times New Roman"/>
          <w:color w:val="auto"/>
          <w:sz w:val="32"/>
          <w:szCs w:val="32"/>
        </w:rPr>
        <w:t>莱西管理处  地址：</w:t>
      </w:r>
      <w:r>
        <w:rPr>
          <w:rFonts w:ascii="仿宋_GB2312" w:hAnsi="黑体" w:eastAsia="仿宋_GB2312" w:cs="Times New Roman"/>
          <w:color w:val="auto"/>
          <w:sz w:val="32"/>
          <w:szCs w:val="32"/>
        </w:rPr>
        <w:t>莱西市长岛路</w:t>
      </w:r>
      <w:r>
        <w:rPr>
          <w:rFonts w:ascii="仿宋_GB2312" w:hAnsi="黑体" w:eastAsia="仿宋_GB2312" w:cs="Times New Roman"/>
          <w:color w:val="auto"/>
          <w:sz w:val="32"/>
          <w:szCs w:val="32"/>
        </w:rPr>
        <w:t>1</w:t>
      </w:r>
      <w:r>
        <w:rPr>
          <w:rFonts w:hint="eastAsia" w:ascii="仿宋_GB2312" w:hAnsi="黑体" w:eastAsia="仿宋_GB2312" w:cs="Times New Roman"/>
          <w:color w:val="auto"/>
          <w:sz w:val="32"/>
          <w:szCs w:val="32"/>
          <w:lang w:val="en-US" w:eastAsia="zh-CN"/>
        </w:rPr>
        <w:t>48</w:t>
      </w:r>
      <w:r>
        <w:rPr>
          <w:rFonts w:ascii="仿宋_GB2312" w:hAnsi="黑体" w:eastAsia="仿宋_GB2312" w:cs="Times New Roman"/>
          <w:color w:val="auto"/>
          <w:sz w:val="32"/>
          <w:szCs w:val="32"/>
        </w:rPr>
        <w:t>号</w:t>
      </w:r>
      <w:r>
        <w:rPr>
          <w:rFonts w:hint="eastAsia" w:ascii="仿宋_GB2312" w:hAnsi="黑体" w:eastAsia="仿宋_GB2312" w:cs="Times New Roman"/>
          <w:color w:val="auto"/>
          <w:sz w:val="32"/>
          <w:szCs w:val="32"/>
          <w:lang w:val="en-US" w:eastAsia="zh-CN"/>
        </w:rPr>
        <w:t>市政务服务中心A座5</w:t>
      </w:r>
      <w:r>
        <w:rPr>
          <w:rFonts w:ascii="仿宋_GB2312" w:hAnsi="黑体" w:eastAsia="仿宋_GB2312" w:cs="Times New Roman"/>
          <w:color w:val="auto"/>
          <w:sz w:val="32"/>
          <w:szCs w:val="32"/>
        </w:rPr>
        <w:t>楼</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四、办理条件</w:t>
      </w:r>
    </w:p>
    <w:p>
      <w:pPr>
        <w:keepNext w:val="0"/>
        <w:keepLines w:val="0"/>
        <w:pageBreakBefore w:val="0"/>
        <w:widowControl w:val="0"/>
        <w:kinsoku/>
        <w:wordWrap/>
        <w:overflowPunct/>
        <w:topLinePunct w:val="0"/>
        <w:autoSpaceDE/>
        <w:autoSpaceDN/>
        <w:bidi w:val="0"/>
        <w:adjustRightInd w:val="0"/>
        <w:snapToGrid w:val="0"/>
        <w:spacing w:line="520" w:lineRule="exact"/>
        <w:ind w:firstLine="643" w:firstLineChars="200"/>
        <w:textAlignment w:val="auto"/>
        <w:rPr>
          <w:rFonts w:ascii="楷体_GB2312" w:hAnsi="Arial" w:eastAsia="楷体_GB2312" w:cs="Arial"/>
          <w:b/>
          <w:color w:val="auto"/>
          <w:kern w:val="0"/>
          <w:sz w:val="32"/>
          <w:szCs w:val="32"/>
        </w:rPr>
      </w:pPr>
      <w:r>
        <w:rPr>
          <w:rFonts w:hint="eastAsia" w:ascii="楷体_GB2312" w:hAnsi="Arial" w:eastAsia="楷体_GB2312" w:cs="Arial"/>
          <w:b/>
          <w:color w:val="auto"/>
          <w:kern w:val="0"/>
          <w:sz w:val="32"/>
          <w:szCs w:val="32"/>
        </w:rPr>
        <w:t>（一）申请范围</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Arial" w:eastAsia="仿宋_GB2312" w:cs="Arial"/>
          <w:color w:val="auto"/>
          <w:kern w:val="0"/>
          <w:sz w:val="32"/>
          <w:szCs w:val="32"/>
        </w:rPr>
      </w:pPr>
      <w:r>
        <w:rPr>
          <w:rFonts w:hint="eastAsia" w:ascii="仿宋_GB2312" w:eastAsia="仿宋_GB2312"/>
          <w:color w:val="auto"/>
          <w:sz w:val="32"/>
          <w:szCs w:val="32"/>
        </w:rPr>
        <w:t>1.降低缴存比例缴存住房公积金是指</w:t>
      </w:r>
      <w:r>
        <w:rPr>
          <w:rFonts w:hint="eastAsia" w:ascii="仿宋_GB2312" w:hAnsi="Arial" w:eastAsia="仿宋_GB2312" w:cs="Arial"/>
          <w:color w:val="auto"/>
          <w:kern w:val="0"/>
          <w:sz w:val="32"/>
          <w:szCs w:val="32"/>
        </w:rPr>
        <w:t>单位上一年度经营亏损的，可以申请降低缴存比例为职工缴存住房公积金的行为。降低缴存比例后单位和职工各自的缴存比例不得低于1%。</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Arial" w:eastAsia="仿宋_GB2312" w:cs="Arial"/>
          <w:color w:val="auto"/>
          <w:kern w:val="0"/>
          <w:sz w:val="32"/>
          <w:szCs w:val="32"/>
        </w:rPr>
      </w:pPr>
      <w:r>
        <w:rPr>
          <w:rFonts w:hint="eastAsia" w:ascii="仿宋_GB2312" w:eastAsia="仿宋_GB2312"/>
          <w:color w:val="auto"/>
          <w:sz w:val="32"/>
          <w:szCs w:val="32"/>
        </w:rPr>
        <w:t>2.缓缴住房公积金是指</w:t>
      </w:r>
      <w:r>
        <w:rPr>
          <w:rFonts w:hint="eastAsia" w:ascii="仿宋_GB2312" w:hAnsi="Arial" w:eastAsia="仿宋_GB2312" w:cs="Arial"/>
          <w:color w:val="auto"/>
          <w:kern w:val="0"/>
          <w:sz w:val="32"/>
          <w:szCs w:val="32"/>
        </w:rPr>
        <w:t>单位上一年度经营亏损的，可以申请暂时不缴住房公积金的行为。</w:t>
      </w:r>
    </w:p>
    <w:p>
      <w:pPr>
        <w:keepNext w:val="0"/>
        <w:keepLines w:val="0"/>
        <w:pageBreakBefore w:val="0"/>
        <w:widowControl w:val="0"/>
        <w:kinsoku/>
        <w:wordWrap/>
        <w:overflowPunct/>
        <w:topLinePunct w:val="0"/>
        <w:autoSpaceDE/>
        <w:autoSpaceDN/>
        <w:bidi w:val="0"/>
        <w:adjustRightInd w:val="0"/>
        <w:snapToGrid w:val="0"/>
        <w:spacing w:line="520" w:lineRule="exact"/>
        <w:ind w:firstLine="643" w:firstLineChars="200"/>
        <w:textAlignment w:val="auto"/>
        <w:rPr>
          <w:rFonts w:ascii="楷体_GB2312" w:hAnsi="Arial" w:eastAsia="楷体_GB2312" w:cs="Arial"/>
          <w:b/>
          <w:color w:val="auto"/>
          <w:kern w:val="0"/>
          <w:sz w:val="32"/>
          <w:szCs w:val="32"/>
        </w:rPr>
      </w:pPr>
      <w:r>
        <w:rPr>
          <w:rFonts w:hint="eastAsia" w:ascii="楷体_GB2312" w:hAnsi="Arial" w:eastAsia="楷体_GB2312" w:cs="Arial"/>
          <w:b/>
          <w:color w:val="auto"/>
          <w:kern w:val="0"/>
          <w:sz w:val="32"/>
          <w:szCs w:val="32"/>
        </w:rPr>
        <w:t>（二）申请条件</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Arial" w:eastAsia="仿宋_GB2312" w:cs="Arial"/>
          <w:color w:val="auto"/>
          <w:kern w:val="0"/>
          <w:sz w:val="32"/>
          <w:szCs w:val="32"/>
        </w:rPr>
      </w:pPr>
      <w:r>
        <w:rPr>
          <w:rFonts w:hint="eastAsia" w:ascii="仿宋_GB2312" w:hAnsi="Arial" w:eastAsia="仿宋_GB2312" w:cs="Arial"/>
          <w:color w:val="auto"/>
          <w:kern w:val="0"/>
          <w:sz w:val="32"/>
          <w:szCs w:val="32"/>
        </w:rPr>
        <w:t xml:space="preserve">1.业务申请所在年度的上一年度，单位经营出现亏损； </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Arial" w:eastAsia="仿宋_GB2312" w:cs="Arial"/>
          <w:color w:val="auto"/>
          <w:kern w:val="0"/>
          <w:sz w:val="32"/>
          <w:szCs w:val="32"/>
        </w:rPr>
      </w:pPr>
      <w:r>
        <w:rPr>
          <w:rFonts w:hint="eastAsia" w:ascii="仿宋_GB2312" w:hAnsi="Arial" w:eastAsia="仿宋_GB2312" w:cs="Arial"/>
          <w:color w:val="auto"/>
          <w:kern w:val="0"/>
          <w:sz w:val="32"/>
          <w:szCs w:val="32"/>
        </w:rPr>
        <w:t>2.经单位职工（代表）大会审议通过并形成了决议；</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Arial" w:eastAsia="仿宋_GB2312" w:cs="Arial"/>
          <w:color w:val="auto"/>
          <w:kern w:val="0"/>
          <w:sz w:val="32"/>
          <w:szCs w:val="32"/>
        </w:rPr>
      </w:pPr>
      <w:r>
        <w:rPr>
          <w:rFonts w:hint="eastAsia" w:ascii="仿宋_GB2312" w:hAnsi="Arial" w:eastAsia="仿宋_GB2312" w:cs="Arial"/>
          <w:color w:val="auto"/>
          <w:kern w:val="0"/>
          <w:sz w:val="32"/>
          <w:szCs w:val="32"/>
        </w:rPr>
        <w:t>3.经营状况经具有法定资格的中介机构审计。</w:t>
      </w:r>
    </w:p>
    <w:p>
      <w:pPr>
        <w:keepNext w:val="0"/>
        <w:keepLines w:val="0"/>
        <w:pageBreakBefore w:val="0"/>
        <w:widowControl w:val="0"/>
        <w:kinsoku/>
        <w:wordWrap/>
        <w:overflowPunct/>
        <w:topLinePunct w:val="0"/>
        <w:autoSpaceDE/>
        <w:autoSpaceDN/>
        <w:bidi w:val="0"/>
        <w:adjustRightInd w:val="0"/>
        <w:snapToGrid w:val="0"/>
        <w:spacing w:line="520" w:lineRule="exact"/>
        <w:ind w:firstLine="643" w:firstLineChars="200"/>
        <w:textAlignment w:val="auto"/>
        <w:rPr>
          <w:rFonts w:ascii="楷体_GB2312" w:hAnsi="Arial" w:eastAsia="楷体_GB2312" w:cs="Arial"/>
          <w:b/>
          <w:color w:val="auto"/>
          <w:kern w:val="0"/>
          <w:sz w:val="32"/>
          <w:szCs w:val="32"/>
        </w:rPr>
      </w:pPr>
      <w:r>
        <w:rPr>
          <w:rFonts w:hint="eastAsia" w:ascii="楷体_GB2312" w:hAnsi="Arial" w:eastAsia="楷体_GB2312" w:cs="Arial"/>
          <w:b/>
          <w:color w:val="auto"/>
          <w:kern w:val="0"/>
          <w:sz w:val="32"/>
          <w:szCs w:val="32"/>
        </w:rPr>
        <w:t>（三）其他</w:t>
      </w:r>
    </w:p>
    <w:p>
      <w:pPr>
        <w:keepNext w:val="0"/>
        <w:keepLines w:val="0"/>
        <w:pageBreakBefore w:val="0"/>
        <w:widowControl w:val="0"/>
        <w:kinsoku/>
        <w:wordWrap/>
        <w:overflowPunct/>
        <w:topLinePunct w:val="0"/>
        <w:autoSpaceDE/>
        <w:autoSpaceDN/>
        <w:bidi w:val="0"/>
        <w:adjustRightInd w:val="0"/>
        <w:snapToGrid w:val="0"/>
        <w:spacing w:line="520" w:lineRule="exact"/>
        <w:ind w:firstLine="627" w:firstLineChars="196"/>
        <w:textAlignment w:val="auto"/>
        <w:rPr>
          <w:rFonts w:ascii="仿宋_GB2312" w:hAnsi="Arial" w:eastAsia="仿宋_GB2312" w:cs="Arial"/>
          <w:color w:val="auto"/>
          <w:kern w:val="0"/>
          <w:sz w:val="32"/>
          <w:szCs w:val="32"/>
        </w:rPr>
      </w:pPr>
      <w:r>
        <w:rPr>
          <w:rFonts w:hint="eastAsia" w:ascii="仿宋_GB2312" w:hAnsi="Arial" w:eastAsia="仿宋_GB2312" w:cs="Arial"/>
          <w:color w:val="auto"/>
          <w:kern w:val="0"/>
          <w:sz w:val="32"/>
          <w:szCs w:val="32"/>
        </w:rPr>
        <w:t>1.单位申请降低缴存比例或缓缴住房公积金的期限，自审批通过之日所在的月度开始计算，每次不得超过12个月。在规定期限届满时，经批准降低缴存比例的单位，应恢复到规定的缴存比例范围正常缴存住房公积金，并补缴降低缴存比例期间少缴的住房公积金;经批准缓缴住房公积金的单位，应恢复正常缴存住房公积金，同时补缴缓缴期间的住房公积金。</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contextualSpacing/>
        <w:textAlignment w:val="auto"/>
        <w:rPr>
          <w:rFonts w:ascii="仿宋_GB2312" w:hAnsi="Arial" w:eastAsia="仿宋_GB2312" w:cs="Arial"/>
          <w:color w:val="auto"/>
          <w:sz w:val="32"/>
          <w:szCs w:val="32"/>
        </w:rPr>
      </w:pPr>
      <w:r>
        <w:rPr>
          <w:rFonts w:hint="eastAsia" w:ascii="仿宋_GB2312" w:hAnsi="Arial" w:eastAsia="仿宋_GB2312" w:cs="Arial"/>
          <w:color w:val="auto"/>
          <w:kern w:val="0"/>
          <w:sz w:val="32"/>
          <w:szCs w:val="32"/>
        </w:rPr>
        <w:t>2.</w:t>
      </w:r>
      <w:r>
        <w:rPr>
          <w:rFonts w:hint="eastAsia" w:ascii="仿宋_GB2312" w:hAnsi="Arial" w:eastAsia="仿宋_GB2312" w:cs="Arial"/>
          <w:color w:val="auto"/>
          <w:sz w:val="32"/>
          <w:szCs w:val="32"/>
        </w:rPr>
        <w:t xml:space="preserve"> 单位需要提前恢复规定缴存比例或终止缓缴的，应向市住房公积金管理中心提出提前终止降低缴存比例或缓缴状态的申请,并补缴降低缴存比例期间少缴的住房公积金，或补缴缓缴期间的住房公积金。</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contextualSpacing/>
        <w:textAlignment w:val="auto"/>
        <w:rPr>
          <w:rFonts w:ascii="仿宋_GB2312" w:hAnsi="Arial" w:eastAsia="仿宋_GB2312" w:cs="Arial"/>
          <w:color w:val="auto"/>
          <w:sz w:val="32"/>
          <w:szCs w:val="32"/>
        </w:rPr>
      </w:pPr>
      <w:r>
        <w:rPr>
          <w:rFonts w:hint="eastAsia" w:ascii="仿宋_GB2312" w:hAnsi="Arial" w:eastAsia="仿宋_GB2312" w:cs="Arial"/>
          <w:color w:val="auto"/>
          <w:sz w:val="32"/>
          <w:szCs w:val="32"/>
        </w:rPr>
        <w:t>3.规定期限届满后，仍符合申请条件需要再次申请的，须恢复规定的缴存比例并补缴降低缴存比例期间少缴的住房公积金，或补缴缓缴期间的住房公积金后，方可再次申请。</w:t>
      </w:r>
    </w:p>
    <w:p>
      <w:pPr>
        <w:keepNext w:val="0"/>
        <w:keepLines w:val="0"/>
        <w:pageBreakBefore w:val="0"/>
        <w:widowControl w:val="0"/>
        <w:kinsoku/>
        <w:wordWrap/>
        <w:overflowPunct/>
        <w:topLinePunct w:val="0"/>
        <w:autoSpaceDE/>
        <w:autoSpaceDN/>
        <w:bidi w:val="0"/>
        <w:adjustRightInd w:val="0"/>
        <w:snapToGrid w:val="0"/>
        <w:spacing w:line="520" w:lineRule="exact"/>
        <w:ind w:left="720"/>
        <w:textAlignment w:val="auto"/>
        <w:rPr>
          <w:rStyle w:val="6"/>
          <w:rFonts w:ascii="黑体" w:hAnsi="黑体" w:eastAsia="黑体" w:cs="Times New Roman"/>
          <w:color w:val="auto"/>
          <w:sz w:val="32"/>
          <w:szCs w:val="32"/>
        </w:rPr>
      </w:pPr>
      <w:r>
        <w:rPr>
          <w:rStyle w:val="6"/>
          <w:rFonts w:hint="eastAsia" w:ascii="黑体" w:hAnsi="黑体" w:eastAsia="黑体" w:cs="Times New Roman"/>
          <w:color w:val="auto"/>
          <w:sz w:val="32"/>
          <w:szCs w:val="32"/>
        </w:rPr>
        <w:t>五、申请材料</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contextualSpacing/>
        <w:textAlignment w:val="auto"/>
        <w:rPr>
          <w:rFonts w:hint="eastAsia" w:ascii="仿宋_GB2312" w:hAnsi="Arial" w:eastAsia="仿宋_GB2312" w:cs="Arial"/>
          <w:color w:val="auto"/>
          <w:sz w:val="32"/>
          <w:szCs w:val="32"/>
        </w:rPr>
      </w:pPr>
      <w:r>
        <w:rPr>
          <w:rFonts w:hint="eastAsia" w:ascii="仿宋_GB2312" w:hAnsi="Arial" w:eastAsia="仿宋_GB2312" w:cs="Arial"/>
          <w:color w:val="auto"/>
          <w:sz w:val="32"/>
          <w:szCs w:val="32"/>
          <w:lang w:val="en-US" w:eastAsia="zh-CN"/>
        </w:rPr>
        <w:t>提示：支持电子证照。</w:t>
      </w:r>
      <w:r>
        <w:rPr>
          <w:rFonts w:hint="eastAsia" w:ascii="仿宋_GB2312" w:hAnsi="Arial" w:eastAsia="仿宋_GB2312" w:cs="Arial"/>
          <w:color w:val="auto"/>
          <w:sz w:val="32"/>
          <w:szCs w:val="32"/>
        </w:rPr>
        <w:t>电子身份证、电子营业执照、不动产权证书、不动产登记证明、结婚证、离婚证</w:t>
      </w:r>
      <w:r>
        <w:rPr>
          <w:rFonts w:hint="eastAsia" w:ascii="仿宋_GB2312" w:hAnsi="Arial" w:eastAsia="仿宋_GB2312" w:cs="Arial"/>
          <w:color w:val="auto"/>
          <w:sz w:val="32"/>
          <w:szCs w:val="32"/>
          <w:lang w:val="en-US" w:eastAsia="zh-CN"/>
        </w:rPr>
        <w:t>等</w:t>
      </w:r>
      <w:r>
        <w:rPr>
          <w:rFonts w:hint="eastAsia" w:ascii="仿宋_GB2312" w:hAnsi="Arial" w:eastAsia="仿宋_GB2312" w:cs="Arial"/>
          <w:color w:val="auto"/>
          <w:sz w:val="32"/>
          <w:szCs w:val="32"/>
        </w:rPr>
        <w:t>，可通过“爱山东”APP申领并出示电子证照，办理业务及咨询。</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contextualSpacing/>
        <w:textAlignment w:val="auto"/>
        <w:rPr>
          <w:rFonts w:ascii="楷体_GB2312" w:hAnsi="楷体_GB2312" w:eastAsia="楷体_GB2312" w:cs="楷体_GB2312"/>
          <w:bCs/>
          <w:color w:val="auto"/>
          <w:sz w:val="32"/>
          <w:szCs w:val="32"/>
        </w:rPr>
      </w:pPr>
      <w:r>
        <w:rPr>
          <w:rFonts w:hint="eastAsia" w:ascii="楷体_GB2312" w:hAnsi="楷体_GB2312" w:eastAsia="楷体_GB2312" w:cs="楷体_GB2312"/>
          <w:bCs/>
          <w:color w:val="auto"/>
          <w:sz w:val="32"/>
          <w:szCs w:val="32"/>
        </w:rPr>
        <w:t>（一）申请单位降低缴存比例或缓缴住房公积金材料</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contextualSpacing/>
        <w:textAlignment w:val="auto"/>
        <w:rPr>
          <w:rFonts w:ascii="仿宋_GB2312" w:hAnsi="Arial" w:eastAsia="仿宋_GB2312" w:cs="Arial"/>
          <w:color w:val="auto"/>
          <w:sz w:val="32"/>
          <w:szCs w:val="32"/>
        </w:rPr>
      </w:pPr>
      <w:r>
        <w:rPr>
          <w:rFonts w:hint="eastAsia" w:ascii="仿宋_GB2312" w:hAnsi="Arial" w:eastAsia="仿宋_GB2312" w:cs="Arial"/>
          <w:color w:val="auto"/>
          <w:sz w:val="32"/>
          <w:szCs w:val="32"/>
        </w:rPr>
        <w:t>1.单位降低住房公积金缴存比例（缓缴住房公积金）申请审批表（一式二联）；</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contextualSpacing/>
        <w:textAlignment w:val="auto"/>
        <w:rPr>
          <w:rFonts w:ascii="仿宋_GB2312" w:hAnsi="Arial" w:eastAsia="仿宋_GB2312" w:cs="Arial"/>
          <w:color w:val="auto"/>
          <w:sz w:val="32"/>
          <w:szCs w:val="32"/>
        </w:rPr>
      </w:pPr>
      <w:r>
        <w:rPr>
          <w:rFonts w:hint="eastAsia" w:ascii="仿宋_GB2312" w:hAnsi="Arial" w:eastAsia="仿宋_GB2312" w:cs="Arial"/>
          <w:color w:val="auto"/>
          <w:sz w:val="32"/>
          <w:szCs w:val="32"/>
        </w:rPr>
        <w:t>2.单位职工（代表）大会审议通过的决议（包括：会议时间、地点、参会人员规定、审议议题、审议结果等内容）原件；</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contextualSpacing/>
        <w:textAlignment w:val="auto"/>
        <w:rPr>
          <w:rFonts w:ascii="仿宋_GB2312" w:hAnsi="Arial" w:eastAsia="仿宋_GB2312" w:cs="Arial"/>
          <w:color w:val="auto"/>
          <w:sz w:val="32"/>
          <w:szCs w:val="32"/>
        </w:rPr>
      </w:pPr>
      <w:r>
        <w:rPr>
          <w:rFonts w:hint="eastAsia" w:ascii="仿宋_GB2312" w:hAnsi="Arial" w:eastAsia="仿宋_GB2312" w:cs="Arial"/>
          <w:color w:val="auto"/>
          <w:sz w:val="32"/>
          <w:szCs w:val="32"/>
        </w:rPr>
        <w:t>3.具有法定资格的中介机构出具的审计报告原件。</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contextualSpacing/>
        <w:textAlignment w:val="auto"/>
        <w:rPr>
          <w:rFonts w:ascii="楷体_GB2312" w:hAnsi="楷体_GB2312" w:eastAsia="楷体_GB2312" w:cs="楷体_GB2312"/>
          <w:bCs/>
          <w:color w:val="auto"/>
          <w:sz w:val="32"/>
          <w:szCs w:val="32"/>
        </w:rPr>
      </w:pPr>
      <w:r>
        <w:rPr>
          <w:rFonts w:hint="eastAsia" w:ascii="楷体_GB2312" w:hAnsi="楷体_GB2312" w:eastAsia="楷体_GB2312" w:cs="楷体_GB2312"/>
          <w:bCs/>
          <w:color w:val="auto"/>
          <w:sz w:val="32"/>
          <w:szCs w:val="32"/>
        </w:rPr>
        <w:t>（二）申请提前恢复规定缴存比例或终止缓缴材料</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contextualSpacing/>
        <w:textAlignment w:val="auto"/>
        <w:rPr>
          <w:rStyle w:val="6"/>
          <w:rFonts w:ascii="仿宋_GB2312" w:hAnsi="Arial" w:eastAsia="仿宋_GB2312" w:cs="Arial"/>
          <w:b w:val="0"/>
          <w:bCs w:val="0"/>
          <w:color w:val="auto"/>
          <w:sz w:val="32"/>
          <w:szCs w:val="32"/>
        </w:rPr>
      </w:pPr>
      <w:r>
        <w:rPr>
          <w:rFonts w:hint="eastAsia" w:ascii="仿宋_GB2312" w:hAnsi="Arial" w:eastAsia="仿宋_GB2312" w:cs="Arial"/>
          <w:color w:val="auto"/>
          <w:sz w:val="32"/>
          <w:szCs w:val="32"/>
        </w:rPr>
        <w:t>《单位提前终止降低缴存比例（缓缴住房公积金）状态申请表（一式一联）》</w:t>
      </w:r>
    </w:p>
    <w:p>
      <w:pPr>
        <w:pStyle w:val="9"/>
        <w:keepNext w:val="0"/>
        <w:keepLines w:val="0"/>
        <w:pageBreakBefore w:val="0"/>
        <w:widowControl w:val="0"/>
        <w:numPr>
          <w:ilvl w:val="0"/>
          <w:numId w:val="2"/>
        </w:numPr>
        <w:kinsoku/>
        <w:wordWrap/>
        <w:overflowPunct/>
        <w:topLinePunct w:val="0"/>
        <w:autoSpaceDE/>
        <w:autoSpaceDN/>
        <w:bidi w:val="0"/>
        <w:adjustRightInd w:val="0"/>
        <w:snapToGrid w:val="0"/>
        <w:spacing w:line="520" w:lineRule="exact"/>
        <w:ind w:firstLineChars="0"/>
        <w:textAlignment w:val="auto"/>
        <w:rPr>
          <w:rFonts w:ascii="黑体" w:hAnsi="黑体" w:eastAsia="黑体" w:cs="宋体"/>
          <w:color w:val="auto"/>
          <w:kern w:val="0"/>
          <w:sz w:val="32"/>
          <w:szCs w:val="32"/>
        </w:rPr>
      </w:pPr>
      <w:r>
        <w:rPr>
          <w:rFonts w:hint="eastAsia" w:ascii="黑体" w:hAnsi="黑体" w:eastAsia="黑体" w:cs="宋体"/>
          <w:color w:val="auto"/>
          <w:kern w:val="0"/>
          <w:sz w:val="32"/>
          <w:szCs w:val="32"/>
        </w:rPr>
        <w:t>基本流程</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Arial" w:eastAsia="仿宋_GB2312" w:cs="Arial"/>
          <w:color w:val="auto"/>
          <w:kern w:val="0"/>
          <w:sz w:val="32"/>
          <w:szCs w:val="32"/>
        </w:rPr>
      </w:pPr>
      <w:r>
        <w:rPr>
          <w:rFonts w:hint="eastAsia" w:ascii="仿宋_GB2312" w:hAnsi="Arial" w:eastAsia="仿宋_GB2312" w:cs="Arial"/>
          <w:color w:val="auto"/>
          <w:kern w:val="0"/>
          <w:sz w:val="32"/>
          <w:szCs w:val="32"/>
        </w:rPr>
        <w:t>（一）柜台办理：</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Arial" w:eastAsia="仿宋_GB2312" w:cs="Arial"/>
          <w:color w:val="auto"/>
          <w:kern w:val="0"/>
          <w:sz w:val="32"/>
          <w:szCs w:val="32"/>
        </w:rPr>
      </w:pPr>
      <w:r>
        <w:rPr>
          <w:rFonts w:hint="eastAsia" w:ascii="仿宋_GB2312" w:hAnsi="Arial" w:eastAsia="仿宋_GB2312" w:cs="Arial"/>
          <w:color w:val="auto"/>
          <w:kern w:val="0"/>
          <w:sz w:val="32"/>
          <w:szCs w:val="32"/>
        </w:rPr>
        <w:t>1.单位申请降低缴存比例或缓缴住房公积金</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contextualSpacing/>
        <w:textAlignment w:val="auto"/>
        <w:rPr>
          <w:rFonts w:ascii="仿宋_GB2312" w:hAnsi="Arial" w:eastAsia="仿宋_GB2312" w:cs="Arial"/>
          <w:color w:val="auto"/>
          <w:sz w:val="32"/>
          <w:szCs w:val="32"/>
        </w:rPr>
      </w:pPr>
      <w:r>
        <w:rPr>
          <w:rFonts w:hint="eastAsia" w:ascii="仿宋_GB2312" w:hAnsi="Arial" w:eastAsia="仿宋_GB2312" w:cs="Arial"/>
          <w:color w:val="auto"/>
          <w:sz w:val="32"/>
          <w:szCs w:val="32"/>
        </w:rPr>
        <w:t>（1）单位经办人持申请材料到任一管理处柜台提出申请。</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contextualSpacing/>
        <w:textAlignment w:val="auto"/>
        <w:rPr>
          <w:rFonts w:ascii="仿宋_GB2312" w:hAnsi="Arial" w:eastAsia="仿宋_GB2312" w:cs="Arial"/>
          <w:color w:val="auto"/>
          <w:sz w:val="32"/>
          <w:szCs w:val="32"/>
        </w:rPr>
      </w:pPr>
      <w:r>
        <w:rPr>
          <w:rFonts w:hint="eastAsia" w:ascii="仿宋_GB2312" w:hAnsi="Arial" w:eastAsia="仿宋_GB2312" w:cs="Arial"/>
          <w:color w:val="auto"/>
          <w:kern w:val="0"/>
          <w:sz w:val="32"/>
          <w:szCs w:val="32"/>
        </w:rPr>
        <w:t>（2）</w:t>
      </w:r>
      <w:r>
        <w:rPr>
          <w:rFonts w:hint="eastAsia" w:ascii="仿宋_GB2312" w:hAnsi="Arial" w:eastAsia="仿宋_GB2312" w:cs="Arial"/>
          <w:color w:val="auto"/>
          <w:sz w:val="32"/>
          <w:szCs w:val="32"/>
        </w:rPr>
        <w:t>柜台工作人员初审材料合格后并登记，于当日将留存的申请材料移交至审核部门。</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contextualSpacing/>
        <w:textAlignment w:val="auto"/>
        <w:rPr>
          <w:rFonts w:ascii="仿宋_GB2312" w:hAnsi="Arial" w:eastAsia="仿宋_GB2312" w:cs="Arial"/>
          <w:color w:val="auto"/>
          <w:sz w:val="32"/>
          <w:szCs w:val="32"/>
        </w:rPr>
      </w:pPr>
      <w:r>
        <w:rPr>
          <w:rFonts w:hint="eastAsia" w:ascii="仿宋_GB2312" w:hAnsi="Arial" w:eastAsia="仿宋_GB2312" w:cs="Arial"/>
          <w:color w:val="auto"/>
          <w:sz w:val="32"/>
          <w:szCs w:val="32"/>
        </w:rPr>
        <w:t>（3）审核部门应自管理处受理申请登记之日起，1个工作日内将审批结果办理登记、拍照影像资料后，电话告知单位经办人，并将一联经审批的单位降低住房公积金缴存比例（缓缴住房公积金）申请审批表邮寄至单位联系地址。</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contextualSpacing/>
        <w:textAlignment w:val="auto"/>
        <w:rPr>
          <w:rFonts w:ascii="楷体_GB2312" w:hAnsi="楷体_GB2312" w:eastAsia="楷体_GB2312" w:cs="楷体_GB2312"/>
          <w:bCs/>
          <w:color w:val="auto"/>
          <w:sz w:val="32"/>
          <w:szCs w:val="32"/>
        </w:rPr>
      </w:pPr>
      <w:r>
        <w:rPr>
          <w:rFonts w:hint="eastAsia" w:ascii="楷体_GB2312" w:hAnsi="楷体_GB2312" w:eastAsia="楷体_GB2312" w:cs="楷体_GB2312"/>
          <w:bCs/>
          <w:color w:val="auto"/>
          <w:sz w:val="32"/>
          <w:szCs w:val="32"/>
        </w:rPr>
        <w:t>2.单位申请提前恢复规定缴存比例或终止缓缴住房公积金状态</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contextualSpacing/>
        <w:textAlignment w:val="auto"/>
        <w:rPr>
          <w:rFonts w:ascii="仿宋_GB2312" w:hAnsi="Arial" w:eastAsia="仿宋_GB2312" w:cs="Arial"/>
          <w:color w:val="auto"/>
          <w:sz w:val="32"/>
          <w:szCs w:val="32"/>
        </w:rPr>
      </w:pPr>
      <w:r>
        <w:rPr>
          <w:rFonts w:hint="eastAsia" w:ascii="仿宋_GB2312" w:hAnsi="Arial" w:eastAsia="仿宋_GB2312" w:cs="Arial"/>
          <w:color w:val="auto"/>
          <w:sz w:val="32"/>
          <w:szCs w:val="32"/>
        </w:rPr>
        <w:t>（1）单位经办人持填妥的单位提前终止降低缴存比例（缓缴住房公积金）状态申请表，到任一管理处柜台提出申请。</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contextualSpacing/>
        <w:textAlignment w:val="auto"/>
        <w:rPr>
          <w:rFonts w:ascii="仿宋_GB2312" w:hAnsi="Arial" w:eastAsia="仿宋_GB2312" w:cs="Arial"/>
          <w:color w:val="auto"/>
          <w:sz w:val="32"/>
          <w:szCs w:val="32"/>
        </w:rPr>
      </w:pPr>
      <w:r>
        <w:rPr>
          <w:rFonts w:hint="eastAsia" w:ascii="仿宋_GB2312" w:hAnsi="Arial" w:eastAsia="仿宋_GB2312" w:cs="Arial"/>
          <w:color w:val="auto"/>
          <w:sz w:val="32"/>
          <w:szCs w:val="32"/>
        </w:rPr>
        <w:t>（2）柜台工作人员受理后，办理提前恢复规定缴存比例或终止缓缴状态登记。</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contextualSpacing/>
        <w:textAlignment w:val="auto"/>
        <w:rPr>
          <w:rFonts w:ascii="仿宋_GB2312" w:hAnsi="Arial" w:eastAsia="仿宋_GB2312" w:cs="Arial"/>
          <w:color w:val="auto"/>
          <w:sz w:val="32"/>
          <w:szCs w:val="32"/>
        </w:rPr>
      </w:pPr>
      <w:r>
        <w:rPr>
          <w:rFonts w:hint="eastAsia" w:ascii="仿宋_GB2312" w:hAnsi="Arial" w:eastAsia="仿宋_GB2312" w:cs="Arial"/>
          <w:color w:val="auto"/>
          <w:sz w:val="32"/>
          <w:szCs w:val="32"/>
        </w:rPr>
        <w:t>（二）</w:t>
      </w:r>
      <w:r>
        <w:rPr>
          <w:rFonts w:hint="eastAsia" w:ascii="仿宋_GB2312" w:hAnsi="黑体" w:eastAsia="仿宋_GB2312" w:cs="Times New Roman"/>
          <w:color w:val="auto"/>
          <w:sz w:val="32"/>
          <w:szCs w:val="32"/>
        </w:rPr>
        <w:t>住房公积金网上营业厅（缴存单位版）预申请</w:t>
      </w:r>
      <w:r>
        <w:rPr>
          <w:rFonts w:hint="eastAsia" w:ascii="仿宋_GB2312" w:hAnsi="Arial" w:eastAsia="仿宋_GB2312" w:cs="Arial"/>
          <w:color w:val="auto"/>
          <w:sz w:val="32"/>
          <w:szCs w:val="32"/>
        </w:rPr>
        <w:t>：</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contextualSpacing/>
        <w:textAlignment w:val="auto"/>
        <w:rPr>
          <w:rFonts w:ascii="仿宋_GB2312" w:hAnsi="Arial" w:eastAsia="仿宋_GB2312" w:cs="Arial"/>
          <w:color w:val="auto"/>
          <w:sz w:val="32"/>
          <w:szCs w:val="32"/>
        </w:rPr>
      </w:pPr>
      <w:r>
        <w:rPr>
          <w:rFonts w:hint="eastAsia" w:ascii="仿宋_GB2312" w:hAnsi="Arial" w:eastAsia="仿宋_GB2312" w:cs="Arial"/>
          <w:color w:val="auto"/>
          <w:sz w:val="32"/>
          <w:szCs w:val="32"/>
        </w:rPr>
        <w:t>单位可通过</w:t>
      </w:r>
      <w:r>
        <w:rPr>
          <w:rFonts w:hint="eastAsia" w:ascii="仿宋_GB2312" w:hAnsi="黑体" w:eastAsia="仿宋_GB2312" w:cs="Times New Roman"/>
          <w:color w:val="auto"/>
          <w:sz w:val="32"/>
          <w:szCs w:val="32"/>
        </w:rPr>
        <w:t>住房公积金网上营业厅（缴存单位版）预申请住房公积金降低缴存比例或缓缴两项业务</w:t>
      </w:r>
      <w:r>
        <w:rPr>
          <w:rFonts w:hint="eastAsia" w:ascii="仿宋_GB2312" w:hAnsi="Arial" w:eastAsia="仿宋_GB2312" w:cs="Arial"/>
          <w:color w:val="auto"/>
          <w:sz w:val="32"/>
          <w:szCs w:val="32"/>
        </w:rPr>
        <w:t>。业务预申请是由单位上传办理所需材料，我中心人员后台审核的业务管理模式。(业务预申请支持24小时上传，中心业务审核时间为工作日9：00—16:30）</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操作流程：详情请参照青岛市住房公积金</w:t>
      </w:r>
      <w:r>
        <w:rPr>
          <w:rFonts w:ascii="仿宋_GB2312" w:hAnsi="黑体" w:eastAsia="仿宋_GB2312" w:cs="Times New Roman"/>
          <w:color w:val="auto"/>
          <w:sz w:val="32"/>
          <w:szCs w:val="32"/>
        </w:rPr>
        <w:t>官网</w:t>
      </w:r>
      <w:r>
        <w:rPr>
          <w:rFonts w:hint="eastAsia" w:ascii="仿宋_GB2312" w:hAnsi="黑体" w:eastAsia="仿宋_GB2312" w:cs="Times New Roman"/>
          <w:color w:val="auto"/>
          <w:kern w:val="0"/>
          <w:sz w:val="32"/>
          <w:szCs w:val="32"/>
        </w:rPr>
        <w:t>（http://www.qdgjj.com）</w:t>
      </w:r>
      <w:r>
        <w:rPr>
          <w:rFonts w:hint="eastAsia" w:ascii="仿宋_GB2312" w:hAnsi="黑体" w:eastAsia="仿宋_GB2312" w:cs="Times New Roman"/>
          <w:color w:val="auto"/>
          <w:sz w:val="32"/>
          <w:szCs w:val="32"/>
        </w:rPr>
        <w:t>“便民指引--网上营业厅--缴存专业版--</w:t>
      </w:r>
      <w:r>
        <w:rPr>
          <w:color w:val="auto"/>
        </w:rPr>
        <w:fldChar w:fldCharType="begin"/>
      </w:r>
      <w:r>
        <w:rPr>
          <w:color w:val="auto"/>
        </w:rPr>
        <w:instrText xml:space="preserve"> HYPERLINK "http://zfgjj.qingdao.gov.cn/n28356077/n32565726/n32565766/n32565784/n32567492/index.html" </w:instrText>
      </w:r>
      <w:r>
        <w:rPr>
          <w:color w:val="auto"/>
        </w:rPr>
        <w:fldChar w:fldCharType="separate"/>
      </w:r>
      <w:r>
        <w:rPr>
          <w:rFonts w:ascii="仿宋_GB2312" w:hAnsi="黑体" w:eastAsia="仿宋_GB2312" w:cs="Times New Roman"/>
          <w:color w:val="auto"/>
          <w:sz w:val="32"/>
          <w:szCs w:val="32"/>
        </w:rPr>
        <w:t>单位网厅操作手册</w:t>
      </w:r>
      <w:r>
        <w:rPr>
          <w:rFonts w:ascii="仿宋_GB2312" w:hAnsi="黑体" w:eastAsia="仿宋_GB2312" w:cs="Times New Roman"/>
          <w:color w:val="auto"/>
          <w:sz w:val="32"/>
          <w:szCs w:val="32"/>
        </w:rPr>
        <w:fldChar w:fldCharType="end"/>
      </w:r>
      <w:r>
        <w:rPr>
          <w:rFonts w:hint="eastAsia" w:ascii="仿宋_GB2312" w:hAnsi="黑体" w:eastAsia="仿宋_GB2312" w:cs="Times New Roman"/>
          <w:color w:val="auto"/>
          <w:sz w:val="32"/>
          <w:szCs w:val="32"/>
        </w:rPr>
        <w:t>”办理。</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黑体" w:hAnsi="黑体" w:eastAsia="黑体" w:cs="宋体"/>
          <w:bCs/>
          <w:color w:val="auto"/>
          <w:kern w:val="0"/>
          <w:sz w:val="32"/>
          <w:szCs w:val="32"/>
        </w:rPr>
      </w:pPr>
      <w:r>
        <w:rPr>
          <w:rFonts w:hint="eastAsia" w:ascii="黑体" w:hAnsi="黑体" w:eastAsia="黑体" w:cs="宋体"/>
          <w:bCs/>
          <w:color w:val="auto"/>
          <w:kern w:val="0"/>
          <w:sz w:val="32"/>
          <w:szCs w:val="32"/>
        </w:rPr>
        <w:t>七、收费依据及标准</w:t>
      </w:r>
    </w:p>
    <w:p>
      <w:pPr>
        <w:keepNext w:val="0"/>
        <w:keepLines w:val="0"/>
        <w:pageBreakBefore w:val="0"/>
        <w:widowControl w:val="0"/>
        <w:kinsoku/>
        <w:wordWrap/>
        <w:overflowPunct/>
        <w:topLinePunct w:val="0"/>
        <w:autoSpaceDE/>
        <w:autoSpaceDN/>
        <w:bidi w:val="0"/>
        <w:adjustRightInd w:val="0"/>
        <w:snapToGrid w:val="0"/>
        <w:spacing w:line="520" w:lineRule="exact"/>
        <w:ind w:left="709"/>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不收费。</w:t>
      </w:r>
    </w:p>
    <w:p>
      <w:pPr>
        <w:keepNext w:val="0"/>
        <w:keepLines w:val="0"/>
        <w:pageBreakBefore w:val="0"/>
        <w:widowControl w:val="0"/>
        <w:kinsoku/>
        <w:wordWrap/>
        <w:overflowPunct/>
        <w:topLinePunct w:val="0"/>
        <w:autoSpaceDE/>
        <w:autoSpaceDN/>
        <w:bidi w:val="0"/>
        <w:adjustRightInd w:val="0"/>
        <w:snapToGrid w:val="0"/>
        <w:spacing w:line="520" w:lineRule="exact"/>
        <w:ind w:left="709"/>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八、办理时限</w:t>
      </w:r>
    </w:p>
    <w:p>
      <w:pPr>
        <w:keepNext w:val="0"/>
        <w:keepLines w:val="0"/>
        <w:pageBreakBefore w:val="0"/>
        <w:widowControl w:val="0"/>
        <w:tabs>
          <w:tab w:val="left" w:pos="916"/>
          <w:tab w:val="left" w:pos="1832"/>
          <w:tab w:val="left" w:pos="2748"/>
          <w:tab w:val="left" w:pos="3664"/>
          <w:tab w:val="left" w:pos="4580"/>
          <w:tab w:val="left" w:pos="504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val="0"/>
        <w:snapToGrid w:val="0"/>
        <w:spacing w:line="520" w:lineRule="exact"/>
        <w:ind w:firstLine="640" w:firstLineChars="200"/>
        <w:textAlignment w:val="auto"/>
        <w:rPr>
          <w:rFonts w:ascii="仿宋_GB2312" w:eastAsia="仿宋_GB2312"/>
          <w:color w:val="auto"/>
          <w:sz w:val="32"/>
          <w:szCs w:val="32"/>
        </w:rPr>
      </w:pPr>
      <w:r>
        <w:rPr>
          <w:rFonts w:hint="eastAsia" w:ascii="仿宋_GB2312" w:eastAsia="仿宋_GB2312"/>
          <w:color w:val="auto"/>
          <w:sz w:val="32"/>
          <w:szCs w:val="32"/>
        </w:rPr>
        <w:t>单位经营困难，正常缴存住房公积金确有困难的，可以按照我市有关规定申请降低缴存比例或者缓缴，市住房公积金管理委员会和市住房公积金管理中心按相关规定在1个工作日内完成审批。</w:t>
      </w:r>
    </w:p>
    <w:p>
      <w:pPr>
        <w:keepNext w:val="0"/>
        <w:keepLines w:val="0"/>
        <w:pageBreakBefore w:val="0"/>
        <w:widowControl w:val="0"/>
        <w:kinsoku/>
        <w:wordWrap/>
        <w:overflowPunct/>
        <w:topLinePunct w:val="0"/>
        <w:autoSpaceDE/>
        <w:autoSpaceDN/>
        <w:bidi w:val="0"/>
        <w:adjustRightInd w:val="0"/>
        <w:snapToGrid w:val="0"/>
        <w:spacing w:line="520" w:lineRule="exact"/>
        <w:ind w:left="709"/>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九、咨询方式</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（一）现场咨询：青岛市住房公积金管理中心所辖各区（市）管理处营业大厅。</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（二）电话咨询：（0532</w:t>
      </w:r>
      <w:r>
        <w:rPr>
          <w:rFonts w:ascii="仿宋_GB2312" w:hAnsi="黑体" w:eastAsia="仿宋_GB2312" w:cs="Times New Roman"/>
          <w:color w:val="auto"/>
          <w:sz w:val="32"/>
          <w:szCs w:val="32"/>
        </w:rPr>
        <w:t>）</w:t>
      </w:r>
      <w:r>
        <w:rPr>
          <w:rFonts w:hint="eastAsia" w:ascii="仿宋_GB2312" w:hAnsi="黑体" w:eastAsia="仿宋_GB2312" w:cs="Times New Roman"/>
          <w:color w:val="auto"/>
          <w:sz w:val="32"/>
          <w:szCs w:val="32"/>
        </w:rPr>
        <w:t>12329（住房公积金热线）。</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color w:val="auto"/>
        </w:rPr>
      </w:pPr>
      <w:r>
        <w:rPr>
          <w:rFonts w:hint="eastAsia" w:ascii="仿宋_GB2312" w:hAnsi="黑体" w:eastAsia="仿宋_GB2312" w:cs="Times New Roman"/>
          <w:color w:val="auto"/>
          <w:sz w:val="32"/>
          <w:szCs w:val="32"/>
        </w:rPr>
        <w:t>（三）网站查询：http://www.qdgjj.com。</w:t>
      </w:r>
    </w:p>
    <w:bookmarkEnd w:id="0"/>
    <w:sectPr>
      <w:pgSz w:w="11906" w:h="16838"/>
      <w:pgMar w:top="1440" w:right="1417"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EB3997"/>
    <w:multiLevelType w:val="multilevel"/>
    <w:tmpl w:val="39EB3997"/>
    <w:lvl w:ilvl="0" w:tentative="0">
      <w:start w:val="1"/>
      <w:numFmt w:val="japaneseCounting"/>
      <w:lvlText w:val="%1、"/>
      <w:lvlJc w:val="left"/>
      <w:pPr>
        <w:ind w:left="1440" w:hanging="720"/>
      </w:pPr>
      <w:rPr>
        <w:rFonts w:hint="default"/>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1">
    <w:nsid w:val="5E844770"/>
    <w:multiLevelType w:val="multilevel"/>
    <w:tmpl w:val="5E844770"/>
    <w:lvl w:ilvl="0" w:tentative="0">
      <w:start w:val="6"/>
      <w:numFmt w:val="japaneseCounting"/>
      <w:lvlText w:val="%1、"/>
      <w:lvlJc w:val="left"/>
      <w:pPr>
        <w:ind w:left="1429" w:hanging="720"/>
      </w:pPr>
      <w:rPr>
        <w:rFonts w:hint="default"/>
      </w:rPr>
    </w:lvl>
    <w:lvl w:ilvl="1" w:tentative="0">
      <w:start w:val="1"/>
      <w:numFmt w:val="lowerLetter"/>
      <w:lvlText w:val="%2)"/>
      <w:lvlJc w:val="left"/>
      <w:pPr>
        <w:ind w:left="1549" w:hanging="420"/>
      </w:pPr>
    </w:lvl>
    <w:lvl w:ilvl="2" w:tentative="0">
      <w:start w:val="1"/>
      <w:numFmt w:val="lowerRoman"/>
      <w:lvlText w:val="%3."/>
      <w:lvlJc w:val="right"/>
      <w:pPr>
        <w:ind w:left="1969" w:hanging="420"/>
      </w:pPr>
    </w:lvl>
    <w:lvl w:ilvl="3" w:tentative="0">
      <w:start w:val="1"/>
      <w:numFmt w:val="decimal"/>
      <w:lvlText w:val="%4."/>
      <w:lvlJc w:val="left"/>
      <w:pPr>
        <w:ind w:left="2389" w:hanging="420"/>
      </w:pPr>
    </w:lvl>
    <w:lvl w:ilvl="4" w:tentative="0">
      <w:start w:val="1"/>
      <w:numFmt w:val="lowerLetter"/>
      <w:lvlText w:val="%5)"/>
      <w:lvlJc w:val="left"/>
      <w:pPr>
        <w:ind w:left="2809" w:hanging="420"/>
      </w:pPr>
    </w:lvl>
    <w:lvl w:ilvl="5" w:tentative="0">
      <w:start w:val="1"/>
      <w:numFmt w:val="lowerRoman"/>
      <w:lvlText w:val="%6."/>
      <w:lvlJc w:val="right"/>
      <w:pPr>
        <w:ind w:left="3229" w:hanging="420"/>
      </w:pPr>
    </w:lvl>
    <w:lvl w:ilvl="6" w:tentative="0">
      <w:start w:val="1"/>
      <w:numFmt w:val="decimal"/>
      <w:lvlText w:val="%7."/>
      <w:lvlJc w:val="left"/>
      <w:pPr>
        <w:ind w:left="3649" w:hanging="420"/>
      </w:pPr>
    </w:lvl>
    <w:lvl w:ilvl="7" w:tentative="0">
      <w:start w:val="1"/>
      <w:numFmt w:val="lowerLetter"/>
      <w:lvlText w:val="%8)"/>
      <w:lvlJc w:val="left"/>
      <w:pPr>
        <w:ind w:left="4069" w:hanging="420"/>
      </w:pPr>
    </w:lvl>
    <w:lvl w:ilvl="8" w:tentative="0">
      <w:start w:val="1"/>
      <w:numFmt w:val="lowerRoman"/>
      <w:lvlText w:val="%9."/>
      <w:lvlJc w:val="right"/>
      <w:pPr>
        <w:ind w:left="4489"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jZkYWRkMzNmZmY2MjQyZjJjOTgyMDExNzcyODE2NjUifQ=="/>
  </w:docVars>
  <w:rsids>
    <w:rsidRoot w:val="00D141F0"/>
    <w:rsid w:val="00026E21"/>
    <w:rsid w:val="00034F63"/>
    <w:rsid w:val="00062623"/>
    <w:rsid w:val="00076439"/>
    <w:rsid w:val="00094C5C"/>
    <w:rsid w:val="000F67FD"/>
    <w:rsid w:val="00127BCF"/>
    <w:rsid w:val="00130815"/>
    <w:rsid w:val="0020635A"/>
    <w:rsid w:val="0020707A"/>
    <w:rsid w:val="002111F4"/>
    <w:rsid w:val="00243647"/>
    <w:rsid w:val="00270F8A"/>
    <w:rsid w:val="00272D20"/>
    <w:rsid w:val="00277543"/>
    <w:rsid w:val="002D05E0"/>
    <w:rsid w:val="002F1F33"/>
    <w:rsid w:val="003003B4"/>
    <w:rsid w:val="00313259"/>
    <w:rsid w:val="003C5B04"/>
    <w:rsid w:val="003D327E"/>
    <w:rsid w:val="003D6176"/>
    <w:rsid w:val="00407275"/>
    <w:rsid w:val="004457D1"/>
    <w:rsid w:val="00467D01"/>
    <w:rsid w:val="0047547B"/>
    <w:rsid w:val="004804BA"/>
    <w:rsid w:val="004C3DB8"/>
    <w:rsid w:val="004D279A"/>
    <w:rsid w:val="004E5557"/>
    <w:rsid w:val="004F5BB5"/>
    <w:rsid w:val="00556D2D"/>
    <w:rsid w:val="005571F4"/>
    <w:rsid w:val="0071404A"/>
    <w:rsid w:val="00752F84"/>
    <w:rsid w:val="00776D88"/>
    <w:rsid w:val="00794844"/>
    <w:rsid w:val="008538E0"/>
    <w:rsid w:val="00855747"/>
    <w:rsid w:val="008C0A61"/>
    <w:rsid w:val="008F568B"/>
    <w:rsid w:val="0092294D"/>
    <w:rsid w:val="009642CD"/>
    <w:rsid w:val="00987799"/>
    <w:rsid w:val="00A05ADE"/>
    <w:rsid w:val="00A15F20"/>
    <w:rsid w:val="00A368FD"/>
    <w:rsid w:val="00A47417"/>
    <w:rsid w:val="00A51CDD"/>
    <w:rsid w:val="00AF2B64"/>
    <w:rsid w:val="00AF7259"/>
    <w:rsid w:val="00B05748"/>
    <w:rsid w:val="00B13523"/>
    <w:rsid w:val="00B571EC"/>
    <w:rsid w:val="00B9098E"/>
    <w:rsid w:val="00BF0C93"/>
    <w:rsid w:val="00BF62DB"/>
    <w:rsid w:val="00C25B07"/>
    <w:rsid w:val="00C47DD1"/>
    <w:rsid w:val="00C506D7"/>
    <w:rsid w:val="00C94465"/>
    <w:rsid w:val="00C968BB"/>
    <w:rsid w:val="00CD2D5E"/>
    <w:rsid w:val="00CD32A5"/>
    <w:rsid w:val="00D141F0"/>
    <w:rsid w:val="00D23064"/>
    <w:rsid w:val="00D6069C"/>
    <w:rsid w:val="00D7511A"/>
    <w:rsid w:val="00D837DF"/>
    <w:rsid w:val="00D9237B"/>
    <w:rsid w:val="00DB6F1B"/>
    <w:rsid w:val="00DF5191"/>
    <w:rsid w:val="00E04442"/>
    <w:rsid w:val="00E35608"/>
    <w:rsid w:val="00E52BD0"/>
    <w:rsid w:val="00E7593D"/>
    <w:rsid w:val="00E83848"/>
    <w:rsid w:val="00EB6B29"/>
    <w:rsid w:val="00F048B1"/>
    <w:rsid w:val="00F15F18"/>
    <w:rsid w:val="00F16D04"/>
    <w:rsid w:val="00F23657"/>
    <w:rsid w:val="00F930CE"/>
    <w:rsid w:val="00FB14E0"/>
    <w:rsid w:val="00FE59E5"/>
    <w:rsid w:val="04EE103E"/>
    <w:rsid w:val="0E117D9B"/>
    <w:rsid w:val="20BE5A21"/>
    <w:rsid w:val="2CDD09CF"/>
    <w:rsid w:val="371A4DDC"/>
    <w:rsid w:val="4A1E4426"/>
    <w:rsid w:val="4CF40D09"/>
    <w:rsid w:val="51402E6C"/>
    <w:rsid w:val="6A2855C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beforeLines="0" w:beforeAutospacing="0" w:after="260" w:afterLines="0" w:afterAutospacing="0" w:line="413" w:lineRule="auto"/>
      <w:outlineLvl w:val="1"/>
    </w:pPr>
    <w:rPr>
      <w:rFonts w:ascii="Arial" w:hAnsi="Arial" w:eastAsia="黑体"/>
      <w:sz w:val="32"/>
    </w:rPr>
  </w:style>
  <w:style w:type="character" w:default="1" w:styleId="5">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22"/>
    <w:rPr>
      <w:b/>
      <w:bCs/>
    </w:rPr>
  </w:style>
  <w:style w:type="character" w:styleId="7">
    <w:name w:val="Hyperlink"/>
    <w:basedOn w:val="5"/>
    <w:semiHidden/>
    <w:unhideWhenUsed/>
    <w:qFormat/>
    <w:uiPriority w:val="99"/>
    <w:rPr>
      <w:color w:val="000000"/>
      <w:u w:val="none"/>
    </w:rPr>
  </w:style>
  <w:style w:type="paragraph" w:styleId="9">
    <w:name w:val="List Paragraph"/>
    <w:basedOn w:val="1"/>
    <w:qFormat/>
    <w:uiPriority w:val="34"/>
    <w:pPr>
      <w:ind w:firstLine="420" w:firstLineChars="200"/>
    </w:pPr>
  </w:style>
  <w:style w:type="character" w:customStyle="1" w:styleId="10">
    <w:name w:val="页眉 Char"/>
    <w:basedOn w:val="5"/>
    <w:link w:val="4"/>
    <w:qFormat/>
    <w:uiPriority w:val="99"/>
    <w:rPr>
      <w:sz w:val="18"/>
      <w:szCs w:val="18"/>
    </w:rPr>
  </w:style>
  <w:style w:type="character" w:customStyle="1" w:styleId="11">
    <w:name w:val="页脚 Char"/>
    <w:basedOn w:val="5"/>
    <w:link w:val="3"/>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2152</Words>
  <Characters>2287</Characters>
  <Lines>2</Lines>
  <Paragraphs>4</Paragraphs>
  <TotalTime>1</TotalTime>
  <ScaleCrop>false</ScaleCrop>
  <LinksUpToDate>false</LinksUpToDate>
  <CharactersWithSpaces>2318</CharactersWithSpaces>
  <Application>WPS Office_10.1.0.7668_F1E327BC-269C-435d-A152-05C5408002CA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2017-04-18T03:07:00Z</dcterms:created>
  <dc:creator>dell</dc:creator>
  <cp:lastModifiedBy>Admin</cp:lastModifiedBy>
  <dcterms:modified xsi:type="dcterms:W3CDTF">2022-08-02T02:36:35Z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2052-10.1.0.7668</vt:lpwstr>
  </property>
  <property fmtid="{D5CDD505-2E9C-101B-9397-08002B2CF9AE}" pid="3" name="ICV">
    <vt:lpwstr>2DF7B37E39674C238F4C3B9E0C91382E</vt:lpwstr>
  </property>
</Properties>
</file>