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spacing w:line="520" w:lineRule="exact"/>
        <w:jc w:val="center"/>
        <w:textAlignment w:val="auto"/>
        <w:rPr>
          <w:rFonts w:ascii="黑体" w:hAnsi="黑体" w:eastAsia="黑体" w:cs="Times New Roman"/>
          <w:color w:val="auto"/>
          <w:sz w:val="44"/>
          <w:szCs w:val="44"/>
        </w:rPr>
      </w:pPr>
      <w:bookmarkStart w:id="0" w:name="_GoBack"/>
      <w:r>
        <w:rPr>
          <w:rFonts w:hint="eastAsia" w:ascii="黑体" w:hAnsi="黑体" w:eastAsia="黑体" w:cs="Times New Roman"/>
          <w:color w:val="auto"/>
          <w:sz w:val="44"/>
          <w:szCs w:val="44"/>
        </w:rPr>
        <w:t>大修自住住房提取住房公积金</w:t>
      </w:r>
    </w:p>
    <w:p>
      <w:pPr>
        <w:keepNext w:val="0"/>
        <w:keepLines w:val="0"/>
        <w:pageBreakBefore w:val="0"/>
        <w:widowControl w:val="0"/>
        <w:kinsoku/>
        <w:wordWrap/>
        <w:overflowPunct/>
        <w:topLinePunct w:val="0"/>
        <w:autoSpaceDE/>
        <w:autoSpaceDN/>
        <w:bidi w:val="0"/>
        <w:spacing w:line="520" w:lineRule="exact"/>
        <w:jc w:val="center"/>
        <w:textAlignment w:val="auto"/>
        <w:rPr>
          <w:rFonts w:ascii="黑体" w:hAnsi="黑体" w:eastAsia="黑体" w:cs="Times New Roman"/>
          <w:color w:val="auto"/>
          <w:sz w:val="44"/>
          <w:szCs w:val="44"/>
        </w:rPr>
      </w:pPr>
      <w:r>
        <w:rPr>
          <w:rFonts w:hint="eastAsia" w:ascii="黑体" w:hAnsi="黑体" w:eastAsia="黑体" w:cs="Times New Roman"/>
          <w:color w:val="auto"/>
          <w:sz w:val="44"/>
          <w:szCs w:val="44"/>
        </w:rPr>
        <w:t>办理服务指南</w:t>
      </w:r>
    </w:p>
    <w:p>
      <w:pPr>
        <w:pStyle w:val="2"/>
        <w:keepNext/>
        <w:keepLines/>
        <w:pageBreakBefore w:val="0"/>
        <w:widowControl w:val="0"/>
        <w:kinsoku/>
        <w:wordWrap/>
        <w:overflowPunct/>
        <w:topLinePunct w:val="0"/>
        <w:autoSpaceDE/>
        <w:autoSpaceDN/>
        <w:bidi w:val="0"/>
        <w:adjustRightInd w:val="0"/>
        <w:snapToGrid w:val="0"/>
        <w:spacing w:before="0" w:after="0" w:line="560" w:lineRule="exact"/>
        <w:jc w:val="center"/>
        <w:textAlignment w:val="auto"/>
        <w:rPr>
          <w:rFonts w:hint="eastAsia" w:ascii="仿宋_GB2312" w:hAnsi="黑体" w:eastAsia="仿宋_GB2312" w:cs="Times New Roman"/>
          <w:color w:val="auto"/>
          <w:sz w:val="32"/>
          <w:szCs w:val="32"/>
          <w:lang w:val="en-US" w:eastAsia="zh-CN"/>
        </w:rPr>
      </w:pPr>
      <w:r>
        <w:rPr>
          <w:rFonts w:hint="eastAsia" w:ascii="仿宋_GB2312" w:hAnsi="黑体" w:eastAsia="仿宋_GB2312" w:cs="Times New Roman"/>
          <w:color w:val="auto"/>
          <w:sz w:val="32"/>
          <w:szCs w:val="32"/>
          <w:lang w:val="en-US" w:eastAsia="zh-CN"/>
        </w:rPr>
        <w:t>更新日期：2022年7月28日</w:t>
      </w:r>
    </w:p>
    <w:p>
      <w:pPr>
        <w:pStyle w:val="9"/>
        <w:keepNext w:val="0"/>
        <w:keepLines w:val="0"/>
        <w:pageBreakBefore w:val="0"/>
        <w:widowControl w:val="0"/>
        <w:numPr>
          <w:ilvl w:val="0"/>
          <w:numId w:val="1"/>
        </w:numPr>
        <w:kinsoku/>
        <w:wordWrap/>
        <w:overflowPunct/>
        <w:topLinePunct w:val="0"/>
        <w:autoSpaceDE/>
        <w:autoSpaceDN/>
        <w:bidi w:val="0"/>
        <w:adjustRightInd w:val="0"/>
        <w:snapToGrid w:val="0"/>
        <w:spacing w:line="520" w:lineRule="exact"/>
        <w:ind w:firstLineChars="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事项名称</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大修自住住房提取住房公积金</w:t>
      </w:r>
    </w:p>
    <w:p>
      <w:pPr>
        <w:pStyle w:val="9"/>
        <w:keepNext w:val="0"/>
        <w:keepLines w:val="0"/>
        <w:pageBreakBefore w:val="0"/>
        <w:widowControl w:val="0"/>
        <w:numPr>
          <w:ilvl w:val="0"/>
          <w:numId w:val="1"/>
        </w:numPr>
        <w:kinsoku/>
        <w:wordWrap/>
        <w:overflowPunct/>
        <w:topLinePunct w:val="0"/>
        <w:autoSpaceDE/>
        <w:autoSpaceDN/>
        <w:bidi w:val="0"/>
        <w:adjustRightInd w:val="0"/>
        <w:snapToGrid w:val="0"/>
        <w:spacing w:line="520" w:lineRule="exact"/>
        <w:ind w:firstLineChars="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办理依据</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（一）《住房公积金管理条例》（1999年4月3日国务院令第262号发布 根据2002年3月24日《国务院关于修改&lt;住房公积金管理条例&gt;的决定》和2019年3月24日《国务院关于修改部分行政法规的决定》修订）；</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（二）《住房公积金提取业务标准》（GB/T5 1353-2019）；</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（三）《青岛市住房公积金提取管理办法》（</w:t>
      </w:r>
      <w:r>
        <w:rPr>
          <w:rFonts w:hint="eastAsia" w:ascii="仿宋_GB2312" w:hAnsi="宋体" w:eastAsia="仿宋_GB2312"/>
          <w:color w:val="auto"/>
          <w:sz w:val="32"/>
          <w:szCs w:val="32"/>
        </w:rPr>
        <w:t>青住金规〔201</w:t>
      </w:r>
      <w:r>
        <w:rPr>
          <w:rFonts w:ascii="仿宋_GB2312" w:hAnsi="宋体" w:eastAsia="仿宋_GB2312"/>
          <w:color w:val="auto"/>
          <w:sz w:val="32"/>
          <w:szCs w:val="32"/>
        </w:rPr>
        <w:t>9</w:t>
      </w:r>
      <w:r>
        <w:rPr>
          <w:rFonts w:hint="eastAsia" w:ascii="仿宋_GB2312" w:hAnsi="宋体" w:eastAsia="仿宋_GB2312"/>
          <w:color w:val="auto"/>
          <w:sz w:val="32"/>
          <w:szCs w:val="32"/>
        </w:rPr>
        <w:t>〕4号</w:t>
      </w:r>
      <w:r>
        <w:rPr>
          <w:rFonts w:hint="eastAsia" w:ascii="仿宋_GB2312" w:hAnsi="黑体" w:eastAsia="仿宋_GB2312" w:cs="Times New Roman"/>
          <w:color w:val="auto"/>
          <w:sz w:val="32"/>
          <w:szCs w:val="32"/>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800" w:firstLineChars="25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三、受理单位及办理地点</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青岛市住房公积金管理中心所辖各区（市）管理处营业大厅</w:t>
      </w:r>
    </w:p>
    <w:p>
      <w:pPr>
        <w:keepNext w:val="0"/>
        <w:keepLines w:val="0"/>
        <w:pageBreakBefore w:val="0"/>
        <w:widowControl w:val="0"/>
        <w:kinsoku/>
        <w:wordWrap/>
        <w:overflowPunct/>
        <w:topLinePunct w:val="0"/>
        <w:autoSpaceDE/>
        <w:autoSpaceDN/>
        <w:bidi w:val="0"/>
        <w:adjustRightInd w:val="0"/>
        <w:snapToGrid w:val="0"/>
        <w:spacing w:line="520" w:lineRule="exact"/>
        <w:ind w:left="3358" w:leftChars="304" w:hanging="2720" w:hangingChars="85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 xml:space="preserve">市南管理处  </w:t>
      </w:r>
      <w:r>
        <w:rPr>
          <w:rFonts w:ascii="仿宋_GB2312" w:hAnsi="黑体" w:eastAsia="仿宋_GB2312" w:cs="Times New Roman"/>
          <w:color w:val="auto"/>
          <w:sz w:val="32"/>
          <w:szCs w:val="32"/>
        </w:rPr>
        <w:t>地址：</w:t>
      </w:r>
      <w:r>
        <w:rPr>
          <w:rFonts w:hint="eastAsia" w:ascii="仿宋_GB2312" w:hAnsi="黑体" w:eastAsia="仿宋_GB2312" w:cs="Times New Roman"/>
          <w:color w:val="auto"/>
          <w:sz w:val="32"/>
          <w:szCs w:val="32"/>
        </w:rPr>
        <w:t>青岛市民中心（市南区福州南路17，27号）2楼南侧大厅</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市北管理处  地址：市北区敦化路328号诺德广场A座5楼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李沧管理处  地址：李沧区京口路47号百通大厦7楼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崂山管理处  地址：</w:t>
      </w:r>
      <w:r>
        <w:rPr>
          <w:rFonts w:hint="eastAsia" w:ascii="仿宋_GB2312" w:hAnsi="黑体" w:eastAsia="仿宋_GB2312" w:cs="Times New Roman"/>
          <w:color w:val="auto"/>
          <w:w w:val="90"/>
          <w:sz w:val="32"/>
          <w:szCs w:val="32"/>
        </w:rPr>
        <w:t>崂山区海尔路182-8号半岛国际大厦5楼</w:t>
      </w:r>
      <w:r>
        <w:rPr>
          <w:rFonts w:hint="eastAsia" w:ascii="仿宋_GB2312" w:hAnsi="黑体" w:eastAsia="仿宋_GB2312" w:cs="Times New Roman"/>
          <w:color w:val="auto"/>
          <w:sz w:val="32"/>
          <w:szCs w:val="32"/>
        </w:rPr>
        <w:t xml:space="preserve">              </w:t>
      </w:r>
    </w:p>
    <w:p>
      <w:pPr>
        <w:keepNext w:val="0"/>
        <w:keepLines w:val="0"/>
        <w:pageBreakBefore w:val="0"/>
        <w:widowControl w:val="0"/>
        <w:kinsoku/>
        <w:wordWrap/>
        <w:overflowPunct/>
        <w:topLinePunct w:val="0"/>
        <w:autoSpaceDE/>
        <w:autoSpaceDN/>
        <w:bidi w:val="0"/>
        <w:adjustRightInd w:val="0"/>
        <w:snapToGrid w:val="0"/>
        <w:spacing w:line="520" w:lineRule="exact"/>
        <w:ind w:left="3358" w:leftChars="304" w:hanging="2720" w:hangingChars="85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城阳管理处  地址：城阳区正阳路205号B座6楼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黄岛管理处第一营业大厅</w:t>
      </w:r>
    </w:p>
    <w:p>
      <w:pPr>
        <w:keepNext w:val="0"/>
        <w:keepLines w:val="0"/>
        <w:pageBreakBefore w:val="0"/>
        <w:widowControl w:val="0"/>
        <w:kinsoku/>
        <w:wordWrap/>
        <w:overflowPunct/>
        <w:topLinePunct w:val="0"/>
        <w:autoSpaceDE/>
        <w:autoSpaceDN/>
        <w:bidi w:val="0"/>
        <w:adjustRightInd w:val="0"/>
        <w:snapToGrid w:val="0"/>
        <w:spacing w:line="520" w:lineRule="exact"/>
        <w:ind w:firstLine="2400" w:firstLineChars="75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 xml:space="preserve"> 地址：黄岛区长江东路313号悦海大厦</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 xml:space="preserve">黄岛管理处第二营业大厅 </w:t>
      </w:r>
    </w:p>
    <w:p>
      <w:pPr>
        <w:keepNext w:val="0"/>
        <w:keepLines w:val="0"/>
        <w:pageBreakBefore w:val="0"/>
        <w:widowControl w:val="0"/>
        <w:kinsoku/>
        <w:wordWrap/>
        <w:overflowPunct/>
        <w:topLinePunct w:val="0"/>
        <w:autoSpaceDE/>
        <w:autoSpaceDN/>
        <w:bidi w:val="0"/>
        <w:adjustRightInd w:val="0"/>
        <w:snapToGrid w:val="0"/>
        <w:spacing w:line="520" w:lineRule="exact"/>
        <w:ind w:firstLine="2560" w:firstLineChars="8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地址：</w:t>
      </w:r>
      <w:r>
        <w:rPr>
          <w:rFonts w:ascii="仿宋_GB2312" w:hAnsi="黑体" w:eastAsia="仿宋_GB2312" w:cs="Times New Roman"/>
          <w:color w:val="auto"/>
          <w:sz w:val="32"/>
          <w:szCs w:val="32"/>
        </w:rPr>
        <w:t>黄岛区</w:t>
      </w:r>
      <w:r>
        <w:rPr>
          <w:rFonts w:hint="eastAsia" w:ascii="仿宋_GB2312" w:hAnsi="黑体" w:eastAsia="仿宋_GB2312" w:cs="Times New Roman"/>
          <w:color w:val="auto"/>
          <w:sz w:val="32"/>
          <w:szCs w:val="32"/>
        </w:rPr>
        <w:t>双珠</w:t>
      </w:r>
      <w:r>
        <w:rPr>
          <w:rFonts w:ascii="仿宋_GB2312" w:hAnsi="黑体" w:eastAsia="仿宋_GB2312" w:cs="Times New Roman"/>
          <w:color w:val="auto"/>
          <w:sz w:val="32"/>
          <w:szCs w:val="32"/>
        </w:rPr>
        <w:t>路</w:t>
      </w:r>
      <w:r>
        <w:rPr>
          <w:rFonts w:hint="eastAsia" w:ascii="仿宋_GB2312" w:hAnsi="黑体" w:eastAsia="仿宋_GB2312" w:cs="Times New Roman"/>
          <w:color w:val="auto"/>
          <w:sz w:val="32"/>
          <w:szCs w:val="32"/>
        </w:rPr>
        <w:t>399</w:t>
      </w:r>
      <w:r>
        <w:rPr>
          <w:rFonts w:ascii="仿宋_GB2312" w:hAnsi="黑体" w:eastAsia="仿宋_GB2312" w:cs="Times New Roman"/>
          <w:color w:val="auto"/>
          <w:sz w:val="32"/>
          <w:szCs w:val="32"/>
        </w:rPr>
        <w:t>号光大商务中心3楼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即墨管理处  地址：</w:t>
      </w:r>
      <w:r>
        <w:rPr>
          <w:rFonts w:ascii="仿宋_GB2312" w:hAnsi="黑体" w:eastAsia="仿宋_GB2312" w:cs="Times New Roman"/>
          <w:color w:val="auto"/>
          <w:sz w:val="32"/>
          <w:szCs w:val="32"/>
        </w:rPr>
        <w:t>即墨</w:t>
      </w:r>
      <w:r>
        <w:rPr>
          <w:rFonts w:hint="eastAsia" w:ascii="仿宋_GB2312" w:hAnsi="黑体" w:eastAsia="仿宋_GB2312" w:cs="Times New Roman"/>
          <w:color w:val="auto"/>
          <w:sz w:val="32"/>
          <w:szCs w:val="32"/>
        </w:rPr>
        <w:t>区</w:t>
      </w:r>
      <w:r>
        <w:rPr>
          <w:rFonts w:ascii="仿宋_GB2312" w:hAnsi="黑体" w:eastAsia="仿宋_GB2312" w:cs="Times New Roman"/>
          <w:color w:val="auto"/>
          <w:sz w:val="32"/>
          <w:szCs w:val="32"/>
        </w:rPr>
        <w:t>蓝鳌路788号德馨大厦</w:t>
      </w:r>
      <w:r>
        <w:rPr>
          <w:rFonts w:hint="eastAsia" w:ascii="仿宋_GB2312" w:hAnsi="黑体" w:eastAsia="仿宋_GB2312" w:cs="Times New Roman"/>
          <w:color w:val="auto"/>
          <w:sz w:val="32"/>
          <w:szCs w:val="32"/>
        </w:rPr>
        <w:t>3</w:t>
      </w:r>
      <w:r>
        <w:rPr>
          <w:rFonts w:ascii="仿宋_GB2312" w:hAnsi="黑体" w:eastAsia="仿宋_GB2312" w:cs="Times New Roman"/>
          <w:color w:val="auto"/>
          <w:sz w:val="32"/>
          <w:szCs w:val="32"/>
        </w:rPr>
        <w:t>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w w:val="85"/>
          <w:sz w:val="32"/>
          <w:szCs w:val="32"/>
        </w:rPr>
      </w:pPr>
      <w:r>
        <w:rPr>
          <w:rFonts w:hint="eastAsia" w:ascii="仿宋_GB2312" w:hAnsi="黑体" w:eastAsia="仿宋_GB2312" w:cs="Times New Roman"/>
          <w:color w:val="auto"/>
          <w:sz w:val="32"/>
          <w:szCs w:val="32"/>
        </w:rPr>
        <w:t>胶州管理处  地址：</w:t>
      </w:r>
      <w:r>
        <w:rPr>
          <w:rFonts w:hint="eastAsia" w:ascii="仿宋_GB2312" w:hAnsi="黑体" w:eastAsia="仿宋_GB2312" w:cs="Times New Roman"/>
          <w:color w:val="auto"/>
          <w:w w:val="85"/>
          <w:sz w:val="32"/>
          <w:szCs w:val="32"/>
        </w:rPr>
        <w:t>胶州市澳门路333号天泰金融广场4号楼10楼</w:t>
      </w:r>
    </w:p>
    <w:p>
      <w:pPr>
        <w:keepNext w:val="0"/>
        <w:keepLines w:val="0"/>
        <w:pageBreakBefore w:val="0"/>
        <w:widowControl w:val="0"/>
        <w:kinsoku/>
        <w:wordWrap/>
        <w:overflowPunct/>
        <w:topLinePunct w:val="0"/>
        <w:autoSpaceDE/>
        <w:autoSpaceDN/>
        <w:bidi w:val="0"/>
        <w:adjustRightInd w:val="0"/>
        <w:snapToGrid w:val="0"/>
        <w:spacing w:line="520" w:lineRule="exact"/>
        <w:ind w:left="3038" w:leftChars="304" w:hanging="2400" w:hangingChars="75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平度管理处  地址：</w:t>
      </w:r>
      <w:r>
        <w:rPr>
          <w:rFonts w:ascii="仿宋_GB2312" w:hAnsi="黑体" w:eastAsia="仿宋_GB2312" w:cs="Times New Roman"/>
          <w:color w:val="auto"/>
          <w:sz w:val="32"/>
          <w:szCs w:val="32"/>
        </w:rPr>
        <w:t>平度市红旗路23号鼎峰大厦6楼</w:t>
      </w:r>
    </w:p>
    <w:p>
      <w:pPr>
        <w:pStyle w:val="2"/>
        <w:keepNext/>
        <w:keepLines/>
        <w:pageBreakBefore w:val="0"/>
        <w:widowControl w:val="0"/>
        <w:kinsoku/>
        <w:wordWrap/>
        <w:overflowPunct/>
        <w:topLinePunct w:val="0"/>
        <w:autoSpaceDE/>
        <w:autoSpaceDN/>
        <w:bidi w:val="0"/>
        <w:adjustRightInd w:val="0"/>
        <w:snapToGrid w:val="0"/>
        <w:spacing w:before="0" w:after="0" w:line="560" w:lineRule="exact"/>
        <w:ind w:firstLine="640" w:firstLineChars="200"/>
        <w:textAlignment w:val="auto"/>
        <w:rPr>
          <w:color w:val="auto"/>
        </w:rPr>
      </w:pPr>
      <w:r>
        <w:rPr>
          <w:rFonts w:hint="eastAsia" w:ascii="仿宋_GB2312" w:hAnsi="黑体" w:eastAsia="仿宋_GB2312" w:cs="Times New Roman"/>
          <w:color w:val="auto"/>
          <w:sz w:val="32"/>
          <w:szCs w:val="32"/>
        </w:rPr>
        <w:t>莱西管理处  地址：</w:t>
      </w:r>
      <w:r>
        <w:rPr>
          <w:rFonts w:ascii="仿宋_GB2312" w:hAnsi="黑体" w:eastAsia="仿宋_GB2312" w:cs="Times New Roman"/>
          <w:color w:val="auto"/>
          <w:sz w:val="32"/>
          <w:szCs w:val="32"/>
        </w:rPr>
        <w:t>莱西市长岛路</w:t>
      </w:r>
      <w:r>
        <w:rPr>
          <w:rFonts w:ascii="仿宋_GB2312" w:hAnsi="黑体" w:eastAsia="仿宋_GB2312" w:cs="Times New Roman"/>
          <w:color w:val="auto"/>
          <w:sz w:val="32"/>
          <w:szCs w:val="32"/>
        </w:rPr>
        <w:t>1</w:t>
      </w:r>
      <w:r>
        <w:rPr>
          <w:rFonts w:hint="eastAsia" w:ascii="仿宋_GB2312" w:hAnsi="黑体" w:eastAsia="仿宋_GB2312" w:cs="Times New Roman"/>
          <w:color w:val="auto"/>
          <w:sz w:val="32"/>
          <w:szCs w:val="32"/>
          <w:lang w:val="en-US" w:eastAsia="zh-CN"/>
        </w:rPr>
        <w:t>48</w:t>
      </w:r>
      <w:r>
        <w:rPr>
          <w:rFonts w:ascii="仿宋_GB2312" w:hAnsi="黑体" w:eastAsia="仿宋_GB2312" w:cs="Times New Roman"/>
          <w:color w:val="auto"/>
          <w:sz w:val="32"/>
          <w:szCs w:val="32"/>
        </w:rPr>
        <w:t>号</w:t>
      </w:r>
      <w:r>
        <w:rPr>
          <w:rFonts w:hint="eastAsia" w:ascii="仿宋_GB2312" w:hAnsi="黑体" w:eastAsia="仿宋_GB2312" w:cs="Times New Roman"/>
          <w:color w:val="auto"/>
          <w:sz w:val="32"/>
          <w:szCs w:val="32"/>
          <w:lang w:val="en-US" w:eastAsia="zh-CN"/>
        </w:rPr>
        <w:t>市政务服务中心A座5</w:t>
      </w:r>
      <w:r>
        <w:rPr>
          <w:rFonts w:ascii="仿宋_GB2312" w:hAnsi="黑体" w:eastAsia="仿宋_GB2312" w:cs="Times New Roman"/>
          <w:color w:val="auto"/>
          <w:sz w:val="32"/>
          <w:szCs w:val="32"/>
        </w:rPr>
        <w:t>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四、办理条件</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（一）申请范围：职工大修具有产权的自住住房的，可以提取本人和配偶住房公积金账户内的存储余额，职工应为产权人或产权人配偶。</w:t>
      </w:r>
    </w:p>
    <w:p>
      <w:pPr>
        <w:keepNext w:val="0"/>
        <w:keepLines w:val="0"/>
        <w:pageBreakBefore w:val="0"/>
        <w:widowControl w:val="0"/>
        <w:kinsoku/>
        <w:wordWrap/>
        <w:overflowPunct/>
        <w:topLinePunct w:val="0"/>
        <w:autoSpaceDE/>
        <w:autoSpaceDN/>
        <w:bidi w:val="0"/>
        <w:spacing w:line="520" w:lineRule="exact"/>
        <w:ind w:firstLine="640" w:firstLineChars="200"/>
        <w:textAlignment w:val="auto"/>
        <w:rPr>
          <w:rFonts w:ascii="仿宋_GB2312" w:hAnsi="黑体" w:eastAsia="仿宋_GB2312" w:cs="Times New Roman"/>
          <w:color w:val="auto"/>
          <w:kern w:val="0"/>
          <w:sz w:val="32"/>
          <w:szCs w:val="32"/>
        </w:rPr>
      </w:pPr>
      <w:r>
        <w:rPr>
          <w:rFonts w:hint="eastAsia" w:ascii="仿宋_GB2312" w:hAnsi="黑体" w:eastAsia="仿宋_GB2312" w:cs="Times New Roman"/>
          <w:color w:val="auto"/>
          <w:sz w:val="32"/>
          <w:szCs w:val="32"/>
        </w:rPr>
        <w:t>（二）提取额度：</w:t>
      </w:r>
      <w:r>
        <w:rPr>
          <w:rFonts w:hint="eastAsia" w:ascii="仿宋_GB2312" w:hAnsi="黑体" w:eastAsia="仿宋_GB2312" w:cs="Times New Roman"/>
          <w:color w:val="auto"/>
          <w:kern w:val="0"/>
          <w:sz w:val="32"/>
          <w:szCs w:val="32"/>
        </w:rPr>
        <w:t>大修具有产权的自住住房的，符合条件的职工可提取最后一次付款发票载明日期或契税完税凭证载明日期当月的住房公积金账户内的存储余额，但所有提取人合计提取金额不得超过实际发生的住房支出。</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五、申请材料</w:t>
      </w:r>
    </w:p>
    <w:p>
      <w:pPr>
        <w:keepNext w:val="0"/>
        <w:keepLines w:val="0"/>
        <w:pageBreakBefore w:val="0"/>
        <w:widowControl w:val="0"/>
        <w:kinsoku/>
        <w:wordWrap/>
        <w:overflowPunct/>
        <w:topLinePunct w:val="0"/>
        <w:autoSpaceDE/>
        <w:autoSpaceDN/>
        <w:bidi w:val="0"/>
        <w:spacing w:line="520" w:lineRule="exact"/>
        <w:ind w:firstLine="640" w:firstLineChars="200"/>
        <w:textAlignment w:val="auto"/>
        <w:rPr>
          <w:rFonts w:hint="eastAsia" w:ascii="仿宋_GB2312" w:hAnsi="宋体" w:eastAsia="仿宋_GB2312" w:cs="Times New Roman"/>
          <w:color w:val="auto"/>
          <w:sz w:val="32"/>
          <w:szCs w:val="32"/>
        </w:rPr>
      </w:pPr>
      <w:r>
        <w:rPr>
          <w:rFonts w:hint="eastAsia" w:ascii="仿宋_GB2312" w:hAnsi="宋体" w:eastAsia="仿宋_GB2312" w:cs="Times New Roman"/>
          <w:color w:val="auto"/>
          <w:sz w:val="32"/>
          <w:szCs w:val="32"/>
          <w:lang w:val="en-US" w:eastAsia="zh-CN"/>
        </w:rPr>
        <w:t>提示：支持电子证照。</w:t>
      </w:r>
      <w:r>
        <w:rPr>
          <w:rFonts w:hint="eastAsia" w:ascii="仿宋_GB2312" w:hAnsi="宋体" w:eastAsia="仿宋_GB2312" w:cs="Times New Roman"/>
          <w:color w:val="auto"/>
          <w:sz w:val="32"/>
          <w:szCs w:val="32"/>
        </w:rPr>
        <w:t>电子身份证、电子营业执照、不动产权证书、不动产登记证明、结婚证、离婚证</w:t>
      </w:r>
      <w:r>
        <w:rPr>
          <w:rFonts w:hint="eastAsia" w:ascii="仿宋_GB2312" w:hAnsi="宋体" w:eastAsia="仿宋_GB2312" w:cs="Times New Roman"/>
          <w:color w:val="auto"/>
          <w:sz w:val="32"/>
          <w:szCs w:val="32"/>
          <w:lang w:val="en-US" w:eastAsia="zh-CN"/>
        </w:rPr>
        <w:t>等</w:t>
      </w:r>
      <w:r>
        <w:rPr>
          <w:rFonts w:hint="eastAsia" w:ascii="仿宋_GB2312" w:hAnsi="宋体" w:eastAsia="仿宋_GB2312" w:cs="Times New Roman"/>
          <w:color w:val="auto"/>
          <w:sz w:val="32"/>
          <w:szCs w:val="32"/>
        </w:rPr>
        <w:t>，可通过“爱山东”APP申领并出示电子证照，办理业务及咨询。</w:t>
      </w:r>
    </w:p>
    <w:p>
      <w:pPr>
        <w:keepNext w:val="0"/>
        <w:keepLines w:val="0"/>
        <w:pageBreakBefore w:val="0"/>
        <w:widowControl w:val="0"/>
        <w:kinsoku/>
        <w:wordWrap/>
        <w:overflowPunct/>
        <w:topLinePunct w:val="0"/>
        <w:autoSpaceDE/>
        <w:autoSpaceDN/>
        <w:bidi w:val="0"/>
        <w:spacing w:line="520" w:lineRule="exact"/>
        <w:ind w:firstLine="640" w:firstLineChars="200"/>
        <w:textAlignment w:val="auto"/>
        <w:rPr>
          <w:rFonts w:ascii="仿宋_GB2312" w:hAnsi="黑体" w:eastAsia="仿宋_GB2312" w:cs="Times New Roman"/>
          <w:color w:val="auto"/>
          <w:kern w:val="0"/>
          <w:sz w:val="32"/>
          <w:szCs w:val="32"/>
        </w:rPr>
      </w:pPr>
      <w:r>
        <w:rPr>
          <w:rFonts w:hint="eastAsia" w:ascii="仿宋_GB2312" w:hAnsi="黑体" w:eastAsia="仿宋_GB2312" w:cs="Times New Roman"/>
          <w:color w:val="auto"/>
          <w:sz w:val="32"/>
          <w:szCs w:val="32"/>
        </w:rPr>
        <w:t>（一）</w:t>
      </w:r>
      <w:r>
        <w:rPr>
          <w:rFonts w:hint="eastAsia" w:ascii="仿宋_GB2312" w:hAnsi="黑体" w:eastAsia="仿宋_GB2312" w:cs="Times New Roman"/>
          <w:color w:val="auto"/>
          <w:kern w:val="0"/>
          <w:sz w:val="32"/>
          <w:szCs w:val="32"/>
        </w:rPr>
        <w:t xml:space="preserve">《青岛市住房公积金提取承诺书（授权书）》； </w:t>
      </w:r>
      <w:r>
        <w:rPr>
          <w:rFonts w:hint="eastAsia" w:ascii="仿宋_GB2312" w:hAnsi="黑体" w:eastAsia="仿宋_GB2312" w:cs="Times New Roman"/>
          <w:color w:val="auto"/>
          <w:sz w:val="32"/>
          <w:szCs w:val="32"/>
        </w:rPr>
        <w:t xml:space="preserve"> </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（二）身份证明材料原件：</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1.</w:t>
      </w:r>
      <w:r>
        <w:rPr>
          <w:rFonts w:hint="eastAsia" w:ascii="仿宋_GB2312" w:hAnsi="黑体" w:eastAsia="仿宋_GB2312" w:cs="Times New Roman"/>
          <w:color w:val="auto"/>
          <w:kern w:val="0"/>
          <w:sz w:val="32"/>
          <w:szCs w:val="32"/>
        </w:rPr>
        <w:t xml:space="preserve"> 本人办理的提供身份证；</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kern w:val="0"/>
          <w:sz w:val="32"/>
          <w:szCs w:val="32"/>
        </w:rPr>
      </w:pPr>
      <w:r>
        <w:rPr>
          <w:rFonts w:hint="eastAsia" w:ascii="仿宋_GB2312" w:hAnsi="黑体" w:eastAsia="仿宋_GB2312" w:cs="Times New Roman"/>
          <w:color w:val="auto"/>
          <w:sz w:val="32"/>
          <w:szCs w:val="32"/>
        </w:rPr>
        <w:t xml:space="preserve">2. </w:t>
      </w:r>
      <w:r>
        <w:rPr>
          <w:rFonts w:hint="eastAsia" w:ascii="仿宋_GB2312" w:hAnsi="黑体" w:eastAsia="仿宋_GB2312" w:cs="Times New Roman"/>
          <w:color w:val="auto"/>
          <w:kern w:val="0"/>
          <w:sz w:val="32"/>
          <w:szCs w:val="32"/>
        </w:rPr>
        <w:t>委托他人办理的，除需提供职工身份证外，职工本人应在相关事项予以签字确认：</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kern w:val="0"/>
          <w:sz w:val="32"/>
          <w:szCs w:val="32"/>
        </w:rPr>
      </w:pPr>
      <w:r>
        <w:rPr>
          <w:rFonts w:hint="eastAsia" w:ascii="仿宋_GB2312" w:hAnsi="黑体" w:eastAsia="仿宋_GB2312" w:cs="Times New Roman"/>
          <w:color w:val="auto"/>
          <w:kern w:val="0"/>
          <w:sz w:val="32"/>
          <w:szCs w:val="32"/>
        </w:rPr>
        <w:t>（1）委托已在市住房公积金管理中心登记备案的单位经办人办理的，单位经办人应提供身份证原件；</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kern w:val="0"/>
          <w:sz w:val="32"/>
          <w:szCs w:val="32"/>
        </w:rPr>
      </w:pPr>
      <w:r>
        <w:rPr>
          <w:rFonts w:hint="eastAsia" w:ascii="仿宋_GB2312" w:hAnsi="黑体" w:eastAsia="仿宋_GB2312" w:cs="Times New Roman"/>
          <w:color w:val="auto"/>
          <w:kern w:val="0"/>
          <w:sz w:val="32"/>
          <w:szCs w:val="32"/>
        </w:rPr>
        <w:t>（2）委托本人直系亲属办理的，代办人应提供关系凭证原件及代办人身份证原件；</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kern w:val="0"/>
          <w:sz w:val="32"/>
          <w:szCs w:val="32"/>
        </w:rPr>
      </w:pPr>
      <w:r>
        <w:rPr>
          <w:rFonts w:hint="eastAsia" w:ascii="仿宋_GB2312" w:hAnsi="黑体" w:eastAsia="仿宋_GB2312" w:cs="Times New Roman"/>
          <w:color w:val="auto"/>
          <w:kern w:val="0"/>
          <w:sz w:val="32"/>
          <w:szCs w:val="32"/>
        </w:rPr>
        <w:t>（3）委托其他人办理的，被委托人应出具经公证的委托书原件及身份证原件。</w:t>
      </w:r>
    </w:p>
    <w:p>
      <w:pPr>
        <w:keepNext w:val="0"/>
        <w:keepLines w:val="0"/>
        <w:pageBreakBefore w:val="0"/>
        <w:widowControl w:val="0"/>
        <w:kinsoku/>
        <w:wordWrap/>
        <w:overflowPunct/>
        <w:topLinePunct w:val="0"/>
        <w:autoSpaceDE/>
        <w:autoSpaceDN/>
        <w:bidi w:val="0"/>
        <w:spacing w:line="520" w:lineRule="exact"/>
        <w:ind w:firstLine="640" w:firstLineChars="200"/>
        <w:textAlignment w:val="auto"/>
        <w:rPr>
          <w:rFonts w:ascii="仿宋_GB2312" w:hAnsi="仿宋" w:eastAsia="仿宋_GB2312" w:cs="仿宋_GB2312"/>
          <w:color w:val="auto"/>
          <w:sz w:val="32"/>
          <w:szCs w:val="32"/>
        </w:rPr>
      </w:pPr>
      <w:r>
        <w:rPr>
          <w:rFonts w:hint="eastAsia" w:ascii="仿宋_GB2312" w:hAnsi="黑体" w:eastAsia="仿宋_GB2312" w:cs="Times New Roman"/>
          <w:color w:val="auto"/>
          <w:sz w:val="32"/>
          <w:szCs w:val="32"/>
        </w:rPr>
        <w:t>（三）</w:t>
      </w:r>
      <w:r>
        <w:rPr>
          <w:rFonts w:hint="eastAsia" w:ascii="仿宋_GB2312" w:hAnsi="仿宋" w:eastAsia="仿宋_GB2312" w:cs="仿宋_GB2312"/>
          <w:color w:val="auto"/>
          <w:sz w:val="32"/>
          <w:szCs w:val="32"/>
        </w:rPr>
        <w:t xml:space="preserve">职工的配偶提取住房公积金账户内的存储余额时，应提供婚姻关系凭证原件; </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（四）职工大修具有产权的自住住房的，应提供以下证明材料 ：</w:t>
      </w:r>
    </w:p>
    <w:p>
      <w:pPr>
        <w:keepNext w:val="0"/>
        <w:keepLines w:val="0"/>
        <w:pageBreakBefore w:val="0"/>
        <w:widowControl w:val="0"/>
        <w:kinsoku/>
        <w:wordWrap/>
        <w:overflowPunct/>
        <w:topLinePunct w:val="0"/>
        <w:autoSpaceDE/>
        <w:autoSpaceDN/>
        <w:bidi w:val="0"/>
        <w:spacing w:line="520" w:lineRule="exact"/>
        <w:ind w:firstLine="640" w:firstLineChars="200"/>
        <w:textAlignment w:val="auto"/>
        <w:rPr>
          <w:rFonts w:ascii="仿宋_GB2312" w:hAnsi="仿宋" w:eastAsia="仿宋_GB2312" w:cs="仿宋_GB2312"/>
          <w:color w:val="auto"/>
          <w:sz w:val="32"/>
          <w:szCs w:val="32"/>
        </w:rPr>
      </w:pPr>
      <w:r>
        <w:rPr>
          <w:rFonts w:hint="eastAsia" w:ascii="仿宋_GB2312" w:hAnsi="仿宋" w:eastAsia="仿宋_GB2312" w:cs="仿宋_GB2312"/>
          <w:color w:val="auto"/>
          <w:sz w:val="32"/>
          <w:szCs w:val="32"/>
        </w:rPr>
        <w:t>1.房屋产权证原件；</w:t>
      </w:r>
    </w:p>
    <w:p>
      <w:pPr>
        <w:keepNext w:val="0"/>
        <w:keepLines w:val="0"/>
        <w:pageBreakBefore w:val="0"/>
        <w:widowControl w:val="0"/>
        <w:kinsoku/>
        <w:wordWrap/>
        <w:overflowPunct/>
        <w:topLinePunct w:val="0"/>
        <w:autoSpaceDE/>
        <w:autoSpaceDN/>
        <w:bidi w:val="0"/>
        <w:spacing w:line="520" w:lineRule="exact"/>
        <w:ind w:firstLine="640" w:firstLineChars="200"/>
        <w:textAlignment w:val="auto"/>
        <w:rPr>
          <w:rFonts w:ascii="仿宋_GB2312" w:hAnsi="仿宋" w:eastAsia="仿宋_GB2312" w:cs="仿宋_GB2312"/>
          <w:color w:val="auto"/>
          <w:sz w:val="32"/>
          <w:szCs w:val="32"/>
        </w:rPr>
      </w:pPr>
      <w:r>
        <w:rPr>
          <w:rFonts w:hint="eastAsia" w:ascii="仿宋_GB2312" w:hAnsi="仿宋" w:eastAsia="仿宋_GB2312" w:cs="仿宋_GB2312"/>
          <w:color w:val="auto"/>
          <w:sz w:val="32"/>
          <w:szCs w:val="32"/>
        </w:rPr>
        <w:t>2.有资质的鉴定机构出具的房屋危险性鉴定为C级或D级房屋安全鉴定报告原件</w:t>
      </w:r>
    </w:p>
    <w:p>
      <w:pPr>
        <w:keepNext w:val="0"/>
        <w:keepLines w:val="0"/>
        <w:pageBreakBefore w:val="0"/>
        <w:widowControl w:val="0"/>
        <w:kinsoku/>
        <w:wordWrap/>
        <w:overflowPunct/>
        <w:topLinePunct w:val="0"/>
        <w:autoSpaceDE/>
        <w:autoSpaceDN/>
        <w:bidi w:val="0"/>
        <w:spacing w:line="520" w:lineRule="exact"/>
        <w:ind w:firstLine="640" w:firstLineChars="200"/>
        <w:textAlignment w:val="auto"/>
        <w:rPr>
          <w:rFonts w:ascii="仿宋_GB2312" w:hAnsi="仿宋" w:eastAsia="仿宋_GB2312" w:cs="仿宋_GB2312"/>
          <w:color w:val="auto"/>
          <w:sz w:val="32"/>
          <w:szCs w:val="32"/>
        </w:rPr>
      </w:pPr>
      <w:r>
        <w:rPr>
          <w:rFonts w:hint="eastAsia" w:ascii="仿宋_GB2312" w:hAnsi="仿宋" w:eastAsia="仿宋_GB2312" w:cs="仿宋_GB2312"/>
          <w:color w:val="auto"/>
          <w:sz w:val="32"/>
          <w:szCs w:val="32"/>
        </w:rPr>
        <w:t>3.大修费用付款发票原件。</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六、基本流程</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（一）柜台办理：</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仿宋" w:eastAsia="仿宋_GB2312"/>
          <w:color w:val="auto"/>
          <w:sz w:val="32"/>
          <w:szCs w:val="32"/>
        </w:rPr>
      </w:pPr>
      <w:r>
        <w:rPr>
          <w:rFonts w:hint="eastAsia" w:ascii="仿宋_GB2312" w:hAnsi="仿宋" w:eastAsia="仿宋_GB2312"/>
          <w:color w:val="auto"/>
          <w:sz w:val="32"/>
          <w:szCs w:val="32"/>
        </w:rPr>
        <w:t>1.职工提取住房公积金，职工本人或委托他人持相关证明材料到公积金中心任一管理</w:t>
      </w:r>
      <w:r>
        <w:rPr>
          <w:rFonts w:hint="eastAsia" w:ascii="仿宋_GB2312" w:hAnsi="仿宋" w:eastAsia="仿宋_GB2312"/>
          <w:color w:val="auto"/>
          <w:sz w:val="32"/>
          <w:szCs w:val="32"/>
          <w:lang w:val="en-US" w:eastAsia="zh-CN"/>
        </w:rPr>
        <w:t>处</w:t>
      </w:r>
      <w:r>
        <w:rPr>
          <w:rFonts w:hint="eastAsia" w:ascii="仿宋_GB2312" w:hAnsi="仿宋" w:eastAsia="仿宋_GB2312"/>
          <w:color w:val="auto"/>
          <w:sz w:val="32"/>
          <w:szCs w:val="32"/>
        </w:rPr>
        <w:t>申请办理。对符合提取条件的公积金中心当即办结，对申请人提供的相关资料需要调查核实的，公积金中心自受理申请之日起 3 个工作日内做出准予或者不准予提取的决定，并通知申请人。因向房屋管理、民政、税务等有关部门调查核实职工行为和申请材料真实性所需的时间不计算在上述3个工作日内。</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仿宋" w:eastAsia="仿宋_GB2312"/>
          <w:color w:val="auto"/>
          <w:sz w:val="32"/>
          <w:szCs w:val="32"/>
        </w:rPr>
      </w:pPr>
      <w:r>
        <w:rPr>
          <w:rFonts w:hint="eastAsia" w:ascii="仿宋_GB2312" w:hAnsi="仿宋" w:eastAsia="仿宋_GB2312"/>
          <w:color w:val="auto"/>
          <w:sz w:val="32"/>
          <w:szCs w:val="32"/>
        </w:rPr>
        <w:t>2.</w:t>
      </w:r>
      <w:r>
        <w:rPr>
          <w:rFonts w:hint="eastAsia" w:ascii="仿宋_GB2312" w:eastAsia="仿宋_GB2312"/>
          <w:color w:val="auto"/>
          <w:sz w:val="25"/>
          <w:szCs w:val="25"/>
          <w:shd w:val="clear" w:color="auto" w:fill="FFFFFF"/>
        </w:rPr>
        <w:t xml:space="preserve"> </w:t>
      </w:r>
      <w:r>
        <w:rPr>
          <w:rFonts w:hint="eastAsia" w:ascii="仿宋_GB2312" w:hAnsi="仿宋" w:eastAsia="仿宋_GB2312"/>
          <w:color w:val="auto"/>
          <w:sz w:val="32"/>
          <w:szCs w:val="32"/>
        </w:rPr>
        <w:t>经审核符合提取条件的，公积金中心将提取金额划转至提取申请人与公积金中心约定的提取结算账户，其中提取结算账户包括：职工住房公积金联名卡、I类借记卡。其中I类借记卡仅限于：建设银行、工商银行、农业银行、中国银行、交通银行、光大银行、</w:t>
      </w:r>
      <w:r>
        <w:rPr>
          <w:rFonts w:hint="eastAsia" w:ascii="仿宋_GB2312" w:hAnsi="仿宋" w:eastAsia="仿宋_GB2312"/>
          <w:color w:val="auto"/>
          <w:sz w:val="32"/>
          <w:szCs w:val="32"/>
          <w:lang w:eastAsia="zh-CN"/>
        </w:rPr>
        <w:t>青岛银行</w:t>
      </w:r>
      <w:r>
        <w:rPr>
          <w:rFonts w:hint="eastAsia" w:ascii="仿宋_GB2312" w:hAnsi="仿宋" w:eastAsia="仿宋_GB2312"/>
          <w:color w:val="auto"/>
          <w:sz w:val="32"/>
          <w:szCs w:val="32"/>
          <w:lang w:eastAsia="zh-CN"/>
        </w:rPr>
        <w:t>、青岛农商银行、恒丰银行、招商银行</w:t>
      </w:r>
      <w:r>
        <w:rPr>
          <w:rFonts w:hint="eastAsia" w:ascii="仿宋_GB2312" w:hAnsi="仿宋" w:eastAsia="仿宋_GB2312"/>
          <w:color w:val="auto"/>
          <w:sz w:val="32"/>
          <w:szCs w:val="32"/>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仿宋" w:eastAsia="仿宋_GB2312"/>
          <w:color w:val="auto"/>
          <w:sz w:val="32"/>
          <w:szCs w:val="32"/>
        </w:rPr>
        <w:t>备注:提取结算账户为职工I类借记卡的,需职工本人通过柜台或住房公积金网上营业厅（个人专业版）自行绑定，也可以委托单位经办人持</w:t>
      </w:r>
      <w:r>
        <w:rPr>
          <w:rFonts w:hint="eastAsia" w:ascii="仿宋_GB2312" w:hAnsi="黑体" w:eastAsia="仿宋_GB2312" w:cs="Times New Roman"/>
          <w:color w:val="auto"/>
          <w:sz w:val="32"/>
          <w:szCs w:val="32"/>
        </w:rPr>
        <w:t>《青岛市住房公积金个人账户信息变更申请表》（加盖单位公章）、经办人及职工本人双方身份证到柜台绑定。</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（二）</w:t>
      </w:r>
      <w:r>
        <w:rPr>
          <w:rFonts w:hint="eastAsia" w:ascii="仿宋_GB2312" w:hAnsi="黑体" w:eastAsia="仿宋_GB2312" w:cs="Times New Roman"/>
          <w:color w:val="auto"/>
          <w:sz w:val="32"/>
          <w:szCs w:val="32"/>
          <w:lang w:val="en-US" w:eastAsia="zh-CN"/>
        </w:rPr>
        <w:t>网上办理</w:t>
      </w:r>
      <w:r>
        <w:rPr>
          <w:rFonts w:hint="eastAsia" w:ascii="仿宋_GB2312" w:hAnsi="黑体" w:eastAsia="仿宋_GB2312" w:cs="Times New Roman"/>
          <w:color w:val="auto"/>
          <w:sz w:val="32"/>
          <w:szCs w:val="32"/>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仿宋" w:eastAsia="仿宋_GB2312"/>
          <w:color w:val="auto"/>
          <w:sz w:val="32"/>
          <w:szCs w:val="32"/>
        </w:rPr>
      </w:pPr>
      <w:r>
        <w:rPr>
          <w:rFonts w:hint="eastAsia" w:ascii="仿宋_GB2312" w:hAnsi="仿宋" w:eastAsia="仿宋_GB2312"/>
          <w:color w:val="auto"/>
          <w:sz w:val="32"/>
          <w:szCs w:val="32"/>
        </w:rPr>
        <w:t>职工</w:t>
      </w:r>
      <w:r>
        <w:rPr>
          <w:rFonts w:ascii="仿宋_GB2312" w:hAnsi="仿宋" w:eastAsia="仿宋_GB2312"/>
          <w:color w:val="auto"/>
          <w:sz w:val="32"/>
          <w:szCs w:val="32"/>
        </w:rPr>
        <w:t>可通过住房公积金网上营业厅（</w:t>
      </w:r>
      <w:r>
        <w:rPr>
          <w:rFonts w:hint="eastAsia" w:ascii="仿宋_GB2312" w:hAnsi="仿宋" w:eastAsia="仿宋_GB2312"/>
          <w:color w:val="auto"/>
          <w:sz w:val="32"/>
          <w:szCs w:val="32"/>
        </w:rPr>
        <w:t>个人专业</w:t>
      </w:r>
      <w:r>
        <w:rPr>
          <w:rFonts w:ascii="仿宋_GB2312" w:hAnsi="仿宋" w:eastAsia="仿宋_GB2312"/>
          <w:color w:val="auto"/>
          <w:sz w:val="32"/>
          <w:szCs w:val="32"/>
        </w:rPr>
        <w:t>版）</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lang w:val="en-US" w:eastAsia="zh-CN"/>
        </w:rPr>
        <w:t>微信公众号、“爱山东”APP等渠道</w:t>
      </w:r>
      <w:r>
        <w:rPr>
          <w:rFonts w:ascii="仿宋_GB2312" w:hAnsi="仿宋" w:eastAsia="仿宋_GB2312"/>
          <w:color w:val="auto"/>
          <w:sz w:val="32"/>
          <w:szCs w:val="32"/>
        </w:rPr>
        <w:t>预申请</w:t>
      </w:r>
      <w:r>
        <w:rPr>
          <w:rFonts w:hint="eastAsia" w:ascii="仿宋_GB2312" w:hAnsi="仿宋" w:eastAsia="仿宋_GB2312"/>
          <w:color w:val="auto"/>
          <w:sz w:val="32"/>
          <w:szCs w:val="32"/>
        </w:rPr>
        <w:t>大修自住住房提取公积金</w:t>
      </w:r>
      <w:r>
        <w:rPr>
          <w:rFonts w:ascii="仿宋_GB2312" w:hAnsi="仿宋" w:eastAsia="仿宋_GB2312"/>
          <w:color w:val="auto"/>
          <w:sz w:val="32"/>
          <w:szCs w:val="32"/>
        </w:rPr>
        <w:t>业务</w:t>
      </w:r>
      <w:r>
        <w:rPr>
          <w:rFonts w:hint="eastAsia" w:ascii="仿宋_GB2312" w:hAnsi="仿宋" w:eastAsia="仿宋_GB2312"/>
          <w:color w:val="auto"/>
          <w:sz w:val="32"/>
          <w:szCs w:val="32"/>
          <w:lang w:eastAsia="zh-CN"/>
        </w:rPr>
        <w:t>（“购买本市住房提取”</w:t>
      </w:r>
      <w:r>
        <w:rPr>
          <w:rFonts w:hint="eastAsia" w:ascii="仿宋_GB2312" w:hAnsi="仿宋" w:eastAsia="仿宋_GB2312"/>
          <w:color w:val="auto"/>
          <w:sz w:val="32"/>
          <w:szCs w:val="32"/>
          <w:lang w:val="en-US" w:eastAsia="zh-CN"/>
        </w:rPr>
        <w:t>项下选择“建造、翻建、大修”细项</w:t>
      </w:r>
      <w:r>
        <w:rPr>
          <w:rFonts w:hint="eastAsia" w:ascii="仿宋_GB2312" w:hAnsi="仿宋" w:eastAsia="仿宋_GB2312"/>
          <w:color w:val="auto"/>
          <w:sz w:val="32"/>
          <w:szCs w:val="32"/>
          <w:lang w:eastAsia="zh-CN"/>
        </w:rPr>
        <w:t>）</w:t>
      </w:r>
      <w:r>
        <w:rPr>
          <w:rFonts w:ascii="仿宋_GB2312" w:hAnsi="仿宋" w:eastAsia="仿宋_GB2312"/>
          <w:color w:val="auto"/>
          <w:sz w:val="32"/>
          <w:szCs w:val="32"/>
        </w:rPr>
        <w:t>。业务预申请是由</w:t>
      </w:r>
      <w:r>
        <w:rPr>
          <w:rFonts w:hint="eastAsia" w:ascii="仿宋_GB2312" w:hAnsi="仿宋" w:eastAsia="仿宋_GB2312"/>
          <w:color w:val="auto"/>
          <w:sz w:val="32"/>
          <w:szCs w:val="32"/>
        </w:rPr>
        <w:t>个人</w:t>
      </w:r>
      <w:r>
        <w:rPr>
          <w:rFonts w:ascii="仿宋_GB2312" w:hAnsi="仿宋" w:eastAsia="仿宋_GB2312"/>
          <w:color w:val="auto"/>
          <w:sz w:val="32"/>
          <w:szCs w:val="32"/>
        </w:rPr>
        <w:t>上传办理所需材料，</w:t>
      </w:r>
      <w:r>
        <w:rPr>
          <w:rFonts w:hint="eastAsia" w:ascii="仿宋_GB2312" w:hAnsi="仿宋" w:eastAsia="仿宋_GB2312"/>
          <w:color w:val="auto"/>
          <w:sz w:val="32"/>
          <w:szCs w:val="32"/>
        </w:rPr>
        <w:t>公积金中心</w:t>
      </w:r>
      <w:r>
        <w:rPr>
          <w:rFonts w:ascii="仿宋_GB2312" w:hAnsi="仿宋" w:eastAsia="仿宋_GB2312"/>
          <w:color w:val="auto"/>
          <w:sz w:val="32"/>
          <w:szCs w:val="32"/>
        </w:rPr>
        <w:t xml:space="preserve">后台审核的业务管理模式。 </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仿宋" w:eastAsia="仿宋_GB2312"/>
          <w:color w:val="auto"/>
          <w:sz w:val="32"/>
          <w:szCs w:val="32"/>
        </w:rPr>
      </w:pPr>
      <w:r>
        <w:rPr>
          <w:rFonts w:ascii="仿宋_GB2312" w:hAnsi="仿宋" w:eastAsia="仿宋_GB2312"/>
          <w:color w:val="auto"/>
          <w:sz w:val="32"/>
          <w:szCs w:val="32"/>
        </w:rPr>
        <w:t>操作流程：详情请参照青岛</w:t>
      </w:r>
      <w:r>
        <w:rPr>
          <w:rFonts w:hint="eastAsia" w:ascii="仿宋_GB2312" w:hAnsi="黑体" w:eastAsia="仿宋_GB2312" w:cs="Times New Roman"/>
          <w:color w:val="auto"/>
          <w:sz w:val="32"/>
          <w:szCs w:val="32"/>
        </w:rPr>
        <w:t>市住房公积金</w:t>
      </w:r>
      <w:r>
        <w:rPr>
          <w:rFonts w:ascii="仿宋_GB2312" w:hAnsi="黑体" w:eastAsia="仿宋_GB2312" w:cs="Times New Roman"/>
          <w:color w:val="auto"/>
          <w:sz w:val="32"/>
          <w:szCs w:val="32"/>
        </w:rPr>
        <w:t>官网</w:t>
      </w:r>
      <w:r>
        <w:rPr>
          <w:rFonts w:hint="eastAsia" w:ascii="仿宋_GB2312" w:hAnsi="黑体" w:eastAsia="仿宋_GB2312" w:cs="Times New Roman"/>
          <w:color w:val="auto"/>
          <w:kern w:val="0"/>
          <w:sz w:val="32"/>
          <w:szCs w:val="32"/>
        </w:rPr>
        <w:t>（http://www.qdgjj.com）</w:t>
      </w:r>
      <w:r>
        <w:rPr>
          <w:rFonts w:ascii="仿宋_GB2312" w:hAnsi="仿宋" w:eastAsia="仿宋_GB2312"/>
          <w:color w:val="auto"/>
          <w:sz w:val="32"/>
          <w:szCs w:val="32"/>
        </w:rPr>
        <w:t>“便民指引--网上营业厅--</w:t>
      </w:r>
      <w:r>
        <w:rPr>
          <w:rFonts w:hint="eastAsia" w:ascii="仿宋_GB2312" w:hAnsi="仿宋" w:eastAsia="仿宋_GB2312"/>
          <w:color w:val="auto"/>
          <w:sz w:val="32"/>
          <w:szCs w:val="32"/>
        </w:rPr>
        <w:t>个人</w:t>
      </w:r>
      <w:r>
        <w:rPr>
          <w:rFonts w:ascii="仿宋_GB2312" w:hAnsi="仿宋" w:eastAsia="仿宋_GB2312"/>
          <w:color w:val="auto"/>
          <w:sz w:val="32"/>
          <w:szCs w:val="32"/>
        </w:rPr>
        <w:t>专业版”办理。</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黑体" w:hAnsi="黑体" w:eastAsia="黑体" w:cs="Times New Roman"/>
          <w:color w:val="auto"/>
          <w:sz w:val="32"/>
          <w:szCs w:val="32"/>
        </w:rPr>
        <w:t>七、收费依据及标准</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不收费。</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八、办理时限</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仿宋" w:eastAsia="仿宋_GB2312"/>
          <w:color w:val="auto"/>
          <w:sz w:val="32"/>
          <w:szCs w:val="32"/>
        </w:rPr>
      </w:pPr>
      <w:r>
        <w:rPr>
          <w:rFonts w:hint="eastAsia" w:ascii="仿宋_GB2312" w:hAnsi="仿宋" w:eastAsia="仿宋_GB2312"/>
          <w:color w:val="auto"/>
          <w:sz w:val="32"/>
          <w:szCs w:val="32"/>
        </w:rPr>
        <w:t>对符合提取条件的公积金中心当即办结；对申请人提供的相关资料需要调查核实的，公积金中心</w:t>
      </w:r>
      <w:r>
        <w:rPr>
          <w:rFonts w:hint="eastAsia" w:ascii="仿宋_GB2312" w:hAnsi="仿宋" w:eastAsia="仿宋_GB2312" w:cs="仿宋_GB2312"/>
          <w:color w:val="auto"/>
          <w:sz w:val="32"/>
          <w:szCs w:val="32"/>
        </w:rPr>
        <w:t>应当自受理提取申请之日起3个工作日内，根据提取审核结果作出准予提取或者不准予提取的决定，并通知职工。</w:t>
      </w:r>
      <w:r>
        <w:rPr>
          <w:rFonts w:hint="eastAsia" w:ascii="仿宋_GB2312" w:hAnsi="仿宋" w:eastAsia="仿宋_GB2312"/>
          <w:color w:val="auto"/>
          <w:sz w:val="32"/>
          <w:szCs w:val="32"/>
        </w:rPr>
        <w:t>因向房屋管理、民政、税务等有关部门调查核实职工行为和申请材料真实性所需的时间不计算在上述3个工作日内。</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九、咨询方式</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（一）现场咨询：青岛市住房公积金管理中心所辖各区（市）管理处营业大厅。</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（二）电话咨询：（0532</w:t>
      </w:r>
      <w:r>
        <w:rPr>
          <w:rFonts w:ascii="仿宋_GB2312" w:hAnsi="黑体" w:eastAsia="仿宋_GB2312" w:cs="Times New Roman"/>
          <w:color w:val="auto"/>
          <w:sz w:val="32"/>
          <w:szCs w:val="32"/>
        </w:rPr>
        <w:t>）</w:t>
      </w:r>
      <w:r>
        <w:rPr>
          <w:rFonts w:hint="eastAsia" w:ascii="仿宋_GB2312" w:hAnsi="黑体" w:eastAsia="仿宋_GB2312" w:cs="Times New Roman"/>
          <w:color w:val="auto"/>
          <w:sz w:val="32"/>
          <w:szCs w:val="32"/>
        </w:rPr>
        <w:t>12329（住房公积金热线）。</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（三）网站查询：http://www.qdgjj.com。</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p>
    <w:p>
      <w:pPr>
        <w:keepNext w:val="0"/>
        <w:keepLines w:val="0"/>
        <w:pageBreakBefore w:val="0"/>
        <w:widowControl w:val="0"/>
        <w:kinsoku/>
        <w:wordWrap/>
        <w:overflowPunct/>
        <w:topLinePunct w:val="0"/>
        <w:autoSpaceDE/>
        <w:autoSpaceDN/>
        <w:bidi w:val="0"/>
        <w:spacing w:line="520" w:lineRule="exact"/>
        <w:textAlignment w:val="auto"/>
        <w:rPr>
          <w:rFonts w:ascii="仿宋_GB2312" w:eastAsia="仿宋_GB2312"/>
          <w:color w:val="auto"/>
          <w:sz w:val="32"/>
          <w:szCs w:val="32"/>
        </w:rPr>
      </w:pPr>
    </w:p>
    <w:bookmarkEnd w:id="0"/>
    <w:sectPr>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0C5F82"/>
    <w:multiLevelType w:val="multilevel"/>
    <w:tmpl w:val="470C5F82"/>
    <w:lvl w:ilvl="0" w:tentative="0">
      <w:start w:val="1"/>
      <w:numFmt w:val="japaneseCounting"/>
      <w:lvlText w:val="%1、"/>
      <w:lvlJc w:val="left"/>
      <w:pPr>
        <w:ind w:left="1440" w:hanging="72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jZkYWRkMzNmZmY2MjQyZjJjOTgyMDExNzcyODE2NjUifQ=="/>
  </w:docVars>
  <w:rsids>
    <w:rsidRoot w:val="00A07926"/>
    <w:rsid w:val="0001580A"/>
    <w:rsid w:val="000170B1"/>
    <w:rsid w:val="000231B7"/>
    <w:rsid w:val="0002674E"/>
    <w:rsid w:val="00035ADE"/>
    <w:rsid w:val="00040002"/>
    <w:rsid w:val="00040C32"/>
    <w:rsid w:val="000519FC"/>
    <w:rsid w:val="0005246B"/>
    <w:rsid w:val="0006446B"/>
    <w:rsid w:val="00070E02"/>
    <w:rsid w:val="00076B30"/>
    <w:rsid w:val="0008142A"/>
    <w:rsid w:val="00084485"/>
    <w:rsid w:val="00084CB4"/>
    <w:rsid w:val="000D3959"/>
    <w:rsid w:val="000D43F8"/>
    <w:rsid w:val="00110846"/>
    <w:rsid w:val="00110AAC"/>
    <w:rsid w:val="00132656"/>
    <w:rsid w:val="00156978"/>
    <w:rsid w:val="00166089"/>
    <w:rsid w:val="0019785E"/>
    <w:rsid w:val="001B200E"/>
    <w:rsid w:val="001D3ACC"/>
    <w:rsid w:val="001F184F"/>
    <w:rsid w:val="001F3582"/>
    <w:rsid w:val="0021179A"/>
    <w:rsid w:val="002325FE"/>
    <w:rsid w:val="00237624"/>
    <w:rsid w:val="00262013"/>
    <w:rsid w:val="00276F22"/>
    <w:rsid w:val="002904AF"/>
    <w:rsid w:val="002A0F90"/>
    <w:rsid w:val="002A3AF6"/>
    <w:rsid w:val="002C0631"/>
    <w:rsid w:val="002C5494"/>
    <w:rsid w:val="002D5FFA"/>
    <w:rsid w:val="002F2CCB"/>
    <w:rsid w:val="003012CC"/>
    <w:rsid w:val="0030149B"/>
    <w:rsid w:val="00304787"/>
    <w:rsid w:val="00311EB8"/>
    <w:rsid w:val="00323A9C"/>
    <w:rsid w:val="00326199"/>
    <w:rsid w:val="00340D9C"/>
    <w:rsid w:val="00361E3B"/>
    <w:rsid w:val="003638F0"/>
    <w:rsid w:val="003A3523"/>
    <w:rsid w:val="003B4667"/>
    <w:rsid w:val="003B6E92"/>
    <w:rsid w:val="003C2643"/>
    <w:rsid w:val="003C38ED"/>
    <w:rsid w:val="003E7900"/>
    <w:rsid w:val="00410E0D"/>
    <w:rsid w:val="004173B3"/>
    <w:rsid w:val="00423B51"/>
    <w:rsid w:val="00433F14"/>
    <w:rsid w:val="0043491E"/>
    <w:rsid w:val="00444B63"/>
    <w:rsid w:val="00456E50"/>
    <w:rsid w:val="00463E13"/>
    <w:rsid w:val="00477180"/>
    <w:rsid w:val="004A6B91"/>
    <w:rsid w:val="004B09B8"/>
    <w:rsid w:val="004C1B0F"/>
    <w:rsid w:val="004D11BA"/>
    <w:rsid w:val="004D12DA"/>
    <w:rsid w:val="004E0AA6"/>
    <w:rsid w:val="00512B5A"/>
    <w:rsid w:val="00516B6E"/>
    <w:rsid w:val="005179C3"/>
    <w:rsid w:val="005230A0"/>
    <w:rsid w:val="00545581"/>
    <w:rsid w:val="00565247"/>
    <w:rsid w:val="005652DD"/>
    <w:rsid w:val="005673E5"/>
    <w:rsid w:val="0059355E"/>
    <w:rsid w:val="00594915"/>
    <w:rsid w:val="005A5995"/>
    <w:rsid w:val="005B574D"/>
    <w:rsid w:val="005C2D52"/>
    <w:rsid w:val="00636713"/>
    <w:rsid w:val="00641161"/>
    <w:rsid w:val="006575DE"/>
    <w:rsid w:val="0067442B"/>
    <w:rsid w:val="00681052"/>
    <w:rsid w:val="00696B90"/>
    <w:rsid w:val="006A3AB9"/>
    <w:rsid w:val="006D5FBA"/>
    <w:rsid w:val="006E293A"/>
    <w:rsid w:val="006F6FD5"/>
    <w:rsid w:val="0070792A"/>
    <w:rsid w:val="00712A1D"/>
    <w:rsid w:val="00727AEC"/>
    <w:rsid w:val="00734330"/>
    <w:rsid w:val="007577E6"/>
    <w:rsid w:val="00827F44"/>
    <w:rsid w:val="00827F96"/>
    <w:rsid w:val="00830309"/>
    <w:rsid w:val="00872FC8"/>
    <w:rsid w:val="00882952"/>
    <w:rsid w:val="008834D0"/>
    <w:rsid w:val="008860F2"/>
    <w:rsid w:val="00891B3B"/>
    <w:rsid w:val="008A21B3"/>
    <w:rsid w:val="008A3E4C"/>
    <w:rsid w:val="008F5765"/>
    <w:rsid w:val="0091335F"/>
    <w:rsid w:val="009164D1"/>
    <w:rsid w:val="009238B5"/>
    <w:rsid w:val="009355B3"/>
    <w:rsid w:val="0097304C"/>
    <w:rsid w:val="0099025F"/>
    <w:rsid w:val="009A42BA"/>
    <w:rsid w:val="009C1749"/>
    <w:rsid w:val="009F76DF"/>
    <w:rsid w:val="00A01DDC"/>
    <w:rsid w:val="00A04E97"/>
    <w:rsid w:val="00A07926"/>
    <w:rsid w:val="00A1499D"/>
    <w:rsid w:val="00A374C9"/>
    <w:rsid w:val="00A421BD"/>
    <w:rsid w:val="00A632DF"/>
    <w:rsid w:val="00A869FE"/>
    <w:rsid w:val="00A97D4C"/>
    <w:rsid w:val="00AA21DB"/>
    <w:rsid w:val="00AA3ED8"/>
    <w:rsid w:val="00AA4E10"/>
    <w:rsid w:val="00AA5C18"/>
    <w:rsid w:val="00AC4F75"/>
    <w:rsid w:val="00B04A42"/>
    <w:rsid w:val="00B201B7"/>
    <w:rsid w:val="00B608A5"/>
    <w:rsid w:val="00B83B79"/>
    <w:rsid w:val="00B84181"/>
    <w:rsid w:val="00B8576D"/>
    <w:rsid w:val="00B9007D"/>
    <w:rsid w:val="00B9496B"/>
    <w:rsid w:val="00BC29DA"/>
    <w:rsid w:val="00BE08D0"/>
    <w:rsid w:val="00C007AE"/>
    <w:rsid w:val="00C03BD0"/>
    <w:rsid w:val="00C3530F"/>
    <w:rsid w:val="00C53246"/>
    <w:rsid w:val="00C74BE8"/>
    <w:rsid w:val="00C87E02"/>
    <w:rsid w:val="00CA048F"/>
    <w:rsid w:val="00CA16BC"/>
    <w:rsid w:val="00CA3E2B"/>
    <w:rsid w:val="00CB38AC"/>
    <w:rsid w:val="00CB7118"/>
    <w:rsid w:val="00D15D3B"/>
    <w:rsid w:val="00D260EF"/>
    <w:rsid w:val="00D336DB"/>
    <w:rsid w:val="00D70E6A"/>
    <w:rsid w:val="00D759EC"/>
    <w:rsid w:val="00D774E2"/>
    <w:rsid w:val="00D9704B"/>
    <w:rsid w:val="00DA1D2E"/>
    <w:rsid w:val="00DC2A67"/>
    <w:rsid w:val="00DC4C01"/>
    <w:rsid w:val="00DD5544"/>
    <w:rsid w:val="00DE67EF"/>
    <w:rsid w:val="00DF65FE"/>
    <w:rsid w:val="00E5064E"/>
    <w:rsid w:val="00E65943"/>
    <w:rsid w:val="00E7388D"/>
    <w:rsid w:val="00E772EA"/>
    <w:rsid w:val="00EA76BA"/>
    <w:rsid w:val="00EC6C0D"/>
    <w:rsid w:val="00ED51B8"/>
    <w:rsid w:val="00EF698D"/>
    <w:rsid w:val="00F062DB"/>
    <w:rsid w:val="00F413B8"/>
    <w:rsid w:val="00F4264C"/>
    <w:rsid w:val="00F42BA3"/>
    <w:rsid w:val="00F43EB2"/>
    <w:rsid w:val="00F452E0"/>
    <w:rsid w:val="00FA2930"/>
    <w:rsid w:val="00FD260C"/>
    <w:rsid w:val="00FD7BA7"/>
    <w:rsid w:val="00FE02F9"/>
    <w:rsid w:val="00FE1B57"/>
    <w:rsid w:val="00FE3E22"/>
    <w:rsid w:val="036F00B4"/>
    <w:rsid w:val="0A2D6C03"/>
    <w:rsid w:val="16F26A3A"/>
    <w:rsid w:val="1D5500B7"/>
    <w:rsid w:val="1FCE5E87"/>
    <w:rsid w:val="228820FE"/>
    <w:rsid w:val="3F6D128B"/>
    <w:rsid w:val="46AB7015"/>
    <w:rsid w:val="4AF27EB3"/>
    <w:rsid w:val="529B3AEB"/>
    <w:rsid w:val="537100E8"/>
    <w:rsid w:val="67E14895"/>
    <w:rsid w:val="69FD16FB"/>
    <w:rsid w:val="79303A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beforeLines="0" w:beforeAutospacing="0" w:after="260" w:afterLines="0" w:afterAutospacing="0" w:line="413" w:lineRule="auto"/>
      <w:outlineLvl w:val="1"/>
    </w:pPr>
    <w:rPr>
      <w:rFonts w:ascii="Arial" w:hAnsi="Arial" w:eastAsia="黑体"/>
      <w:sz w:val="32"/>
    </w:rPr>
  </w:style>
  <w:style w:type="character" w:default="1" w:styleId="7">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3">
    <w:name w:val="Balloon Text"/>
    <w:basedOn w:val="1"/>
    <w:link w:val="13"/>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9">
    <w:name w:val="List Paragraph"/>
    <w:basedOn w:val="1"/>
    <w:qFormat/>
    <w:uiPriority w:val="34"/>
    <w:pPr>
      <w:ind w:firstLine="420" w:firstLineChars="200"/>
    </w:pPr>
  </w:style>
  <w:style w:type="character" w:customStyle="1" w:styleId="10">
    <w:name w:val="页眉 Char"/>
    <w:basedOn w:val="7"/>
    <w:link w:val="5"/>
    <w:qFormat/>
    <w:uiPriority w:val="99"/>
    <w:rPr>
      <w:sz w:val="18"/>
      <w:szCs w:val="18"/>
    </w:rPr>
  </w:style>
  <w:style w:type="character" w:customStyle="1" w:styleId="11">
    <w:name w:val="页脚 Char"/>
    <w:basedOn w:val="7"/>
    <w:link w:val="4"/>
    <w:qFormat/>
    <w:uiPriority w:val="99"/>
    <w:rPr>
      <w:sz w:val="18"/>
      <w:szCs w:val="18"/>
    </w:rPr>
  </w:style>
  <w:style w:type="paragraph" w:customStyle="1" w:styleId="12">
    <w:name w:val="p0"/>
    <w:basedOn w:val="1"/>
    <w:qFormat/>
    <w:uiPriority w:val="0"/>
    <w:pPr>
      <w:widowControl/>
    </w:pPr>
    <w:rPr>
      <w:rFonts w:ascii="Times New Roman" w:hAnsi="Times New Roman" w:eastAsia="宋体" w:cs="Times New Roman"/>
      <w:kern w:val="0"/>
      <w:szCs w:val="21"/>
    </w:rPr>
  </w:style>
  <w:style w:type="character" w:customStyle="1" w:styleId="13">
    <w:name w:val="批注框文本 Char"/>
    <w:basedOn w:val="7"/>
    <w:link w:val="3"/>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1908</Words>
  <Characters>2020</Characters>
  <Lines>14</Lines>
  <Paragraphs>4</Paragraphs>
  <TotalTime>0</TotalTime>
  <ScaleCrop>false</ScaleCrop>
  <LinksUpToDate>false</LinksUpToDate>
  <CharactersWithSpaces>2066</CharactersWithSpaces>
  <Application>WPS Office_10.1.0.7668_F1E327BC-269C-435d-A152-05C5408002CA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2017-04-10T01:58:00Z</dcterms:created>
  <dc:creator>dell</dc:creator>
  <cp:lastModifiedBy>Admin</cp:lastModifiedBy>
  <dcterms:modified xsi:type="dcterms:W3CDTF">2022-08-02T02:39:35Z</dcterms:modified>
  <cp:revision>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2052-10.1.0.7668</vt:lpwstr>
  </property>
  <property fmtid="{D5CDD505-2E9C-101B-9397-08002B2CF9AE}" pid="3" name="ICV">
    <vt:lpwstr>89C27FC8DAB34670AE25E8D0F406926E</vt:lpwstr>
  </property>
</Properties>
</file>