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20" w:lineRule="exact"/>
        <w:jc w:val="center"/>
        <w:textAlignment w:val="auto"/>
        <w:rPr>
          <w:rFonts w:ascii="黑体" w:hAnsi="黑体" w:eastAsia="黑体" w:cs="Times New Roman"/>
          <w:color w:val="auto"/>
          <w:sz w:val="44"/>
          <w:szCs w:val="44"/>
        </w:rPr>
      </w:pPr>
      <w:bookmarkStart w:id="0" w:name="_GoBack"/>
      <w:r>
        <w:rPr>
          <w:rFonts w:hint="eastAsia" w:ascii="黑体" w:hAnsi="黑体" w:eastAsia="黑体" w:cs="Times New Roman"/>
          <w:color w:val="auto"/>
          <w:sz w:val="44"/>
          <w:szCs w:val="44"/>
        </w:rPr>
        <w:t>租赁本市自住住房提取住房公积金</w:t>
      </w:r>
    </w:p>
    <w:p>
      <w:pPr>
        <w:keepNext w:val="0"/>
        <w:keepLines w:val="0"/>
        <w:pageBreakBefore w:val="0"/>
        <w:widowControl w:val="0"/>
        <w:kinsoku/>
        <w:wordWrap/>
        <w:overflowPunct/>
        <w:topLinePunct w:val="0"/>
        <w:autoSpaceDE/>
        <w:autoSpaceDN/>
        <w:bidi w:val="0"/>
        <w:spacing w:line="520" w:lineRule="exact"/>
        <w:jc w:val="center"/>
        <w:textAlignment w:val="auto"/>
        <w:rPr>
          <w:rFonts w:ascii="黑体" w:hAnsi="黑体" w:eastAsia="黑体" w:cs="Times New Roman"/>
          <w:color w:val="auto"/>
          <w:sz w:val="44"/>
          <w:szCs w:val="44"/>
        </w:rPr>
      </w:pPr>
      <w:r>
        <w:rPr>
          <w:rFonts w:hint="eastAsia" w:ascii="黑体" w:hAnsi="黑体" w:eastAsia="黑体" w:cs="Times New Roman"/>
          <w:color w:val="auto"/>
          <w:sz w:val="44"/>
          <w:szCs w:val="44"/>
        </w:rPr>
        <w:t>办理服务指南</w:t>
      </w:r>
    </w:p>
    <w:p>
      <w:pPr>
        <w:pStyle w:val="2"/>
        <w:keepNext/>
        <w:keepLines/>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_GB2312" w:hAnsi="黑体" w:eastAsia="仿宋_GB2312" w:cs="Times New Roman"/>
          <w:color w:val="auto"/>
          <w:sz w:val="32"/>
          <w:szCs w:val="32"/>
          <w:lang w:val="en-US" w:eastAsia="zh-CN"/>
        </w:rPr>
      </w:pPr>
      <w:r>
        <w:rPr>
          <w:rFonts w:hint="eastAsia" w:ascii="仿宋_GB2312" w:hAnsi="黑体" w:eastAsia="仿宋_GB2312" w:cs="Times New Roman"/>
          <w:color w:val="auto"/>
          <w:sz w:val="32"/>
          <w:szCs w:val="32"/>
          <w:lang w:val="en-US" w:eastAsia="zh-CN"/>
        </w:rPr>
        <w:t>更新日期：2022年7月28日</w:t>
      </w:r>
    </w:p>
    <w:p>
      <w:pPr>
        <w:pStyle w:val="9"/>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事项名称</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租赁本市自住住房提取住房</w:t>
      </w:r>
      <w:r>
        <w:rPr>
          <w:rFonts w:hint="eastAsia" w:ascii="仿宋_GB2312" w:hAnsi="黑体" w:eastAsia="仿宋_GB2312" w:cs="Times New Roman"/>
          <w:color w:val="auto"/>
          <w:sz w:val="32"/>
          <w:szCs w:val="32"/>
        </w:rPr>
        <w:t>公积金</w:t>
      </w:r>
    </w:p>
    <w:p>
      <w:pPr>
        <w:pStyle w:val="9"/>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办理依据</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（一）《住房公积金管理条例》（1999年4月3日国务院令第262号发布 根据2002年3月24日《国务院关于修改&lt;住房公积金管理条例&gt;的决定》和2019年3月24日《国务院关于修改部分行政法规的决定》修订）；</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（二）《住房城乡建设部 财政部 人民银行关于放宽提取住房公积金支付房租条件的通知》（建金〔2015〕19号）；</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（三）《住房公积金提取业务标准》（GB/T5 1353-2019）；</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（四）《青岛市住房公积金提取管理办法》（</w:t>
      </w:r>
      <w:r>
        <w:rPr>
          <w:rFonts w:hint="eastAsia" w:ascii="仿宋_GB2312" w:hAnsi="宋体" w:eastAsia="仿宋_GB2312"/>
          <w:color w:val="auto"/>
          <w:sz w:val="32"/>
          <w:szCs w:val="32"/>
        </w:rPr>
        <w:t>青住金规〔201</w:t>
      </w:r>
      <w:r>
        <w:rPr>
          <w:rFonts w:ascii="仿宋_GB2312" w:hAnsi="宋体" w:eastAsia="仿宋_GB2312"/>
          <w:color w:val="auto"/>
          <w:sz w:val="32"/>
          <w:szCs w:val="32"/>
        </w:rPr>
        <w:t>9</w:t>
      </w:r>
      <w:r>
        <w:rPr>
          <w:rFonts w:hint="eastAsia" w:ascii="仿宋_GB2312" w:hAnsi="宋体" w:eastAsia="仿宋_GB2312"/>
          <w:color w:val="auto"/>
          <w:sz w:val="32"/>
          <w:szCs w:val="32"/>
        </w:rPr>
        <w:t>〕4号</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800" w:firstLineChars="25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三、受理单位及办理地点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市南管理处  </w:t>
      </w:r>
      <w:r>
        <w:rPr>
          <w:rFonts w:ascii="仿宋_GB2312" w:hAnsi="黑体" w:eastAsia="仿宋_GB2312" w:cs="Times New Roman"/>
          <w:color w:val="auto"/>
          <w:sz w:val="32"/>
          <w:szCs w:val="32"/>
        </w:rPr>
        <w:t>地址：</w:t>
      </w:r>
      <w:r>
        <w:rPr>
          <w:rFonts w:hint="eastAsia" w:ascii="仿宋_GB2312" w:hAnsi="黑体" w:eastAsia="仿宋_GB2312" w:cs="Times New Roman"/>
          <w:color w:val="auto"/>
          <w:sz w:val="32"/>
          <w:szCs w:val="32"/>
        </w:rPr>
        <w:t>青岛市民中心（市南区福州南路17，27号）2楼南侧大厅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市北管理处  地址：市北区敦化路328号诺德广场A座5楼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李沧管理处  地址：李沧区京口路47号百通大厦7楼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崂山管理处  地址：</w:t>
      </w:r>
      <w:r>
        <w:rPr>
          <w:rFonts w:hint="eastAsia" w:ascii="仿宋_GB2312" w:hAnsi="黑体" w:eastAsia="仿宋_GB2312" w:cs="Times New Roman"/>
          <w:color w:val="auto"/>
          <w:w w:val="90"/>
          <w:sz w:val="32"/>
          <w:szCs w:val="32"/>
        </w:rPr>
        <w:t>崂山区海尔路182-8号半岛国际大厦5楼</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城阳管理处  地址：城阳区正阳路205号B座6楼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黄岛管理处第一营业大厅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2400" w:firstLineChars="7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地址：黄岛区长江东路313号悦海大厦</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黄岛管理处第二营业大厅 </w:t>
      </w:r>
    </w:p>
    <w:p>
      <w:pPr>
        <w:keepNext w:val="0"/>
        <w:keepLines w:val="0"/>
        <w:pageBreakBefore w:val="0"/>
        <w:widowControl w:val="0"/>
        <w:kinsoku/>
        <w:wordWrap/>
        <w:overflowPunct/>
        <w:topLinePunct w:val="0"/>
        <w:autoSpaceDE/>
        <w:autoSpaceDN/>
        <w:bidi w:val="0"/>
        <w:adjustRightInd w:val="0"/>
        <w:snapToGrid w:val="0"/>
        <w:spacing w:line="520" w:lineRule="exact"/>
        <w:ind w:firstLine="2560" w:firstLineChars="8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地址：</w:t>
      </w:r>
      <w:r>
        <w:rPr>
          <w:rFonts w:ascii="仿宋_GB2312" w:hAnsi="黑体" w:eastAsia="仿宋_GB2312" w:cs="Times New Roman"/>
          <w:color w:val="auto"/>
          <w:sz w:val="32"/>
          <w:szCs w:val="32"/>
        </w:rPr>
        <w:t>黄岛区</w:t>
      </w:r>
      <w:r>
        <w:rPr>
          <w:rFonts w:hint="eastAsia" w:ascii="仿宋_GB2312" w:hAnsi="黑体" w:eastAsia="仿宋_GB2312" w:cs="Times New Roman"/>
          <w:color w:val="auto"/>
          <w:sz w:val="32"/>
          <w:szCs w:val="32"/>
        </w:rPr>
        <w:t>双珠</w:t>
      </w:r>
      <w:r>
        <w:rPr>
          <w:rFonts w:ascii="仿宋_GB2312" w:hAnsi="黑体" w:eastAsia="仿宋_GB2312" w:cs="Times New Roman"/>
          <w:color w:val="auto"/>
          <w:sz w:val="32"/>
          <w:szCs w:val="32"/>
        </w:rPr>
        <w:t>路</w:t>
      </w:r>
      <w:r>
        <w:rPr>
          <w:rFonts w:hint="eastAsia" w:ascii="仿宋_GB2312" w:hAnsi="黑体" w:eastAsia="仿宋_GB2312" w:cs="Times New Roman"/>
          <w:color w:val="auto"/>
          <w:sz w:val="32"/>
          <w:szCs w:val="32"/>
        </w:rPr>
        <w:t>399</w:t>
      </w:r>
      <w:r>
        <w:rPr>
          <w:rFonts w:ascii="仿宋_GB2312" w:hAnsi="黑体" w:eastAsia="仿宋_GB2312" w:cs="Times New Roman"/>
          <w:color w:val="auto"/>
          <w:sz w:val="32"/>
          <w:szCs w:val="32"/>
        </w:rPr>
        <w:t>号光大商务中心3楼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即墨管理处  地址：</w:t>
      </w:r>
      <w:r>
        <w:rPr>
          <w:rFonts w:ascii="仿宋_GB2312" w:hAnsi="黑体" w:eastAsia="仿宋_GB2312" w:cs="Times New Roman"/>
          <w:color w:val="auto"/>
          <w:sz w:val="32"/>
          <w:szCs w:val="32"/>
        </w:rPr>
        <w:t>即墨</w:t>
      </w:r>
      <w:r>
        <w:rPr>
          <w:rFonts w:hint="eastAsia" w:ascii="仿宋_GB2312" w:hAnsi="黑体" w:eastAsia="仿宋_GB2312" w:cs="Times New Roman"/>
          <w:color w:val="auto"/>
          <w:sz w:val="32"/>
          <w:szCs w:val="32"/>
        </w:rPr>
        <w:t>区</w:t>
      </w:r>
      <w:r>
        <w:rPr>
          <w:rFonts w:ascii="仿宋_GB2312" w:hAnsi="黑体" w:eastAsia="仿宋_GB2312" w:cs="Times New Roman"/>
          <w:color w:val="auto"/>
          <w:sz w:val="32"/>
          <w:szCs w:val="32"/>
        </w:rPr>
        <w:t>蓝鳌路788号德馨大厦</w:t>
      </w:r>
      <w:r>
        <w:rPr>
          <w:rFonts w:hint="eastAsia" w:ascii="仿宋_GB2312" w:hAnsi="黑体" w:eastAsia="仿宋_GB2312" w:cs="Times New Roman"/>
          <w:color w:val="auto"/>
          <w:sz w:val="32"/>
          <w:szCs w:val="32"/>
        </w:rPr>
        <w:t>3</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w w:val="85"/>
          <w:sz w:val="32"/>
          <w:szCs w:val="32"/>
        </w:rPr>
      </w:pPr>
      <w:r>
        <w:rPr>
          <w:rFonts w:hint="eastAsia" w:ascii="仿宋_GB2312" w:hAnsi="黑体" w:eastAsia="仿宋_GB2312" w:cs="Times New Roman"/>
          <w:color w:val="auto"/>
          <w:sz w:val="32"/>
          <w:szCs w:val="32"/>
        </w:rPr>
        <w:t>胶州管理处  地址：</w:t>
      </w:r>
      <w:r>
        <w:rPr>
          <w:rFonts w:hint="eastAsia" w:ascii="仿宋_GB2312" w:hAnsi="黑体" w:eastAsia="仿宋_GB2312" w:cs="Times New Roman"/>
          <w:color w:val="auto"/>
          <w:w w:val="85"/>
          <w:sz w:val="32"/>
          <w:szCs w:val="32"/>
        </w:rPr>
        <w:t>胶州市澳门路333号天泰金融广场4号楼10楼</w:t>
      </w:r>
    </w:p>
    <w:p>
      <w:pPr>
        <w:keepNext w:val="0"/>
        <w:keepLines w:val="0"/>
        <w:pageBreakBefore w:val="0"/>
        <w:widowControl w:val="0"/>
        <w:kinsoku/>
        <w:wordWrap/>
        <w:overflowPunct/>
        <w:topLinePunct w:val="0"/>
        <w:autoSpaceDE/>
        <w:autoSpaceDN/>
        <w:bidi w:val="0"/>
        <w:adjustRightInd w:val="0"/>
        <w:snapToGrid w:val="0"/>
        <w:spacing w:line="520" w:lineRule="exact"/>
        <w:ind w:left="3038" w:leftChars="304" w:hanging="2400" w:hangingChars="7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平度管理处  地址：</w:t>
      </w:r>
      <w:r>
        <w:rPr>
          <w:rFonts w:ascii="仿宋_GB2312" w:hAnsi="黑体" w:eastAsia="仿宋_GB2312" w:cs="Times New Roman"/>
          <w:color w:val="auto"/>
          <w:sz w:val="32"/>
          <w:szCs w:val="32"/>
        </w:rPr>
        <w:t>平度市红旗路23号鼎峰大厦6楼</w:t>
      </w:r>
    </w:p>
    <w:p>
      <w:pPr>
        <w:pStyle w:val="2"/>
        <w:keepNext/>
        <w:keepLines/>
        <w:pageBreakBefore w:val="0"/>
        <w:widowControl w:val="0"/>
        <w:kinsoku/>
        <w:wordWrap/>
        <w:overflowPunct/>
        <w:topLinePunct w:val="0"/>
        <w:autoSpaceDE/>
        <w:autoSpaceDN/>
        <w:bidi w:val="0"/>
        <w:adjustRightInd w:val="0"/>
        <w:snapToGrid w:val="0"/>
        <w:spacing w:before="0" w:after="0" w:line="560" w:lineRule="exact"/>
        <w:ind w:firstLine="640" w:firstLineChars="200"/>
        <w:textAlignment w:val="auto"/>
        <w:rPr>
          <w:color w:val="auto"/>
        </w:rPr>
      </w:pPr>
      <w:r>
        <w:rPr>
          <w:rFonts w:hint="eastAsia" w:ascii="仿宋_GB2312" w:hAnsi="黑体" w:eastAsia="仿宋_GB2312" w:cs="Times New Roman"/>
          <w:color w:val="auto"/>
          <w:sz w:val="32"/>
          <w:szCs w:val="32"/>
        </w:rPr>
        <w:t>莱西管理处  地址：</w:t>
      </w:r>
      <w:r>
        <w:rPr>
          <w:rFonts w:ascii="仿宋_GB2312" w:hAnsi="黑体" w:eastAsia="仿宋_GB2312" w:cs="Times New Roman"/>
          <w:color w:val="auto"/>
          <w:sz w:val="32"/>
          <w:szCs w:val="32"/>
        </w:rPr>
        <w:t>莱西市长岛路</w:t>
      </w:r>
      <w:r>
        <w:rPr>
          <w:rFonts w:ascii="仿宋_GB2312" w:hAnsi="黑体" w:eastAsia="仿宋_GB2312" w:cs="Times New Roman"/>
          <w:color w:val="auto"/>
          <w:sz w:val="32"/>
          <w:szCs w:val="32"/>
        </w:rPr>
        <w:t>1</w:t>
      </w:r>
      <w:r>
        <w:rPr>
          <w:rFonts w:hint="eastAsia" w:ascii="仿宋_GB2312" w:hAnsi="黑体" w:eastAsia="仿宋_GB2312" w:cs="Times New Roman"/>
          <w:color w:val="auto"/>
          <w:sz w:val="32"/>
          <w:szCs w:val="32"/>
          <w:lang w:val="en-US" w:eastAsia="zh-CN"/>
        </w:rPr>
        <w:t>48</w:t>
      </w:r>
      <w:r>
        <w:rPr>
          <w:rFonts w:ascii="仿宋_GB2312" w:hAnsi="黑体" w:eastAsia="仿宋_GB2312" w:cs="Times New Roman"/>
          <w:color w:val="auto"/>
          <w:sz w:val="32"/>
          <w:szCs w:val="32"/>
        </w:rPr>
        <w:t>号</w:t>
      </w:r>
      <w:r>
        <w:rPr>
          <w:rFonts w:hint="eastAsia" w:ascii="仿宋_GB2312" w:hAnsi="黑体" w:eastAsia="仿宋_GB2312" w:cs="Times New Roman"/>
          <w:color w:val="auto"/>
          <w:sz w:val="32"/>
          <w:szCs w:val="32"/>
          <w:lang w:val="en-US" w:eastAsia="zh-CN"/>
        </w:rPr>
        <w:t>市政务服务中心A座5</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四、办理条件</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（一）提取</w:t>
      </w:r>
      <w:r>
        <w:rPr>
          <w:rFonts w:hint="eastAsia" w:ascii="仿宋_GB2312" w:eastAsia="仿宋_GB2312"/>
          <w:color w:val="auto"/>
          <w:sz w:val="32"/>
          <w:szCs w:val="32"/>
          <w:lang w:val="en-US" w:eastAsia="zh-CN"/>
        </w:rPr>
        <w:t>条件</w:t>
      </w:r>
      <w:r>
        <w:rPr>
          <w:rFonts w:hint="eastAsia" w:ascii="仿宋_GB2312" w:eastAsia="仿宋_GB2312"/>
          <w:color w:val="auto"/>
          <w:sz w:val="32"/>
          <w:szCs w:val="32"/>
        </w:rPr>
        <w:t>：职工连续足额缴存住房公积金满3个月，本人及配偶在我市行政区域内无自有产权住房且租赁</w:t>
      </w:r>
      <w:r>
        <w:rPr>
          <w:rFonts w:hint="eastAsia" w:ascii="仿宋_GB2312" w:eastAsia="仿宋_GB2312"/>
          <w:color w:val="auto"/>
          <w:sz w:val="32"/>
          <w:szCs w:val="32"/>
          <w:lang w:val="en-US" w:eastAsia="zh-CN"/>
        </w:rPr>
        <w:t>本市</w:t>
      </w:r>
      <w:r>
        <w:rPr>
          <w:rFonts w:hint="eastAsia" w:ascii="仿宋_GB2312" w:eastAsia="仿宋_GB2312"/>
          <w:color w:val="auto"/>
          <w:sz w:val="32"/>
          <w:szCs w:val="32"/>
        </w:rPr>
        <w:t>住房的，夫妻双方可分别提取各自的住房公积金支付房租。</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二）提取时间间隔：职工租赁住房申请提取住房公积金的，每人每年只能申请提取一次住房公积金支付租金，两次提取时间间隔不少于十二个月。职工和配偶承租多套住房的，只能就一套租赁住房申请提取住房公积金。在同一承租期内，多人承租同一套住房的提取金额不得高于上述标准。</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三</w:t>
      </w:r>
      <w:r>
        <w:rPr>
          <w:rFonts w:hint="eastAsia" w:ascii="仿宋_GB2312" w:eastAsia="仿宋_GB2312"/>
          <w:color w:val="auto"/>
          <w:sz w:val="32"/>
          <w:szCs w:val="32"/>
          <w:lang w:eastAsia="zh-CN"/>
        </w:rPr>
        <w:t>）</w:t>
      </w:r>
      <w:r>
        <w:rPr>
          <w:rFonts w:hint="eastAsia" w:ascii="仿宋_GB2312" w:eastAsia="仿宋_GB2312"/>
          <w:color w:val="auto"/>
          <w:sz w:val="32"/>
          <w:szCs w:val="32"/>
        </w:rPr>
        <w:t>提取额度</w:t>
      </w:r>
      <w:r>
        <w:rPr>
          <w:rFonts w:hint="eastAsia" w:ascii="仿宋_GB2312" w:eastAsia="仿宋_GB2312"/>
          <w:color w:val="auto"/>
          <w:sz w:val="32"/>
          <w:szCs w:val="32"/>
          <w:lang w:eastAsia="zh-CN"/>
        </w:rPr>
        <w:t>：</w:t>
      </w:r>
      <w:r>
        <w:rPr>
          <w:rFonts w:hint="eastAsia" w:ascii="仿宋_GB2312" w:eastAsia="仿宋_GB2312"/>
          <w:color w:val="auto"/>
          <w:sz w:val="32"/>
          <w:szCs w:val="32"/>
        </w:rPr>
        <w:t>职工未提供房屋租赁备案凭证的，每人每年提取金额不超过8400元。职工提供房屋租赁备案凭证的，提取金额不超过实际房租支出，且职工及配偶每月最高可提取额度不超过2500元。</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五、申请材料</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宋体" w:eastAsia="仿宋_GB2312" w:cs="Times New Roman"/>
          <w:color w:val="auto"/>
          <w:sz w:val="32"/>
          <w:szCs w:val="32"/>
        </w:rPr>
      </w:pPr>
      <w:r>
        <w:rPr>
          <w:rFonts w:hint="eastAsia" w:ascii="仿宋_GB2312" w:hAnsi="宋体" w:eastAsia="仿宋_GB2312" w:cs="Times New Roman"/>
          <w:color w:val="auto"/>
          <w:sz w:val="32"/>
          <w:szCs w:val="32"/>
          <w:lang w:val="en-US" w:eastAsia="zh-CN"/>
        </w:rPr>
        <w:t>提示：支持电子证照。</w:t>
      </w:r>
      <w:r>
        <w:rPr>
          <w:rFonts w:hint="eastAsia" w:ascii="仿宋_GB2312" w:hAnsi="宋体" w:eastAsia="仿宋_GB2312" w:cs="Times New Roman"/>
          <w:color w:val="auto"/>
          <w:sz w:val="32"/>
          <w:szCs w:val="32"/>
        </w:rPr>
        <w:t>电子身份证、电子营业执照、不动产权证书、不动产登记证明、结婚证、离婚证</w:t>
      </w:r>
      <w:r>
        <w:rPr>
          <w:rFonts w:hint="eastAsia" w:ascii="仿宋_GB2312" w:hAnsi="宋体" w:eastAsia="仿宋_GB2312" w:cs="Times New Roman"/>
          <w:color w:val="auto"/>
          <w:sz w:val="32"/>
          <w:szCs w:val="32"/>
          <w:lang w:val="en-US" w:eastAsia="zh-CN"/>
        </w:rPr>
        <w:t>等</w:t>
      </w:r>
      <w:r>
        <w:rPr>
          <w:rFonts w:hint="eastAsia" w:ascii="仿宋_GB2312" w:hAnsi="宋体" w:eastAsia="仿宋_GB2312" w:cs="Times New Roman"/>
          <w:color w:val="auto"/>
          <w:sz w:val="32"/>
          <w:szCs w:val="32"/>
        </w:rPr>
        <w:t>，可通过“爱山东”APP申领并出示电子证照，办理业务及咨询。</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sz w:val="32"/>
          <w:szCs w:val="32"/>
        </w:rPr>
        <w:t>（一）</w:t>
      </w:r>
      <w:r>
        <w:rPr>
          <w:rFonts w:hint="eastAsia" w:ascii="仿宋_GB2312" w:hAnsi="黑体" w:eastAsia="仿宋_GB2312" w:cs="Times New Roman"/>
          <w:color w:val="auto"/>
          <w:kern w:val="0"/>
          <w:sz w:val="32"/>
          <w:szCs w:val="32"/>
        </w:rPr>
        <w:t>《青岛市住房公积金提取承诺书（授权书）》；</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（二）身份证明材料原件：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1.</w:t>
      </w:r>
      <w:r>
        <w:rPr>
          <w:rFonts w:hint="eastAsia" w:ascii="仿宋_GB2312" w:hAnsi="黑体" w:eastAsia="仿宋_GB2312" w:cs="Times New Roman"/>
          <w:color w:val="auto"/>
          <w:kern w:val="0"/>
          <w:sz w:val="32"/>
          <w:szCs w:val="32"/>
        </w:rPr>
        <w:t xml:space="preserve"> 本人办理的提供身份证；</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sz w:val="32"/>
          <w:szCs w:val="32"/>
        </w:rPr>
        <w:t xml:space="preserve">2. </w:t>
      </w:r>
      <w:r>
        <w:rPr>
          <w:rFonts w:hint="eastAsia" w:ascii="仿宋_GB2312" w:hAnsi="黑体" w:eastAsia="仿宋_GB2312" w:cs="Times New Roman"/>
          <w:color w:val="auto"/>
          <w:kern w:val="0"/>
          <w:sz w:val="32"/>
          <w:szCs w:val="32"/>
        </w:rPr>
        <w:t>委托他人办理的，除需提供职工身份证外，职工本人应在相关事项予以签字确认：</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（1）委托已在市住房公积金管理中心登记备案的单位经办人办理的，单位经办人应提供身份证原件；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（2）委托本人直系亲属办理的，代办人应提供关系凭证原件及代办人身份证原件；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（3）委托其他人办理的，被委托人应出具经公证的委托书原件及身份证原件。</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ascii="仿宋_GB2312" w:hAnsi="仿宋" w:eastAsia="仿宋_GB2312" w:cs="仿宋_GB2312"/>
          <w:color w:val="auto"/>
          <w:sz w:val="32"/>
          <w:szCs w:val="32"/>
        </w:rPr>
      </w:pPr>
      <w:r>
        <w:rPr>
          <w:rFonts w:hint="eastAsia" w:ascii="仿宋_GB2312" w:hAnsi="黑体" w:eastAsia="仿宋_GB2312" w:cs="Times New Roman"/>
          <w:color w:val="auto"/>
          <w:sz w:val="32"/>
          <w:szCs w:val="32"/>
        </w:rPr>
        <w:t>（三）</w:t>
      </w:r>
      <w:r>
        <w:rPr>
          <w:rFonts w:hint="eastAsia" w:ascii="仿宋_GB2312" w:hAnsi="仿宋" w:eastAsia="仿宋_GB2312" w:cs="仿宋_GB2312"/>
          <w:color w:val="auto"/>
          <w:sz w:val="32"/>
          <w:szCs w:val="32"/>
        </w:rPr>
        <w:t>职工的配偶提取住房公积金账户内的存储余额时，应提供婚姻关系凭证原件;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（四）</w:t>
      </w:r>
      <w:r>
        <w:rPr>
          <w:rFonts w:hint="eastAsia" w:ascii="仿宋_GB2312" w:eastAsia="仿宋_GB2312"/>
          <w:color w:val="auto"/>
          <w:sz w:val="32"/>
          <w:szCs w:val="32"/>
        </w:rPr>
        <w:t>职工实际年房租支出超过</w:t>
      </w:r>
      <w:r>
        <w:rPr>
          <w:rFonts w:ascii="仿宋_GB2312" w:eastAsia="仿宋_GB2312"/>
          <w:color w:val="auto"/>
          <w:sz w:val="32"/>
          <w:szCs w:val="32"/>
        </w:rPr>
        <w:t>8400</w:t>
      </w:r>
      <w:r>
        <w:rPr>
          <w:rFonts w:hint="eastAsia" w:ascii="仿宋_GB2312" w:eastAsia="仿宋_GB2312"/>
          <w:color w:val="auto"/>
          <w:sz w:val="32"/>
          <w:szCs w:val="32"/>
        </w:rPr>
        <w:t>元的，提供</w:t>
      </w:r>
      <w:r>
        <w:rPr>
          <w:rFonts w:hint="eastAsia" w:ascii="仿宋_GB2312" w:eastAsia="仿宋_GB2312" w:cs="宋体"/>
          <w:color w:val="auto"/>
          <w:kern w:val="0"/>
          <w:sz w:val="32"/>
          <w:szCs w:val="32"/>
        </w:rPr>
        <w:t>房产管理部门出具的房屋租赁备案证明原件、房租发票原件的，可按实际房租支出提取，职工及配偶每月合计最高可提取额度不得超过2500元。</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六、基本流程</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eastAsia="仿宋_GB2312"/>
          <w:color w:val="auto"/>
          <w:sz w:val="32"/>
          <w:szCs w:val="32"/>
        </w:rPr>
      </w:pPr>
      <w:r>
        <w:rPr>
          <w:rFonts w:hint="eastAsia" w:ascii="仿宋_GB2312" w:eastAsia="仿宋_GB2312"/>
          <w:color w:val="auto"/>
          <w:sz w:val="32"/>
          <w:szCs w:val="32"/>
        </w:rPr>
        <w:t>（一）柜台办理：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1.职工提取住房公积金，职工本人或委托他人持相关证明材料到公积金中心任一管理处申请办理。对符合提取条件的公积金中心当即办结，对申请人提供的相关资料需要调查核实的，公积金中心自受理申请之日起 3 个工作日内做出准予或者不准予提取的决定，并通知申请人。因向房屋管理、民政、税务等有关部门调查核实职工行为和申请材料真实性所需的时间不计算在上述3个工作日内。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2.经审核符合提取条件的，公积金中心将提取金额划转至提取申请人与公积金中心约定的提取结算账户，其中提取结算账户包括：职工住房公积金联名卡、I类借记卡。其中I类借记卡仅限于：建设银行、工商银行、农业银行、中国银行、交通银行、光大银行、青岛银行</w:t>
      </w:r>
      <w:r>
        <w:rPr>
          <w:rFonts w:hint="eastAsia" w:ascii="仿宋_GB2312" w:hAnsi="仿宋" w:eastAsia="仿宋_GB2312"/>
          <w:color w:val="auto"/>
          <w:sz w:val="32"/>
          <w:szCs w:val="32"/>
        </w:rPr>
        <w:t>、青岛农商银行、恒丰银行、招商银行</w:t>
      </w:r>
      <w:r>
        <w:rPr>
          <w:rFonts w:hint="eastAsia" w:ascii="仿宋_GB2312" w:hAnsi="仿宋" w:eastAsia="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备注:提取结算账户为职工I类借记卡的,需职工本人通过柜台或住房公积金网上营业厅（个人专业版）自行绑定，也可以委托单位经办人持</w:t>
      </w:r>
      <w:r>
        <w:rPr>
          <w:rFonts w:hint="eastAsia" w:ascii="仿宋_GB2312" w:hAnsi="黑体" w:eastAsia="仿宋_GB2312" w:cs="Times New Roman"/>
          <w:color w:val="auto"/>
          <w:sz w:val="32"/>
          <w:szCs w:val="32"/>
        </w:rPr>
        <w:t>《青岛市住房公积金个人账户信息变更申请表》（加盖单位公章）、经办人及职工本人双方身份证到柜台绑定。</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w:t>
      </w:r>
      <w:r>
        <w:rPr>
          <w:rFonts w:hint="eastAsia" w:ascii="仿宋_GB2312" w:hAnsi="黑体" w:eastAsia="仿宋_GB2312" w:cs="Times New Roman"/>
          <w:color w:val="auto"/>
          <w:sz w:val="32"/>
          <w:szCs w:val="32"/>
          <w:lang w:val="en-US" w:eastAsia="zh-CN"/>
        </w:rPr>
        <w:t>网上办理</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_GB2312" w:hAnsi="黑体" w:eastAsia="仿宋_GB2312" w:cs="Times New Roman"/>
          <w:color w:val="auto"/>
          <w:sz w:val="32"/>
          <w:szCs w:val="32"/>
          <w:lang w:eastAsia="zh-CN"/>
        </w:rPr>
      </w:pPr>
      <w:r>
        <w:rPr>
          <w:rFonts w:hint="eastAsia" w:ascii="仿宋_GB2312" w:hAnsi="黑体" w:eastAsia="仿宋_GB2312" w:cs="Times New Roman"/>
          <w:color w:val="auto"/>
          <w:sz w:val="32"/>
          <w:szCs w:val="32"/>
        </w:rPr>
        <w:t>职工未提供房屋租赁备案凭证的（租赁提取8400元/年），可通过住房公积金网上营业厅（个人专业版）</w:t>
      </w:r>
      <w:r>
        <w:rPr>
          <w:rFonts w:hint="eastAsia" w:ascii="仿宋_GB2312" w:hAnsi="黑体" w:eastAsia="仿宋_GB2312" w:cs="Times New Roman"/>
          <w:color w:val="auto"/>
          <w:sz w:val="32"/>
          <w:szCs w:val="32"/>
          <w:lang w:eastAsia="zh-CN"/>
        </w:rPr>
        <w:t>、</w:t>
      </w:r>
      <w:r>
        <w:rPr>
          <w:rFonts w:hint="eastAsia" w:ascii="仿宋_GB2312" w:hAnsi="黑体" w:eastAsia="仿宋_GB2312" w:cs="Times New Roman"/>
          <w:color w:val="auto"/>
          <w:sz w:val="32"/>
          <w:szCs w:val="32"/>
          <w:lang w:val="en-US" w:eastAsia="zh-CN"/>
        </w:rPr>
        <w:t>微信公众号、“爱山东”APP等渠道</w:t>
      </w:r>
      <w:r>
        <w:rPr>
          <w:rFonts w:hint="eastAsia" w:ascii="仿宋_GB2312" w:hAnsi="黑体" w:eastAsia="仿宋_GB2312" w:cs="Times New Roman"/>
          <w:color w:val="auto"/>
          <w:sz w:val="32"/>
          <w:szCs w:val="32"/>
        </w:rPr>
        <w:t>自助办理提取本市规定的年度提取限额。</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left"/>
        <w:textAlignment w:val="auto"/>
        <w:rPr>
          <w:rFonts w:hint="eastAsia" w:ascii="仿宋_GB2312" w:hAnsi="黑体" w:eastAsia="仿宋_GB2312" w:cs="Times New Roman"/>
          <w:color w:val="auto"/>
          <w:sz w:val="30"/>
          <w:szCs w:val="30"/>
          <w:lang w:val="en-US" w:eastAsia="zh-CN"/>
        </w:rPr>
      </w:pPr>
      <w:r>
        <w:rPr>
          <w:rFonts w:hint="eastAsia" w:ascii="仿宋_GB2312" w:hAnsi="黑体" w:eastAsia="仿宋_GB2312" w:cs="Times New Roman"/>
          <w:color w:val="auto"/>
          <w:sz w:val="30"/>
          <w:szCs w:val="30"/>
          <w:lang w:val="en-US" w:eastAsia="zh-CN"/>
        </w:rPr>
        <w:t>●注：1.职工此前曾以购房、偿贷情形提取过公积金的，需通过柜台渠道稽查办理。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left"/>
        <w:textAlignment w:val="auto"/>
        <w:rPr>
          <w:rFonts w:hint="default" w:ascii="仿宋_GB2312" w:hAnsi="黑体" w:eastAsia="仿宋_GB2312" w:cs="Times New Roman"/>
          <w:color w:val="auto"/>
          <w:sz w:val="30"/>
          <w:szCs w:val="30"/>
          <w:lang w:val="en-US" w:eastAsia="zh-CN"/>
        </w:rPr>
      </w:pPr>
      <w:r>
        <w:rPr>
          <w:rFonts w:hint="eastAsia" w:ascii="仿宋_GB2312" w:hAnsi="黑体" w:eastAsia="仿宋_GB2312" w:cs="Times New Roman"/>
          <w:color w:val="auto"/>
          <w:sz w:val="30"/>
          <w:szCs w:val="30"/>
          <w:lang w:val="en-US" w:eastAsia="zh-CN"/>
        </w:rPr>
        <w:t>2.</w:t>
      </w:r>
      <w:r>
        <w:rPr>
          <w:rFonts w:hint="eastAsia" w:ascii="仿宋_GB2312" w:hAnsi="黑体" w:eastAsia="仿宋_GB2312" w:cs="Times New Roman"/>
          <w:color w:val="auto"/>
          <w:sz w:val="30"/>
          <w:szCs w:val="30"/>
        </w:rPr>
        <w:t>职工提供房屋租赁备案凭证</w:t>
      </w:r>
      <w:r>
        <w:rPr>
          <w:rFonts w:hint="eastAsia" w:ascii="仿宋_GB2312" w:hAnsi="黑体" w:eastAsia="仿宋_GB2312" w:cs="Times New Roman"/>
          <w:color w:val="auto"/>
          <w:sz w:val="30"/>
          <w:szCs w:val="30"/>
          <w:lang w:val="en-US" w:eastAsia="zh-CN"/>
        </w:rPr>
        <w:t>提取的，需通过柜台渠道办理。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jc w:val="left"/>
        <w:textAlignment w:val="auto"/>
        <w:rPr>
          <w:rFonts w:hint="eastAsia" w:ascii="仿宋_GB2312" w:hAnsi="黑体" w:eastAsia="仿宋_GB2312" w:cs="Times New Roman"/>
          <w:color w:val="auto"/>
          <w:sz w:val="30"/>
          <w:szCs w:val="30"/>
          <w:lang w:val="en-US" w:eastAsia="zh-CN"/>
        </w:rPr>
      </w:pPr>
      <w:r>
        <w:rPr>
          <w:rFonts w:hint="eastAsia" w:ascii="仿宋_GB2312" w:hAnsi="黑体" w:eastAsia="仿宋_GB2312" w:cs="Times New Roman"/>
          <w:color w:val="auto"/>
          <w:sz w:val="30"/>
          <w:szCs w:val="30"/>
          <w:lang w:val="en-US" w:eastAsia="zh-CN"/>
        </w:rPr>
        <w:t>3.网上办理渠道仅支持单身职工或山东省内登记结婚的职工，其他职工需持材料通过柜台渠道办理。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操作流程：详情请参照青岛市住房公积金官网</w:t>
      </w:r>
      <w:r>
        <w:rPr>
          <w:rFonts w:hint="eastAsia" w:ascii="仿宋_GB2312" w:hAnsi="黑体" w:eastAsia="仿宋_GB2312" w:cs="Times New Roman"/>
          <w:color w:val="auto"/>
          <w:kern w:val="0"/>
          <w:sz w:val="32"/>
          <w:szCs w:val="32"/>
        </w:rPr>
        <w:t>（http://www.qdgjj.com）</w:t>
      </w:r>
      <w:r>
        <w:rPr>
          <w:rFonts w:hint="eastAsia" w:ascii="仿宋_GB2312" w:hAnsi="黑体" w:eastAsia="仿宋_GB2312" w:cs="Times New Roman"/>
          <w:color w:val="auto"/>
          <w:sz w:val="32"/>
          <w:szCs w:val="32"/>
        </w:rPr>
        <w:t>“便民指引--网上营业厅--个人专业版”办理。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七、收费依据及标准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不收费。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八、办理时限</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对符合提取条件的公积金中心当即办结；对申请人提供的相关资料需要调查核实的，公积金中心</w:t>
      </w:r>
      <w:r>
        <w:rPr>
          <w:rFonts w:hint="eastAsia" w:ascii="仿宋_GB2312" w:hAnsi="仿宋" w:eastAsia="仿宋_GB2312" w:cs="仿宋_GB2312"/>
          <w:color w:val="auto"/>
          <w:sz w:val="32"/>
          <w:szCs w:val="32"/>
        </w:rPr>
        <w:t>应当自受理提取申请之日起3个工作日内，根据提取审核结果作出准予提取或者不准予提取的决定，并通知职工。</w:t>
      </w:r>
      <w:r>
        <w:rPr>
          <w:rFonts w:hint="eastAsia" w:ascii="仿宋_GB2312" w:hAnsi="仿宋" w:eastAsia="仿宋_GB2312"/>
          <w:color w:val="auto"/>
          <w:sz w:val="32"/>
          <w:szCs w:val="32"/>
        </w:rPr>
        <w:t>因向房屋管理、民政、税务等有关部门调查核实职工行为和申请材料真实性所需的时间不计算在上述3个工作日内。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九、咨询方式</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（一）现场咨询：青岛市住房公积金管理中心所辖各区（市）管理处营业大厅。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（二）电话咨询：（0532</w:t>
      </w:r>
      <w:r>
        <w:rPr>
          <w:rFonts w:ascii="仿宋_GB2312" w:hAnsi="黑体" w:eastAsia="仿宋_GB2312" w:cs="Times New Roman"/>
          <w:color w:val="auto"/>
          <w:sz w:val="32"/>
          <w:szCs w:val="32"/>
        </w:rPr>
        <w:t>）</w:t>
      </w:r>
      <w:r>
        <w:rPr>
          <w:rFonts w:hint="eastAsia" w:ascii="仿宋_GB2312" w:hAnsi="黑体" w:eastAsia="仿宋_GB2312" w:cs="Times New Roman"/>
          <w:color w:val="auto"/>
          <w:sz w:val="32"/>
          <w:szCs w:val="32"/>
        </w:rPr>
        <w:t>12329（住房公积金热线）。</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（三）网站查询：http://www.qdgjj.com。</w:t>
      </w:r>
    </w:p>
    <w:p>
      <w:pPr>
        <w:keepNext w:val="0"/>
        <w:keepLines w:val="0"/>
        <w:pageBreakBefore w:val="0"/>
        <w:widowControl w:val="0"/>
        <w:kinsoku/>
        <w:wordWrap/>
        <w:overflowPunct/>
        <w:topLinePunct w:val="0"/>
        <w:autoSpaceDE/>
        <w:autoSpaceDN/>
        <w:bidi w:val="0"/>
        <w:spacing w:line="520" w:lineRule="exact"/>
        <w:textAlignment w:val="auto"/>
        <w:rPr>
          <w:rFonts w:ascii="仿宋_GB2312" w:eastAsia="仿宋_GB2312"/>
          <w:color w:val="auto"/>
          <w:sz w:val="32"/>
          <w:szCs w:val="32"/>
        </w:rPr>
      </w:pPr>
    </w:p>
    <w:bookmarkEnd w:id="0"/>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C5F82"/>
    <w:multiLevelType w:val="multilevel"/>
    <w:tmpl w:val="470C5F82"/>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ZkYWRkMzNmZmY2MjQyZjJjOTgyMDExNzcyODE2NjUifQ=="/>
  </w:docVars>
  <w:rsids>
    <w:rsidRoot w:val="00A07926"/>
    <w:rsid w:val="00001E93"/>
    <w:rsid w:val="000273F4"/>
    <w:rsid w:val="00040002"/>
    <w:rsid w:val="00040971"/>
    <w:rsid w:val="00051550"/>
    <w:rsid w:val="0005246B"/>
    <w:rsid w:val="00063C12"/>
    <w:rsid w:val="0006446B"/>
    <w:rsid w:val="00084CB4"/>
    <w:rsid w:val="000A072E"/>
    <w:rsid w:val="000B538A"/>
    <w:rsid w:val="000D3C45"/>
    <w:rsid w:val="000D43F8"/>
    <w:rsid w:val="000E20B9"/>
    <w:rsid w:val="000E3DBF"/>
    <w:rsid w:val="0010731C"/>
    <w:rsid w:val="00110AAC"/>
    <w:rsid w:val="00132451"/>
    <w:rsid w:val="00177489"/>
    <w:rsid w:val="0019785E"/>
    <w:rsid w:val="001A2620"/>
    <w:rsid w:val="001B200E"/>
    <w:rsid w:val="001E5955"/>
    <w:rsid w:val="001F184F"/>
    <w:rsid w:val="0021179A"/>
    <w:rsid w:val="00255CB1"/>
    <w:rsid w:val="00262013"/>
    <w:rsid w:val="002A0BCA"/>
    <w:rsid w:val="002A3AF6"/>
    <w:rsid w:val="002D5F31"/>
    <w:rsid w:val="002E494E"/>
    <w:rsid w:val="002F06AC"/>
    <w:rsid w:val="002F2CCB"/>
    <w:rsid w:val="002F4597"/>
    <w:rsid w:val="002F7DEB"/>
    <w:rsid w:val="003012CC"/>
    <w:rsid w:val="00311EB8"/>
    <w:rsid w:val="003148C2"/>
    <w:rsid w:val="00317637"/>
    <w:rsid w:val="00335B9B"/>
    <w:rsid w:val="00345B3B"/>
    <w:rsid w:val="003524AF"/>
    <w:rsid w:val="003605BD"/>
    <w:rsid w:val="003638F0"/>
    <w:rsid w:val="003675A5"/>
    <w:rsid w:val="00390E9C"/>
    <w:rsid w:val="003A3523"/>
    <w:rsid w:val="003B4667"/>
    <w:rsid w:val="003C2643"/>
    <w:rsid w:val="00410E0D"/>
    <w:rsid w:val="004173B3"/>
    <w:rsid w:val="00423B51"/>
    <w:rsid w:val="004544CC"/>
    <w:rsid w:val="004643B7"/>
    <w:rsid w:val="00477104"/>
    <w:rsid w:val="00477180"/>
    <w:rsid w:val="0048168F"/>
    <w:rsid w:val="00483D5A"/>
    <w:rsid w:val="004A6B91"/>
    <w:rsid w:val="004B2C7C"/>
    <w:rsid w:val="004C1B0F"/>
    <w:rsid w:val="004D11BA"/>
    <w:rsid w:val="004D4F12"/>
    <w:rsid w:val="004E0AA6"/>
    <w:rsid w:val="004E23E8"/>
    <w:rsid w:val="005075AB"/>
    <w:rsid w:val="00512B5A"/>
    <w:rsid w:val="00526524"/>
    <w:rsid w:val="00531545"/>
    <w:rsid w:val="0053533D"/>
    <w:rsid w:val="00545581"/>
    <w:rsid w:val="00561930"/>
    <w:rsid w:val="00565247"/>
    <w:rsid w:val="0059355E"/>
    <w:rsid w:val="00594915"/>
    <w:rsid w:val="005A1C70"/>
    <w:rsid w:val="005B574D"/>
    <w:rsid w:val="005D0D81"/>
    <w:rsid w:val="005E4CA7"/>
    <w:rsid w:val="00641161"/>
    <w:rsid w:val="0064197E"/>
    <w:rsid w:val="006575DE"/>
    <w:rsid w:val="006671B5"/>
    <w:rsid w:val="006725D4"/>
    <w:rsid w:val="006768A8"/>
    <w:rsid w:val="00696B90"/>
    <w:rsid w:val="006A3AB9"/>
    <w:rsid w:val="006E293A"/>
    <w:rsid w:val="006F56A8"/>
    <w:rsid w:val="00706280"/>
    <w:rsid w:val="00712A1D"/>
    <w:rsid w:val="0071481B"/>
    <w:rsid w:val="00734330"/>
    <w:rsid w:val="00744CA5"/>
    <w:rsid w:val="007451FA"/>
    <w:rsid w:val="00745279"/>
    <w:rsid w:val="0079232F"/>
    <w:rsid w:val="00795727"/>
    <w:rsid w:val="007B1A95"/>
    <w:rsid w:val="00827F44"/>
    <w:rsid w:val="00827F96"/>
    <w:rsid w:val="0085347A"/>
    <w:rsid w:val="008860F2"/>
    <w:rsid w:val="00887CB9"/>
    <w:rsid w:val="008A1034"/>
    <w:rsid w:val="008A3E4C"/>
    <w:rsid w:val="008B7A22"/>
    <w:rsid w:val="009164D1"/>
    <w:rsid w:val="00924712"/>
    <w:rsid w:val="00941D8B"/>
    <w:rsid w:val="00967FA4"/>
    <w:rsid w:val="009748AA"/>
    <w:rsid w:val="0099025F"/>
    <w:rsid w:val="009918CD"/>
    <w:rsid w:val="009919A3"/>
    <w:rsid w:val="009A42BA"/>
    <w:rsid w:val="009C17C7"/>
    <w:rsid w:val="009D7744"/>
    <w:rsid w:val="009E351C"/>
    <w:rsid w:val="00A04844"/>
    <w:rsid w:val="00A04E97"/>
    <w:rsid w:val="00A07926"/>
    <w:rsid w:val="00A1499D"/>
    <w:rsid w:val="00A421BD"/>
    <w:rsid w:val="00A4400F"/>
    <w:rsid w:val="00A50334"/>
    <w:rsid w:val="00A632DF"/>
    <w:rsid w:val="00AA21DB"/>
    <w:rsid w:val="00AA3ED8"/>
    <w:rsid w:val="00AA4E10"/>
    <w:rsid w:val="00AC1EC9"/>
    <w:rsid w:val="00AC4F75"/>
    <w:rsid w:val="00AF0340"/>
    <w:rsid w:val="00AF68E0"/>
    <w:rsid w:val="00B0114D"/>
    <w:rsid w:val="00B072A0"/>
    <w:rsid w:val="00B34100"/>
    <w:rsid w:val="00B4755B"/>
    <w:rsid w:val="00B565FF"/>
    <w:rsid w:val="00B64BA4"/>
    <w:rsid w:val="00B70186"/>
    <w:rsid w:val="00B7172E"/>
    <w:rsid w:val="00B97CA4"/>
    <w:rsid w:val="00BA0BF7"/>
    <w:rsid w:val="00BC29DA"/>
    <w:rsid w:val="00BC738A"/>
    <w:rsid w:val="00BE08D0"/>
    <w:rsid w:val="00BF4C01"/>
    <w:rsid w:val="00C007AE"/>
    <w:rsid w:val="00C03BD0"/>
    <w:rsid w:val="00C04403"/>
    <w:rsid w:val="00C17E7F"/>
    <w:rsid w:val="00C31B19"/>
    <w:rsid w:val="00C406A4"/>
    <w:rsid w:val="00C43514"/>
    <w:rsid w:val="00C53246"/>
    <w:rsid w:val="00C72EA0"/>
    <w:rsid w:val="00C74BE8"/>
    <w:rsid w:val="00C85624"/>
    <w:rsid w:val="00C87E02"/>
    <w:rsid w:val="00CA048F"/>
    <w:rsid w:val="00CA3E2B"/>
    <w:rsid w:val="00CA6D16"/>
    <w:rsid w:val="00CB38AC"/>
    <w:rsid w:val="00CB7118"/>
    <w:rsid w:val="00D0519A"/>
    <w:rsid w:val="00D31CFB"/>
    <w:rsid w:val="00D81073"/>
    <w:rsid w:val="00D90C1B"/>
    <w:rsid w:val="00D9704B"/>
    <w:rsid w:val="00DC1945"/>
    <w:rsid w:val="00DC2A67"/>
    <w:rsid w:val="00DC35EE"/>
    <w:rsid w:val="00DD18AC"/>
    <w:rsid w:val="00DD5544"/>
    <w:rsid w:val="00E07EA4"/>
    <w:rsid w:val="00E1105B"/>
    <w:rsid w:val="00E31428"/>
    <w:rsid w:val="00E65943"/>
    <w:rsid w:val="00E80D54"/>
    <w:rsid w:val="00E91BAB"/>
    <w:rsid w:val="00E923CD"/>
    <w:rsid w:val="00EA3004"/>
    <w:rsid w:val="00EA4F9F"/>
    <w:rsid w:val="00EB521F"/>
    <w:rsid w:val="00ED51B8"/>
    <w:rsid w:val="00EE322F"/>
    <w:rsid w:val="00F36732"/>
    <w:rsid w:val="00F413B8"/>
    <w:rsid w:val="00F4264C"/>
    <w:rsid w:val="00F61385"/>
    <w:rsid w:val="00F75547"/>
    <w:rsid w:val="00F863A5"/>
    <w:rsid w:val="00F8657A"/>
    <w:rsid w:val="00FA1A6D"/>
    <w:rsid w:val="00FA2930"/>
    <w:rsid w:val="00FA72A5"/>
    <w:rsid w:val="00FD7BA7"/>
    <w:rsid w:val="00FE1B57"/>
    <w:rsid w:val="043A5973"/>
    <w:rsid w:val="0448630B"/>
    <w:rsid w:val="102D07AA"/>
    <w:rsid w:val="18F93D76"/>
    <w:rsid w:val="26556857"/>
    <w:rsid w:val="2A374C8E"/>
    <w:rsid w:val="2ABC5DCC"/>
    <w:rsid w:val="31177C5F"/>
    <w:rsid w:val="336A25BD"/>
    <w:rsid w:val="49D33AC0"/>
    <w:rsid w:val="55D36862"/>
    <w:rsid w:val="5DD17A57"/>
    <w:rsid w:val="5E5B0F1A"/>
    <w:rsid w:val="6CF55136"/>
    <w:rsid w:val="76946BAA"/>
    <w:rsid w:val="76C61F14"/>
    <w:rsid w:val="76CE5021"/>
    <w:rsid w:val="78097EFC"/>
    <w:rsid w:val="7895305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beforeLines="0" w:beforeAutospacing="0" w:after="260" w:afterLines="0" w:afterAutospacing="0" w:line="413" w:lineRule="auto"/>
      <w:outlineLvl w:val="1"/>
    </w:pPr>
    <w:rPr>
      <w:rFonts w:ascii="Arial" w:hAnsi="Arial" w:eastAsia="黑体"/>
      <w:sz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List Paragraph"/>
    <w:basedOn w:val="1"/>
    <w:qFormat/>
    <w:uiPriority w:val="34"/>
    <w:pPr>
      <w:ind w:firstLine="420" w:firstLineChars="200"/>
    </w:p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2213</Words>
  <Characters>2347</Characters>
  <Lines>1</Lines>
  <Paragraphs>4</Paragraphs>
  <TotalTime>1</TotalTime>
  <ScaleCrop>false</ScaleCrop>
  <LinksUpToDate>false</LinksUpToDate>
  <CharactersWithSpaces>2375</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2017-04-10T01:58:00Z</dcterms:created>
  <dc:creator>dell</dc:creator>
  <cp:lastModifiedBy>Admin</cp:lastModifiedBy>
  <dcterms:modified xsi:type="dcterms:W3CDTF">2022-08-02T02:40:06Z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y fmtid="{D5CDD505-2E9C-101B-9397-08002B2CF9AE}" pid="3" name="ICV">
    <vt:lpwstr>3A70B39B4A9F46B5ADE5E726957F3562</vt:lpwstr>
  </property>
</Properties>
</file>