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line="520" w:lineRule="exact"/>
        <w:jc w:val="center"/>
        <w:textAlignment w:val="auto"/>
        <w:rPr>
          <w:rFonts w:ascii="黑体" w:hAnsi="黑体" w:eastAsia="黑体" w:cs="Times New Roman"/>
          <w:color w:val="auto"/>
          <w:sz w:val="44"/>
          <w:szCs w:val="44"/>
        </w:rPr>
      </w:pPr>
      <w:bookmarkStart w:id="0" w:name="_GoBack"/>
      <w:r>
        <w:rPr>
          <w:rFonts w:hint="eastAsia" w:ascii="黑体" w:hAnsi="黑体" w:eastAsia="黑体" w:cs="Times New Roman"/>
          <w:color w:val="auto"/>
          <w:sz w:val="44"/>
          <w:szCs w:val="44"/>
        </w:rPr>
        <w:t>非本市户籍职工与本市单位终止劳动关系，未在异地继续缴存住房公积金，账户封存满半年提取住房公积金办理服务指南</w:t>
      </w:r>
    </w:p>
    <w:p>
      <w:pPr>
        <w:pStyle w:val="2"/>
        <w:keepNext/>
        <w:keepLines/>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仿宋_GB2312" w:hAnsi="黑体" w:eastAsia="仿宋_GB2312" w:cs="Times New Roman"/>
          <w:color w:val="auto"/>
          <w:sz w:val="32"/>
          <w:szCs w:val="32"/>
          <w:lang w:val="en-US" w:eastAsia="zh-CN"/>
        </w:rPr>
      </w:pPr>
      <w:r>
        <w:rPr>
          <w:rFonts w:hint="eastAsia" w:ascii="仿宋_GB2312" w:hAnsi="黑体" w:eastAsia="仿宋_GB2312" w:cs="Times New Roman"/>
          <w:color w:val="auto"/>
          <w:sz w:val="32"/>
          <w:szCs w:val="32"/>
          <w:lang w:val="en-US" w:eastAsia="zh-CN"/>
        </w:rPr>
        <w:t>更新日期：2022年7月28日</w:t>
      </w:r>
    </w:p>
    <w:p>
      <w:pPr>
        <w:pStyle w:val="8"/>
        <w:keepNext w:val="0"/>
        <w:keepLines w:val="0"/>
        <w:pageBreakBefore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事项名称</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非本市户籍职工与本市单位终止劳动关系，未在异地继续缴存住房公积金，账户封存满半年提取住房公积金</w:t>
      </w:r>
    </w:p>
    <w:p>
      <w:pPr>
        <w:pStyle w:val="8"/>
        <w:keepNext w:val="0"/>
        <w:keepLines w:val="0"/>
        <w:pageBreakBefore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办理依据</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（一）《住房公积金管理条例》（1999年4月3日国务院令第262号发布 根据2002年3月24日《国务院关于修改&lt;住房公积金管理条例&gt;的决定》和2019年3月24日《国务院关于修改部分行政法规的决定》修订）；</w:t>
      </w:r>
    </w:p>
    <w:p>
      <w:pPr>
        <w:keepNext w:val="0"/>
        <w:keepLines w:val="0"/>
        <w:pageBreakBefore w:val="0"/>
        <w:kinsoku/>
        <w:wordWrap/>
        <w:overflowPunct/>
        <w:topLinePunct w:val="0"/>
        <w:autoSpaceDE/>
        <w:autoSpaceDN/>
        <w:bidi w:val="0"/>
        <w:adjustRightInd w:val="0"/>
        <w:snapToGrid w:val="0"/>
        <w:spacing w:line="520" w:lineRule="exact"/>
        <w:ind w:firstLine="480" w:firstLineChars="1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 （二）《青岛市住房公积金提取管理办法》（</w:t>
      </w:r>
      <w:r>
        <w:rPr>
          <w:rFonts w:hint="eastAsia" w:ascii="仿宋_GB2312" w:hAnsi="宋体" w:eastAsia="仿宋_GB2312"/>
          <w:color w:val="auto"/>
          <w:sz w:val="32"/>
          <w:szCs w:val="32"/>
        </w:rPr>
        <w:t>青住金规〔201</w:t>
      </w:r>
      <w:r>
        <w:rPr>
          <w:rFonts w:ascii="仿宋_GB2312" w:hAnsi="宋体" w:eastAsia="仿宋_GB2312"/>
          <w:color w:val="auto"/>
          <w:sz w:val="32"/>
          <w:szCs w:val="32"/>
        </w:rPr>
        <w:t>9</w:t>
      </w:r>
      <w:r>
        <w:rPr>
          <w:rFonts w:hint="eastAsia" w:ascii="仿宋_GB2312" w:hAnsi="宋体" w:eastAsia="仿宋_GB2312"/>
          <w:color w:val="auto"/>
          <w:sz w:val="32"/>
          <w:szCs w:val="32"/>
        </w:rPr>
        <w:t>〕4号</w:t>
      </w:r>
      <w:r>
        <w:rPr>
          <w:rFonts w:hint="eastAsia" w:ascii="仿宋_GB2312" w:hAnsi="黑体" w:eastAsia="仿宋_GB2312" w:cs="Times New Roman"/>
          <w:color w:val="auto"/>
          <w:sz w:val="32"/>
          <w:szCs w:val="32"/>
        </w:rPr>
        <w:t>）。</w:t>
      </w:r>
    </w:p>
    <w:p>
      <w:pPr>
        <w:keepNext w:val="0"/>
        <w:keepLines w:val="0"/>
        <w:pageBreakBefore w:val="0"/>
        <w:kinsoku/>
        <w:wordWrap/>
        <w:overflowPunct/>
        <w:topLinePunct w:val="0"/>
        <w:autoSpaceDE/>
        <w:autoSpaceDN/>
        <w:bidi w:val="0"/>
        <w:adjustRightInd w:val="0"/>
        <w:snapToGrid w:val="0"/>
        <w:spacing w:line="520" w:lineRule="exact"/>
        <w:ind w:firstLine="800" w:firstLineChars="25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三、受理单位及办理地点</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青岛市住房公积金管理中心所辖各区（市）管理处营业大厅</w:t>
      </w:r>
    </w:p>
    <w:p>
      <w:pPr>
        <w:keepNext w:val="0"/>
        <w:keepLines w:val="0"/>
        <w:pageBreakBefore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市南管理处  </w:t>
      </w:r>
      <w:r>
        <w:rPr>
          <w:rFonts w:ascii="仿宋_GB2312" w:hAnsi="黑体" w:eastAsia="仿宋_GB2312" w:cs="Times New Roman"/>
          <w:color w:val="auto"/>
          <w:sz w:val="32"/>
          <w:szCs w:val="32"/>
        </w:rPr>
        <w:t>地址：</w:t>
      </w:r>
      <w:r>
        <w:rPr>
          <w:rFonts w:hint="eastAsia" w:ascii="仿宋_GB2312" w:hAnsi="黑体" w:eastAsia="仿宋_GB2312" w:cs="Times New Roman"/>
          <w:color w:val="auto"/>
          <w:sz w:val="32"/>
          <w:szCs w:val="32"/>
        </w:rPr>
        <w:t>青岛市民中心（市南区福州南路17，27号）2楼南侧大厅</w:t>
      </w:r>
    </w:p>
    <w:p>
      <w:pPr>
        <w:keepNext w:val="0"/>
        <w:keepLines w:val="0"/>
        <w:pageBreakBefore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市北管理处  地址：市北区敦化路328号诺德广场A座5楼</w:t>
      </w:r>
    </w:p>
    <w:p>
      <w:pPr>
        <w:keepNext w:val="0"/>
        <w:keepLines w:val="0"/>
        <w:pageBreakBefore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李沧管理处  地址：李沧区京口路47号百通大厦7楼</w:t>
      </w:r>
    </w:p>
    <w:p>
      <w:pPr>
        <w:keepNext w:val="0"/>
        <w:keepLines w:val="0"/>
        <w:pageBreakBefore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崂山管理处  地址：</w:t>
      </w:r>
      <w:r>
        <w:rPr>
          <w:rFonts w:hint="eastAsia" w:ascii="仿宋_GB2312" w:hAnsi="黑体" w:eastAsia="仿宋_GB2312" w:cs="Times New Roman"/>
          <w:color w:val="auto"/>
          <w:w w:val="90"/>
          <w:sz w:val="32"/>
          <w:szCs w:val="32"/>
        </w:rPr>
        <w:t>崂山区海尔路182-8号半岛国际大厦5楼</w:t>
      </w:r>
      <w:r>
        <w:rPr>
          <w:rFonts w:hint="eastAsia" w:ascii="仿宋_GB2312" w:hAnsi="黑体" w:eastAsia="仿宋_GB2312" w:cs="Times New Roman"/>
          <w:color w:val="auto"/>
          <w:sz w:val="32"/>
          <w:szCs w:val="32"/>
        </w:rPr>
        <w:t xml:space="preserve">              </w:t>
      </w:r>
    </w:p>
    <w:p>
      <w:pPr>
        <w:keepNext w:val="0"/>
        <w:keepLines w:val="0"/>
        <w:pageBreakBefore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城阳管理处  地址：城阳区正阳路205号B座6楼</w:t>
      </w:r>
    </w:p>
    <w:p>
      <w:pPr>
        <w:keepNext w:val="0"/>
        <w:keepLines w:val="0"/>
        <w:pageBreakBefore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黄岛管理处第一营业大厅</w:t>
      </w:r>
    </w:p>
    <w:p>
      <w:pPr>
        <w:keepNext w:val="0"/>
        <w:keepLines w:val="0"/>
        <w:pageBreakBefore w:val="0"/>
        <w:kinsoku/>
        <w:wordWrap/>
        <w:overflowPunct/>
        <w:topLinePunct w:val="0"/>
        <w:autoSpaceDE/>
        <w:autoSpaceDN/>
        <w:bidi w:val="0"/>
        <w:adjustRightInd w:val="0"/>
        <w:snapToGrid w:val="0"/>
        <w:spacing w:line="520" w:lineRule="exact"/>
        <w:ind w:firstLine="2400" w:firstLineChars="7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 地址：黄岛区长江东路313号悦海大厦</w:t>
      </w:r>
    </w:p>
    <w:p>
      <w:pPr>
        <w:keepNext w:val="0"/>
        <w:keepLines w:val="0"/>
        <w:pageBreakBefore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黄岛管理处第二营业大厅 </w:t>
      </w:r>
    </w:p>
    <w:p>
      <w:pPr>
        <w:keepNext w:val="0"/>
        <w:keepLines w:val="0"/>
        <w:pageBreakBefore w:val="0"/>
        <w:kinsoku/>
        <w:wordWrap/>
        <w:overflowPunct/>
        <w:topLinePunct w:val="0"/>
        <w:autoSpaceDE/>
        <w:autoSpaceDN/>
        <w:bidi w:val="0"/>
        <w:adjustRightInd w:val="0"/>
        <w:snapToGrid w:val="0"/>
        <w:spacing w:line="520" w:lineRule="exact"/>
        <w:ind w:firstLine="2560" w:firstLineChars="8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地址：</w:t>
      </w:r>
      <w:r>
        <w:rPr>
          <w:rFonts w:ascii="仿宋_GB2312" w:hAnsi="黑体" w:eastAsia="仿宋_GB2312" w:cs="Times New Roman"/>
          <w:color w:val="auto"/>
          <w:sz w:val="32"/>
          <w:szCs w:val="32"/>
        </w:rPr>
        <w:t>黄岛区</w:t>
      </w:r>
      <w:r>
        <w:rPr>
          <w:rFonts w:hint="eastAsia" w:ascii="仿宋_GB2312" w:hAnsi="黑体" w:eastAsia="仿宋_GB2312" w:cs="Times New Roman"/>
          <w:color w:val="auto"/>
          <w:sz w:val="32"/>
          <w:szCs w:val="32"/>
        </w:rPr>
        <w:t>双珠</w:t>
      </w:r>
      <w:r>
        <w:rPr>
          <w:rFonts w:ascii="仿宋_GB2312" w:hAnsi="黑体" w:eastAsia="仿宋_GB2312" w:cs="Times New Roman"/>
          <w:color w:val="auto"/>
          <w:sz w:val="32"/>
          <w:szCs w:val="32"/>
        </w:rPr>
        <w:t>路</w:t>
      </w:r>
      <w:r>
        <w:rPr>
          <w:rFonts w:hint="eastAsia" w:ascii="仿宋_GB2312" w:hAnsi="黑体" w:eastAsia="仿宋_GB2312" w:cs="Times New Roman"/>
          <w:color w:val="auto"/>
          <w:sz w:val="32"/>
          <w:szCs w:val="32"/>
        </w:rPr>
        <w:t>399</w:t>
      </w:r>
      <w:r>
        <w:rPr>
          <w:rFonts w:ascii="仿宋_GB2312" w:hAnsi="黑体" w:eastAsia="仿宋_GB2312" w:cs="Times New Roman"/>
          <w:color w:val="auto"/>
          <w:sz w:val="32"/>
          <w:szCs w:val="32"/>
        </w:rPr>
        <w:t>号光大商务中心3楼</w:t>
      </w:r>
    </w:p>
    <w:p>
      <w:pPr>
        <w:keepNext w:val="0"/>
        <w:keepLines w:val="0"/>
        <w:pageBreakBefore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即墨管理处  地址：</w:t>
      </w:r>
      <w:r>
        <w:rPr>
          <w:rFonts w:ascii="仿宋_GB2312" w:hAnsi="黑体" w:eastAsia="仿宋_GB2312" w:cs="Times New Roman"/>
          <w:color w:val="auto"/>
          <w:sz w:val="32"/>
          <w:szCs w:val="32"/>
        </w:rPr>
        <w:t>即墨</w:t>
      </w:r>
      <w:r>
        <w:rPr>
          <w:rFonts w:hint="eastAsia" w:ascii="仿宋_GB2312" w:hAnsi="黑体" w:eastAsia="仿宋_GB2312" w:cs="Times New Roman"/>
          <w:color w:val="auto"/>
          <w:sz w:val="32"/>
          <w:szCs w:val="32"/>
        </w:rPr>
        <w:t>区</w:t>
      </w:r>
      <w:r>
        <w:rPr>
          <w:rFonts w:ascii="仿宋_GB2312" w:hAnsi="黑体" w:eastAsia="仿宋_GB2312" w:cs="Times New Roman"/>
          <w:color w:val="auto"/>
          <w:sz w:val="32"/>
          <w:szCs w:val="32"/>
        </w:rPr>
        <w:t>蓝鳌路788号德馨大厦</w:t>
      </w:r>
      <w:r>
        <w:rPr>
          <w:rFonts w:hint="eastAsia" w:ascii="仿宋_GB2312" w:hAnsi="黑体" w:eastAsia="仿宋_GB2312" w:cs="Times New Roman"/>
          <w:color w:val="auto"/>
          <w:sz w:val="32"/>
          <w:szCs w:val="32"/>
        </w:rPr>
        <w:t>3</w:t>
      </w:r>
      <w:r>
        <w:rPr>
          <w:rFonts w:ascii="仿宋_GB2312" w:hAnsi="黑体" w:eastAsia="仿宋_GB2312" w:cs="Times New Roman"/>
          <w:color w:val="auto"/>
          <w:sz w:val="32"/>
          <w:szCs w:val="32"/>
        </w:rPr>
        <w:t>楼</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w w:val="85"/>
          <w:sz w:val="32"/>
          <w:szCs w:val="32"/>
        </w:rPr>
      </w:pPr>
      <w:r>
        <w:rPr>
          <w:rFonts w:hint="eastAsia" w:ascii="仿宋_GB2312" w:hAnsi="黑体" w:eastAsia="仿宋_GB2312" w:cs="Times New Roman"/>
          <w:color w:val="auto"/>
          <w:sz w:val="32"/>
          <w:szCs w:val="32"/>
        </w:rPr>
        <w:t>胶州管理处  地址：</w:t>
      </w:r>
      <w:r>
        <w:rPr>
          <w:rFonts w:hint="eastAsia" w:ascii="仿宋_GB2312" w:hAnsi="黑体" w:eastAsia="仿宋_GB2312" w:cs="Times New Roman"/>
          <w:color w:val="auto"/>
          <w:w w:val="85"/>
          <w:sz w:val="32"/>
          <w:szCs w:val="32"/>
        </w:rPr>
        <w:t>胶州市澳门路333号天泰金融广场4号楼10楼</w:t>
      </w:r>
    </w:p>
    <w:p>
      <w:pPr>
        <w:keepNext w:val="0"/>
        <w:keepLines w:val="0"/>
        <w:pageBreakBefore w:val="0"/>
        <w:kinsoku/>
        <w:wordWrap/>
        <w:overflowPunct/>
        <w:topLinePunct w:val="0"/>
        <w:autoSpaceDE/>
        <w:autoSpaceDN/>
        <w:bidi w:val="0"/>
        <w:adjustRightInd w:val="0"/>
        <w:snapToGrid w:val="0"/>
        <w:spacing w:line="520" w:lineRule="exact"/>
        <w:ind w:left="3038" w:leftChars="304" w:hanging="2400" w:hangingChars="7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平度管理处  地址：</w:t>
      </w:r>
      <w:r>
        <w:rPr>
          <w:rFonts w:ascii="仿宋_GB2312" w:hAnsi="黑体" w:eastAsia="仿宋_GB2312" w:cs="Times New Roman"/>
          <w:color w:val="auto"/>
          <w:sz w:val="32"/>
          <w:szCs w:val="32"/>
        </w:rPr>
        <w:t>平度市红旗路23号鼎峰大厦6楼</w:t>
      </w:r>
    </w:p>
    <w:p>
      <w:pPr>
        <w:pStyle w:val="2"/>
        <w:keepNext/>
        <w:keepLines/>
        <w:pageBreakBefore w:val="0"/>
        <w:widowControl w:val="0"/>
        <w:kinsoku/>
        <w:wordWrap/>
        <w:overflowPunct/>
        <w:topLinePunct w:val="0"/>
        <w:autoSpaceDE/>
        <w:autoSpaceDN/>
        <w:bidi w:val="0"/>
        <w:adjustRightInd w:val="0"/>
        <w:snapToGrid w:val="0"/>
        <w:spacing w:before="0" w:after="0" w:line="560" w:lineRule="exact"/>
        <w:ind w:firstLine="640" w:firstLineChars="200"/>
        <w:textAlignment w:val="auto"/>
        <w:rPr>
          <w:color w:val="auto"/>
        </w:rPr>
      </w:pPr>
      <w:r>
        <w:rPr>
          <w:rFonts w:hint="eastAsia" w:ascii="仿宋_GB2312" w:hAnsi="黑体" w:eastAsia="仿宋_GB2312" w:cs="Times New Roman"/>
          <w:color w:val="auto"/>
          <w:sz w:val="32"/>
          <w:szCs w:val="32"/>
        </w:rPr>
        <w:t>莱西管理处  地址：</w:t>
      </w:r>
      <w:r>
        <w:rPr>
          <w:rFonts w:ascii="仿宋_GB2312" w:hAnsi="黑体" w:eastAsia="仿宋_GB2312" w:cs="Times New Roman"/>
          <w:color w:val="auto"/>
          <w:sz w:val="32"/>
          <w:szCs w:val="32"/>
        </w:rPr>
        <w:t>莱西市长岛路</w:t>
      </w:r>
      <w:r>
        <w:rPr>
          <w:rFonts w:ascii="仿宋_GB2312" w:hAnsi="黑体" w:eastAsia="仿宋_GB2312" w:cs="Times New Roman"/>
          <w:color w:val="auto"/>
          <w:sz w:val="32"/>
          <w:szCs w:val="32"/>
        </w:rPr>
        <w:t>1</w:t>
      </w:r>
      <w:r>
        <w:rPr>
          <w:rFonts w:hint="eastAsia" w:ascii="仿宋_GB2312" w:hAnsi="黑体" w:eastAsia="仿宋_GB2312" w:cs="Times New Roman"/>
          <w:color w:val="auto"/>
          <w:sz w:val="32"/>
          <w:szCs w:val="32"/>
          <w:lang w:val="en-US" w:eastAsia="zh-CN"/>
        </w:rPr>
        <w:t>48</w:t>
      </w:r>
      <w:r>
        <w:rPr>
          <w:rFonts w:ascii="仿宋_GB2312" w:hAnsi="黑体" w:eastAsia="仿宋_GB2312" w:cs="Times New Roman"/>
          <w:color w:val="auto"/>
          <w:sz w:val="32"/>
          <w:szCs w:val="32"/>
        </w:rPr>
        <w:t>号</w:t>
      </w:r>
      <w:r>
        <w:rPr>
          <w:rFonts w:hint="eastAsia" w:ascii="仿宋_GB2312" w:hAnsi="黑体" w:eastAsia="仿宋_GB2312" w:cs="Times New Roman"/>
          <w:color w:val="auto"/>
          <w:sz w:val="32"/>
          <w:szCs w:val="32"/>
          <w:lang w:val="en-US" w:eastAsia="zh-CN"/>
        </w:rPr>
        <w:t>市政务服务中心A座5</w:t>
      </w:r>
      <w:r>
        <w:rPr>
          <w:rFonts w:ascii="仿宋_GB2312" w:hAnsi="黑体" w:eastAsia="仿宋_GB2312" w:cs="Times New Roman"/>
          <w:color w:val="auto"/>
          <w:sz w:val="32"/>
          <w:szCs w:val="32"/>
        </w:rPr>
        <w:t>楼</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四、办理条件</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hint="eastAsia" w:ascii="仿宋_GB2312" w:hAnsi="黑体" w:eastAsia="仿宋_GB2312" w:cs="Times New Roman"/>
          <w:color w:val="auto"/>
          <w:sz w:val="32"/>
          <w:szCs w:val="32"/>
        </w:rPr>
      </w:pPr>
      <w:r>
        <w:rPr>
          <w:rFonts w:hint="eastAsia" w:ascii="仿宋_GB2312" w:hAnsi="黑体" w:eastAsia="仿宋_GB2312" w:cs="Times New Roman"/>
          <w:color w:val="auto"/>
          <w:sz w:val="32"/>
          <w:szCs w:val="32"/>
        </w:rPr>
        <w:t>申请范围：非本市户籍职工与本市单位终止劳动关系，未在异地继续缴存住房公积金，账户封存满半年的，可以提取职工本</w:t>
      </w:r>
      <w:r>
        <w:rPr>
          <w:rFonts w:hint="eastAsia" w:ascii="仿宋_GB2312" w:hAnsi="黑体" w:eastAsia="仿宋_GB2312" w:cs="Times New Roman"/>
          <w:color w:val="auto"/>
          <w:sz w:val="32"/>
          <w:szCs w:val="32"/>
        </w:rPr>
        <w:t>人住房公积金账户内的存储余额，同时注销住房公积金账户。</w:t>
      </w:r>
    </w:p>
    <w:p>
      <w:pPr>
        <w:keepNext w:val="0"/>
        <w:keepLines w:val="0"/>
        <w:pageBreakBefore w:val="0"/>
        <w:widowControl/>
        <w:kinsoku/>
        <w:wordWrap/>
        <w:overflowPunct/>
        <w:topLinePunct w:val="0"/>
        <w:autoSpaceDE/>
        <w:autoSpaceDN/>
        <w:bidi w:val="0"/>
        <w:adjustRightInd w:val="0"/>
        <w:snapToGrid w:val="0"/>
        <w:spacing w:line="52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五、申请材料</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hint="eastAsia" w:ascii="仿宋_GB2312" w:hAnsi="宋体" w:eastAsia="仿宋_GB2312" w:cs="Times New Roman"/>
          <w:color w:val="auto"/>
          <w:sz w:val="32"/>
          <w:szCs w:val="32"/>
        </w:rPr>
      </w:pPr>
      <w:r>
        <w:rPr>
          <w:rFonts w:hint="eastAsia" w:ascii="仿宋_GB2312" w:hAnsi="宋体" w:eastAsia="仿宋_GB2312" w:cs="Times New Roman"/>
          <w:color w:val="auto"/>
          <w:sz w:val="32"/>
          <w:szCs w:val="32"/>
          <w:lang w:val="en-US" w:eastAsia="zh-CN"/>
        </w:rPr>
        <w:t>提示：支持电子证照。</w:t>
      </w:r>
      <w:r>
        <w:rPr>
          <w:rFonts w:hint="eastAsia" w:ascii="仿宋_GB2312" w:hAnsi="宋体" w:eastAsia="仿宋_GB2312" w:cs="Times New Roman"/>
          <w:color w:val="auto"/>
          <w:sz w:val="32"/>
          <w:szCs w:val="32"/>
        </w:rPr>
        <w:t>电子身份证、电子营业执照、不动产权证书、不动产登记证明、结婚证、离婚证</w:t>
      </w:r>
      <w:r>
        <w:rPr>
          <w:rFonts w:hint="eastAsia" w:ascii="仿宋_GB2312" w:hAnsi="宋体" w:eastAsia="仿宋_GB2312" w:cs="Times New Roman"/>
          <w:color w:val="auto"/>
          <w:sz w:val="32"/>
          <w:szCs w:val="32"/>
          <w:lang w:val="en-US" w:eastAsia="zh-CN"/>
        </w:rPr>
        <w:t>等</w:t>
      </w:r>
      <w:r>
        <w:rPr>
          <w:rFonts w:hint="eastAsia" w:ascii="仿宋_GB2312" w:hAnsi="宋体" w:eastAsia="仿宋_GB2312" w:cs="Times New Roman"/>
          <w:color w:val="auto"/>
          <w:sz w:val="32"/>
          <w:szCs w:val="32"/>
        </w:rPr>
        <w:t>，可通过“爱山东”APP申领并出示电子证照，办理业务及咨询。</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kern w:val="0"/>
          <w:sz w:val="32"/>
          <w:szCs w:val="32"/>
        </w:rPr>
      </w:pPr>
      <w:r>
        <w:rPr>
          <w:rFonts w:hint="eastAsia" w:ascii="仿宋_GB2312" w:hAnsi="仿宋" w:eastAsia="仿宋_GB2312"/>
          <w:color w:val="auto"/>
          <w:sz w:val="32"/>
          <w:szCs w:val="32"/>
        </w:rPr>
        <w:t>（一）</w:t>
      </w:r>
      <w:r>
        <w:rPr>
          <w:rFonts w:hint="eastAsia" w:ascii="仿宋_GB2312" w:hAnsi="黑体" w:eastAsia="仿宋_GB2312" w:cs="Times New Roman"/>
          <w:color w:val="auto"/>
          <w:kern w:val="0"/>
          <w:sz w:val="32"/>
          <w:szCs w:val="32"/>
        </w:rPr>
        <w:t xml:space="preserve">《青岛市住房公积金提取承诺书（授权书）》； </w:t>
      </w:r>
    </w:p>
    <w:p>
      <w:pPr>
        <w:keepNext w:val="0"/>
        <w:keepLines w:val="0"/>
        <w:pageBreakBefore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仿宋" w:eastAsia="仿宋_GB2312"/>
          <w:color w:val="auto"/>
          <w:sz w:val="32"/>
          <w:szCs w:val="32"/>
        </w:rPr>
        <w:t>（二）</w:t>
      </w:r>
      <w:r>
        <w:rPr>
          <w:rFonts w:hint="eastAsia" w:ascii="仿宋_GB2312" w:hAnsi="黑体" w:eastAsia="仿宋_GB2312" w:cs="Times New Roman"/>
          <w:color w:val="auto"/>
          <w:sz w:val="32"/>
          <w:szCs w:val="32"/>
        </w:rPr>
        <w:t>身份证明材料原件：</w:t>
      </w:r>
    </w:p>
    <w:p>
      <w:pPr>
        <w:keepNext w:val="0"/>
        <w:keepLines w:val="0"/>
        <w:pageBreakBefore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1.</w:t>
      </w:r>
      <w:r>
        <w:rPr>
          <w:rFonts w:hint="eastAsia" w:ascii="仿宋_GB2312" w:hAnsi="黑体" w:eastAsia="仿宋_GB2312" w:cs="Times New Roman"/>
          <w:color w:val="auto"/>
          <w:kern w:val="0"/>
          <w:sz w:val="32"/>
          <w:szCs w:val="32"/>
        </w:rPr>
        <w:t xml:space="preserve"> 本人办理的提供身份证；</w:t>
      </w:r>
    </w:p>
    <w:p>
      <w:pPr>
        <w:keepNext w:val="0"/>
        <w:keepLines w:val="0"/>
        <w:pageBreakBefore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sz w:val="32"/>
          <w:szCs w:val="32"/>
        </w:rPr>
        <w:t xml:space="preserve">2. </w:t>
      </w:r>
      <w:r>
        <w:rPr>
          <w:rFonts w:hint="eastAsia" w:ascii="仿宋_GB2312" w:hAnsi="黑体" w:eastAsia="仿宋_GB2312" w:cs="Times New Roman"/>
          <w:color w:val="auto"/>
          <w:kern w:val="0"/>
          <w:sz w:val="32"/>
          <w:szCs w:val="32"/>
        </w:rPr>
        <w:t>委托他人办理的，除需提供职工身份证外，职工本人应在相关事项予以签字确认：</w:t>
      </w:r>
    </w:p>
    <w:p>
      <w:pPr>
        <w:keepNext w:val="0"/>
        <w:keepLines w:val="0"/>
        <w:pageBreakBefore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（1）委托已在市住房公积金管理中心登记备案的单位经办人办理的，单位经办人应提供身份证原件；</w:t>
      </w:r>
    </w:p>
    <w:p>
      <w:pPr>
        <w:keepNext w:val="0"/>
        <w:keepLines w:val="0"/>
        <w:pageBreakBefore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（2）委托本人直系亲属办理的，代办人应提供关系凭证原件及代办人身份证原件；</w:t>
      </w:r>
    </w:p>
    <w:p>
      <w:pPr>
        <w:keepNext w:val="0"/>
        <w:keepLines w:val="0"/>
        <w:pageBreakBefore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（3）委托其他人办理的，被委托人应出具经公证的委托书原件及身份证原件。</w:t>
      </w:r>
    </w:p>
    <w:p>
      <w:pPr>
        <w:keepNext w:val="0"/>
        <w:keepLines w:val="0"/>
        <w:pageBreakBefore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（三）提取人身份证。</w:t>
      </w:r>
    </w:p>
    <w:p>
      <w:pPr>
        <w:keepNext w:val="0"/>
        <w:keepLines w:val="0"/>
        <w:pageBreakBefore w:val="0"/>
        <w:kinsoku/>
        <w:wordWrap/>
        <w:overflowPunct/>
        <w:topLinePunct w:val="0"/>
        <w:autoSpaceDE/>
        <w:autoSpaceDN/>
        <w:bidi w:val="0"/>
        <w:adjustRightInd w:val="0"/>
        <w:snapToGrid w:val="0"/>
        <w:spacing w:line="52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六、基本流程</w:t>
      </w:r>
    </w:p>
    <w:p>
      <w:pPr>
        <w:keepNext w:val="0"/>
        <w:keepLines w:val="0"/>
        <w:pageBreakBefore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（一）柜台办理：</w:t>
      </w:r>
    </w:p>
    <w:p>
      <w:pPr>
        <w:keepNext w:val="0"/>
        <w:keepLines w:val="0"/>
        <w:pageBreakBefore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1.职工提取住房公积金，职工本人或委托他人持相关证明材料到公积金中心任一管理</w:t>
      </w:r>
      <w:r>
        <w:rPr>
          <w:rFonts w:hint="eastAsia" w:ascii="仿宋_GB2312" w:hAnsi="仿宋" w:eastAsia="仿宋_GB2312"/>
          <w:color w:val="auto"/>
          <w:sz w:val="32"/>
          <w:szCs w:val="32"/>
          <w:lang w:val="en-US" w:eastAsia="zh-CN"/>
        </w:rPr>
        <w:t>处</w:t>
      </w:r>
      <w:r>
        <w:rPr>
          <w:rFonts w:hint="eastAsia" w:ascii="仿宋_GB2312" w:hAnsi="仿宋" w:eastAsia="仿宋_GB2312"/>
          <w:color w:val="auto"/>
          <w:sz w:val="32"/>
          <w:szCs w:val="32"/>
        </w:rPr>
        <w:t>申请办理。对符合提取条件的公积金中心当即办结，对申请人提供的相关资料需要调查核实的，公积金中心自受理申请之日起 3 个工作日内做出准予或者不准予提取的决定，并通知申请人。</w:t>
      </w:r>
    </w:p>
    <w:p>
      <w:pPr>
        <w:keepNext w:val="0"/>
        <w:keepLines w:val="0"/>
        <w:pageBreakBefore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2.</w:t>
      </w:r>
      <w:r>
        <w:rPr>
          <w:rFonts w:hint="eastAsia" w:ascii="仿宋_GB2312" w:eastAsia="仿宋_GB2312"/>
          <w:color w:val="auto"/>
          <w:sz w:val="25"/>
          <w:szCs w:val="25"/>
          <w:shd w:val="clear" w:color="auto" w:fill="FFFFFF"/>
        </w:rPr>
        <w:t xml:space="preserve"> </w:t>
      </w:r>
      <w:r>
        <w:rPr>
          <w:rFonts w:hint="eastAsia" w:ascii="仿宋_GB2312" w:hAnsi="仿宋" w:eastAsia="仿宋_GB2312"/>
          <w:color w:val="auto"/>
          <w:sz w:val="32"/>
          <w:szCs w:val="32"/>
        </w:rPr>
        <w:t>经审核符合提取条件的，公积金中心将提取金额划转至提取申请人与公积金中心约定的提取结算账户，其中提取结算账户包括：职工住房公积金联名卡、I类借记卡。其中I类借记卡仅限于：建设银行、工商银行、农业银行、中国银行、交通银行、光大银行、</w:t>
      </w:r>
      <w:r>
        <w:rPr>
          <w:rFonts w:hint="eastAsia" w:ascii="仿宋_GB2312" w:hAnsi="仿宋" w:eastAsia="仿宋_GB2312"/>
          <w:color w:val="auto"/>
          <w:sz w:val="32"/>
          <w:szCs w:val="32"/>
          <w:lang w:eastAsia="zh-CN"/>
        </w:rPr>
        <w:t>青岛银行</w:t>
      </w:r>
      <w:r>
        <w:rPr>
          <w:rFonts w:hint="eastAsia" w:ascii="仿宋_GB2312" w:hAnsi="仿宋" w:eastAsia="仿宋_GB2312"/>
          <w:color w:val="auto"/>
          <w:sz w:val="32"/>
          <w:szCs w:val="32"/>
          <w:lang w:eastAsia="zh-CN"/>
        </w:rPr>
        <w:t>、青岛农商银行、恒丰银行、招商银行</w:t>
      </w:r>
      <w:r>
        <w:rPr>
          <w:rFonts w:hint="eastAsia" w:ascii="仿宋_GB2312" w:hAnsi="仿宋" w:eastAsia="仿宋_GB2312"/>
          <w:color w:val="auto"/>
          <w:sz w:val="32"/>
          <w:szCs w:val="32"/>
        </w:rPr>
        <w:t>。</w:t>
      </w:r>
    </w:p>
    <w:p>
      <w:pPr>
        <w:keepNext w:val="0"/>
        <w:keepLines w:val="0"/>
        <w:pageBreakBefore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备注:提取结算账户为职工I类借记卡的,需职工本人通过柜台或住房公积金网上营业厅（个人专业版）自行绑定，也可以委托单位经办人持</w:t>
      </w:r>
      <w:r>
        <w:rPr>
          <w:rFonts w:hint="eastAsia" w:ascii="仿宋_GB2312" w:hAnsi="黑体" w:eastAsia="仿宋_GB2312" w:cs="Times New Roman"/>
          <w:color w:val="auto"/>
          <w:sz w:val="32"/>
          <w:szCs w:val="32"/>
        </w:rPr>
        <w:t>《青岛市住房公积金个人账户信息变更申请表》（加盖单位公章）、经办人及职工本人双方身份证到柜台绑定。</w:t>
      </w:r>
    </w:p>
    <w:p>
      <w:pPr>
        <w:keepNext w:val="0"/>
        <w:keepLines w:val="0"/>
        <w:pageBreakBefore w:val="0"/>
        <w:kinsoku/>
        <w:wordWrap/>
        <w:overflowPunct/>
        <w:topLinePunct w:val="0"/>
        <w:autoSpaceDE/>
        <w:autoSpaceDN/>
        <w:bidi w:val="0"/>
        <w:adjustRightInd w:val="0"/>
        <w:snapToGrid w:val="0"/>
        <w:spacing w:line="520" w:lineRule="exact"/>
        <w:ind w:firstLine="640" w:firstLineChars="200"/>
        <w:jc w:val="left"/>
        <w:textAlignment w:val="auto"/>
        <w:rPr>
          <w:rFonts w:hint="eastAsia" w:ascii="仿宋_GB2312" w:hAnsi="仿宋" w:eastAsia="仿宋_GB2312"/>
          <w:color w:val="auto"/>
          <w:sz w:val="32"/>
          <w:szCs w:val="32"/>
        </w:rPr>
      </w:pPr>
      <w:r>
        <w:rPr>
          <w:rFonts w:hint="eastAsia" w:ascii="仿宋_GB2312" w:hAnsi="仿宋" w:eastAsia="仿宋_GB2312"/>
          <w:color w:val="auto"/>
          <w:sz w:val="32"/>
          <w:szCs w:val="32"/>
        </w:rPr>
        <w:t>（二）</w:t>
      </w:r>
      <w:r>
        <w:rPr>
          <w:rFonts w:hint="eastAsia" w:ascii="仿宋_GB2312" w:hAnsi="仿宋" w:eastAsia="仿宋_GB2312"/>
          <w:color w:val="auto"/>
          <w:sz w:val="32"/>
          <w:szCs w:val="32"/>
          <w:lang w:val="en-US" w:eastAsia="zh-CN"/>
        </w:rPr>
        <w:t>网上</w:t>
      </w:r>
      <w:r>
        <w:rPr>
          <w:rFonts w:hint="eastAsia" w:ascii="仿宋_GB2312" w:hAnsi="仿宋" w:eastAsia="仿宋_GB2312"/>
          <w:color w:val="auto"/>
          <w:sz w:val="32"/>
          <w:szCs w:val="32"/>
        </w:rPr>
        <w:t>办理:</w:t>
      </w:r>
    </w:p>
    <w:p>
      <w:pPr>
        <w:keepNext w:val="0"/>
        <w:keepLines w:val="0"/>
        <w:pageBreakBefore w:val="0"/>
        <w:kinsoku/>
        <w:wordWrap/>
        <w:overflowPunct/>
        <w:topLinePunct w:val="0"/>
        <w:autoSpaceDE/>
        <w:autoSpaceDN/>
        <w:bidi w:val="0"/>
        <w:adjustRightInd w:val="0"/>
        <w:snapToGrid w:val="0"/>
        <w:spacing w:line="520" w:lineRule="exact"/>
        <w:ind w:firstLine="640" w:firstLineChars="200"/>
        <w:jc w:val="left"/>
        <w:textAlignment w:val="auto"/>
        <w:rPr>
          <w:rFonts w:hint="eastAsia" w:ascii="仿宋_GB2312" w:hAnsi="仿宋" w:eastAsia="仿宋_GB2312"/>
          <w:color w:val="auto"/>
          <w:sz w:val="32"/>
          <w:szCs w:val="32"/>
        </w:rPr>
      </w:pPr>
      <w:r>
        <w:rPr>
          <w:rFonts w:hint="eastAsia" w:ascii="仿宋_GB2312" w:hAnsi="仿宋" w:eastAsia="仿宋_GB2312"/>
          <w:color w:val="auto"/>
          <w:sz w:val="32"/>
          <w:szCs w:val="32"/>
        </w:rPr>
        <w:t>经共享政务信息验证，非本市户籍职工与本市单位终止劳动关系，未在异地继续缴存住房公积金，住房公积金账户封存满半年的，可以通过住房公积金网上营业厅（个人专业版）</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微信公众号、“爱山东”APP等渠道</w:t>
      </w:r>
      <w:r>
        <w:rPr>
          <w:rFonts w:hint="eastAsia" w:ascii="仿宋_GB2312" w:hAnsi="仿宋" w:eastAsia="仿宋_GB2312"/>
          <w:color w:val="auto"/>
          <w:sz w:val="32"/>
          <w:szCs w:val="32"/>
        </w:rPr>
        <w:t>自助办理提取。</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操作流程：详情请参照青岛市住房公积金</w:t>
      </w:r>
      <w:r>
        <w:rPr>
          <w:rFonts w:ascii="仿宋_GB2312" w:hAnsi="黑体" w:eastAsia="仿宋_GB2312" w:cs="Times New Roman"/>
          <w:color w:val="auto"/>
          <w:sz w:val="32"/>
          <w:szCs w:val="32"/>
        </w:rPr>
        <w:t>官网</w:t>
      </w:r>
      <w:r>
        <w:rPr>
          <w:rFonts w:hint="eastAsia" w:ascii="仿宋_GB2312" w:hAnsi="黑体" w:eastAsia="仿宋_GB2312" w:cs="Times New Roman"/>
          <w:color w:val="auto"/>
          <w:kern w:val="0"/>
          <w:sz w:val="32"/>
          <w:szCs w:val="32"/>
        </w:rPr>
        <w:t>（http://www.qdgjj.com）</w:t>
      </w:r>
      <w:r>
        <w:rPr>
          <w:rFonts w:hint="eastAsia" w:ascii="仿宋_GB2312" w:hAnsi="黑体" w:eastAsia="仿宋_GB2312" w:cs="Times New Roman"/>
          <w:color w:val="auto"/>
          <w:sz w:val="32"/>
          <w:szCs w:val="32"/>
        </w:rPr>
        <w:t>“便民指引--网上营业厅--个人专业版”办理。</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七、收费依据及标准</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不收费。</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八、办理时限</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ascii="仿宋_GB2312" w:hAnsi="仿宋" w:eastAsia="仿宋_GB2312" w:cs="仿宋_GB2312"/>
          <w:color w:val="auto"/>
          <w:sz w:val="32"/>
          <w:szCs w:val="32"/>
        </w:rPr>
      </w:pPr>
      <w:r>
        <w:rPr>
          <w:rFonts w:hint="eastAsia" w:ascii="仿宋_GB2312" w:hAnsi="仿宋" w:eastAsia="仿宋_GB2312"/>
          <w:color w:val="auto"/>
          <w:sz w:val="32"/>
          <w:szCs w:val="32"/>
        </w:rPr>
        <w:t>对符合提取条件的公积金中心当即办结；对申请人提供的相关资料需要调查核实的，公积金中心</w:t>
      </w:r>
      <w:r>
        <w:rPr>
          <w:rFonts w:hint="eastAsia" w:ascii="仿宋_GB2312" w:hAnsi="仿宋" w:eastAsia="仿宋_GB2312" w:cs="仿宋_GB2312"/>
          <w:color w:val="auto"/>
          <w:sz w:val="32"/>
          <w:szCs w:val="32"/>
        </w:rPr>
        <w:t>应当自受理提取申请之日起3个工作日内，根据提取审核结果作出准予提取或者不准予提取的决定，并通知职工。</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九、咨询方式</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（一）现场咨询：青岛市住房公积金管理中心所辖各区（市）管理处营业大厅。</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（二）电话咨询：（0532</w:t>
      </w:r>
      <w:r>
        <w:rPr>
          <w:rFonts w:ascii="仿宋_GB2312" w:hAnsi="黑体" w:eastAsia="仿宋_GB2312" w:cs="Times New Roman"/>
          <w:color w:val="auto"/>
          <w:sz w:val="32"/>
          <w:szCs w:val="32"/>
        </w:rPr>
        <w:t>）</w:t>
      </w:r>
      <w:r>
        <w:rPr>
          <w:rFonts w:hint="eastAsia" w:ascii="仿宋_GB2312" w:hAnsi="黑体" w:eastAsia="仿宋_GB2312" w:cs="Times New Roman"/>
          <w:color w:val="auto"/>
          <w:sz w:val="32"/>
          <w:szCs w:val="32"/>
        </w:rPr>
        <w:t>12329（住房公积金热线）。</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（三）网站查询：http://www.qdgjj.com。</w:t>
      </w:r>
    </w:p>
    <w:p>
      <w:pPr>
        <w:keepNext w:val="0"/>
        <w:keepLines w:val="0"/>
        <w:pageBreakBefore w:val="0"/>
        <w:kinsoku/>
        <w:wordWrap/>
        <w:overflowPunct/>
        <w:topLinePunct w:val="0"/>
        <w:autoSpaceDE/>
        <w:autoSpaceDN/>
        <w:bidi w:val="0"/>
        <w:adjustRightInd w:val="0"/>
        <w:snapToGrid w:val="0"/>
        <w:spacing w:line="520" w:lineRule="exact"/>
        <w:textAlignment w:val="auto"/>
        <w:rPr>
          <w:rFonts w:ascii="仿宋_GB2312" w:eastAsia="仿宋_GB2312"/>
          <w:color w:val="auto"/>
          <w:sz w:val="32"/>
          <w:szCs w:val="32"/>
        </w:rPr>
      </w:pPr>
    </w:p>
    <w:bookmarkEnd w:id="0"/>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0C5F82"/>
    <w:multiLevelType w:val="multilevel"/>
    <w:tmpl w:val="470C5F82"/>
    <w:lvl w:ilvl="0" w:tentative="0">
      <w:start w:val="1"/>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ZkYWRkMzNmZmY2MjQyZjJjOTgyMDExNzcyODE2NjUifQ=="/>
  </w:docVars>
  <w:rsids>
    <w:rsidRoot w:val="00A07926"/>
    <w:rsid w:val="000204DF"/>
    <w:rsid w:val="0002271D"/>
    <w:rsid w:val="00035CB5"/>
    <w:rsid w:val="00040002"/>
    <w:rsid w:val="0005246B"/>
    <w:rsid w:val="0006446B"/>
    <w:rsid w:val="00066128"/>
    <w:rsid w:val="00071C22"/>
    <w:rsid w:val="00084CB4"/>
    <w:rsid w:val="000943E4"/>
    <w:rsid w:val="000D43F8"/>
    <w:rsid w:val="000F13D0"/>
    <w:rsid w:val="00110AAC"/>
    <w:rsid w:val="0014674F"/>
    <w:rsid w:val="001730DC"/>
    <w:rsid w:val="00180998"/>
    <w:rsid w:val="00195E71"/>
    <w:rsid w:val="0019785E"/>
    <w:rsid w:val="001A218B"/>
    <w:rsid w:val="001B200E"/>
    <w:rsid w:val="001F184F"/>
    <w:rsid w:val="0021179A"/>
    <w:rsid w:val="00212F9B"/>
    <w:rsid w:val="00250B22"/>
    <w:rsid w:val="00262013"/>
    <w:rsid w:val="00264FA3"/>
    <w:rsid w:val="00277E5A"/>
    <w:rsid w:val="0029721F"/>
    <w:rsid w:val="002A3AF6"/>
    <w:rsid w:val="002E6F29"/>
    <w:rsid w:val="002F2CCB"/>
    <w:rsid w:val="003012CC"/>
    <w:rsid w:val="00311EB8"/>
    <w:rsid w:val="00320B84"/>
    <w:rsid w:val="003638F0"/>
    <w:rsid w:val="003A3523"/>
    <w:rsid w:val="003B4667"/>
    <w:rsid w:val="003C2643"/>
    <w:rsid w:val="003E7D64"/>
    <w:rsid w:val="00410E0D"/>
    <w:rsid w:val="004173B3"/>
    <w:rsid w:val="00423B51"/>
    <w:rsid w:val="00443701"/>
    <w:rsid w:val="004643B7"/>
    <w:rsid w:val="00475E7C"/>
    <w:rsid w:val="00477180"/>
    <w:rsid w:val="004964F9"/>
    <w:rsid w:val="004A568F"/>
    <w:rsid w:val="004A6B91"/>
    <w:rsid w:val="004C1B0F"/>
    <w:rsid w:val="004C75AD"/>
    <w:rsid w:val="004D11BA"/>
    <w:rsid w:val="004E0AA6"/>
    <w:rsid w:val="00510EF6"/>
    <w:rsid w:val="00512B5A"/>
    <w:rsid w:val="005401B6"/>
    <w:rsid w:val="00545581"/>
    <w:rsid w:val="00565247"/>
    <w:rsid w:val="0056788C"/>
    <w:rsid w:val="0057294F"/>
    <w:rsid w:val="005815EB"/>
    <w:rsid w:val="0059355E"/>
    <w:rsid w:val="00594915"/>
    <w:rsid w:val="005B574D"/>
    <w:rsid w:val="005D5A17"/>
    <w:rsid w:val="00641161"/>
    <w:rsid w:val="00643A4D"/>
    <w:rsid w:val="00644433"/>
    <w:rsid w:val="00645C1C"/>
    <w:rsid w:val="00652A69"/>
    <w:rsid w:val="006575DE"/>
    <w:rsid w:val="00660B7C"/>
    <w:rsid w:val="00670AE7"/>
    <w:rsid w:val="00687834"/>
    <w:rsid w:val="00696B90"/>
    <w:rsid w:val="006A3AB9"/>
    <w:rsid w:val="006D7AD7"/>
    <w:rsid w:val="006E293A"/>
    <w:rsid w:val="00712A1D"/>
    <w:rsid w:val="00717DCB"/>
    <w:rsid w:val="00724E4A"/>
    <w:rsid w:val="007254BE"/>
    <w:rsid w:val="00734330"/>
    <w:rsid w:val="0073514F"/>
    <w:rsid w:val="007443EE"/>
    <w:rsid w:val="00780339"/>
    <w:rsid w:val="00792223"/>
    <w:rsid w:val="00796843"/>
    <w:rsid w:val="007A0934"/>
    <w:rsid w:val="007D7DB3"/>
    <w:rsid w:val="0080535B"/>
    <w:rsid w:val="00814527"/>
    <w:rsid w:val="00827F44"/>
    <w:rsid w:val="00827F96"/>
    <w:rsid w:val="008438BA"/>
    <w:rsid w:val="008531A6"/>
    <w:rsid w:val="00854347"/>
    <w:rsid w:val="008637F4"/>
    <w:rsid w:val="00871308"/>
    <w:rsid w:val="008860F2"/>
    <w:rsid w:val="008A3E4C"/>
    <w:rsid w:val="008E1BC5"/>
    <w:rsid w:val="008F4B32"/>
    <w:rsid w:val="009053BE"/>
    <w:rsid w:val="0090767F"/>
    <w:rsid w:val="00913D80"/>
    <w:rsid w:val="009164D1"/>
    <w:rsid w:val="00943B8B"/>
    <w:rsid w:val="00956F68"/>
    <w:rsid w:val="00973D39"/>
    <w:rsid w:val="00980ADC"/>
    <w:rsid w:val="0099025F"/>
    <w:rsid w:val="0099149E"/>
    <w:rsid w:val="009A42BA"/>
    <w:rsid w:val="009E351C"/>
    <w:rsid w:val="009F4C39"/>
    <w:rsid w:val="00A04844"/>
    <w:rsid w:val="00A04E97"/>
    <w:rsid w:val="00A06802"/>
    <w:rsid w:val="00A07926"/>
    <w:rsid w:val="00A1499D"/>
    <w:rsid w:val="00A252BE"/>
    <w:rsid w:val="00A421BD"/>
    <w:rsid w:val="00A4400F"/>
    <w:rsid w:val="00A632DF"/>
    <w:rsid w:val="00A67F57"/>
    <w:rsid w:val="00A83E12"/>
    <w:rsid w:val="00AA21DB"/>
    <w:rsid w:val="00AA3ED8"/>
    <w:rsid w:val="00AA4E10"/>
    <w:rsid w:val="00AA6C30"/>
    <w:rsid w:val="00AB081D"/>
    <w:rsid w:val="00AC4F75"/>
    <w:rsid w:val="00AD1ED4"/>
    <w:rsid w:val="00AE0EC1"/>
    <w:rsid w:val="00B053E2"/>
    <w:rsid w:val="00B471C5"/>
    <w:rsid w:val="00B565F7"/>
    <w:rsid w:val="00B577BF"/>
    <w:rsid w:val="00B6074A"/>
    <w:rsid w:val="00B94344"/>
    <w:rsid w:val="00BA6FEF"/>
    <w:rsid w:val="00BC29DA"/>
    <w:rsid w:val="00BE08D0"/>
    <w:rsid w:val="00C007AE"/>
    <w:rsid w:val="00C008FB"/>
    <w:rsid w:val="00C03BD0"/>
    <w:rsid w:val="00C04E3F"/>
    <w:rsid w:val="00C07657"/>
    <w:rsid w:val="00C13708"/>
    <w:rsid w:val="00C175F6"/>
    <w:rsid w:val="00C228A9"/>
    <w:rsid w:val="00C27B03"/>
    <w:rsid w:val="00C31B19"/>
    <w:rsid w:val="00C45001"/>
    <w:rsid w:val="00C45B6C"/>
    <w:rsid w:val="00C531DE"/>
    <w:rsid w:val="00C53246"/>
    <w:rsid w:val="00C53D45"/>
    <w:rsid w:val="00C552A8"/>
    <w:rsid w:val="00C600B7"/>
    <w:rsid w:val="00C72EA0"/>
    <w:rsid w:val="00C74BE8"/>
    <w:rsid w:val="00C75793"/>
    <w:rsid w:val="00C872B6"/>
    <w:rsid w:val="00C87E02"/>
    <w:rsid w:val="00C920C4"/>
    <w:rsid w:val="00CA048F"/>
    <w:rsid w:val="00CA3E2B"/>
    <w:rsid w:val="00CA3F45"/>
    <w:rsid w:val="00CA5F10"/>
    <w:rsid w:val="00CB38AC"/>
    <w:rsid w:val="00CB7118"/>
    <w:rsid w:val="00CF19F4"/>
    <w:rsid w:val="00D02CDB"/>
    <w:rsid w:val="00D2718F"/>
    <w:rsid w:val="00D36F86"/>
    <w:rsid w:val="00D3744B"/>
    <w:rsid w:val="00D749FC"/>
    <w:rsid w:val="00D9704B"/>
    <w:rsid w:val="00DA243A"/>
    <w:rsid w:val="00DB6023"/>
    <w:rsid w:val="00DB74D7"/>
    <w:rsid w:val="00DC2A67"/>
    <w:rsid w:val="00DD0BC6"/>
    <w:rsid w:val="00DD5544"/>
    <w:rsid w:val="00DE30D8"/>
    <w:rsid w:val="00DF3D2F"/>
    <w:rsid w:val="00E06ED0"/>
    <w:rsid w:val="00E2573C"/>
    <w:rsid w:val="00E65943"/>
    <w:rsid w:val="00EA2AC4"/>
    <w:rsid w:val="00ED51B8"/>
    <w:rsid w:val="00EF2248"/>
    <w:rsid w:val="00F03A23"/>
    <w:rsid w:val="00F06319"/>
    <w:rsid w:val="00F22D42"/>
    <w:rsid w:val="00F413B8"/>
    <w:rsid w:val="00F4264C"/>
    <w:rsid w:val="00F53596"/>
    <w:rsid w:val="00F61AA4"/>
    <w:rsid w:val="00F66938"/>
    <w:rsid w:val="00F75547"/>
    <w:rsid w:val="00F8249F"/>
    <w:rsid w:val="00F86FAF"/>
    <w:rsid w:val="00FA1A6D"/>
    <w:rsid w:val="00FA2930"/>
    <w:rsid w:val="00FD7BA7"/>
    <w:rsid w:val="00FE1B57"/>
    <w:rsid w:val="038E662E"/>
    <w:rsid w:val="07430ABD"/>
    <w:rsid w:val="115C4D83"/>
    <w:rsid w:val="19D23C13"/>
    <w:rsid w:val="21084874"/>
    <w:rsid w:val="2BE67CBC"/>
    <w:rsid w:val="2F717154"/>
    <w:rsid w:val="39395702"/>
    <w:rsid w:val="4D4B4D17"/>
    <w:rsid w:val="6F97711F"/>
    <w:rsid w:val="73D465A1"/>
    <w:rsid w:val="75C95CD7"/>
    <w:rsid w:val="7A0171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beforeLines="0" w:beforeAutospacing="0" w:after="260" w:afterLines="0" w:afterAutospacing="0" w:line="413" w:lineRule="auto"/>
      <w:outlineLvl w:val="1"/>
    </w:pPr>
    <w:rPr>
      <w:rFonts w:ascii="Arial" w:hAnsi="Arial" w:eastAsia="黑体"/>
      <w:sz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List Paragraph"/>
    <w:basedOn w:val="1"/>
    <w:qFormat/>
    <w:uiPriority w:val="34"/>
    <w:pPr>
      <w:ind w:firstLine="420" w:firstLineChars="200"/>
    </w:pPr>
  </w:style>
  <w:style w:type="character" w:customStyle="1" w:styleId="9">
    <w:name w:val="页眉 Char"/>
    <w:basedOn w:val="6"/>
    <w:link w:val="5"/>
    <w:qFormat/>
    <w:uiPriority w:val="99"/>
    <w:rPr>
      <w:sz w:val="18"/>
      <w:szCs w:val="18"/>
    </w:rPr>
  </w:style>
  <w:style w:type="character" w:customStyle="1" w:styleId="10">
    <w:name w:val="页脚 Char"/>
    <w:basedOn w:val="6"/>
    <w:link w:val="4"/>
    <w:qFormat/>
    <w:uiPriority w:val="99"/>
    <w:rPr>
      <w:sz w:val="18"/>
      <w:szCs w:val="18"/>
    </w:rPr>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批注框文本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1649</Words>
  <Characters>1747</Characters>
  <Lines>13</Lines>
  <Paragraphs>3</Paragraphs>
  <TotalTime>0</TotalTime>
  <ScaleCrop>false</ScaleCrop>
  <LinksUpToDate>false</LinksUpToDate>
  <CharactersWithSpaces>1789</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2017-04-10T01:58:00Z</dcterms:created>
  <dc:creator>dell</dc:creator>
  <cp:lastModifiedBy>Admin</cp:lastModifiedBy>
  <dcterms:modified xsi:type="dcterms:W3CDTF">2022-08-02T02:41:11Z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y fmtid="{D5CDD505-2E9C-101B-9397-08002B2CF9AE}" pid="3" name="ICV">
    <vt:lpwstr>A9518FD906344A698651F62082FF46EE</vt:lpwstr>
  </property>
</Properties>
</file>