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黑体" w:hAnsi="黑体" w:eastAsia="黑体" w:cs="Times New Roman"/>
          <w:color w:val="auto"/>
          <w:sz w:val="44"/>
          <w:szCs w:val="44"/>
        </w:rPr>
      </w:pPr>
      <w:bookmarkStart w:id="0" w:name="_GoBack"/>
      <w:r>
        <w:rPr>
          <w:rFonts w:hint="eastAsia" w:ascii="黑体" w:hAnsi="黑体" w:eastAsia="黑体" w:cs="Times New Roman"/>
          <w:color w:val="auto"/>
          <w:sz w:val="44"/>
          <w:szCs w:val="44"/>
        </w:rPr>
        <w:t>死亡或被宣告死亡提取住房公积金</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黑体" w:hAnsi="黑体" w:eastAsia="黑体" w:cs="Times New Roman"/>
          <w:color w:val="auto"/>
          <w:sz w:val="44"/>
          <w:szCs w:val="44"/>
        </w:rPr>
      </w:pPr>
      <w:r>
        <w:rPr>
          <w:rFonts w:hint="eastAsia" w:ascii="黑体" w:hAnsi="黑体" w:eastAsia="黑体" w:cs="Times New Roman"/>
          <w:color w:val="auto"/>
          <w:sz w:val="44"/>
          <w:szCs w:val="44"/>
        </w:rPr>
        <w:t>办理服务指南</w:t>
      </w:r>
    </w:p>
    <w:p>
      <w:pPr>
        <w:pStyle w:val="2"/>
        <w:keepNext/>
        <w:keepLines/>
        <w:pageBreakBefore w:val="0"/>
        <w:widowControl w:val="0"/>
        <w:kinsoku/>
        <w:wordWrap/>
        <w:overflowPunct/>
        <w:topLinePunct w:val="0"/>
        <w:autoSpaceDE/>
        <w:autoSpaceDN/>
        <w:bidi w:val="0"/>
        <w:adjustRightInd w:val="0"/>
        <w:snapToGrid w:val="0"/>
        <w:spacing w:before="0" w:beforeLines="0" w:after="0" w:afterLines="0" w:line="560" w:lineRule="exact"/>
        <w:jc w:val="center"/>
        <w:textAlignment w:val="auto"/>
        <w:rPr>
          <w:rFonts w:hint="eastAsia" w:ascii="仿宋_GB2312" w:hAnsi="黑体" w:eastAsia="仿宋_GB2312" w:cs="Times New Roman"/>
          <w:color w:val="auto"/>
          <w:sz w:val="32"/>
          <w:szCs w:val="32"/>
          <w:lang w:val="en-US" w:eastAsia="zh-CN"/>
        </w:rPr>
      </w:pPr>
      <w:r>
        <w:rPr>
          <w:rFonts w:hint="eastAsia" w:ascii="仿宋_GB2312" w:hAnsi="黑体" w:eastAsia="仿宋_GB2312" w:cs="Times New Roman"/>
          <w:color w:val="auto"/>
          <w:sz w:val="32"/>
          <w:szCs w:val="32"/>
          <w:lang w:val="en-US" w:eastAsia="zh-CN"/>
        </w:rPr>
        <w:t>更新日期：2022年7月28日</w:t>
      </w:r>
    </w:p>
    <w:p>
      <w:pPr>
        <w:pStyle w:val="8"/>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事项名称</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死亡或被宣告死亡提取住房公积金</w:t>
      </w:r>
    </w:p>
    <w:p>
      <w:pPr>
        <w:pStyle w:val="8"/>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办理依据</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（一）《住房公积金管理条例》（1999年4月3日国务院令第262号发布 根据2002年3月24日《国务院关于修改&lt;住房公积金管理条例&gt;的决定》和2019年3月24日《国务院关于修改部分行政法规的决定》修订）；</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 《住房公积金提取业务标准》 （GB/T5 1353-2019）；</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ascii="仿宋_GB2312" w:hAnsi="宋体" w:eastAsia="仿宋_GB2312"/>
          <w:color w:val="auto"/>
          <w:sz w:val="32"/>
          <w:szCs w:val="32"/>
        </w:rPr>
      </w:pPr>
      <w:r>
        <w:rPr>
          <w:rFonts w:hint="eastAsia" w:ascii="仿宋_GB2312" w:hAnsi="黑体" w:eastAsia="仿宋_GB2312" w:cs="Times New Roman"/>
          <w:color w:val="auto"/>
          <w:sz w:val="32"/>
          <w:szCs w:val="32"/>
        </w:rPr>
        <w:t xml:space="preserve">    （三）《青岛市住房公积金提取管理办法》（</w:t>
      </w:r>
      <w:r>
        <w:rPr>
          <w:rFonts w:hint="eastAsia" w:ascii="仿宋_GB2312" w:hAnsi="宋体" w:eastAsia="仿宋_GB2312"/>
          <w:color w:val="auto"/>
          <w:sz w:val="32"/>
          <w:szCs w:val="32"/>
        </w:rPr>
        <w:t>青住金规〔201</w:t>
      </w:r>
      <w:r>
        <w:rPr>
          <w:rFonts w:ascii="仿宋_GB2312" w:hAnsi="宋体" w:eastAsia="仿宋_GB2312"/>
          <w:color w:val="auto"/>
          <w:sz w:val="32"/>
          <w:szCs w:val="32"/>
        </w:rPr>
        <w:t>9</w:t>
      </w:r>
      <w:r>
        <w:rPr>
          <w:rFonts w:hint="eastAsia" w:ascii="仿宋_GB2312" w:hAnsi="宋体" w:eastAsia="仿宋_GB2312"/>
          <w:color w:val="auto"/>
          <w:sz w:val="32"/>
          <w:szCs w:val="32"/>
        </w:rPr>
        <w:t>〕4号</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15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三、受理单位及办理地点</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6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市南管理处  </w:t>
      </w:r>
      <w:r>
        <w:rPr>
          <w:rFonts w:ascii="仿宋_GB2312" w:hAnsi="黑体" w:eastAsia="仿宋_GB2312" w:cs="Times New Roman"/>
          <w:color w:val="auto"/>
          <w:sz w:val="32"/>
          <w:szCs w:val="32"/>
        </w:rPr>
        <w:t>地址：</w:t>
      </w:r>
      <w:r>
        <w:rPr>
          <w:rFonts w:hint="eastAsia" w:ascii="仿宋_GB2312" w:hAnsi="黑体" w:eastAsia="仿宋_GB2312" w:cs="Times New Roman"/>
          <w:color w:val="auto"/>
          <w:sz w:val="32"/>
          <w:szCs w:val="32"/>
        </w:rPr>
        <w:t>青岛市民中心（市南区福州南路17，27号）2楼南侧大厅</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市北管理处  地址：市北区敦化路328号诺德广场A座5楼</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李沧管理处  地址：李沧区京口路47号百通大厦7楼</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崂山管理处  地址：</w:t>
      </w:r>
      <w:r>
        <w:rPr>
          <w:rFonts w:hint="eastAsia" w:ascii="仿宋_GB2312" w:hAnsi="黑体" w:eastAsia="仿宋_GB2312" w:cs="Times New Roman"/>
          <w:color w:val="auto"/>
          <w:w w:val="90"/>
          <w:sz w:val="32"/>
          <w:szCs w:val="32"/>
        </w:rPr>
        <w:t>崂山区海尔路182-8号半岛国际大厦5楼</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6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城阳管理处  地址：城阳区正阳路205号B座6楼</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黄岛管理处第一营业大厅</w:t>
      </w:r>
    </w:p>
    <w:p>
      <w:pPr>
        <w:keepNext w:val="0"/>
        <w:keepLines w:val="0"/>
        <w:pageBreakBefore w:val="0"/>
        <w:widowControl w:val="0"/>
        <w:kinsoku/>
        <w:wordWrap/>
        <w:overflowPunct/>
        <w:topLinePunct w:val="0"/>
        <w:autoSpaceDE/>
        <w:autoSpaceDN/>
        <w:bidi w:val="0"/>
        <w:adjustRightInd w:val="0"/>
        <w:snapToGrid w:val="0"/>
        <w:spacing w:line="560" w:lineRule="exact"/>
        <w:ind w:firstLine="2400" w:firstLineChars="7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地址：黄岛区长江东路313号悦海大厦</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黄岛管理处第二营业大厅 </w:t>
      </w:r>
    </w:p>
    <w:p>
      <w:pPr>
        <w:keepNext w:val="0"/>
        <w:keepLines w:val="0"/>
        <w:pageBreakBefore w:val="0"/>
        <w:widowControl w:val="0"/>
        <w:kinsoku/>
        <w:wordWrap/>
        <w:overflowPunct/>
        <w:topLinePunct w:val="0"/>
        <w:autoSpaceDE/>
        <w:autoSpaceDN/>
        <w:bidi w:val="0"/>
        <w:adjustRightInd w:val="0"/>
        <w:snapToGrid w:val="0"/>
        <w:spacing w:line="560" w:lineRule="exact"/>
        <w:ind w:firstLine="2560" w:firstLineChars="8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地址：</w:t>
      </w:r>
      <w:r>
        <w:rPr>
          <w:rFonts w:ascii="仿宋_GB2312" w:hAnsi="黑体" w:eastAsia="仿宋_GB2312" w:cs="Times New Roman"/>
          <w:color w:val="auto"/>
          <w:sz w:val="32"/>
          <w:szCs w:val="32"/>
        </w:rPr>
        <w:t>黄岛区</w:t>
      </w:r>
      <w:r>
        <w:rPr>
          <w:rFonts w:hint="eastAsia" w:ascii="仿宋_GB2312" w:hAnsi="黑体" w:eastAsia="仿宋_GB2312" w:cs="Times New Roman"/>
          <w:color w:val="auto"/>
          <w:sz w:val="32"/>
          <w:szCs w:val="32"/>
        </w:rPr>
        <w:t>双珠</w:t>
      </w:r>
      <w:r>
        <w:rPr>
          <w:rFonts w:ascii="仿宋_GB2312" w:hAnsi="黑体" w:eastAsia="仿宋_GB2312" w:cs="Times New Roman"/>
          <w:color w:val="auto"/>
          <w:sz w:val="32"/>
          <w:szCs w:val="32"/>
        </w:rPr>
        <w:t>路</w:t>
      </w:r>
      <w:r>
        <w:rPr>
          <w:rFonts w:hint="eastAsia" w:ascii="仿宋_GB2312" w:hAnsi="黑体" w:eastAsia="仿宋_GB2312" w:cs="Times New Roman"/>
          <w:color w:val="auto"/>
          <w:sz w:val="32"/>
          <w:szCs w:val="32"/>
        </w:rPr>
        <w:t>399</w:t>
      </w:r>
      <w:r>
        <w:rPr>
          <w:rFonts w:ascii="仿宋_GB2312" w:hAnsi="黑体" w:eastAsia="仿宋_GB2312" w:cs="Times New Roman"/>
          <w:color w:val="auto"/>
          <w:sz w:val="32"/>
          <w:szCs w:val="32"/>
        </w:rPr>
        <w:t>号光大商务中心3楼</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即墨管理处  地址：</w:t>
      </w:r>
      <w:r>
        <w:rPr>
          <w:rFonts w:ascii="仿宋_GB2312" w:hAnsi="黑体" w:eastAsia="仿宋_GB2312" w:cs="Times New Roman"/>
          <w:color w:val="auto"/>
          <w:sz w:val="32"/>
          <w:szCs w:val="32"/>
        </w:rPr>
        <w:t>即墨</w:t>
      </w:r>
      <w:r>
        <w:rPr>
          <w:rFonts w:hint="eastAsia" w:ascii="仿宋_GB2312" w:hAnsi="黑体" w:eastAsia="仿宋_GB2312" w:cs="Times New Roman"/>
          <w:color w:val="auto"/>
          <w:sz w:val="32"/>
          <w:szCs w:val="32"/>
        </w:rPr>
        <w:t>区</w:t>
      </w:r>
      <w:r>
        <w:rPr>
          <w:rFonts w:ascii="仿宋_GB2312" w:hAnsi="黑体" w:eastAsia="仿宋_GB2312" w:cs="Times New Roman"/>
          <w:color w:val="auto"/>
          <w:sz w:val="32"/>
          <w:szCs w:val="32"/>
        </w:rPr>
        <w:t>蓝鳌路788号德馨大厦</w:t>
      </w:r>
      <w:r>
        <w:rPr>
          <w:rFonts w:hint="eastAsia" w:ascii="仿宋_GB2312" w:hAnsi="黑体" w:eastAsia="仿宋_GB2312" w:cs="Times New Roman"/>
          <w:color w:val="auto"/>
          <w:sz w:val="32"/>
          <w:szCs w:val="32"/>
        </w:rPr>
        <w:t>3</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黑体" w:eastAsia="仿宋_GB2312" w:cs="Times New Roman"/>
          <w:color w:val="auto"/>
          <w:w w:val="85"/>
          <w:sz w:val="32"/>
          <w:szCs w:val="32"/>
        </w:rPr>
      </w:pPr>
      <w:r>
        <w:rPr>
          <w:rFonts w:hint="eastAsia" w:ascii="仿宋_GB2312" w:hAnsi="黑体" w:eastAsia="仿宋_GB2312" w:cs="Times New Roman"/>
          <w:color w:val="auto"/>
          <w:sz w:val="32"/>
          <w:szCs w:val="32"/>
        </w:rPr>
        <w:t>胶州管理处  地址：</w:t>
      </w:r>
      <w:r>
        <w:rPr>
          <w:rFonts w:hint="eastAsia" w:ascii="仿宋_GB2312" w:hAnsi="黑体" w:eastAsia="仿宋_GB2312" w:cs="Times New Roman"/>
          <w:color w:val="auto"/>
          <w:w w:val="85"/>
          <w:sz w:val="32"/>
          <w:szCs w:val="32"/>
        </w:rPr>
        <w:t>胶州市澳门路333号天泰金融广场4号楼10楼</w:t>
      </w:r>
    </w:p>
    <w:p>
      <w:pPr>
        <w:keepNext w:val="0"/>
        <w:keepLines w:val="0"/>
        <w:pageBreakBefore w:val="0"/>
        <w:widowControl w:val="0"/>
        <w:kinsoku/>
        <w:wordWrap/>
        <w:overflowPunct/>
        <w:topLinePunct w:val="0"/>
        <w:autoSpaceDE/>
        <w:autoSpaceDN/>
        <w:bidi w:val="0"/>
        <w:adjustRightInd w:val="0"/>
        <w:snapToGrid w:val="0"/>
        <w:spacing w:line="560" w:lineRule="exact"/>
        <w:ind w:left="3038" w:leftChars="304" w:hanging="2400" w:hangingChars="7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平度管理处  地址：</w:t>
      </w:r>
      <w:r>
        <w:rPr>
          <w:rFonts w:ascii="仿宋_GB2312" w:hAnsi="黑体" w:eastAsia="仿宋_GB2312" w:cs="Times New Roman"/>
          <w:color w:val="auto"/>
          <w:sz w:val="32"/>
          <w:szCs w:val="32"/>
        </w:rPr>
        <w:t>平度市红旗路23号鼎峰大厦6楼</w:t>
      </w:r>
    </w:p>
    <w:p>
      <w:pPr>
        <w:pStyle w:val="2"/>
        <w:keepNext/>
        <w:keepLines/>
        <w:pageBreakBefore w:val="0"/>
        <w:widowControl w:val="0"/>
        <w:kinsoku/>
        <w:wordWrap/>
        <w:overflowPunct/>
        <w:topLinePunct w:val="0"/>
        <w:autoSpaceDE/>
        <w:autoSpaceDN/>
        <w:bidi w:val="0"/>
        <w:adjustRightInd w:val="0"/>
        <w:snapToGrid w:val="0"/>
        <w:spacing w:before="0" w:beforeLines="0" w:after="0" w:afterLines="0" w:line="560" w:lineRule="exact"/>
        <w:ind w:firstLine="640" w:firstLineChars="200"/>
        <w:textAlignment w:val="auto"/>
        <w:rPr>
          <w:color w:val="auto"/>
        </w:rPr>
      </w:pPr>
      <w:r>
        <w:rPr>
          <w:rFonts w:hint="eastAsia" w:ascii="仿宋_GB2312" w:hAnsi="黑体" w:eastAsia="仿宋_GB2312" w:cs="Times New Roman"/>
          <w:color w:val="auto"/>
          <w:sz w:val="32"/>
          <w:szCs w:val="32"/>
        </w:rPr>
        <w:t>莱西管理处  地址：</w:t>
      </w:r>
      <w:r>
        <w:rPr>
          <w:rFonts w:ascii="仿宋_GB2312" w:hAnsi="黑体" w:eastAsia="仿宋_GB2312" w:cs="Times New Roman"/>
          <w:color w:val="auto"/>
          <w:sz w:val="32"/>
          <w:szCs w:val="32"/>
        </w:rPr>
        <w:t>莱西市长岛路</w:t>
      </w:r>
      <w:r>
        <w:rPr>
          <w:rFonts w:ascii="仿宋_GB2312" w:hAnsi="黑体" w:eastAsia="仿宋_GB2312" w:cs="Times New Roman"/>
          <w:color w:val="auto"/>
          <w:sz w:val="32"/>
          <w:szCs w:val="32"/>
        </w:rPr>
        <w:t>1</w:t>
      </w:r>
      <w:r>
        <w:rPr>
          <w:rFonts w:hint="eastAsia" w:ascii="仿宋_GB2312" w:hAnsi="黑体" w:eastAsia="仿宋_GB2312" w:cs="Times New Roman"/>
          <w:color w:val="auto"/>
          <w:sz w:val="32"/>
          <w:szCs w:val="32"/>
          <w:lang w:val="en-US" w:eastAsia="zh-CN"/>
        </w:rPr>
        <w:t>48</w:t>
      </w:r>
      <w:r>
        <w:rPr>
          <w:rFonts w:ascii="仿宋_GB2312" w:hAnsi="黑体" w:eastAsia="仿宋_GB2312" w:cs="Times New Roman"/>
          <w:color w:val="auto"/>
          <w:sz w:val="32"/>
          <w:szCs w:val="32"/>
        </w:rPr>
        <w:t>号</w:t>
      </w:r>
      <w:r>
        <w:rPr>
          <w:rFonts w:hint="eastAsia" w:ascii="仿宋_GB2312" w:hAnsi="黑体" w:eastAsia="仿宋_GB2312" w:cs="Times New Roman"/>
          <w:color w:val="auto"/>
          <w:sz w:val="32"/>
          <w:szCs w:val="32"/>
          <w:lang w:val="en-US" w:eastAsia="zh-CN"/>
        </w:rPr>
        <w:t>市政务服务中心A座5</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四、办理条件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 w:eastAsia="仿宋_GB2312"/>
          <w:color w:val="auto"/>
          <w:sz w:val="32"/>
          <w:szCs w:val="32"/>
        </w:rPr>
      </w:pPr>
      <w:r>
        <w:rPr>
          <w:rFonts w:hint="eastAsia" w:ascii="仿宋_GB2312" w:hAnsi="黑体" w:eastAsia="仿宋_GB2312" w:cs="Times New Roman"/>
          <w:color w:val="auto"/>
          <w:sz w:val="32"/>
          <w:szCs w:val="32"/>
        </w:rPr>
        <w:t>申请范围：</w:t>
      </w:r>
      <w:r>
        <w:rPr>
          <w:rFonts w:hint="eastAsia" w:ascii="仿宋_GB2312" w:hAnsi="仿宋" w:eastAsia="仿宋_GB2312"/>
          <w:color w:val="auto"/>
          <w:sz w:val="32"/>
          <w:szCs w:val="32"/>
        </w:rPr>
        <w:t>职工死亡或者被宣告死亡的，其职工继承人或受遗赠人可以提取职工住房公积金账户内的存储余额，应当同时注销其住房公积金账户。</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五、申请材料</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Times New Roman"/>
          <w:color w:val="auto"/>
          <w:sz w:val="32"/>
          <w:szCs w:val="32"/>
        </w:rPr>
      </w:pPr>
      <w:r>
        <w:rPr>
          <w:rFonts w:hint="eastAsia" w:ascii="仿宋_GB2312" w:hAnsi="宋体" w:eastAsia="仿宋_GB2312" w:cs="Times New Roman"/>
          <w:color w:val="auto"/>
          <w:sz w:val="32"/>
          <w:szCs w:val="32"/>
          <w:lang w:val="en-US" w:eastAsia="zh-CN"/>
        </w:rPr>
        <w:t>提示：支持电子证照。</w:t>
      </w:r>
      <w:r>
        <w:rPr>
          <w:rFonts w:hint="eastAsia" w:ascii="仿宋_GB2312" w:hAnsi="宋体" w:eastAsia="仿宋_GB2312" w:cs="Times New Roman"/>
          <w:color w:val="auto"/>
          <w:sz w:val="32"/>
          <w:szCs w:val="32"/>
        </w:rPr>
        <w:t>电子身份证、电子营业执照、不动产权证书、不动产登记证明、结婚证、离婚证</w:t>
      </w:r>
      <w:r>
        <w:rPr>
          <w:rFonts w:hint="eastAsia" w:ascii="仿宋_GB2312" w:hAnsi="宋体" w:eastAsia="仿宋_GB2312" w:cs="Times New Roman"/>
          <w:color w:val="auto"/>
          <w:sz w:val="32"/>
          <w:szCs w:val="32"/>
          <w:lang w:val="en-US" w:eastAsia="zh-CN"/>
        </w:rPr>
        <w:t>等</w:t>
      </w:r>
      <w:r>
        <w:rPr>
          <w:rFonts w:hint="eastAsia" w:ascii="仿宋_GB2312" w:hAnsi="宋体" w:eastAsia="仿宋_GB2312" w:cs="Times New Roman"/>
          <w:color w:val="auto"/>
          <w:sz w:val="32"/>
          <w:szCs w:val="32"/>
        </w:rPr>
        <w:t>，可通过“爱山东”APP申领并出示电子证照，办理业务及咨询。</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ascii="黑体" w:hAnsi="黑体" w:eastAsia="黑体"/>
          <w:color w:val="auto"/>
          <w:sz w:val="44"/>
          <w:szCs w:val="44"/>
        </w:rPr>
      </w:pPr>
      <w:r>
        <w:rPr>
          <w:rFonts w:hint="eastAsia" w:ascii="仿宋_GB2312" w:hAnsi="黑体" w:eastAsia="仿宋_GB2312" w:cs="Times New Roman"/>
          <w:color w:val="auto"/>
          <w:sz w:val="32"/>
          <w:szCs w:val="32"/>
        </w:rPr>
        <w:t>（一</w:t>
      </w:r>
      <w:r>
        <w:rPr>
          <w:rFonts w:hint="eastAsia" w:ascii="仿宋_GB2312" w:hAnsi="仿宋" w:eastAsia="仿宋_GB2312" w:cs="仿宋_GB2312"/>
          <w:color w:val="auto"/>
          <w:sz w:val="32"/>
          <w:szCs w:val="32"/>
        </w:rPr>
        <w:t>）《青岛市住房公积金提取承诺书</w:t>
      </w:r>
      <w:r>
        <w:rPr>
          <w:rFonts w:hint="eastAsia" w:ascii="仿宋_GB2312" w:eastAsia="仿宋_GB2312"/>
          <w:color w:val="auto"/>
          <w:sz w:val="32"/>
          <w:szCs w:val="32"/>
        </w:rPr>
        <w:t>（继承提取）</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（二）身份证明材料原件：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仿宋" w:eastAsia="仿宋_GB2312" w:cs="仿宋_GB2312"/>
          <w:color w:val="auto"/>
          <w:sz w:val="32"/>
          <w:szCs w:val="32"/>
        </w:rPr>
      </w:pPr>
      <w:r>
        <w:rPr>
          <w:rFonts w:hint="eastAsia" w:ascii="仿宋_GB2312" w:hAnsi="黑体" w:eastAsia="仿宋_GB2312" w:cs="Times New Roman"/>
          <w:color w:val="auto"/>
          <w:sz w:val="32"/>
          <w:szCs w:val="32"/>
        </w:rPr>
        <w:t xml:space="preserve">1. </w:t>
      </w:r>
      <w:r>
        <w:rPr>
          <w:rFonts w:hint="eastAsia" w:ascii="仿宋_GB2312" w:hAnsi="仿宋" w:eastAsia="仿宋_GB2312" w:cs="仿宋_GB2312"/>
          <w:color w:val="auto"/>
          <w:sz w:val="32"/>
          <w:szCs w:val="32"/>
        </w:rPr>
        <w:t>继承人或受遗赠人的身份证；</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2. 若一个继承人或受遗赠人的，可委托已在市住房公积金管理中心登记备案的单位经办人办理的，单位经办人应提供身份证原件；委托其他人办理的，被委托人应出具经公证的委托书原件及身份证原件；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 w:eastAsia="仿宋_GB2312" w:cs="仿宋_GB2312"/>
          <w:color w:val="auto"/>
          <w:sz w:val="32"/>
          <w:szCs w:val="32"/>
        </w:rPr>
      </w:pPr>
      <w:r>
        <w:rPr>
          <w:rFonts w:hint="eastAsia" w:ascii="仿宋_GB2312" w:hAnsi="仿宋" w:eastAsia="仿宋_GB2312" w:cs="仿宋_GB2312"/>
          <w:color w:val="auto"/>
          <w:sz w:val="32"/>
          <w:szCs w:val="32"/>
        </w:rPr>
        <w:t>（三）经公证的住房公积金继承书或经公证的遗赠书原件。有多个继承人或受遗赠人的，还应提供经公证的其他继承人或受遗赠人的授权委托书原件;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 w:eastAsia="仿宋_GB2312" w:cs="仿宋_GB2312"/>
          <w:color w:val="auto"/>
          <w:sz w:val="32"/>
          <w:szCs w:val="32"/>
        </w:rPr>
      </w:pPr>
      <w:r>
        <w:rPr>
          <w:rFonts w:hint="eastAsia" w:ascii="仿宋_GB2312" w:hAnsi="仿宋" w:eastAsia="仿宋_GB2312" w:cs="仿宋_GB2312"/>
          <w:color w:val="auto"/>
          <w:sz w:val="32"/>
          <w:szCs w:val="32"/>
        </w:rPr>
        <w:t>（四）对继承或遗赠有争议的，应提供生效的法院判决书、裁定书或调解书等法律文书原件。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六、基本流程</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（一）柜台办理：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1.继承人或受遗赠人提取住房公积金，继承人或受遗赠人本人持相关证明材料到公积金中心任一管理申请办理。对符合提取条件的公积金中心当即办结，对申请人提供的相关资料需要调查核实的，公积金中心自受理申请之日起 3 个工作日内做出准予或者不准予提取的决定，并通知继承人或受遗赠人。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2.</w:t>
      </w:r>
      <w:r>
        <w:rPr>
          <w:rFonts w:hint="eastAsia" w:ascii="仿宋_GB2312" w:eastAsia="仿宋_GB2312"/>
          <w:color w:val="auto"/>
          <w:sz w:val="25"/>
          <w:szCs w:val="25"/>
          <w:shd w:val="clear" w:color="auto" w:fill="FFFFFF"/>
        </w:rPr>
        <w:t xml:space="preserve"> </w:t>
      </w:r>
      <w:r>
        <w:rPr>
          <w:rFonts w:hint="eastAsia" w:ascii="仿宋_GB2312" w:hAnsi="仿宋" w:eastAsia="仿宋_GB2312"/>
          <w:color w:val="auto"/>
          <w:sz w:val="32"/>
          <w:szCs w:val="32"/>
        </w:rPr>
        <w:t>经审核符合提取条件的，公积金中心将提取金额划转至提取申请人与公积金中心约定的提取结算账户，其中提取结算账户包括：继承人或受遗赠人I类借记卡。其中I类借记卡仅限于：建设银行、工商银行、农业银行、中国银行、交通银行、光大银行、</w:t>
      </w:r>
      <w:r>
        <w:rPr>
          <w:rFonts w:hint="eastAsia" w:ascii="仿宋_GB2312" w:hAnsi="仿宋" w:eastAsia="仿宋_GB2312"/>
          <w:color w:val="auto"/>
          <w:sz w:val="32"/>
          <w:szCs w:val="32"/>
          <w:lang w:eastAsia="zh-CN"/>
        </w:rPr>
        <w:t>青岛银行</w:t>
      </w:r>
      <w:r>
        <w:rPr>
          <w:rFonts w:hint="eastAsia" w:ascii="仿宋_GB2312" w:hAnsi="仿宋" w:eastAsia="仿宋_GB2312"/>
          <w:color w:val="auto"/>
          <w:sz w:val="32"/>
          <w:szCs w:val="32"/>
          <w:lang w:eastAsia="zh-CN"/>
        </w:rPr>
        <w:t>、青岛农商银行</w:t>
      </w:r>
      <w:r>
        <w:rPr>
          <w:rFonts w:hint="eastAsia" w:ascii="仿宋_GB2312" w:hAnsi="仿宋" w:eastAsia="仿宋_GB2312"/>
          <w:color w:val="auto"/>
          <w:sz w:val="32"/>
          <w:szCs w:val="32"/>
          <w:lang w:eastAsia="zh-CN"/>
        </w:rPr>
        <w:t>、恒丰银行、招商银行</w:t>
      </w:r>
      <w:r>
        <w:rPr>
          <w:rFonts w:hint="eastAsia" w:ascii="仿宋_GB2312"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黑体" w:eastAsia="仿宋_GB2312" w:cs="Times New Roman"/>
          <w:color w:val="auto"/>
          <w:sz w:val="32"/>
          <w:szCs w:val="32"/>
        </w:rPr>
      </w:pPr>
      <w:r>
        <w:rPr>
          <w:rFonts w:hint="eastAsia" w:ascii="仿宋_GB2312" w:hAnsi="仿宋" w:eastAsia="仿宋_GB2312"/>
          <w:color w:val="auto"/>
          <w:sz w:val="32"/>
          <w:szCs w:val="32"/>
        </w:rPr>
        <w:t>备注:提取结算账户为职工I类借记卡的,需继承人或受遗赠人通过柜台绑定，也可以委托单位经办人持</w:t>
      </w:r>
      <w:r>
        <w:rPr>
          <w:rFonts w:hint="eastAsia" w:ascii="仿宋_GB2312" w:hAnsi="黑体" w:eastAsia="仿宋_GB2312" w:cs="Times New Roman"/>
          <w:color w:val="auto"/>
          <w:sz w:val="32"/>
          <w:szCs w:val="32"/>
        </w:rPr>
        <w:t>《青岛市住房公积金个人账户信息变更申请表》（加盖单位公章）、经办人及</w:t>
      </w:r>
      <w:r>
        <w:rPr>
          <w:rFonts w:hint="eastAsia" w:ascii="仿宋_GB2312" w:hAnsi="仿宋" w:eastAsia="仿宋_GB2312"/>
          <w:color w:val="auto"/>
          <w:sz w:val="32"/>
          <w:szCs w:val="32"/>
        </w:rPr>
        <w:t>继承人或受遗赠人</w:t>
      </w:r>
      <w:r>
        <w:rPr>
          <w:rFonts w:hint="eastAsia" w:ascii="仿宋_GB2312" w:hAnsi="黑体" w:eastAsia="仿宋_GB2312" w:cs="Times New Roman"/>
          <w:color w:val="auto"/>
          <w:sz w:val="32"/>
          <w:szCs w:val="32"/>
        </w:rPr>
        <w:t>双方身份证到柜台绑定。</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（二）住房公积金网上营业厅（个人专业版）预申请：</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黑体" w:eastAsia="仿宋_GB2312" w:cs="Times New Roman"/>
          <w:color w:val="auto"/>
          <w:sz w:val="32"/>
          <w:szCs w:val="32"/>
        </w:rPr>
      </w:pPr>
      <w:r>
        <w:rPr>
          <w:rFonts w:hint="eastAsia" w:ascii="仿宋_GB2312" w:hAnsi="黑体" w:eastAsia="仿宋_GB2312" w:cs="Times New Roman"/>
          <w:color w:val="auto"/>
          <w:sz w:val="32"/>
          <w:szCs w:val="32"/>
        </w:rPr>
        <w:t>职工可通过住房公积金网上营业厅（个人专业版）预申请职工本人或其直系亲属患重病、大病且造成家庭生活严重困难提取公积金业务。业务预申请是由个人上传办理所需材料，公积金中心后台审核的业务管理模式。(业务预申请支持24小时上传，中心业务审核时间为工作日、双休日9：00——16:30）</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操作流程：详情请参照青岛市住房公积金官网（http://www.qdgjj.com）“便民指引--网上营业厅--个人专业版--青岛住房公积金网上营业厅操作手册（个人专业版）”办理。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七、收费依据及标准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不收费。</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八、办理时限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 w:eastAsia="仿宋_GB2312" w:cs="仿宋_GB2312"/>
          <w:color w:val="auto"/>
          <w:sz w:val="32"/>
          <w:szCs w:val="32"/>
        </w:rPr>
      </w:pPr>
      <w:r>
        <w:rPr>
          <w:rFonts w:hint="eastAsia" w:ascii="仿宋_GB2312" w:hAnsi="仿宋" w:eastAsia="仿宋_GB2312"/>
          <w:color w:val="auto"/>
          <w:sz w:val="32"/>
          <w:szCs w:val="32"/>
        </w:rPr>
        <w:t>对符合提取条件的公积金中心当即办结；对申请人提供的相关资料需要调查核实的，公积金中心</w:t>
      </w:r>
      <w:r>
        <w:rPr>
          <w:rFonts w:hint="eastAsia" w:ascii="仿宋_GB2312" w:hAnsi="仿宋" w:eastAsia="仿宋_GB2312" w:cs="仿宋_GB2312"/>
          <w:color w:val="auto"/>
          <w:sz w:val="32"/>
          <w:szCs w:val="32"/>
        </w:rPr>
        <w:t>应当自受理提取申请之日起3个工作日内，根据提取审核结果作出准予提取或者不准予提取的决定，并通知继承人或受遗赠人。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九、咨询方式</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黑体" w:eastAsia="仿宋_GB2312" w:cs="Times New Roman"/>
          <w:color w:val="auto"/>
          <w:sz w:val="32"/>
          <w:szCs w:val="32"/>
          <w:lang w:eastAsia="zh-CN"/>
        </w:rPr>
      </w:pPr>
      <w:r>
        <w:rPr>
          <w:rFonts w:hint="eastAsia" w:ascii="仿宋_GB2312" w:hAnsi="黑体" w:eastAsia="仿宋_GB2312" w:cs="Times New Roman"/>
          <w:color w:val="auto"/>
          <w:sz w:val="32"/>
          <w:szCs w:val="32"/>
        </w:rPr>
        <w:t>（一）现场咨询：青岛市住房公积金管理中心所辖各区（市）管理处营业大厅</w:t>
      </w:r>
      <w:r>
        <w:rPr>
          <w:rFonts w:hint="eastAsia" w:ascii="仿宋_GB2312" w:hAnsi="黑体"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（二）电话咨询：（0532</w:t>
      </w:r>
      <w:r>
        <w:rPr>
          <w:rFonts w:ascii="仿宋_GB2312" w:hAnsi="黑体" w:eastAsia="仿宋_GB2312" w:cs="Times New Roman"/>
          <w:color w:val="auto"/>
          <w:sz w:val="32"/>
          <w:szCs w:val="32"/>
        </w:rPr>
        <w:t>）</w:t>
      </w:r>
      <w:r>
        <w:rPr>
          <w:rFonts w:hint="eastAsia" w:ascii="仿宋_GB2312" w:hAnsi="黑体" w:eastAsia="仿宋_GB2312" w:cs="Times New Roman"/>
          <w:color w:val="auto"/>
          <w:sz w:val="32"/>
          <w:szCs w:val="32"/>
        </w:rPr>
        <w:t>12329（住房公积金热线）。</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（三）网站查询：http://www.qdgjj.com</w:t>
      </w:r>
      <w:r>
        <w:rPr>
          <w:rFonts w:hint="eastAsia" w:ascii="仿宋_GB2312" w:hAnsi="黑体" w:eastAsia="仿宋_GB2312" w:cs="Times New Roman"/>
          <w:color w:val="auto"/>
          <w:sz w:val="32"/>
          <w:szCs w:val="32"/>
          <w:lang w:eastAsia="zh-CN"/>
        </w:rPr>
        <w:t>。</w:t>
      </w:r>
    </w:p>
    <w:bookmarkEnd w:id="0"/>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C5F82"/>
    <w:multiLevelType w:val="multilevel"/>
    <w:tmpl w:val="470C5F82"/>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kYWRkMzNmZmY2MjQyZjJjOTgyMDExNzcyODE2NjUifQ=="/>
  </w:docVars>
  <w:rsids>
    <w:rsidRoot w:val="00A07926"/>
    <w:rsid w:val="0001361B"/>
    <w:rsid w:val="0002271D"/>
    <w:rsid w:val="00040002"/>
    <w:rsid w:val="0005246B"/>
    <w:rsid w:val="00054C35"/>
    <w:rsid w:val="0006446B"/>
    <w:rsid w:val="00071C22"/>
    <w:rsid w:val="000776EB"/>
    <w:rsid w:val="0008250D"/>
    <w:rsid w:val="00084CB4"/>
    <w:rsid w:val="000D43F8"/>
    <w:rsid w:val="00102B79"/>
    <w:rsid w:val="00110AAC"/>
    <w:rsid w:val="00124233"/>
    <w:rsid w:val="00136D53"/>
    <w:rsid w:val="00182E71"/>
    <w:rsid w:val="00195B1F"/>
    <w:rsid w:val="0019785E"/>
    <w:rsid w:val="001B200E"/>
    <w:rsid w:val="001B35EC"/>
    <w:rsid w:val="001C07BE"/>
    <w:rsid w:val="001E1E9A"/>
    <w:rsid w:val="001F184F"/>
    <w:rsid w:val="001F247A"/>
    <w:rsid w:val="001F7608"/>
    <w:rsid w:val="00203CC6"/>
    <w:rsid w:val="0021179A"/>
    <w:rsid w:val="00212F9B"/>
    <w:rsid w:val="002309AD"/>
    <w:rsid w:val="00234AA1"/>
    <w:rsid w:val="002368D1"/>
    <w:rsid w:val="00251C2E"/>
    <w:rsid w:val="0026031E"/>
    <w:rsid w:val="00262013"/>
    <w:rsid w:val="00276F22"/>
    <w:rsid w:val="002922F0"/>
    <w:rsid w:val="0029385B"/>
    <w:rsid w:val="002A3AF6"/>
    <w:rsid w:val="002D5CF2"/>
    <w:rsid w:val="002F2CCB"/>
    <w:rsid w:val="003012CC"/>
    <w:rsid w:val="00306A6D"/>
    <w:rsid w:val="00311EB8"/>
    <w:rsid w:val="00326D44"/>
    <w:rsid w:val="00333B41"/>
    <w:rsid w:val="003638F0"/>
    <w:rsid w:val="003846A6"/>
    <w:rsid w:val="003875F9"/>
    <w:rsid w:val="003A316C"/>
    <w:rsid w:val="003A3523"/>
    <w:rsid w:val="003B4667"/>
    <w:rsid w:val="003C2643"/>
    <w:rsid w:val="00403A35"/>
    <w:rsid w:val="00410E0D"/>
    <w:rsid w:val="00414D5B"/>
    <w:rsid w:val="004173B3"/>
    <w:rsid w:val="00423B51"/>
    <w:rsid w:val="004273C3"/>
    <w:rsid w:val="00443701"/>
    <w:rsid w:val="00453996"/>
    <w:rsid w:val="004643B7"/>
    <w:rsid w:val="00471D06"/>
    <w:rsid w:val="00477180"/>
    <w:rsid w:val="004805A9"/>
    <w:rsid w:val="00490D73"/>
    <w:rsid w:val="004A0A4B"/>
    <w:rsid w:val="004A35E8"/>
    <w:rsid w:val="004A6B91"/>
    <w:rsid w:val="004C1B0F"/>
    <w:rsid w:val="004D11BA"/>
    <w:rsid w:val="004E0AA6"/>
    <w:rsid w:val="004E3194"/>
    <w:rsid w:val="00504D9E"/>
    <w:rsid w:val="00512B5A"/>
    <w:rsid w:val="005333E5"/>
    <w:rsid w:val="00545581"/>
    <w:rsid w:val="00563C28"/>
    <w:rsid w:val="00565247"/>
    <w:rsid w:val="00572D41"/>
    <w:rsid w:val="005815EB"/>
    <w:rsid w:val="0059355E"/>
    <w:rsid w:val="00594915"/>
    <w:rsid w:val="005A3CEB"/>
    <w:rsid w:val="005B2EBF"/>
    <w:rsid w:val="005B574D"/>
    <w:rsid w:val="005C3A1F"/>
    <w:rsid w:val="005D7A32"/>
    <w:rsid w:val="005F0EAF"/>
    <w:rsid w:val="00641161"/>
    <w:rsid w:val="006575DE"/>
    <w:rsid w:val="00684375"/>
    <w:rsid w:val="00696B90"/>
    <w:rsid w:val="006A3AB9"/>
    <w:rsid w:val="006C5D08"/>
    <w:rsid w:val="006D79EF"/>
    <w:rsid w:val="006D7E37"/>
    <w:rsid w:val="006E293A"/>
    <w:rsid w:val="00712A1D"/>
    <w:rsid w:val="00713BB6"/>
    <w:rsid w:val="0073397B"/>
    <w:rsid w:val="00734330"/>
    <w:rsid w:val="00763638"/>
    <w:rsid w:val="00792223"/>
    <w:rsid w:val="007B2831"/>
    <w:rsid w:val="007E033D"/>
    <w:rsid w:val="007E05D6"/>
    <w:rsid w:val="0080535B"/>
    <w:rsid w:val="00827F44"/>
    <w:rsid w:val="00827F96"/>
    <w:rsid w:val="00830E60"/>
    <w:rsid w:val="0085514D"/>
    <w:rsid w:val="008609DC"/>
    <w:rsid w:val="008716F8"/>
    <w:rsid w:val="00884845"/>
    <w:rsid w:val="008860F2"/>
    <w:rsid w:val="008A15E0"/>
    <w:rsid w:val="008A3E4C"/>
    <w:rsid w:val="008C4745"/>
    <w:rsid w:val="008F2032"/>
    <w:rsid w:val="009164D1"/>
    <w:rsid w:val="009264A5"/>
    <w:rsid w:val="00973D39"/>
    <w:rsid w:val="0099025F"/>
    <w:rsid w:val="0099149E"/>
    <w:rsid w:val="009A392A"/>
    <w:rsid w:val="009A42BA"/>
    <w:rsid w:val="009B2B7E"/>
    <w:rsid w:val="009E351C"/>
    <w:rsid w:val="009F4C39"/>
    <w:rsid w:val="009F4DD8"/>
    <w:rsid w:val="009F6415"/>
    <w:rsid w:val="00A04844"/>
    <w:rsid w:val="00A04E97"/>
    <w:rsid w:val="00A07926"/>
    <w:rsid w:val="00A1499D"/>
    <w:rsid w:val="00A25890"/>
    <w:rsid w:val="00A339E5"/>
    <w:rsid w:val="00A421BD"/>
    <w:rsid w:val="00A4400F"/>
    <w:rsid w:val="00A57F72"/>
    <w:rsid w:val="00A60EFE"/>
    <w:rsid w:val="00A632DF"/>
    <w:rsid w:val="00A67A9B"/>
    <w:rsid w:val="00A92A1C"/>
    <w:rsid w:val="00A97814"/>
    <w:rsid w:val="00AA21DB"/>
    <w:rsid w:val="00AA3ED8"/>
    <w:rsid w:val="00AA4E10"/>
    <w:rsid w:val="00AC4F75"/>
    <w:rsid w:val="00AE0EC1"/>
    <w:rsid w:val="00AF0644"/>
    <w:rsid w:val="00B128DF"/>
    <w:rsid w:val="00B54BF2"/>
    <w:rsid w:val="00B573D3"/>
    <w:rsid w:val="00BA7418"/>
    <w:rsid w:val="00BA7BBA"/>
    <w:rsid w:val="00BC29DA"/>
    <w:rsid w:val="00BE08D0"/>
    <w:rsid w:val="00BE25CB"/>
    <w:rsid w:val="00BF5068"/>
    <w:rsid w:val="00C007AE"/>
    <w:rsid w:val="00C008FB"/>
    <w:rsid w:val="00C03BD0"/>
    <w:rsid w:val="00C04E3F"/>
    <w:rsid w:val="00C15453"/>
    <w:rsid w:val="00C31B19"/>
    <w:rsid w:val="00C351A9"/>
    <w:rsid w:val="00C45B6C"/>
    <w:rsid w:val="00C53246"/>
    <w:rsid w:val="00C72EA0"/>
    <w:rsid w:val="00C74BE8"/>
    <w:rsid w:val="00C87E02"/>
    <w:rsid w:val="00C94A88"/>
    <w:rsid w:val="00CA048F"/>
    <w:rsid w:val="00CA3E2B"/>
    <w:rsid w:val="00CB38AC"/>
    <w:rsid w:val="00CB7118"/>
    <w:rsid w:val="00CE3F8A"/>
    <w:rsid w:val="00CF3C1F"/>
    <w:rsid w:val="00D83B70"/>
    <w:rsid w:val="00D9704B"/>
    <w:rsid w:val="00DB0210"/>
    <w:rsid w:val="00DB46D5"/>
    <w:rsid w:val="00DC2A67"/>
    <w:rsid w:val="00DC4B5D"/>
    <w:rsid w:val="00DD5544"/>
    <w:rsid w:val="00DE1402"/>
    <w:rsid w:val="00E04518"/>
    <w:rsid w:val="00E05A3F"/>
    <w:rsid w:val="00E21D86"/>
    <w:rsid w:val="00E65943"/>
    <w:rsid w:val="00EA2C80"/>
    <w:rsid w:val="00EA55FD"/>
    <w:rsid w:val="00ED51B8"/>
    <w:rsid w:val="00F33487"/>
    <w:rsid w:val="00F350A1"/>
    <w:rsid w:val="00F413B8"/>
    <w:rsid w:val="00F4264C"/>
    <w:rsid w:val="00F560D2"/>
    <w:rsid w:val="00F634A7"/>
    <w:rsid w:val="00F66938"/>
    <w:rsid w:val="00F739C1"/>
    <w:rsid w:val="00F75547"/>
    <w:rsid w:val="00F9748D"/>
    <w:rsid w:val="00FA008A"/>
    <w:rsid w:val="00FA1A6D"/>
    <w:rsid w:val="00FA2930"/>
    <w:rsid w:val="00FA388A"/>
    <w:rsid w:val="00FD25AA"/>
    <w:rsid w:val="00FD7BA7"/>
    <w:rsid w:val="00FE16EA"/>
    <w:rsid w:val="00FE1B57"/>
    <w:rsid w:val="01847E8F"/>
    <w:rsid w:val="12CB581C"/>
    <w:rsid w:val="207865C4"/>
    <w:rsid w:val="20A308E5"/>
    <w:rsid w:val="28677F46"/>
    <w:rsid w:val="2D786D14"/>
    <w:rsid w:val="30B37156"/>
    <w:rsid w:val="4B277220"/>
    <w:rsid w:val="5D2814B9"/>
    <w:rsid w:val="749124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beforeLines="0" w:beforeAutospacing="0" w:after="260" w:afterLines="0" w:afterAutospacing="0" w:line="413" w:lineRule="auto"/>
      <w:outlineLvl w:val="1"/>
    </w:pPr>
    <w:rPr>
      <w:rFonts w:ascii="Arial" w:hAnsi="Arial" w:eastAsia="黑体"/>
      <w:sz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0"/>
    <w:semiHidden/>
    <w:unhideWhenUsed/>
    <w:qFormat/>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Paragraph"/>
    <w:basedOn w:val="1"/>
    <w:qFormat/>
    <w:uiPriority w:val="34"/>
    <w:pPr>
      <w:ind w:firstLine="420" w:firstLineChars="200"/>
    </w:pPr>
  </w:style>
  <w:style w:type="character" w:customStyle="1" w:styleId="9">
    <w:name w:val="页眉 Char"/>
    <w:basedOn w:val="6"/>
    <w:link w:val="5"/>
    <w:semiHidden/>
    <w:qFormat/>
    <w:uiPriority w:val="99"/>
    <w:rPr>
      <w:sz w:val="18"/>
      <w:szCs w:val="18"/>
    </w:rPr>
  </w:style>
  <w:style w:type="character" w:customStyle="1" w:styleId="10">
    <w:name w:val="页脚 Char"/>
    <w:basedOn w:val="6"/>
    <w:link w:val="4"/>
    <w:semiHidden/>
    <w:qFormat/>
    <w:uiPriority w:val="99"/>
    <w:rPr>
      <w:sz w:val="18"/>
      <w:szCs w:val="18"/>
    </w:rPr>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批注框文本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D7DF3E-9471-4FD2-A6DD-BC23F53A8494}">
  <ds:schemaRefs/>
</ds:datastoreItem>
</file>

<file path=docProps/app.xml><?xml version="1.0" encoding="utf-8"?>
<Properties xmlns="http://schemas.openxmlformats.org/officeDocument/2006/extended-properties" xmlns:vt="http://schemas.openxmlformats.org/officeDocument/2006/docPropsVTypes">
  <Template>Normal</Template>
  <Pages>4</Pages>
  <Words>1697</Words>
  <Characters>1813</Characters>
  <Lines>10</Lines>
  <Paragraphs>3</Paragraphs>
  <TotalTime>1</TotalTime>
  <ScaleCrop>false</ScaleCrop>
  <LinksUpToDate>false</LinksUpToDate>
  <CharactersWithSpaces>1862</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2017-04-10T01:58:00Z</dcterms:created>
  <dc:creator>dell</dc:creator>
  <cp:lastModifiedBy>Admin</cp:lastModifiedBy>
  <dcterms:modified xsi:type="dcterms:W3CDTF">2022-08-02T02:41:41Z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ICV">
    <vt:lpwstr>624F9F98EB264F6F94E89929B1A19502</vt:lpwstr>
  </property>
</Properties>
</file>