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pacing w:line="1500" w:lineRule="exact"/>
        <w:jc w:val="distribute"/>
        <w:textAlignment w:val="auto"/>
        <w:rPr>
          <w:rFonts w:hint="eastAsia" w:ascii="方正小标宋简体" w:eastAsia="方正小标宋简体"/>
          <w:bCs/>
          <w:color w:val="FF0000"/>
          <w:spacing w:val="6"/>
          <w:w w:val="55"/>
          <w:kern w:val="0"/>
          <w:sz w:val="122"/>
          <w:szCs w:val="122"/>
        </w:rPr>
      </w:pPr>
    </w:p>
    <w:tbl>
      <w:tblPr>
        <w:tblStyle w:val="12"/>
        <w:tblW w:w="0" w:type="auto"/>
        <w:tblInd w:w="0" w:type="dxa"/>
        <w:tblBorders>
          <w:top w:val="single" w:color="FFFFFF" w:sz="12" w:space="0"/>
          <w:left w:val="single" w:color="FFFFFF" w:sz="12" w:space="0"/>
          <w:bottom w:val="single" w:color="FFFFFF"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single" w:color="FFFFFF" w:sz="12" w:space="0"/>
            <w:left w:val="single" w:color="FFFFFF" w:sz="12" w:space="0"/>
            <w:bottom w:val="single" w:color="FFFFFF" w:sz="12" w:space="0"/>
            <w:right w:val="single" w:color="FFFFFF" w:sz="12" w:space="0"/>
            <w:insideH w:val="none" w:color="auto" w:sz="0" w:space="0"/>
            <w:insideV w:val="none" w:color="auto" w:sz="0" w:space="0"/>
          </w:tblBorders>
          <w:tblCellMar>
            <w:top w:w="0" w:type="dxa"/>
            <w:left w:w="108" w:type="dxa"/>
            <w:bottom w:w="0" w:type="dxa"/>
            <w:right w:w="108" w:type="dxa"/>
          </w:tblCellMar>
        </w:tblPrEx>
        <w:tc>
          <w:tcPr>
            <w:tcW w:w="9060" w:type="dxa"/>
            <w:tcBorders>
              <w:top w:val="single" w:color="FFFFFF" w:sz="12" w:space="0"/>
              <w:left w:val="single" w:color="FFFFFF" w:sz="12" w:space="0"/>
              <w:bottom w:val="single" w:color="FFFFFF" w:sz="12" w:space="0"/>
              <w:right w:val="single" w:color="FFFFFF" w:sz="12" w:space="0"/>
            </w:tcBorders>
            <w:noWrap w:val="0"/>
            <w:vAlign w:val="top"/>
          </w:tcPr>
          <w:p>
            <w:pPr>
              <w:keepNext w:val="0"/>
              <w:keepLines w:val="0"/>
              <w:pageBreakBefore w:val="0"/>
              <w:kinsoku/>
              <w:wordWrap/>
              <w:overflowPunct/>
              <w:topLinePunct w:val="0"/>
              <w:autoSpaceDE/>
              <w:autoSpaceDN/>
              <w:bidi w:val="0"/>
              <w:adjustRightInd w:val="0"/>
              <w:spacing w:line="1500" w:lineRule="exact"/>
              <w:jc w:val="distribute"/>
              <w:textAlignment w:val="auto"/>
              <w:rPr>
                <w:rFonts w:ascii="方正小标宋简体" w:eastAsia="方正小标宋简体"/>
                <w:bCs/>
                <w:color w:val="FF0000"/>
                <w:spacing w:val="-80"/>
                <w:w w:val="50"/>
                <w:sz w:val="122"/>
                <w:szCs w:val="122"/>
              </w:rPr>
            </w:pPr>
            <w:r>
              <w:rPr>
                <w:rFonts w:hint="eastAsia" w:ascii="方正小标宋简体" w:eastAsia="方正小标宋简体"/>
                <w:bCs/>
                <w:color w:val="FF0000"/>
                <w:spacing w:val="6"/>
                <w:w w:val="55"/>
                <w:kern w:val="0"/>
                <w:sz w:val="122"/>
                <w:szCs w:val="122"/>
              </w:rPr>
              <w:t>青岛市生态环境局高新区分局</w:t>
            </w:r>
          </w:p>
        </w:tc>
      </w:tr>
    </w:tbl>
    <w:p>
      <w:pPr>
        <w:keepNext w:val="0"/>
        <w:keepLines w:val="0"/>
        <w:pageBreakBefore w:val="0"/>
        <w:kinsoku/>
        <w:wordWrap/>
        <w:overflowPunct/>
        <w:topLinePunct w:val="0"/>
        <w:autoSpaceDE/>
        <w:autoSpaceDN/>
        <w:bidi w:val="0"/>
        <w:adjustRightInd w:val="0"/>
        <w:spacing w:line="540" w:lineRule="exact"/>
        <w:jc w:val="both"/>
        <w:textAlignment w:val="auto"/>
      </w:pPr>
    </w:p>
    <w:tbl>
      <w:tblPr>
        <w:tblStyle w:val="12"/>
        <w:tblW w:w="0" w:type="auto"/>
        <w:jc w:val="center"/>
        <w:tblBorders>
          <w:top w:val="single" w:color="FFFFFF" w:sz="4" w:space="0"/>
          <w:left w:val="single" w:color="FFFFFF" w:sz="4" w:space="0"/>
          <w:bottom w:val="single" w:color="FF0000" w:sz="12" w:space="0"/>
          <w:right w:val="single" w:color="FFFFFF" w:sz="4" w:space="0"/>
          <w:insideH w:val="none" w:color="auto" w:sz="0" w:space="0"/>
          <w:insideV w:val="none" w:color="auto" w:sz="0" w:space="0"/>
        </w:tblBorders>
        <w:tblLayout w:type="fixed"/>
        <w:tblCellMar>
          <w:top w:w="0" w:type="dxa"/>
          <w:left w:w="108" w:type="dxa"/>
          <w:bottom w:w="0" w:type="dxa"/>
          <w:right w:w="108" w:type="dxa"/>
        </w:tblCellMar>
      </w:tblPr>
      <w:tblGrid>
        <w:gridCol w:w="8741"/>
      </w:tblGrid>
      <w:tr>
        <w:tblPrEx>
          <w:tblBorders>
            <w:top w:val="single" w:color="FFFFFF" w:sz="4" w:space="0"/>
            <w:left w:val="single" w:color="FFFFFF" w:sz="4" w:space="0"/>
            <w:bottom w:val="single" w:color="FF0000" w:sz="12" w:space="0"/>
            <w:right w:val="single" w:color="FFFFFF"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741" w:type="dxa"/>
            <w:tcBorders>
              <w:top w:val="single" w:color="FFFFFF" w:sz="4" w:space="0"/>
              <w:left w:val="single" w:color="FFFFFF" w:sz="4" w:space="0"/>
              <w:bottom w:val="single" w:color="FF0000" w:sz="12" w:space="0"/>
              <w:right w:val="single" w:color="FFFFFF" w:sz="4" w:space="0"/>
            </w:tcBorders>
            <w:noWrap w:val="0"/>
            <w:vAlign w:val="top"/>
          </w:tcPr>
          <w:p>
            <w:pPr>
              <w:keepNext w:val="0"/>
              <w:keepLines w:val="0"/>
              <w:pageBreakBefore w:val="0"/>
              <w:kinsoku/>
              <w:wordWrap/>
              <w:overflowPunct/>
              <w:topLinePunct w:val="0"/>
              <w:autoSpaceDE/>
              <w:autoSpaceDN/>
              <w:bidi w:val="0"/>
              <w:adjustRightInd w:val="0"/>
              <w:spacing w:line="540" w:lineRule="exact"/>
              <w:jc w:val="both"/>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val="0"/>
              <w:spacing w:line="540" w:lineRule="exact"/>
              <w:jc w:val="center"/>
              <w:textAlignment w:val="auto"/>
              <w:rPr>
                <w:rFonts w:hint="eastAsia" w:ascii="仿宋_GB2312" w:eastAsia="仿宋_GB2312"/>
                <w:sz w:val="32"/>
                <w:szCs w:val="32"/>
              </w:rPr>
            </w:pPr>
            <w:r>
              <w:rPr>
                <w:rFonts w:hint="eastAsia" w:ascii="仿宋_GB2312" w:hAnsi="宋体" w:eastAsia="仿宋_GB2312"/>
                <w:sz w:val="32"/>
                <w:szCs w:val="32"/>
              </w:rPr>
              <w:t>青环高新发〔202</w:t>
            </w:r>
            <w:r>
              <w:rPr>
                <w:rFonts w:hint="eastAsia" w:ascii="仿宋_GB2312" w:hAnsi="宋体" w:eastAsia="仿宋_GB2312"/>
                <w:sz w:val="32"/>
                <w:szCs w:val="32"/>
                <w:lang w:val="en-US" w:eastAsia="zh-CN"/>
              </w:rPr>
              <w:t>3</w:t>
            </w:r>
            <w:r>
              <w:rPr>
                <w:rFonts w:hint="eastAsia" w:ascii="仿宋_GB2312" w:hAnsi="宋体" w:eastAsia="仿宋_GB2312"/>
                <w:sz w:val="32"/>
                <w:szCs w:val="32"/>
              </w:rPr>
              <w:t>〕</w:t>
            </w:r>
            <w:r>
              <w:rPr>
                <w:rFonts w:hint="eastAsia" w:ascii="仿宋_GB2312" w:hAnsi="宋体" w:eastAsia="仿宋_GB2312"/>
                <w:sz w:val="32"/>
                <w:szCs w:val="32"/>
                <w:lang w:val="en-US" w:eastAsia="zh-CN"/>
              </w:rPr>
              <w:t>15</w:t>
            </w:r>
            <w:r>
              <w:rPr>
                <w:rFonts w:hint="eastAsia" w:ascii="仿宋_GB2312" w:hAnsi="宋体" w:eastAsia="仿宋_GB2312"/>
                <w:sz w:val="32"/>
                <w:szCs w:val="32"/>
              </w:rPr>
              <w:t>号</w:t>
            </w:r>
          </w:p>
        </w:tc>
      </w:tr>
    </w:tbl>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lang w:bidi="ar"/>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青岛市生态环境局高新区分局</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关于印发《青岛高新技术产业开发区环境影响评价告知承诺制审批“一区一策”改革方案</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（试行）》的通知</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各科室、中队、监控中心：</w:t>
      </w:r>
    </w:p>
    <w:p>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现将《青岛高新技术产业开发区环境影响评价告知承诺制审批“一区一策”改革方案（试行）》印发给你们，请认真抓好落实。</w:t>
      </w: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青岛市生态环境局高新区分局</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 xml:space="preserve">                             2023年9月5日</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60" w:lineRule="exact"/>
        <w:jc w:val="center"/>
        <w:textAlignment w:val="auto"/>
        <w:rPr>
          <w:rFonts w:ascii="方正小标宋_GBK" w:hAnsi="仿宋_GB2312" w:eastAsia="方正小标宋_GBK" w:cs="文星简小标宋"/>
          <w:sz w:val="44"/>
          <w:szCs w:val="44"/>
        </w:rPr>
        <w:sectPr>
          <w:pgSz w:w="11906" w:h="16838"/>
          <w:pgMar w:top="2098" w:right="1474" w:bottom="1984" w:left="1587" w:header="851" w:footer="992" w:gutter="0"/>
          <w:pgNumType w:fmt="numberInDash"/>
          <w:cols w:space="425" w:num="1"/>
          <w:docGrid w:type="lines" w:linePitch="312" w:charSpace="0"/>
        </w:sectPr>
      </w:pP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60" w:lineRule="exact"/>
        <w:jc w:val="center"/>
        <w:textAlignment w:val="auto"/>
        <w:rPr>
          <w:rFonts w:ascii="方正小标宋_GBK" w:hAnsi="仿宋_GB2312" w:eastAsia="方正小标宋_GBK" w:cs="文星简小标宋"/>
          <w:sz w:val="44"/>
          <w:szCs w:val="44"/>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青岛高新技术产业开发区环境影响评价告知</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承诺制审批“一区一策”改革方案（试行）</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eastAsia="仿宋_GB2312" w:cs="仿宋_GB2312"/>
          <w:sz w:val="32"/>
          <w:szCs w:val="32"/>
          <w:highlight w:val="none"/>
        </w:rPr>
        <w:t>为深化环境影响评价改革、优化营商环境，结合</w:t>
      </w:r>
      <w:r>
        <w:rPr>
          <w:rFonts w:hint="eastAsia" w:ascii="仿宋_GB2312" w:eastAsia="仿宋_GB2312" w:cs="仿宋_GB2312"/>
          <w:sz w:val="32"/>
          <w:szCs w:val="32"/>
          <w:highlight w:val="none"/>
          <w:lang w:val="en-US" w:eastAsia="zh-CN"/>
        </w:rPr>
        <w:t>《青岛市深化环境影响评价告知承诺制审批改革实施方案（试行）》</w:t>
      </w:r>
      <w:r>
        <w:rPr>
          <w:rFonts w:hint="eastAsia" w:ascii="仿宋_GB2312" w:eastAsia="仿宋_GB2312" w:cs="仿宋_GB2312"/>
          <w:sz w:val="32"/>
          <w:szCs w:val="32"/>
          <w:highlight w:val="none"/>
        </w:rPr>
        <w:t>要求，</w:t>
      </w:r>
      <w:r>
        <w:rPr>
          <w:rFonts w:hint="eastAsia" w:ascii="仿宋_GB2312" w:eastAsia="仿宋_GB2312" w:cs="仿宋_GB2312"/>
          <w:sz w:val="32"/>
          <w:szCs w:val="32"/>
        </w:rPr>
        <w:t>根据</w:t>
      </w:r>
      <w:r>
        <w:rPr>
          <w:rFonts w:hint="eastAsia" w:ascii="仿宋_GB2312" w:eastAsia="仿宋_GB2312" w:cs="仿宋_GB2312"/>
          <w:sz w:val="32"/>
          <w:szCs w:val="32"/>
          <w:lang w:val="en-US" w:eastAsia="zh-CN"/>
        </w:rPr>
        <w:t>辖区</w:t>
      </w:r>
      <w:r>
        <w:rPr>
          <w:rFonts w:hint="eastAsia" w:ascii="仿宋_GB2312" w:eastAsia="仿宋_GB2312" w:cs="仿宋_GB2312"/>
          <w:sz w:val="32"/>
          <w:szCs w:val="32"/>
        </w:rPr>
        <w:t>实际，制定</w:t>
      </w:r>
      <w:r>
        <w:rPr>
          <w:rFonts w:hint="eastAsia" w:ascii="仿宋_GB2312" w:eastAsia="仿宋_GB2312" w:cs="仿宋_GB2312"/>
          <w:sz w:val="32"/>
          <w:szCs w:val="32"/>
          <w:lang w:val="en-US" w:eastAsia="zh-CN"/>
        </w:rPr>
        <w:t>“一区一策”环评改革方案</w:t>
      </w:r>
      <w:r>
        <w:rPr>
          <w:rFonts w:hint="eastAsia" w:ascii="仿宋_GB2312" w:eastAsia="仿宋_GB2312" w:cs="仿宋_GB2312"/>
          <w:sz w:val="32"/>
          <w:szCs w:val="32"/>
        </w:rPr>
        <w:t>。</w:t>
      </w:r>
      <w:bookmarkStart w:id="8" w:name="_GoBack"/>
      <w:bookmarkEnd w:id="8"/>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eastAsia="黑体" w:cs="黑体"/>
          <w:sz w:val="32"/>
          <w:szCs w:val="32"/>
        </w:rPr>
      </w:pPr>
      <w:r>
        <w:rPr>
          <w:rFonts w:hint="eastAsia" w:ascii="黑体" w:eastAsia="黑体" w:cs="黑体"/>
          <w:sz w:val="32"/>
          <w:szCs w:val="32"/>
        </w:rPr>
        <w:t>一、总体要求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eastAsia="仿宋_GB2312" w:cs="仿宋_GB2312"/>
          <w:sz w:val="32"/>
          <w:szCs w:val="32"/>
        </w:rPr>
        <w:t>以</w:t>
      </w:r>
      <w:r>
        <w:rPr>
          <w:rFonts w:hint="eastAsia" w:ascii="仿宋_GB2312" w:eastAsia="仿宋_GB2312" w:cs="仿宋_GB2312"/>
          <w:sz w:val="32"/>
          <w:szCs w:val="32"/>
          <w:lang w:eastAsia="zh-CN"/>
        </w:rPr>
        <w:t>习近平生态文明思想</w:t>
      </w:r>
      <w:r>
        <w:rPr>
          <w:rFonts w:hint="eastAsia" w:ascii="仿宋_GB2312" w:eastAsia="仿宋_GB2312" w:cs="仿宋_GB2312"/>
          <w:sz w:val="32"/>
          <w:szCs w:val="32"/>
        </w:rPr>
        <w:t>为指导，正确处理高质量发展和高水平保护的关系，通过高水平环境保护，塑造发展的新动能、新优势，增强发展的潜力和后劲。充分发挥环评源头预防环境污染和生态破坏的作用，对可能影响生态环境质量的项目，严格审批监管、守好底线。落实建设单位主体责任，推动政府职能向减审批、强监管、优服务方向转变，持续优化营商环境，服务经济绿色低碳高质量发展。</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eastAsia="黑体" w:cs="黑体"/>
          <w:sz w:val="32"/>
          <w:szCs w:val="32"/>
        </w:rPr>
      </w:pPr>
      <w:r>
        <w:rPr>
          <w:rFonts w:hint="eastAsia" w:ascii="黑体" w:eastAsia="黑体" w:cs="黑体"/>
          <w:sz w:val="32"/>
          <w:szCs w:val="32"/>
        </w:rPr>
        <w:t>二、实施范围</w:t>
      </w:r>
    </w:p>
    <w:p>
      <w:pPr>
        <w:keepNext w:val="0"/>
        <w:keepLines w:val="0"/>
        <w:pageBreakBefore w:val="0"/>
        <w:widowControl/>
        <w:kinsoku/>
        <w:wordWrap/>
        <w:overflowPunct/>
        <w:topLinePunct w:val="0"/>
        <w:autoSpaceDE/>
        <w:autoSpaceDN/>
        <w:bidi w:val="0"/>
        <w:adjustRightInd w:val="0"/>
        <w:ind w:firstLine="640" w:firstLineChars="200"/>
        <w:jc w:val="left"/>
        <w:textAlignment w:val="auto"/>
        <w:rPr>
          <w:rFonts w:ascii="仿宋_GB2312" w:hAnsi="黑体" w:eastAsia="仿宋_GB2312" w:cs="仿宋_GB2312"/>
          <w:sz w:val="32"/>
          <w:szCs w:val="32"/>
        </w:rPr>
      </w:pPr>
      <w:r>
        <w:rPr>
          <w:rFonts w:hint="eastAsia" w:ascii="仿宋_GB2312" w:eastAsia="仿宋_GB2312" w:cs="仿宋_GB2312"/>
          <w:sz w:val="32"/>
          <w:szCs w:val="32"/>
        </w:rPr>
        <w:t>根据现行规划环评范围，</w:t>
      </w:r>
      <w:r>
        <w:rPr>
          <w:rFonts w:hint="eastAsia" w:ascii="仿宋_GB2312" w:eastAsia="仿宋_GB2312" w:cs="仿宋_GB2312"/>
          <w:sz w:val="32"/>
          <w:szCs w:val="32"/>
          <w:lang w:val="en-US" w:eastAsia="zh-CN"/>
        </w:rPr>
        <w:t>青岛高新技术产业开发区（简称高新区）</w:t>
      </w:r>
      <w:r>
        <w:rPr>
          <w:rFonts w:hint="eastAsia" w:ascii="仿宋_GB2312" w:eastAsia="仿宋_GB2312" w:cs="仿宋_GB2312"/>
          <w:sz w:val="32"/>
          <w:szCs w:val="32"/>
        </w:rPr>
        <w:t>全域包括高新区中东片区和高新区西片区。本次实施范围为</w:t>
      </w:r>
      <w:r>
        <w:rPr>
          <w:rFonts w:ascii="仿宋_GB2312" w:eastAsia="仿宋_GB2312" w:cs="仿宋_GB2312"/>
          <w:sz w:val="32"/>
          <w:szCs w:val="32"/>
        </w:rPr>
        <w:t>东起</w:t>
      </w:r>
      <w:r>
        <w:rPr>
          <w:rFonts w:ascii="仿宋_GB2312" w:hAnsi="宋体" w:eastAsia="仿宋_GB2312" w:cs="仿宋_GB2312"/>
          <w:color w:val="000000"/>
          <w:kern w:val="0"/>
          <w:sz w:val="31"/>
          <w:szCs w:val="31"/>
          <w:lang w:bidi="ar"/>
        </w:rPr>
        <w:t>洪江河，西至大沽河，北至204国道，</w:t>
      </w:r>
      <w:r>
        <w:rPr>
          <w:rFonts w:hint="eastAsia" w:ascii="仿宋_GB2312" w:hAnsi="宋体" w:eastAsia="仿宋_GB2312" w:cs="仿宋_GB2312"/>
          <w:color w:val="000000"/>
          <w:kern w:val="0"/>
          <w:sz w:val="31"/>
          <w:szCs w:val="31"/>
          <w:lang w:bidi="ar"/>
        </w:rPr>
        <w:t>总规划面积63.44平方公里。</w:t>
      </w:r>
      <w:r>
        <w:rPr>
          <w:rFonts w:hint="eastAsia" w:ascii="仿宋_GB2312" w:hAnsi="黑体" w:eastAsia="仿宋_GB2312" w:cs="仿宋_GB2312"/>
          <w:sz w:val="32"/>
          <w:szCs w:val="32"/>
        </w:rPr>
        <w:t>后期根据实施情况对范围优化调整。</w:t>
      </w:r>
    </w:p>
    <w:p>
      <w:pPr>
        <w:keepNext w:val="0"/>
        <w:keepLines w:val="0"/>
        <w:pageBreakBefore w:val="0"/>
        <w:kinsoku/>
        <w:wordWrap/>
        <w:overflowPunct/>
        <w:topLinePunct w:val="0"/>
        <w:autoSpaceDE/>
        <w:autoSpaceDN/>
        <w:bidi w:val="0"/>
        <w:adjustRightIn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、实施期限</w:t>
      </w:r>
    </w:p>
    <w:p>
      <w:pPr>
        <w:keepNext w:val="0"/>
        <w:keepLines w:val="0"/>
        <w:pageBreakBefore w:val="0"/>
        <w:kinsoku/>
        <w:wordWrap/>
        <w:overflowPunct/>
        <w:topLinePunct w:val="0"/>
        <w:autoSpaceDE/>
        <w:autoSpaceDN/>
        <w:bidi w:val="0"/>
        <w:adjustRightInd w:val="0"/>
        <w:spacing w:line="560" w:lineRule="exact"/>
        <w:ind w:firstLine="640" w:firstLineChars="200"/>
        <w:textAlignment w:val="auto"/>
        <w:rPr>
          <w:rFonts w:ascii="仿宋_GB2312" w:hAnsi="黑体" w:eastAsia="仿宋_GB2312" w:cs="仿宋_GB2312"/>
          <w:sz w:val="32"/>
          <w:szCs w:val="32"/>
        </w:rPr>
      </w:pPr>
      <w:r>
        <w:rPr>
          <w:rFonts w:hint="eastAsia" w:ascii="仿宋_GB2312" w:hAnsi="仿宋_GB2312" w:eastAsia="仿宋_GB2312" w:cs="仿宋_GB2312"/>
          <w:kern w:val="0"/>
          <w:sz w:val="32"/>
          <w:szCs w:val="32"/>
          <w:highlight w:val="none"/>
        </w:rPr>
        <w:t>试点实施有效期：</w:t>
      </w:r>
      <w:r>
        <w:rPr>
          <w:rFonts w:ascii="仿宋_GB2312" w:hAnsi="黑体" w:eastAsia="仿宋_GB2312" w:cs="仿宋_GB2312"/>
          <w:sz w:val="32"/>
          <w:szCs w:val="32"/>
        </w:rPr>
        <w:t>自本方案印发之日起</w:t>
      </w:r>
      <w:r>
        <w:rPr>
          <w:rFonts w:hint="eastAsia" w:ascii="仿宋_GB2312" w:hAnsi="黑体" w:eastAsia="仿宋_GB2312" w:cs="仿宋_GB2312"/>
          <w:sz w:val="32"/>
          <w:szCs w:val="32"/>
        </w:rPr>
        <w:t>2</w:t>
      </w:r>
      <w:r>
        <w:rPr>
          <w:rFonts w:ascii="仿宋_GB2312" w:hAnsi="黑体" w:eastAsia="仿宋_GB2312" w:cs="仿宋_GB2312"/>
          <w:sz w:val="32"/>
          <w:szCs w:val="32"/>
        </w:rPr>
        <w:t>年。</w:t>
      </w:r>
    </w:p>
    <w:p>
      <w:pPr>
        <w:keepNext w:val="0"/>
        <w:keepLines w:val="0"/>
        <w:pageBreakBefore w:val="0"/>
        <w:tabs>
          <w:tab w:val="center" w:pos="4153"/>
        </w:tabs>
        <w:kinsoku/>
        <w:wordWrap/>
        <w:overflowPunct/>
        <w:topLinePunct w:val="0"/>
        <w:autoSpaceDE/>
        <w:autoSpaceDN/>
        <w:bidi w:val="0"/>
        <w:adjustRightIn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w:t>
      </w:r>
      <w:r>
        <w:rPr>
          <w:rFonts w:hint="eastAsia" w:ascii="黑体" w:hAnsi="黑体" w:eastAsia="黑体"/>
          <w:sz w:val="32"/>
          <w:szCs w:val="32"/>
          <w:highlight w:val="none"/>
        </w:rPr>
        <w:t>试点内容</w:t>
      </w:r>
      <w:r>
        <w:rPr>
          <w:rFonts w:hint="eastAsia" w:ascii="黑体" w:hAnsi="黑体" w:eastAsia="黑体"/>
          <w:sz w:val="32"/>
          <w:szCs w:val="32"/>
        </w:rPr>
        <w:tab/>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仿宋_GB2312"/>
          <w:sz w:val="32"/>
          <w:szCs w:val="32"/>
        </w:rPr>
      </w:pPr>
      <w:r>
        <w:rPr>
          <w:rFonts w:hint="eastAsia" w:ascii="楷体_GB2312" w:eastAsia="楷体_GB2312" w:cs="楷体_GB2312"/>
          <w:sz w:val="32"/>
          <w:szCs w:val="32"/>
        </w:rPr>
        <w:t>（一）全域符合准入条件报告表类建设项目试行“区域规划环评”</w:t>
      </w:r>
      <w:r>
        <w:rPr>
          <w:rFonts w:ascii="楷体_GB2312" w:eastAsia="楷体_GB2312" w:cs="楷体_GB2312"/>
          <w:sz w:val="32"/>
          <w:szCs w:val="32"/>
        </w:rPr>
        <w:t>+</w:t>
      </w:r>
      <w:r>
        <w:rPr>
          <w:rFonts w:hint="eastAsia" w:ascii="楷体_GB2312" w:eastAsia="楷体_GB2312" w:cs="楷体_GB2312"/>
          <w:sz w:val="32"/>
          <w:szCs w:val="32"/>
        </w:rPr>
        <w:t>“告知承诺审批”管理模式。</w:t>
      </w:r>
    </w:p>
    <w:p>
      <w:pPr>
        <w:keepNext w:val="0"/>
        <w:keepLines w:val="0"/>
        <w:pageBreakBefore w:val="0"/>
        <w:kinsoku/>
        <w:wordWrap/>
        <w:overflowPunct/>
        <w:topLinePunct w:val="0"/>
        <w:autoSpaceDE/>
        <w:autoSpaceDN/>
        <w:bidi w:val="0"/>
        <w:adjustRightIn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在《青岛市建设项目环境影响评价告知承诺制审批改革试点名录（2023年）》基础上，扩大行业试点名录，将符合</w:t>
      </w:r>
      <w:r>
        <w:rPr>
          <w:rFonts w:hint="eastAsia" w:ascii="仿宋_GB2312" w:hAnsi="Times New Roman" w:eastAsia="仿宋_GB2312" w:cs="Times New Roman"/>
          <w:sz w:val="32"/>
          <w:szCs w:val="32"/>
          <w:lang w:val="en-US" w:eastAsia="zh-CN"/>
        </w:rPr>
        <w:t>高新区</w:t>
      </w:r>
      <w:r>
        <w:rPr>
          <w:rFonts w:hint="eastAsia" w:ascii="仿宋_GB2312" w:hAnsi="Times New Roman" w:eastAsia="仿宋_GB2312" w:cs="Times New Roman"/>
          <w:sz w:val="32"/>
          <w:szCs w:val="32"/>
        </w:rPr>
        <w:t>园区产业定位，不含专项的所有报告表类项目</w:t>
      </w:r>
      <w:r>
        <w:rPr>
          <w:rFonts w:hint="eastAsia" w:ascii="仿宋_GB2312" w:hAnsi="Times New Roman" w:eastAsia="仿宋_GB2312" w:cs="Times New Roman"/>
          <w:bCs/>
          <w:sz w:val="32"/>
          <w:szCs w:val="32"/>
        </w:rPr>
        <w:t>列入告知承诺清单（详见附件</w:t>
      </w:r>
      <w:r>
        <w:rPr>
          <w:rFonts w:hint="eastAsia" w:ascii="仿宋_GB2312" w:hAnsi="Times New Roman" w:eastAsia="仿宋_GB2312" w:cs="Times New Roman"/>
          <w:bCs/>
          <w:sz w:val="32"/>
          <w:szCs w:val="32"/>
          <w:lang w:val="en-US" w:eastAsia="zh-CN"/>
        </w:rPr>
        <w:t>1</w:t>
      </w:r>
      <w:r>
        <w:rPr>
          <w:rFonts w:hint="eastAsia" w:ascii="仿宋_GB2312" w:hAnsi="Times New Roman" w:eastAsia="仿宋_GB2312" w:cs="Times New Roman"/>
          <w:bCs/>
          <w:sz w:val="32"/>
          <w:szCs w:val="32"/>
        </w:rPr>
        <w:t>）。建设单位</w:t>
      </w:r>
      <w:r>
        <w:rPr>
          <w:rFonts w:hint="eastAsia" w:ascii="仿宋_GB2312" w:hAnsi="Times New Roman" w:eastAsia="仿宋_GB2312" w:cs="Times New Roman"/>
          <w:sz w:val="32"/>
          <w:szCs w:val="32"/>
        </w:rPr>
        <w:t>在完成环评报告表编制后，可填写建设项目环境影响评价文件承诺书（详见附件</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），审批部门对报批的环评文件不做实质性审查，1个工作日直接作出审批决定。</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eastAsia="楷体_GB2312" w:cs="楷体_GB2312"/>
          <w:sz w:val="32"/>
          <w:szCs w:val="32"/>
        </w:rPr>
      </w:pPr>
      <w:r>
        <w:rPr>
          <w:rFonts w:hint="eastAsia" w:ascii="楷体_GB2312" w:eastAsia="楷体_GB2312" w:cs="楷体_GB2312"/>
          <w:sz w:val="32"/>
          <w:szCs w:val="32"/>
        </w:rPr>
        <w:t>明确</w:t>
      </w:r>
      <w:r>
        <w:rPr>
          <w:rFonts w:hint="eastAsia" w:ascii="楷体_GB2312" w:eastAsia="楷体_GB2312" w:cs="楷体_GB2312"/>
          <w:sz w:val="32"/>
          <w:szCs w:val="32"/>
          <w:highlight w:val="none"/>
        </w:rPr>
        <w:t>不纳入</w:t>
      </w:r>
      <w:r>
        <w:rPr>
          <w:rFonts w:hint="eastAsia" w:ascii="楷体_GB2312" w:eastAsia="楷体_GB2312" w:cs="楷体_GB2312"/>
          <w:sz w:val="32"/>
          <w:szCs w:val="32"/>
        </w:rPr>
        <w:t>告知承诺审批改革方案的建设项目范围。</w:t>
      </w:r>
    </w:p>
    <w:p>
      <w:pPr>
        <w:pStyle w:val="2"/>
        <w:keepNext w:val="0"/>
        <w:keepLines w:val="0"/>
        <w:pageBreakBefore w:val="0"/>
        <w:numPr>
          <w:ilvl w:val="0"/>
          <w:numId w:val="0"/>
        </w:numPr>
        <w:kinsoku/>
        <w:wordWrap/>
        <w:overflowPunct/>
        <w:topLinePunct w:val="0"/>
        <w:autoSpaceDE/>
        <w:autoSpaceDN/>
        <w:bidi w:val="0"/>
        <w:adjustRightInd w:val="0"/>
        <w:textAlignment w:val="auto"/>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仿宋_GB2312" w:hAnsiTheme="minorHAnsi"/>
          <w:sz w:val="32"/>
          <w:szCs w:val="32"/>
        </w:rPr>
        <w:t>严格</w:t>
      </w:r>
      <w:r>
        <w:rPr>
          <w:rFonts w:hint="eastAsia" w:ascii="仿宋_GB2312" w:eastAsia="仿宋_GB2312" w:cs="Times New Roman"/>
          <w:kern w:val="2"/>
          <w:sz w:val="32"/>
          <w:szCs w:val="32"/>
          <w:lang w:val="en-US" w:eastAsia="zh-CN" w:bidi="ar-SA"/>
        </w:rPr>
        <w:t>按照《</w:t>
      </w:r>
      <w:r>
        <w:rPr>
          <w:rFonts w:hint="eastAsia" w:ascii="仿宋_GB2312" w:hAnsi="Times New Roman" w:eastAsia="仿宋_GB2312" w:cs="Times New Roman"/>
          <w:kern w:val="2"/>
          <w:sz w:val="32"/>
          <w:szCs w:val="32"/>
          <w:lang w:val="en-US" w:eastAsia="zh-CN" w:bidi="ar-SA"/>
        </w:rPr>
        <w:t>青岛市深化环境影响评价告知承诺制审批改革实施方案（试行）</w:t>
      </w:r>
      <w:r>
        <w:rPr>
          <w:rFonts w:hint="eastAsia" w:ascii="仿宋_GB2312" w:eastAsia="仿宋_GB2312" w:cs="Times New Roman"/>
          <w:kern w:val="2"/>
          <w:sz w:val="32"/>
          <w:szCs w:val="32"/>
          <w:lang w:val="en-US" w:eastAsia="zh-CN" w:bidi="ar-SA"/>
        </w:rPr>
        <w:t>》中不适用于告知承诺审批的环评文件要求执行。</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实施</w:t>
      </w:r>
      <w:r>
        <w:rPr>
          <w:rFonts w:hint="eastAsia" w:ascii="黑体" w:hAnsi="黑体" w:eastAsia="黑体" w:cs="黑体"/>
          <w:sz w:val="32"/>
          <w:szCs w:val="32"/>
        </w:rPr>
        <w:t>程序</w:t>
      </w:r>
    </w:p>
    <w:p>
      <w:pPr>
        <w:pStyle w:val="2"/>
        <w:keepNext w:val="0"/>
        <w:keepLines w:val="0"/>
        <w:pageBreakBefore w:val="0"/>
        <w:kinsoku/>
        <w:wordWrap/>
        <w:overflowPunct/>
        <w:topLinePunct w:val="0"/>
        <w:autoSpaceDE/>
        <w:autoSpaceDN/>
        <w:bidi w:val="0"/>
        <w:adjustRightInd w:val="0"/>
        <w:ind w:left="0" w:firstLine="640" w:firstLineChars="200"/>
        <w:textAlignment w:val="auto"/>
        <w:rPr>
          <w:rFonts w:hint="eastAsia" w:ascii="仿宋_GB2312" w:eastAsia="仿宋_GB2312" w:cs="仿宋_GB2312" w:hAnsiTheme="minorHAnsi"/>
          <w:sz w:val="32"/>
          <w:szCs w:val="32"/>
        </w:rPr>
      </w:pPr>
      <w:r>
        <w:rPr>
          <w:rFonts w:hint="eastAsia" w:ascii="仿宋_GB2312" w:eastAsia="仿宋_GB2312" w:cs="仿宋_GB2312" w:hAnsiTheme="minorHAnsi"/>
          <w:sz w:val="32"/>
          <w:szCs w:val="32"/>
        </w:rPr>
        <w:t>严格按照《青岛市深化环境影响评价告知承诺制审批改革实施方案（试行）》要求执行。</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六、有关要求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楷体_GB2312" w:eastAsia="楷体_GB2312" w:cs="Times New Roman"/>
          <w:sz w:val="32"/>
          <w:szCs w:val="32"/>
        </w:rPr>
      </w:pPr>
      <w:r>
        <w:rPr>
          <w:rFonts w:hint="eastAsia" w:ascii="楷体_GB2312" w:eastAsia="楷体_GB2312" w:cs="楷体_GB2312"/>
          <w:sz w:val="32"/>
          <w:szCs w:val="32"/>
        </w:rPr>
        <w:t>（一）加强对环评文件编制质量的考核</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高新区环评审批部门对实施告知承诺制审批的建设项目环评文件编制质量</w:t>
      </w:r>
      <w:r>
        <w:rPr>
          <w:rFonts w:hint="eastAsia" w:ascii="仿宋_GB2312" w:eastAsia="仿宋_GB2312" w:cs="仿宋_GB2312"/>
          <w:sz w:val="32"/>
          <w:szCs w:val="32"/>
          <w:highlight w:val="none"/>
        </w:rPr>
        <w:t>每两个月</w:t>
      </w:r>
      <w:r>
        <w:rPr>
          <w:rFonts w:hint="eastAsia" w:ascii="仿宋_GB2312" w:eastAsia="仿宋_GB2312" w:cs="仿宋_GB2312"/>
          <w:sz w:val="32"/>
          <w:szCs w:val="32"/>
        </w:rPr>
        <w:t>进行全覆盖集中核查，具体核查工作可委托第三方技术服务机构开展。发现环评文件编制质量存在问题，按照生态环境部《建设项目环境影响报告书（表）编制监督管理办法》（部令第</w:t>
      </w:r>
      <w:r>
        <w:rPr>
          <w:rFonts w:ascii="仿宋_GB2312" w:eastAsia="仿宋_GB2312" w:cs="仿宋_GB2312"/>
          <w:sz w:val="32"/>
          <w:szCs w:val="32"/>
        </w:rPr>
        <w:t>9</w:t>
      </w:r>
      <w:r>
        <w:rPr>
          <w:rFonts w:hint="eastAsia" w:ascii="仿宋_GB2312" w:eastAsia="仿宋_GB2312" w:cs="仿宋_GB2312"/>
          <w:sz w:val="32"/>
          <w:szCs w:val="32"/>
        </w:rPr>
        <w:t>号）严格处理。发现建设项目不属于告知承诺范围或环评文件存在基础资料明显不实，内容存在重大缺陷、遗漏或者虚假，环境影响评价结论不正确或者不合理等严重质量问题，依法查处并依法撤销审批决定。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楷体_GB2312" w:eastAsia="楷体_GB2312" w:cs="Times New Roman"/>
          <w:sz w:val="32"/>
          <w:szCs w:val="32"/>
        </w:rPr>
      </w:pPr>
      <w:r>
        <w:rPr>
          <w:rFonts w:hint="eastAsia" w:ascii="楷体_GB2312" w:eastAsia="楷体_GB2312" w:cs="楷体_GB2312"/>
          <w:sz w:val="32"/>
          <w:szCs w:val="32"/>
        </w:rPr>
        <w:t>（二）压实建设单位环境保护主体责任</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对实施环评告知承诺审批的建设项目，环评审批部门审批时不再核实现场情况和环评文件实质内容，建设单位作为告知承诺的责任主体，对建设项目环评文件、承诺内容及相关支持性材料内容的真实性、合法性负责。建设单位应依法做好配套污染防治设施建设、排污许可、竣工验收、运行、环境信息公开等环境保护工作，遵守环境保护相关法律法规。因被依法撤销审批决定所造成的法律责任和经济责任由建设单位自行承担。</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楷体_GB2312" w:eastAsia="楷体_GB2312" w:cs="楷体_GB2312"/>
          <w:sz w:val="32"/>
          <w:szCs w:val="32"/>
        </w:rPr>
      </w:pPr>
      <w:r>
        <w:rPr>
          <w:rFonts w:hint="eastAsia" w:ascii="楷体_GB2312" w:eastAsia="楷体_GB2312" w:cs="楷体_GB2312"/>
          <w:sz w:val="32"/>
          <w:szCs w:val="32"/>
        </w:rPr>
        <w:t>（三)强化事中事后监管</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Times New Roman" w:eastAsia="仿宋_GB2312" w:cs="Times New Roman"/>
          <w:sz w:val="32"/>
          <w:szCs w:val="32"/>
        </w:rPr>
        <w:t>强化固定源排污许可一证式监管，</w:t>
      </w:r>
      <w:r>
        <w:rPr>
          <w:rFonts w:hint="eastAsia" w:ascii="仿宋_GB2312" w:hAnsi="Times New Roman" w:eastAsia="仿宋_GB2312" w:cs="Times New Roman"/>
          <w:sz w:val="32"/>
          <w:szCs w:val="32"/>
          <w:highlight w:val="none"/>
        </w:rPr>
        <w:t>依法查处</w:t>
      </w:r>
      <w:r>
        <w:rPr>
          <w:rFonts w:hint="eastAsia" w:ascii="仿宋_GB2312" w:hAnsi="Times New Roman" w:eastAsia="仿宋_GB2312" w:cs="Times New Roman"/>
          <w:sz w:val="32"/>
          <w:szCs w:val="32"/>
        </w:rPr>
        <w:t>各类违法排污行为。</w:t>
      </w:r>
      <w:r>
        <w:rPr>
          <w:rFonts w:hint="eastAsia" w:ascii="仿宋_GB2312" w:eastAsia="仿宋_GB2312" w:cs="仿宋_GB2312"/>
          <w:sz w:val="32"/>
          <w:szCs w:val="32"/>
        </w:rPr>
        <w:t>审批完成后，环评审批部门将承诺书和相关材料移交执法部门，纳入事中事后监管范畴。对监管中发现建设项目存在的不实承诺、未按承诺落实环保措施或其他环境违法违规行为，严格依法查处，依法撤销告知承诺审批决定，相关处罚信息记入失信人的环境信用记录并向社会公开。</w:t>
      </w: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eastAsia="仿宋_GB2312" w:cs="仿宋_GB2312"/>
          <w:sz w:val="32"/>
          <w:szCs w:val="32"/>
        </w:rPr>
      </w:pPr>
      <w:r>
        <w:rPr>
          <w:rFonts w:hint="eastAsia" w:ascii="仿宋_GB2312" w:eastAsia="仿宋_GB2312" w:cs="仿宋_GB2312"/>
          <w:sz w:val="32"/>
          <w:szCs w:val="32"/>
        </w:rPr>
        <w:t>附件：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1.青岛</w:t>
      </w:r>
      <w:r>
        <w:rPr>
          <w:rFonts w:hint="eastAsia" w:ascii="仿宋_GB2312" w:eastAsia="仿宋_GB2312" w:cs="仿宋_GB2312"/>
          <w:sz w:val="32"/>
          <w:szCs w:val="32"/>
          <w:lang w:val="en-US" w:eastAsia="zh-CN"/>
        </w:rPr>
        <w:t>高新技术产业开发区</w:t>
      </w:r>
      <w:r>
        <w:rPr>
          <w:rFonts w:hint="eastAsia" w:ascii="仿宋_GB2312" w:eastAsia="仿宋_GB2312" w:cs="仿宋_GB2312"/>
          <w:sz w:val="32"/>
          <w:szCs w:val="32"/>
        </w:rPr>
        <w:t>建设项目环境影响评价告知承诺制审批改革试点名录（2023年）</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建设项目环境影响评价文件审批告知书</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建设项目环境影响评价文件审批承诺书</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附件1</w:t>
      </w:r>
    </w:p>
    <w:p>
      <w:pPr>
        <w:pStyle w:val="2"/>
        <w:keepNext w:val="0"/>
        <w:keepLines w:val="0"/>
        <w:pageBreakBefore w:val="0"/>
        <w:kinsoku/>
        <w:wordWrap/>
        <w:overflowPunct/>
        <w:topLinePunct w:val="0"/>
        <w:autoSpaceDE/>
        <w:autoSpaceDN/>
        <w:bidi w:val="0"/>
        <w:adjustRightInd w:val="0"/>
        <w:textAlignment w:val="auto"/>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w:t>
      </w:r>
      <w:r>
        <w:rPr>
          <w:rFonts w:hint="eastAsia" w:ascii="方正小标宋_GBK" w:hAnsi="方正小标宋_GBK" w:eastAsia="方正小标宋_GBK" w:cs="方正小标宋_GBK"/>
          <w:sz w:val="44"/>
          <w:szCs w:val="44"/>
          <w:lang w:val="en-US" w:eastAsia="zh-CN"/>
        </w:rPr>
        <w:t>高新技术产业开发区</w:t>
      </w:r>
      <w:r>
        <w:rPr>
          <w:rFonts w:hint="eastAsia" w:ascii="方正小标宋_GBK" w:hAnsi="方正小标宋_GBK" w:eastAsia="方正小标宋_GBK" w:cs="方正小标宋_GBK"/>
          <w:sz w:val="44"/>
          <w:szCs w:val="44"/>
        </w:rPr>
        <w:t>建设项目环境影响</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评价告知承诺制审批改革试点名录（202</w:t>
      </w:r>
      <w:r>
        <w:rPr>
          <w:rFonts w:ascii="方正小标宋_GBK" w:hAnsi="方正小标宋_GBK" w:eastAsia="方正小标宋_GBK" w:cs="方正小标宋_GBK"/>
          <w:sz w:val="44"/>
          <w:szCs w:val="44"/>
        </w:rPr>
        <w:t>3</w:t>
      </w:r>
      <w:r>
        <w:rPr>
          <w:rFonts w:hint="eastAsia" w:ascii="方正小标宋_GBK" w:hAnsi="方正小标宋_GBK" w:eastAsia="方正小标宋_GBK" w:cs="方正小标宋_GBK"/>
          <w:sz w:val="44"/>
          <w:szCs w:val="44"/>
        </w:rPr>
        <w:t>年）</w:t>
      </w:r>
    </w:p>
    <w:p>
      <w:pPr>
        <w:pStyle w:val="2"/>
        <w:keepNext w:val="0"/>
        <w:keepLines w:val="0"/>
        <w:pageBreakBefore w:val="0"/>
        <w:kinsoku/>
        <w:wordWrap/>
        <w:overflowPunct/>
        <w:topLinePunct w:val="0"/>
        <w:autoSpaceDE/>
        <w:autoSpaceDN/>
        <w:bidi w:val="0"/>
        <w:adjustRightInd w:val="0"/>
        <w:textAlignment w:val="auto"/>
      </w:pPr>
    </w:p>
    <w:tbl>
      <w:tblPr>
        <w:tblStyle w:val="12"/>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985"/>
        <w:gridCol w:w="708"/>
        <w:gridCol w:w="4356"/>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jc w:val="center"/>
              <w:textAlignment w:val="auto"/>
              <w:rPr>
                <w:rFonts w:ascii="黑体" w:hAnsi="黑体" w:eastAsia="黑体" w:cs="仿宋_GB2312"/>
                <w:sz w:val="24"/>
              </w:rPr>
            </w:pPr>
            <w:r>
              <w:rPr>
                <w:rFonts w:hint="eastAsia" w:ascii="黑体" w:hAnsi="黑体" w:eastAsia="黑体" w:cs="仿宋_GB2312"/>
                <w:sz w:val="24"/>
              </w:rPr>
              <w:t>序号</w:t>
            </w:r>
          </w:p>
        </w:tc>
        <w:tc>
          <w:tcPr>
            <w:tcW w:w="2693" w:type="dxa"/>
            <w:gridSpan w:val="2"/>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jc w:val="center"/>
              <w:textAlignment w:val="auto"/>
              <w:rPr>
                <w:rFonts w:ascii="黑体" w:hAnsi="黑体" w:eastAsia="黑体" w:cs="仿宋_GB2312"/>
                <w:sz w:val="24"/>
              </w:rPr>
            </w:pPr>
            <w:r>
              <w:rPr>
                <w:rFonts w:hint="eastAsia" w:ascii="黑体" w:hAnsi="黑体" w:eastAsia="黑体" w:cs="仿宋_GB2312"/>
                <w:sz w:val="24"/>
              </w:rPr>
              <w:t>《名录》项目类别号</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jc w:val="center"/>
              <w:textAlignment w:val="auto"/>
              <w:rPr>
                <w:rFonts w:ascii="黑体" w:hAnsi="黑体" w:eastAsia="黑体" w:cs="仿宋_GB2312"/>
                <w:sz w:val="24"/>
              </w:rPr>
            </w:pPr>
            <w:r>
              <w:rPr>
                <w:rFonts w:hint="eastAsia" w:ascii="黑体" w:hAnsi="黑体" w:eastAsia="黑体" w:cs="仿宋_GB2312"/>
                <w:sz w:val="24"/>
              </w:rPr>
              <w:t>项目类别</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jc w:val="center"/>
              <w:textAlignment w:val="auto"/>
              <w:rPr>
                <w:rFonts w:ascii="黑体" w:hAnsi="黑体" w:eastAsia="黑体" w:cs="仿宋_GB2312"/>
                <w:sz w:val="24"/>
              </w:rPr>
            </w:pPr>
            <w:r>
              <w:rPr>
                <w:rFonts w:hint="eastAsia" w:ascii="黑体" w:hAnsi="黑体" w:eastAsia="黑体" w:cs="仿宋_GB2312"/>
                <w:sz w:val="24"/>
              </w:rPr>
              <w:t>文件类别★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一、农业01、林业02</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农产品基地项目（含药材基地）</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经济林基地项目</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三、渔业04</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内陆养殖0412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十、农副食品加工业13</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谷物磨制131饲料加工132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植物油加工133（不含有浸出工艺的）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制糖业134</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屠宰及肉类加工135</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水产品加工136</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9</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其他农副食品加工139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10</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十一、食品制造业14</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糖果、巧克力及蜜饯制造142；方便食品制造143；罐头食品制造145</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11</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乳制品制造144</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12</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调味品、发酵制品制造146</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13</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其他食品制造149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14</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十二、酒、饮料制造业15</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酒的制造151</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15</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饮料制造152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16</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十三、烟草制品业16</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卷烟制造162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17</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十四、纺织业17</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棉纺织及印染精加工171；毛纺织及染整</w:t>
            </w:r>
          </w:p>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精加工172；麻纺织及染整精加工173；</w:t>
            </w:r>
          </w:p>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丝绢纺织及印染精加工174；化纤织造及</w:t>
            </w:r>
          </w:p>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印染精加工175；针织或钩针编织物及其</w:t>
            </w:r>
          </w:p>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制品制造176；家用纺织制成品制造177；产业用纺织制成品制造178</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18</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十五、纺织服装、服饰业18</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29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机织服装制造181；针织或钩针编织服装制造182；服饰制造183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19</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十六、皮革、毛皮、羽毛及其制品和制鞋业19</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皮革鞣制加工191；皮革制品制造192；毛皮鞣制及制品加工193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20</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羽毛（绒）加工及制品制造194</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21</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制鞋业195（不含以再生塑料为原料生产的）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22</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十七、木材加工和木、竹、藤、棕、草制品业20</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木材加工201；木质制品制造203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23</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人造板制造202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24</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竹、藤、棕、草等制品制造204</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25</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十八、家具制造业21</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木质家具制造211；竹、藤家具制造212；金属家具制造213；塑料家具制造214；其他家具制造219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26</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十九、造纸和纸制品业22</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纸浆制造221；造纸222（含废纸造纸）</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27</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纸制品制造223（不含以再生塑料为原料生产的）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28</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二十、印刷和记录媒介复制业23</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印刷231</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29</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二十一、文教、工美、体育和娱乐用品制造业24</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40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文教办公用品制造241；乐器制造242；体育用品制造244；玩具制造245；游艺器材及娱乐用品制造246（不含以再生塑料为原料生产的）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30</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41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工艺美术及礼仪用品制造243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二十三、化学原料和化学制品制造业</w:t>
            </w:r>
            <w:r>
              <w:rPr>
                <w:rFonts w:ascii="仿宋_GB2312" w:hAnsi="仿宋_GB2312" w:eastAsia="仿宋_GB2312" w:cs="仿宋_GB2312"/>
                <w:kern w:val="0"/>
                <w:sz w:val="24"/>
              </w:rPr>
              <w:t>26</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 w:eastAsia="仿宋_GB2312" w:cs="仿宋"/>
                <w:sz w:val="24"/>
              </w:rPr>
            </w:pPr>
            <w:r>
              <w:rPr>
                <w:rFonts w:hint="eastAsia" w:ascii="仿宋_GB2312" w:hAnsi="仿宋" w:eastAsia="仿宋_GB2312" w:cs="仿宋"/>
                <w:sz w:val="24"/>
                <w:highlight w:val="magenta"/>
              </w:rPr>
              <w:t>生物化学农药及微生物农药制造2632</w:t>
            </w:r>
            <w:r>
              <w:rPr>
                <w:rFonts w:hint="eastAsia" w:ascii="仿宋_GB2312" w:hAnsi="仿宋" w:eastAsia="仿宋_GB2312" w:cs="仿宋"/>
                <w:sz w:val="24"/>
                <w:highlight w:val="magenta"/>
                <w:lang w:val="en-US" w:eastAsia="zh-CN"/>
              </w:rPr>
              <w:t>;</w:t>
            </w:r>
            <w:r>
              <w:rPr>
                <w:rFonts w:hint="eastAsia" w:ascii="仿宋_GB2312" w:hAnsi="仿宋" w:eastAsia="仿宋_GB2312" w:cs="仿宋"/>
                <w:sz w:val="24"/>
                <w:highlight w:val="magenta"/>
              </w:rPr>
              <w:t>涂料制造</w:t>
            </w:r>
            <w:r>
              <w:rPr>
                <w:rFonts w:hint="eastAsia" w:ascii="仿宋_GB2312" w:hAnsi="仿宋" w:eastAsia="仿宋_GB2312" w:cs="仿宋"/>
                <w:sz w:val="24"/>
                <w:highlight w:val="magenta"/>
                <w:lang w:val="en-US" w:eastAsia="zh-CN"/>
              </w:rPr>
              <w:t>2641；</w:t>
            </w:r>
            <w:r>
              <w:rPr>
                <w:rFonts w:hint="eastAsia" w:ascii="仿宋_GB2312" w:hAnsi="仿宋" w:eastAsia="仿宋_GB2312" w:cs="仿宋"/>
                <w:sz w:val="24"/>
                <w:highlight w:val="magenta"/>
              </w:rPr>
              <w:t>初级形态塑料及合成树脂制造</w:t>
            </w:r>
            <w:r>
              <w:rPr>
                <w:rFonts w:ascii="仿宋_GB2312" w:hAnsi="仿宋" w:eastAsia="仿宋_GB2312" w:cs="仿宋"/>
                <w:sz w:val="24"/>
                <w:highlight w:val="magenta"/>
              </w:rPr>
              <w:t>2651</w:t>
            </w:r>
            <w:r>
              <w:rPr>
                <w:rFonts w:hint="eastAsia" w:ascii="仿宋_GB2312" w:hAnsi="仿宋" w:eastAsia="仿宋_GB2312" w:cs="仿宋"/>
                <w:sz w:val="24"/>
                <w:highlight w:val="magenta"/>
                <w:lang w:eastAsia="zh-CN"/>
              </w:rPr>
              <w:t>；</w:t>
            </w:r>
            <w:r>
              <w:rPr>
                <w:rFonts w:hint="eastAsia" w:ascii="仿宋_GB2312" w:hAnsi="仿宋" w:eastAsia="仿宋_GB2312" w:cs="仿宋"/>
                <w:sz w:val="24"/>
                <w:highlight w:val="magenta"/>
              </w:rPr>
              <w:t>其他专用化学产品制造</w:t>
            </w:r>
            <w:r>
              <w:rPr>
                <w:rFonts w:ascii="仿宋_GB2312" w:hAnsi="仿宋" w:eastAsia="仿宋_GB2312" w:cs="仿宋"/>
                <w:sz w:val="24"/>
                <w:highlight w:val="magenta"/>
              </w:rPr>
              <w:t>2669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p>
        </w:tc>
        <w:tc>
          <w:tcPr>
            <w:tcW w:w="1985" w:type="dxa"/>
            <w:vMerge w:val="restart"/>
            <w:tcBorders>
              <w:top w:val="single" w:color="auto" w:sz="4" w:space="0"/>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二十四、医药制造业27</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47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 w:eastAsia="仿宋_GB2312" w:cs="仿宋"/>
                <w:kern w:val="2"/>
                <w:sz w:val="24"/>
                <w:szCs w:val="24"/>
                <w:lang w:val="en-US" w:eastAsia="zh-CN" w:bidi="ar-SA"/>
              </w:rPr>
            </w:pPr>
            <w:r>
              <w:rPr>
                <w:rFonts w:hint="eastAsia" w:ascii="仿宋_GB2312" w:hAnsi="仿宋" w:eastAsia="仿宋_GB2312" w:cs="仿宋"/>
                <w:sz w:val="24"/>
                <w:highlight w:val="magenta"/>
              </w:rPr>
              <w:t>化学药品原料药制造</w:t>
            </w:r>
            <w:r>
              <w:rPr>
                <w:rFonts w:ascii="仿宋_GB2312" w:hAnsi="仿宋" w:eastAsia="仿宋_GB2312" w:cs="仿宋"/>
                <w:sz w:val="24"/>
                <w:highlight w:val="magenta"/>
              </w:rPr>
              <w:t>271</w:t>
            </w:r>
            <w:r>
              <w:rPr>
                <w:rFonts w:hint="eastAsia" w:ascii="仿宋_GB2312" w:hAnsi="仿宋" w:eastAsia="仿宋_GB2312" w:cs="仿宋"/>
                <w:sz w:val="24"/>
                <w:highlight w:val="magenta"/>
              </w:rPr>
              <w:t>；化学药品制剂制造</w:t>
            </w:r>
            <w:r>
              <w:rPr>
                <w:rFonts w:ascii="仿宋_GB2312" w:hAnsi="仿宋" w:eastAsia="仿宋_GB2312" w:cs="仿宋"/>
                <w:sz w:val="24"/>
                <w:highlight w:val="magenta"/>
              </w:rPr>
              <w:t>272</w:t>
            </w:r>
            <w:r>
              <w:rPr>
                <w:rFonts w:hint="eastAsia" w:ascii="仿宋_GB2312" w:hAnsi="仿宋" w:eastAsia="仿宋_GB2312" w:cs="仿宋"/>
                <w:sz w:val="24"/>
                <w:highlight w:val="magenta"/>
              </w:rPr>
              <w:t>；兽用药品制造</w:t>
            </w:r>
            <w:r>
              <w:rPr>
                <w:rFonts w:ascii="仿宋_GB2312" w:hAnsi="仿宋" w:eastAsia="仿宋_GB2312" w:cs="仿宋"/>
                <w:sz w:val="24"/>
                <w:highlight w:val="magenta"/>
              </w:rPr>
              <w:t>275</w:t>
            </w:r>
            <w:r>
              <w:rPr>
                <w:rFonts w:hint="eastAsia" w:ascii="仿宋_GB2312" w:hAnsi="仿宋" w:eastAsia="仿宋_GB2312" w:cs="仿宋"/>
                <w:sz w:val="24"/>
                <w:highlight w:val="magenta"/>
              </w:rPr>
              <w:t>；生物药品制品制造</w:t>
            </w:r>
            <w:r>
              <w:rPr>
                <w:rFonts w:ascii="仿宋_GB2312" w:hAnsi="仿宋" w:eastAsia="仿宋_GB2312" w:cs="仿宋"/>
                <w:sz w:val="24"/>
                <w:highlight w:val="magenta"/>
              </w:rPr>
              <w:t>276</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31</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strike/>
                <w:kern w:val="0"/>
                <w:sz w:val="24"/>
              </w:rPr>
            </w:pPr>
            <w:r>
              <w:rPr>
                <w:rFonts w:hint="eastAsia" w:ascii="仿宋_GB2312" w:hAnsi="仿宋_GB2312" w:eastAsia="仿宋_GB2312" w:cs="仿宋_GB2312"/>
                <w:kern w:val="0"/>
                <w:sz w:val="24"/>
              </w:rPr>
              <w:t>48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strike/>
                <w:kern w:val="0"/>
                <w:sz w:val="24"/>
              </w:rPr>
            </w:pPr>
            <w:r>
              <w:rPr>
                <w:rFonts w:hint="eastAsia" w:ascii="仿宋_GB2312" w:hAnsi="仿宋" w:eastAsia="仿宋_GB2312" w:cs="仿宋"/>
                <w:sz w:val="24"/>
              </w:rPr>
              <w:t>中药饮片加工273；中成药生产274</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32</w:t>
            </w:r>
          </w:p>
        </w:tc>
        <w:tc>
          <w:tcPr>
            <w:tcW w:w="1985" w:type="dxa"/>
            <w:vMerge w:val="continue"/>
            <w:tcBorders>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strike/>
                <w:kern w:val="0"/>
                <w:sz w:val="24"/>
              </w:rPr>
            </w:pPr>
            <w:r>
              <w:rPr>
                <w:rFonts w:hint="eastAsia" w:ascii="仿宋_GB2312" w:hAnsi="仿宋_GB2312" w:eastAsia="仿宋_GB2312" w:cs="仿宋_GB2312"/>
                <w:kern w:val="0"/>
                <w:sz w:val="24"/>
              </w:rPr>
              <w:t>49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卫生材料及医药用品制造277；药用辅料及包装材料制造278</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33</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 w:eastAsia="仿宋_GB2312" w:cs="仿宋"/>
                <w:sz w:val="24"/>
              </w:rPr>
            </w:pPr>
            <w:r>
              <w:rPr>
                <w:rFonts w:hint="eastAsia" w:ascii="仿宋_GB2312" w:hAnsi="仿宋" w:eastAsia="仿宋_GB2312" w:cs="仿宋"/>
                <w:sz w:val="24"/>
              </w:rPr>
              <w:t>二十五、化学纤维制造业28</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纤维素纤维原料及纤维制造281；合成纤维制造282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34</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 w:eastAsia="仿宋_GB2312" w:cs="仿宋"/>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生物基材料制造283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35</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二十六、橡胶和塑料制品业2</w:t>
            </w:r>
            <w:r>
              <w:rPr>
                <w:rFonts w:ascii="仿宋_GB2312" w:hAnsi="仿宋_GB2312" w:eastAsia="仿宋_GB2312" w:cs="仿宋_GB2312"/>
                <w:kern w:val="0"/>
                <w:sz w:val="24"/>
              </w:rPr>
              <w:t>9</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0" w:name="_Hlk141124363"/>
            <w:r>
              <w:rPr>
                <w:rFonts w:hint="eastAsia" w:ascii="仿宋_GB2312" w:hAnsi="仿宋_GB2312" w:eastAsia="仿宋_GB2312" w:cs="仿宋_GB2312"/>
                <w:kern w:val="0"/>
                <w:sz w:val="24"/>
              </w:rPr>
              <w:t>塑料制品业</w:t>
            </w:r>
            <w:bookmarkEnd w:id="0"/>
            <w:r>
              <w:rPr>
                <w:rFonts w:hint="eastAsia" w:ascii="仿宋_GB2312" w:hAnsi="仿宋_GB2312" w:eastAsia="仿宋_GB2312" w:cs="仿宋_GB2312"/>
                <w:kern w:val="0"/>
                <w:sz w:val="24"/>
              </w:rPr>
              <w:t>292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36</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二十七、非金属矿物制品业3</w:t>
            </w:r>
            <w:r>
              <w:rPr>
                <w:rFonts w:ascii="仿宋_GB2312" w:hAnsi="仿宋_GB2312" w:eastAsia="仿宋_GB2312" w:cs="仿宋_GB2312"/>
                <w:kern w:val="0"/>
                <w:sz w:val="24"/>
              </w:rPr>
              <w:t>0</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1" w:name="_Hlk141124564"/>
            <w:r>
              <w:rPr>
                <w:rFonts w:hint="eastAsia" w:ascii="仿宋_GB2312" w:hAnsi="仿宋_GB2312" w:eastAsia="仿宋_GB2312" w:cs="仿宋_GB2312"/>
                <w:kern w:val="0"/>
                <w:sz w:val="24"/>
              </w:rPr>
              <w:t>石膏、水泥制品及类似制品制造</w:t>
            </w:r>
            <w:bookmarkEnd w:id="1"/>
            <w:r>
              <w:rPr>
                <w:rFonts w:hint="eastAsia" w:ascii="仿宋_GB2312" w:hAnsi="仿宋_GB2312" w:eastAsia="仿宋_GB2312" w:cs="仿宋_GB2312"/>
                <w:kern w:val="0"/>
                <w:sz w:val="24"/>
              </w:rPr>
              <w:t>302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37</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57</w:t>
            </w:r>
          </w:p>
        </w:tc>
        <w:tc>
          <w:tcPr>
            <w:tcW w:w="435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玻璃制造304；玻璃制品制造305</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38</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玻璃纤维和玻璃纤维增强塑料制品制造306</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 w:eastAsia="仿宋_GB2312" w:cs="仿宋"/>
                <w:kern w:val="2"/>
                <w:sz w:val="24"/>
                <w:szCs w:val="24"/>
                <w:highlight w:val="magenta"/>
                <w:lang w:val="en-US" w:eastAsia="zh-CN" w:bidi="ar-SA"/>
              </w:rPr>
            </w:pPr>
            <w:r>
              <w:rPr>
                <w:rFonts w:hint="eastAsia" w:ascii="仿宋_GB2312" w:hAnsi="仿宋" w:eastAsia="仿宋_GB2312" w:cs="仿宋"/>
                <w:sz w:val="24"/>
                <w:highlight w:val="magenta"/>
              </w:rPr>
              <w:t>特种陶瓷制品制造</w:t>
            </w:r>
            <w:r>
              <w:rPr>
                <w:rFonts w:ascii="仿宋_GB2312" w:hAnsi="仿宋" w:eastAsia="仿宋_GB2312" w:cs="仿宋"/>
                <w:sz w:val="24"/>
                <w:highlight w:val="magenta"/>
              </w:rPr>
              <w:t>3073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39</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60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耐火材料制品制造308；石墨及其他非金属矿物制品制造309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40</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二十八、黑色金属冶炼和压延加工业31</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63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钢压延加工313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41</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二十九、有色金属冶炼和压延加工业32</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64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有色金属压延加工325</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42</w:t>
            </w:r>
          </w:p>
        </w:tc>
        <w:tc>
          <w:tcPr>
            <w:tcW w:w="1985" w:type="dxa"/>
            <w:vMerge w:val="restart"/>
            <w:tcBorders>
              <w:top w:val="single" w:color="auto" w:sz="4" w:space="0"/>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三十、金属制品业33</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66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结构性金属制品制造331；金属工具制造332；集装箱及金属包装容器制造333；金属丝绳及其制品制造334；建筑、安全用金属制品制造335；搪瓷制品制造337；金属制日用品制造338</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43</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67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金属表面处理及热处理加工</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p>
        </w:tc>
        <w:tc>
          <w:tcPr>
            <w:tcW w:w="1985" w:type="dxa"/>
            <w:vMerge w:val="continue"/>
            <w:tcBorders>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68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highlight w:val="magenta"/>
              </w:rPr>
              <w:t>其他未列明金属制品制造</w:t>
            </w:r>
            <w:r>
              <w:rPr>
                <w:rFonts w:ascii="仿宋_GB2312" w:hAnsi="仿宋_GB2312" w:eastAsia="仿宋_GB2312" w:cs="仿宋_GB2312"/>
                <w:kern w:val="0"/>
                <w:sz w:val="24"/>
                <w:highlight w:val="magenta"/>
              </w:rPr>
              <w:t>3399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44</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三十一、通用设备制造业34</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69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锅炉及原动设备制造341；金属加工机械制造342；物料搬运设备制造343；泵、阀门、压缩机及类似机械制造344；轴承、齿轮和传动部件制造345；烘炉风机、包装等设备制造346；文化、办公用机械制造347；通用零部件制造348；其他通用设备制造业349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45</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三十二、专用设备制造业35</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采矿、冶金、建筑专用设备制造351；化工、木材、非金属加工专用设备制造352；食品、饮料、烟草及饲料生产专用设备制造353；印刷、制药、日化及日用品生产专用设备制造354；纺织、服装和皮革加工专用设备制造355；电子和电工机械专用设备制造356；农、林、牧、渔专用机械制造357；医疗仪器设备及器械制造358；环保、邮政、社会公共服务及其他专用设备制造359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46</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三十三、汽车制造业36</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汽车整车制造361；汽车用发动机制造362；改装汽车制造363；低速汽车制造364；电车制造365；汽车车身、挂车制造366；汽车零部件及配件制造367</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47</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三十四、铁路、船舶、航空航天和其他运输设备制造业37</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铁路运输设备制造371；城市轨道交通设备制造372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48</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船舶及相关装置制造373</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49</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航空、航天器及设备制造374</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50</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摩托车制造375</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51</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自行车和残疾人座车制造376；助动车制造377；非公路休闲车及零配件制造378；潜水救捞及其他未列明运输设备制造379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52</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三十五、电气机械和器材制造业38</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电机制造381；输配电及控制设备制造382；电线、电缆、光缆及电工器材制造383；电池制造 384；家用电力器具制造385；非电力家用器具制造386；照明器具制造387；其他电气机械及器材制造389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53</w:t>
            </w:r>
          </w:p>
        </w:tc>
        <w:tc>
          <w:tcPr>
            <w:tcW w:w="198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三十六、计算机、通信和其他电子设备制造业39</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计算机制造391</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54</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79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智能消费设备制造396</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55</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电子器件制造397</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56</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2" w:name="_Hlk141124545"/>
            <w:r>
              <w:rPr>
                <w:rFonts w:hint="eastAsia" w:ascii="仿宋_GB2312" w:hAnsi="仿宋_GB2312" w:eastAsia="仿宋_GB2312" w:cs="仿宋_GB2312"/>
                <w:kern w:val="0"/>
                <w:sz w:val="24"/>
              </w:rPr>
              <w:t>电子元件及电子专用材料制造</w:t>
            </w:r>
            <w:bookmarkEnd w:id="2"/>
            <w:r>
              <w:rPr>
                <w:rFonts w:hint="eastAsia" w:ascii="仿宋_GB2312" w:hAnsi="仿宋_GB2312" w:eastAsia="仿宋_GB2312" w:cs="仿宋_GB2312"/>
                <w:kern w:val="0"/>
                <w:sz w:val="24"/>
              </w:rPr>
              <w:t>398</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57</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通信设备制造392；广播电视设备制造393；雷达及配套设备制造394；非专业视听设备制造395；其他电子设备制造399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58</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三十七、仪器仪表制造业4</w:t>
            </w:r>
            <w:r>
              <w:rPr>
                <w:rFonts w:ascii="仿宋_GB2312" w:hAnsi="仿宋_GB2312" w:eastAsia="仿宋_GB2312" w:cs="仿宋_GB2312"/>
                <w:kern w:val="0"/>
                <w:sz w:val="24"/>
              </w:rPr>
              <w:t>0</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通用仪器仪表制造401；专用仪器仪表制造402；钟表与计时仪器制造403；光学仪器制造404；衡器制造405；其他仪器仪表制造业409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59</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三十八、其他制造业41</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日用杂品制造411；其他未列明制造业419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60</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四十、金属制品、机械和设备修理业43</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金属制品修理431；通用设备修理432；专用设备修理433；铁路、船舶、航空航天等运输设备修理434；电气设备修理435；仪器仪表修理436；其他机械和设备修理业439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61</w:t>
            </w:r>
          </w:p>
        </w:tc>
        <w:tc>
          <w:tcPr>
            <w:tcW w:w="1985" w:type="dxa"/>
            <w:vMerge w:val="restart"/>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textAlignment w:val="auto"/>
              <w:rPr>
                <w:rFonts w:ascii="仿宋_GB2312" w:hAnsi="仿宋_GB2312" w:eastAsia="仿宋_GB2312" w:cs="仿宋_GB2312"/>
                <w:color w:val="00B050"/>
                <w:kern w:val="0"/>
                <w:sz w:val="24"/>
              </w:rPr>
            </w:pPr>
            <w:r>
              <w:rPr>
                <w:rFonts w:hint="eastAsia" w:ascii="仿宋_GB2312" w:hAnsi="仿宋" w:eastAsia="仿宋_GB2312" w:cs="仿宋"/>
                <w:sz w:val="24"/>
              </w:rPr>
              <w:t>四十一、电力、热力生产和供应业</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火力发电4411；热电联产4412（4411和4412均含掺烧生活垃圾发电、掺烧污泥发电）</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62</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color w:val="00B050"/>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89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生物质能发电4417</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63</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color w:val="00B050"/>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陆上风力发电4415；太阳能发电4416（不含居民家用光伏发电）；其他电力生产4419（不含海上的潮汐能、波浪能、温差能等发电）（不含其他风力发电）</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64</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color w:val="00B050"/>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热力生产和供应工程（包括建设单位自建自用的供热工程）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65</w:t>
            </w:r>
          </w:p>
        </w:tc>
        <w:tc>
          <w:tcPr>
            <w:tcW w:w="198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四十三、水的生产和供应业</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自来水生产和供应461（不含供应工程；不含村庄供应工程）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66</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海水淡化处理463；其他水的处理、利用与分配469</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67</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四十四、</w:t>
            </w:r>
            <w:bookmarkStart w:id="3" w:name="_Hlk141124443"/>
            <w:r>
              <w:rPr>
                <w:rFonts w:hint="eastAsia" w:ascii="仿宋_GB2312" w:hAnsi="仿宋_GB2312" w:eastAsia="仿宋_GB2312" w:cs="仿宋_GB2312"/>
                <w:kern w:val="0"/>
                <w:sz w:val="24"/>
              </w:rPr>
              <w:t>房地产业</w:t>
            </w:r>
            <w:bookmarkEnd w:id="3"/>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房地产开发、商业综合体、宾馆、酒店、办公用房、标准厂房等（仅涉及风景名胜区三级保护区的）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报告表（含专项）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68</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四十五、研究和试验发展</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4" w:name="_Hlk141123775"/>
            <w:r>
              <w:rPr>
                <w:rFonts w:hint="eastAsia" w:ascii="仿宋_GB2312" w:hAnsi="仿宋_GB2312" w:eastAsia="仿宋_GB2312" w:cs="仿宋_GB2312"/>
                <w:kern w:val="0"/>
                <w:sz w:val="24"/>
              </w:rPr>
              <w:t>专业实验室、研发（试验）基地（不含医药、化工类等专业中试内容的）</w:t>
            </w:r>
            <w:bookmarkEnd w:id="4"/>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69</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四十六、专业技术服务业</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99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陆地矿产资源地质勘查（含油气资源勘探）；二氧化碳地质封存</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70</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四十八、公共设施管理业</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107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粪便处置工程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71</w:t>
            </w:r>
          </w:p>
        </w:tc>
        <w:tc>
          <w:tcPr>
            <w:tcW w:w="1985" w:type="dxa"/>
            <w:vMerge w:val="restart"/>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四十九、卫生84</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108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妇幼保健院（所、站）8433；急救中心（站）服务8434；采供血机构服务8435；基层医疗卫生服务842</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72</w:t>
            </w:r>
          </w:p>
        </w:tc>
        <w:tc>
          <w:tcPr>
            <w:tcW w:w="198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109</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疾病预防控制中心8431</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73</w:t>
            </w:r>
          </w:p>
        </w:tc>
        <w:tc>
          <w:tcPr>
            <w:tcW w:w="1985" w:type="dxa"/>
            <w:vMerge w:val="restart"/>
            <w:tcBorders>
              <w:top w:val="nil"/>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五十、社会事业与服务业</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110</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5" w:name="_Hlk141124457"/>
            <w:r>
              <w:rPr>
                <w:rFonts w:hint="eastAsia" w:ascii="仿宋_GB2312" w:hAnsi="仿宋_GB2312" w:eastAsia="仿宋_GB2312" w:cs="仿宋_GB2312"/>
                <w:kern w:val="0"/>
                <w:sz w:val="24"/>
              </w:rPr>
              <w:t>有化学、生物实验室的学校；仅涉及风景名胜区三级保护区的学校、福利院、养老院</w:t>
            </w:r>
            <w:bookmarkEnd w:id="5"/>
            <w:r>
              <w:rPr>
                <w:rFonts w:hint="eastAsia" w:ascii="仿宋_GB2312" w:hAnsi="仿宋_GB2312" w:eastAsia="仿宋_GB2312" w:cs="仿宋_GB2312"/>
                <w:kern w:val="0"/>
                <w:sz w:val="24"/>
              </w:rPr>
              <w:t>（建筑面积5000平方米及以上的）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w:t>
            </w:r>
          </w:p>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（含专项）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74</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仅涉及风景名胜区三级保护区的批发、零售市场（建筑面积5000平方米及以上的）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75</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仅涉及风景名胜区三级保护区的滑雪场、狩猎场、赛车场、跑马场、射击场、水上运动中心等</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76</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6" w:name="_Hlk141124476"/>
            <w:r>
              <w:rPr>
                <w:rFonts w:hint="eastAsia" w:ascii="仿宋_GB2312" w:hAnsi="仿宋" w:eastAsia="仿宋_GB2312" w:cs="仿宋"/>
                <w:sz w:val="24"/>
              </w:rPr>
              <w:t>仅涉及风景名胜区三级保护区的展览馆、博物馆、美术馆</w:t>
            </w:r>
            <w:bookmarkEnd w:id="6"/>
            <w:r>
              <w:rPr>
                <w:rFonts w:hint="eastAsia" w:ascii="仿宋_GB2312" w:hAnsi="仿宋" w:eastAsia="仿宋_GB2312" w:cs="仿宋"/>
                <w:sz w:val="24"/>
              </w:rPr>
              <w:t>、影剧院、音乐厅、文化馆、图书馆、档案馆、纪念馆、体育场、体育馆等（不含村庄文化体育场所）</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77</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公园（含动物园、主题公园；不含城市公园、植物园、村庄公园）</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78</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旅游开发</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79</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影视基地建设</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80</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胶片洗印厂</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81</w:t>
            </w:r>
          </w:p>
        </w:tc>
        <w:tc>
          <w:tcPr>
            <w:tcW w:w="1985"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118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bookmarkStart w:id="7" w:name="_Hlk141124486"/>
            <w:r>
              <w:rPr>
                <w:rFonts w:hint="eastAsia" w:ascii="仿宋_GB2312" w:hAnsi="仿宋_GB2312" w:eastAsia="仿宋_GB2312" w:cs="仿宋_GB2312"/>
                <w:kern w:val="0"/>
                <w:sz w:val="24"/>
              </w:rPr>
              <w:t>仅涉及风景名胜区三级保护区的驾驶员训练基地、公交枢纽、长途客运站、大型停车场</w:t>
            </w:r>
            <w:bookmarkEnd w:id="7"/>
            <w:r>
              <w:rPr>
                <w:rFonts w:hint="eastAsia" w:ascii="仿宋_GB2312" w:hAnsi="仿宋_GB2312" w:eastAsia="仿宋_GB2312" w:cs="仿宋_GB2312"/>
                <w:kern w:val="0"/>
                <w:sz w:val="24"/>
              </w:rPr>
              <w:t>、机动车检测场</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82</w:t>
            </w:r>
          </w:p>
        </w:tc>
        <w:tc>
          <w:tcPr>
            <w:tcW w:w="1985" w:type="dxa"/>
            <w:vMerge w:val="continue"/>
            <w:tcBorders>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123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动物医院</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83</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 w:eastAsia="仿宋_GB2312" w:cs="仿宋"/>
                <w:sz w:val="24"/>
              </w:rPr>
              <w:t>五十一、水利</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125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灌区工程（不含水源工程的）</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84</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126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引水工程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85</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127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防洪除涝工程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86</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128</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河湖整治（不含农村塘堰、水渠）</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87</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五十二、交通运输业、管道运输业</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color w:val="FF0000"/>
                <w:kern w:val="0"/>
                <w:sz w:val="24"/>
              </w:rPr>
            </w:pPr>
            <w:r>
              <w:rPr>
                <w:rFonts w:hint="eastAsia" w:ascii="仿宋_GB2312" w:hAnsi="仿宋" w:eastAsia="仿宋_GB2312" w:cs="仿宋"/>
                <w:sz w:val="24"/>
              </w:rPr>
              <w:t>13</w:t>
            </w:r>
            <w:r>
              <w:rPr>
                <w:rFonts w:ascii="仿宋_GB2312" w:hAnsi="仿宋" w:eastAsia="仿宋_GB2312" w:cs="仿宋"/>
                <w:sz w:val="24"/>
              </w:rPr>
              <w:t>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color w:val="FF0000"/>
                <w:kern w:val="0"/>
                <w:sz w:val="24"/>
              </w:rPr>
            </w:pPr>
            <w:r>
              <w:rPr>
                <w:rFonts w:hint="eastAsia" w:ascii="仿宋_GB2312" w:hAnsi="仿宋" w:eastAsia="仿宋_GB2312" w:cs="仿宋"/>
                <w:sz w:val="24"/>
              </w:rPr>
              <w:t>改建铁路</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88</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color w:val="FF0000"/>
                <w:kern w:val="0"/>
                <w:sz w:val="24"/>
              </w:rPr>
            </w:pPr>
            <w:r>
              <w:rPr>
                <w:rFonts w:hint="eastAsia" w:ascii="仿宋_GB2312" w:hAnsi="仿宋" w:eastAsia="仿宋_GB2312" w:cs="仿宋"/>
                <w:sz w:val="24"/>
              </w:rPr>
              <w:t>134</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color w:val="FF0000"/>
                <w:kern w:val="0"/>
                <w:sz w:val="24"/>
              </w:rPr>
            </w:pPr>
            <w:r>
              <w:rPr>
                <w:rFonts w:hint="eastAsia" w:ascii="仿宋_GB2312" w:hAnsi="仿宋" w:eastAsia="仿宋_GB2312" w:cs="仿宋"/>
                <w:sz w:val="24"/>
              </w:rPr>
              <w:t>铁路枢纽</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strike/>
                <w:color w:val="FF0000"/>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89</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137</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导航台站、维修保障等配套工程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90</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143</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 w:eastAsia="仿宋_GB2312" w:cs="仿宋"/>
                <w:sz w:val="24"/>
              </w:rPr>
              <w:t>航道工程、水运辅助工程</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91</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146</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仅涉及风景名胜区三级保护区的城市（镇）管网及管廊建设（不含给水管道；不含光纤；不含1.6兆帕及以下的天然气管道）</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92</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 w:eastAsia="仿宋_GB2312" w:cs="仿宋"/>
                <w:sz w:val="24"/>
              </w:rPr>
            </w:pPr>
            <w:r>
              <w:rPr>
                <w:rFonts w:hint="eastAsia" w:ascii="仿宋_GB2312" w:hAnsi="仿宋" w:eastAsia="仿宋_GB2312" w:cs="仿宋"/>
                <w:sz w:val="24"/>
              </w:rPr>
              <w:t>五十四、海洋工程</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 w:eastAsia="仿宋_GB2312" w:cs="仿宋"/>
                <w:sz w:val="24"/>
              </w:rPr>
            </w:pPr>
            <w:r>
              <w:rPr>
                <w:rFonts w:hint="eastAsia" w:ascii="仿宋_GB2312" w:hAnsi="仿宋" w:eastAsia="仿宋_GB2312" w:cs="仿宋"/>
                <w:sz w:val="24"/>
              </w:rPr>
              <w:t>155</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left"/>
              <w:textAlignment w:val="auto"/>
              <w:rPr>
                <w:rFonts w:ascii="仿宋_GB2312" w:hAnsi="仿宋" w:eastAsia="仿宋_GB2312" w:cs="仿宋"/>
                <w:sz w:val="24"/>
              </w:rPr>
            </w:pPr>
            <w:r>
              <w:rPr>
                <w:rFonts w:hint="eastAsia" w:ascii="仿宋_GB2312" w:hAnsi="仿宋" w:eastAsia="仿宋_GB2312" w:cs="仿宋"/>
                <w:sz w:val="24"/>
              </w:rPr>
              <w:t>海上娱乐及运动、海上景观开发</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 w:eastAsia="仿宋_GB2312" w:cs="仿宋"/>
                <w:sz w:val="24"/>
              </w:rPr>
            </w:pPr>
            <w:r>
              <w:rPr>
                <w:rFonts w:hint="eastAsia" w:ascii="仿宋_GB2312" w:hAnsi="仿宋" w:eastAsia="仿宋_GB2312" w:cs="仿宋"/>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93</w:t>
            </w:r>
          </w:p>
        </w:tc>
        <w:tc>
          <w:tcPr>
            <w:tcW w:w="1985"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ascii="仿宋_GB2312" w:hAnsi="仿宋_GB2312" w:eastAsia="仿宋_GB2312" w:cs="仿宋_GB2312"/>
                <w:kern w:val="0"/>
                <w:sz w:val="24"/>
              </w:rPr>
            </w:pPr>
            <w:r>
              <w:rPr>
                <w:rFonts w:hint="eastAsia" w:ascii="仿宋_GB2312" w:hAnsi="仿宋" w:eastAsia="仿宋_GB2312" w:cs="仿宋"/>
                <w:sz w:val="24"/>
              </w:rPr>
              <w:t>五十五、核与辐射</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16</w:t>
            </w:r>
            <w:r>
              <w:rPr>
                <w:rFonts w:ascii="仿宋_GB2312" w:hAnsi="仿宋" w:eastAsia="仿宋_GB2312" w:cs="仿宋"/>
                <w:sz w:val="24"/>
              </w:rPr>
              <w:t>1</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_GB2312" w:eastAsia="仿宋_GB2312" w:cs="仿宋_GB2312"/>
                <w:kern w:val="0"/>
                <w:sz w:val="24"/>
                <w:highlight w:val="magenta"/>
              </w:rPr>
            </w:pPr>
            <w:r>
              <w:rPr>
                <w:rFonts w:hint="eastAsia" w:ascii="仿宋_GB2312" w:hAnsi="仿宋_GB2312" w:eastAsia="仿宋_GB2312" w:cs="仿宋_GB2312"/>
                <w:kern w:val="0"/>
                <w:sz w:val="24"/>
                <w:highlight w:val="magenta"/>
              </w:rPr>
              <w:t>输变电工程（仅110千伏、220千伏输变电项目）</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ascii="仿宋_GB2312" w:hAnsi="仿宋_GB2312" w:eastAsia="仿宋_GB2312" w:cs="仿宋_GB2312"/>
                <w:kern w:val="0"/>
                <w:sz w:val="24"/>
              </w:rPr>
              <w:t>94</w:t>
            </w:r>
          </w:p>
        </w:tc>
        <w:tc>
          <w:tcPr>
            <w:tcW w:w="1985"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jc w:val="left"/>
              <w:textAlignment w:val="auto"/>
              <w:rPr>
                <w:rFonts w:ascii="仿宋_GB2312" w:hAnsi="仿宋_GB2312" w:eastAsia="仿宋_GB2312" w:cs="仿宋_GB2312"/>
                <w:kern w:val="0"/>
                <w:sz w:val="24"/>
              </w:rPr>
            </w:pP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 w:eastAsia="仿宋_GB2312" w:cs="仿宋"/>
                <w:sz w:val="24"/>
              </w:rPr>
              <w:t>172</w:t>
            </w:r>
          </w:p>
        </w:tc>
        <w:tc>
          <w:tcPr>
            <w:tcW w:w="435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textAlignment w:val="auto"/>
              <w:rPr>
                <w:rFonts w:hint="eastAsia" w:ascii="仿宋_GB2312" w:hAnsi="仿宋_GB2312" w:eastAsia="仿宋_GB2312" w:cs="仿宋_GB2312"/>
                <w:kern w:val="0"/>
                <w:sz w:val="24"/>
                <w:highlight w:val="magenta"/>
              </w:rPr>
            </w:pPr>
            <w:r>
              <w:rPr>
                <w:rFonts w:hint="eastAsia" w:ascii="仿宋_GB2312" w:hAnsi="仿宋_GB2312" w:eastAsia="仿宋_GB2312" w:cs="仿宋_GB2312"/>
                <w:kern w:val="0"/>
                <w:sz w:val="24"/>
                <w:highlight w:val="magenta"/>
              </w:rPr>
              <w:t>核技术利用建设项目（仅使用Ⅱ类射线装置项目）</w:t>
            </w:r>
          </w:p>
        </w:tc>
        <w:tc>
          <w:tcPr>
            <w:tcW w:w="146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pacing w:line="400" w:lineRule="exact"/>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报告表</w:t>
            </w:r>
          </w:p>
        </w:tc>
      </w:tr>
    </w:tbl>
    <w:p>
      <w:pPr>
        <w:pStyle w:val="5"/>
        <w:keepNext w:val="0"/>
        <w:keepLines w:val="0"/>
        <w:pageBreakBefore w:val="0"/>
        <w:kinsoku/>
        <w:wordWrap/>
        <w:overflowPunct/>
        <w:topLinePunct w:val="0"/>
        <w:autoSpaceDE/>
        <w:autoSpaceDN/>
        <w:bidi w:val="0"/>
        <w:adjustRightInd w:val="0"/>
        <w:spacing w:line="560" w:lineRule="exact"/>
        <w:jc w:val="both"/>
        <w:textAlignment w:val="auto"/>
        <w:rPr>
          <w:rFonts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注：★环评文件类别未注明的，应为不含专项的报告表类。</w:t>
      </w: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val="0"/>
        <w:textAlignment w:val="auto"/>
        <w:rPr>
          <w:rFonts w:hint="eastAsia" w:ascii="仿宋_GB2312" w:eastAsia="仿宋_GB2312" w:cs="仿宋_GB2312"/>
          <w:sz w:val="32"/>
          <w:szCs w:val="32"/>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附件2</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000000"/>
          <w:kern w:val="0"/>
          <w:sz w:val="32"/>
          <w:szCs w:val="32"/>
        </w:rPr>
      </w:pPr>
    </w:p>
    <w:p>
      <w:pPr>
        <w:keepNext w:val="0"/>
        <w:keepLines w:val="0"/>
        <w:pageBreakBefore w:val="0"/>
        <w:kinsoku/>
        <w:wordWrap/>
        <w:overflowPunct/>
        <w:topLinePunct w:val="0"/>
        <w:autoSpaceDE/>
        <w:autoSpaceDN/>
        <w:bidi w:val="0"/>
        <w:adjustRightInd w:val="0"/>
        <w:snapToGrid w:val="0"/>
        <w:jc w:val="center"/>
        <w:textAlignment w:val="auto"/>
        <w:rPr>
          <w:rFonts w:hint="eastAsia" w:ascii="方正小标宋_GBK" w:hAnsi="Times New Roman" w:eastAsia="方正小标宋_GBK" w:cs="文星简小标宋"/>
          <w:sz w:val="44"/>
          <w:szCs w:val="44"/>
        </w:rPr>
      </w:pPr>
      <w:r>
        <w:rPr>
          <w:rFonts w:hint="eastAsia" w:ascii="方正小标宋_GBK" w:hAnsi="Times New Roman" w:eastAsia="方正小标宋_GBK" w:cs="文星简小标宋"/>
          <w:sz w:val="44"/>
          <w:szCs w:val="44"/>
        </w:rPr>
        <w:t>建设项目环境影响评价文件审批告知书</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本行政机关就环境影响评价文件告知承诺审批事项告知如下。</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一、审批事项设定依据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1.《中华人民共和国环境保护法》（2014年4月24日第十二届全国人民代表大会常务委员会第八次会议修订）第十九条；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2.《中华人民共和国环境影响评价法》（2018年12月29日第十三届全国人民代表大会常务委员会第七次会议第二次修正）第十六条、第十八条、第十九条、第二十条、第二十二条、第二十三条、第二十四条、第二十五条、第二十六条、第二十八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3.《建设项目环境保护管理条例》（国务院令第253号）第六条、第七条、第九条、第十一条、第十二条、第十三条；</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4.《山东省实施&lt;中华人民共和国环境影响评价法&gt;办法》(2005年11月25日山东省第十届人民代表大会常务委员会第十七次会议通过，2018年11月修订)第十一条、第十二条、第十三条、第十四条、第十五条、第十九条；</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5.《山东省环境保护条例》（1996年12月14日山东省第八届人民代表大会常务委员会第二十五次会议通过，2018年11月修订）第十八条、第十九条；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6.建设项目环境影响评价文件中所列标准和技术规范；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7.其他环境保护相关法律法规要求。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Times New Roman"/>
          <w:color w:val="000000"/>
          <w:kern w:val="0"/>
          <w:sz w:val="32"/>
          <w:szCs w:val="32"/>
        </w:rPr>
      </w:pPr>
      <w:r>
        <w:rPr>
          <w:rFonts w:hint="eastAsia" w:ascii="黑体" w:hAnsi="黑体" w:eastAsia="黑体" w:cs="黑体"/>
          <w:color w:val="000000"/>
          <w:kern w:val="0"/>
          <w:sz w:val="32"/>
          <w:szCs w:val="32"/>
        </w:rPr>
        <w:t>二、适用范围</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s="Times New Roman"/>
          <w:sz w:val="32"/>
          <w:szCs w:val="32"/>
          <w:lang w:val="en-US" w:eastAsia="zh-CN"/>
        </w:rPr>
      </w:pPr>
      <w:r>
        <w:rPr>
          <w:rFonts w:hint="eastAsia" w:ascii="仿宋_GB2312" w:eastAsia="仿宋_GB2312" w:cs="仿宋_GB2312"/>
          <w:sz w:val="32"/>
          <w:szCs w:val="32"/>
        </w:rPr>
        <w:t>建设项目符合《</w:t>
      </w:r>
      <w:r>
        <w:rPr>
          <w:rFonts w:hint="eastAsia" w:ascii="仿宋_GB2312" w:hAnsi="仿宋_GB2312" w:eastAsia="仿宋_GB2312" w:cs="仿宋_GB2312"/>
          <w:sz w:val="32"/>
          <w:szCs w:val="32"/>
          <w:lang w:val="en-US" w:eastAsia="zh-CN"/>
        </w:rPr>
        <w:t>青岛高新技术产业开发区环境影响评价告知承诺制审批“一区一策”改革方案（试行）</w:t>
      </w:r>
      <w:r>
        <w:rPr>
          <w:rFonts w:hint="eastAsia" w:ascii="仿宋_GB2312" w:eastAsia="仿宋_GB2312" w:cs="仿宋_GB2312"/>
          <w:sz w:val="32"/>
          <w:szCs w:val="32"/>
        </w:rPr>
        <w:t>》确定的告知承诺适用范围。</w:t>
      </w:r>
    </w:p>
    <w:p>
      <w:pPr>
        <w:pStyle w:val="10"/>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黑体" w:hAnsi="Times New Roman" w:eastAsia="黑体" w:cs="黑体"/>
          <w:kern w:val="2"/>
          <w:sz w:val="32"/>
          <w:szCs w:val="32"/>
        </w:rPr>
      </w:pPr>
      <w:r>
        <w:rPr>
          <w:rFonts w:hint="eastAsia" w:ascii="黑体" w:hAnsi="Times New Roman" w:eastAsia="黑体" w:cs="黑体"/>
          <w:kern w:val="2"/>
          <w:sz w:val="32"/>
          <w:szCs w:val="32"/>
          <w:lang w:val="en-US" w:eastAsia="zh-CN"/>
        </w:rPr>
        <w:t>三、</w:t>
      </w:r>
      <w:r>
        <w:rPr>
          <w:rFonts w:hint="eastAsia" w:ascii="黑体" w:hAnsi="Times New Roman" w:eastAsia="黑体" w:cs="黑体"/>
          <w:kern w:val="2"/>
          <w:sz w:val="32"/>
          <w:szCs w:val="32"/>
        </w:rPr>
        <w:t>审批的条件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建设项目环境影响评价文件应当符合以下条件：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（一）建设项目环境影响评价文件的编制应符合《环境影响评价技术导则》以及相关标准、技术规范的要求；</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（二）建设项目类型及其选址、布局、规模等符合环境保护法律法规和相关法定规划；</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（三）符合产业政策和宏观调控政策；</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（四）符合污染物排放总量控制和区域环境功能区划要求；</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（五）所在区域环境质量达到国家或者地方环境质量标准，或建设项目拟采取的措施满足区域环境质量改善目标管理要求；</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（六）建设项目采取的污染防治措施能够确保污染物排放达到国家和地方排放标准，并采取必要措施预防和控制生态破坏；</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（七）改建、扩建和技术改造项目，针对项目原有环境污染和生态破坏须提出有效防治措施，新、旧污染源能同时达到标准要求的；</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（八）建设项目的环境影响评价文件的基础资料数据真实，内容不存在重大缺陷、遗漏，环境影响评价结论明确、合理；</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（九）建设项目应当符合《清洁生产促进法》的有关规定，优先采用原材料消耗低、污染物产生量少的清洁生产工艺，合理、节约利用自然资源，从源头上控制污染；</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（十）环境风险防范措施和污染事故处理应急方案须切实可行；</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（十一）建设项目应符合其他环境保护相关法律、法规、规章、标准，以及国家、省、市印发的相关政策文件等规定要求；</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（十二）建设项目应符合青岛市"三线一单”生态环境分区管控方案要求；</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（十三）建设项目环境影响评价文件的编制单位、编制人员，以及编制规范性、编制质量符合《建设项目环境影响报告书（表）编制监督管理办法》规定的受理审批要求。</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黑体" w:eastAsia="黑体"/>
          <w:sz w:val="32"/>
          <w:szCs w:val="32"/>
        </w:rPr>
      </w:pPr>
      <w:r>
        <w:rPr>
          <w:rFonts w:hint="eastAsia" w:ascii="黑体" w:eastAsia="黑体" w:cs="黑体"/>
          <w:sz w:val="32"/>
          <w:szCs w:val="32"/>
        </w:rPr>
        <w:t>四、应当提交的材料</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（一）建设项目环境影响评价文件审批申请承诺书（原件</w:t>
      </w:r>
      <w:r>
        <w:rPr>
          <w:rFonts w:ascii="仿宋_GB2312" w:eastAsia="仿宋_GB2312" w:cs="仿宋_GB2312"/>
          <w:sz w:val="32"/>
          <w:szCs w:val="32"/>
        </w:rPr>
        <w:t>3</w:t>
      </w:r>
      <w:r>
        <w:rPr>
          <w:rFonts w:hint="eastAsia" w:ascii="仿宋_GB2312" w:eastAsia="仿宋_GB2312" w:cs="仿宋_GB2312"/>
          <w:sz w:val="32"/>
          <w:szCs w:val="32"/>
        </w:rPr>
        <w:t>份）；</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（二）建设项目环境影响评价文件全本（原件</w:t>
      </w:r>
      <w:r>
        <w:rPr>
          <w:rFonts w:ascii="仿宋_GB2312" w:eastAsia="仿宋_GB2312" w:cs="仿宋_GB2312"/>
          <w:sz w:val="32"/>
          <w:szCs w:val="32"/>
        </w:rPr>
        <w:t>3</w:t>
      </w:r>
      <w:r>
        <w:rPr>
          <w:rFonts w:hint="eastAsia" w:ascii="仿宋_GB2312" w:eastAsia="仿宋_GB2312" w:cs="仿宋_GB2312"/>
          <w:sz w:val="32"/>
          <w:szCs w:val="32"/>
        </w:rPr>
        <w:t>份）、公示版（原件和电子版光盘各</w:t>
      </w:r>
      <w:r>
        <w:rPr>
          <w:rFonts w:ascii="仿宋_GB2312" w:eastAsia="仿宋_GB2312" w:cs="仿宋_GB2312"/>
          <w:sz w:val="32"/>
          <w:szCs w:val="32"/>
        </w:rPr>
        <w:t>1</w:t>
      </w:r>
      <w:r>
        <w:rPr>
          <w:rFonts w:hint="eastAsia" w:ascii="仿宋_GB2312" w:eastAsia="仿宋_GB2312" w:cs="仿宋_GB2312"/>
          <w:sz w:val="32"/>
          <w:szCs w:val="32"/>
        </w:rPr>
        <w:t>份，包含公示版</w:t>
      </w:r>
      <w:r>
        <w:rPr>
          <w:rFonts w:ascii="仿宋_GB2312" w:eastAsia="仿宋_GB2312" w:cs="仿宋_GB2312"/>
          <w:sz w:val="32"/>
          <w:szCs w:val="32"/>
        </w:rPr>
        <w:t>PDF</w:t>
      </w:r>
      <w:r>
        <w:rPr>
          <w:rFonts w:hint="eastAsia" w:ascii="仿宋_GB2312" w:eastAsia="仿宋_GB2312" w:cs="仿宋_GB2312"/>
          <w:sz w:val="32"/>
          <w:szCs w:val="32"/>
        </w:rPr>
        <w:t>电子版、公示版删除内容说明）；</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（三）纳入本市主要污染物总量控制实施范围的建设项目，应提交总量来源证明（原件1份）。</w:t>
      </w:r>
    </w:p>
    <w:p>
      <w:pPr>
        <w:keepNext w:val="0"/>
        <w:keepLines w:val="0"/>
        <w:pageBreakBefore w:val="0"/>
        <w:widowControl/>
        <w:kinsoku/>
        <w:wordWrap/>
        <w:overflowPunct/>
        <w:topLinePunct w:val="0"/>
        <w:autoSpaceDE/>
        <w:autoSpaceDN/>
        <w:bidi w:val="0"/>
        <w:adjustRightInd w:val="0"/>
        <w:spacing w:line="550" w:lineRule="exact"/>
        <w:ind w:firstLine="640" w:firstLineChars="200"/>
        <w:textAlignment w:val="auto"/>
        <w:rPr>
          <w:rFonts w:ascii="黑体" w:hAnsi="宋体" w:eastAsia="黑体"/>
          <w:color w:val="000000"/>
          <w:kern w:val="0"/>
          <w:sz w:val="32"/>
          <w:szCs w:val="32"/>
        </w:rPr>
      </w:pPr>
      <w:r>
        <w:rPr>
          <w:rFonts w:hint="eastAsia" w:ascii="黑体" w:hAnsi="宋体" w:eastAsia="黑体" w:cs="黑体"/>
          <w:color w:val="000000"/>
          <w:kern w:val="0"/>
          <w:sz w:val="32"/>
          <w:szCs w:val="32"/>
        </w:rPr>
        <w:t>五、办理程序</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申请人愿意做出承诺，提交的材料齐全且符合形式要求的，环评审批部门</w:t>
      </w:r>
      <w:r>
        <w:rPr>
          <w:rFonts w:ascii="仿宋_GB2312" w:eastAsia="仿宋_GB2312" w:cs="仿宋_GB2312"/>
          <w:sz w:val="32"/>
          <w:szCs w:val="32"/>
        </w:rPr>
        <w:t>1</w:t>
      </w:r>
      <w:r>
        <w:rPr>
          <w:rFonts w:hint="eastAsia" w:ascii="仿宋_GB2312" w:eastAsia="仿宋_GB2312" w:cs="仿宋_GB2312"/>
          <w:sz w:val="32"/>
          <w:szCs w:val="32"/>
        </w:rPr>
        <w:t>个工作日内作出告知承诺审批决定。材料不全或不符合形式要求的，环评审批部门一次性告知申请人应当补全的有关材料要求。</w:t>
      </w:r>
    </w:p>
    <w:p>
      <w:pPr>
        <w:keepNext w:val="0"/>
        <w:keepLines w:val="0"/>
        <w:pageBreakBefore w:val="0"/>
        <w:widowControl/>
        <w:kinsoku/>
        <w:wordWrap/>
        <w:overflowPunct/>
        <w:topLinePunct w:val="0"/>
        <w:autoSpaceDE/>
        <w:autoSpaceDN/>
        <w:bidi w:val="0"/>
        <w:adjustRightInd w:val="0"/>
        <w:spacing w:line="550" w:lineRule="exact"/>
        <w:ind w:firstLine="640" w:firstLineChars="200"/>
        <w:textAlignment w:val="auto"/>
        <w:rPr>
          <w:rFonts w:ascii="黑体" w:hAnsi="宋体" w:eastAsia="黑体"/>
          <w:color w:val="000000"/>
          <w:kern w:val="0"/>
          <w:sz w:val="32"/>
          <w:szCs w:val="32"/>
        </w:rPr>
      </w:pPr>
      <w:r>
        <w:rPr>
          <w:rFonts w:hint="eastAsia" w:ascii="黑体" w:hAnsi="宋体" w:eastAsia="黑体" w:cs="黑体"/>
          <w:color w:val="000000"/>
          <w:kern w:val="0"/>
          <w:sz w:val="32"/>
          <w:szCs w:val="32"/>
        </w:rPr>
        <w:t>六、法律责任</w:t>
      </w:r>
    </w:p>
    <w:p>
      <w:pPr>
        <w:keepNext w:val="0"/>
        <w:keepLines w:val="0"/>
        <w:pageBreakBefore w:val="0"/>
        <w:kinsoku/>
        <w:wordWrap/>
        <w:overflowPunct/>
        <w:topLinePunct w:val="0"/>
        <w:autoSpaceDE/>
        <w:autoSpaceDN/>
        <w:bidi w:val="0"/>
        <w:adjustRightInd w:val="0"/>
        <w:spacing w:line="55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作出准予告知承诺审批决定后，生态环境主管部门在后续监管中发现建设项目不属于告知承诺适用范围、不实承诺、未按承诺落实环保措施或其他环境违法违规行为，严格依法查处，依法撤销告知承诺审批决定，相关信息记入失信人的环境信用记录并向社会公开，建设单位不再适用告知承诺的审批方式。</w:t>
      </w:r>
    </w:p>
    <w:p>
      <w:pPr>
        <w:keepNext w:val="0"/>
        <w:keepLines w:val="0"/>
        <w:pageBreakBefore w:val="0"/>
        <w:kinsoku/>
        <w:wordWrap/>
        <w:overflowPunct/>
        <w:topLinePunct w:val="0"/>
        <w:autoSpaceDE/>
        <w:autoSpaceDN/>
        <w:bidi w:val="0"/>
        <w:adjustRightInd w:val="0"/>
        <w:spacing w:line="550" w:lineRule="exact"/>
        <w:textAlignment w:val="auto"/>
        <w:rPr>
          <w:rFonts w:ascii="仿宋_GB2312" w:eastAsia="仿宋_GB2312" w:cs="仿宋_GB2312"/>
          <w:sz w:val="32"/>
          <w:szCs w:val="32"/>
        </w:rPr>
      </w:pPr>
    </w:p>
    <w:p>
      <w:pPr>
        <w:keepNext w:val="0"/>
        <w:keepLines w:val="0"/>
        <w:pageBreakBefore w:val="0"/>
        <w:kinsoku/>
        <w:wordWrap/>
        <w:overflowPunct/>
        <w:topLinePunct w:val="0"/>
        <w:autoSpaceDE/>
        <w:autoSpaceDN/>
        <w:bidi w:val="0"/>
        <w:adjustRightInd w:val="0"/>
        <w:spacing w:line="550" w:lineRule="exact"/>
        <w:textAlignment w:val="auto"/>
        <w:rPr>
          <w:rFonts w:ascii="仿宋_GB2312" w:eastAsia="仿宋_GB2312" w:cs="仿宋_GB2312"/>
          <w:sz w:val="28"/>
          <w:szCs w:val="28"/>
        </w:rPr>
      </w:pPr>
    </w:p>
    <w:p>
      <w:pPr>
        <w:keepNext w:val="0"/>
        <w:keepLines w:val="0"/>
        <w:pageBreakBefore w:val="0"/>
        <w:kinsoku/>
        <w:wordWrap/>
        <w:overflowPunct/>
        <w:topLinePunct w:val="0"/>
        <w:autoSpaceDE/>
        <w:autoSpaceDN/>
        <w:bidi w:val="0"/>
        <w:adjustRightInd w:val="0"/>
        <w:spacing w:line="550" w:lineRule="exact"/>
        <w:textAlignment w:val="auto"/>
        <w:rPr>
          <w:rFonts w:ascii="仿宋_GB2312" w:eastAsia="仿宋_GB2312" w:cs="仿宋_GB2312"/>
          <w:sz w:val="28"/>
          <w:szCs w:val="28"/>
        </w:rPr>
      </w:pPr>
      <w:r>
        <w:rPr>
          <w:rFonts w:hint="eastAsia" w:ascii="仿宋_GB2312" w:eastAsia="仿宋_GB2312" w:cs="仿宋_GB2312"/>
          <w:sz w:val="28"/>
          <w:szCs w:val="28"/>
        </w:rPr>
        <w:t>建设单位（盖章）技术单位（盖章）青岛市生态环境局高新区分局（盖章）</w:t>
      </w:r>
    </w:p>
    <w:p>
      <w:pPr>
        <w:keepNext w:val="0"/>
        <w:keepLines w:val="0"/>
        <w:pageBreakBefore w:val="0"/>
        <w:kinsoku/>
        <w:wordWrap/>
        <w:overflowPunct/>
        <w:topLinePunct w:val="0"/>
        <w:autoSpaceDE/>
        <w:autoSpaceDN/>
        <w:bidi w:val="0"/>
        <w:adjustRightInd w:val="0"/>
        <w:spacing w:line="550" w:lineRule="exact"/>
        <w:ind w:firstLine="560" w:firstLineChars="200"/>
        <w:textAlignment w:val="auto"/>
        <w:rPr>
          <w:rFonts w:ascii="仿宋_GB2312" w:eastAsia="仿宋_GB2312" w:cs="Times New Roman"/>
          <w:sz w:val="32"/>
          <w:szCs w:val="32"/>
        </w:rPr>
      </w:pPr>
      <w:r>
        <w:rPr>
          <w:rFonts w:hint="eastAsia" w:ascii="仿宋_GB2312" w:eastAsia="仿宋_GB2312" w:cs="仿宋_GB2312"/>
          <w:sz w:val="28"/>
          <w:szCs w:val="28"/>
        </w:rPr>
        <w:t xml:space="preserve">年*月*日   </w:t>
      </w:r>
      <w:r>
        <w:rPr>
          <w:rFonts w:hint="eastAsia" w:ascii="仿宋_GB2312" w:eastAsia="仿宋_GB2312" w:cs="仿宋_GB2312"/>
          <w:sz w:val="28"/>
          <w:szCs w:val="28"/>
          <w:lang w:val="en-US" w:eastAsia="zh-CN"/>
        </w:rPr>
        <w:t xml:space="preserve">    </w:t>
      </w:r>
      <w:r>
        <w:rPr>
          <w:rFonts w:hint="eastAsia" w:ascii="仿宋_GB2312" w:eastAsia="仿宋_GB2312" w:cs="仿宋_GB2312"/>
          <w:sz w:val="28"/>
          <w:szCs w:val="28"/>
        </w:rPr>
        <w:t xml:space="preserve">年*月*日         </w:t>
      </w:r>
      <w:r>
        <w:rPr>
          <w:rFonts w:hint="eastAsia" w:ascii="仿宋_GB2312" w:eastAsia="仿宋_GB2312" w:cs="仿宋_GB2312"/>
          <w:sz w:val="28"/>
          <w:szCs w:val="28"/>
          <w:lang w:val="en-US" w:eastAsia="zh-CN"/>
        </w:rPr>
        <w:t xml:space="preserve">      </w:t>
      </w:r>
      <w:r>
        <w:rPr>
          <w:rFonts w:hint="eastAsia" w:ascii="仿宋_GB2312" w:eastAsia="仿宋_GB2312" w:cs="仿宋_GB2312"/>
          <w:sz w:val="28"/>
          <w:szCs w:val="28"/>
        </w:rPr>
        <w:t>年*月*日</w:t>
      </w:r>
    </w:p>
    <w:p>
      <w:pPr>
        <w:keepNext w:val="0"/>
        <w:keepLines w:val="0"/>
        <w:pageBreakBefore w:val="0"/>
        <w:kinsoku/>
        <w:wordWrap/>
        <w:overflowPunct/>
        <w:topLinePunct w:val="0"/>
        <w:autoSpaceDE/>
        <w:autoSpaceDN/>
        <w:bidi w:val="0"/>
        <w:adjustRightInd w:val="0"/>
        <w:textAlignment w:val="auto"/>
      </w:pPr>
    </w:p>
    <w:p>
      <w:pPr>
        <w:keepNext w:val="0"/>
        <w:keepLines w:val="0"/>
        <w:pageBreakBefore w:val="0"/>
        <w:kinsoku/>
        <w:wordWrap/>
        <w:overflowPunct/>
        <w:topLinePunct w:val="0"/>
        <w:autoSpaceDE/>
        <w:autoSpaceDN/>
        <w:bidi w:val="0"/>
        <w:adjustRightInd w:val="0"/>
        <w:textAlignment w:val="auto"/>
        <w:rPr>
          <w:rFonts w:hint="eastAsia"/>
          <w:lang w:val="en-US" w:eastAsia="zh-CN"/>
        </w:rPr>
      </w:pPr>
    </w:p>
    <w:p>
      <w:pPr>
        <w:keepNext w:val="0"/>
        <w:keepLines w:val="0"/>
        <w:pageBreakBefore w:val="0"/>
        <w:kinsoku/>
        <w:wordWrap/>
        <w:overflowPunct/>
        <w:topLinePunct w:val="0"/>
        <w:autoSpaceDE/>
        <w:autoSpaceDN/>
        <w:bidi w:val="0"/>
        <w:adjustRightInd w:val="0"/>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val="0"/>
        <w:textAlignment w:val="auto"/>
        <w:rPr>
          <w:rFonts w:hint="default"/>
          <w:lang w:val="en-US" w:eastAsia="zh-CN"/>
        </w:rPr>
      </w:pPr>
    </w:p>
    <w:p>
      <w:pPr>
        <w:keepNext w:val="0"/>
        <w:keepLines w:val="0"/>
        <w:pageBreakBefore w:val="0"/>
        <w:kinsoku/>
        <w:wordWrap/>
        <w:overflowPunct/>
        <w:topLinePunct w:val="0"/>
        <w:autoSpaceDE/>
        <w:autoSpaceDN/>
        <w:bidi w:val="0"/>
        <w:adjustRightInd w:val="0"/>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val="0"/>
        <w:textAlignment w:val="auto"/>
        <w:rPr>
          <w:rFonts w:hint="default"/>
          <w:lang w:val="en-US" w:eastAsia="zh-CN"/>
        </w:rPr>
      </w:pPr>
    </w:p>
    <w:p>
      <w:pPr>
        <w:keepNext w:val="0"/>
        <w:keepLines w:val="0"/>
        <w:pageBreakBefore w:val="0"/>
        <w:kinsoku/>
        <w:wordWrap/>
        <w:overflowPunct/>
        <w:topLinePunct w:val="0"/>
        <w:autoSpaceDE/>
        <w:autoSpaceDN/>
        <w:bidi w:val="0"/>
        <w:adjustRightInd w:val="0"/>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val="0"/>
        <w:textAlignment w:val="auto"/>
        <w:rPr>
          <w:rFonts w:hint="default"/>
          <w:lang w:val="en-US" w:eastAsia="zh-CN"/>
        </w:rPr>
      </w:pPr>
    </w:p>
    <w:p>
      <w:pPr>
        <w:keepNext w:val="0"/>
        <w:keepLines w:val="0"/>
        <w:pageBreakBefore w:val="0"/>
        <w:kinsoku/>
        <w:wordWrap/>
        <w:overflowPunct/>
        <w:topLinePunct w:val="0"/>
        <w:autoSpaceDE/>
        <w:autoSpaceDN/>
        <w:bidi w:val="0"/>
        <w:adjustRightInd w:val="0"/>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val="0"/>
        <w:textAlignment w:val="auto"/>
        <w:rPr>
          <w:rFonts w:hint="default"/>
          <w:lang w:val="en-US" w:eastAsia="zh-CN"/>
        </w:rPr>
      </w:pPr>
    </w:p>
    <w:p>
      <w:pPr>
        <w:keepNext w:val="0"/>
        <w:keepLines w:val="0"/>
        <w:pageBreakBefore w:val="0"/>
        <w:kinsoku/>
        <w:wordWrap/>
        <w:overflowPunct/>
        <w:topLinePunct w:val="0"/>
        <w:autoSpaceDE/>
        <w:autoSpaceDN/>
        <w:bidi w:val="0"/>
        <w:adjustRightInd w:val="0"/>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val="0"/>
        <w:textAlignment w:val="auto"/>
        <w:rPr>
          <w:rFonts w:hint="default"/>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val="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keepNext w:val="0"/>
        <w:keepLines w:val="0"/>
        <w:pageBreakBefore w:val="0"/>
        <w:kinsoku/>
        <w:wordWrap/>
        <w:overflowPunct/>
        <w:topLinePunct w:val="0"/>
        <w:autoSpaceDE/>
        <w:autoSpaceDN/>
        <w:bidi w:val="0"/>
        <w:adjustRightInd w:val="0"/>
        <w:snapToGrid w:val="0"/>
        <w:jc w:val="center"/>
        <w:textAlignment w:val="auto"/>
        <w:rPr>
          <w:rFonts w:ascii="方正小标宋_GBK" w:eastAsia="方正小标宋_GBK" w:cs="Times New Roman"/>
          <w:sz w:val="44"/>
          <w:szCs w:val="44"/>
        </w:rPr>
      </w:pPr>
      <w:r>
        <w:rPr>
          <w:rFonts w:hint="eastAsia" w:ascii="方正小标宋_GBK" w:eastAsia="方正小标宋_GBK" w:cs="文星简小标宋"/>
          <w:sz w:val="44"/>
          <w:szCs w:val="44"/>
        </w:rPr>
        <w:t>建设项目环境影响评价文件审批申请承诺书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51"/>
        <w:gridCol w:w="2551"/>
        <w:gridCol w:w="149"/>
        <w:gridCol w:w="1694"/>
        <w:gridCol w:w="2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项目名称</w:t>
            </w:r>
          </w:p>
        </w:tc>
        <w:tc>
          <w:tcPr>
            <w:tcW w:w="6967" w:type="dxa"/>
            <w:gridSpan w:val="4"/>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项目代码</w:t>
            </w:r>
          </w:p>
        </w:tc>
        <w:tc>
          <w:tcPr>
            <w:tcW w:w="6967" w:type="dxa"/>
            <w:gridSpan w:val="4"/>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建设地点</w:t>
            </w:r>
          </w:p>
        </w:tc>
        <w:tc>
          <w:tcPr>
            <w:tcW w:w="6967" w:type="dxa"/>
            <w:gridSpan w:val="4"/>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环境影响评价行业类别</w:t>
            </w:r>
          </w:p>
        </w:tc>
        <w:tc>
          <w:tcPr>
            <w:tcW w:w="2551"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c>
          <w:tcPr>
            <w:tcW w:w="184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规划环评</w:t>
            </w:r>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开展情况</w:t>
            </w:r>
          </w:p>
        </w:tc>
        <w:tc>
          <w:tcPr>
            <w:tcW w:w="2573"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建设单位</w:t>
            </w:r>
          </w:p>
        </w:tc>
        <w:tc>
          <w:tcPr>
            <w:tcW w:w="2551"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c>
          <w:tcPr>
            <w:tcW w:w="184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统一社会</w:t>
            </w:r>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信用代码</w:t>
            </w:r>
          </w:p>
        </w:tc>
        <w:tc>
          <w:tcPr>
            <w:tcW w:w="2573"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gridSpan w:val="2"/>
            <w:vAlign w:val="center"/>
          </w:tcPr>
          <w:p>
            <w:pPr>
              <w:pStyle w:val="10"/>
              <w:keepNext w:val="0"/>
              <w:keepLines w:val="0"/>
              <w:pageBreakBefore w:val="0"/>
              <w:kinsoku/>
              <w:wordWrap/>
              <w:overflowPunct/>
              <w:topLinePunct w:val="0"/>
              <w:autoSpaceDE/>
              <w:autoSpaceDN/>
              <w:bidi w:val="0"/>
              <w:adjustRightInd w:val="0"/>
              <w:snapToGrid w:val="0"/>
              <w:spacing w:beforeAutospacing="0" w:afterAutospacing="0" w:line="520" w:lineRule="exact"/>
              <w:jc w:val="center"/>
              <w:textAlignment w:val="auto"/>
              <w:rPr>
                <w:rFonts w:ascii="仿宋_GB2312" w:eastAsia="仿宋_GB2312"/>
                <w:sz w:val="28"/>
                <w:szCs w:val="28"/>
              </w:rPr>
            </w:pPr>
            <w:r>
              <w:rPr>
                <w:rFonts w:hint="eastAsia" w:ascii="仿宋_GB2312" w:eastAsia="仿宋_GB2312" w:cs="仿宋_GB2312"/>
                <w:sz w:val="28"/>
                <w:szCs w:val="28"/>
              </w:rPr>
              <w:t>授权经办人</w:t>
            </w:r>
          </w:p>
        </w:tc>
        <w:tc>
          <w:tcPr>
            <w:tcW w:w="6967" w:type="dxa"/>
            <w:gridSpan w:val="4"/>
            <w:vAlign w:val="center"/>
          </w:tcPr>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姓名：</w:t>
            </w:r>
            <w:r>
              <w:rPr>
                <w:rFonts w:ascii="仿宋_GB2312" w:hAnsi="宋体" w:eastAsia="仿宋_GB2312" w:cs="仿宋_GB2312"/>
                <w:color w:val="000000"/>
                <w:kern w:val="0"/>
                <w:sz w:val="28"/>
                <w:szCs w:val="28"/>
              </w:rPr>
              <w:t xml:space="preserve">             </w:t>
            </w:r>
            <w:r>
              <w:rPr>
                <w:rFonts w:hint="eastAsia" w:ascii="仿宋_GB2312" w:hAnsi="宋体" w:eastAsia="仿宋_GB2312" w:cs="仿宋_GB2312"/>
                <w:color w:val="000000"/>
                <w:kern w:val="0"/>
                <w:sz w:val="28"/>
                <w:szCs w:val="28"/>
              </w:rPr>
              <w:t>身份证号：</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环评编制技术单位</w:t>
            </w:r>
          </w:p>
        </w:tc>
        <w:tc>
          <w:tcPr>
            <w:tcW w:w="2700"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c>
          <w:tcPr>
            <w:tcW w:w="1694"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统一社会</w:t>
            </w:r>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信用代码</w:t>
            </w:r>
          </w:p>
        </w:tc>
        <w:tc>
          <w:tcPr>
            <w:tcW w:w="2573"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gridSpan w:val="2"/>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编制主持人</w:t>
            </w:r>
          </w:p>
        </w:tc>
        <w:tc>
          <w:tcPr>
            <w:tcW w:w="6967" w:type="dxa"/>
            <w:gridSpan w:val="4"/>
            <w:vAlign w:val="center"/>
          </w:tcPr>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姓名：</w:t>
            </w:r>
            <w:r>
              <w:rPr>
                <w:rFonts w:ascii="仿宋_GB2312" w:hAnsi="宋体" w:eastAsia="仿宋_GB2312" w:cs="仿宋_GB2312"/>
                <w:color w:val="000000"/>
                <w:kern w:val="0"/>
                <w:sz w:val="28"/>
                <w:szCs w:val="28"/>
              </w:rPr>
              <w:t xml:space="preserve">             </w:t>
            </w:r>
            <w:r>
              <w:rPr>
                <w:rFonts w:hint="eastAsia" w:ascii="仿宋_GB2312" w:hAnsi="宋体" w:eastAsia="仿宋_GB2312" w:cs="仿宋_GB2312"/>
                <w:color w:val="000000"/>
                <w:kern w:val="0"/>
                <w:sz w:val="28"/>
                <w:szCs w:val="28"/>
              </w:rPr>
              <w:t>资格证书管理号：</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信用编号：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建设单位申请承诺</w:t>
            </w:r>
          </w:p>
        </w:tc>
        <w:tc>
          <w:tcPr>
            <w:tcW w:w="7818" w:type="dxa"/>
            <w:gridSpan w:val="5"/>
            <w:vAlign w:val="center"/>
          </w:tcPr>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（一）建设项目属于《</w:t>
            </w:r>
            <w:r>
              <w:rPr>
                <w:rFonts w:hint="eastAsia" w:ascii="仿宋_GB2312" w:hAnsi="宋体" w:eastAsia="仿宋_GB2312" w:cs="仿宋_GB2312"/>
                <w:color w:val="000000"/>
                <w:kern w:val="0"/>
                <w:sz w:val="28"/>
                <w:szCs w:val="28"/>
                <w:lang w:val="en-US" w:eastAsia="zh-CN"/>
              </w:rPr>
              <w:t>青岛高新技术产业开发区环境影响评价告知承诺制审批“一区一策”改革方案（试行）</w:t>
            </w:r>
            <w:r>
              <w:rPr>
                <w:rFonts w:hint="eastAsia" w:ascii="仿宋_GB2312" w:hAnsi="宋体" w:eastAsia="仿宋_GB2312" w:cs="仿宋_GB2312"/>
                <w:color w:val="000000"/>
                <w:kern w:val="0"/>
                <w:sz w:val="28"/>
                <w:szCs w:val="28"/>
              </w:rPr>
              <w:t>》确定的告知承诺适用范围。</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（二）已经知晓生态环境主管部门告知的全部内容。</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（三）所提交的环境影响评价文件等材料信息合法、真实、准确、有效。</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（四）环境影响评价文件编制及项目建设、运营符合环境保护法律法规、</w:t>
            </w:r>
            <w:r>
              <w:rPr>
                <w:rFonts w:hint="eastAsia" w:ascii="仿宋_GB2312" w:eastAsia="仿宋_GB2312" w:cs="仿宋_GB2312"/>
                <w:color w:val="000000"/>
                <w:sz w:val="28"/>
                <w:szCs w:val="28"/>
              </w:rPr>
              <w:t>政策文件、</w:t>
            </w:r>
            <w:r>
              <w:rPr>
                <w:rFonts w:hint="eastAsia" w:ascii="仿宋_GB2312" w:hAnsi="宋体" w:eastAsia="仿宋_GB2312" w:cs="仿宋_GB2312"/>
                <w:color w:val="000000"/>
                <w:kern w:val="0"/>
                <w:sz w:val="28"/>
                <w:szCs w:val="28"/>
              </w:rPr>
              <w:t>标准和技术规范等要求，项目不存在“未批先建”等环境违法行为。</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（五）项目已按照规定开展了信息公开、公众参与等工作。我单位提交的环评文件可公开版不含涉及国家秘密、商业秘密、个人隐私以及涉及国家安全、公共安全、经济安全和社会稳定的内容。</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六）本单位将自觉落实环境保护主体责任，履行环境保护义务，严格执行各项环境保护标准，把环境保护工作贯穿于项目建设和运营过程。严格按照建设项目环境影响评价文件中所列的建设内容、性质、规模、地点、采用的生产工艺、污染防治措施、环境风险防范措施等进行建设和生产运营。严格执行配套的环境保护设施与主体工程同时设计、同时施工、同时投入使用的“三同时”制度。</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（七）若建设项目的性质、规模、地点、采用的生产工艺或者防治污染、防止生态破坏的措施发生重大变动，将依法重新办理相关环境影响评价手续。</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（八）项目发生实际排污行为之前，依照法律法规及排污许可证申请与核发技术规范要求申领排污许可证；项目建成后按规定开展竣工验收，经验收合格后，方正式投入运行。</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（九）自觉接受生态环境部门事中事后监管和社会监督，愿意承担不实承诺、违反承诺的法律责任和信用惩戒，因此</w:t>
            </w:r>
            <w:r>
              <w:rPr>
                <w:rFonts w:hint="eastAsia" w:ascii="仿宋_GB2312" w:eastAsia="仿宋_GB2312" w:cs="仿宋_GB2312"/>
                <w:color w:val="000000"/>
                <w:kern w:val="0"/>
                <w:sz w:val="28"/>
                <w:szCs w:val="28"/>
              </w:rPr>
              <w:t>造成的经济损失由本单位自行承担。</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（十）所作承诺是申请人真实意思的表示。</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eastAsia="仿宋_GB2312" w:cs="仿宋_GB2312"/>
                <w:sz w:val="28"/>
                <w:szCs w:val="28"/>
              </w:rPr>
            </w:pPr>
            <w:r>
              <w:rPr>
                <w:rFonts w:hint="eastAsia" w:ascii="仿宋_GB2312" w:hAnsi="宋体" w:eastAsia="仿宋_GB2312" w:cs="仿宋_GB2312"/>
                <w:color w:val="000000"/>
                <w:kern w:val="0"/>
                <w:sz w:val="28"/>
                <w:szCs w:val="28"/>
              </w:rPr>
              <w:t>建设单位（盖章）：</w:t>
            </w:r>
            <w:r>
              <w:rPr>
                <w:rFonts w:ascii="仿宋_GB2312" w:hAnsi="宋体" w:eastAsia="仿宋_GB2312" w:cs="仿宋_GB2312"/>
                <w:color w:val="000000"/>
                <w:kern w:val="0"/>
                <w:sz w:val="28"/>
                <w:szCs w:val="28"/>
              </w:rPr>
              <w:t xml:space="preserve">        </w:t>
            </w:r>
            <w:r>
              <w:rPr>
                <w:rFonts w:hint="eastAsia" w:ascii="仿宋_GB2312" w:eastAsia="仿宋_GB2312" w:cs="仿宋_GB2312"/>
                <w:sz w:val="28"/>
                <w:szCs w:val="28"/>
              </w:rPr>
              <w:t>法定代表人（签章）：</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申请承诺日期：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环评编制技术单位承诺</w:t>
            </w:r>
          </w:p>
        </w:tc>
        <w:tc>
          <w:tcPr>
            <w:tcW w:w="7818" w:type="dxa"/>
            <w:gridSpan w:val="5"/>
            <w:vAlign w:val="center"/>
          </w:tcPr>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（一）本单位严格按照各项法律、法规、规章以及标准、技术导则的规定，接受</w:t>
            </w:r>
            <w:r>
              <w:rPr>
                <w:rFonts w:ascii="仿宋_GB2312" w:hAnsi="宋体" w:eastAsia="仿宋_GB2312" w:cs="仿宋_GB2312"/>
                <w:color w:val="000000"/>
                <w:kern w:val="0"/>
                <w:sz w:val="28"/>
                <w:szCs w:val="28"/>
              </w:rPr>
              <w:t>***</w:t>
            </w:r>
            <w:r>
              <w:rPr>
                <w:rFonts w:hint="eastAsia" w:ascii="仿宋_GB2312" w:hAnsi="宋体" w:eastAsia="仿宋_GB2312" w:cs="仿宋_GB2312"/>
                <w:color w:val="000000"/>
                <w:kern w:val="0"/>
                <w:sz w:val="28"/>
                <w:szCs w:val="28"/>
              </w:rPr>
              <w:t>单位的委托，依法开展</w:t>
            </w:r>
            <w:r>
              <w:rPr>
                <w:rFonts w:ascii="仿宋_GB2312" w:hAnsi="宋体" w:eastAsia="仿宋_GB2312" w:cs="仿宋_GB2312"/>
                <w:color w:val="000000"/>
                <w:kern w:val="0"/>
                <w:sz w:val="28"/>
                <w:szCs w:val="28"/>
              </w:rPr>
              <w:t>***</w:t>
            </w:r>
            <w:r>
              <w:rPr>
                <w:rFonts w:hint="eastAsia" w:ascii="仿宋_GB2312" w:hAnsi="宋体" w:eastAsia="仿宋_GB2312" w:cs="仿宋_GB2312"/>
                <w:color w:val="000000"/>
                <w:kern w:val="0"/>
                <w:sz w:val="28"/>
                <w:szCs w:val="28"/>
              </w:rPr>
              <w:t>项目环境影响评价的编制工作，并按照规范要求编制了《</w:t>
            </w:r>
            <w:r>
              <w:rPr>
                <w:rFonts w:ascii="仿宋_GB2312" w:hAnsi="宋体" w:eastAsia="仿宋_GB2312" w:cs="仿宋_GB2312"/>
                <w:color w:val="000000"/>
                <w:kern w:val="0"/>
                <w:sz w:val="28"/>
                <w:szCs w:val="28"/>
              </w:rPr>
              <w:t>***</w:t>
            </w:r>
            <w:r>
              <w:rPr>
                <w:rFonts w:hint="eastAsia" w:ascii="仿宋_GB2312" w:hAnsi="宋体" w:eastAsia="仿宋_GB2312" w:cs="仿宋_GB2312"/>
                <w:color w:val="000000"/>
                <w:kern w:val="0"/>
                <w:sz w:val="28"/>
                <w:szCs w:val="28"/>
              </w:rPr>
              <w:t>项目环境影响评价报告</w:t>
            </w:r>
            <w:r>
              <w:rPr>
                <w:rFonts w:hint="eastAsia" w:ascii="仿宋_GB2312" w:hAnsi="宋体" w:eastAsia="仿宋_GB2312" w:cs="仿宋_GB2312"/>
                <w:color w:val="000000"/>
                <w:kern w:val="0"/>
                <w:sz w:val="28"/>
                <w:szCs w:val="28"/>
                <w:lang w:val="en-US" w:eastAsia="zh-CN"/>
              </w:rPr>
              <w:t>书（</w:t>
            </w:r>
            <w:r>
              <w:rPr>
                <w:rFonts w:hint="eastAsia" w:ascii="仿宋_GB2312" w:hAnsi="宋体" w:eastAsia="仿宋_GB2312" w:cs="仿宋_GB2312"/>
                <w:color w:val="000000"/>
                <w:kern w:val="0"/>
                <w:sz w:val="28"/>
                <w:szCs w:val="28"/>
              </w:rPr>
              <w:t>表</w:t>
            </w:r>
            <w:r>
              <w:rPr>
                <w:rFonts w:hint="eastAsia" w:ascii="仿宋_GB2312" w:hAnsi="宋体" w:eastAsia="仿宋_GB2312" w:cs="仿宋_GB2312"/>
                <w:color w:val="000000"/>
                <w:kern w:val="0"/>
                <w:sz w:val="28"/>
                <w:szCs w:val="28"/>
                <w:lang w:val="en-US" w:eastAsia="zh-CN"/>
              </w:rPr>
              <w:t>）</w:t>
            </w:r>
            <w:r>
              <w:rPr>
                <w:rFonts w:hint="eastAsia" w:ascii="仿宋_GB2312" w:hAnsi="宋体" w:eastAsia="仿宋_GB2312" w:cs="仿宋_GB2312"/>
                <w:color w:val="000000"/>
                <w:kern w:val="0"/>
                <w:sz w:val="28"/>
                <w:szCs w:val="28"/>
              </w:rPr>
              <w:t>》。</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（二）本单位已经知晓生态环境主管部门告知的全部内容，本项目符合实施告知承诺的条件。</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三）本单位基于独立、专业、客观、公正的工作态度，对项目建设可能造成的环境影响进行评价，并按照生态环境保护有关要求，提出切实可行的环境保护对策和措施建议，对建设项目环境影响评价文件内容和所作出的环境影响评价结论承担相应责任。</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eastAsia="仿宋_GB2312" w:cs="仿宋_GB2312"/>
                <w:color w:val="000000"/>
                <w:sz w:val="28"/>
                <w:szCs w:val="28"/>
              </w:rPr>
              <w:t>（</w:t>
            </w:r>
            <w:r>
              <w:rPr>
                <w:rFonts w:hint="eastAsia" w:ascii="仿宋_GB2312" w:eastAsia="仿宋_GB2312" w:cs="仿宋_GB2312"/>
                <w:sz w:val="28"/>
                <w:szCs w:val="28"/>
              </w:rPr>
              <w:t>四</w:t>
            </w:r>
            <w:r>
              <w:rPr>
                <w:rFonts w:hint="eastAsia" w:ascii="仿宋_GB2312" w:eastAsia="仿宋_GB2312" w:cs="仿宋_GB2312"/>
                <w:color w:val="000000"/>
                <w:sz w:val="28"/>
                <w:szCs w:val="28"/>
              </w:rPr>
              <w:t>）</w:t>
            </w:r>
            <w:r>
              <w:rPr>
                <w:rFonts w:hint="eastAsia" w:ascii="仿宋_GB2312" w:eastAsia="仿宋_GB2312" w:cs="仿宋_GB2312"/>
                <w:sz w:val="28"/>
                <w:szCs w:val="28"/>
              </w:rPr>
              <w:t>本</w:t>
            </w:r>
            <w:r>
              <w:rPr>
                <w:rFonts w:hint="eastAsia" w:ascii="仿宋_GB2312" w:hAnsi="宋体" w:eastAsia="仿宋_GB2312" w:cs="仿宋_GB2312"/>
                <w:color w:val="000000"/>
                <w:kern w:val="0"/>
                <w:sz w:val="28"/>
                <w:szCs w:val="28"/>
              </w:rPr>
              <w:t>单位</w:t>
            </w:r>
            <w:r>
              <w:rPr>
                <w:rFonts w:hint="eastAsia" w:ascii="仿宋_GB2312" w:eastAsia="仿宋_GB2312" w:cs="仿宋_GB2312"/>
                <w:sz w:val="28"/>
                <w:szCs w:val="28"/>
              </w:rPr>
              <w:t>、</w:t>
            </w:r>
            <w:r>
              <w:rPr>
                <w:rFonts w:hint="eastAsia" w:ascii="仿宋_GB2312" w:hAnsi="宋体" w:eastAsia="仿宋_GB2312" w:cs="仿宋_GB2312"/>
                <w:color w:val="000000"/>
                <w:sz w:val="28"/>
                <w:szCs w:val="28"/>
              </w:rPr>
              <w:t>编制人员，以及环境影响评价文件的编制规范性</w:t>
            </w:r>
            <w:r>
              <w:rPr>
                <w:rFonts w:hint="eastAsia" w:ascii="仿宋_GB2312" w:hAnsi="宋体" w:eastAsia="仿宋_GB2312" w:cs="仿宋_GB2312"/>
                <w:color w:val="000000"/>
                <w:kern w:val="0"/>
                <w:sz w:val="28"/>
                <w:szCs w:val="28"/>
              </w:rPr>
              <w:t>、编制质量</w:t>
            </w:r>
            <w:r>
              <w:rPr>
                <w:rFonts w:hint="eastAsia" w:ascii="仿宋_GB2312" w:hAnsi="宋体" w:eastAsia="仿宋_GB2312" w:cs="仿宋_GB2312"/>
                <w:color w:val="000000"/>
                <w:sz w:val="28"/>
                <w:szCs w:val="28"/>
              </w:rPr>
              <w:t>符合</w:t>
            </w:r>
            <w:r>
              <w:rPr>
                <w:rFonts w:hint="eastAsia" w:ascii="仿宋_GB2312" w:hAnsi="宋体" w:eastAsia="仿宋_GB2312" w:cs="仿宋_GB2312"/>
                <w:color w:val="000000"/>
                <w:kern w:val="0"/>
                <w:sz w:val="28"/>
                <w:szCs w:val="28"/>
              </w:rPr>
              <w:t>《建设项目环境影响报告书（表）编制监督管理办法》</w:t>
            </w:r>
            <w:r>
              <w:rPr>
                <w:rFonts w:hint="eastAsia" w:ascii="仿宋_GB2312" w:hAnsi="宋体" w:eastAsia="仿宋_GB2312" w:cs="仿宋_GB2312"/>
                <w:color w:val="000000"/>
                <w:sz w:val="28"/>
                <w:szCs w:val="28"/>
              </w:rPr>
              <w:t>规定</w:t>
            </w:r>
            <w:r>
              <w:rPr>
                <w:rFonts w:hint="eastAsia" w:ascii="仿宋_GB2312" w:eastAsia="仿宋_GB2312" w:cs="仿宋_GB2312"/>
                <w:sz w:val="28"/>
                <w:szCs w:val="28"/>
              </w:rPr>
              <w:t>要求和</w:t>
            </w:r>
            <w:r>
              <w:rPr>
                <w:rFonts w:hint="eastAsia" w:ascii="仿宋_GB2312" w:hAnsi="宋体" w:eastAsia="仿宋_GB2312" w:cs="仿宋_GB2312"/>
                <w:color w:val="000000"/>
                <w:sz w:val="28"/>
                <w:szCs w:val="28"/>
              </w:rPr>
              <w:t>受理审批</w:t>
            </w:r>
            <w:r>
              <w:rPr>
                <w:rFonts w:hint="eastAsia" w:ascii="仿宋_GB2312" w:eastAsia="仿宋_GB2312" w:cs="仿宋_GB2312"/>
                <w:sz w:val="28"/>
                <w:szCs w:val="28"/>
              </w:rPr>
              <w:t>的条件</w:t>
            </w:r>
            <w:r>
              <w:rPr>
                <w:rFonts w:hint="eastAsia" w:ascii="仿宋_GB2312" w:hAnsi="宋体" w:eastAsia="仿宋_GB2312" w:cs="仿宋_GB2312"/>
                <w:color w:val="000000"/>
                <w:sz w:val="28"/>
                <w:szCs w:val="28"/>
              </w:rPr>
              <w:t>。</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（五）本单位接受生态环境主管部门的监督检查和社会监督，若存在违法违规和失信行为，依法接受通报批评、处罚和信用惩戒。</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ascii="仿宋_GB2312" w:hAnsi="宋体" w:eastAsia="仿宋_GB2312" w:cs="Times New Roman"/>
                <w:color w:val="000000"/>
                <w:kern w:val="0"/>
                <w:sz w:val="28"/>
                <w:szCs w:val="28"/>
              </w:rPr>
            </w:pP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技术单位（盖章）：</w:t>
            </w:r>
            <w:r>
              <w:rPr>
                <w:rFonts w:ascii="仿宋_GB2312" w:hAnsi="宋体" w:eastAsia="仿宋_GB2312" w:cs="仿宋_GB2312"/>
                <w:color w:val="000000"/>
                <w:kern w:val="0"/>
                <w:sz w:val="28"/>
                <w:szCs w:val="28"/>
              </w:rPr>
              <w:t xml:space="preserve">      </w:t>
            </w:r>
            <w:r>
              <w:rPr>
                <w:rFonts w:hint="eastAsia" w:ascii="仿宋_GB2312" w:hAnsi="宋体" w:eastAsia="仿宋_GB2312" w:cs="仿宋_GB2312"/>
                <w:color w:val="000000"/>
                <w:kern w:val="0"/>
                <w:sz w:val="28"/>
                <w:szCs w:val="28"/>
              </w:rPr>
              <w:t>编制主持人（签字）：</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ascii="仿宋_GB2312" w:hAnsi="宋体" w:eastAsia="仿宋_GB2312" w:cs="Times New Roman"/>
                <w:color w:val="000000"/>
                <w:kern w:val="0"/>
                <w:sz w:val="28"/>
                <w:szCs w:val="28"/>
              </w:rPr>
            </w:pP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ascii="仿宋_GB2312" w:hAnsi="宋体" w:eastAsia="仿宋_GB2312" w:cs="Times New Roman"/>
                <w:color w:val="000000"/>
                <w:kern w:val="0"/>
                <w:sz w:val="28"/>
                <w:szCs w:val="28"/>
              </w:rPr>
            </w:pPr>
            <w:r>
              <w:rPr>
                <w:rFonts w:hint="eastAsia" w:ascii="仿宋_GB2312" w:hAnsi="宋体" w:eastAsia="仿宋_GB2312" w:cs="仿宋_GB2312"/>
                <w:color w:val="000000"/>
                <w:kern w:val="0"/>
                <w:sz w:val="28"/>
                <w:szCs w:val="28"/>
              </w:rPr>
              <w:t>承诺日期：</w:t>
            </w:r>
          </w:p>
        </w:tc>
      </w:tr>
    </w:tbl>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黑体" w:hAnsi="黑体" w:eastAsia="黑体" w:cs="Times New Roman"/>
          <w:color w:val="000000"/>
          <w:kern w:val="0"/>
          <w:sz w:val="28"/>
          <w:szCs w:val="28"/>
        </w:rPr>
      </w:pPr>
      <w:r>
        <w:rPr>
          <w:rFonts w:hint="eastAsia" w:ascii="黑体" w:hAnsi="黑体" w:eastAsia="黑体" w:cs="黑体"/>
          <w:color w:val="000000"/>
          <w:kern w:val="0"/>
          <w:sz w:val="28"/>
          <w:szCs w:val="28"/>
        </w:rPr>
        <w:t>备注：</w:t>
      </w:r>
      <w:r>
        <w:rPr>
          <w:rFonts w:hint="eastAsia" w:ascii="仿宋_GB2312" w:hAnsi="宋体" w:eastAsia="仿宋_GB2312" w:cs="仿宋_GB2312"/>
          <w:color w:val="000000"/>
          <w:kern w:val="0"/>
          <w:sz w:val="28"/>
          <w:szCs w:val="28"/>
        </w:rPr>
        <w:t>本承诺书一式三份，生态环境主管部门、建设单位、环评编制技术单位各</w:t>
      </w:r>
      <w:r>
        <w:rPr>
          <w:rFonts w:ascii="仿宋_GB2312" w:hAnsi="宋体" w:eastAsia="仿宋_GB2312" w:cs="仿宋_GB2312"/>
          <w:color w:val="000000"/>
          <w:kern w:val="0"/>
          <w:sz w:val="28"/>
          <w:szCs w:val="28"/>
        </w:rPr>
        <w:t>1</w:t>
      </w:r>
      <w:r>
        <w:rPr>
          <w:rFonts w:hint="eastAsia" w:ascii="仿宋_GB2312" w:hAnsi="宋体" w:eastAsia="仿宋_GB2312" w:cs="仿宋_GB2312"/>
          <w:color w:val="000000"/>
          <w:kern w:val="0"/>
          <w:sz w:val="28"/>
          <w:szCs w:val="28"/>
        </w:rPr>
        <w:t>份。</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黑体" w:hAnsi="黑体" w:eastAsia="黑体" w:cs="Times New Roman"/>
          <w:color w:val="000000"/>
          <w:kern w:val="0"/>
          <w:sz w:val="28"/>
          <w:szCs w:val="28"/>
        </w:rPr>
      </w:pPr>
      <w:r>
        <w:rPr>
          <w:rFonts w:hint="eastAsia" w:ascii="黑体" w:hAnsi="黑体" w:eastAsia="黑体" w:cs="黑体"/>
          <w:color w:val="000000"/>
          <w:kern w:val="0"/>
          <w:sz w:val="28"/>
          <w:szCs w:val="28"/>
        </w:rPr>
        <w:t>填报说明：</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1.</w:t>
      </w:r>
      <w:r>
        <w:rPr>
          <w:rFonts w:hint="eastAsia" w:ascii="仿宋_GB2312" w:hAnsi="宋体" w:eastAsia="仿宋_GB2312" w:cs="仿宋_GB2312"/>
          <w:color w:val="000000"/>
          <w:kern w:val="0"/>
          <w:sz w:val="28"/>
          <w:szCs w:val="28"/>
        </w:rPr>
        <w:t>项目名称：必须按照经济部门核定（核准或备案）的名称进行填写，完整、准确，不得随意更换。</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2.</w:t>
      </w:r>
      <w:r>
        <w:rPr>
          <w:rFonts w:hint="eastAsia" w:ascii="仿宋_GB2312" w:hAnsi="宋体" w:eastAsia="仿宋_GB2312" w:cs="仿宋_GB2312"/>
          <w:color w:val="000000"/>
          <w:kern w:val="0"/>
          <w:sz w:val="28"/>
          <w:szCs w:val="28"/>
        </w:rPr>
        <w:t>项目代码：填写在青岛投资项目审批监管平台进行项目登记并获取的项目代码。</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3.</w:t>
      </w:r>
      <w:r>
        <w:rPr>
          <w:rFonts w:hint="eastAsia" w:ascii="仿宋_GB2312" w:hAnsi="宋体" w:eastAsia="仿宋_GB2312" w:cs="仿宋_GB2312"/>
          <w:color w:val="000000"/>
          <w:kern w:val="0"/>
          <w:sz w:val="28"/>
          <w:szCs w:val="28"/>
        </w:rPr>
        <w:t>建设地点：拟建项目的实际地点，工业项目具体到门牌号（或地块名称），线性工程准确填写项目起止。</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4.</w:t>
      </w:r>
      <w:r>
        <w:rPr>
          <w:rFonts w:hint="eastAsia" w:ascii="仿宋_GB2312" w:hAnsi="宋体" w:eastAsia="仿宋_GB2312" w:cs="仿宋_GB2312"/>
          <w:color w:val="000000"/>
          <w:kern w:val="0"/>
          <w:sz w:val="28"/>
          <w:szCs w:val="28"/>
        </w:rPr>
        <w:t>环境影响评价行业类别：指本项目参照《建设项目环境影响评价分类管理名录》规定所对应类别，例如“</w:t>
      </w:r>
      <w:r>
        <w:rPr>
          <w:rFonts w:ascii="仿宋_GB2312" w:hAnsi="宋体" w:eastAsia="仿宋_GB2312" w:cs="仿宋_GB2312"/>
          <w:color w:val="000000"/>
          <w:kern w:val="0"/>
          <w:sz w:val="28"/>
          <w:szCs w:val="28"/>
        </w:rPr>
        <w:t>69</w:t>
      </w:r>
      <w:r>
        <w:rPr>
          <w:rFonts w:hint="eastAsia" w:ascii="仿宋_GB2312" w:hAnsi="宋体" w:eastAsia="仿宋_GB2312" w:cs="仿宋_GB2312"/>
          <w:color w:val="000000"/>
          <w:kern w:val="0"/>
          <w:sz w:val="28"/>
          <w:szCs w:val="28"/>
        </w:rPr>
        <w:t>、通用设备制造及维修</w:t>
      </w:r>
      <w:r>
        <w:rPr>
          <w:rFonts w:ascii="仿宋_GB2312" w:hAnsi="宋体" w:eastAsia="仿宋_GB2312" w:cs="仿宋_GB2312"/>
          <w:color w:val="000000"/>
          <w:kern w:val="0"/>
          <w:sz w:val="28"/>
          <w:szCs w:val="28"/>
        </w:rPr>
        <w:t>—</w:t>
      </w:r>
      <w:r>
        <w:rPr>
          <w:rFonts w:hint="eastAsia" w:ascii="仿宋_GB2312" w:hAnsi="宋体" w:eastAsia="仿宋_GB2312" w:cs="仿宋_GB2312"/>
          <w:color w:val="000000"/>
          <w:kern w:val="0"/>
          <w:sz w:val="28"/>
          <w:szCs w:val="28"/>
        </w:rPr>
        <w:t>其他（仅组装的除外）”。</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5.</w:t>
      </w:r>
      <w:r>
        <w:rPr>
          <w:rFonts w:hint="eastAsia" w:ascii="仿宋_GB2312" w:hAnsi="宋体" w:eastAsia="仿宋_GB2312" w:cs="仿宋_GB2312"/>
          <w:color w:val="000000"/>
          <w:kern w:val="0"/>
          <w:sz w:val="28"/>
          <w:szCs w:val="28"/>
        </w:rPr>
        <w:t>规划环评开展情况：项目属于专项规划、产业园区规划环境影响评价所包含的必须填写，填写规划环评的名称及审查意见的文件号；不涉及规划环评的填写“无”。</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6.</w:t>
      </w:r>
      <w:r>
        <w:rPr>
          <w:rFonts w:hint="eastAsia" w:ascii="仿宋_GB2312" w:hAnsi="宋体" w:eastAsia="仿宋_GB2312" w:cs="仿宋_GB2312"/>
          <w:color w:val="000000"/>
          <w:kern w:val="0"/>
          <w:sz w:val="28"/>
          <w:szCs w:val="28"/>
        </w:rPr>
        <w:t>建设单位：完整准确填写建设单位名称，必须与单位设立登记机关登记的一致。</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7.</w:t>
      </w:r>
      <w:r>
        <w:rPr>
          <w:rFonts w:hint="eastAsia" w:ascii="仿宋_GB2312" w:hAnsi="宋体" w:eastAsia="仿宋_GB2312" w:cs="仿宋_GB2312"/>
          <w:color w:val="000000"/>
          <w:kern w:val="0"/>
          <w:sz w:val="28"/>
          <w:szCs w:val="28"/>
        </w:rPr>
        <w:t>建设单位统一社会信用代码：完整准确填写建设单位统一社会信用代码，必须与单位设立登记机关登记的一致。</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8.</w:t>
      </w:r>
      <w:r>
        <w:rPr>
          <w:rFonts w:hint="eastAsia" w:ascii="仿宋_GB2312" w:hAnsi="宋体" w:eastAsia="仿宋_GB2312" w:cs="仿宋_GB2312"/>
          <w:color w:val="000000"/>
          <w:kern w:val="0"/>
          <w:sz w:val="28"/>
          <w:szCs w:val="28"/>
        </w:rPr>
        <w:t>授权经办人员信息：原则上应当为本单位已经建立稳定劳动合同关系的职工，并明确获得关于办理环评手续的业务授权，其行为（决定）视为建设单位的具体行为（决定）。</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9.</w:t>
      </w:r>
      <w:r>
        <w:rPr>
          <w:rFonts w:hint="eastAsia" w:ascii="仿宋_GB2312" w:hAnsi="宋体" w:eastAsia="仿宋_GB2312" w:cs="仿宋_GB2312"/>
          <w:color w:val="000000"/>
          <w:kern w:val="0"/>
          <w:sz w:val="28"/>
          <w:szCs w:val="28"/>
        </w:rPr>
        <w:t>环评编制技术单位：承担本项目环境影响评价文件工作的技术单位，应当准确、完整填写技术单位的名称。</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 xml:space="preserve">10. </w:t>
      </w:r>
      <w:r>
        <w:rPr>
          <w:rFonts w:hint="eastAsia" w:ascii="仿宋_GB2312" w:hAnsi="宋体" w:eastAsia="仿宋_GB2312" w:cs="仿宋_GB2312"/>
          <w:color w:val="000000"/>
          <w:kern w:val="0"/>
          <w:sz w:val="28"/>
          <w:szCs w:val="28"/>
        </w:rPr>
        <w:t>环评编制技术单位统一社会信用代码：完整准确填写环评编制技术单位统一社会信用代码，必须与单位设立登记机关登记的一致。</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宋体" w:eastAsia="仿宋_GB2312" w:cs="Times New Roman"/>
          <w:color w:val="000000"/>
          <w:kern w:val="0"/>
          <w:sz w:val="28"/>
          <w:szCs w:val="28"/>
          <w:lang w:eastAsia="zh-CN"/>
        </w:rPr>
      </w:pPr>
      <w:r>
        <w:rPr>
          <w:rFonts w:ascii="仿宋_GB2312" w:hAnsi="宋体" w:eastAsia="仿宋_GB2312" w:cs="仿宋_GB2312"/>
          <w:color w:val="000000"/>
          <w:kern w:val="0"/>
          <w:sz w:val="28"/>
          <w:szCs w:val="28"/>
        </w:rPr>
        <w:t>11.</w:t>
      </w:r>
      <w:r>
        <w:rPr>
          <w:rFonts w:hint="eastAsia" w:ascii="仿宋_GB2312" w:hAnsi="宋体" w:eastAsia="仿宋_GB2312" w:cs="仿宋_GB2312"/>
          <w:color w:val="000000"/>
          <w:kern w:val="0"/>
          <w:sz w:val="28"/>
          <w:szCs w:val="28"/>
        </w:rPr>
        <w:t>编制主持人资格证书管理号：指具体承担主持编制本项目环评文件人员取得环境影响评价工程师职业资格证书的编号；信用编号：编制人员在生态环境部信用平台形成的信用编号</w:t>
      </w:r>
      <w:r>
        <w:rPr>
          <w:rFonts w:hint="eastAsia" w:ascii="仿宋_GB2312" w:hAnsi="宋体" w:eastAsia="仿宋_GB2312" w:cs="仿宋_GB2312"/>
          <w:color w:val="000000"/>
          <w:kern w:val="0"/>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jc w:val="left"/>
        <w:textAlignment w:val="auto"/>
        <w:rPr>
          <w:rFonts w:ascii="仿宋_GB2312" w:hAnsi="宋体" w:eastAsia="仿宋_GB2312" w:cs="Times New Roman"/>
          <w:color w:val="000000"/>
          <w:kern w:val="0"/>
          <w:sz w:val="28"/>
          <w:szCs w:val="28"/>
        </w:rPr>
      </w:pPr>
      <w:r>
        <w:rPr>
          <w:rFonts w:ascii="仿宋_GB2312" w:hAnsi="宋体" w:eastAsia="仿宋_GB2312" w:cs="仿宋_GB2312"/>
          <w:color w:val="000000"/>
          <w:kern w:val="0"/>
          <w:sz w:val="28"/>
          <w:szCs w:val="28"/>
        </w:rPr>
        <w:t>12.</w:t>
      </w:r>
      <w:r>
        <w:rPr>
          <w:rFonts w:hint="eastAsia" w:ascii="仿宋_GB2312" w:hAnsi="宋体" w:eastAsia="仿宋_GB2312" w:cs="仿宋_GB2312"/>
          <w:color w:val="000000"/>
          <w:kern w:val="0"/>
          <w:sz w:val="28"/>
          <w:szCs w:val="28"/>
        </w:rPr>
        <w:t>建设单位承诺：为格式文本，原则上不得修改，建设单位若有修改应在报批时书面说明。</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ascii="仿宋_GB2312" w:eastAsia="仿宋_GB2312" w:cs="Times New Roman"/>
          <w:sz w:val="28"/>
          <w:szCs w:val="28"/>
        </w:rPr>
      </w:pPr>
      <w:r>
        <w:rPr>
          <w:rFonts w:ascii="仿宋_GB2312" w:hAnsi="宋体" w:eastAsia="仿宋_GB2312" w:cs="仿宋_GB2312"/>
          <w:color w:val="000000"/>
          <w:kern w:val="0"/>
          <w:sz w:val="28"/>
          <w:szCs w:val="28"/>
        </w:rPr>
        <w:t>13.</w:t>
      </w:r>
      <w:r>
        <w:rPr>
          <w:rFonts w:hint="eastAsia" w:ascii="仿宋_GB2312" w:hAnsi="宋体" w:eastAsia="仿宋_GB2312" w:cs="仿宋_GB2312"/>
          <w:color w:val="000000"/>
          <w:kern w:val="0"/>
          <w:sz w:val="28"/>
          <w:szCs w:val="28"/>
        </w:rPr>
        <w:t>环评编制技术单位承诺：为格式文本，原则上不得修改，技术单位若有修改应在报批时书面说明。</w:t>
      </w:r>
    </w:p>
    <w:p>
      <w:pPr>
        <w:keepNext w:val="0"/>
        <w:keepLines w:val="0"/>
        <w:pageBreakBefore w:val="0"/>
        <w:kinsoku/>
        <w:wordWrap/>
        <w:overflowPunct/>
        <w:topLinePunct w:val="0"/>
        <w:autoSpaceDE/>
        <w:autoSpaceDN/>
        <w:bidi w:val="0"/>
        <w:adjustRightInd w:val="0"/>
        <w:textAlignment w:val="auto"/>
      </w:pPr>
    </w:p>
    <w:p>
      <w:pPr>
        <w:keepNext w:val="0"/>
        <w:keepLines w:val="0"/>
        <w:pageBreakBefore w:val="0"/>
        <w:kinsoku/>
        <w:wordWrap/>
        <w:overflowPunct/>
        <w:topLinePunct w:val="0"/>
        <w:autoSpaceDE/>
        <w:autoSpaceDN/>
        <w:bidi w:val="0"/>
        <w:adjustRightInd w:val="0"/>
        <w:snapToGrid w:val="0"/>
        <w:spacing w:line="560" w:lineRule="exact"/>
        <w:textAlignment w:val="auto"/>
        <w:rPr>
          <w:rFonts w:ascii="仿宋_GB2312" w:eastAsia="仿宋_GB2312" w:cs="仿宋_GB2312"/>
          <w:sz w:val="32"/>
          <w:szCs w:val="32"/>
        </w:rPr>
      </w:pPr>
    </w:p>
    <w:p>
      <w:pPr>
        <w:keepNext w:val="0"/>
        <w:keepLines w:val="0"/>
        <w:pageBreakBefore w:val="0"/>
        <w:kinsoku/>
        <w:wordWrap/>
        <w:overflowPunct/>
        <w:topLinePunct w:val="0"/>
        <w:autoSpaceDE/>
        <w:autoSpaceDN/>
        <w:bidi w:val="0"/>
        <w:adjustRightInd w:val="0"/>
        <w:textAlignment w:val="auto"/>
      </w:pPr>
    </w:p>
    <w:p>
      <w:pPr>
        <w:pStyle w:val="2"/>
        <w:keepNext w:val="0"/>
        <w:keepLines w:val="0"/>
        <w:pageBreakBefore w:val="0"/>
        <w:kinsoku/>
        <w:wordWrap/>
        <w:overflowPunct/>
        <w:topLinePunct w:val="0"/>
        <w:autoSpaceDE/>
        <w:autoSpaceDN/>
        <w:bidi w:val="0"/>
        <w:adjustRightInd w:val="0"/>
        <w:textAlignment w:val="auto"/>
        <w:rPr>
          <w:rFonts w:hint="eastAsia"/>
          <w:lang w:val="en-US" w:eastAsia="zh-CN"/>
        </w:rPr>
      </w:pPr>
    </w:p>
    <w:p>
      <w:pPr>
        <w:keepNext w:val="0"/>
        <w:keepLines w:val="0"/>
        <w:pageBreakBefore w:val="0"/>
        <w:kinsoku/>
        <w:wordWrap/>
        <w:overflowPunct/>
        <w:topLinePunct w:val="0"/>
        <w:autoSpaceDE/>
        <w:autoSpaceDN/>
        <w:bidi w:val="0"/>
        <w:adjustRightInd w:val="0"/>
        <w:textAlignment w:val="auto"/>
        <w:rPr>
          <w:rFonts w:hint="eastAsia"/>
          <w:lang w:val="en-US" w:eastAsia="zh-CN"/>
        </w:rPr>
      </w:pPr>
    </w:p>
    <w:p>
      <w:pPr>
        <w:pStyle w:val="2"/>
        <w:keepNext w:val="0"/>
        <w:keepLines w:val="0"/>
        <w:pageBreakBefore w:val="0"/>
        <w:kinsoku/>
        <w:wordWrap/>
        <w:overflowPunct/>
        <w:topLinePunct w:val="0"/>
        <w:autoSpaceDE/>
        <w:autoSpaceDN/>
        <w:bidi w:val="0"/>
        <w:adjustRightInd w:val="0"/>
        <w:textAlignment w:val="auto"/>
        <w:rPr>
          <w:rFonts w:hint="eastAsia"/>
          <w:lang w:val="en-US" w:eastAsia="zh-CN"/>
        </w:rPr>
      </w:pPr>
    </w:p>
    <w:p>
      <w:pPr>
        <w:keepNext w:val="0"/>
        <w:keepLines w:val="0"/>
        <w:pageBreakBefore w:val="0"/>
        <w:kinsoku/>
        <w:wordWrap/>
        <w:overflowPunct/>
        <w:topLinePunct w:val="0"/>
        <w:autoSpaceDE/>
        <w:autoSpaceDN/>
        <w:bidi w:val="0"/>
        <w:adjustRightInd w:val="0"/>
        <w:textAlignment w:val="auto"/>
        <w:rPr>
          <w:rFonts w:hint="eastAsia"/>
          <w:lang w:val="en-US" w:eastAsia="zh-CN"/>
        </w:rPr>
      </w:pPr>
    </w:p>
    <w:p>
      <w:pPr>
        <w:pStyle w:val="2"/>
        <w:keepNext w:val="0"/>
        <w:keepLines w:val="0"/>
        <w:pageBreakBefore w:val="0"/>
        <w:kinsoku/>
        <w:wordWrap/>
        <w:overflowPunct/>
        <w:topLinePunct w:val="0"/>
        <w:autoSpaceDE/>
        <w:autoSpaceDN/>
        <w:bidi w:val="0"/>
        <w:adjustRightInd w:val="0"/>
        <w:textAlignment w:val="auto"/>
        <w:rPr>
          <w:rFonts w:hint="eastAsia"/>
          <w:lang w:val="en-US" w:eastAsia="zh-CN"/>
        </w:rPr>
      </w:pPr>
    </w:p>
    <w:p>
      <w:pPr>
        <w:keepNext w:val="0"/>
        <w:keepLines w:val="0"/>
        <w:pageBreakBefore w:val="0"/>
        <w:kinsoku/>
        <w:wordWrap/>
        <w:overflowPunct/>
        <w:topLinePunct w:val="0"/>
        <w:autoSpaceDE/>
        <w:autoSpaceDN/>
        <w:bidi w:val="0"/>
        <w:adjustRightInd w:val="0"/>
        <w:textAlignment w:val="auto"/>
        <w:rPr>
          <w:rFonts w:hint="eastAsia"/>
          <w:lang w:val="en-US" w:eastAsia="zh-CN"/>
        </w:rPr>
      </w:pPr>
    </w:p>
    <w:p>
      <w:pPr>
        <w:pStyle w:val="2"/>
        <w:keepNext w:val="0"/>
        <w:keepLines w:val="0"/>
        <w:pageBreakBefore w:val="0"/>
        <w:kinsoku/>
        <w:wordWrap/>
        <w:overflowPunct/>
        <w:topLinePunct w:val="0"/>
        <w:autoSpaceDE/>
        <w:autoSpaceDN/>
        <w:bidi w:val="0"/>
        <w:adjustRightInd w:val="0"/>
        <w:textAlignment w:val="auto"/>
        <w:rPr>
          <w:rFonts w:hint="eastAsia"/>
          <w:lang w:val="en-US" w:eastAsia="zh-CN"/>
        </w:rPr>
      </w:pPr>
    </w:p>
    <w:p>
      <w:pPr>
        <w:keepNext w:val="0"/>
        <w:keepLines w:val="0"/>
        <w:pageBreakBefore w:val="0"/>
        <w:kinsoku/>
        <w:wordWrap/>
        <w:overflowPunct/>
        <w:topLinePunct w:val="0"/>
        <w:autoSpaceDE/>
        <w:autoSpaceDN/>
        <w:bidi w:val="0"/>
        <w:adjustRightInd w:val="0"/>
        <w:textAlignment w:val="auto"/>
        <w:rPr>
          <w:rFonts w:hint="eastAsia"/>
          <w:lang w:val="en-US" w:eastAsia="zh-CN"/>
        </w:rPr>
      </w:pPr>
    </w:p>
    <w:p>
      <w:pPr>
        <w:pStyle w:val="2"/>
        <w:keepNext w:val="0"/>
        <w:keepLines w:val="0"/>
        <w:pageBreakBefore w:val="0"/>
        <w:kinsoku/>
        <w:wordWrap/>
        <w:overflowPunct/>
        <w:topLinePunct w:val="0"/>
        <w:autoSpaceDE/>
        <w:autoSpaceDN/>
        <w:bidi w:val="0"/>
        <w:adjustRightInd w:val="0"/>
        <w:textAlignment w:val="auto"/>
        <w:rPr>
          <w:rFonts w:hint="eastAsia"/>
          <w:lang w:val="en-US" w:eastAsia="zh-CN"/>
        </w:rPr>
      </w:pPr>
    </w:p>
    <w:tbl>
      <w:tblPr>
        <w:tblStyle w:val="12"/>
        <w:tblpPr w:leftFromText="180" w:rightFromText="180" w:vertAnchor="text" w:horzAnchor="page" w:tblpX="1583" w:tblpY="4352"/>
        <w:tblOverlap w:val="never"/>
        <w:tblW w:w="0" w:type="auto"/>
        <w:tblInd w:w="0" w:type="dxa"/>
        <w:tblBorders>
          <w:top w:val="single" w:color="000000" w:sz="12" w:space="0"/>
          <w:left w:val="single" w:color="FFFFFF" w:sz="4" w:space="0"/>
          <w:bottom w:val="single" w:color="000000" w:sz="12" w:space="0"/>
          <w:right w:val="single" w:color="FFFFFF" w:sz="4" w:space="0"/>
          <w:insideH w:val="single" w:color="000000" w:sz="4" w:space="0"/>
          <w:insideV w:val="none" w:color="auto" w:sz="0" w:space="0"/>
        </w:tblBorders>
        <w:tblLayout w:type="fixed"/>
        <w:tblCellMar>
          <w:top w:w="0" w:type="dxa"/>
          <w:left w:w="108" w:type="dxa"/>
          <w:bottom w:w="0" w:type="dxa"/>
          <w:right w:w="108" w:type="dxa"/>
        </w:tblCellMar>
      </w:tblPr>
      <w:tblGrid>
        <w:gridCol w:w="9060"/>
      </w:tblGrid>
      <w:tr>
        <w:tblPrEx>
          <w:tblBorders>
            <w:top w:val="single" w:color="000000" w:sz="12" w:space="0"/>
            <w:left w:val="single" w:color="FFFFFF" w:sz="4" w:space="0"/>
            <w:bottom w:val="single" w:color="000000" w:sz="12" w:space="0"/>
            <w:right w:val="single" w:color="FFFFFF" w:sz="4" w:space="0"/>
            <w:insideH w:val="single" w:color="000000" w:sz="4" w:space="0"/>
            <w:insideV w:val="none" w:color="auto" w:sz="0" w:space="0"/>
          </w:tblBorders>
          <w:tblCellMar>
            <w:top w:w="0" w:type="dxa"/>
            <w:left w:w="108" w:type="dxa"/>
            <w:bottom w:w="0" w:type="dxa"/>
            <w:right w:w="108" w:type="dxa"/>
          </w:tblCellMar>
        </w:tblPrEx>
        <w:tc>
          <w:tcPr>
            <w:tcW w:w="9060" w:type="dxa"/>
            <w:tcBorders>
              <w:top w:val="single" w:color="000000" w:sz="12" w:space="0"/>
              <w:left w:val="single" w:color="FFFFFF" w:sz="4" w:space="0"/>
              <w:bottom w:val="single" w:color="000000" w:sz="12" w:space="0"/>
              <w:right w:val="single" w:color="FFFFFF" w:sz="4" w:space="0"/>
            </w:tcBorders>
            <w:noWrap w:val="0"/>
            <w:vAlign w:val="top"/>
          </w:tcPr>
          <w:p>
            <w:pPr>
              <w:keepNext w:val="0"/>
              <w:keepLines w:val="0"/>
              <w:pageBreakBefore w:val="0"/>
              <w:kinsoku/>
              <w:wordWrap/>
              <w:overflowPunct/>
              <w:topLinePunct w:val="0"/>
              <w:autoSpaceDE/>
              <w:autoSpaceDN/>
              <w:bidi w:val="0"/>
              <w:adjustRightInd w:val="0"/>
              <w:ind w:firstLine="280" w:firstLineChars="100"/>
              <w:textAlignment w:val="auto"/>
              <w:rPr>
                <w:rFonts w:hint="eastAsia" w:ascii="仿宋_GB2312" w:eastAsia="仿宋_GB2312"/>
                <w:sz w:val="28"/>
                <w:szCs w:val="28"/>
              </w:rPr>
            </w:pPr>
            <w:r>
              <w:rPr>
                <w:rFonts w:hint="eastAsia" w:ascii="仿宋_GB2312" w:eastAsia="仿宋_GB2312"/>
                <w:sz w:val="28"/>
                <w:szCs w:val="28"/>
              </w:rPr>
              <w:t>青岛市生态环境局高新区分局　　　　　     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5</w:t>
            </w:r>
            <w:r>
              <w:rPr>
                <w:rFonts w:hint="eastAsia" w:ascii="仿宋_GB2312" w:eastAsia="仿宋_GB2312"/>
                <w:sz w:val="28"/>
                <w:szCs w:val="28"/>
              </w:rPr>
              <w:t>日印发</w:t>
            </w:r>
          </w:p>
        </w:tc>
      </w:tr>
    </w:tbl>
    <w:p>
      <w:pPr>
        <w:pStyle w:val="2"/>
        <w:keepNext w:val="0"/>
        <w:keepLines w:val="0"/>
        <w:pageBreakBefore w:val="0"/>
        <w:kinsoku/>
        <w:wordWrap/>
        <w:overflowPunct/>
        <w:topLinePunct w:val="0"/>
        <w:autoSpaceDE/>
        <w:autoSpaceDN/>
        <w:bidi w:val="0"/>
        <w:adjustRightInd w:val="0"/>
        <w:ind w:left="0" w:leftChars="0" w:firstLine="0" w:firstLineChars="0"/>
        <w:textAlignment w:val="auto"/>
        <w:rPr>
          <w:rFonts w:hint="eastAsia"/>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文星简小标宋">
    <w:altName w:val="宋体"/>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sz w:val="28"/>
                              <w:szCs w:val="44"/>
                            </w:rPr>
                            <w:fldChar w:fldCharType="begin"/>
                          </w:r>
                          <w:r>
                            <w:rPr>
                              <w:sz w:val="28"/>
                              <w:szCs w:val="44"/>
                            </w:rPr>
                            <w:instrText xml:space="preserve"> PAGE  \* MERGEFORMAT </w:instrText>
                          </w:r>
                          <w:r>
                            <w:rPr>
                              <w:sz w:val="28"/>
                              <w:szCs w:val="44"/>
                            </w:rPr>
                            <w:fldChar w:fldCharType="separate"/>
                          </w:r>
                          <w:r>
                            <w:rPr>
                              <w:sz w:val="28"/>
                              <w:szCs w:val="44"/>
                            </w:rPr>
                            <w:t>- 1 -</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pPr>
                    <w:r>
                      <w:rPr>
                        <w:sz w:val="28"/>
                        <w:szCs w:val="44"/>
                      </w:rPr>
                      <w:fldChar w:fldCharType="begin"/>
                    </w:r>
                    <w:r>
                      <w:rPr>
                        <w:sz w:val="28"/>
                        <w:szCs w:val="44"/>
                      </w:rPr>
                      <w:instrText xml:space="preserve"> PAGE  \* MERGEFORMAT </w:instrText>
                    </w:r>
                    <w:r>
                      <w:rPr>
                        <w:sz w:val="28"/>
                        <w:szCs w:val="44"/>
                      </w:rPr>
                      <w:fldChar w:fldCharType="separate"/>
                    </w:r>
                    <w:r>
                      <w:rPr>
                        <w:sz w:val="28"/>
                        <w:szCs w:val="44"/>
                      </w:rPr>
                      <w:t>- 1 -</w:t>
                    </w:r>
                    <w:r>
                      <w:rPr>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8145F1"/>
    <w:multiLevelType w:val="singleLevel"/>
    <w:tmpl w:val="788145F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17"/>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lMWVjNWViNzBkNDQ3OTc5NGVlNDhiNzkwMTBjMTYifQ=="/>
  </w:docVars>
  <w:rsids>
    <w:rsidRoot w:val="55F149F7"/>
    <w:rsid w:val="002B1080"/>
    <w:rsid w:val="00374CC0"/>
    <w:rsid w:val="003A4138"/>
    <w:rsid w:val="00546787"/>
    <w:rsid w:val="007F5DD8"/>
    <w:rsid w:val="0096675B"/>
    <w:rsid w:val="00C75309"/>
    <w:rsid w:val="00EE3B5E"/>
    <w:rsid w:val="01F029C9"/>
    <w:rsid w:val="02684255"/>
    <w:rsid w:val="0385634A"/>
    <w:rsid w:val="06127C3D"/>
    <w:rsid w:val="065958D4"/>
    <w:rsid w:val="0AB45767"/>
    <w:rsid w:val="0CA33BE4"/>
    <w:rsid w:val="0D86163D"/>
    <w:rsid w:val="0D9B6209"/>
    <w:rsid w:val="0DBD73A6"/>
    <w:rsid w:val="0DDF0D4D"/>
    <w:rsid w:val="15CD16BF"/>
    <w:rsid w:val="161C2C4B"/>
    <w:rsid w:val="168801D3"/>
    <w:rsid w:val="17143815"/>
    <w:rsid w:val="190E24E6"/>
    <w:rsid w:val="191775ED"/>
    <w:rsid w:val="19425972"/>
    <w:rsid w:val="196B7938"/>
    <w:rsid w:val="197C1514"/>
    <w:rsid w:val="1C5E1D19"/>
    <w:rsid w:val="1D48246B"/>
    <w:rsid w:val="1D8773D9"/>
    <w:rsid w:val="1FA63478"/>
    <w:rsid w:val="26C32B62"/>
    <w:rsid w:val="27C43035"/>
    <w:rsid w:val="2AB923BE"/>
    <w:rsid w:val="2C273B93"/>
    <w:rsid w:val="2F1523C9"/>
    <w:rsid w:val="33BE302F"/>
    <w:rsid w:val="35E12488"/>
    <w:rsid w:val="361E6007"/>
    <w:rsid w:val="3A68758F"/>
    <w:rsid w:val="3B6E70E8"/>
    <w:rsid w:val="3C021D67"/>
    <w:rsid w:val="3C9708C1"/>
    <w:rsid w:val="3D1B2189"/>
    <w:rsid w:val="3F3317AF"/>
    <w:rsid w:val="400B3BB8"/>
    <w:rsid w:val="42164036"/>
    <w:rsid w:val="45CA7611"/>
    <w:rsid w:val="477305A8"/>
    <w:rsid w:val="48D6451F"/>
    <w:rsid w:val="4A696D94"/>
    <w:rsid w:val="4BDE49C6"/>
    <w:rsid w:val="4C2556FE"/>
    <w:rsid w:val="4DB82445"/>
    <w:rsid w:val="4E6C395B"/>
    <w:rsid w:val="4EAC01FC"/>
    <w:rsid w:val="4EF61477"/>
    <w:rsid w:val="4FAA26A3"/>
    <w:rsid w:val="5124051D"/>
    <w:rsid w:val="51EB468E"/>
    <w:rsid w:val="54CC793B"/>
    <w:rsid w:val="55491957"/>
    <w:rsid w:val="554A7E27"/>
    <w:rsid w:val="55935C72"/>
    <w:rsid w:val="55F149F7"/>
    <w:rsid w:val="58EA204C"/>
    <w:rsid w:val="5A0D377D"/>
    <w:rsid w:val="5B701D1C"/>
    <w:rsid w:val="5C7B2FBB"/>
    <w:rsid w:val="5C8E2CEF"/>
    <w:rsid w:val="5E3B35BE"/>
    <w:rsid w:val="5EA65AAD"/>
    <w:rsid w:val="5EF94F9F"/>
    <w:rsid w:val="5FC8476A"/>
    <w:rsid w:val="609D45C0"/>
    <w:rsid w:val="62037CDB"/>
    <w:rsid w:val="62BD1B88"/>
    <w:rsid w:val="630F445E"/>
    <w:rsid w:val="63A96660"/>
    <w:rsid w:val="647E5D3F"/>
    <w:rsid w:val="672A5BFD"/>
    <w:rsid w:val="68376930"/>
    <w:rsid w:val="691862FC"/>
    <w:rsid w:val="694D7A8E"/>
    <w:rsid w:val="701557A9"/>
    <w:rsid w:val="72D414DC"/>
    <w:rsid w:val="74A17247"/>
    <w:rsid w:val="759C4277"/>
    <w:rsid w:val="775D7A36"/>
    <w:rsid w:val="793A7BC8"/>
    <w:rsid w:val="79EF28AA"/>
    <w:rsid w:val="7AE534E4"/>
    <w:rsid w:val="7D5D44CB"/>
    <w:rsid w:val="7DA912DF"/>
    <w:rsid w:val="7E716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cs="Times New Roman"/>
      <w:b/>
      <w:kern w:val="44"/>
      <w:sz w:val="48"/>
      <w:szCs w:val="4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9"/>
    <w:basedOn w:val="1"/>
    <w:next w:val="1"/>
    <w:qFormat/>
    <w:uiPriority w:val="0"/>
    <w:pPr>
      <w:widowControl w:val="0"/>
      <w:ind w:left="3360"/>
    </w:pPr>
    <w:rPr>
      <w:rFonts w:ascii="Times New Roman" w:hAnsi="Times New Roman" w:eastAsia="宋体" w:cs="Times New Roman"/>
      <w:kern w:val="2"/>
      <w:sz w:val="21"/>
      <w:lang w:val="en-US" w:eastAsia="zh-CN" w:bidi="ar-SA"/>
    </w:rPr>
  </w:style>
  <w:style w:type="paragraph" w:styleId="4">
    <w:name w:val="Normal Indent"/>
    <w:basedOn w:val="1"/>
    <w:unhideWhenUsed/>
    <w:qFormat/>
    <w:uiPriority w:val="99"/>
    <w:pPr>
      <w:ind w:firstLine="420"/>
    </w:pPr>
    <w:rPr>
      <w:rFonts w:ascii="Calibri" w:hAnsi="Calibri" w:eastAsia="宋体" w:cs="Times New Roman"/>
    </w:rPr>
  </w:style>
  <w:style w:type="paragraph" w:styleId="5">
    <w:name w:val="annotation text"/>
    <w:basedOn w:val="1"/>
    <w:qFormat/>
    <w:uiPriority w:val="0"/>
    <w:pPr>
      <w:jc w:val="left"/>
    </w:pPr>
  </w:style>
  <w:style w:type="paragraph" w:styleId="6">
    <w:name w:val="Body Text Indent"/>
    <w:basedOn w:val="1"/>
    <w:next w:val="4"/>
    <w:unhideWhenUsed/>
    <w:qFormat/>
    <w:uiPriority w:val="99"/>
    <w:pPr>
      <w:spacing w:after="120"/>
      <w:ind w:left="420" w:leftChars="200"/>
    </w:p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2"/>
    <w:basedOn w:val="6"/>
    <w:next w:val="1"/>
    <w:unhideWhenUsed/>
    <w:qFormat/>
    <w:uiPriority w:val="99"/>
    <w:pPr>
      <w:ind w:firstLine="420" w:firstLineChars="200"/>
    </w:pPr>
  </w:style>
  <w:style w:type="character" w:styleId="14">
    <w:name w:val="Strong"/>
    <w:basedOn w:val="13"/>
    <w:qFormat/>
    <w:uiPriority w:val="0"/>
    <w:rPr>
      <w:b/>
    </w:rPr>
  </w:style>
  <w:style w:type="character" w:customStyle="1" w:styleId="15">
    <w:name w:val="批注框文本 Char"/>
    <w:basedOn w:val="13"/>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8744</Words>
  <Characters>9438</Characters>
  <Lines>1</Lines>
  <Paragraphs>5</Paragraphs>
  <TotalTime>1028</TotalTime>
  <ScaleCrop>false</ScaleCrop>
  <LinksUpToDate>false</LinksUpToDate>
  <CharactersWithSpaces>9576</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2023-05-17T07:54:00Z</dcterms:created>
  <dc:creator>刘晴</dc:creator>
  <cp:lastModifiedBy>快乐的牧羊人</cp:lastModifiedBy>
  <cp:lastPrinted>2023-09-07T03:22:00Z</cp:lastPrinted>
  <dcterms:modified xsi:type="dcterms:W3CDTF">2023-11-06T02:34:54Z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594E8FAF58D44BC79E6C62A3C98FE4B2_13</vt:lpwstr>
  </property>
</Properties>
</file>