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BFB" w:rsidRDefault="00CF7BFB">
      <w:pPr>
        <w:pStyle w:val="a8"/>
        <w:spacing w:line="520" w:lineRule="exact"/>
        <w:rPr>
          <w:rFonts w:ascii="宋体" w:eastAsia="宋体" w:hAnsi="宋体" w:cs="宋体"/>
        </w:rPr>
      </w:pPr>
    </w:p>
    <w:p w:rsidR="00CF7BFB" w:rsidRDefault="00CF7BFB">
      <w:pPr>
        <w:pStyle w:val="a8"/>
        <w:spacing w:line="520" w:lineRule="exact"/>
        <w:rPr>
          <w:rFonts w:ascii="宋体" w:eastAsia="宋体" w:hAnsi="宋体" w:cs="宋体"/>
        </w:rPr>
      </w:pPr>
    </w:p>
    <w:p w:rsidR="00CF7BFB" w:rsidRDefault="00CF7BFB">
      <w:pPr>
        <w:pStyle w:val="a8"/>
        <w:spacing w:line="520" w:lineRule="exact"/>
        <w:rPr>
          <w:rFonts w:ascii="宋体" w:eastAsia="宋体" w:hAnsi="宋体" w:cs="宋体"/>
        </w:rPr>
      </w:pPr>
    </w:p>
    <w:p w:rsidR="00CF7BFB" w:rsidRDefault="00CF7BFB">
      <w:pPr>
        <w:pStyle w:val="a8"/>
        <w:spacing w:line="520" w:lineRule="exact"/>
        <w:rPr>
          <w:rFonts w:ascii="宋体" w:eastAsia="宋体" w:hAnsi="宋体" w:cs="宋体"/>
        </w:rPr>
      </w:pPr>
    </w:p>
    <w:p w:rsidR="00CF7BFB" w:rsidRDefault="00CF7BFB">
      <w:pPr>
        <w:pStyle w:val="a8"/>
        <w:spacing w:line="520" w:lineRule="exact"/>
        <w:rPr>
          <w:rFonts w:ascii="宋体" w:eastAsia="宋体" w:hAnsi="宋体" w:cs="宋体"/>
        </w:rPr>
      </w:pPr>
    </w:p>
    <w:p w:rsidR="00CF7BFB" w:rsidRDefault="00CF7BFB">
      <w:pPr>
        <w:pStyle w:val="a8"/>
        <w:spacing w:line="520" w:lineRule="exact"/>
        <w:rPr>
          <w:rFonts w:ascii="宋体" w:eastAsia="宋体" w:hAnsi="宋体" w:cs="宋体"/>
        </w:rPr>
      </w:pPr>
    </w:p>
    <w:p w:rsidR="00CF7BFB" w:rsidRDefault="006E0B8E">
      <w:pPr>
        <w:spacing w:line="520" w:lineRule="exact"/>
        <w:ind w:left="880" w:hanging="880"/>
        <w:jc w:val="center"/>
        <w:rPr>
          <w:rFonts w:ascii="方正小标宋_GBK" w:eastAsia="方正小标宋_GBK" w:cs="文星简黑体"/>
          <w:sz w:val="44"/>
          <w:szCs w:val="44"/>
        </w:rPr>
      </w:pPr>
      <w:r>
        <w:rPr>
          <w:rFonts w:ascii="方正小标宋_GBK" w:eastAsia="方正小标宋_GBK" w:hAnsi="宋体" w:hint="eastAsia"/>
          <w:b/>
          <w:sz w:val="44"/>
          <w:szCs w:val="44"/>
        </w:rPr>
        <w:t>2020</w:t>
      </w:r>
      <w:r>
        <w:rPr>
          <w:rFonts w:ascii="方正小标宋_GBK" w:eastAsia="方正小标宋_GBK" w:cs="文星简黑体" w:hint="eastAsia"/>
          <w:sz w:val="44"/>
          <w:szCs w:val="44"/>
        </w:rPr>
        <w:t>年度青岛特钢税收资金返还专项资金</w:t>
      </w:r>
    </w:p>
    <w:p w:rsidR="00CF7BFB" w:rsidRDefault="006E0B8E">
      <w:pPr>
        <w:spacing w:line="520" w:lineRule="exact"/>
        <w:ind w:left="880" w:hanging="880"/>
        <w:jc w:val="center"/>
        <w:rPr>
          <w:rFonts w:ascii="方正小标宋_GBK" w:eastAsia="方正小标宋_GBK" w:cs="文星简黑体"/>
          <w:sz w:val="44"/>
          <w:szCs w:val="44"/>
        </w:rPr>
      </w:pPr>
      <w:r>
        <w:rPr>
          <w:rFonts w:ascii="方正小标宋_GBK" w:eastAsia="方正小标宋_GBK" w:cs="文星简黑体" w:hint="eastAsia"/>
          <w:sz w:val="44"/>
          <w:szCs w:val="44"/>
        </w:rPr>
        <w:t>项目支出财政绩效评价报告</w:t>
      </w:r>
    </w:p>
    <w:p w:rsidR="00CF7BFB" w:rsidRDefault="00CF7BFB">
      <w:pPr>
        <w:spacing w:line="520" w:lineRule="exact"/>
        <w:ind w:left="1040" w:hanging="1040"/>
        <w:jc w:val="right"/>
        <w:rPr>
          <w:rFonts w:ascii="文星简黑体" w:eastAsia="文星简黑体"/>
          <w:sz w:val="52"/>
          <w:szCs w:val="52"/>
        </w:rPr>
      </w:pPr>
    </w:p>
    <w:p w:rsidR="00CF7BFB" w:rsidRDefault="00CF7BFB">
      <w:pPr>
        <w:spacing w:line="520" w:lineRule="exact"/>
        <w:ind w:left="1040" w:hanging="1040"/>
        <w:jc w:val="center"/>
        <w:rPr>
          <w:rFonts w:ascii="文星简黑体" w:eastAsia="文星简黑体"/>
          <w:sz w:val="52"/>
          <w:szCs w:val="52"/>
        </w:rPr>
      </w:pPr>
    </w:p>
    <w:p w:rsidR="00CF7BFB" w:rsidRDefault="00CF7BFB">
      <w:pPr>
        <w:spacing w:line="520" w:lineRule="exact"/>
        <w:ind w:left="1040" w:hanging="1040"/>
        <w:jc w:val="center"/>
        <w:rPr>
          <w:rFonts w:ascii="文星简黑体" w:eastAsia="文星简黑体"/>
          <w:sz w:val="52"/>
          <w:szCs w:val="52"/>
        </w:rPr>
      </w:pPr>
    </w:p>
    <w:p w:rsidR="00CF7BFB" w:rsidRDefault="006E0B8E">
      <w:pPr>
        <w:spacing w:before="120" w:line="520" w:lineRule="exact"/>
        <w:ind w:left="640" w:hanging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文星简黑体" w:hint="eastAsia"/>
          <w:sz w:val="32"/>
          <w:szCs w:val="32"/>
        </w:rPr>
        <w:t>评价单位：青岛市财政局</w:t>
      </w:r>
      <w:r>
        <w:rPr>
          <w:rFonts w:ascii="黑体" w:eastAsia="黑体" w:hAnsi="黑体"/>
          <w:sz w:val="32"/>
          <w:szCs w:val="32"/>
        </w:rPr>
        <w:t xml:space="preserve"> </w:t>
      </w:r>
    </w:p>
    <w:p w:rsidR="00CF7BFB" w:rsidRDefault="006E0B8E">
      <w:pPr>
        <w:spacing w:before="120" w:line="520" w:lineRule="exact"/>
        <w:ind w:left="2240" w:hangingChars="700" w:hanging="22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文星简黑体" w:hint="eastAsia"/>
          <w:sz w:val="32"/>
          <w:szCs w:val="32"/>
        </w:rPr>
        <w:t>被评价单位：青岛特殊钢铁有限公司</w:t>
      </w:r>
      <w:r>
        <w:rPr>
          <w:rFonts w:ascii="黑体" w:eastAsia="黑体" w:hAnsi="黑体"/>
          <w:sz w:val="32"/>
          <w:szCs w:val="32"/>
        </w:rPr>
        <w:t xml:space="preserve"> </w:t>
      </w:r>
    </w:p>
    <w:p w:rsidR="00CF7BFB" w:rsidRDefault="00CF7BFB">
      <w:pPr>
        <w:spacing w:before="120" w:line="520" w:lineRule="exact"/>
        <w:ind w:left="640" w:hanging="640"/>
        <w:rPr>
          <w:rFonts w:ascii="黑体" w:eastAsia="黑体" w:hAnsi="黑体"/>
          <w:sz w:val="32"/>
          <w:szCs w:val="32"/>
        </w:rPr>
      </w:pPr>
    </w:p>
    <w:p w:rsidR="00CF7BFB" w:rsidRDefault="00CF7BFB">
      <w:pPr>
        <w:spacing w:before="120" w:line="520" w:lineRule="exact"/>
        <w:ind w:left="640" w:hanging="640"/>
        <w:jc w:val="center"/>
        <w:rPr>
          <w:rFonts w:ascii="黑体" w:eastAsia="黑体" w:hAnsi="黑体"/>
          <w:sz w:val="32"/>
          <w:szCs w:val="32"/>
        </w:rPr>
      </w:pPr>
    </w:p>
    <w:p w:rsidR="00CF7BFB" w:rsidRDefault="00CF7BFB">
      <w:pPr>
        <w:spacing w:before="120" w:line="520" w:lineRule="exact"/>
        <w:rPr>
          <w:rFonts w:ascii="黑体" w:eastAsia="黑体" w:hAnsi="黑体"/>
          <w:sz w:val="32"/>
          <w:szCs w:val="32"/>
        </w:rPr>
      </w:pPr>
    </w:p>
    <w:p w:rsidR="00CF7BFB" w:rsidRDefault="00CF7BFB">
      <w:pPr>
        <w:spacing w:before="120" w:line="520" w:lineRule="exact"/>
        <w:rPr>
          <w:rFonts w:ascii="黑体" w:eastAsia="黑体" w:hAnsi="黑体"/>
          <w:sz w:val="32"/>
          <w:szCs w:val="32"/>
        </w:rPr>
      </w:pPr>
    </w:p>
    <w:p w:rsidR="00CF7BFB" w:rsidRDefault="006E0B8E">
      <w:pPr>
        <w:spacing w:before="120" w:line="520" w:lineRule="exact"/>
        <w:jc w:val="center"/>
        <w:rPr>
          <w:rFonts w:ascii="黑体" w:eastAsia="黑体" w:hAnsi="黑体" w:cs="文星简黑体"/>
          <w:sz w:val="32"/>
          <w:szCs w:val="32"/>
        </w:rPr>
      </w:pPr>
      <w:r>
        <w:rPr>
          <w:rFonts w:ascii="黑体" w:eastAsia="黑体" w:hAnsi="黑体" w:cs="文星简黑体" w:hint="eastAsia"/>
          <w:sz w:val="32"/>
          <w:szCs w:val="32"/>
        </w:rPr>
        <w:t>2020年7月</w:t>
      </w:r>
    </w:p>
    <w:p w:rsidR="00CF7BFB" w:rsidRDefault="00CF7BFB">
      <w:pPr>
        <w:spacing w:before="120" w:line="520" w:lineRule="exact"/>
        <w:jc w:val="center"/>
        <w:rPr>
          <w:rFonts w:ascii="黑体" w:eastAsia="黑体" w:hAnsi="黑体" w:cs="文星简黑体"/>
          <w:sz w:val="32"/>
          <w:szCs w:val="32"/>
        </w:rPr>
      </w:pPr>
    </w:p>
    <w:p w:rsidR="00CF7BFB" w:rsidRDefault="00CF7BFB">
      <w:pPr>
        <w:spacing w:after="0" w:line="560" w:lineRule="exact"/>
        <w:jc w:val="center"/>
        <w:rPr>
          <w:rFonts w:ascii="方正小标宋_GBK" w:eastAsia="方正小标宋_GBK" w:hAnsi="宋体" w:cs="宋体"/>
          <w:sz w:val="44"/>
          <w:szCs w:val="44"/>
        </w:rPr>
        <w:sectPr w:rsidR="00CF7BFB">
          <w:footerReference w:type="default" r:id="rId8"/>
          <w:pgSz w:w="11906" w:h="16838"/>
          <w:pgMar w:top="2098" w:right="1588" w:bottom="2098" w:left="1588" w:header="851" w:footer="992" w:gutter="0"/>
          <w:pgNumType w:start="1"/>
          <w:cols w:space="720"/>
          <w:docGrid w:type="lines" w:linePitch="324"/>
        </w:sectPr>
      </w:pPr>
    </w:p>
    <w:sdt>
      <w:sdtPr>
        <w:rPr>
          <w:rFonts w:ascii="宋体" w:eastAsia="宋体" w:hAnsi="宋体"/>
          <w:sz w:val="21"/>
        </w:rPr>
        <w:id w:val="147483637"/>
        <w:docPartObj>
          <w:docPartGallery w:val="Table of Contents"/>
          <w:docPartUnique/>
        </w:docPartObj>
      </w:sdtPr>
      <w:sdtEndPr>
        <w:rPr>
          <w:rFonts w:ascii="方正小标宋_GBK" w:eastAsia="方正小标宋_GBK" w:cs="宋体" w:hint="eastAsia"/>
          <w:sz w:val="22"/>
          <w:szCs w:val="44"/>
        </w:rPr>
      </w:sdtEndPr>
      <w:sdtContent>
        <w:p w:rsidR="00CF7BFB" w:rsidRDefault="006E0B8E">
          <w:pPr>
            <w:spacing w:line="240" w:lineRule="auto"/>
            <w:jc w:val="center"/>
            <w:rPr>
              <w:sz w:val="52"/>
              <w:szCs w:val="52"/>
            </w:rPr>
          </w:pPr>
          <w:r>
            <w:rPr>
              <w:rFonts w:ascii="宋体" w:eastAsia="宋体" w:hAnsi="宋体"/>
              <w:sz w:val="52"/>
              <w:szCs w:val="52"/>
            </w:rPr>
            <w:t>目录</w:t>
          </w:r>
        </w:p>
        <w:p w:rsidR="00CF7BFB" w:rsidRDefault="00A9051C">
          <w:pPr>
            <w:pStyle w:val="10"/>
            <w:tabs>
              <w:tab w:val="clear" w:pos="8296"/>
              <w:tab w:val="right" w:leader="dot" w:pos="8730"/>
            </w:tabs>
          </w:pPr>
          <w:r w:rsidRPr="00A9051C">
            <w:rPr>
              <w:rFonts w:ascii="方正小标宋_GBK" w:eastAsia="方正小标宋_GBK" w:hAnsi="宋体" w:cs="宋体" w:hint="eastAsia"/>
              <w:sz w:val="44"/>
              <w:szCs w:val="44"/>
            </w:rPr>
            <w:fldChar w:fldCharType="begin"/>
          </w:r>
          <w:r w:rsidR="006E0B8E">
            <w:rPr>
              <w:rFonts w:ascii="方正小标宋_GBK" w:eastAsia="方正小标宋_GBK" w:hAnsi="宋体" w:cs="宋体" w:hint="eastAsia"/>
              <w:sz w:val="44"/>
              <w:szCs w:val="44"/>
            </w:rPr>
            <w:instrText xml:space="preserve">TOC \o "1-3" \h \u </w:instrText>
          </w:r>
          <w:r w:rsidRPr="00A9051C">
            <w:rPr>
              <w:rFonts w:ascii="方正小标宋_GBK" w:eastAsia="方正小标宋_GBK" w:hAnsi="宋体" w:cs="宋体" w:hint="eastAsia"/>
              <w:sz w:val="44"/>
              <w:szCs w:val="44"/>
            </w:rPr>
            <w:fldChar w:fldCharType="separate"/>
          </w:r>
          <w:hyperlink w:anchor="_Toc32662" w:history="1">
            <w:r w:rsidR="006E0B8E">
              <w:rPr>
                <w:rFonts w:ascii="黑体" w:eastAsia="黑体" w:hAnsi="黑体" w:cs="黑体" w:hint="eastAsia"/>
                <w:bCs/>
                <w:kern w:val="2"/>
                <w:szCs w:val="32"/>
              </w:rPr>
              <w:t>一、项目基本情况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_Toc32662 \h </w:instrText>
            </w:r>
            <w:r>
              <w:fldChar w:fldCharType="separate"/>
            </w:r>
            <w:r w:rsidR="006E0B8E">
              <w:t>1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29908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（一）项目概况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_Toc29908 \h </w:instrText>
            </w:r>
            <w:r>
              <w:fldChar w:fldCharType="separate"/>
            </w:r>
            <w:r w:rsidR="006E0B8E">
              <w:t>1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4374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（二）项目绩效目标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_Toc4374 \h </w:instrText>
            </w:r>
            <w:r>
              <w:fldChar w:fldCharType="separate"/>
            </w:r>
            <w:r w:rsidR="006E0B8E">
              <w:t>1</w:t>
            </w:r>
            <w:r>
              <w:fldChar w:fldCharType="end"/>
            </w:r>
          </w:hyperlink>
        </w:p>
        <w:p w:rsidR="00CF7BFB" w:rsidRDefault="00A9051C">
          <w:pPr>
            <w:pStyle w:val="10"/>
            <w:tabs>
              <w:tab w:val="clear" w:pos="8296"/>
              <w:tab w:val="right" w:leader="dot" w:pos="8730"/>
            </w:tabs>
          </w:pPr>
          <w:hyperlink w:anchor="_Toc17744" w:history="1">
            <w:r w:rsidR="006E0B8E">
              <w:rPr>
                <w:rFonts w:ascii="黑体" w:eastAsia="黑体" w:hAnsi="黑体" w:cs="黑体" w:hint="eastAsia"/>
                <w:bCs/>
                <w:kern w:val="2"/>
                <w:szCs w:val="32"/>
              </w:rPr>
              <w:t>二、评价实施情况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_Toc17744 \h </w:instrText>
            </w:r>
            <w:r>
              <w:fldChar w:fldCharType="separate"/>
            </w:r>
            <w:r w:rsidR="006E0B8E">
              <w:t>2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22225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（一）绩效评价目的、对象和范围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_Toc22225 \h </w:instrText>
            </w:r>
            <w:r>
              <w:fldChar w:fldCharType="separate"/>
            </w:r>
            <w:r w:rsidR="006E0B8E">
              <w:t>2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31794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（二）评价依据、方法、标准、指标体系等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_Toc31794 \h </w:instrText>
            </w:r>
            <w:r>
              <w:fldChar w:fldCharType="separate"/>
            </w:r>
            <w:r w:rsidR="006E0B8E">
              <w:t>3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4370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（三）评价实施程序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_Toc4370 \h </w:instrText>
            </w:r>
            <w:r>
              <w:fldChar w:fldCharType="separate"/>
            </w:r>
            <w:r w:rsidR="006E0B8E">
              <w:t>3</w:t>
            </w:r>
            <w:r>
              <w:fldChar w:fldCharType="end"/>
            </w:r>
          </w:hyperlink>
        </w:p>
        <w:p w:rsidR="00CF7BFB" w:rsidRDefault="00A9051C">
          <w:pPr>
            <w:pStyle w:val="10"/>
            <w:tabs>
              <w:tab w:val="clear" w:pos="8296"/>
              <w:tab w:val="right" w:leader="dot" w:pos="8730"/>
            </w:tabs>
          </w:pPr>
          <w:hyperlink w:anchor="_Toc19294" w:history="1">
            <w:r w:rsidR="006E0B8E">
              <w:rPr>
                <w:rFonts w:ascii="黑体" w:eastAsia="黑体" w:hAnsi="黑体" w:cs="黑体" w:hint="eastAsia"/>
                <w:bCs/>
                <w:kern w:val="2"/>
                <w:szCs w:val="32"/>
              </w:rPr>
              <w:t>三、指标分析与评价结论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_Toc19294 \h </w:instrText>
            </w:r>
            <w:r>
              <w:fldChar w:fldCharType="separate"/>
            </w:r>
            <w:r w:rsidR="006E0B8E">
              <w:t>4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23011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（一）绩效评价指标体系分析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_Toc23011 \h </w:instrText>
            </w:r>
            <w:r>
              <w:fldChar w:fldCharType="separate"/>
            </w:r>
            <w:r w:rsidR="006E0B8E">
              <w:t>4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15747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（二）评价结论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_Toc15747 \h </w:instrText>
            </w:r>
            <w:r>
              <w:fldChar w:fldCharType="separate"/>
            </w:r>
            <w:r w:rsidR="006E0B8E">
              <w:t>6</w:t>
            </w:r>
            <w:r>
              <w:fldChar w:fldCharType="end"/>
            </w:r>
          </w:hyperlink>
        </w:p>
        <w:p w:rsidR="00CF7BFB" w:rsidRDefault="00A9051C" w:rsidP="00D8271C">
          <w:pPr>
            <w:pStyle w:val="2"/>
            <w:tabs>
              <w:tab w:val="right" w:leader="dot" w:pos="8730"/>
            </w:tabs>
            <w:ind w:left="440"/>
          </w:pPr>
          <w:hyperlink w:anchor="_Toc20166" w:history="1">
            <w:r w:rsidR="006E0B8E">
              <w:rPr>
                <w:rFonts w:ascii="楷体_GB2312" w:eastAsia="楷体_GB2312" w:hAnsi="楷体_GB2312" w:cs="楷体_GB2312" w:hint="eastAsia"/>
                <w:bCs/>
                <w:kern w:val="2"/>
                <w:szCs w:val="32"/>
              </w:rPr>
              <w:t>（三）主要问题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_Toc20166 \h </w:instrText>
            </w:r>
            <w:r>
              <w:fldChar w:fldCharType="separate"/>
            </w:r>
            <w:r w:rsidR="006E0B8E">
              <w:t>8</w:t>
            </w:r>
            <w:r>
              <w:fldChar w:fldCharType="end"/>
            </w:r>
          </w:hyperlink>
        </w:p>
        <w:p w:rsidR="00CF7BFB" w:rsidRDefault="00A9051C">
          <w:pPr>
            <w:pStyle w:val="10"/>
            <w:tabs>
              <w:tab w:val="clear" w:pos="8296"/>
              <w:tab w:val="right" w:leader="dot" w:pos="8730"/>
            </w:tabs>
          </w:pPr>
          <w:hyperlink w:anchor="_Toc27010" w:history="1">
            <w:r w:rsidR="006E0B8E">
              <w:rPr>
                <w:rFonts w:ascii="黑体" w:eastAsia="黑体" w:hAnsi="黑体" w:cs="黑体" w:hint="eastAsia"/>
                <w:bCs/>
                <w:kern w:val="2"/>
                <w:szCs w:val="32"/>
              </w:rPr>
              <w:t>四、评价单位盖章</w:t>
            </w:r>
            <w:r w:rsidR="006E0B8E">
              <w:tab/>
            </w:r>
            <w:r>
              <w:fldChar w:fldCharType="begin"/>
            </w:r>
            <w:r w:rsidR="006E0B8E">
              <w:instrText xml:space="preserve"> PAGEREF _Toc27010 \h </w:instrText>
            </w:r>
            <w:r>
              <w:fldChar w:fldCharType="separate"/>
            </w:r>
            <w:r w:rsidR="006E0B8E">
              <w:t>8</w:t>
            </w:r>
            <w:r>
              <w:fldChar w:fldCharType="end"/>
            </w:r>
          </w:hyperlink>
        </w:p>
        <w:p w:rsidR="00CF7BFB" w:rsidRDefault="00A9051C">
          <w:pPr>
            <w:spacing w:after="0" w:line="560" w:lineRule="exact"/>
            <w:jc w:val="center"/>
            <w:rPr>
              <w:rFonts w:ascii="方正小标宋_GBK" w:eastAsia="方正小标宋_GBK" w:hAnsi="宋体" w:cs="宋体"/>
              <w:sz w:val="44"/>
              <w:szCs w:val="44"/>
            </w:rPr>
            <w:sectPr w:rsidR="00CF7BFB">
              <w:footerReference w:type="default" r:id="rId9"/>
              <w:pgSz w:w="11906" w:h="16838"/>
              <w:pgMar w:top="2098" w:right="1588" w:bottom="2098" w:left="1588" w:header="851" w:footer="992" w:gutter="0"/>
              <w:pgNumType w:start="1"/>
              <w:cols w:space="720"/>
              <w:docGrid w:type="lines" w:linePitch="324"/>
            </w:sectPr>
          </w:pPr>
          <w:r>
            <w:rPr>
              <w:rFonts w:ascii="方正小标宋_GBK" w:eastAsia="方正小标宋_GBK" w:hAnsi="宋体" w:cs="宋体" w:hint="eastAsia"/>
              <w:szCs w:val="44"/>
            </w:rPr>
            <w:fldChar w:fldCharType="end"/>
          </w:r>
        </w:p>
      </w:sdtContent>
    </w:sdt>
    <w:p w:rsidR="00CF7BFB" w:rsidRDefault="00CF7BFB" w:rsidP="00D8271C">
      <w:pPr>
        <w:pStyle w:val="a6"/>
        <w:spacing w:line="560" w:lineRule="exact"/>
        <w:ind w:firstLine="883"/>
        <w:jc w:val="center"/>
        <w:rPr>
          <w:rFonts w:ascii="宋体" w:hAnsi="Roman"/>
          <w:b/>
          <w:bCs/>
          <w:sz w:val="44"/>
          <w:szCs w:val="44"/>
        </w:rPr>
      </w:pPr>
    </w:p>
    <w:p w:rsidR="00CF7BFB" w:rsidRDefault="006E0B8E" w:rsidP="00D8271C">
      <w:pPr>
        <w:pStyle w:val="a6"/>
        <w:spacing w:line="560" w:lineRule="exact"/>
        <w:ind w:firstLine="883"/>
        <w:jc w:val="center"/>
        <w:rPr>
          <w:rFonts w:ascii="宋体" w:hAnsi="Roman"/>
          <w:b/>
          <w:bCs/>
          <w:sz w:val="44"/>
          <w:szCs w:val="44"/>
        </w:rPr>
      </w:pPr>
      <w:r>
        <w:rPr>
          <w:rFonts w:ascii="宋体" w:hAnsi="Roman" w:hint="eastAsia"/>
          <w:b/>
          <w:bCs/>
          <w:sz w:val="44"/>
          <w:szCs w:val="44"/>
        </w:rPr>
        <w:t>青岛特钢税收资金返还专项资金项目支出财政绩效评价报告</w:t>
      </w:r>
      <w:bookmarkStart w:id="0" w:name="_Toc14658"/>
      <w:bookmarkStart w:id="1" w:name="_Toc500860830"/>
      <w:bookmarkStart w:id="2" w:name="_Toc17548"/>
      <w:bookmarkStart w:id="3" w:name="_Toc14199"/>
      <w:bookmarkStart w:id="4" w:name="_Toc401761504"/>
      <w:bookmarkStart w:id="5" w:name="_Toc23928"/>
    </w:p>
    <w:p w:rsidR="00CF7BFB" w:rsidRDefault="00CF7BFB">
      <w:pPr>
        <w:spacing w:before="120" w:line="560" w:lineRule="exact"/>
        <w:jc w:val="center"/>
        <w:rPr>
          <w:rFonts w:ascii="隶书" w:eastAsia="隶书" w:hAnsi="仿宋"/>
          <w:b/>
          <w:kern w:val="2"/>
          <w:sz w:val="44"/>
          <w:szCs w:val="44"/>
        </w:rPr>
      </w:pPr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0"/>
        <w:rPr>
          <w:rFonts w:ascii="黑体" w:eastAsia="黑体" w:hAnsi="黑体" w:cs="黑体"/>
          <w:bCs/>
          <w:color w:val="000000"/>
          <w:kern w:val="2"/>
          <w:sz w:val="32"/>
          <w:szCs w:val="32"/>
        </w:rPr>
      </w:pPr>
      <w:bookmarkStart w:id="6" w:name="_Toc32662"/>
      <w:r>
        <w:rPr>
          <w:rFonts w:ascii="黑体" w:eastAsia="黑体" w:hAnsi="黑体" w:cs="黑体" w:hint="eastAsia"/>
          <w:bCs/>
          <w:color w:val="000000"/>
          <w:kern w:val="2"/>
          <w:sz w:val="32"/>
          <w:szCs w:val="32"/>
        </w:rPr>
        <w:t>一、项目基本情况</w:t>
      </w:r>
      <w:bookmarkEnd w:id="0"/>
      <w:bookmarkEnd w:id="1"/>
      <w:bookmarkEnd w:id="2"/>
      <w:bookmarkEnd w:id="3"/>
      <w:bookmarkEnd w:id="4"/>
      <w:bookmarkEnd w:id="5"/>
      <w:bookmarkEnd w:id="6"/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sz w:val="28"/>
          <w:szCs w:val="24"/>
        </w:rPr>
      </w:pPr>
      <w:bookmarkStart w:id="7" w:name="_Toc401761505"/>
      <w:bookmarkStart w:id="8" w:name="_Toc11080"/>
      <w:bookmarkStart w:id="9" w:name="_Toc500860831"/>
      <w:bookmarkStart w:id="10" w:name="_Toc13153"/>
      <w:bookmarkStart w:id="11" w:name="_Toc30386"/>
      <w:bookmarkStart w:id="12" w:name="_Toc24801"/>
      <w:bookmarkStart w:id="13" w:name="_Toc29908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（一）项目</w:t>
      </w:r>
      <w:bookmarkEnd w:id="7"/>
      <w:bookmarkEnd w:id="8"/>
      <w:bookmarkEnd w:id="9"/>
      <w:bookmarkEnd w:id="10"/>
      <w:bookmarkEnd w:id="11"/>
      <w:bookmarkEnd w:id="12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概况</w:t>
      </w:r>
      <w:bookmarkEnd w:id="13"/>
    </w:p>
    <w:p w:rsidR="00CF7BFB" w:rsidRDefault="006E0B8E">
      <w:pPr>
        <w:autoSpaceDE w:val="0"/>
        <w:spacing w:line="560" w:lineRule="exact"/>
        <w:ind w:firstLineChars="200" w:firstLine="640"/>
        <w:rPr>
          <w:rFonts w:ascii="仿宋_GB2312" w:hAnsi="仿宋"/>
          <w:color w:val="000000"/>
          <w:sz w:val="32"/>
          <w:szCs w:val="32"/>
        </w:rPr>
      </w:pPr>
      <w:bookmarkStart w:id="14" w:name="_Toc12359"/>
      <w:bookmarkStart w:id="15" w:name="_Toc500860832"/>
      <w:r>
        <w:rPr>
          <w:rFonts w:ascii="仿宋_GB2312" w:hAnsi="仿宋" w:hint="eastAsia"/>
          <w:color w:val="000000"/>
          <w:sz w:val="32"/>
          <w:szCs w:val="32"/>
        </w:rPr>
        <w:t>根据青岛市政府与中信集团在2017年1月24日签署了《关于青岛特钢公司重组合作的框架协议》（以下简称《框架协议》），青岛特钢于2017年5月完成工商登记变更，完成了股权交割，实现了重组。按照《框架协议》中的有关约定，市政府将根据青岛特钢对地方财政贡献给予一定奖励资金。其中《框架协议》第七条约定：地方财政贡献奖励，增值税和所得税自划转完成年度起3年内按实得部分50%奖励，后2年按实得部分25%奖励，具体按现行财政体制，由市本级承担。对于青岛特钢在划转完成5年内缴纳的房产税、土地税，按照相关政策，上缴的税金给予青岛特钢奖励，作为对青岛特钢研发、人才等方面的支持。截止</w:t>
      </w:r>
      <w:r>
        <w:rPr>
          <w:rFonts w:ascii="仿宋_GB2312" w:hint="eastAsia"/>
          <w:sz w:val="32"/>
          <w:szCs w:val="32"/>
        </w:rPr>
        <w:t>2</w:t>
      </w:r>
      <w:r>
        <w:rPr>
          <w:rFonts w:ascii="仿宋_GB2312"/>
          <w:sz w:val="32"/>
          <w:szCs w:val="32"/>
        </w:rPr>
        <w:t>0</w:t>
      </w:r>
      <w:r>
        <w:rPr>
          <w:rFonts w:ascii="仿宋_GB2312" w:hint="eastAsia"/>
          <w:sz w:val="32"/>
          <w:szCs w:val="32"/>
        </w:rPr>
        <w:t>20年6月地方财政已拨付</w:t>
      </w:r>
      <w:r>
        <w:rPr>
          <w:rFonts w:ascii="仿宋_GB2312" w:hAnsi="仿宋" w:hint="eastAsia"/>
          <w:color w:val="000000"/>
          <w:sz w:val="32"/>
          <w:szCs w:val="32"/>
        </w:rPr>
        <w:t>1337.58万元</w:t>
      </w:r>
      <w:r>
        <w:rPr>
          <w:rFonts w:ascii="仿宋_GB2312" w:hint="eastAsia"/>
          <w:sz w:val="32"/>
          <w:szCs w:val="32"/>
        </w:rPr>
        <w:t>到青岛特钢。</w:t>
      </w:r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bCs/>
          <w:color w:val="000000"/>
          <w:kern w:val="2"/>
          <w:sz w:val="32"/>
          <w:szCs w:val="32"/>
        </w:rPr>
      </w:pPr>
      <w:bookmarkStart w:id="16" w:name="_Toc4374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（二）项目</w:t>
      </w:r>
      <w:bookmarkEnd w:id="14"/>
      <w:bookmarkEnd w:id="15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绩效目标</w:t>
      </w:r>
      <w:bookmarkEnd w:id="16"/>
    </w:p>
    <w:p w:rsidR="00CF7BFB" w:rsidRDefault="006E0B8E">
      <w:pPr>
        <w:spacing w:line="600" w:lineRule="exact"/>
        <w:ind w:firstLineChars="200" w:firstLine="640"/>
        <w:rPr>
          <w:rFonts w:ascii="仿宋_GB2312"/>
          <w:sz w:val="32"/>
          <w:szCs w:val="32"/>
        </w:rPr>
      </w:pPr>
      <w:bookmarkStart w:id="17" w:name="_Toc500860837"/>
      <w:bookmarkStart w:id="18" w:name="_Toc401761508"/>
      <w:bookmarkStart w:id="19" w:name="_Toc59"/>
      <w:bookmarkStart w:id="20" w:name="_Toc359824083"/>
      <w:bookmarkStart w:id="21" w:name="_Toc3604"/>
      <w:bookmarkStart w:id="22" w:name="_Toc5569"/>
      <w:r>
        <w:rPr>
          <w:rFonts w:ascii="仿宋_GB2312" w:hint="eastAsia"/>
          <w:sz w:val="32"/>
          <w:szCs w:val="32"/>
        </w:rPr>
        <w:t>根据《青岛市财政专项资金绩效目标批复表（2020）》</w:t>
      </w:r>
    </w:p>
    <w:p w:rsidR="00CF7BFB" w:rsidRDefault="006E0B8E">
      <w:pPr>
        <w:spacing w:line="600" w:lineRule="exact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2</w:t>
      </w:r>
      <w:r>
        <w:rPr>
          <w:rFonts w:ascii="仿宋_GB2312"/>
          <w:sz w:val="32"/>
          <w:szCs w:val="32"/>
        </w:rPr>
        <w:t>0</w:t>
      </w:r>
      <w:r>
        <w:rPr>
          <w:rFonts w:ascii="仿宋_GB2312" w:hint="eastAsia"/>
          <w:sz w:val="32"/>
          <w:szCs w:val="32"/>
        </w:rPr>
        <w:t>20年的绩效目标为：</w:t>
      </w:r>
    </w:p>
    <w:tbl>
      <w:tblPr>
        <w:tblW w:w="0" w:type="auto"/>
        <w:tblInd w:w="113" w:type="dxa"/>
        <w:tblLayout w:type="fixed"/>
        <w:tblLook w:val="04A0"/>
      </w:tblPr>
      <w:tblGrid>
        <w:gridCol w:w="1555"/>
        <w:gridCol w:w="1945"/>
        <w:gridCol w:w="2874"/>
        <w:gridCol w:w="2363"/>
      </w:tblGrid>
      <w:tr w:rsidR="00CF7BFB">
        <w:trPr>
          <w:trHeight w:val="124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lastRenderedPageBreak/>
              <w:t>一级 指标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二级 指标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三级指标</w:t>
            </w:r>
          </w:p>
        </w:tc>
        <w:tc>
          <w:tcPr>
            <w:tcW w:w="23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年度指标值</w:t>
            </w:r>
          </w:p>
        </w:tc>
      </w:tr>
      <w:tr w:rsidR="00CF7BFB">
        <w:trPr>
          <w:trHeight w:val="102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FB" w:rsidRDefault="006E0B8E">
            <w:pPr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产出指标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FB" w:rsidRDefault="006E0B8E">
            <w:pPr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数量指标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FB" w:rsidRDefault="006E0B8E">
            <w:pPr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重组企业数量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BFB" w:rsidRDefault="006E0B8E">
            <w:pPr>
              <w:jc w:val="right"/>
              <w:textAlignment w:val="center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1</w:t>
            </w:r>
          </w:p>
        </w:tc>
      </w:tr>
      <w:tr w:rsidR="00CF7BFB">
        <w:trPr>
          <w:trHeight w:val="51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CF7BFB">
            <w:pPr>
              <w:rPr>
                <w:rFonts w:ascii="仿宋_GB2312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质量指标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补贴准确率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jc w:val="right"/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100%</w:t>
            </w:r>
          </w:p>
        </w:tc>
      </w:tr>
      <w:tr w:rsidR="00CF7BFB">
        <w:trPr>
          <w:trHeight w:val="139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CF7BFB">
            <w:pPr>
              <w:rPr>
                <w:rFonts w:ascii="仿宋_GB2312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时效指标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返还资金时效性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2020年6月底前</w:t>
            </w:r>
          </w:p>
        </w:tc>
      </w:tr>
      <w:tr w:rsidR="00CF7BFB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效益指标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经济效益指标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实现利税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jc w:val="right"/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3000</w:t>
            </w:r>
            <w:r>
              <w:rPr>
                <w:rFonts w:ascii="仿宋_GB2312" w:hAnsi="Arial" w:cs="仿宋_GB2312" w:hint="eastAsia"/>
                <w:color w:val="000000"/>
                <w:sz w:val="32"/>
                <w:szCs w:val="32"/>
              </w:rPr>
              <w:t>万</w:t>
            </w:r>
          </w:p>
        </w:tc>
      </w:tr>
      <w:tr w:rsidR="00CF7BFB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CF7BFB">
            <w:pPr>
              <w:rPr>
                <w:rFonts w:ascii="仿宋_GB2312" w:hAnsi="Arial" w:cs="Arial"/>
                <w:sz w:val="32"/>
                <w:szCs w:val="32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CF7BFB">
            <w:pPr>
              <w:rPr>
                <w:rFonts w:ascii="仿宋_GB2312" w:hAnsi="Arial" w:cs="Arial"/>
                <w:sz w:val="32"/>
                <w:szCs w:val="32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投入研发项目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jc w:val="right"/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 w:hint="eastAsia"/>
                <w:color w:val="000000"/>
                <w:sz w:val="32"/>
                <w:szCs w:val="32"/>
              </w:rPr>
              <w:t>2</w:t>
            </w:r>
          </w:p>
        </w:tc>
      </w:tr>
      <w:tr w:rsidR="00CF7BFB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7BFB" w:rsidRDefault="00CF7BFB">
            <w:pPr>
              <w:rPr>
                <w:rFonts w:ascii="仿宋_GB2312" w:hAnsi="Arial" w:cs="Arial"/>
                <w:sz w:val="32"/>
                <w:szCs w:val="32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可持续影响指标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补贴管理机制健全性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7BFB" w:rsidRDefault="006E0B8E">
            <w:pPr>
              <w:jc w:val="right"/>
              <w:textAlignment w:val="bottom"/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仿宋_GB2312"/>
                <w:color w:val="000000"/>
                <w:sz w:val="32"/>
                <w:szCs w:val="32"/>
              </w:rPr>
              <w:t>健全</w:t>
            </w:r>
          </w:p>
        </w:tc>
      </w:tr>
      <w:tr w:rsidR="00CF7BFB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rPr>
                <w:rFonts w:ascii="仿宋_GB2312" w:hAnsi="Arial" w:cs="Arial"/>
                <w:sz w:val="32"/>
                <w:szCs w:val="32"/>
              </w:rPr>
            </w:pPr>
            <w:r>
              <w:rPr>
                <w:rFonts w:ascii="仿宋_GB2312" w:hAnsi="Arial" w:cs="Arial" w:hint="eastAsia"/>
                <w:sz w:val="32"/>
                <w:szCs w:val="32"/>
              </w:rPr>
              <w:t>满意度指标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 w:hint="eastAsia"/>
                <w:color w:val="000000"/>
                <w:sz w:val="32"/>
                <w:szCs w:val="32"/>
              </w:rPr>
              <w:t>服务对象满意度指标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textAlignment w:val="bottom"/>
              <w:rPr>
                <w:rFonts w:ascii="仿宋_GB2312" w:hAnsi="Arial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 w:hint="eastAsia"/>
                <w:color w:val="000000"/>
                <w:sz w:val="32"/>
                <w:szCs w:val="32"/>
              </w:rPr>
              <w:t>受补贴单位满意度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7BFB" w:rsidRDefault="006E0B8E">
            <w:pPr>
              <w:jc w:val="right"/>
              <w:textAlignment w:val="bottom"/>
              <w:rPr>
                <w:rFonts w:ascii="仿宋_GB2312" w:hAnsi="Arial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Arial" w:cs="仿宋_GB2312" w:hint="eastAsia"/>
                <w:color w:val="000000"/>
                <w:sz w:val="32"/>
                <w:szCs w:val="32"/>
              </w:rPr>
              <w:t>100%</w:t>
            </w:r>
          </w:p>
        </w:tc>
      </w:tr>
    </w:tbl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0"/>
        <w:rPr>
          <w:rFonts w:ascii="黑体" w:eastAsia="黑体" w:hAnsi="黑体" w:cs="黑体"/>
          <w:bCs/>
          <w:color w:val="000000"/>
          <w:kern w:val="2"/>
          <w:sz w:val="32"/>
          <w:szCs w:val="32"/>
        </w:rPr>
      </w:pPr>
      <w:bookmarkStart w:id="23" w:name="_Toc17744"/>
      <w:r>
        <w:rPr>
          <w:rFonts w:ascii="黑体" w:eastAsia="黑体" w:hAnsi="黑体" w:cs="黑体" w:hint="eastAsia"/>
          <w:bCs/>
          <w:color w:val="000000"/>
          <w:kern w:val="2"/>
          <w:sz w:val="32"/>
          <w:szCs w:val="32"/>
        </w:rPr>
        <w:t>二、评价实施情况</w:t>
      </w:r>
      <w:bookmarkEnd w:id="17"/>
      <w:bookmarkEnd w:id="18"/>
      <w:bookmarkEnd w:id="19"/>
      <w:bookmarkEnd w:id="20"/>
      <w:bookmarkEnd w:id="21"/>
      <w:bookmarkEnd w:id="22"/>
      <w:bookmarkEnd w:id="23"/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bCs/>
          <w:color w:val="000000"/>
          <w:kern w:val="2"/>
          <w:sz w:val="32"/>
          <w:szCs w:val="32"/>
        </w:rPr>
      </w:pPr>
      <w:bookmarkStart w:id="24" w:name="_Toc22225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（一）绩效评价目的、对象和范围</w:t>
      </w:r>
      <w:bookmarkEnd w:id="24"/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本次绩效评价的目的主要是为加强财政支出管理，强化支出责任，提高财政资金使用效益。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本次绩效评价的对象为</w:t>
      </w:r>
      <w:r>
        <w:rPr>
          <w:rFonts w:ascii="仿宋_GB2312" w:hint="eastAsia"/>
          <w:sz w:val="32"/>
          <w:szCs w:val="32"/>
        </w:rPr>
        <w:t>青岛特殊钢铁有限公司</w:t>
      </w:r>
      <w:r>
        <w:rPr>
          <w:rFonts w:ascii="仿宋_GB2312" w:hint="eastAsia"/>
          <w:kern w:val="2"/>
          <w:sz w:val="32"/>
          <w:szCs w:val="32"/>
        </w:rPr>
        <w:t>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lastRenderedPageBreak/>
        <w:t>本次绩效评价的范围是评价对象依据</w:t>
      </w:r>
      <w:r>
        <w:rPr>
          <w:rFonts w:ascii="仿宋_GB2312" w:hAnsi="仿宋" w:hint="eastAsia"/>
          <w:color w:val="000000"/>
          <w:sz w:val="32"/>
          <w:szCs w:val="32"/>
        </w:rPr>
        <w:t>《框架协议》中第七条税收返还专项资金的</w:t>
      </w:r>
      <w:r>
        <w:rPr>
          <w:rFonts w:ascii="仿宋_GB2312" w:hint="eastAsia"/>
          <w:kern w:val="2"/>
          <w:sz w:val="32"/>
          <w:szCs w:val="32"/>
        </w:rPr>
        <w:t>绩效情况。</w:t>
      </w:r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bCs/>
          <w:color w:val="000000"/>
          <w:kern w:val="2"/>
          <w:sz w:val="32"/>
          <w:szCs w:val="32"/>
        </w:rPr>
      </w:pPr>
      <w:bookmarkStart w:id="25" w:name="_Toc29297"/>
      <w:bookmarkStart w:id="26" w:name="_Toc31794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（二）</w:t>
      </w:r>
      <w:bookmarkEnd w:id="25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评价依据、方法、标准、指标体系等</w:t>
      </w:r>
      <w:bookmarkEnd w:id="26"/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根据财政部《项目支出绩效评价管理办法》（财预〔2020〕10号）、青岛市财政局《关于印发&lt;市级财政绩效评价操作指南&gt;的通知》（</w:t>
      </w:r>
      <w:proofErr w:type="gramStart"/>
      <w:r>
        <w:rPr>
          <w:rFonts w:ascii="仿宋_GB2312" w:hint="eastAsia"/>
          <w:kern w:val="2"/>
          <w:sz w:val="32"/>
          <w:szCs w:val="32"/>
        </w:rPr>
        <w:t>青财绩</w:t>
      </w:r>
      <w:proofErr w:type="gramEnd"/>
      <w:r>
        <w:rPr>
          <w:rFonts w:ascii="仿宋_GB2312" w:hint="eastAsia"/>
          <w:kern w:val="2"/>
          <w:sz w:val="32"/>
          <w:szCs w:val="32"/>
        </w:rPr>
        <w:t>〔2020〕6号）等文件，设计了一级指标、二级指标和三级指标及其权重，按照绩效评价的基本原理、原则和项目特点，结合绩效目标，对效益指标相应设计了四级指标及其权重。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此次绩效评价的指标体系，分为决策、过程、产出、效益四类一级指标。其中，决策类、过程类指标按照一般绩效评价指标体系中的共性指标进行设置；产出类指标结合项目特点从项目实际完成情况、完成及时情况、质量达标情况进行考察；效益类则从项目效益、可持续影响和社会公众或服务对象满意度方面进行考察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此次绩效评价的指标体系是采用《国有企业改革资金支出指标体系》。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评价结果包括综合评分和评级，一般分为四个级别：大于或等于90分为优（成效显著），80分（含）-90分为良（成效明显），65（含）-80分为中（成效一般），小于65分为差（成效较差）。</w:t>
      </w:r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bCs/>
          <w:color w:val="000000"/>
          <w:kern w:val="2"/>
          <w:sz w:val="32"/>
          <w:szCs w:val="32"/>
        </w:rPr>
      </w:pPr>
      <w:bookmarkStart w:id="27" w:name="_Toc4370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（三）评价实施程序</w:t>
      </w:r>
      <w:bookmarkEnd w:id="27"/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lastRenderedPageBreak/>
        <w:t>基于本项目涉密，未对该项目现场取证，仅仅通过电子邮件的方式沟通，取得有限的资料，本次评价是依据《框架协议》PDF文件及电子版自评报告的相关数据完成。</w:t>
      </w:r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0"/>
        <w:rPr>
          <w:rFonts w:ascii="黑体" w:eastAsia="黑体" w:hAnsi="黑体" w:cs="黑体"/>
          <w:bCs/>
          <w:color w:val="000000"/>
          <w:kern w:val="2"/>
          <w:sz w:val="32"/>
          <w:szCs w:val="32"/>
        </w:rPr>
      </w:pPr>
      <w:bookmarkStart w:id="28" w:name="_Toc500860842"/>
      <w:bookmarkStart w:id="29" w:name="_Toc401761512"/>
      <w:bookmarkStart w:id="30" w:name="_Toc19294"/>
      <w:bookmarkStart w:id="31" w:name="_Toc21577"/>
      <w:bookmarkStart w:id="32" w:name="_Toc24761"/>
      <w:bookmarkStart w:id="33" w:name="_Toc14941"/>
      <w:r>
        <w:rPr>
          <w:rFonts w:ascii="黑体" w:eastAsia="黑体" w:hAnsi="黑体" w:cs="黑体" w:hint="eastAsia"/>
          <w:bCs/>
          <w:color w:val="000000"/>
          <w:kern w:val="2"/>
          <w:sz w:val="32"/>
          <w:szCs w:val="32"/>
        </w:rPr>
        <w:t>三、指标分析与评价结论</w:t>
      </w:r>
      <w:bookmarkStart w:id="34" w:name="_Toc21533"/>
      <w:bookmarkStart w:id="35" w:name="_Toc17221"/>
      <w:bookmarkStart w:id="36" w:name="_Toc3504"/>
      <w:bookmarkStart w:id="37" w:name="_Toc500860843"/>
      <w:bookmarkEnd w:id="28"/>
      <w:bookmarkEnd w:id="29"/>
      <w:bookmarkEnd w:id="30"/>
      <w:bookmarkEnd w:id="31"/>
      <w:bookmarkEnd w:id="32"/>
      <w:bookmarkEnd w:id="33"/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bCs/>
          <w:color w:val="000000"/>
          <w:kern w:val="2"/>
          <w:sz w:val="32"/>
          <w:szCs w:val="32"/>
        </w:rPr>
      </w:pPr>
      <w:bookmarkStart w:id="38" w:name="_Toc23011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（一）绩效评价指标体系分析</w:t>
      </w:r>
      <w:bookmarkEnd w:id="34"/>
      <w:bookmarkEnd w:id="35"/>
      <w:bookmarkEnd w:id="36"/>
      <w:bookmarkEnd w:id="37"/>
      <w:bookmarkEnd w:id="38"/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1.项目决策情况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指标分值20分，得分14分。从项目立项、绩效目标和资金投入三方面进行评价。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（1）项目立项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本项目是依据《青岛市人民政府 中国中信集团有限公司关于青岛特钢重组合作的框架协议》设立的，</w:t>
      </w:r>
      <w:proofErr w:type="gramStart"/>
      <w:r>
        <w:rPr>
          <w:rFonts w:ascii="仿宋_GB2312" w:hint="eastAsia"/>
          <w:kern w:val="2"/>
          <w:sz w:val="32"/>
          <w:szCs w:val="32"/>
        </w:rPr>
        <w:t>故项目</w:t>
      </w:r>
      <w:proofErr w:type="gramEnd"/>
      <w:r>
        <w:rPr>
          <w:rFonts w:ascii="仿宋_GB2312" w:hint="eastAsia"/>
          <w:kern w:val="2"/>
          <w:sz w:val="32"/>
          <w:szCs w:val="32"/>
        </w:rPr>
        <w:t>立项依据充分；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本项目按程序提交决策研究，但是先关论证证据不足；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根据评分标准，项目立项权重分共6分，得分共4分。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（2）绩效目标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根据项目单位提报的自评报告，有一个</w:t>
      </w:r>
      <w:r>
        <w:rPr>
          <w:rFonts w:ascii="仿宋_GB2312" w:hint="eastAsia"/>
          <w:sz w:val="32"/>
          <w:szCs w:val="32"/>
        </w:rPr>
        <w:t>《青岛市财政专项资金绩效目标批复表（2020）》，但是目标无解释，细分情况较差</w:t>
      </w:r>
      <w:r>
        <w:rPr>
          <w:rFonts w:ascii="仿宋_GB2312" w:hint="eastAsia"/>
          <w:kern w:val="2"/>
          <w:sz w:val="32"/>
          <w:szCs w:val="32"/>
        </w:rPr>
        <w:t>、可衡量度一般；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根据评分标准，项目立项权重分共6分，得分共3分。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（3）资金投入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由于本项目有明确标准，资金额度大体与年度目标是否相适应；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lastRenderedPageBreak/>
        <w:t>项目资金分配有测算依据，预算安排内容与专项资金的设立目的及年度工作重点基本一致；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根据评分标准，项目立项权重分共8分，得分共7分。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2.项目过程情况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指标分值20分，得分18.8分。从资金管理和组织实施两方面进行评价。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（1）资金管理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预算资金使用全部到位，但是实际执行率仅占84%；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根据评分标准，项目立项权重分共8分，得分共6.8分。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（2）组织实施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由于青岛特钢具有完备的财务和业务管理制度。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根据评分标准，项目立项权重分共12分，得分共12分。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3.项目产出情况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指标分值25分，改项目特殊，完成企业重组奖励资金，且相关投入项目涉密，根据评分标准，得分21分。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 xml:space="preserve"> 4.项目效益情况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指标分值35分，得分33</w:t>
      </w:r>
      <w:bookmarkStart w:id="39" w:name="_GoBack"/>
      <w:bookmarkEnd w:id="39"/>
      <w:r>
        <w:rPr>
          <w:rFonts w:ascii="仿宋_GB2312" w:hint="eastAsia"/>
          <w:kern w:val="2"/>
          <w:sz w:val="32"/>
          <w:szCs w:val="32"/>
        </w:rPr>
        <w:t>分。从项目效益、可持续影响、服务对象</w:t>
      </w:r>
      <w:proofErr w:type="gramStart"/>
      <w:r>
        <w:rPr>
          <w:rFonts w:ascii="仿宋_GB2312" w:hint="eastAsia"/>
          <w:kern w:val="2"/>
          <w:sz w:val="32"/>
          <w:szCs w:val="32"/>
        </w:rPr>
        <w:t>满意度三方面</w:t>
      </w:r>
      <w:proofErr w:type="gramEnd"/>
      <w:r>
        <w:rPr>
          <w:rFonts w:ascii="仿宋_GB2312" w:hint="eastAsia"/>
          <w:kern w:val="2"/>
          <w:sz w:val="32"/>
          <w:szCs w:val="32"/>
        </w:rPr>
        <w:t>进行评价。具体如下：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（1）经济效益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依据自评价报告，青岛特钢企业实现利税3000万元，，该企业2020年度利税应该是达标的，故该项目经济效益是合格的；由于投入研发项目，因涉及商业秘密，企业反映超过2个；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lastRenderedPageBreak/>
        <w:t>根据评分标准，项目立项权重分共25分，得分共25分。</w:t>
      </w:r>
    </w:p>
    <w:p w:rsidR="00CF7BFB" w:rsidRDefault="006E0B8E">
      <w:pPr>
        <w:widowControl w:val="0"/>
        <w:numPr>
          <w:ilvl w:val="0"/>
          <w:numId w:val="1"/>
        </w:numPr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可持续影响</w:t>
      </w:r>
    </w:p>
    <w:p w:rsidR="00CF7BFB" w:rsidRDefault="006E0B8E">
      <w:pPr>
        <w:widowControl w:val="0"/>
        <w:spacing w:after="0" w:line="560" w:lineRule="exact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 xml:space="preserve">    由于项目涉密，国有企业改革管理机制是否健全，从已有电子版材料中不从得知，故该项得分为0。</w:t>
      </w:r>
    </w:p>
    <w:p w:rsidR="00CF7BFB" w:rsidRDefault="006E0B8E">
      <w:pPr>
        <w:widowControl w:val="0"/>
        <w:numPr>
          <w:ilvl w:val="0"/>
          <w:numId w:val="1"/>
        </w:numPr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满意度</w:t>
      </w:r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由于该资金应用于特定企业，</w:t>
      </w:r>
      <w:bookmarkStart w:id="40" w:name="_Toc18102"/>
      <w:bookmarkStart w:id="41" w:name="_Toc500860844"/>
      <w:bookmarkStart w:id="42" w:name="_Toc21303"/>
      <w:bookmarkStart w:id="43" w:name="_Toc25323"/>
      <w:r>
        <w:rPr>
          <w:rFonts w:ascii="仿宋_GB2312" w:hint="eastAsia"/>
          <w:kern w:val="2"/>
          <w:sz w:val="32"/>
          <w:szCs w:val="32"/>
        </w:rPr>
        <w:t>故该项得分为8分。</w:t>
      </w:r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bCs/>
          <w:color w:val="000000"/>
          <w:kern w:val="2"/>
          <w:sz w:val="32"/>
          <w:szCs w:val="32"/>
        </w:rPr>
      </w:pPr>
      <w:bookmarkStart w:id="44" w:name="_Toc15747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（二）评价结论</w:t>
      </w:r>
      <w:bookmarkEnd w:id="44"/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根据评价指标体系和评价标准，从决策、过程、产出和效益四个方面分四级指标评价绩效目标的实现程度，</w:t>
      </w:r>
      <w:proofErr w:type="gramStart"/>
      <w:r>
        <w:rPr>
          <w:rFonts w:ascii="仿宋_GB2312" w:hint="eastAsia"/>
          <w:kern w:val="2"/>
          <w:sz w:val="32"/>
          <w:szCs w:val="32"/>
        </w:rPr>
        <w:t>明细见</w:t>
      </w:r>
      <w:proofErr w:type="gramEnd"/>
      <w:r>
        <w:rPr>
          <w:rFonts w:ascii="仿宋_GB2312" w:hint="eastAsia"/>
          <w:kern w:val="2"/>
          <w:sz w:val="32"/>
          <w:szCs w:val="32"/>
        </w:rPr>
        <w:t>下表：</w:t>
      </w:r>
    </w:p>
    <w:tbl>
      <w:tblPr>
        <w:tblW w:w="8840" w:type="dxa"/>
        <w:tblCellMar>
          <w:left w:w="0" w:type="dxa"/>
          <w:right w:w="0" w:type="dxa"/>
        </w:tblCellMar>
        <w:tblLook w:val="04A0"/>
      </w:tblPr>
      <w:tblGrid>
        <w:gridCol w:w="1055"/>
        <w:gridCol w:w="1955"/>
        <w:gridCol w:w="2039"/>
        <w:gridCol w:w="2303"/>
        <w:gridCol w:w="744"/>
        <w:gridCol w:w="744"/>
      </w:tblGrid>
      <w:tr w:rsidR="00CF7BFB">
        <w:trPr>
          <w:trHeight w:val="56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一级</w:t>
            </w:r>
            <w:r>
              <w:rPr>
                <w:rFonts w:ascii="仿宋_GB2312" w:hAnsi="Tahoma" w:cs="仿宋_GB2312"/>
                <w:b/>
                <w:color w:val="000000"/>
              </w:rPr>
              <w:br/>
              <w:t>指标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二级指标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三级指标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四级指标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权重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得分</w:t>
            </w:r>
          </w:p>
        </w:tc>
      </w:tr>
      <w:tr w:rsidR="00CF7BFB">
        <w:trPr>
          <w:trHeight w:val="280"/>
        </w:trPr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决策</w:t>
            </w:r>
            <w:r>
              <w:rPr>
                <w:rFonts w:ascii="仿宋_GB2312" w:hAnsi="Tahoma" w:cs="仿宋_GB2312"/>
                <w:color w:val="000000"/>
              </w:rPr>
              <w:br/>
              <w:t>（20分）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项目立项（6分）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立项依据充分性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3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立项程序规范性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绩效目标（6分）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绩效目标合理性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1.5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绩效指标明确性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1.5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资金投入（8分）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预算编制科学性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3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资金分配合理性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4</w:t>
            </w:r>
          </w:p>
        </w:tc>
      </w:tr>
      <w:tr w:rsidR="00CF7BFB">
        <w:trPr>
          <w:trHeight w:val="280"/>
        </w:trPr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过程</w:t>
            </w:r>
            <w:r>
              <w:rPr>
                <w:rFonts w:ascii="仿宋_GB2312" w:hAnsi="Tahoma" w:cs="仿宋_GB2312"/>
                <w:color w:val="000000"/>
              </w:rPr>
              <w:br/>
              <w:t>（20分）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资金管理（8分）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资金到位率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2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预算执行率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0.8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资金使用合</w:t>
            </w:r>
            <w:proofErr w:type="gramStart"/>
            <w:r>
              <w:rPr>
                <w:rFonts w:ascii="仿宋_GB2312" w:hAnsi="Tahoma" w:cs="仿宋_GB2312"/>
                <w:color w:val="000000"/>
              </w:rPr>
              <w:t>规</w:t>
            </w:r>
            <w:proofErr w:type="gramEnd"/>
            <w:r>
              <w:rPr>
                <w:rFonts w:ascii="仿宋_GB2312" w:hAnsi="Tahoma" w:cs="仿宋_GB2312"/>
                <w:color w:val="000000"/>
              </w:rPr>
              <w:t>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4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 xml:space="preserve">组织实施（12分）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 xml:space="preserve"> 管理制度健全性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6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制度执行有效性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6</w:t>
            </w:r>
          </w:p>
        </w:tc>
      </w:tr>
      <w:tr w:rsidR="00CF7BFB">
        <w:trPr>
          <w:trHeight w:val="280"/>
        </w:trPr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产出</w:t>
            </w:r>
            <w:r>
              <w:rPr>
                <w:rFonts w:ascii="仿宋_GB2312" w:hAnsi="Tahoma" w:cs="仿宋_GB2312"/>
                <w:color w:val="000000"/>
              </w:rPr>
              <w:br/>
              <w:t>(25分)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产出数量（10分）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实际完成数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10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产出质量（5分）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补贴准确率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5</w:t>
            </w:r>
          </w:p>
        </w:tc>
      </w:tr>
      <w:tr w:rsidR="00CF7BFB">
        <w:trPr>
          <w:trHeight w:val="28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产出时效（10分）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完成及时率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6</w:t>
            </w:r>
          </w:p>
        </w:tc>
      </w:tr>
      <w:tr w:rsidR="00CF7BFB">
        <w:trPr>
          <w:trHeight w:val="340"/>
        </w:trPr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效益</w:t>
            </w:r>
            <w:r>
              <w:rPr>
                <w:rFonts w:ascii="仿宋_GB2312" w:hAnsi="Tahoma" w:cs="仿宋_GB2312"/>
                <w:color w:val="000000"/>
              </w:rPr>
              <w:br/>
              <w:t>（35分）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项目效益（25分）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经济效益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青岛特钢企业实现利税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15</w:t>
            </w:r>
          </w:p>
        </w:tc>
      </w:tr>
      <w:tr w:rsidR="00CF7BFB">
        <w:trPr>
          <w:trHeight w:val="34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投入研发项目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10</w:t>
            </w:r>
          </w:p>
        </w:tc>
      </w:tr>
      <w:tr w:rsidR="00CF7BFB">
        <w:trPr>
          <w:trHeight w:val="5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可持续影响（2分）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项目发展机制可持续性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补贴机制健全性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0</w:t>
            </w:r>
          </w:p>
        </w:tc>
      </w:tr>
      <w:tr w:rsidR="00CF7BFB">
        <w:trPr>
          <w:trHeight w:val="560"/>
        </w:trPr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color w:val="00000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满意度（8分）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服务对象</w:t>
            </w:r>
            <w:r>
              <w:rPr>
                <w:rFonts w:ascii="仿宋_GB2312" w:hAnsi="Tahoma" w:cs="仿宋_GB2312"/>
                <w:color w:val="000000"/>
              </w:rPr>
              <w:br/>
              <w:t>满意度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企业满意度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color w:val="000000"/>
              </w:rPr>
            </w:pPr>
            <w:r>
              <w:rPr>
                <w:rFonts w:ascii="仿宋_GB2312" w:hAnsi="Tahoma" w:cs="仿宋_GB2312"/>
                <w:color w:val="000000"/>
              </w:rPr>
              <w:t>8</w:t>
            </w:r>
          </w:p>
        </w:tc>
      </w:tr>
      <w:tr w:rsidR="00CF7BFB">
        <w:trPr>
          <w:trHeight w:val="280"/>
        </w:trPr>
        <w:tc>
          <w:tcPr>
            <w:tcW w:w="7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CF7BFB">
            <w:pPr>
              <w:jc w:val="center"/>
              <w:rPr>
                <w:rFonts w:ascii="仿宋_GB2312" w:hAnsi="Tahoma" w:cs="仿宋_GB2312"/>
                <w:b/>
                <w:color w:val="00000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100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F7BFB" w:rsidRDefault="006E0B8E">
            <w:pPr>
              <w:jc w:val="center"/>
              <w:textAlignment w:val="center"/>
              <w:rPr>
                <w:rFonts w:ascii="仿宋_GB2312" w:hAnsi="Tahoma" w:cs="仿宋_GB2312"/>
                <w:b/>
                <w:color w:val="000000"/>
              </w:rPr>
            </w:pPr>
            <w:r>
              <w:rPr>
                <w:rFonts w:ascii="仿宋_GB2312" w:hAnsi="Tahoma" w:cs="仿宋_GB2312"/>
                <w:b/>
                <w:color w:val="000000"/>
              </w:rPr>
              <w:t>86.8</w:t>
            </w:r>
          </w:p>
        </w:tc>
      </w:tr>
    </w:tbl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评价结论：根据国有企业改革资金支出指标体系打分结果，该项目综合得分为86.8分，总体评价等级为“良”。</w:t>
      </w:r>
      <w:bookmarkStart w:id="45" w:name="_Toc401761516"/>
      <w:bookmarkStart w:id="46" w:name="_Toc22152"/>
      <w:bookmarkStart w:id="47" w:name="_Toc18098"/>
      <w:bookmarkStart w:id="48" w:name="_Toc359824091"/>
      <w:bookmarkStart w:id="49" w:name="_Toc500860845"/>
      <w:bookmarkStart w:id="50" w:name="_Toc24266"/>
      <w:bookmarkEnd w:id="40"/>
      <w:bookmarkEnd w:id="41"/>
      <w:bookmarkEnd w:id="42"/>
      <w:bookmarkEnd w:id="43"/>
    </w:p>
    <w:p w:rsidR="00CF7BFB" w:rsidRDefault="006E0B8E">
      <w:pPr>
        <w:autoSpaceDE w:val="0"/>
        <w:autoSpaceDN w:val="0"/>
        <w:spacing w:after="0" w:line="560" w:lineRule="exact"/>
        <w:ind w:firstLineChars="200" w:firstLine="640"/>
        <w:textAlignment w:val="bottom"/>
        <w:outlineLvl w:val="1"/>
        <w:rPr>
          <w:rFonts w:ascii="楷体_GB2312" w:eastAsia="楷体_GB2312" w:hAnsi="楷体_GB2312" w:cs="楷体_GB2312"/>
          <w:bCs/>
          <w:color w:val="000000"/>
          <w:kern w:val="2"/>
          <w:sz w:val="32"/>
          <w:szCs w:val="32"/>
        </w:rPr>
      </w:pPr>
      <w:bookmarkStart w:id="51" w:name="_Toc20166"/>
      <w:r>
        <w:rPr>
          <w:rFonts w:ascii="楷体_GB2312" w:eastAsia="楷体_GB2312" w:hAnsi="楷体_GB2312" w:cs="楷体_GB2312" w:hint="eastAsia"/>
          <w:bCs/>
          <w:color w:val="000000"/>
          <w:kern w:val="2"/>
          <w:sz w:val="32"/>
          <w:szCs w:val="32"/>
        </w:rPr>
        <w:t>（三）主要问题</w:t>
      </w:r>
      <w:bookmarkEnd w:id="51"/>
    </w:p>
    <w:p w:rsidR="00CF7BFB" w:rsidRDefault="006E0B8E">
      <w:pPr>
        <w:widowControl w:val="0"/>
        <w:spacing w:after="0" w:line="560" w:lineRule="exact"/>
        <w:ind w:firstLineChars="200" w:firstLine="640"/>
        <w:jc w:val="both"/>
        <w:rPr>
          <w:rFonts w:ascii="仿宋_GB2312"/>
          <w:kern w:val="2"/>
          <w:sz w:val="32"/>
          <w:szCs w:val="32"/>
        </w:rPr>
      </w:pPr>
      <w:r>
        <w:rPr>
          <w:rFonts w:ascii="仿宋_GB2312" w:hint="eastAsia"/>
          <w:kern w:val="2"/>
          <w:sz w:val="32"/>
          <w:szCs w:val="32"/>
        </w:rPr>
        <w:t>无。</w:t>
      </w:r>
      <w:bookmarkEnd w:id="45"/>
      <w:bookmarkEnd w:id="46"/>
      <w:bookmarkEnd w:id="47"/>
      <w:bookmarkEnd w:id="48"/>
      <w:bookmarkEnd w:id="49"/>
      <w:bookmarkEnd w:id="50"/>
    </w:p>
    <w:sectPr w:rsidR="00CF7BFB" w:rsidSect="00CF7BFB">
      <w:footerReference w:type="default" r:id="rId10"/>
      <w:pgSz w:w="11906" w:h="16838"/>
      <w:pgMar w:top="2098" w:right="1588" w:bottom="2098" w:left="1588" w:header="851" w:footer="992" w:gutter="0"/>
      <w:pgNumType w:start="1"/>
      <w:cols w:space="720"/>
      <w:docGrid w:type="lines" w:linePitch="3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A6B" w:rsidRDefault="007F7A6B">
      <w:pPr>
        <w:spacing w:line="240" w:lineRule="auto"/>
      </w:pPr>
      <w:r>
        <w:separator/>
      </w:r>
    </w:p>
  </w:endnote>
  <w:endnote w:type="continuationSeparator" w:id="0">
    <w:p w:rsidR="007F7A6B" w:rsidRDefault="007F7A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简黑体">
    <w:altName w:val="黑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BFB" w:rsidRDefault="00CF7BFB">
    <w:pPr>
      <w:pStyle w:val="a3"/>
      <w:tabs>
        <w:tab w:val="clear" w:pos="4153"/>
        <w:tab w:val="center" w:pos="436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BFB" w:rsidRDefault="00CF7BFB">
    <w:pPr>
      <w:pStyle w:val="a3"/>
      <w:tabs>
        <w:tab w:val="clear" w:pos="4153"/>
        <w:tab w:val="center" w:pos="436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BFB" w:rsidRDefault="00A9051C">
    <w:pPr>
      <w:pStyle w:val="a3"/>
      <w:tabs>
        <w:tab w:val="clear" w:pos="4153"/>
        <w:tab w:val="center" w:pos="436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vvpskBAACZAwAADgAAAGRycy9lMm9Eb2MueG1srVPNjtMwEL4j8Q6W&#10;79RpV0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6u++myQEAAJkDAAAOAAAAAAAAAAEAIAAAAB4BAABkcnMvZTJvRG9j&#10;LnhtbFBLBQYAAAAABgAGAFkBAABZBQAAAAA=&#10;" filled="f" stroked="f">
          <v:textbox style="mso-fit-shape-to-text:t" inset="0,0,0,0">
            <w:txbxContent>
              <w:p w:rsidR="00CF7BFB" w:rsidRDefault="00A9051C">
                <w:pPr>
                  <w:pStyle w:val="a3"/>
                  <w:rPr>
                    <w:rFonts w:eastAsia="仿宋_GB2312"/>
                  </w:rPr>
                </w:pPr>
                <w:r>
                  <w:fldChar w:fldCharType="begin"/>
                </w:r>
                <w:r w:rsidR="006E0B8E">
                  <w:instrText xml:space="preserve"> PAGE  \* MERGEFORMAT </w:instrText>
                </w:r>
                <w:r>
                  <w:fldChar w:fldCharType="separate"/>
                </w:r>
                <w:r w:rsidR="0067113D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A6B" w:rsidRDefault="007F7A6B">
      <w:pPr>
        <w:spacing w:after="0" w:line="240" w:lineRule="auto"/>
      </w:pPr>
      <w:r>
        <w:separator/>
      </w:r>
    </w:p>
  </w:footnote>
  <w:footnote w:type="continuationSeparator" w:id="0">
    <w:p w:rsidR="007F7A6B" w:rsidRDefault="007F7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36CD"/>
    <w:multiLevelType w:val="singleLevel"/>
    <w:tmpl w:val="0BA036CD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7F203CA"/>
    <w:rsid w:val="0067113D"/>
    <w:rsid w:val="006E0B8E"/>
    <w:rsid w:val="007F7A6B"/>
    <w:rsid w:val="00A9051C"/>
    <w:rsid w:val="00CF7BFB"/>
    <w:rsid w:val="00D8271C"/>
    <w:rsid w:val="07817562"/>
    <w:rsid w:val="07F203CA"/>
    <w:rsid w:val="1BAC20C7"/>
    <w:rsid w:val="1C8B1500"/>
    <w:rsid w:val="1E892B01"/>
    <w:rsid w:val="2C102FD6"/>
    <w:rsid w:val="4F58261D"/>
    <w:rsid w:val="511F34F2"/>
    <w:rsid w:val="5CB261BF"/>
    <w:rsid w:val="66C46E6F"/>
    <w:rsid w:val="6825509D"/>
    <w:rsid w:val="7952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7BFB"/>
    <w:pPr>
      <w:spacing w:after="120" w:line="276" w:lineRule="auto"/>
    </w:pPr>
    <w:rPr>
      <w:rFonts w:eastAsia="仿宋_GB2312"/>
      <w:sz w:val="22"/>
      <w:szCs w:val="22"/>
    </w:rPr>
  </w:style>
  <w:style w:type="paragraph" w:styleId="1">
    <w:name w:val="heading 1"/>
    <w:basedOn w:val="a"/>
    <w:next w:val="a"/>
    <w:uiPriority w:val="9"/>
    <w:qFormat/>
    <w:rsid w:val="00CF7BFB"/>
    <w:pPr>
      <w:keepNext/>
      <w:keepLines/>
      <w:spacing w:before="120" w:after="60" w:line="500" w:lineRule="exact"/>
      <w:ind w:firstLineChars="200" w:firstLine="800"/>
      <w:outlineLvl w:val="0"/>
    </w:pPr>
    <w:rPr>
      <w:b/>
      <w:bCs/>
      <w:color w:val="000000"/>
      <w:sz w:val="32"/>
      <w:szCs w:val="28"/>
    </w:rPr>
  </w:style>
  <w:style w:type="paragraph" w:styleId="3">
    <w:name w:val="heading 3"/>
    <w:basedOn w:val="a"/>
    <w:next w:val="a"/>
    <w:uiPriority w:val="9"/>
    <w:unhideWhenUsed/>
    <w:qFormat/>
    <w:rsid w:val="00CF7BFB"/>
    <w:pPr>
      <w:keepNext/>
      <w:keepLines/>
      <w:spacing w:before="120" w:after="60" w:line="500" w:lineRule="exact"/>
      <w:ind w:firstLineChars="200" w:firstLine="800"/>
      <w:outlineLvl w:val="2"/>
    </w:pPr>
    <w:rPr>
      <w:b/>
      <w:bCs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CF7BFB"/>
    <w:pPr>
      <w:tabs>
        <w:tab w:val="center" w:pos="4153"/>
        <w:tab w:val="right" w:pos="8306"/>
      </w:tabs>
      <w:snapToGrid w:val="0"/>
    </w:pPr>
    <w:rPr>
      <w:rFonts w:eastAsia="宋体"/>
      <w:sz w:val="18"/>
      <w:szCs w:val="20"/>
    </w:rPr>
  </w:style>
  <w:style w:type="paragraph" w:styleId="a4">
    <w:name w:val="header"/>
    <w:basedOn w:val="a"/>
    <w:qFormat/>
    <w:rsid w:val="00CF7BF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0">
    <w:name w:val="toc 1"/>
    <w:basedOn w:val="a"/>
    <w:next w:val="a"/>
    <w:uiPriority w:val="39"/>
    <w:qFormat/>
    <w:rsid w:val="00CF7BFB"/>
    <w:pPr>
      <w:tabs>
        <w:tab w:val="right" w:leader="dot" w:pos="8296"/>
      </w:tabs>
      <w:spacing w:line="500" w:lineRule="exact"/>
    </w:pPr>
    <w:rPr>
      <w:b/>
      <w:sz w:val="30"/>
      <w:szCs w:val="30"/>
    </w:rPr>
  </w:style>
  <w:style w:type="paragraph" w:styleId="2">
    <w:name w:val="toc 2"/>
    <w:basedOn w:val="a"/>
    <w:next w:val="a"/>
    <w:qFormat/>
    <w:rsid w:val="00CF7BFB"/>
    <w:pPr>
      <w:ind w:leftChars="200" w:left="420"/>
    </w:pPr>
  </w:style>
  <w:style w:type="paragraph" w:styleId="a5">
    <w:name w:val="Normal (Web)"/>
    <w:basedOn w:val="a"/>
    <w:qFormat/>
    <w:rsid w:val="00CF7BFB"/>
    <w:pPr>
      <w:spacing w:beforeAutospacing="1" w:after="0" w:afterAutospacing="1"/>
    </w:pPr>
    <w:rPr>
      <w:sz w:val="24"/>
    </w:rPr>
  </w:style>
  <w:style w:type="paragraph" w:customStyle="1" w:styleId="a6">
    <w:name w:val="闻政正文"/>
    <w:basedOn w:val="a"/>
    <w:qFormat/>
    <w:rsid w:val="00CF7BFB"/>
    <w:pPr>
      <w:spacing w:after="0" w:line="500" w:lineRule="exact"/>
      <w:ind w:firstLineChars="200" w:firstLine="800"/>
      <w:jc w:val="both"/>
    </w:pPr>
    <w:rPr>
      <w:sz w:val="28"/>
      <w:szCs w:val="20"/>
    </w:rPr>
  </w:style>
  <w:style w:type="paragraph" w:customStyle="1" w:styleId="5">
    <w:name w:val="闻政标题5"/>
    <w:basedOn w:val="a"/>
    <w:uiPriority w:val="99"/>
    <w:qFormat/>
    <w:rsid w:val="00CF7BFB"/>
    <w:pPr>
      <w:spacing w:before="120" w:after="60" w:line="500" w:lineRule="exact"/>
      <w:ind w:firstLineChars="200" w:firstLine="200"/>
    </w:pPr>
    <w:rPr>
      <w:b/>
      <w:sz w:val="28"/>
      <w:szCs w:val="20"/>
    </w:rPr>
  </w:style>
  <w:style w:type="paragraph" w:customStyle="1" w:styleId="a7">
    <w:name w:val="报告正文"/>
    <w:basedOn w:val="a"/>
    <w:next w:val="a"/>
    <w:qFormat/>
    <w:rsid w:val="00CF7BFB"/>
    <w:pPr>
      <w:widowControl w:val="0"/>
      <w:spacing w:line="560" w:lineRule="exact"/>
      <w:ind w:firstLineChars="200" w:firstLine="200"/>
      <w:jc w:val="both"/>
    </w:pPr>
    <w:rPr>
      <w:rFonts w:eastAsia="仿宋"/>
      <w:sz w:val="28"/>
      <w:szCs w:val="28"/>
    </w:rPr>
  </w:style>
  <w:style w:type="character" w:customStyle="1" w:styleId="NormalCharacter">
    <w:name w:val="NormalCharacter"/>
    <w:qFormat/>
    <w:rsid w:val="00CF7BFB"/>
  </w:style>
  <w:style w:type="paragraph" w:customStyle="1" w:styleId="a8">
    <w:name w:val="闻政页码"/>
    <w:uiPriority w:val="6"/>
    <w:qFormat/>
    <w:rsid w:val="00CF7BFB"/>
    <w:pPr>
      <w:jc w:val="center"/>
    </w:pPr>
    <w:rPr>
      <w:rFonts w:eastAsia="Times New Roman"/>
      <w:sz w:val="21"/>
      <w:szCs w:val="28"/>
    </w:rPr>
  </w:style>
  <w:style w:type="paragraph" w:customStyle="1" w:styleId="WPSOffice1">
    <w:name w:val="WPSOffice手动目录 1"/>
    <w:qFormat/>
    <w:rsid w:val="00CF7BFB"/>
  </w:style>
  <w:style w:type="paragraph" w:customStyle="1" w:styleId="WPSOffice2">
    <w:name w:val="WPSOffice手动目录 2"/>
    <w:qFormat/>
    <w:rsid w:val="00CF7BFB"/>
    <w:pPr>
      <w:ind w:leftChars="200" w:left="200"/>
    </w:pPr>
  </w:style>
  <w:style w:type="paragraph" w:customStyle="1" w:styleId="WPSOffice3">
    <w:name w:val="WPSOffice手动目录 3"/>
    <w:qFormat/>
    <w:rsid w:val="00CF7BFB"/>
    <w:pPr>
      <w:ind w:leftChars="400"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540</Words>
  <Characters>3082</Characters>
  <Application>Microsoft Office Word</Application>
  <DocSecurity>0</DocSecurity>
  <Lines>25</Lines>
  <Paragraphs>7</Paragraphs>
  <ScaleCrop>false</ScaleCrop>
  <Company>Microsoft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jsh</dc:creator>
  <cp:lastModifiedBy>user</cp:lastModifiedBy>
  <cp:revision>2</cp:revision>
  <dcterms:created xsi:type="dcterms:W3CDTF">2021-09-17T06:36:00Z</dcterms:created>
  <dcterms:modified xsi:type="dcterms:W3CDTF">2021-09-17T06:36:00Z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5D5B9E0A3AEE49E4B7799F13E4DB6F14</vt:lpwstr>
  </property>
</Properties>
</file>