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青岛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海洋发展局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3-4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月政府采购意向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center"/>
        <w:textAlignment w:val="auto"/>
        <w:rPr>
          <w:rFonts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为便于供应商及时了解政府采购信息，根据《财政部关于开展政府采购意向公开工作的通知》（财库〔2020〕10号）等有关规定，现将青岛市海洋发展局 2022年 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3-4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月采购意向公开如下：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26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1134"/>
        <w:gridCol w:w="3966"/>
        <w:gridCol w:w="930"/>
        <w:gridCol w:w="1305"/>
        <w:gridCol w:w="11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采购项目名称</w:t>
            </w:r>
          </w:p>
        </w:tc>
        <w:tc>
          <w:tcPr>
            <w:tcW w:w="39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采购需求概况</w:t>
            </w:r>
          </w:p>
        </w:tc>
        <w:tc>
          <w:tcPr>
            <w:tcW w:w="9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预算金额</w:t>
            </w:r>
          </w:p>
          <w:p>
            <w:pPr>
              <w:pStyle w:val="6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3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预计采购时间（填写到月）</w:t>
            </w:r>
          </w:p>
        </w:tc>
        <w:tc>
          <w:tcPr>
            <w:tcW w:w="11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青岛市2022年度海洋开发利用保护综合动态监管技术服务项目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需提供卫星遥感影像、无人机航拍、现场监视监测等多种技术服务手段，全面协助我市加强海域、无居民海岛、海岸线等方面的监管。一是提供对用海、用岛疑点疑区技术服务，按月提供《用海、用岛疑点疑区监管情况报告》。二是严格监控全市区域内不同类型海岸线变化情况，以年度为单位动态统计全市不同类型海岸线长度，编制《自然岸线变化情况评估报告》。三是对已审批的用海、用岛项目的监管提供技术服务，按年度形成《用海、用岛项目监管技术报告》。四是提供围填海历史遗留问题处理监管技术服务，根据项目处置情况按季度编制《围填海历史遗留问题处理情况报告》。五是提供中央财政支持的海洋生态保护修复项目监管技术服务，协助青岛市按海洋生态修复项目类别分别形成《季度监督工作报告》。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2022年3-4月</w:t>
            </w: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2022年度青岛市胶州湾保护监测评估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需采取技术手段对青岛胶州湾保护资源进行监测评估，对主要国家海洋公园的保护对象进行调查监测并评估，对胶州湾底部淤积情况进行调查与评估，形成《胶州湾2022年度调查、监测与评价报告》《胶州湾底部部分区域淤积情况调查与评估报告》《胶州湾保护白皮书》，其中包括海洋生物多样性分析、滨海湿地、湿地鸟类、湿地植被、海洋生态灾害及开发利用、胶州湾底部部分区域淤积情况等的现状和变化趋势等内容。更新智慧胶州湾综合管理平台数据集，主要对海洋环境智慧分析评价子系统、胶州湾影像数据及海洋功能区管控信息子系统数据进行更新。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2022年3-4月</w:t>
            </w: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青岛市第一次全国水产养殖种质资源普查项目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水产养殖种质资源系统调查:根据我市实际情况，从系统调查暂定品种中选择至少10个大宗及地方特色水产养殖品种开展基本信息、生物学特征、品质、遗传多样性等指标调查，具体要求参照《第一次全国水产养殖种质资源普查操作手册》，形成《青岛市第一次全国水产养殖种质资源普查系统调查总结分析报告》。其中，对大宗养殖品种至少选取4个调查点，对特色养殖品种选取1-3个调查点，对刺参额外增加2个调查点，要求调查点总数不低于38处，且每个调查点采取样品数量不少于60个。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95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2022年3-4月</w:t>
            </w: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海洋生态预警监测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青岛市海洋生态预警监测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进行采购招标，主要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作用是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青岛市管辖海域开展近海生态趋势性监测，开展河口典型生态系统现状调查，开展海洋生态灾害与生态问题预警监测，开展海洋蓝碳监测评估，掌握青岛市海洋生态基础状况及趋势性变化，查找存在的突出生态问题以及导致问题的主要原因，为海洋生态安全预警、国土空间规划和海洋生态保护修复提供基础背景数据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采购要求是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承担机构通过检验检测机构资质认定，认定能力涵盖常规海洋生态预警监测要素，具备海洋生态灾害预警能力，可以为海洋生态预警监测工作提供及时有效、长期稳定的技术支撑。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74.35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2022年青岛市海洋经济运行监测与评估平台运维项目</w:t>
            </w:r>
          </w:p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240" w:lineRule="auto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根据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海洋经济运行监测与评估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工作任务和要求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为确保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青岛市海洋经济运行监测与评估智慧化平台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正常运行，采购包括每月不少于600家的涉海企业统计报表信息采集加工服务、系统故障响应及日常巡检、平台迁移至政务云过程中所需系统优化及为适应实际工作需求新增、升级、优化平台功能及界面等所需设计调整等第三方运维服务。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2022年3-4月</w:t>
            </w: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青岛市海洋经济活动单位重点就业领域专项调查项目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eastAsia="zh-CN"/>
              </w:rPr>
              <w:t>根据海洋经济活动单位就业人员测算国家试点工作有关要求，为进一步掌握青岛市海洋经济活动单位重点就业领域基本情况，对全市涉海高校院所、企业开展摸底调查，及时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掌握青岛市海洋经济活动单位重点就业领域信息，了解全市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eastAsia="zh-CN"/>
              </w:rPr>
              <w:t>海洋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紧缺职业需求情况，开展课题研究，探索建立青岛市海洋经济活动单位重点就业领域人员信息库，研究撰写《青岛市海洋经济活动单位重点就业领域专项调查研究报告》和《青岛市海洋经济活动单位重点就业领域急需紧缺职业目录》，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eastAsia="zh-CN"/>
              </w:rPr>
              <w:t>提升我市对海洋经济从业人员的服务效率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</w:rPr>
              <w:t>。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70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2022年3-4月</w:t>
            </w: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渔船北斗3代终端配备项目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为提高渔船安全监管能力和渔业监管水平，结合北斗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代全球卫星导航系统的全面建成，采购渔船北斗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代终端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1249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套，包含终端设备、配套软件平台、安装、调试和售后服务。要求具备北斗三代短报文通信能力、报警、远程升级、船舶管理、数据查询与统计等功能。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1561.25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2022年4月</w:t>
            </w: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widowControl/>
              <w:spacing w:beforeAutospacing="0" w:afterAutospacing="0" w:line="42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市级统一采购，相关区（市）根据采购结果组织实施。</w:t>
            </w:r>
          </w:p>
        </w:tc>
      </w:tr>
    </w:tbl>
    <w:p>
      <w:pPr>
        <w:pStyle w:val="6"/>
        <w:widowControl/>
        <w:spacing w:beforeAutospacing="0" w:afterAutospacing="0" w:line="560" w:lineRule="exact"/>
        <w:ind w:firstLine="420"/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6"/>
        <w:widowControl/>
        <w:spacing w:beforeAutospacing="0" w:afterAutospacing="0" w:line="560" w:lineRule="exact"/>
        <w:ind w:firstLine="420"/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本次公开的采购意向是本单位政府采购工作的初步安排，具体采购项目情况以相关采购公告和采购文件为准。</w:t>
      </w:r>
    </w:p>
    <w:p>
      <w:pPr>
        <w:pStyle w:val="6"/>
        <w:widowControl/>
        <w:spacing w:beforeAutospacing="0" w:afterAutospacing="0" w:line="560" w:lineRule="exact"/>
        <w:ind w:firstLine="420"/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6"/>
        <w:widowControl/>
        <w:spacing w:beforeAutospacing="0" w:afterAutospacing="0" w:line="420" w:lineRule="atLeast"/>
        <w:jc w:val="both"/>
        <w:rPr>
          <w:rFonts w:hint="eastAsia" w:ascii="微软雅黑" w:hAnsi="微软雅黑" w:eastAsia="微软雅黑" w:cs="微软雅黑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pStyle w:val="6"/>
        <w:widowControl/>
        <w:spacing w:beforeAutospacing="0" w:afterAutospacing="0" w:line="420" w:lineRule="atLeast"/>
        <w:ind w:firstLine="5130" w:firstLineChars="1900"/>
        <w:jc w:val="both"/>
        <w:rPr>
          <w:rFonts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青岛市海洋发展局 </w:t>
      </w:r>
    </w:p>
    <w:p>
      <w:pPr>
        <w:pStyle w:val="6"/>
        <w:widowControl/>
        <w:spacing w:beforeAutospacing="0" w:afterAutospacing="0" w:line="420" w:lineRule="atLeast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333333"/>
          <w:sz w:val="32"/>
          <w:szCs w:val="32"/>
        </w:rPr>
        <w:t xml:space="preserve">                                 2022年2月2</w:t>
      </w:r>
      <w:r>
        <w:rPr>
          <w:rFonts w:hint="eastAsia" w:ascii="仿宋_GB2312" w:hAnsi="仿宋_GB2312" w:cs="仿宋_GB2312"/>
          <w:color w:val="333333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cs="仿宋_GB2312"/>
          <w:color w:val="333333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C7"/>
    <w:rsid w:val="00010302"/>
    <w:rsid w:val="00084606"/>
    <w:rsid w:val="001042E2"/>
    <w:rsid w:val="00106119"/>
    <w:rsid w:val="00135205"/>
    <w:rsid w:val="00135DEB"/>
    <w:rsid w:val="001638EF"/>
    <w:rsid w:val="001917BC"/>
    <w:rsid w:val="001C282C"/>
    <w:rsid w:val="001D5A44"/>
    <w:rsid w:val="00222821"/>
    <w:rsid w:val="00222A1A"/>
    <w:rsid w:val="002246F1"/>
    <w:rsid w:val="0023154D"/>
    <w:rsid w:val="002674C0"/>
    <w:rsid w:val="002A7E17"/>
    <w:rsid w:val="002B5584"/>
    <w:rsid w:val="00325252"/>
    <w:rsid w:val="003334F8"/>
    <w:rsid w:val="003C410A"/>
    <w:rsid w:val="003D5B0B"/>
    <w:rsid w:val="003D6C82"/>
    <w:rsid w:val="003D7068"/>
    <w:rsid w:val="004064A0"/>
    <w:rsid w:val="00413715"/>
    <w:rsid w:val="00421AAA"/>
    <w:rsid w:val="00427D6B"/>
    <w:rsid w:val="004423D4"/>
    <w:rsid w:val="0045671A"/>
    <w:rsid w:val="00477547"/>
    <w:rsid w:val="00484314"/>
    <w:rsid w:val="004A1309"/>
    <w:rsid w:val="004E543C"/>
    <w:rsid w:val="004F6947"/>
    <w:rsid w:val="0050145A"/>
    <w:rsid w:val="00517EFB"/>
    <w:rsid w:val="005255E6"/>
    <w:rsid w:val="00555DC7"/>
    <w:rsid w:val="00565FC3"/>
    <w:rsid w:val="00567010"/>
    <w:rsid w:val="005A6627"/>
    <w:rsid w:val="005B0447"/>
    <w:rsid w:val="005C6EA0"/>
    <w:rsid w:val="005E4237"/>
    <w:rsid w:val="005F0469"/>
    <w:rsid w:val="00635BFC"/>
    <w:rsid w:val="00651475"/>
    <w:rsid w:val="00651A71"/>
    <w:rsid w:val="00651AE1"/>
    <w:rsid w:val="006C64FE"/>
    <w:rsid w:val="0071121F"/>
    <w:rsid w:val="00723B3F"/>
    <w:rsid w:val="00745F16"/>
    <w:rsid w:val="00774238"/>
    <w:rsid w:val="007910AF"/>
    <w:rsid w:val="007F22EA"/>
    <w:rsid w:val="008014AD"/>
    <w:rsid w:val="00804158"/>
    <w:rsid w:val="00806EF3"/>
    <w:rsid w:val="008162C1"/>
    <w:rsid w:val="0085194D"/>
    <w:rsid w:val="00853225"/>
    <w:rsid w:val="008750D9"/>
    <w:rsid w:val="00890F9D"/>
    <w:rsid w:val="008928B1"/>
    <w:rsid w:val="008A3A92"/>
    <w:rsid w:val="008A64A6"/>
    <w:rsid w:val="008B20FD"/>
    <w:rsid w:val="008C6651"/>
    <w:rsid w:val="008D11F7"/>
    <w:rsid w:val="008E789F"/>
    <w:rsid w:val="008F4BD0"/>
    <w:rsid w:val="008F7951"/>
    <w:rsid w:val="00920FAF"/>
    <w:rsid w:val="009841C2"/>
    <w:rsid w:val="00986681"/>
    <w:rsid w:val="009D676C"/>
    <w:rsid w:val="00A028F8"/>
    <w:rsid w:val="00A062BD"/>
    <w:rsid w:val="00A15175"/>
    <w:rsid w:val="00AE4DD0"/>
    <w:rsid w:val="00AF1E2B"/>
    <w:rsid w:val="00B4068D"/>
    <w:rsid w:val="00B66826"/>
    <w:rsid w:val="00BA5EF1"/>
    <w:rsid w:val="00BE2D82"/>
    <w:rsid w:val="00C3302E"/>
    <w:rsid w:val="00CA78EB"/>
    <w:rsid w:val="00CB659B"/>
    <w:rsid w:val="00CD568A"/>
    <w:rsid w:val="00D17E8A"/>
    <w:rsid w:val="00D742A0"/>
    <w:rsid w:val="00D86F6D"/>
    <w:rsid w:val="00D90C91"/>
    <w:rsid w:val="00DA7545"/>
    <w:rsid w:val="00DC5496"/>
    <w:rsid w:val="00E057E2"/>
    <w:rsid w:val="00E220F7"/>
    <w:rsid w:val="00E36AA0"/>
    <w:rsid w:val="00E675BA"/>
    <w:rsid w:val="00E950CA"/>
    <w:rsid w:val="00EB1498"/>
    <w:rsid w:val="00ED79EB"/>
    <w:rsid w:val="00F151C7"/>
    <w:rsid w:val="00F246BA"/>
    <w:rsid w:val="00F26459"/>
    <w:rsid w:val="00F44687"/>
    <w:rsid w:val="00F45537"/>
    <w:rsid w:val="00F45FA4"/>
    <w:rsid w:val="00F53B14"/>
    <w:rsid w:val="00F62410"/>
    <w:rsid w:val="00F86EA0"/>
    <w:rsid w:val="00F96563"/>
    <w:rsid w:val="00FB7310"/>
    <w:rsid w:val="00FC0AEC"/>
    <w:rsid w:val="00FF3094"/>
    <w:rsid w:val="00FF309D"/>
    <w:rsid w:val="05273DA9"/>
    <w:rsid w:val="0D1A7D43"/>
    <w:rsid w:val="17DF6613"/>
    <w:rsid w:val="19740F7D"/>
    <w:rsid w:val="1F263088"/>
    <w:rsid w:val="1F9D516C"/>
    <w:rsid w:val="22404667"/>
    <w:rsid w:val="24EC2D8E"/>
    <w:rsid w:val="33FD5A05"/>
    <w:rsid w:val="3C77BC3F"/>
    <w:rsid w:val="4FA871BC"/>
    <w:rsid w:val="5D8E670A"/>
    <w:rsid w:val="5FC57099"/>
    <w:rsid w:val="66C61F7C"/>
    <w:rsid w:val="69B1616C"/>
    <w:rsid w:val="6B386C49"/>
    <w:rsid w:val="6B3B6F4E"/>
    <w:rsid w:val="6CD76947"/>
    <w:rsid w:val="70E742E2"/>
    <w:rsid w:val="743B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Autospacing="1" w:afterAutospacing="1" w:line="480" w:lineRule="exact"/>
      <w:jc w:val="left"/>
    </w:pPr>
    <w:rPr>
      <w:rFonts w:ascii="Times New Roman" w:hAnsi="Times New Roman" w:eastAsia="仿宋_GB2312"/>
      <w:kern w:val="0"/>
      <w:sz w:val="24"/>
      <w:szCs w:val="20"/>
    </w:rPr>
  </w:style>
  <w:style w:type="character" w:styleId="9">
    <w:name w:val="page number"/>
    <w:basedOn w:val="8"/>
    <w:unhideWhenUsed/>
    <w:qFormat/>
    <w:uiPriority w:val="99"/>
  </w:style>
  <w:style w:type="character" w:customStyle="1" w:styleId="10">
    <w:name w:val="页眉 Char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link w:val="4"/>
    <w:semiHidden/>
    <w:qFormat/>
    <w:uiPriority w:val="99"/>
    <w:rPr>
      <w:sz w:val="18"/>
      <w:szCs w:val="18"/>
    </w:rPr>
  </w:style>
  <w:style w:type="paragraph" w:customStyle="1" w:styleId="12">
    <w:name w:val="Char Char Char Char Char Char Char"/>
    <w:basedOn w:val="1"/>
    <w:qFormat/>
    <w:uiPriority w:val="0"/>
    <w:pPr>
      <w:widowControl/>
      <w:spacing w:after="160" w:line="240" w:lineRule="exact"/>
      <w:ind w:firstLine="980" w:firstLineChars="350"/>
      <w:jc w:val="left"/>
    </w:pPr>
    <w:rPr>
      <w:rFonts w:ascii="Verdana" w:hAnsi="Verdana" w:eastAsia="仿宋_GB2312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1912</Words>
  <Characters>2001</Characters>
  <Lines>4</Lines>
  <Paragraphs>1</Paragraphs>
  <TotalTime>1</TotalTime>
  <ScaleCrop>false</ScaleCrop>
  <LinksUpToDate>false</LinksUpToDate>
  <CharactersWithSpaces>2073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2022-02-21T22:43:00Z</dcterms:created>
  <dc:creator>Lenovo</dc:creator>
  <cp:lastModifiedBy>Administrator</cp:lastModifiedBy>
  <cp:lastPrinted>2022-02-25T00:10:00Z</cp:lastPrinted>
  <dcterms:modified xsi:type="dcterms:W3CDTF">2022-04-11T03:00:38Z</dcterms:modified>
  <dc:title>青岛市市南区财政局文件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540D264EE17F48D9BFEF87C07E19C963</vt:lpwstr>
  </property>
</Properties>
</file>