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="436" w:beforeAutospacing="0" w:afterAutospacing="0" w:line="360" w:lineRule="exact"/>
        <w:jc w:val="both"/>
        <w:rPr>
          <w:rFonts w:ascii="黑体" w:hAnsi="黑体" w:eastAsia="黑体" w:cs="楷体"/>
          <w:color w:val="333333"/>
          <w:sz w:val="32"/>
          <w:szCs w:val="32"/>
        </w:rPr>
      </w:pPr>
      <w:r>
        <w:rPr>
          <w:rFonts w:hint="eastAsia" w:ascii="黑体" w:hAnsi="黑体" w:eastAsia="黑体" w:cs="仿宋_GB2312"/>
          <w:color w:val="333333"/>
          <w:sz w:val="32"/>
          <w:szCs w:val="32"/>
        </w:rPr>
        <w:t>附件</w:t>
      </w:r>
    </w:p>
    <w:p>
      <w:pPr>
        <w:pStyle w:val="5"/>
        <w:widowControl/>
        <w:spacing w:beforeAutospacing="0" w:afterAutospacing="0" w:line="50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青岛市海洋发展局</w:t>
      </w:r>
    </w:p>
    <w:p>
      <w:pPr>
        <w:pStyle w:val="5"/>
        <w:widowControl/>
        <w:spacing w:beforeAutospacing="0" w:afterAutospacing="0" w:line="500" w:lineRule="exact"/>
        <w:ind w:firstLine="420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 xml:space="preserve"> 2022年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  <w:t>5-6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</w:rPr>
        <w:t>月政府采购意向</w:t>
      </w:r>
    </w:p>
    <w:p>
      <w:pPr>
        <w:pStyle w:val="5"/>
        <w:widowControl/>
        <w:spacing w:beforeAutospacing="0" w:afterAutospacing="0" w:line="560" w:lineRule="exact"/>
        <w:ind w:firstLine="420"/>
        <w:jc w:val="center"/>
        <w:rPr>
          <w:rFonts w:ascii="方正小标宋_GBK" w:hAnsi="方正小标宋_GBK" w:eastAsia="方正小标宋_GBK" w:cs="方正小标宋_GBK"/>
          <w:color w:val="333333"/>
          <w:sz w:val="44"/>
          <w:szCs w:val="44"/>
        </w:rPr>
      </w:pPr>
    </w:p>
    <w:p>
      <w:pPr>
        <w:pStyle w:val="5"/>
        <w:widowControl/>
        <w:spacing w:beforeAutospacing="0" w:afterAutospacing="0" w:line="520" w:lineRule="exact"/>
        <w:ind w:firstLine="420"/>
        <w:rPr>
          <w:rFonts w:ascii="仿宋" w:hAnsi="仿宋" w:eastAsia="仿宋" w:cs="仿宋_GB2312"/>
          <w:color w:val="333333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为便于供应商及时了解政府采购信息，根据《财政部关于开展政府采购意向公开工作的通知》（财库〔2020〕10号）等有关规定，现将青岛市海洋发展局</w:t>
      </w:r>
      <w:r>
        <w:rPr>
          <w:rFonts w:hint="eastAsia" w:ascii="仿宋" w:hAnsi="仿宋" w:eastAsia="仿宋" w:cs="方正小标宋_GBK"/>
          <w:color w:val="333333"/>
          <w:sz w:val="32"/>
          <w:szCs w:val="32"/>
        </w:rPr>
        <w:t>2022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年</w:t>
      </w:r>
      <w:r>
        <w:rPr>
          <w:rFonts w:hint="eastAsia" w:ascii="仿宋" w:hAnsi="仿宋" w:eastAsia="仿宋" w:cs="方正小标宋_GBK"/>
          <w:color w:val="333333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333333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方正小标宋_GBK"/>
          <w:color w:val="333333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月采购意向公开如下：</w:t>
      </w:r>
    </w:p>
    <w:tbl>
      <w:tblPr>
        <w:tblStyle w:val="6"/>
        <w:tblW w:w="1019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8"/>
        <w:gridCol w:w="883"/>
        <w:gridCol w:w="5670"/>
        <w:gridCol w:w="1102"/>
        <w:gridCol w:w="1449"/>
        <w:gridCol w:w="60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4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采购项目名称</w:t>
            </w:r>
          </w:p>
        </w:tc>
        <w:tc>
          <w:tcPr>
            <w:tcW w:w="56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jc w:val="center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采购需求概况</w:t>
            </w:r>
          </w:p>
        </w:tc>
        <w:tc>
          <w:tcPr>
            <w:tcW w:w="11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预算金额（万元）</w:t>
            </w:r>
          </w:p>
        </w:tc>
        <w:tc>
          <w:tcPr>
            <w:tcW w:w="14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预计采购时间（填写到月）</w:t>
            </w:r>
          </w:p>
        </w:tc>
        <w:tc>
          <w:tcPr>
            <w:tcW w:w="6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360" w:lineRule="exact"/>
              <w:rPr>
                <w:rFonts w:ascii="仿宋" w:hAnsi="仿宋" w:eastAsia="仿宋" w:cs="仿宋_GB2312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488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仿宋" w:hAnsi="仿宋" w:eastAsia="仿宋" w:cs="仿宋_GB2312"/>
                <w:szCs w:val="21"/>
              </w:rPr>
            </w:pPr>
            <w:r>
              <w:rPr>
                <w:rFonts w:hint="eastAsia" w:ascii="仿宋" w:hAnsi="仿宋" w:eastAsia="仿宋" w:cs="仿宋_GB2312"/>
                <w:szCs w:val="21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>水产品质量安全监测项目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为加强产地水产品质量安全监管，确保市民消费安全，针对国家规定的禁停用药、限用药、农药等开展水产品质量安全监督抽查和风险监测。检测项目包括氯霉素、孔雀石绿、硝基呋喃类代谢物、己烯雌酚、氧氟沙星、洛美沙星、培氟沙星、诺氟沙星、恩诺沙星、环丙沙星、除草剂（16种）、甲氰菊酯、铝、镉、无机砷、喹乙醇代谢物、地西泮、金刚烷胺等。</w:t>
            </w:r>
          </w:p>
          <w:p>
            <w:pPr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监测任务需要进行现场抽样，要严格按照《山东省水产品质量安全监测管理规定》进行抽检，严格按相关检验标准规定程序对样品进行检验，监督抽查按规定出具检验报告，及时上报检验检测数据，检测中发现阳性检测结果应按《山东省水产品质量安全监测管理规定》处理，必须在24小时内报告青岛市海洋发展局。合格样品的检验报告共出3份（两正一副），在完成检验后20个工作日内将检验报告1份寄送青岛市海洋发展局，1份寄送被抽检单位、中心自留副本。不合格样品的检验报告共出4份（三正一副），其中</w:t>
            </w:r>
            <w:r>
              <w:rPr>
                <w:rFonts w:ascii="仿宋" w:hAnsi="仿宋" w:eastAsia="仿宋"/>
                <w:szCs w:val="21"/>
              </w:rPr>
              <w:t>1</w:t>
            </w:r>
            <w:r>
              <w:rPr>
                <w:rFonts w:hint="eastAsia" w:ascii="仿宋" w:hAnsi="仿宋" w:eastAsia="仿宋"/>
                <w:szCs w:val="21"/>
              </w:rPr>
              <w:t>份寄送青岛市海洋发展局，1份寄送被抽检单位一份，1份寄送渔政执法人员，中心自留副本。</w:t>
            </w:r>
          </w:p>
          <w:p>
            <w:pPr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标人需具有：1.投标人应当是依法设立（注册）的检验机构，能够独立承担法律责任。2.投标人具有检验检测机构资质认定证书，且证书合法有效。3.需具备资质的检测项目，投标人授权检测范围必须分别覆盖其所投标所列检测项目资质要求；需具备检测能力的项目，要求投标人已进行方法验证。4.投标人须分别具备其所投标所需仪器设备。5.投标人应当具有良好的社会信誉，近三年在经营活动中没有重大违法记录和重大事故记录。6.在中国政府采购网（www.ccgp.gov.cn）中未被列入政府采购严重违法失信行为记录名单，且在“信用中国”（www.creditchina.gov.cn）中未被列入失信被执行人、重大税收违法案件当事人名单。7.本项目不接受联合体投标。</w:t>
            </w:r>
          </w:p>
        </w:tc>
        <w:tc>
          <w:tcPr>
            <w:tcW w:w="1102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ind w:firstLine="420" w:firstLineChars="200"/>
              <w:rPr>
                <w:rFonts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>90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 xml:space="preserve">  2022年6月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  <w:jc w:val="center"/>
        </w:trPr>
        <w:tc>
          <w:tcPr>
            <w:tcW w:w="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_GB2312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>青岛市海洋发展局网络安全等级保护测评项目</w:t>
            </w:r>
          </w:p>
        </w:tc>
        <w:tc>
          <w:tcPr>
            <w:tcW w:w="5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ind w:firstLine="420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为贯彻落实《网络安全法》，按照信息系统等级保护相关规定对青岛市海洋发展局在建和在用的2套三级信息系统、7套二级信息系统开展网络安全等级保护测评工作。按照相关要求，从安全管理机构、安全管理制度、安全管理人员、安全建设管理、安全运维管理，以及安全物理环境、安全通信网络、安全区域边界、安全计算环境和安全管理中心等方面进行安全等级测评，最终形成《系统调查表》《信息安全等级保测评现场测评记录》《信息系统网络安全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等级保护测评报告》等报告，并完成备案工作。同时，对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套三级信息系统开展信息安全风险评估。根据信息安全风险评估工作流程和规范，对被评估系统进行资产分析、脆弱性分析、威胁分析、风险分析等评估，针对评估过程中发现的问题出具《信息安全风险评估报告》。</w:t>
            </w:r>
          </w:p>
          <w:p>
            <w:pPr>
              <w:ind w:firstLine="420" w:firstLineChars="200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标人需具有：1.投标人应当是依法设立（注册）的测评机构，能够独立承担法律责任。2.投标人应具备公安部第三研究所颁发的《网络安全等级测评与检测评估机构服务认证证书》，且在有效期内。3.投标人应当具有良好的社会信誉，近三年在经营活动中没有重大违法记录和重大事故记录。4.在中国政府采购网（www.ccgp.gov.cn）中未被列入政府采购严重违法失信行为记录名单，且在“信用中国”（www.creditchina.gov.cn）中未被列入失信被执行人、重大税收违法案件当事人名单。5.本项目不接受联合体投标。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ind w:firstLine="420" w:firstLineChars="200"/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>50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" w:hAnsi="仿宋" w:eastAsia="仿宋" w:cs="仿宋_GB2312"/>
                <w:color w:val="333333"/>
                <w:sz w:val="21"/>
                <w:szCs w:val="21"/>
              </w:rPr>
              <w:t xml:space="preserve">  2022年6月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105" w:type="dxa"/>
              <w:right w:w="105" w:type="dxa"/>
            </w:tcMar>
            <w:vAlign w:val="center"/>
          </w:tcPr>
          <w:p>
            <w:pPr>
              <w:pStyle w:val="5"/>
              <w:widowControl/>
              <w:spacing w:beforeAutospacing="0" w:afterAutospacing="0" w:line="420" w:lineRule="atLeast"/>
              <w:rPr>
                <w:rFonts w:ascii="仿宋" w:hAnsi="仿宋" w:eastAsia="仿宋" w:cs="仿宋_GB2312"/>
                <w:color w:val="333333"/>
                <w:sz w:val="21"/>
                <w:szCs w:val="21"/>
              </w:rPr>
            </w:pPr>
          </w:p>
        </w:tc>
      </w:tr>
    </w:tbl>
    <w:p>
      <w:pPr>
        <w:pStyle w:val="5"/>
        <w:widowControl/>
        <w:spacing w:beforeAutospacing="0" w:afterAutospacing="0" w:line="500" w:lineRule="exact"/>
        <w:ind w:firstLine="420"/>
        <w:rPr>
          <w:rFonts w:ascii="仿宋" w:hAnsi="仿宋" w:eastAsia="仿宋" w:cs="仿宋_GB2312"/>
          <w:color w:val="333333"/>
          <w:sz w:val="32"/>
          <w:szCs w:val="32"/>
        </w:rPr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本次公开的采购意向是本单位政府采购工作的初步安排，具体采购项目情况以相关采购公告和采购文件为准。</w:t>
      </w:r>
    </w:p>
    <w:p>
      <w:pPr>
        <w:pStyle w:val="5"/>
        <w:widowControl/>
        <w:spacing w:beforeAutospacing="0" w:afterAutospacing="0" w:line="360" w:lineRule="exact"/>
        <w:jc w:val="both"/>
        <w:rPr>
          <w:rFonts w:ascii="仿宋" w:hAnsi="仿宋" w:eastAsia="仿宋" w:cs="微软雅黑"/>
          <w:color w:val="333333"/>
          <w:sz w:val="27"/>
          <w:szCs w:val="27"/>
        </w:rPr>
      </w:pPr>
    </w:p>
    <w:p>
      <w:pPr>
        <w:pStyle w:val="5"/>
        <w:widowControl/>
        <w:spacing w:beforeAutospacing="0" w:afterAutospacing="0" w:line="360" w:lineRule="exact"/>
        <w:jc w:val="both"/>
        <w:rPr>
          <w:rFonts w:ascii="仿宋" w:hAnsi="仿宋" w:eastAsia="仿宋" w:cs="微软雅黑"/>
          <w:color w:val="333333"/>
          <w:sz w:val="27"/>
          <w:szCs w:val="27"/>
        </w:rPr>
      </w:pPr>
    </w:p>
    <w:p>
      <w:pPr>
        <w:pStyle w:val="5"/>
        <w:widowControl/>
        <w:spacing w:beforeAutospacing="0" w:afterAutospacing="0" w:line="360" w:lineRule="exact"/>
        <w:jc w:val="both"/>
        <w:rPr>
          <w:rFonts w:ascii="仿宋" w:hAnsi="仿宋" w:eastAsia="仿宋" w:cs="微软雅黑"/>
          <w:color w:val="333333"/>
          <w:sz w:val="27"/>
          <w:szCs w:val="27"/>
        </w:rPr>
      </w:pPr>
    </w:p>
    <w:p>
      <w:pPr>
        <w:pStyle w:val="5"/>
        <w:widowControl/>
        <w:spacing w:beforeAutospacing="0" w:afterAutospacing="0" w:line="360" w:lineRule="exact"/>
        <w:ind w:firstLine="5120" w:firstLineChars="1600"/>
        <w:jc w:val="both"/>
        <w:rPr>
          <w:rFonts w:ascii="仿宋" w:hAnsi="仿宋" w:eastAsia="仿宋" w:cs="微软雅黑"/>
          <w:color w:val="333333"/>
          <w:sz w:val="32"/>
          <w:szCs w:val="32"/>
        </w:rPr>
      </w:pPr>
      <w:r>
        <w:rPr>
          <w:rFonts w:hint="eastAsia" w:ascii="仿宋" w:hAnsi="仿宋" w:eastAsia="仿宋" w:cs="微软雅黑"/>
          <w:color w:val="333333"/>
          <w:sz w:val="32"/>
          <w:szCs w:val="32"/>
        </w:rPr>
        <w:t>青岛市海洋发展局</w:t>
      </w:r>
    </w:p>
    <w:p>
      <w:pPr>
        <w:pStyle w:val="5"/>
        <w:widowControl/>
        <w:spacing w:beforeAutospacing="0" w:afterAutospacing="0" w:line="360" w:lineRule="exact"/>
        <w:ind w:firstLine="5280" w:firstLineChars="1650"/>
        <w:jc w:val="both"/>
      </w:pPr>
      <w:r>
        <w:rPr>
          <w:rFonts w:hint="eastAsia" w:ascii="仿宋" w:hAnsi="仿宋" w:eastAsia="仿宋" w:cs="仿宋_GB2312"/>
          <w:color w:val="333333"/>
          <w:sz w:val="32"/>
          <w:szCs w:val="32"/>
        </w:rPr>
        <w:t>2022年</w:t>
      </w:r>
      <w:r>
        <w:rPr>
          <w:rFonts w:ascii="仿宋" w:hAnsi="仿宋" w:eastAsia="仿宋" w:cs="仿宋_GB2312"/>
          <w:color w:val="333333"/>
          <w:sz w:val="32"/>
          <w:szCs w:val="32"/>
        </w:rPr>
        <w:t>4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月</w:t>
      </w:r>
      <w:r>
        <w:rPr>
          <w:rFonts w:ascii="仿宋" w:hAnsi="仿宋" w:eastAsia="仿宋" w:cs="仿宋_GB2312"/>
          <w:color w:val="333333"/>
          <w:sz w:val="32"/>
          <w:szCs w:val="32"/>
        </w:rPr>
        <w:t>2</w:t>
      </w:r>
      <w:r>
        <w:rPr>
          <w:rFonts w:hint="eastAsia" w:ascii="仿宋" w:hAnsi="仿宋" w:eastAsia="仿宋" w:cs="仿宋_GB2312"/>
          <w:color w:val="333333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color w:val="333333"/>
          <w:sz w:val="32"/>
          <w:szCs w:val="32"/>
        </w:rPr>
        <w:t>日</w:t>
      </w:r>
    </w:p>
    <w:sectPr>
      <w:pgSz w:w="11906" w:h="16838"/>
      <w:pgMar w:top="1247" w:right="1418" w:bottom="124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JjZWI5MjhhNGY0YThkOThmM2ZlYTc4MmFjY2IxODkifQ=="/>
  </w:docVars>
  <w:rsids>
    <w:rsidRoot w:val="004B3422"/>
    <w:rsid w:val="000334B0"/>
    <w:rsid w:val="00065109"/>
    <w:rsid w:val="00066D1F"/>
    <w:rsid w:val="00107916"/>
    <w:rsid w:val="00110B9A"/>
    <w:rsid w:val="00134CA0"/>
    <w:rsid w:val="00140E7B"/>
    <w:rsid w:val="00196B9E"/>
    <w:rsid w:val="00215203"/>
    <w:rsid w:val="00293701"/>
    <w:rsid w:val="00315AF4"/>
    <w:rsid w:val="00381483"/>
    <w:rsid w:val="003F5150"/>
    <w:rsid w:val="0043596B"/>
    <w:rsid w:val="004B3422"/>
    <w:rsid w:val="004C2B22"/>
    <w:rsid w:val="00554274"/>
    <w:rsid w:val="00554B6B"/>
    <w:rsid w:val="00556821"/>
    <w:rsid w:val="005B28F7"/>
    <w:rsid w:val="005C5602"/>
    <w:rsid w:val="006165F1"/>
    <w:rsid w:val="006239E9"/>
    <w:rsid w:val="00693D82"/>
    <w:rsid w:val="006A124F"/>
    <w:rsid w:val="006A149F"/>
    <w:rsid w:val="006E0AA7"/>
    <w:rsid w:val="00830E88"/>
    <w:rsid w:val="00840198"/>
    <w:rsid w:val="00883AF3"/>
    <w:rsid w:val="00896762"/>
    <w:rsid w:val="008F3C1A"/>
    <w:rsid w:val="0092274C"/>
    <w:rsid w:val="00972B28"/>
    <w:rsid w:val="009762B9"/>
    <w:rsid w:val="0098287B"/>
    <w:rsid w:val="00A05649"/>
    <w:rsid w:val="00A74F26"/>
    <w:rsid w:val="00B63294"/>
    <w:rsid w:val="00B82093"/>
    <w:rsid w:val="00B83139"/>
    <w:rsid w:val="00BB0441"/>
    <w:rsid w:val="00C11C03"/>
    <w:rsid w:val="00C64E00"/>
    <w:rsid w:val="00CA62D8"/>
    <w:rsid w:val="00D47672"/>
    <w:rsid w:val="00D8360D"/>
    <w:rsid w:val="00DD2C45"/>
    <w:rsid w:val="00DE2F02"/>
    <w:rsid w:val="00E23A4F"/>
    <w:rsid w:val="00EA6836"/>
    <w:rsid w:val="00EC6641"/>
    <w:rsid w:val="00EE22EE"/>
    <w:rsid w:val="00F81FD6"/>
    <w:rsid w:val="2C606696"/>
    <w:rsid w:val="3AA747F6"/>
    <w:rsid w:val="455805BC"/>
    <w:rsid w:val="47D3763F"/>
    <w:rsid w:val="4EC53776"/>
    <w:rsid w:val="5152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Autospacing="1" w:afterAutospacing="1" w:line="480" w:lineRule="exact"/>
      <w:jc w:val="left"/>
    </w:pPr>
    <w:rPr>
      <w:rFonts w:ascii="Times New Roman" w:hAnsi="Times New Roman" w:eastAsia="仿宋_GB2312"/>
      <w:kern w:val="0"/>
      <w:sz w:val="24"/>
      <w:szCs w:val="20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922</Words>
  <Characters>989</Characters>
  <Lines>13</Lines>
  <Paragraphs>3</Paragraphs>
  <TotalTime>0</TotalTime>
  <ScaleCrop>false</ScaleCrop>
  <LinksUpToDate>false</LinksUpToDate>
  <CharactersWithSpaces>992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2022-01-24T00:46:00Z</dcterms:created>
  <dc:creator>Administrator</dc:creator>
  <cp:lastModifiedBy>Administrator</cp:lastModifiedBy>
  <dcterms:modified xsi:type="dcterms:W3CDTF">2022-05-07T07:53:59Z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F292B820FB7E4AB89CE40E1AF49A14C3</vt:lpwstr>
  </property>
</Properties>
</file>