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80" w:lineRule="exact"/>
        <w:jc w:val="left"/>
        <w:rPr>
          <w:rFonts w:ascii="黑体" w:hAnsi="黑体" w:eastAsia="黑体"/>
          <w:sz w:val="32"/>
          <w:szCs w:val="32"/>
        </w:rPr>
      </w:pPr>
      <w:r>
        <w:rPr>
          <w:rFonts w:hint="eastAsia" w:ascii="宋体" w:hAnsi="宋体" w:cs="宋体"/>
          <w:sz w:val="32"/>
          <w:szCs w:val="32"/>
        </w:rPr>
        <w:t xml:space="preserve"> </w:t>
      </w:r>
      <w:r>
        <w:rPr>
          <w:rFonts w:hint="eastAsia" w:ascii="文星简大标宋" w:eastAsia="文星简大标宋"/>
          <w:sz w:val="84"/>
          <w:szCs w:val="84"/>
        </w:rPr>
        <w:t xml:space="preserve">    </w:t>
      </w:r>
    </w:p>
    <w:p>
      <w:pPr>
        <w:jc w:val="center"/>
        <w:rPr>
          <w:rFonts w:ascii="文星简大标宋" w:eastAsia="文星简大标宋"/>
          <w:sz w:val="84"/>
          <w:szCs w:val="84"/>
        </w:rPr>
      </w:pPr>
    </w:p>
    <w:p>
      <w:pPr>
        <w:jc w:val="center"/>
        <w:rPr>
          <w:rFonts w:ascii="文星简大标宋" w:eastAsia="文星简大标宋"/>
          <w:sz w:val="84"/>
          <w:szCs w:val="84"/>
        </w:rPr>
      </w:pPr>
    </w:p>
    <w:p>
      <w:pPr>
        <w:jc w:val="center"/>
        <w:rPr>
          <w:rFonts w:ascii="文星简大标宋" w:eastAsia="文星简大标宋"/>
          <w:sz w:val="72"/>
          <w:szCs w:val="72"/>
        </w:rPr>
      </w:pPr>
      <w:r>
        <w:rPr>
          <w:rFonts w:hint="eastAsia" w:ascii="文星简大标宋" w:eastAsia="文星简大标宋"/>
          <w:sz w:val="72"/>
          <w:szCs w:val="72"/>
        </w:rPr>
        <w:t>2016年度</w:t>
      </w:r>
    </w:p>
    <w:p>
      <w:pPr>
        <w:jc w:val="center"/>
        <w:rPr>
          <w:rFonts w:ascii="文星简大标宋" w:eastAsia="文星简大标宋"/>
          <w:sz w:val="72"/>
          <w:szCs w:val="72"/>
        </w:rPr>
      </w:pPr>
      <w:r>
        <w:rPr>
          <w:rFonts w:hint="eastAsia" w:ascii="文星简大标宋" w:eastAsia="文星简大标宋"/>
          <w:sz w:val="72"/>
          <w:szCs w:val="72"/>
        </w:rPr>
        <w:t>青岛市教育局部门决算</w:t>
      </w:r>
    </w:p>
    <w:p>
      <w:pPr>
        <w:rPr>
          <w:sz w:val="52"/>
          <w:szCs w:val="52"/>
        </w:rPr>
      </w:pPr>
    </w:p>
    <w:p/>
    <w:p>
      <w:pPr>
        <w:jc w:val="center"/>
        <w:rPr>
          <w:rFonts w:ascii="文星简大标宋" w:eastAsia="文星简大标宋"/>
          <w:sz w:val="44"/>
          <w:szCs w:val="44"/>
        </w:rPr>
      </w:pPr>
    </w:p>
    <w:p/>
    <w:p/>
    <w:p/>
    <w:p/>
    <w:p/>
    <w:p/>
    <w:p/>
    <w:p/>
    <w:p/>
    <w:p/>
    <w:p>
      <w:pPr>
        <w:spacing w:line="580" w:lineRule="exact"/>
      </w:pPr>
      <w:r>
        <w:br w:type="page"/>
      </w:r>
    </w:p>
    <w:p>
      <w:pPr>
        <w:spacing w:line="580" w:lineRule="exact"/>
        <w:jc w:val="center"/>
        <w:rPr>
          <w:rFonts w:ascii="黑体" w:eastAsia="黑体"/>
          <w:sz w:val="44"/>
          <w:szCs w:val="44"/>
        </w:rPr>
      </w:pPr>
      <w:r>
        <w:rPr>
          <w:rFonts w:hint="eastAsia" w:ascii="黑体" w:eastAsia="黑体"/>
          <w:sz w:val="44"/>
          <w:szCs w:val="44"/>
        </w:rPr>
        <w:t>目  录</w:t>
      </w:r>
    </w:p>
    <w:p>
      <w:pPr>
        <w:spacing w:line="580" w:lineRule="exact"/>
        <w:jc w:val="center"/>
        <w:rPr>
          <w:rFonts w:ascii="黑体" w:eastAsia="黑体"/>
          <w:sz w:val="44"/>
          <w:szCs w:val="44"/>
        </w:rPr>
      </w:pPr>
    </w:p>
    <w:p>
      <w:pPr>
        <w:spacing w:line="580" w:lineRule="exact"/>
        <w:jc w:val="center"/>
        <w:rPr>
          <w:rFonts w:ascii="黑体" w:eastAsia="黑体"/>
          <w:sz w:val="44"/>
          <w:szCs w:val="44"/>
        </w:rPr>
      </w:pPr>
    </w:p>
    <w:p>
      <w:pPr>
        <w:spacing w:line="580" w:lineRule="exact"/>
        <w:rPr>
          <w:rFonts w:ascii="黑体" w:eastAsia="黑体"/>
          <w:sz w:val="36"/>
          <w:szCs w:val="36"/>
        </w:rPr>
      </w:pPr>
      <w:r>
        <w:rPr>
          <w:rFonts w:hint="eastAsia" w:ascii="黑体" w:eastAsia="黑体"/>
          <w:sz w:val="36"/>
          <w:szCs w:val="36"/>
        </w:rPr>
        <w:t>第一部分 部门概况</w:t>
      </w:r>
    </w:p>
    <w:p>
      <w:pPr>
        <w:spacing w:line="580" w:lineRule="exact"/>
        <w:ind w:left="640"/>
        <w:rPr>
          <w:rFonts w:ascii="黑体" w:eastAsia="黑体"/>
          <w:sz w:val="32"/>
          <w:szCs w:val="32"/>
        </w:rPr>
      </w:pPr>
      <w:r>
        <w:rPr>
          <w:rFonts w:hint="eastAsia" w:ascii="黑体" w:eastAsia="黑体"/>
          <w:sz w:val="32"/>
          <w:szCs w:val="32"/>
        </w:rPr>
        <w:t>一、主要职能</w:t>
      </w:r>
    </w:p>
    <w:p>
      <w:pPr>
        <w:spacing w:line="580" w:lineRule="exact"/>
        <w:ind w:left="640"/>
        <w:rPr>
          <w:rFonts w:ascii="黑体" w:eastAsia="黑体"/>
          <w:sz w:val="32"/>
          <w:szCs w:val="32"/>
        </w:rPr>
      </w:pPr>
      <w:r>
        <w:rPr>
          <w:rFonts w:hint="eastAsia" w:ascii="黑体" w:eastAsia="黑体"/>
          <w:sz w:val="32"/>
          <w:szCs w:val="32"/>
        </w:rPr>
        <w:t xml:space="preserve">二、部门决算单位构成 </w:t>
      </w:r>
    </w:p>
    <w:p>
      <w:pPr>
        <w:spacing w:line="580" w:lineRule="exact"/>
        <w:ind w:left="640"/>
        <w:rPr>
          <w:rFonts w:ascii="黑体" w:eastAsia="黑体"/>
          <w:sz w:val="32"/>
          <w:szCs w:val="32"/>
        </w:rPr>
      </w:pPr>
    </w:p>
    <w:p>
      <w:pPr>
        <w:spacing w:line="580" w:lineRule="exact"/>
        <w:rPr>
          <w:rFonts w:ascii="黑体" w:eastAsia="黑体"/>
          <w:sz w:val="36"/>
          <w:szCs w:val="36"/>
        </w:rPr>
      </w:pPr>
      <w:r>
        <w:rPr>
          <w:rFonts w:hint="eastAsia" w:ascii="黑体" w:eastAsia="黑体"/>
          <w:sz w:val="36"/>
          <w:szCs w:val="36"/>
        </w:rPr>
        <w:t>第二部分 2016年度部门决算表</w:t>
      </w:r>
    </w:p>
    <w:p>
      <w:pPr>
        <w:spacing w:line="580" w:lineRule="exact"/>
        <w:ind w:firstLine="640" w:firstLineChars="200"/>
        <w:rPr>
          <w:rFonts w:ascii="黑体" w:eastAsia="黑体"/>
          <w:sz w:val="32"/>
          <w:szCs w:val="32"/>
        </w:rPr>
      </w:pPr>
      <w:r>
        <w:rPr>
          <w:rFonts w:hint="eastAsia" w:ascii="黑体" w:eastAsia="黑体"/>
          <w:sz w:val="32"/>
          <w:szCs w:val="32"/>
        </w:rPr>
        <w:t>一、收入支出决算总表</w:t>
      </w:r>
    </w:p>
    <w:p>
      <w:pPr>
        <w:spacing w:line="580" w:lineRule="exact"/>
        <w:ind w:firstLine="640" w:firstLineChars="200"/>
        <w:rPr>
          <w:rFonts w:ascii="黑体" w:eastAsia="黑体"/>
          <w:sz w:val="32"/>
          <w:szCs w:val="32"/>
        </w:rPr>
      </w:pPr>
      <w:r>
        <w:rPr>
          <w:rFonts w:hint="eastAsia" w:ascii="黑体" w:eastAsia="黑体"/>
          <w:sz w:val="32"/>
          <w:szCs w:val="32"/>
        </w:rPr>
        <w:t>二、收入决算表</w:t>
      </w:r>
    </w:p>
    <w:p>
      <w:pPr>
        <w:spacing w:line="580" w:lineRule="exact"/>
        <w:ind w:firstLine="640" w:firstLineChars="200"/>
        <w:rPr>
          <w:rFonts w:ascii="黑体" w:eastAsia="黑体"/>
          <w:sz w:val="32"/>
          <w:szCs w:val="32"/>
        </w:rPr>
      </w:pPr>
      <w:r>
        <w:rPr>
          <w:rFonts w:hint="eastAsia" w:ascii="黑体" w:eastAsia="黑体"/>
          <w:sz w:val="32"/>
          <w:szCs w:val="32"/>
        </w:rPr>
        <w:t>三、支出决算表</w:t>
      </w:r>
    </w:p>
    <w:p>
      <w:pPr>
        <w:spacing w:line="580" w:lineRule="exact"/>
        <w:ind w:firstLine="640" w:firstLineChars="200"/>
        <w:rPr>
          <w:rFonts w:ascii="黑体" w:eastAsia="黑体"/>
          <w:sz w:val="32"/>
          <w:szCs w:val="32"/>
        </w:rPr>
      </w:pPr>
      <w:r>
        <w:rPr>
          <w:rFonts w:hint="eastAsia" w:ascii="黑体" w:eastAsia="黑体"/>
          <w:sz w:val="32"/>
          <w:szCs w:val="32"/>
        </w:rPr>
        <w:t>四、财政拨款收入支出决算总表</w:t>
      </w:r>
    </w:p>
    <w:p>
      <w:pPr>
        <w:spacing w:line="580" w:lineRule="exact"/>
        <w:ind w:firstLine="640" w:firstLineChars="200"/>
        <w:rPr>
          <w:rFonts w:ascii="黑体" w:eastAsia="黑体"/>
          <w:sz w:val="32"/>
          <w:szCs w:val="32"/>
        </w:rPr>
      </w:pPr>
      <w:r>
        <w:rPr>
          <w:rFonts w:hint="eastAsia" w:ascii="黑体" w:eastAsia="黑体"/>
          <w:sz w:val="32"/>
          <w:szCs w:val="32"/>
        </w:rPr>
        <w:t>五、一般公共预算财政拨款支出决算表</w:t>
      </w:r>
    </w:p>
    <w:p>
      <w:pPr>
        <w:spacing w:line="580" w:lineRule="exact"/>
        <w:ind w:firstLine="640" w:firstLineChars="200"/>
        <w:rPr>
          <w:rFonts w:ascii="黑体" w:eastAsia="黑体"/>
          <w:sz w:val="32"/>
          <w:szCs w:val="32"/>
        </w:rPr>
      </w:pPr>
      <w:r>
        <w:rPr>
          <w:rFonts w:hint="eastAsia" w:ascii="黑体" w:eastAsia="黑体"/>
          <w:sz w:val="32"/>
          <w:szCs w:val="32"/>
        </w:rPr>
        <w:t>六、一般公共预算财政拨款基本支出决算表</w:t>
      </w:r>
    </w:p>
    <w:p>
      <w:pPr>
        <w:spacing w:line="580" w:lineRule="exact"/>
        <w:ind w:firstLine="640" w:firstLineChars="200"/>
        <w:rPr>
          <w:rFonts w:ascii="黑体" w:eastAsia="黑体"/>
          <w:sz w:val="32"/>
          <w:szCs w:val="32"/>
        </w:rPr>
      </w:pPr>
      <w:r>
        <w:rPr>
          <w:rFonts w:hint="eastAsia" w:ascii="黑体" w:eastAsia="黑体"/>
          <w:sz w:val="32"/>
          <w:szCs w:val="32"/>
        </w:rPr>
        <w:t>七、政府性基金预算财政拨款收入支出决算表</w:t>
      </w:r>
    </w:p>
    <w:p>
      <w:pPr>
        <w:spacing w:line="580" w:lineRule="exact"/>
        <w:ind w:firstLine="640" w:firstLineChars="200"/>
        <w:rPr>
          <w:rFonts w:ascii="黑体" w:eastAsia="黑体"/>
          <w:sz w:val="32"/>
          <w:szCs w:val="32"/>
        </w:rPr>
      </w:pPr>
      <w:r>
        <w:rPr>
          <w:rFonts w:hint="eastAsia" w:ascii="黑体" w:eastAsia="黑体"/>
          <w:sz w:val="32"/>
          <w:szCs w:val="32"/>
        </w:rPr>
        <w:t>八、一般公共预算财政拨款“三公”经费支出决算表</w:t>
      </w:r>
    </w:p>
    <w:p>
      <w:pPr>
        <w:spacing w:line="580" w:lineRule="exact"/>
        <w:ind w:firstLine="640" w:firstLineChars="200"/>
        <w:rPr>
          <w:rFonts w:ascii="黑体" w:eastAsia="黑体"/>
          <w:sz w:val="32"/>
          <w:szCs w:val="32"/>
        </w:rPr>
      </w:pPr>
    </w:p>
    <w:p>
      <w:pPr>
        <w:spacing w:line="580" w:lineRule="exact"/>
        <w:ind w:left="1602" w:hanging="1602" w:hangingChars="445"/>
        <w:rPr>
          <w:rFonts w:ascii="黑体" w:eastAsia="黑体"/>
          <w:sz w:val="36"/>
          <w:szCs w:val="36"/>
        </w:rPr>
      </w:pPr>
      <w:r>
        <w:rPr>
          <w:rFonts w:hint="eastAsia" w:ascii="黑体" w:eastAsia="黑体"/>
          <w:sz w:val="36"/>
          <w:szCs w:val="36"/>
        </w:rPr>
        <w:t>第三部分 2016年度部门决算情况和重要事项说明</w:t>
      </w:r>
    </w:p>
    <w:p>
      <w:pPr>
        <w:spacing w:line="580" w:lineRule="exact"/>
        <w:ind w:left="1602" w:hanging="1602" w:hangingChars="445"/>
        <w:rPr>
          <w:rFonts w:ascii="黑体" w:eastAsia="黑体"/>
          <w:sz w:val="36"/>
          <w:szCs w:val="36"/>
        </w:rPr>
      </w:pPr>
    </w:p>
    <w:p>
      <w:pPr>
        <w:spacing w:line="580" w:lineRule="exact"/>
        <w:ind w:left="1602" w:hanging="1602" w:hangingChars="445"/>
        <w:rPr>
          <w:rFonts w:ascii="黑体" w:eastAsia="黑体"/>
          <w:sz w:val="36"/>
          <w:szCs w:val="36"/>
        </w:rPr>
      </w:pPr>
      <w:r>
        <w:rPr>
          <w:rFonts w:hint="eastAsia" w:ascii="黑体" w:eastAsia="黑体"/>
          <w:sz w:val="36"/>
          <w:szCs w:val="36"/>
        </w:rPr>
        <w:t>第四部分 名词解释</w:t>
      </w:r>
    </w:p>
    <w:p>
      <w:pPr>
        <w:spacing w:line="580" w:lineRule="exact"/>
        <w:ind w:left="1602" w:hanging="1602" w:hangingChars="445"/>
        <w:rPr>
          <w:rFonts w:ascii="黑体" w:eastAsia="黑体"/>
          <w:sz w:val="36"/>
          <w:szCs w:val="36"/>
        </w:rPr>
      </w:pPr>
    </w:p>
    <w:p>
      <w:pPr>
        <w:spacing w:line="580" w:lineRule="exact"/>
        <w:ind w:left="1602" w:hanging="1602" w:hangingChars="445"/>
        <w:rPr>
          <w:rFonts w:ascii="黑体" w:eastAsia="黑体"/>
          <w:sz w:val="36"/>
          <w:szCs w:val="36"/>
        </w:rPr>
      </w:pPr>
    </w:p>
    <w:p>
      <w:pPr>
        <w:ind w:left="1608" w:leftChars="766"/>
        <w:rPr>
          <w:rFonts w:ascii="黑体" w:eastAsia="黑体"/>
          <w:sz w:val="36"/>
          <w:szCs w:val="36"/>
        </w:rPr>
      </w:pPr>
    </w:p>
    <w:p>
      <w:pPr>
        <w:rPr>
          <w:rFonts w:ascii="黑体" w:eastAsia="黑体"/>
          <w:sz w:val="36"/>
          <w:szCs w:val="36"/>
        </w:rPr>
      </w:pPr>
    </w:p>
    <w:p>
      <w:pPr>
        <w:rPr>
          <w:rFonts w:ascii="黑体" w:eastAsia="黑体"/>
          <w:sz w:val="36"/>
          <w:szCs w:val="36"/>
        </w:rPr>
      </w:pPr>
    </w:p>
    <w:p>
      <w:pPr>
        <w:rPr>
          <w:rFonts w:ascii="黑体" w:eastAsia="黑体"/>
          <w:sz w:val="36"/>
          <w:szCs w:val="36"/>
        </w:rPr>
      </w:pPr>
    </w:p>
    <w:p>
      <w:pPr>
        <w:rPr>
          <w:rFonts w:ascii="黑体" w:eastAsia="黑体"/>
          <w:b/>
          <w:sz w:val="36"/>
          <w:szCs w:val="36"/>
        </w:rPr>
      </w:pPr>
    </w:p>
    <w:p>
      <w:pPr>
        <w:rPr>
          <w:rFonts w:ascii="黑体" w:eastAsia="黑体"/>
          <w:sz w:val="52"/>
          <w:szCs w:val="52"/>
        </w:rPr>
      </w:pPr>
      <w:r>
        <w:rPr>
          <w:rFonts w:hint="eastAsia" w:ascii="黑体" w:eastAsia="黑体"/>
          <w:sz w:val="52"/>
          <w:szCs w:val="52"/>
        </w:rPr>
        <w:t xml:space="preserve">第一部分 </w:t>
      </w:r>
    </w:p>
    <w:p>
      <w:pPr>
        <w:ind w:firstLine="1040" w:firstLineChars="200"/>
        <w:rPr>
          <w:rFonts w:ascii="黑体" w:eastAsia="黑体"/>
          <w:sz w:val="52"/>
          <w:szCs w:val="52"/>
        </w:rPr>
      </w:pPr>
    </w:p>
    <w:p>
      <w:pPr>
        <w:ind w:firstLine="1040" w:firstLineChars="200"/>
        <w:rPr>
          <w:rFonts w:ascii="黑体" w:eastAsia="黑体"/>
          <w:sz w:val="52"/>
          <w:szCs w:val="52"/>
        </w:rPr>
      </w:pPr>
    </w:p>
    <w:p>
      <w:pPr>
        <w:ind w:firstLine="1040" w:firstLineChars="200"/>
        <w:rPr>
          <w:rFonts w:ascii="黑体" w:eastAsia="黑体"/>
          <w:sz w:val="52"/>
          <w:szCs w:val="52"/>
        </w:rPr>
      </w:pPr>
    </w:p>
    <w:p>
      <w:pPr>
        <w:jc w:val="center"/>
        <w:rPr>
          <w:rFonts w:ascii="黑体" w:eastAsia="黑体"/>
          <w:sz w:val="52"/>
          <w:szCs w:val="52"/>
        </w:rPr>
      </w:pPr>
      <w:r>
        <w:rPr>
          <w:rFonts w:hint="eastAsia" w:ascii="黑体" w:eastAsia="黑体"/>
          <w:sz w:val="52"/>
          <w:szCs w:val="52"/>
        </w:rPr>
        <w:t>部门概况</w:t>
      </w:r>
    </w:p>
    <w:p>
      <w:pPr>
        <w:rPr>
          <w:rFonts w:ascii="黑体" w:eastAsia="黑体"/>
          <w:b/>
          <w:sz w:val="36"/>
          <w:szCs w:val="36"/>
        </w:rPr>
      </w:pPr>
    </w:p>
    <w:p>
      <w:pPr>
        <w:rPr>
          <w:rFonts w:ascii="黑体" w:eastAsia="黑体"/>
          <w:b/>
          <w:sz w:val="36"/>
          <w:szCs w:val="36"/>
        </w:rPr>
      </w:pPr>
    </w:p>
    <w:p>
      <w:pPr>
        <w:rPr>
          <w:rFonts w:ascii="黑体" w:eastAsia="黑体"/>
          <w:b/>
          <w:sz w:val="36"/>
          <w:szCs w:val="36"/>
        </w:rPr>
      </w:pPr>
    </w:p>
    <w:p>
      <w:pPr>
        <w:rPr>
          <w:rFonts w:ascii="黑体" w:eastAsia="黑体"/>
          <w:b/>
          <w:sz w:val="36"/>
          <w:szCs w:val="36"/>
        </w:rPr>
      </w:pPr>
    </w:p>
    <w:p>
      <w:pPr>
        <w:rPr>
          <w:rFonts w:ascii="黑体" w:eastAsia="黑体"/>
          <w:b/>
          <w:sz w:val="36"/>
          <w:szCs w:val="36"/>
        </w:rPr>
      </w:pPr>
    </w:p>
    <w:p>
      <w:pPr>
        <w:rPr>
          <w:rFonts w:ascii="黑体" w:eastAsia="黑体"/>
          <w:b/>
          <w:sz w:val="36"/>
          <w:szCs w:val="36"/>
        </w:rPr>
      </w:pPr>
    </w:p>
    <w:p>
      <w:pPr>
        <w:rPr>
          <w:rFonts w:ascii="黑体" w:eastAsia="黑体"/>
          <w:b/>
          <w:sz w:val="36"/>
          <w:szCs w:val="36"/>
        </w:rPr>
      </w:pPr>
    </w:p>
    <w:p>
      <w:pPr>
        <w:rPr>
          <w:rFonts w:ascii="黑体" w:eastAsia="黑体"/>
          <w:b/>
          <w:sz w:val="36"/>
          <w:szCs w:val="36"/>
        </w:rPr>
      </w:pPr>
    </w:p>
    <w:p>
      <w:pPr>
        <w:rPr>
          <w:rFonts w:ascii="黑体" w:eastAsia="黑体"/>
          <w:b/>
          <w:sz w:val="36"/>
          <w:szCs w:val="36"/>
        </w:rPr>
      </w:pPr>
    </w:p>
    <w:p>
      <w:pPr>
        <w:rPr>
          <w:rFonts w:ascii="黑体" w:eastAsia="黑体"/>
          <w:b/>
          <w:sz w:val="36"/>
          <w:szCs w:val="36"/>
        </w:rPr>
      </w:pPr>
    </w:p>
    <w:p>
      <w:pPr>
        <w:rPr>
          <w:rFonts w:ascii="黑体" w:eastAsia="黑体"/>
          <w:b/>
          <w:sz w:val="36"/>
          <w:szCs w:val="36"/>
        </w:rPr>
      </w:pPr>
    </w:p>
    <w:p>
      <w:pPr>
        <w:numPr>
          <w:ilvl w:val="0"/>
          <w:numId w:val="1"/>
        </w:numPr>
        <w:spacing w:line="580" w:lineRule="exact"/>
        <w:rPr>
          <w:rFonts w:ascii="黑体" w:eastAsia="黑体"/>
          <w:sz w:val="32"/>
          <w:szCs w:val="32"/>
        </w:rPr>
      </w:pPr>
      <w:r>
        <w:rPr>
          <w:rFonts w:hint="eastAsia" w:ascii="黑体" w:eastAsia="黑体"/>
          <w:sz w:val="32"/>
          <w:szCs w:val="32"/>
        </w:rPr>
        <w:t>主要职能</w:t>
      </w:r>
    </w:p>
    <w:p>
      <w:pPr>
        <w:spacing w:line="580" w:lineRule="exact"/>
        <w:ind w:firstLine="645"/>
        <w:rPr>
          <w:rFonts w:ascii="仿宋_GB2312" w:eastAsia="仿宋_GB2312"/>
          <w:sz w:val="32"/>
          <w:szCs w:val="32"/>
        </w:rPr>
      </w:pPr>
      <w:r>
        <w:rPr>
          <w:rFonts w:hint="eastAsia" w:ascii="仿宋_GB2312" w:eastAsia="仿宋_GB2312"/>
          <w:sz w:val="32"/>
          <w:szCs w:val="32"/>
        </w:rPr>
        <w:t>(一)贯彻执行国家和省有关教育工作的方针政策和法律法规 拟订全市教育工作的政策法规并监督实施。</w:t>
      </w:r>
    </w:p>
    <w:p>
      <w:pPr>
        <w:spacing w:line="580" w:lineRule="exact"/>
        <w:ind w:firstLine="645"/>
        <w:rPr>
          <w:rFonts w:ascii="仿宋_GB2312" w:eastAsia="仿宋_GB2312"/>
          <w:sz w:val="32"/>
          <w:szCs w:val="32"/>
        </w:rPr>
      </w:pPr>
      <w:r>
        <w:rPr>
          <w:rFonts w:hint="eastAsia" w:ascii="仿宋_GB2312" w:eastAsia="仿宋_GB2312"/>
          <w:sz w:val="32"/>
          <w:szCs w:val="32"/>
        </w:rPr>
        <w:t>(二)拟定全市教育事业发展规划，提出教育体制改革意见和建议、教育发展规模、结构、速度及发展重点并组织实施；负责教育督导和评估。</w:t>
      </w:r>
    </w:p>
    <w:p>
      <w:pPr>
        <w:spacing w:line="580" w:lineRule="exact"/>
        <w:ind w:firstLine="645"/>
        <w:rPr>
          <w:rFonts w:ascii="仿宋_GB2312" w:eastAsia="仿宋_GB2312"/>
          <w:sz w:val="32"/>
          <w:szCs w:val="32"/>
        </w:rPr>
      </w:pPr>
      <w:r>
        <w:rPr>
          <w:rFonts w:hint="eastAsia" w:ascii="仿宋_GB2312" w:eastAsia="仿宋_GB2312"/>
          <w:sz w:val="32"/>
          <w:szCs w:val="32"/>
        </w:rPr>
        <w:t>(三)指导、协调各区(市)、各部门有关教育工作和教育教学改革；负责有关学校的规划、布局和调整。</w:t>
      </w:r>
    </w:p>
    <w:p>
      <w:pPr>
        <w:spacing w:line="580" w:lineRule="exact"/>
        <w:ind w:firstLine="645"/>
        <w:rPr>
          <w:rFonts w:ascii="仿宋_GB2312" w:eastAsia="仿宋_GB2312"/>
          <w:sz w:val="32"/>
          <w:szCs w:val="32"/>
        </w:rPr>
      </w:pPr>
      <w:r>
        <w:rPr>
          <w:rFonts w:hint="eastAsia" w:ascii="仿宋_GB2312" w:eastAsia="仿宋_GB2312"/>
          <w:sz w:val="32"/>
          <w:szCs w:val="32"/>
        </w:rPr>
        <w:t>(四)会同有关部门承办市属高校、成人高校、中等专业学校等有关招生工作；负责全市高中阶段教育和成人教育、市属高等教育及市区初中教育的管理工作。</w:t>
      </w:r>
    </w:p>
    <w:p>
      <w:pPr>
        <w:spacing w:line="580" w:lineRule="exact"/>
        <w:ind w:firstLine="645"/>
        <w:rPr>
          <w:rFonts w:ascii="仿宋_GB2312" w:eastAsia="仿宋_GB2312"/>
          <w:sz w:val="32"/>
          <w:szCs w:val="32"/>
        </w:rPr>
      </w:pPr>
      <w:r>
        <w:rPr>
          <w:rFonts w:hint="eastAsia" w:ascii="仿宋_GB2312" w:eastAsia="仿宋_GB2312"/>
          <w:sz w:val="32"/>
          <w:szCs w:val="32"/>
        </w:rPr>
        <w:t>(五)规划、指导全市教师和教育行政干部队伍建设，指导教育人事制度改革和学校内部管理体制改革，指导全市师范类毕业生就业和就业制度改革。</w:t>
      </w:r>
    </w:p>
    <w:p>
      <w:pPr>
        <w:spacing w:line="580" w:lineRule="exact"/>
        <w:ind w:firstLine="645"/>
        <w:rPr>
          <w:rFonts w:ascii="仿宋_GB2312" w:eastAsia="仿宋_GB2312"/>
          <w:sz w:val="32"/>
          <w:szCs w:val="32"/>
        </w:rPr>
      </w:pPr>
      <w:r>
        <w:rPr>
          <w:rFonts w:hint="eastAsia" w:ascii="仿宋_GB2312" w:eastAsia="仿宋_GB2312"/>
          <w:sz w:val="32"/>
          <w:szCs w:val="32"/>
        </w:rPr>
        <w:t>(六)会同有关部门拟定教育经费筹措、教育拨款、教育基建投资、教育收费的政策、规定并组织实施，按规定管理国内外对我市的教育援助和教育贷款。</w:t>
      </w:r>
    </w:p>
    <w:p>
      <w:pPr>
        <w:spacing w:line="580" w:lineRule="exact"/>
        <w:ind w:firstLine="645"/>
        <w:rPr>
          <w:rFonts w:ascii="仿宋_GB2312" w:eastAsia="仿宋_GB2312"/>
          <w:sz w:val="32"/>
          <w:szCs w:val="32"/>
        </w:rPr>
      </w:pPr>
      <w:r>
        <w:rPr>
          <w:rFonts w:hint="eastAsia" w:ascii="仿宋_GB2312" w:eastAsia="仿宋_GB2312"/>
          <w:sz w:val="32"/>
          <w:szCs w:val="32"/>
        </w:rPr>
        <w:t>(七)协调驻青高校、中等专业学校与本市的有关工作，参与协调“产学研”结合等工作。</w:t>
      </w:r>
    </w:p>
    <w:p>
      <w:pPr>
        <w:spacing w:line="580" w:lineRule="exact"/>
        <w:ind w:firstLine="645"/>
        <w:rPr>
          <w:rFonts w:ascii="仿宋_GB2312" w:eastAsia="仿宋_GB2312"/>
          <w:sz w:val="32"/>
          <w:szCs w:val="32"/>
        </w:rPr>
      </w:pPr>
      <w:r>
        <w:rPr>
          <w:rFonts w:hint="eastAsia" w:ascii="仿宋_GB2312" w:eastAsia="仿宋_GB2312"/>
          <w:sz w:val="32"/>
          <w:szCs w:val="32"/>
        </w:rPr>
        <w:t>(八)组织、指导教育科研和教学研究工作，统筹规划全市教育信息化建设，指导电化教育工作。</w:t>
      </w:r>
    </w:p>
    <w:p>
      <w:pPr>
        <w:spacing w:line="580" w:lineRule="exact"/>
        <w:ind w:firstLine="645"/>
        <w:rPr>
          <w:rFonts w:ascii="仿宋_GB2312" w:eastAsia="仿宋_GB2312"/>
          <w:sz w:val="32"/>
          <w:szCs w:val="32"/>
        </w:rPr>
      </w:pPr>
      <w:r>
        <w:rPr>
          <w:rFonts w:hint="eastAsia" w:ascii="仿宋_GB2312" w:eastAsia="仿宋_GB2312"/>
          <w:sz w:val="32"/>
          <w:szCs w:val="32"/>
        </w:rPr>
        <w:t>(九)指导全市学校校舍场地建设和修缮，拟定全市教育技术装备规划并组织实施 指导全市勤工俭学、校办产业工作。</w:t>
      </w:r>
    </w:p>
    <w:p>
      <w:pPr>
        <w:spacing w:line="580" w:lineRule="exact"/>
        <w:ind w:firstLine="645"/>
        <w:rPr>
          <w:rFonts w:ascii="仿宋_GB2312" w:eastAsia="仿宋_GB2312"/>
          <w:sz w:val="32"/>
          <w:szCs w:val="32"/>
        </w:rPr>
      </w:pPr>
      <w:r>
        <w:rPr>
          <w:rFonts w:hint="eastAsia" w:ascii="仿宋_GB2312" w:eastAsia="仿宋_GB2312"/>
          <w:sz w:val="32"/>
          <w:szCs w:val="32"/>
        </w:rPr>
        <w:t>(十)负责管理全市语言文字工作。</w:t>
      </w:r>
    </w:p>
    <w:p>
      <w:pPr>
        <w:spacing w:line="580" w:lineRule="exact"/>
        <w:ind w:firstLine="645"/>
        <w:rPr>
          <w:rFonts w:ascii="仿宋_GB2312" w:eastAsia="仿宋_GB2312"/>
          <w:sz w:val="32"/>
          <w:szCs w:val="32"/>
        </w:rPr>
      </w:pPr>
      <w:r>
        <w:rPr>
          <w:rFonts w:hint="eastAsia" w:ascii="仿宋_GB2312" w:eastAsia="仿宋_GB2312"/>
          <w:sz w:val="32"/>
          <w:szCs w:val="32"/>
        </w:rPr>
        <w:t>(十一)组织开展教育对外交流与合作。</w:t>
      </w:r>
    </w:p>
    <w:p>
      <w:pPr>
        <w:spacing w:line="580" w:lineRule="exact"/>
        <w:ind w:firstLine="645"/>
        <w:rPr>
          <w:rFonts w:ascii="黑体" w:eastAsia="黑体"/>
          <w:b/>
          <w:sz w:val="30"/>
          <w:szCs w:val="30"/>
        </w:rPr>
      </w:pPr>
      <w:r>
        <w:rPr>
          <w:rFonts w:hint="eastAsia" w:ascii="仿宋_GB2312" w:eastAsia="仿宋_GB2312"/>
          <w:sz w:val="32"/>
          <w:szCs w:val="32"/>
        </w:rPr>
        <w:t>(十二)承办市政府和上级业务部门交办的其他事项。</w:t>
      </w:r>
    </w:p>
    <w:p>
      <w:pPr>
        <w:numPr>
          <w:ilvl w:val="0"/>
          <w:numId w:val="1"/>
        </w:numPr>
        <w:spacing w:line="580" w:lineRule="exact"/>
        <w:rPr>
          <w:rFonts w:ascii="黑体" w:eastAsia="黑体"/>
          <w:sz w:val="32"/>
          <w:szCs w:val="32"/>
        </w:rPr>
      </w:pPr>
      <w:r>
        <w:rPr>
          <w:rFonts w:hint="eastAsia" w:ascii="黑体" w:eastAsia="黑体"/>
          <w:sz w:val="32"/>
          <w:szCs w:val="32"/>
        </w:rPr>
        <w:t>部门决算单位构成</w:t>
      </w:r>
    </w:p>
    <w:p>
      <w:pPr>
        <w:snapToGrid w:val="0"/>
        <w:spacing w:line="580" w:lineRule="exact"/>
        <w:ind w:firstLine="640" w:firstLineChars="200"/>
        <w:rPr>
          <w:rFonts w:ascii="仿宋_GB2312" w:eastAsia="仿宋_GB2312" w:cs="Courier New"/>
          <w:sz w:val="32"/>
          <w:szCs w:val="32"/>
        </w:rPr>
      </w:pPr>
      <w:r>
        <w:rPr>
          <w:rFonts w:hint="eastAsia" w:ascii="仿宋_GB2312" w:hAnsi="宋体" w:eastAsia="仿宋_GB2312" w:cs="Courier New"/>
          <w:sz w:val="32"/>
          <w:szCs w:val="32"/>
        </w:rPr>
        <w:t>青岛市教育局部门决算包括：局本级决算、局属事业单位决算。</w:t>
      </w:r>
    </w:p>
    <w:p>
      <w:pPr>
        <w:spacing w:line="580" w:lineRule="exact"/>
        <w:ind w:firstLine="480" w:firstLineChars="150"/>
        <w:rPr>
          <w:rFonts w:ascii="仿宋_GB2312" w:hAnsi="宋体" w:eastAsia="仿宋_GB2312" w:cs="Courier New"/>
          <w:sz w:val="32"/>
          <w:szCs w:val="32"/>
        </w:rPr>
      </w:pPr>
      <w:r>
        <w:rPr>
          <w:rFonts w:hint="eastAsia" w:ascii="仿宋_GB2312" w:hAnsi="宋体" w:eastAsia="仿宋_GB2312" w:cs="Courier New"/>
          <w:sz w:val="32"/>
          <w:szCs w:val="32"/>
        </w:rPr>
        <w:t>纳入青岛市教育局2016年部门决算汇编范围的单位共46个，包括：</w:t>
      </w:r>
    </w:p>
    <w:p>
      <w:pPr>
        <w:spacing w:line="580" w:lineRule="exact"/>
        <w:ind w:firstLine="480" w:firstLineChars="150"/>
        <w:rPr>
          <w:rFonts w:ascii="仿宋_GB2312" w:hAnsi="宋体" w:eastAsia="仿宋_GB2312" w:cs="Courier New"/>
          <w:sz w:val="32"/>
          <w:szCs w:val="32"/>
        </w:rPr>
      </w:pPr>
      <w:r>
        <w:rPr>
          <w:rFonts w:hint="eastAsia" w:ascii="仿宋_GB2312" w:hAnsi="宋体" w:eastAsia="仿宋_GB2312" w:cs="Courier New"/>
          <w:sz w:val="32"/>
          <w:szCs w:val="32"/>
        </w:rPr>
        <w:t>1、青岛市教育局本级</w:t>
      </w:r>
    </w:p>
    <w:p>
      <w:pPr>
        <w:spacing w:line="580" w:lineRule="exact"/>
        <w:ind w:firstLine="480" w:firstLineChars="150"/>
        <w:rPr>
          <w:rFonts w:ascii="仿宋_GB2312" w:hAnsi="宋体" w:eastAsia="仿宋_GB2312" w:cs="Courier New"/>
          <w:sz w:val="32"/>
          <w:szCs w:val="32"/>
        </w:rPr>
      </w:pPr>
      <w:r>
        <w:rPr>
          <w:rFonts w:hint="eastAsia" w:ascii="仿宋_GB2312" w:hAnsi="宋体" w:eastAsia="仿宋_GB2312" w:cs="Courier New"/>
          <w:sz w:val="32"/>
          <w:szCs w:val="32"/>
        </w:rPr>
        <w:t>2、山东省青岛第一中学</w:t>
      </w:r>
    </w:p>
    <w:p>
      <w:pPr>
        <w:spacing w:line="580" w:lineRule="exact"/>
        <w:ind w:firstLine="480" w:firstLineChars="150"/>
        <w:rPr>
          <w:rFonts w:ascii="仿宋_GB2312" w:hAnsi="宋体" w:eastAsia="仿宋_GB2312" w:cs="Courier New"/>
          <w:sz w:val="32"/>
          <w:szCs w:val="32"/>
        </w:rPr>
      </w:pPr>
      <w:r>
        <w:rPr>
          <w:rFonts w:ascii="仿宋_GB2312" w:hAnsi="宋体" w:eastAsia="仿宋_GB2312" w:cs="Courier New"/>
          <w:sz w:val="32"/>
          <w:szCs w:val="32"/>
        </w:rPr>
        <w:t>3</w:t>
      </w:r>
      <w:r>
        <w:rPr>
          <w:rFonts w:hint="eastAsia" w:ascii="仿宋_GB2312" w:hAnsi="宋体" w:eastAsia="仿宋_GB2312" w:cs="Courier New"/>
          <w:sz w:val="32"/>
          <w:szCs w:val="32"/>
        </w:rPr>
        <w:t>、山东省青岛第二中学</w:t>
      </w:r>
    </w:p>
    <w:p>
      <w:pPr>
        <w:spacing w:line="580" w:lineRule="exact"/>
        <w:ind w:firstLine="480" w:firstLineChars="150"/>
        <w:rPr>
          <w:rFonts w:ascii="仿宋_GB2312" w:hAnsi="宋体" w:eastAsia="仿宋_GB2312" w:cs="Courier New"/>
          <w:sz w:val="32"/>
          <w:szCs w:val="32"/>
        </w:rPr>
      </w:pPr>
      <w:r>
        <w:rPr>
          <w:rFonts w:hint="eastAsia" w:ascii="仿宋_GB2312" w:hAnsi="宋体" w:eastAsia="仿宋_GB2312" w:cs="Courier New"/>
          <w:sz w:val="32"/>
          <w:szCs w:val="32"/>
        </w:rPr>
        <w:t>4、山东省青岛实验初级中学</w:t>
      </w:r>
    </w:p>
    <w:p>
      <w:pPr>
        <w:spacing w:line="580" w:lineRule="exact"/>
        <w:ind w:firstLine="480" w:firstLineChars="150"/>
        <w:rPr>
          <w:rFonts w:ascii="仿宋_GB2312" w:hAnsi="宋体" w:eastAsia="仿宋_GB2312" w:cs="Courier New"/>
          <w:sz w:val="32"/>
          <w:szCs w:val="32"/>
        </w:rPr>
      </w:pPr>
      <w:r>
        <w:rPr>
          <w:rFonts w:ascii="仿宋_GB2312" w:hAnsi="宋体" w:eastAsia="仿宋_GB2312" w:cs="Courier New"/>
          <w:sz w:val="32"/>
          <w:szCs w:val="32"/>
        </w:rPr>
        <w:t>5</w:t>
      </w:r>
      <w:r>
        <w:rPr>
          <w:rFonts w:hint="eastAsia" w:ascii="仿宋_GB2312" w:hAnsi="宋体" w:eastAsia="仿宋_GB2312" w:cs="Courier New"/>
          <w:sz w:val="32"/>
          <w:szCs w:val="32"/>
        </w:rPr>
        <w:t>、山东省青岛第三中学</w:t>
      </w:r>
    </w:p>
    <w:p>
      <w:pPr>
        <w:spacing w:line="580" w:lineRule="exact"/>
        <w:ind w:firstLine="480" w:firstLineChars="150"/>
        <w:rPr>
          <w:rFonts w:ascii="仿宋_GB2312" w:hAnsi="宋体" w:eastAsia="仿宋_GB2312" w:cs="Courier New"/>
          <w:sz w:val="32"/>
          <w:szCs w:val="32"/>
        </w:rPr>
      </w:pPr>
      <w:r>
        <w:rPr>
          <w:rFonts w:hint="eastAsia" w:ascii="仿宋_GB2312" w:hAnsi="宋体" w:eastAsia="仿宋_GB2312" w:cs="Courier New"/>
          <w:sz w:val="32"/>
          <w:szCs w:val="32"/>
        </w:rPr>
        <w:t>6、山东省青岛第六中学</w:t>
      </w:r>
    </w:p>
    <w:p>
      <w:pPr>
        <w:spacing w:line="580" w:lineRule="exact"/>
        <w:ind w:firstLine="480" w:firstLineChars="150"/>
        <w:rPr>
          <w:rFonts w:ascii="仿宋_GB2312" w:hAnsi="宋体" w:eastAsia="仿宋_GB2312" w:cs="Courier New"/>
          <w:sz w:val="32"/>
          <w:szCs w:val="32"/>
        </w:rPr>
      </w:pPr>
      <w:r>
        <w:rPr>
          <w:rFonts w:ascii="仿宋_GB2312" w:hAnsi="宋体" w:eastAsia="仿宋_GB2312" w:cs="Courier New"/>
          <w:sz w:val="32"/>
          <w:szCs w:val="32"/>
        </w:rPr>
        <w:t>7</w:t>
      </w:r>
      <w:r>
        <w:rPr>
          <w:rFonts w:hint="eastAsia" w:ascii="仿宋_GB2312" w:hAnsi="宋体" w:eastAsia="仿宋_GB2312" w:cs="Courier New"/>
          <w:sz w:val="32"/>
          <w:szCs w:val="32"/>
        </w:rPr>
        <w:t>、山东省青岛第九中学</w:t>
      </w:r>
    </w:p>
    <w:p>
      <w:pPr>
        <w:spacing w:line="580" w:lineRule="exact"/>
        <w:ind w:firstLine="480" w:firstLineChars="150"/>
        <w:rPr>
          <w:rFonts w:ascii="仿宋_GB2312" w:hAnsi="宋体" w:eastAsia="仿宋_GB2312" w:cs="Courier New"/>
          <w:sz w:val="32"/>
          <w:szCs w:val="32"/>
        </w:rPr>
      </w:pPr>
      <w:r>
        <w:rPr>
          <w:rFonts w:ascii="仿宋_GB2312" w:hAnsi="宋体" w:eastAsia="仿宋_GB2312" w:cs="Courier New"/>
          <w:sz w:val="32"/>
          <w:szCs w:val="32"/>
        </w:rPr>
        <w:t>8</w:t>
      </w:r>
      <w:r>
        <w:rPr>
          <w:rFonts w:hint="eastAsia" w:ascii="仿宋_GB2312" w:hAnsi="宋体" w:eastAsia="仿宋_GB2312" w:cs="Courier New"/>
          <w:sz w:val="32"/>
          <w:szCs w:val="32"/>
        </w:rPr>
        <w:t>、青岛外事服务职业学校</w:t>
      </w:r>
    </w:p>
    <w:p>
      <w:pPr>
        <w:spacing w:line="580" w:lineRule="exact"/>
        <w:ind w:firstLine="480" w:firstLineChars="150"/>
        <w:rPr>
          <w:rFonts w:ascii="仿宋_GB2312" w:hAnsi="宋体" w:eastAsia="仿宋_GB2312" w:cs="Courier New"/>
          <w:sz w:val="32"/>
          <w:szCs w:val="32"/>
        </w:rPr>
      </w:pPr>
      <w:r>
        <w:rPr>
          <w:rFonts w:ascii="仿宋_GB2312" w:hAnsi="宋体" w:eastAsia="仿宋_GB2312" w:cs="Courier New"/>
          <w:sz w:val="32"/>
          <w:szCs w:val="32"/>
        </w:rPr>
        <w:t>9</w:t>
      </w:r>
      <w:r>
        <w:rPr>
          <w:rFonts w:hint="eastAsia" w:ascii="仿宋_GB2312" w:hAnsi="宋体" w:eastAsia="仿宋_GB2312" w:cs="Courier New"/>
          <w:sz w:val="32"/>
          <w:szCs w:val="32"/>
        </w:rPr>
        <w:t>、青岛交通职业学校</w:t>
      </w:r>
    </w:p>
    <w:p>
      <w:pPr>
        <w:spacing w:line="580" w:lineRule="exact"/>
        <w:ind w:firstLine="480" w:firstLineChars="150"/>
        <w:rPr>
          <w:rFonts w:ascii="仿宋_GB2312" w:hAnsi="宋体" w:eastAsia="仿宋_GB2312" w:cs="Courier New"/>
          <w:sz w:val="32"/>
          <w:szCs w:val="32"/>
        </w:rPr>
      </w:pPr>
      <w:r>
        <w:rPr>
          <w:rFonts w:hint="eastAsia" w:ascii="仿宋_GB2312" w:hAnsi="宋体" w:eastAsia="仿宋_GB2312" w:cs="Courier New"/>
          <w:sz w:val="32"/>
          <w:szCs w:val="32"/>
        </w:rPr>
        <w:t>10、山东省青岛第十五中学</w:t>
      </w:r>
    </w:p>
    <w:p>
      <w:pPr>
        <w:spacing w:line="580" w:lineRule="exact"/>
        <w:ind w:firstLine="480" w:firstLineChars="150"/>
        <w:rPr>
          <w:rFonts w:ascii="仿宋_GB2312" w:hAnsi="宋体" w:eastAsia="仿宋_GB2312" w:cs="Courier New"/>
          <w:sz w:val="32"/>
          <w:szCs w:val="32"/>
        </w:rPr>
      </w:pPr>
      <w:r>
        <w:rPr>
          <w:rFonts w:ascii="仿宋_GB2312" w:hAnsi="宋体" w:eastAsia="仿宋_GB2312" w:cs="Courier New"/>
          <w:sz w:val="32"/>
          <w:szCs w:val="32"/>
        </w:rPr>
        <w:t>11</w:t>
      </w:r>
      <w:r>
        <w:rPr>
          <w:rFonts w:hint="eastAsia" w:ascii="仿宋_GB2312" w:hAnsi="宋体" w:eastAsia="仿宋_GB2312" w:cs="Courier New"/>
          <w:sz w:val="32"/>
          <w:szCs w:val="32"/>
        </w:rPr>
        <w:t>、山东省青岛第十六中学</w:t>
      </w:r>
    </w:p>
    <w:p>
      <w:pPr>
        <w:spacing w:line="580" w:lineRule="exact"/>
        <w:ind w:firstLine="480" w:firstLineChars="150"/>
        <w:rPr>
          <w:rFonts w:ascii="仿宋_GB2312" w:hAnsi="宋体" w:eastAsia="仿宋_GB2312" w:cs="Courier New"/>
          <w:sz w:val="32"/>
          <w:szCs w:val="32"/>
        </w:rPr>
      </w:pPr>
      <w:r>
        <w:rPr>
          <w:rFonts w:ascii="仿宋_GB2312" w:hAnsi="宋体" w:eastAsia="仿宋_GB2312" w:cs="Courier New"/>
          <w:sz w:val="32"/>
          <w:szCs w:val="32"/>
        </w:rPr>
        <w:t>12</w:t>
      </w:r>
      <w:r>
        <w:rPr>
          <w:rFonts w:hint="eastAsia" w:ascii="仿宋_GB2312" w:hAnsi="宋体" w:eastAsia="仿宋_GB2312" w:cs="Courier New"/>
          <w:sz w:val="32"/>
          <w:szCs w:val="32"/>
        </w:rPr>
        <w:t>、山东省青岛第十七中学</w:t>
      </w:r>
    </w:p>
    <w:p>
      <w:pPr>
        <w:spacing w:line="580" w:lineRule="exact"/>
        <w:ind w:firstLine="480" w:firstLineChars="150"/>
        <w:rPr>
          <w:rFonts w:ascii="仿宋_GB2312" w:hAnsi="宋体" w:eastAsia="仿宋_GB2312" w:cs="Courier New"/>
          <w:sz w:val="32"/>
          <w:szCs w:val="32"/>
        </w:rPr>
      </w:pPr>
      <w:r>
        <w:rPr>
          <w:rFonts w:ascii="仿宋_GB2312" w:hAnsi="宋体" w:eastAsia="仿宋_GB2312" w:cs="Courier New"/>
          <w:sz w:val="32"/>
          <w:szCs w:val="32"/>
        </w:rPr>
        <w:t>13</w:t>
      </w:r>
      <w:r>
        <w:rPr>
          <w:rFonts w:hint="eastAsia" w:ascii="仿宋_GB2312" w:hAnsi="宋体" w:eastAsia="仿宋_GB2312" w:cs="Courier New"/>
          <w:sz w:val="32"/>
          <w:szCs w:val="32"/>
        </w:rPr>
        <w:t>、青岛华夏职业学校</w:t>
      </w:r>
    </w:p>
    <w:p>
      <w:pPr>
        <w:spacing w:line="580" w:lineRule="exact"/>
        <w:ind w:firstLine="480" w:firstLineChars="150"/>
        <w:rPr>
          <w:rFonts w:ascii="仿宋_GB2312" w:hAnsi="宋体" w:eastAsia="仿宋_GB2312" w:cs="Courier New"/>
          <w:sz w:val="32"/>
          <w:szCs w:val="32"/>
        </w:rPr>
      </w:pPr>
      <w:r>
        <w:rPr>
          <w:rFonts w:hint="eastAsia" w:ascii="仿宋_GB2312" w:hAnsi="宋体" w:eastAsia="仿宋_GB2312" w:cs="Courier New"/>
          <w:sz w:val="32"/>
          <w:szCs w:val="32"/>
        </w:rPr>
        <w:t>14、山东省青岛第十九中学</w:t>
      </w:r>
    </w:p>
    <w:p>
      <w:pPr>
        <w:spacing w:line="580" w:lineRule="exact"/>
        <w:ind w:firstLine="480" w:firstLineChars="150"/>
        <w:rPr>
          <w:rFonts w:ascii="仿宋_GB2312" w:hAnsi="宋体" w:eastAsia="仿宋_GB2312" w:cs="Courier New"/>
          <w:sz w:val="32"/>
          <w:szCs w:val="32"/>
        </w:rPr>
      </w:pPr>
      <w:r>
        <w:rPr>
          <w:rFonts w:ascii="仿宋_GB2312" w:hAnsi="宋体" w:eastAsia="仿宋_GB2312" w:cs="Courier New"/>
          <w:sz w:val="32"/>
          <w:szCs w:val="32"/>
        </w:rPr>
        <w:t>15</w:t>
      </w:r>
      <w:r>
        <w:rPr>
          <w:rFonts w:hint="eastAsia" w:ascii="仿宋_GB2312" w:hAnsi="宋体" w:eastAsia="仿宋_GB2312" w:cs="Courier New"/>
          <w:sz w:val="32"/>
          <w:szCs w:val="32"/>
        </w:rPr>
        <w:t>、山东省青岛第二十中学</w:t>
      </w:r>
    </w:p>
    <w:p>
      <w:pPr>
        <w:spacing w:line="580" w:lineRule="exact"/>
        <w:ind w:firstLine="480" w:firstLineChars="150"/>
        <w:rPr>
          <w:rFonts w:ascii="仿宋_GB2312" w:hAnsi="宋体" w:eastAsia="仿宋_GB2312" w:cs="Courier New"/>
          <w:sz w:val="32"/>
          <w:szCs w:val="32"/>
        </w:rPr>
      </w:pPr>
      <w:r>
        <w:rPr>
          <w:rFonts w:ascii="仿宋_GB2312" w:hAnsi="宋体" w:eastAsia="仿宋_GB2312" w:cs="Courier New"/>
          <w:sz w:val="32"/>
          <w:szCs w:val="32"/>
        </w:rPr>
        <w:t>16</w:t>
      </w:r>
      <w:r>
        <w:rPr>
          <w:rFonts w:hint="eastAsia" w:ascii="仿宋_GB2312" w:hAnsi="宋体" w:eastAsia="仿宋_GB2312" w:cs="Courier New"/>
          <w:sz w:val="32"/>
          <w:szCs w:val="32"/>
        </w:rPr>
        <w:t>、山东省青岛第二中学分校</w:t>
      </w:r>
    </w:p>
    <w:p>
      <w:pPr>
        <w:spacing w:line="580" w:lineRule="exact"/>
        <w:ind w:firstLine="480" w:firstLineChars="150"/>
        <w:rPr>
          <w:rFonts w:ascii="仿宋_GB2312" w:hAnsi="宋体" w:eastAsia="仿宋_GB2312" w:cs="Courier New"/>
          <w:sz w:val="32"/>
          <w:szCs w:val="32"/>
        </w:rPr>
      </w:pPr>
      <w:r>
        <w:rPr>
          <w:rFonts w:ascii="仿宋_GB2312" w:hAnsi="宋体" w:eastAsia="仿宋_GB2312" w:cs="Courier New"/>
          <w:sz w:val="32"/>
          <w:szCs w:val="32"/>
        </w:rPr>
        <w:t>17</w:t>
      </w:r>
      <w:r>
        <w:rPr>
          <w:rFonts w:hint="eastAsia" w:ascii="仿宋_GB2312" w:hAnsi="宋体" w:eastAsia="仿宋_GB2312" w:cs="Courier New"/>
          <w:sz w:val="32"/>
          <w:szCs w:val="32"/>
        </w:rPr>
        <w:t>、青岛旅游学校</w:t>
      </w:r>
    </w:p>
    <w:p>
      <w:pPr>
        <w:spacing w:line="580" w:lineRule="exact"/>
        <w:ind w:firstLine="480" w:firstLineChars="150"/>
        <w:rPr>
          <w:rFonts w:ascii="仿宋_GB2312" w:hAnsi="宋体" w:eastAsia="仿宋_GB2312" w:cs="Courier New"/>
          <w:sz w:val="32"/>
          <w:szCs w:val="32"/>
        </w:rPr>
      </w:pPr>
      <w:r>
        <w:rPr>
          <w:rFonts w:hint="eastAsia" w:ascii="仿宋_GB2312" w:hAnsi="宋体" w:eastAsia="仿宋_GB2312" w:cs="Courier New"/>
          <w:sz w:val="32"/>
          <w:szCs w:val="32"/>
        </w:rPr>
        <w:t>18、青岛烹饪职业学校</w:t>
      </w:r>
    </w:p>
    <w:p>
      <w:pPr>
        <w:spacing w:line="580" w:lineRule="exact"/>
        <w:ind w:firstLine="480" w:firstLineChars="150"/>
        <w:rPr>
          <w:rFonts w:ascii="仿宋_GB2312" w:hAnsi="宋体" w:eastAsia="仿宋_GB2312" w:cs="Courier New"/>
          <w:sz w:val="32"/>
          <w:szCs w:val="32"/>
        </w:rPr>
      </w:pPr>
      <w:r>
        <w:rPr>
          <w:rFonts w:ascii="仿宋_GB2312" w:hAnsi="宋体" w:eastAsia="仿宋_GB2312" w:cs="Courier New"/>
          <w:sz w:val="32"/>
          <w:szCs w:val="32"/>
        </w:rPr>
        <w:t>19</w:t>
      </w:r>
      <w:r>
        <w:rPr>
          <w:rFonts w:hint="eastAsia" w:ascii="仿宋_GB2312" w:hAnsi="宋体" w:eastAsia="仿宋_GB2312" w:cs="Courier New"/>
          <w:sz w:val="32"/>
          <w:szCs w:val="32"/>
        </w:rPr>
        <w:t>、青岛电子学校</w:t>
      </w:r>
    </w:p>
    <w:p>
      <w:pPr>
        <w:spacing w:line="580" w:lineRule="exact"/>
        <w:ind w:firstLine="480" w:firstLineChars="150"/>
        <w:rPr>
          <w:rFonts w:ascii="仿宋_GB2312" w:hAnsi="宋体" w:eastAsia="仿宋_GB2312" w:cs="Courier New"/>
          <w:sz w:val="32"/>
          <w:szCs w:val="32"/>
        </w:rPr>
      </w:pPr>
      <w:r>
        <w:rPr>
          <w:rFonts w:hint="eastAsia" w:ascii="仿宋_GB2312" w:hAnsi="宋体" w:eastAsia="仿宋_GB2312" w:cs="Courier New"/>
          <w:sz w:val="32"/>
          <w:szCs w:val="32"/>
        </w:rPr>
        <w:t>20、青岛幼儿师范学校</w:t>
      </w:r>
    </w:p>
    <w:p>
      <w:pPr>
        <w:spacing w:line="580" w:lineRule="exact"/>
        <w:ind w:firstLine="480" w:firstLineChars="150"/>
        <w:rPr>
          <w:rFonts w:ascii="仿宋_GB2312" w:hAnsi="宋体" w:eastAsia="仿宋_GB2312" w:cs="Courier New"/>
          <w:sz w:val="32"/>
          <w:szCs w:val="32"/>
        </w:rPr>
      </w:pPr>
      <w:r>
        <w:rPr>
          <w:rFonts w:ascii="仿宋_GB2312" w:hAnsi="宋体" w:eastAsia="仿宋_GB2312" w:cs="Courier New"/>
          <w:sz w:val="32"/>
          <w:szCs w:val="32"/>
        </w:rPr>
        <w:t>21</w:t>
      </w:r>
      <w:r>
        <w:rPr>
          <w:rFonts w:hint="eastAsia" w:ascii="仿宋_GB2312" w:hAnsi="宋体" w:eastAsia="仿宋_GB2312" w:cs="Courier New"/>
          <w:sz w:val="32"/>
          <w:szCs w:val="32"/>
        </w:rPr>
        <w:t>、青岛商务学校</w:t>
      </w:r>
    </w:p>
    <w:p>
      <w:pPr>
        <w:spacing w:line="580" w:lineRule="exact"/>
        <w:ind w:firstLine="480" w:firstLineChars="150"/>
        <w:rPr>
          <w:rFonts w:ascii="仿宋_GB2312" w:hAnsi="宋体" w:eastAsia="仿宋_GB2312" w:cs="Courier New"/>
          <w:sz w:val="32"/>
          <w:szCs w:val="32"/>
        </w:rPr>
      </w:pPr>
      <w:r>
        <w:rPr>
          <w:rFonts w:hint="eastAsia" w:ascii="仿宋_GB2312" w:hAnsi="宋体" w:eastAsia="仿宋_GB2312" w:cs="Courier New"/>
          <w:sz w:val="32"/>
          <w:szCs w:val="32"/>
        </w:rPr>
        <w:t>22、山东省青岛第三十七中学</w:t>
      </w:r>
    </w:p>
    <w:p>
      <w:pPr>
        <w:spacing w:line="580" w:lineRule="exact"/>
        <w:ind w:firstLine="480" w:firstLineChars="150"/>
        <w:rPr>
          <w:rFonts w:ascii="仿宋_GB2312" w:hAnsi="宋体" w:eastAsia="仿宋_GB2312" w:cs="Courier New"/>
          <w:sz w:val="32"/>
          <w:szCs w:val="32"/>
        </w:rPr>
      </w:pPr>
      <w:r>
        <w:rPr>
          <w:rFonts w:ascii="仿宋_GB2312" w:hAnsi="宋体" w:eastAsia="仿宋_GB2312" w:cs="Courier New"/>
          <w:sz w:val="32"/>
          <w:szCs w:val="32"/>
        </w:rPr>
        <w:t>23</w:t>
      </w:r>
      <w:r>
        <w:rPr>
          <w:rFonts w:hint="eastAsia" w:ascii="仿宋_GB2312" w:hAnsi="宋体" w:eastAsia="仿宋_GB2312" w:cs="Courier New"/>
          <w:sz w:val="32"/>
          <w:szCs w:val="32"/>
        </w:rPr>
        <w:t>、山东省青岛第三十九中学</w:t>
      </w:r>
    </w:p>
    <w:p>
      <w:pPr>
        <w:spacing w:line="580" w:lineRule="exact"/>
        <w:ind w:firstLine="480" w:firstLineChars="150"/>
        <w:rPr>
          <w:rFonts w:ascii="仿宋_GB2312" w:hAnsi="宋体" w:eastAsia="仿宋_GB2312" w:cs="Courier New"/>
          <w:sz w:val="32"/>
          <w:szCs w:val="32"/>
        </w:rPr>
      </w:pPr>
      <w:r>
        <w:rPr>
          <w:rFonts w:ascii="仿宋_GB2312" w:hAnsi="宋体" w:eastAsia="仿宋_GB2312" w:cs="Courier New"/>
          <w:sz w:val="32"/>
          <w:szCs w:val="32"/>
        </w:rPr>
        <w:t>24</w:t>
      </w:r>
      <w:r>
        <w:rPr>
          <w:rFonts w:hint="eastAsia" w:ascii="仿宋_GB2312" w:hAnsi="宋体" w:eastAsia="仿宋_GB2312" w:cs="Courier New"/>
          <w:sz w:val="32"/>
          <w:szCs w:val="32"/>
        </w:rPr>
        <w:t>、青岛第四十五中学</w:t>
      </w:r>
    </w:p>
    <w:p>
      <w:pPr>
        <w:spacing w:line="580" w:lineRule="exact"/>
        <w:ind w:firstLine="480" w:firstLineChars="150"/>
        <w:rPr>
          <w:rFonts w:ascii="仿宋_GB2312" w:hAnsi="宋体" w:eastAsia="仿宋_GB2312" w:cs="Courier New"/>
          <w:sz w:val="32"/>
          <w:szCs w:val="32"/>
        </w:rPr>
      </w:pPr>
      <w:r>
        <w:rPr>
          <w:rFonts w:hint="eastAsia" w:ascii="仿宋_GB2312" w:hAnsi="宋体" w:eastAsia="仿宋_GB2312" w:cs="Courier New"/>
          <w:sz w:val="32"/>
          <w:szCs w:val="32"/>
        </w:rPr>
        <w:t>25、青岛艺术学校</w:t>
      </w:r>
    </w:p>
    <w:p>
      <w:pPr>
        <w:spacing w:line="580" w:lineRule="exact"/>
        <w:ind w:firstLine="480" w:firstLineChars="150"/>
        <w:rPr>
          <w:rFonts w:ascii="仿宋_GB2312" w:hAnsi="宋体" w:eastAsia="仿宋_GB2312" w:cs="Courier New"/>
          <w:sz w:val="32"/>
          <w:szCs w:val="32"/>
        </w:rPr>
      </w:pPr>
      <w:r>
        <w:rPr>
          <w:rFonts w:ascii="仿宋_GB2312" w:hAnsi="宋体" w:eastAsia="仿宋_GB2312" w:cs="Courier New"/>
          <w:sz w:val="32"/>
          <w:szCs w:val="32"/>
        </w:rPr>
        <w:t>26</w:t>
      </w:r>
      <w:r>
        <w:rPr>
          <w:rFonts w:hint="eastAsia" w:ascii="仿宋_GB2312" w:hAnsi="宋体" w:eastAsia="仿宋_GB2312" w:cs="Courier New"/>
          <w:sz w:val="32"/>
          <w:szCs w:val="32"/>
        </w:rPr>
        <w:t>、青岛市中学综合实践教育中心</w:t>
      </w:r>
    </w:p>
    <w:p>
      <w:pPr>
        <w:spacing w:line="580" w:lineRule="exact"/>
        <w:ind w:firstLine="480" w:firstLineChars="150"/>
        <w:rPr>
          <w:rFonts w:ascii="仿宋_GB2312" w:hAnsi="宋体" w:eastAsia="仿宋_GB2312" w:cs="Courier New"/>
          <w:sz w:val="32"/>
          <w:szCs w:val="32"/>
        </w:rPr>
      </w:pPr>
      <w:r>
        <w:rPr>
          <w:rFonts w:ascii="仿宋_GB2312" w:hAnsi="宋体" w:eastAsia="仿宋_GB2312" w:cs="Courier New"/>
          <w:sz w:val="32"/>
          <w:szCs w:val="32"/>
        </w:rPr>
        <w:t>27</w:t>
      </w:r>
      <w:r>
        <w:rPr>
          <w:rFonts w:hint="eastAsia" w:ascii="仿宋_GB2312" w:hAnsi="宋体" w:eastAsia="仿宋_GB2312" w:cs="Courier New"/>
          <w:sz w:val="32"/>
          <w:szCs w:val="32"/>
        </w:rPr>
        <w:t>、山东省青岛第五十五中学</w:t>
      </w:r>
    </w:p>
    <w:p>
      <w:pPr>
        <w:spacing w:line="580" w:lineRule="exact"/>
        <w:ind w:firstLine="480" w:firstLineChars="150"/>
        <w:rPr>
          <w:rFonts w:ascii="仿宋_GB2312" w:hAnsi="宋体" w:eastAsia="仿宋_GB2312" w:cs="Courier New"/>
          <w:sz w:val="32"/>
          <w:szCs w:val="32"/>
        </w:rPr>
      </w:pPr>
      <w:r>
        <w:rPr>
          <w:rFonts w:ascii="仿宋_GB2312" w:hAnsi="宋体" w:eastAsia="仿宋_GB2312" w:cs="Courier New"/>
          <w:sz w:val="32"/>
          <w:szCs w:val="32"/>
        </w:rPr>
        <w:t>28</w:t>
      </w:r>
      <w:r>
        <w:rPr>
          <w:rFonts w:hint="eastAsia" w:ascii="仿宋_GB2312" w:hAnsi="宋体" w:eastAsia="仿宋_GB2312" w:cs="Courier New"/>
          <w:sz w:val="32"/>
          <w:szCs w:val="32"/>
        </w:rPr>
        <w:t>、山东省青岛第五十八中学</w:t>
      </w:r>
    </w:p>
    <w:p>
      <w:pPr>
        <w:spacing w:line="580" w:lineRule="exact"/>
        <w:ind w:firstLine="480" w:firstLineChars="150"/>
        <w:rPr>
          <w:rFonts w:ascii="仿宋_GB2312" w:hAnsi="宋体" w:eastAsia="仿宋_GB2312" w:cs="Courier New"/>
          <w:sz w:val="32"/>
          <w:szCs w:val="32"/>
        </w:rPr>
      </w:pPr>
      <w:r>
        <w:rPr>
          <w:rFonts w:ascii="仿宋_GB2312" w:hAnsi="宋体" w:eastAsia="仿宋_GB2312" w:cs="Courier New"/>
          <w:sz w:val="32"/>
          <w:szCs w:val="32"/>
        </w:rPr>
        <w:t>29</w:t>
      </w:r>
      <w:r>
        <w:rPr>
          <w:rFonts w:hint="eastAsia" w:ascii="仿宋_GB2312" w:hAnsi="宋体" w:eastAsia="仿宋_GB2312" w:cs="Courier New"/>
          <w:sz w:val="32"/>
          <w:szCs w:val="32"/>
        </w:rPr>
        <w:t>、山东省青岛第六十六中学</w:t>
      </w:r>
    </w:p>
    <w:p>
      <w:pPr>
        <w:spacing w:line="580" w:lineRule="exact"/>
        <w:ind w:firstLine="480" w:firstLineChars="150"/>
        <w:rPr>
          <w:rFonts w:ascii="仿宋_GB2312" w:hAnsi="宋体" w:eastAsia="仿宋_GB2312" w:cs="Courier New"/>
          <w:sz w:val="32"/>
          <w:szCs w:val="32"/>
        </w:rPr>
      </w:pPr>
      <w:r>
        <w:rPr>
          <w:rFonts w:ascii="仿宋_GB2312" w:hAnsi="宋体" w:eastAsia="仿宋_GB2312" w:cs="Courier New"/>
          <w:sz w:val="32"/>
          <w:szCs w:val="32"/>
        </w:rPr>
        <w:t>30</w:t>
      </w:r>
      <w:r>
        <w:rPr>
          <w:rFonts w:hint="eastAsia" w:ascii="仿宋_GB2312" w:hAnsi="宋体" w:eastAsia="仿宋_GB2312" w:cs="Courier New"/>
          <w:sz w:val="32"/>
          <w:szCs w:val="32"/>
        </w:rPr>
        <w:t>、青岛财经职业学校</w:t>
      </w:r>
    </w:p>
    <w:p>
      <w:pPr>
        <w:spacing w:line="580" w:lineRule="exact"/>
        <w:ind w:firstLine="480" w:firstLineChars="150"/>
        <w:rPr>
          <w:rFonts w:ascii="仿宋_GB2312" w:hAnsi="宋体" w:eastAsia="仿宋_GB2312" w:cs="Courier New"/>
          <w:sz w:val="32"/>
          <w:szCs w:val="32"/>
        </w:rPr>
      </w:pPr>
      <w:r>
        <w:rPr>
          <w:rFonts w:hint="eastAsia" w:ascii="仿宋_GB2312" w:hAnsi="宋体" w:eastAsia="仿宋_GB2312" w:cs="Courier New"/>
          <w:sz w:val="32"/>
          <w:szCs w:val="32"/>
        </w:rPr>
        <w:t>31、青岛市盲校</w:t>
      </w:r>
    </w:p>
    <w:p>
      <w:pPr>
        <w:spacing w:line="580" w:lineRule="exact"/>
        <w:ind w:firstLine="480" w:firstLineChars="150"/>
        <w:rPr>
          <w:rFonts w:ascii="仿宋_GB2312" w:hAnsi="宋体" w:eastAsia="仿宋_GB2312" w:cs="Courier New"/>
          <w:sz w:val="32"/>
          <w:szCs w:val="32"/>
        </w:rPr>
      </w:pPr>
      <w:r>
        <w:rPr>
          <w:rFonts w:ascii="仿宋_GB2312" w:hAnsi="宋体" w:eastAsia="仿宋_GB2312" w:cs="Courier New"/>
          <w:sz w:val="32"/>
          <w:szCs w:val="32"/>
        </w:rPr>
        <w:t>32</w:t>
      </w:r>
      <w:r>
        <w:rPr>
          <w:rFonts w:hint="eastAsia" w:ascii="仿宋_GB2312" w:hAnsi="宋体" w:eastAsia="仿宋_GB2312" w:cs="Courier New"/>
          <w:sz w:val="32"/>
          <w:szCs w:val="32"/>
        </w:rPr>
        <w:t>、青岛市中心聋校</w:t>
      </w:r>
    </w:p>
    <w:p>
      <w:pPr>
        <w:spacing w:line="580" w:lineRule="exact"/>
        <w:ind w:firstLine="480" w:firstLineChars="150"/>
        <w:rPr>
          <w:rFonts w:ascii="仿宋_GB2312" w:hAnsi="宋体" w:eastAsia="仿宋_GB2312" w:cs="Courier New"/>
          <w:sz w:val="32"/>
          <w:szCs w:val="32"/>
        </w:rPr>
      </w:pPr>
      <w:r>
        <w:rPr>
          <w:rFonts w:hint="eastAsia" w:ascii="仿宋_GB2312" w:hAnsi="宋体" w:eastAsia="仿宋_GB2312" w:cs="Courier New"/>
          <w:sz w:val="32"/>
          <w:szCs w:val="32"/>
        </w:rPr>
        <w:t>33、青岛市实验幼儿园</w:t>
      </w:r>
    </w:p>
    <w:p>
      <w:pPr>
        <w:spacing w:line="580" w:lineRule="exact"/>
        <w:ind w:firstLine="480" w:firstLineChars="150"/>
        <w:rPr>
          <w:rFonts w:ascii="仿宋_GB2312" w:hAnsi="宋体" w:eastAsia="仿宋_GB2312" w:cs="Courier New"/>
          <w:sz w:val="32"/>
          <w:szCs w:val="32"/>
        </w:rPr>
      </w:pPr>
      <w:r>
        <w:rPr>
          <w:rFonts w:ascii="仿宋_GB2312" w:hAnsi="宋体" w:eastAsia="仿宋_GB2312" w:cs="Courier New"/>
          <w:sz w:val="32"/>
          <w:szCs w:val="32"/>
        </w:rPr>
        <w:t>34</w:t>
      </w:r>
      <w:r>
        <w:rPr>
          <w:rFonts w:hint="eastAsia" w:ascii="仿宋_GB2312" w:hAnsi="宋体" w:eastAsia="仿宋_GB2312" w:cs="Courier New"/>
          <w:sz w:val="32"/>
          <w:szCs w:val="32"/>
        </w:rPr>
        <w:t>、山东省平度师范学校</w:t>
      </w:r>
    </w:p>
    <w:p>
      <w:pPr>
        <w:spacing w:line="580" w:lineRule="exact"/>
        <w:ind w:firstLine="480" w:firstLineChars="150"/>
        <w:rPr>
          <w:rFonts w:ascii="仿宋_GB2312" w:hAnsi="宋体" w:eastAsia="仿宋_GB2312" w:cs="Courier New"/>
          <w:sz w:val="32"/>
          <w:szCs w:val="32"/>
        </w:rPr>
      </w:pPr>
      <w:r>
        <w:rPr>
          <w:rFonts w:hint="eastAsia" w:ascii="仿宋_GB2312" w:hAnsi="宋体" w:eastAsia="仿宋_GB2312" w:cs="Courier New"/>
          <w:sz w:val="32"/>
          <w:szCs w:val="32"/>
        </w:rPr>
        <w:t>35、青岛市职业教育公共实训基地</w:t>
      </w:r>
    </w:p>
    <w:p>
      <w:pPr>
        <w:spacing w:line="580" w:lineRule="exact"/>
        <w:ind w:firstLine="480" w:firstLineChars="150"/>
        <w:rPr>
          <w:rFonts w:ascii="仿宋_GB2312" w:hAnsi="宋体" w:eastAsia="仿宋_GB2312" w:cs="Courier New"/>
          <w:sz w:val="32"/>
          <w:szCs w:val="32"/>
        </w:rPr>
      </w:pPr>
      <w:r>
        <w:rPr>
          <w:rFonts w:ascii="仿宋_GB2312" w:hAnsi="宋体" w:eastAsia="仿宋_GB2312" w:cs="Courier New"/>
          <w:sz w:val="32"/>
          <w:szCs w:val="32"/>
        </w:rPr>
        <w:t>36</w:t>
      </w:r>
      <w:r>
        <w:rPr>
          <w:rFonts w:hint="eastAsia" w:ascii="仿宋_GB2312" w:hAnsi="宋体" w:eastAsia="仿宋_GB2312" w:cs="Courier New"/>
          <w:sz w:val="32"/>
          <w:szCs w:val="32"/>
        </w:rPr>
        <w:t>、山东省轻工工程学校</w:t>
      </w:r>
    </w:p>
    <w:p>
      <w:pPr>
        <w:spacing w:line="580" w:lineRule="exact"/>
        <w:ind w:firstLine="480" w:firstLineChars="150"/>
        <w:rPr>
          <w:rFonts w:ascii="仿宋_GB2312" w:hAnsi="宋体" w:eastAsia="仿宋_GB2312" w:cs="Courier New"/>
          <w:sz w:val="32"/>
          <w:szCs w:val="32"/>
        </w:rPr>
      </w:pPr>
      <w:r>
        <w:rPr>
          <w:rFonts w:hint="eastAsia" w:ascii="仿宋_GB2312" w:hAnsi="宋体" w:eastAsia="仿宋_GB2312" w:cs="Courier New"/>
          <w:sz w:val="32"/>
          <w:szCs w:val="32"/>
        </w:rPr>
        <w:t>37、青岛市</w:t>
      </w:r>
      <w:r>
        <w:rPr>
          <w:rFonts w:ascii="仿宋_GB2312" w:hAnsi="宋体" w:eastAsia="仿宋_GB2312" w:cs="Courier New"/>
          <w:sz w:val="32"/>
          <w:szCs w:val="32"/>
        </w:rPr>
        <w:t>崂山区第一中学</w:t>
      </w:r>
    </w:p>
    <w:p>
      <w:pPr>
        <w:spacing w:line="580" w:lineRule="exact"/>
        <w:ind w:firstLine="480" w:firstLineChars="150"/>
        <w:rPr>
          <w:rFonts w:ascii="仿宋_GB2312" w:hAnsi="宋体" w:eastAsia="仿宋_GB2312" w:cs="Courier New"/>
          <w:sz w:val="32"/>
          <w:szCs w:val="32"/>
        </w:rPr>
      </w:pPr>
      <w:r>
        <w:rPr>
          <w:rFonts w:ascii="仿宋_GB2312" w:hAnsi="宋体" w:eastAsia="仿宋_GB2312" w:cs="Courier New"/>
          <w:sz w:val="32"/>
          <w:szCs w:val="32"/>
        </w:rPr>
        <w:t>38</w:t>
      </w:r>
      <w:r>
        <w:rPr>
          <w:rFonts w:hint="eastAsia" w:ascii="仿宋_GB2312" w:hAnsi="宋体" w:eastAsia="仿宋_GB2312" w:cs="Courier New"/>
          <w:sz w:val="32"/>
          <w:szCs w:val="32"/>
        </w:rPr>
        <w:t>、</w:t>
      </w:r>
      <w:r>
        <w:rPr>
          <w:rFonts w:ascii="仿宋_GB2312" w:hAnsi="宋体" w:eastAsia="仿宋_GB2312" w:cs="Courier New"/>
          <w:sz w:val="32"/>
          <w:szCs w:val="32"/>
        </w:rPr>
        <w:t>青岛市崂山区第二中学</w:t>
      </w:r>
    </w:p>
    <w:p>
      <w:pPr>
        <w:spacing w:line="580" w:lineRule="exact"/>
        <w:ind w:firstLine="480" w:firstLineChars="150"/>
        <w:rPr>
          <w:rFonts w:ascii="仿宋_GB2312" w:hAnsi="宋体" w:eastAsia="仿宋_GB2312" w:cs="Courier New"/>
          <w:sz w:val="32"/>
          <w:szCs w:val="32"/>
        </w:rPr>
      </w:pPr>
      <w:r>
        <w:rPr>
          <w:rFonts w:ascii="仿宋_GB2312" w:hAnsi="宋体" w:eastAsia="仿宋_GB2312" w:cs="Courier New"/>
          <w:sz w:val="32"/>
          <w:szCs w:val="32"/>
        </w:rPr>
        <w:t>39</w:t>
      </w:r>
      <w:r>
        <w:rPr>
          <w:rFonts w:hint="eastAsia" w:ascii="仿宋_GB2312" w:hAnsi="宋体" w:eastAsia="仿宋_GB2312" w:cs="Courier New"/>
          <w:sz w:val="32"/>
          <w:szCs w:val="32"/>
        </w:rPr>
        <w:t>、</w:t>
      </w:r>
      <w:r>
        <w:rPr>
          <w:rFonts w:ascii="仿宋_GB2312" w:hAnsi="宋体" w:eastAsia="仿宋_GB2312" w:cs="Courier New"/>
          <w:sz w:val="32"/>
          <w:szCs w:val="32"/>
        </w:rPr>
        <w:t>青岛高新职业学校</w:t>
      </w:r>
    </w:p>
    <w:p>
      <w:pPr>
        <w:spacing w:line="580" w:lineRule="exact"/>
        <w:ind w:firstLine="480" w:firstLineChars="150"/>
        <w:rPr>
          <w:rFonts w:ascii="仿宋_GB2312" w:hAnsi="宋体" w:eastAsia="仿宋_GB2312" w:cs="Courier New"/>
          <w:sz w:val="32"/>
          <w:szCs w:val="32"/>
        </w:rPr>
      </w:pPr>
      <w:r>
        <w:rPr>
          <w:rFonts w:hint="eastAsia" w:ascii="仿宋_GB2312" w:hAnsi="宋体" w:eastAsia="仿宋_GB2312" w:cs="Courier New"/>
          <w:sz w:val="32"/>
          <w:szCs w:val="32"/>
        </w:rPr>
        <w:t>40、青岛市中小学后勤管理服务中心</w:t>
      </w:r>
    </w:p>
    <w:p>
      <w:pPr>
        <w:spacing w:line="580" w:lineRule="exact"/>
        <w:ind w:firstLine="480" w:firstLineChars="150"/>
        <w:rPr>
          <w:rFonts w:ascii="仿宋_GB2312" w:hAnsi="宋体" w:eastAsia="仿宋_GB2312" w:cs="Courier New"/>
          <w:sz w:val="32"/>
          <w:szCs w:val="32"/>
        </w:rPr>
      </w:pPr>
      <w:r>
        <w:rPr>
          <w:rFonts w:hint="eastAsia" w:ascii="仿宋_GB2312" w:hAnsi="宋体" w:eastAsia="仿宋_GB2312" w:cs="Courier New"/>
          <w:sz w:val="32"/>
          <w:szCs w:val="32"/>
        </w:rPr>
        <w:t>41、</w:t>
      </w:r>
      <w:r>
        <w:rPr>
          <w:rFonts w:ascii="仿宋_GB2312" w:hAnsi="宋体" w:eastAsia="仿宋_GB2312" w:cs="Courier New"/>
          <w:sz w:val="32"/>
          <w:szCs w:val="32"/>
        </w:rPr>
        <w:t>青岛市教育装备与信息技术中心</w:t>
      </w:r>
    </w:p>
    <w:p>
      <w:pPr>
        <w:spacing w:line="580" w:lineRule="exact"/>
        <w:ind w:firstLine="480" w:firstLineChars="150"/>
        <w:rPr>
          <w:rFonts w:ascii="仿宋_GB2312" w:hAnsi="宋体" w:eastAsia="仿宋_GB2312" w:cs="Courier New"/>
          <w:sz w:val="32"/>
          <w:szCs w:val="32"/>
        </w:rPr>
      </w:pPr>
      <w:r>
        <w:rPr>
          <w:rFonts w:ascii="仿宋_GB2312" w:hAnsi="宋体" w:eastAsia="仿宋_GB2312" w:cs="Courier New"/>
          <w:sz w:val="32"/>
          <w:szCs w:val="32"/>
        </w:rPr>
        <w:t>42</w:t>
      </w:r>
      <w:r>
        <w:rPr>
          <w:rFonts w:hint="eastAsia" w:ascii="仿宋_GB2312" w:hAnsi="宋体" w:eastAsia="仿宋_GB2312" w:cs="Courier New"/>
          <w:sz w:val="32"/>
          <w:szCs w:val="32"/>
        </w:rPr>
        <w:t>、青岛市教育局基建办公室</w:t>
      </w:r>
    </w:p>
    <w:p>
      <w:pPr>
        <w:spacing w:line="580" w:lineRule="exact"/>
        <w:ind w:firstLine="480" w:firstLineChars="150"/>
        <w:rPr>
          <w:rFonts w:ascii="仿宋_GB2312" w:hAnsi="宋体" w:eastAsia="仿宋_GB2312" w:cs="Courier New"/>
          <w:sz w:val="32"/>
          <w:szCs w:val="32"/>
        </w:rPr>
      </w:pPr>
      <w:r>
        <w:rPr>
          <w:rFonts w:hint="eastAsia" w:ascii="仿宋_GB2312" w:hAnsi="宋体" w:eastAsia="仿宋_GB2312" w:cs="Courier New"/>
          <w:sz w:val="32"/>
          <w:szCs w:val="32"/>
        </w:rPr>
        <w:t>43、青岛市教育科学研究院</w:t>
      </w:r>
    </w:p>
    <w:p>
      <w:pPr>
        <w:spacing w:line="580" w:lineRule="exact"/>
        <w:ind w:firstLine="480" w:firstLineChars="150"/>
        <w:rPr>
          <w:rFonts w:ascii="仿宋_GB2312" w:hAnsi="宋体" w:eastAsia="仿宋_GB2312" w:cs="Courier New"/>
          <w:sz w:val="32"/>
          <w:szCs w:val="32"/>
        </w:rPr>
      </w:pPr>
      <w:r>
        <w:rPr>
          <w:rFonts w:hint="eastAsia" w:ascii="仿宋_GB2312" w:hAnsi="宋体" w:eastAsia="仿宋_GB2312" w:cs="Courier New"/>
          <w:sz w:val="32"/>
          <w:szCs w:val="32"/>
        </w:rPr>
        <w:t>44、青岛市招生考试办公室</w:t>
      </w:r>
    </w:p>
    <w:p>
      <w:pPr>
        <w:spacing w:line="580" w:lineRule="exact"/>
        <w:ind w:firstLine="480" w:firstLineChars="150"/>
        <w:rPr>
          <w:rFonts w:ascii="仿宋_GB2312" w:hAnsi="宋体" w:eastAsia="仿宋_GB2312" w:cs="Courier New"/>
          <w:sz w:val="32"/>
          <w:szCs w:val="32"/>
        </w:rPr>
      </w:pPr>
      <w:r>
        <w:rPr>
          <w:rFonts w:hint="eastAsia" w:ascii="仿宋_GB2312" w:hAnsi="宋体" w:eastAsia="仿宋_GB2312" w:cs="Courier New"/>
          <w:sz w:val="32"/>
          <w:szCs w:val="32"/>
        </w:rPr>
        <w:t>45、青岛市学生资助管理中心</w:t>
      </w:r>
    </w:p>
    <w:p>
      <w:pPr>
        <w:spacing w:line="580" w:lineRule="exact"/>
        <w:ind w:firstLine="480" w:firstLineChars="150"/>
        <w:rPr>
          <w:rFonts w:ascii="仿宋_GB2312" w:hAnsi="宋体" w:eastAsia="仿宋_GB2312" w:cs="Courier New"/>
          <w:sz w:val="32"/>
          <w:szCs w:val="32"/>
        </w:rPr>
      </w:pPr>
      <w:r>
        <w:rPr>
          <w:rFonts w:hint="eastAsia" w:ascii="仿宋_GB2312" w:hAnsi="宋体" w:eastAsia="仿宋_GB2312" w:cs="Courier New"/>
          <w:sz w:val="32"/>
          <w:szCs w:val="32"/>
        </w:rPr>
        <w:t>46、青岛市教育人才综合服务中心</w:t>
      </w:r>
    </w:p>
    <w:p>
      <w:pPr>
        <w:rPr>
          <w:rFonts w:ascii="黑体" w:eastAsia="黑体"/>
          <w:b/>
          <w:sz w:val="48"/>
          <w:szCs w:val="48"/>
        </w:rPr>
      </w:pPr>
    </w:p>
    <w:p>
      <w:pPr>
        <w:rPr>
          <w:rFonts w:ascii="黑体" w:eastAsia="黑体"/>
          <w:b/>
          <w:sz w:val="48"/>
          <w:szCs w:val="48"/>
        </w:rPr>
      </w:pPr>
    </w:p>
    <w:p>
      <w:pPr>
        <w:spacing w:line="580" w:lineRule="exact"/>
        <w:ind w:firstLine="480" w:firstLineChars="150"/>
        <w:rPr>
          <w:rFonts w:ascii="仿宋_GB2312" w:hAnsi="宋体" w:eastAsia="仿宋_GB2312" w:cs="Courier New"/>
          <w:sz w:val="32"/>
          <w:szCs w:val="32"/>
        </w:rPr>
      </w:pPr>
    </w:p>
    <w:p>
      <w:pPr>
        <w:spacing w:line="580" w:lineRule="exact"/>
        <w:ind w:firstLine="480" w:firstLineChars="150"/>
        <w:rPr>
          <w:rFonts w:ascii="仿宋_GB2312" w:hAnsi="宋体" w:eastAsia="仿宋_GB2312" w:cs="Courier New"/>
          <w:sz w:val="32"/>
          <w:szCs w:val="32"/>
        </w:rPr>
      </w:pPr>
    </w:p>
    <w:p>
      <w:pPr>
        <w:spacing w:line="580" w:lineRule="exact"/>
        <w:ind w:firstLine="480" w:firstLineChars="150"/>
        <w:rPr>
          <w:rFonts w:ascii="仿宋_GB2312" w:hAnsi="宋体" w:eastAsia="仿宋_GB2312" w:cs="Courier New"/>
          <w:sz w:val="32"/>
          <w:szCs w:val="32"/>
        </w:rPr>
      </w:pPr>
    </w:p>
    <w:p>
      <w:pPr>
        <w:spacing w:line="580" w:lineRule="exact"/>
        <w:ind w:firstLine="480" w:firstLineChars="150"/>
        <w:rPr>
          <w:rFonts w:ascii="仿宋_GB2312" w:hAnsi="宋体" w:eastAsia="仿宋_GB2312" w:cs="Courier New"/>
          <w:sz w:val="32"/>
          <w:szCs w:val="32"/>
        </w:rPr>
      </w:pPr>
    </w:p>
    <w:p>
      <w:pPr>
        <w:spacing w:line="580" w:lineRule="exact"/>
        <w:ind w:firstLine="480" w:firstLineChars="150"/>
        <w:rPr>
          <w:rFonts w:ascii="仿宋_GB2312" w:hAnsi="宋体" w:eastAsia="仿宋_GB2312" w:cs="Courier New"/>
          <w:sz w:val="32"/>
          <w:szCs w:val="32"/>
        </w:rPr>
      </w:pPr>
    </w:p>
    <w:p>
      <w:pPr>
        <w:spacing w:line="580" w:lineRule="exact"/>
        <w:ind w:firstLine="480" w:firstLineChars="150"/>
        <w:rPr>
          <w:rFonts w:ascii="仿宋_GB2312" w:hAnsi="宋体" w:eastAsia="仿宋_GB2312" w:cs="Courier New"/>
          <w:sz w:val="32"/>
          <w:szCs w:val="32"/>
        </w:rPr>
      </w:pPr>
    </w:p>
    <w:p>
      <w:pPr>
        <w:rPr>
          <w:rFonts w:ascii="仿宋_GB2312" w:hAnsi="宋体" w:eastAsia="仿宋_GB2312" w:cs="Courier New"/>
          <w:sz w:val="32"/>
          <w:szCs w:val="32"/>
        </w:rPr>
      </w:pPr>
    </w:p>
    <w:p>
      <w:pPr>
        <w:rPr>
          <w:rFonts w:ascii="黑体" w:eastAsia="黑体"/>
          <w:b/>
          <w:sz w:val="48"/>
          <w:szCs w:val="48"/>
        </w:rPr>
      </w:pPr>
    </w:p>
    <w:p>
      <w:pPr>
        <w:rPr>
          <w:rFonts w:ascii="黑体" w:eastAsia="黑体"/>
          <w:b/>
          <w:sz w:val="48"/>
          <w:szCs w:val="48"/>
        </w:rPr>
      </w:pPr>
    </w:p>
    <w:p>
      <w:pPr>
        <w:rPr>
          <w:rFonts w:ascii="黑体" w:eastAsia="黑体"/>
          <w:b/>
          <w:sz w:val="48"/>
          <w:szCs w:val="48"/>
        </w:rPr>
      </w:pPr>
    </w:p>
    <w:p>
      <w:pPr>
        <w:rPr>
          <w:rFonts w:ascii="黑体" w:eastAsia="黑体"/>
          <w:b/>
          <w:sz w:val="48"/>
          <w:szCs w:val="48"/>
        </w:rPr>
      </w:pPr>
    </w:p>
    <w:p>
      <w:pPr>
        <w:rPr>
          <w:rFonts w:ascii="黑体" w:eastAsia="黑体"/>
          <w:b/>
          <w:sz w:val="48"/>
          <w:szCs w:val="48"/>
        </w:rPr>
      </w:pPr>
    </w:p>
    <w:p>
      <w:pPr>
        <w:rPr>
          <w:rFonts w:ascii="黑体" w:eastAsia="黑体"/>
          <w:b/>
          <w:sz w:val="48"/>
          <w:szCs w:val="48"/>
        </w:rPr>
      </w:pPr>
    </w:p>
    <w:p>
      <w:pPr>
        <w:rPr>
          <w:rFonts w:ascii="黑体" w:eastAsia="黑体"/>
          <w:b/>
          <w:sz w:val="48"/>
          <w:szCs w:val="48"/>
        </w:rPr>
      </w:pPr>
    </w:p>
    <w:p>
      <w:pPr>
        <w:rPr>
          <w:rFonts w:ascii="黑体" w:eastAsia="黑体"/>
          <w:sz w:val="52"/>
          <w:szCs w:val="52"/>
        </w:rPr>
      </w:pPr>
      <w:r>
        <w:rPr>
          <w:rFonts w:hint="eastAsia" w:ascii="黑体" w:eastAsia="黑体"/>
          <w:sz w:val="52"/>
          <w:szCs w:val="52"/>
        </w:rPr>
        <w:t>第二部分</w:t>
      </w:r>
    </w:p>
    <w:p>
      <w:pPr>
        <w:rPr>
          <w:rFonts w:ascii="黑体" w:eastAsia="黑体"/>
          <w:sz w:val="52"/>
          <w:szCs w:val="52"/>
        </w:rPr>
      </w:pPr>
    </w:p>
    <w:p>
      <w:pPr>
        <w:rPr>
          <w:rFonts w:ascii="黑体" w:eastAsia="黑体"/>
          <w:sz w:val="52"/>
          <w:szCs w:val="52"/>
        </w:rPr>
      </w:pPr>
    </w:p>
    <w:p>
      <w:pPr>
        <w:rPr>
          <w:rFonts w:ascii="黑体" w:eastAsia="黑体"/>
          <w:sz w:val="52"/>
          <w:szCs w:val="52"/>
        </w:rPr>
      </w:pPr>
    </w:p>
    <w:p>
      <w:pPr>
        <w:ind w:left="1041" w:leftChars="372" w:hanging="260" w:hangingChars="50"/>
        <w:jc w:val="center"/>
        <w:rPr>
          <w:rFonts w:ascii="黑体" w:eastAsia="黑体"/>
          <w:sz w:val="52"/>
          <w:szCs w:val="52"/>
        </w:rPr>
      </w:pPr>
      <w:r>
        <w:rPr>
          <w:rFonts w:hint="eastAsia" w:ascii="黑体" w:eastAsia="黑体"/>
          <w:sz w:val="52"/>
          <w:szCs w:val="52"/>
        </w:rPr>
        <w:t>2016年度部门决算表</w:t>
      </w:r>
    </w:p>
    <w:p>
      <w:pPr>
        <w:rPr>
          <w:rFonts w:ascii="黑体" w:eastAsia="黑体"/>
          <w:b/>
          <w:sz w:val="30"/>
          <w:szCs w:val="30"/>
        </w:rPr>
      </w:pPr>
    </w:p>
    <w:p>
      <w:pPr>
        <w:rPr>
          <w:rFonts w:ascii="黑体" w:eastAsia="黑体"/>
          <w:b/>
          <w:sz w:val="30"/>
          <w:szCs w:val="30"/>
        </w:rPr>
      </w:pPr>
    </w:p>
    <w:p>
      <w:pPr>
        <w:rPr>
          <w:rFonts w:ascii="黑体" w:eastAsia="黑体"/>
          <w:b/>
          <w:sz w:val="30"/>
          <w:szCs w:val="30"/>
        </w:rPr>
      </w:pPr>
    </w:p>
    <w:p>
      <w:pPr>
        <w:rPr>
          <w:rFonts w:ascii="黑体" w:eastAsia="黑体"/>
          <w:b/>
          <w:sz w:val="30"/>
          <w:szCs w:val="30"/>
        </w:rPr>
      </w:pPr>
    </w:p>
    <w:p>
      <w:pPr>
        <w:rPr>
          <w:rFonts w:ascii="黑体" w:eastAsia="黑体"/>
          <w:b/>
          <w:sz w:val="30"/>
          <w:szCs w:val="30"/>
        </w:rPr>
      </w:pPr>
    </w:p>
    <w:p>
      <w:pPr>
        <w:rPr>
          <w:rFonts w:ascii="黑体" w:eastAsia="黑体"/>
          <w:b/>
          <w:sz w:val="30"/>
          <w:szCs w:val="30"/>
        </w:rPr>
      </w:pPr>
    </w:p>
    <w:p>
      <w:pPr>
        <w:rPr>
          <w:rFonts w:ascii="黑体" w:eastAsia="黑体"/>
          <w:b/>
          <w:sz w:val="30"/>
          <w:szCs w:val="30"/>
        </w:rPr>
      </w:pPr>
    </w:p>
    <w:p>
      <w:pPr>
        <w:rPr>
          <w:rFonts w:ascii="黑体" w:eastAsia="黑体"/>
          <w:b/>
          <w:sz w:val="30"/>
          <w:szCs w:val="30"/>
        </w:rPr>
      </w:pPr>
    </w:p>
    <w:p>
      <w:pPr>
        <w:rPr>
          <w:rFonts w:ascii="黑体" w:eastAsia="黑体"/>
          <w:b/>
          <w:sz w:val="30"/>
          <w:szCs w:val="30"/>
        </w:rPr>
      </w:pPr>
    </w:p>
    <w:p>
      <w:pPr>
        <w:rPr>
          <w:rFonts w:ascii="黑体" w:eastAsia="黑体"/>
          <w:b/>
          <w:sz w:val="30"/>
          <w:szCs w:val="30"/>
        </w:rPr>
      </w:pPr>
    </w:p>
    <w:p>
      <w:pPr>
        <w:rPr>
          <w:rFonts w:ascii="黑体" w:eastAsia="黑体"/>
          <w:b/>
          <w:sz w:val="30"/>
          <w:szCs w:val="30"/>
        </w:rPr>
      </w:pPr>
    </w:p>
    <w:p>
      <w:pPr>
        <w:rPr>
          <w:rFonts w:ascii="黑体" w:eastAsia="黑体"/>
          <w:b/>
          <w:sz w:val="30"/>
          <w:szCs w:val="30"/>
        </w:rPr>
      </w:pPr>
    </w:p>
    <w:p>
      <w:pPr>
        <w:rPr>
          <w:rFonts w:ascii="黑体" w:eastAsia="黑体"/>
          <w:b/>
          <w:sz w:val="30"/>
          <w:szCs w:val="30"/>
        </w:rPr>
      </w:pPr>
    </w:p>
    <w:p>
      <w:pPr>
        <w:rPr>
          <w:rFonts w:ascii="黑体" w:eastAsia="黑体"/>
          <w:b/>
          <w:sz w:val="30"/>
          <w:szCs w:val="30"/>
        </w:rPr>
      </w:pPr>
    </w:p>
    <w:p>
      <w:pPr>
        <w:rPr>
          <w:rFonts w:ascii="黑体" w:eastAsia="黑体"/>
          <w:b/>
          <w:sz w:val="30"/>
          <w:szCs w:val="30"/>
        </w:rPr>
      </w:pPr>
    </w:p>
    <w:p>
      <w:pPr>
        <w:rPr>
          <w:rFonts w:ascii="黑体" w:eastAsia="黑体"/>
          <w:b/>
          <w:sz w:val="30"/>
          <w:szCs w:val="30"/>
        </w:rPr>
        <w:sectPr>
          <w:footerReference r:id="rId3" w:type="default"/>
          <w:pgSz w:w="11906" w:h="16838"/>
          <w:pgMar w:top="1440" w:right="1797" w:bottom="1440" w:left="1797" w:header="851" w:footer="992" w:gutter="0"/>
          <w:cols w:space="720" w:num="1"/>
          <w:docGrid w:type="linesAndChars" w:linePitch="312" w:charSpace="0"/>
        </w:sectPr>
      </w:pPr>
    </w:p>
    <w:p>
      <w:pPr>
        <w:jc w:val="center"/>
      </w:pPr>
    </w:p>
    <w:p>
      <w:pPr>
        <w:rPr>
          <w:rFonts w:ascii="宋体" w:hAnsi="宋体" w:cs="宋体"/>
          <w:b/>
          <w:sz w:val="30"/>
          <w:szCs w:val="30"/>
        </w:rPr>
        <w:sectPr>
          <w:pgSz w:w="11906" w:h="16838"/>
          <w:pgMar w:top="720" w:right="720" w:bottom="720" w:left="720" w:header="851" w:footer="992" w:gutter="0"/>
          <w:pgNumType w:fmt="numberInDash"/>
          <w:cols w:space="720" w:num="1"/>
          <w:docGrid w:type="lines" w:linePitch="312" w:charSpace="0"/>
        </w:sectPr>
      </w:pPr>
      <w:r>
        <w:drawing>
          <wp:inline distT="0" distB="0" distL="0" distR="0">
            <wp:extent cx="6667500" cy="6553200"/>
            <wp:effectExtent l="19050" t="0" r="0" b="0"/>
            <wp:docPr id="12"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9"/>
                    <pic:cNvPicPr>
                      <a:picLocks noChangeAspect="1" noChangeArrowheads="1"/>
                    </pic:cNvPicPr>
                  </pic:nvPicPr>
                  <pic:blipFill>
                    <a:blip r:embed="rId5" cstate="print"/>
                    <a:srcRect/>
                    <a:stretch>
                      <a:fillRect/>
                    </a:stretch>
                  </pic:blipFill>
                  <pic:spPr>
                    <a:xfrm>
                      <a:off x="0" y="0"/>
                      <a:ext cx="6667500" cy="6553200"/>
                    </a:xfrm>
                    <a:prstGeom prst="rect">
                      <a:avLst/>
                    </a:prstGeom>
                    <a:noFill/>
                    <a:ln w="9525">
                      <a:noFill/>
                      <a:miter lim="800000"/>
                      <a:headEnd/>
                      <a:tailEnd/>
                    </a:ln>
                    <a:effectLst/>
                  </pic:spPr>
                </pic:pic>
              </a:graphicData>
            </a:graphic>
          </wp:inline>
        </w:drawing>
      </w:r>
    </w:p>
    <w:p>
      <w:pPr>
        <w:jc w:val="center"/>
        <w:rPr>
          <w:rFonts w:ascii="宋体" w:hAnsi="宋体" w:cs="宋体"/>
          <w:b/>
          <w:sz w:val="30"/>
          <w:szCs w:val="30"/>
        </w:rPr>
        <w:sectPr>
          <w:pgSz w:w="11906" w:h="16838"/>
          <w:pgMar w:top="720" w:right="720" w:bottom="720" w:left="720" w:header="851" w:footer="992" w:gutter="0"/>
          <w:pgNumType w:fmt="numberInDash"/>
          <w:cols w:space="720" w:num="1"/>
          <w:docGrid w:type="lines" w:linePitch="312" w:charSpace="0"/>
        </w:sectPr>
      </w:pPr>
      <w:r>
        <w:drawing>
          <wp:inline distT="0" distB="0" distL="0" distR="0">
            <wp:extent cx="6637020" cy="7780020"/>
            <wp:effectExtent l="19050" t="0" r="0" b="0"/>
            <wp:docPr id="11"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0"/>
                    <pic:cNvPicPr>
                      <a:picLocks noChangeAspect="1" noChangeArrowheads="1"/>
                    </pic:cNvPicPr>
                  </pic:nvPicPr>
                  <pic:blipFill>
                    <a:blip r:embed="rId6" cstate="print"/>
                    <a:srcRect/>
                    <a:stretch>
                      <a:fillRect/>
                    </a:stretch>
                  </pic:blipFill>
                  <pic:spPr>
                    <a:xfrm>
                      <a:off x="0" y="0"/>
                      <a:ext cx="6637020" cy="7780020"/>
                    </a:xfrm>
                    <a:prstGeom prst="rect">
                      <a:avLst/>
                    </a:prstGeom>
                    <a:noFill/>
                    <a:ln w="9525">
                      <a:noFill/>
                      <a:miter lim="800000"/>
                      <a:headEnd/>
                      <a:tailEnd/>
                    </a:ln>
                  </pic:spPr>
                </pic:pic>
              </a:graphicData>
            </a:graphic>
          </wp:inline>
        </w:drawing>
      </w:r>
    </w:p>
    <w:p>
      <w:pPr>
        <w:jc w:val="center"/>
        <w:rPr>
          <w:rFonts w:ascii="宋体" w:hAnsi="宋体" w:cs="宋体"/>
          <w:b/>
          <w:sz w:val="30"/>
          <w:szCs w:val="30"/>
        </w:rPr>
        <w:sectPr>
          <w:pgSz w:w="11906" w:h="16838"/>
          <w:pgMar w:top="720" w:right="720" w:bottom="720" w:left="720" w:header="851" w:footer="992" w:gutter="0"/>
          <w:pgNumType w:fmt="numberInDash"/>
          <w:cols w:space="720" w:num="1"/>
          <w:docGrid w:type="lines" w:linePitch="312" w:charSpace="0"/>
        </w:sectPr>
      </w:pPr>
      <w:r>
        <w:drawing>
          <wp:inline distT="0" distB="0" distL="0" distR="0">
            <wp:extent cx="6637020" cy="9197340"/>
            <wp:effectExtent l="19050" t="0" r="0" b="0"/>
            <wp:docPr id="10"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1"/>
                    <pic:cNvPicPr>
                      <a:picLocks noChangeAspect="1" noChangeArrowheads="1"/>
                    </pic:cNvPicPr>
                  </pic:nvPicPr>
                  <pic:blipFill>
                    <a:blip r:embed="rId7" cstate="print"/>
                    <a:srcRect/>
                    <a:stretch>
                      <a:fillRect/>
                    </a:stretch>
                  </pic:blipFill>
                  <pic:spPr>
                    <a:xfrm>
                      <a:off x="0" y="0"/>
                      <a:ext cx="6637020" cy="9197340"/>
                    </a:xfrm>
                    <a:prstGeom prst="rect">
                      <a:avLst/>
                    </a:prstGeom>
                    <a:noFill/>
                    <a:ln w="9525">
                      <a:noFill/>
                      <a:miter lim="800000"/>
                      <a:headEnd/>
                      <a:tailEnd/>
                    </a:ln>
                  </pic:spPr>
                </pic:pic>
              </a:graphicData>
            </a:graphic>
          </wp:inline>
        </w:drawing>
      </w:r>
    </w:p>
    <w:p>
      <w:pPr>
        <w:jc w:val="center"/>
        <w:rPr>
          <w:rFonts w:ascii="宋体" w:hAnsi="宋体" w:cs="宋体"/>
          <w:b/>
          <w:sz w:val="30"/>
          <w:szCs w:val="30"/>
        </w:rPr>
        <w:sectPr>
          <w:pgSz w:w="11906" w:h="16838"/>
          <w:pgMar w:top="720" w:right="720" w:bottom="720" w:left="720" w:header="851" w:footer="992" w:gutter="0"/>
          <w:pgNumType w:fmt="numberInDash"/>
          <w:cols w:space="720" w:num="1"/>
          <w:docGrid w:type="lines" w:linePitch="312" w:charSpace="0"/>
        </w:sectPr>
      </w:pPr>
      <w:r>
        <w:drawing>
          <wp:inline distT="0" distB="0" distL="0" distR="0">
            <wp:extent cx="6644640" cy="6492240"/>
            <wp:effectExtent l="19050" t="0" r="3810" b="0"/>
            <wp:docPr id="9"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3"/>
                    <pic:cNvPicPr>
                      <a:picLocks noChangeAspect="1" noChangeArrowheads="1"/>
                    </pic:cNvPicPr>
                  </pic:nvPicPr>
                  <pic:blipFill>
                    <a:blip r:embed="rId8" cstate="print"/>
                    <a:srcRect/>
                    <a:stretch>
                      <a:fillRect/>
                    </a:stretch>
                  </pic:blipFill>
                  <pic:spPr>
                    <a:xfrm>
                      <a:off x="0" y="0"/>
                      <a:ext cx="6644640" cy="6492240"/>
                    </a:xfrm>
                    <a:prstGeom prst="rect">
                      <a:avLst/>
                    </a:prstGeom>
                    <a:noFill/>
                    <a:ln w="9525">
                      <a:noFill/>
                      <a:miter lim="800000"/>
                      <a:headEnd/>
                      <a:tailEnd/>
                    </a:ln>
                  </pic:spPr>
                </pic:pic>
              </a:graphicData>
            </a:graphic>
          </wp:inline>
        </w:drawing>
      </w:r>
    </w:p>
    <w:p>
      <w:pPr>
        <w:jc w:val="center"/>
        <w:rPr>
          <w:rFonts w:ascii="宋体" w:hAnsi="宋体" w:cs="宋体"/>
          <w:b/>
          <w:sz w:val="30"/>
          <w:szCs w:val="30"/>
        </w:rPr>
        <w:sectPr>
          <w:pgSz w:w="11906" w:h="16838"/>
          <w:pgMar w:top="720" w:right="720" w:bottom="720" w:left="720" w:header="851" w:footer="992" w:gutter="0"/>
          <w:pgNumType w:fmt="numberInDash"/>
          <w:cols w:space="720" w:num="1"/>
          <w:docGrid w:type="lines" w:linePitch="312" w:charSpace="0"/>
        </w:sectPr>
      </w:pPr>
      <w:r>
        <w:drawing>
          <wp:inline distT="0" distB="0" distL="0" distR="0">
            <wp:extent cx="6324600" cy="9464040"/>
            <wp:effectExtent l="19050" t="0" r="0" b="0"/>
            <wp:docPr id="5"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4"/>
                    <pic:cNvPicPr>
                      <a:picLocks noChangeAspect="1" noChangeArrowheads="1"/>
                    </pic:cNvPicPr>
                  </pic:nvPicPr>
                  <pic:blipFill>
                    <a:blip r:embed="rId9" cstate="print"/>
                    <a:srcRect/>
                    <a:stretch>
                      <a:fillRect/>
                    </a:stretch>
                  </pic:blipFill>
                  <pic:spPr>
                    <a:xfrm>
                      <a:off x="0" y="0"/>
                      <a:ext cx="6324600" cy="9464040"/>
                    </a:xfrm>
                    <a:prstGeom prst="rect">
                      <a:avLst/>
                    </a:prstGeom>
                    <a:noFill/>
                    <a:ln w="9525">
                      <a:noFill/>
                      <a:miter lim="800000"/>
                      <a:headEnd/>
                      <a:tailEnd/>
                    </a:ln>
                  </pic:spPr>
                </pic:pic>
              </a:graphicData>
            </a:graphic>
          </wp:inline>
        </w:drawing>
      </w:r>
    </w:p>
    <w:p>
      <w:pPr>
        <w:jc w:val="center"/>
        <w:rPr>
          <w:rFonts w:ascii="宋体" w:hAnsi="宋体" w:cs="宋体"/>
          <w:b/>
          <w:sz w:val="30"/>
          <w:szCs w:val="30"/>
        </w:rPr>
        <w:sectPr>
          <w:pgSz w:w="11906" w:h="16838"/>
          <w:pgMar w:top="720" w:right="720" w:bottom="720" w:left="720" w:header="851" w:footer="992" w:gutter="0"/>
          <w:pgNumType w:fmt="numberInDash"/>
          <w:cols w:space="720" w:num="1"/>
          <w:docGrid w:type="lines" w:linePitch="312" w:charSpace="0"/>
        </w:sectPr>
      </w:pPr>
      <w:r>
        <w:drawing>
          <wp:inline distT="0" distB="0" distL="0" distR="0">
            <wp:extent cx="6644640" cy="5257800"/>
            <wp:effectExtent l="19050" t="0" r="3810" b="0"/>
            <wp:docPr id="6"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5"/>
                    <pic:cNvPicPr>
                      <a:picLocks noChangeAspect="1" noChangeArrowheads="1"/>
                    </pic:cNvPicPr>
                  </pic:nvPicPr>
                  <pic:blipFill>
                    <a:blip r:embed="rId10" cstate="print"/>
                    <a:srcRect/>
                    <a:stretch>
                      <a:fillRect/>
                    </a:stretch>
                  </pic:blipFill>
                  <pic:spPr>
                    <a:xfrm>
                      <a:off x="0" y="0"/>
                      <a:ext cx="6644640" cy="5257800"/>
                    </a:xfrm>
                    <a:prstGeom prst="rect">
                      <a:avLst/>
                    </a:prstGeom>
                    <a:noFill/>
                    <a:ln w="9525">
                      <a:noFill/>
                      <a:miter lim="800000"/>
                      <a:headEnd/>
                      <a:tailEnd/>
                    </a:ln>
                  </pic:spPr>
                </pic:pic>
              </a:graphicData>
            </a:graphic>
          </wp:inline>
        </w:drawing>
      </w:r>
    </w:p>
    <w:p>
      <w:pPr>
        <w:jc w:val="center"/>
        <w:rPr>
          <w:rFonts w:ascii="宋体" w:hAnsi="宋体" w:cs="宋体"/>
          <w:b/>
          <w:sz w:val="30"/>
          <w:szCs w:val="30"/>
        </w:rPr>
        <w:sectPr>
          <w:pgSz w:w="11906" w:h="16838"/>
          <w:pgMar w:top="720" w:right="720" w:bottom="720" w:left="720" w:header="851" w:footer="992" w:gutter="0"/>
          <w:pgNumType w:fmt="numberInDash"/>
          <w:cols w:space="720" w:num="1"/>
          <w:docGrid w:type="lines" w:linePitch="312" w:charSpace="0"/>
        </w:sectPr>
      </w:pPr>
      <w:r>
        <w:drawing>
          <wp:inline distT="0" distB="0" distL="0" distR="0">
            <wp:extent cx="6637020" cy="2270760"/>
            <wp:effectExtent l="19050" t="0" r="0" b="0"/>
            <wp:docPr id="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7"/>
                    <pic:cNvPicPr>
                      <a:picLocks noChangeAspect="1" noChangeArrowheads="1"/>
                    </pic:cNvPicPr>
                  </pic:nvPicPr>
                  <pic:blipFill>
                    <a:blip r:embed="rId11" cstate="print"/>
                    <a:srcRect/>
                    <a:stretch>
                      <a:fillRect/>
                    </a:stretch>
                  </pic:blipFill>
                  <pic:spPr>
                    <a:xfrm>
                      <a:off x="0" y="0"/>
                      <a:ext cx="6637020" cy="2270760"/>
                    </a:xfrm>
                    <a:prstGeom prst="rect">
                      <a:avLst/>
                    </a:prstGeom>
                    <a:noFill/>
                    <a:ln w="9525">
                      <a:noFill/>
                      <a:miter lim="800000"/>
                      <a:headEnd/>
                      <a:tailEnd/>
                    </a:ln>
                  </pic:spPr>
                </pic:pic>
              </a:graphicData>
            </a:graphic>
          </wp:inline>
        </w:drawing>
      </w:r>
    </w:p>
    <w:p>
      <w:pPr>
        <w:jc w:val="center"/>
      </w:pPr>
    </w:p>
    <w:p>
      <w:pPr>
        <w:jc w:val="center"/>
        <w:sectPr>
          <w:pgSz w:w="11906" w:h="16838"/>
          <w:pgMar w:top="720" w:right="720" w:bottom="720" w:left="720" w:header="851" w:footer="992" w:gutter="0"/>
          <w:pgNumType w:fmt="numberInDash"/>
          <w:cols w:space="720" w:num="1"/>
          <w:docGrid w:type="lines" w:linePitch="312" w:charSpace="0"/>
        </w:sectPr>
      </w:pPr>
      <w:r>
        <w:drawing>
          <wp:inline distT="0" distB="0" distL="114300" distR="114300">
            <wp:extent cx="6645275" cy="2564130"/>
            <wp:effectExtent l="0" t="0" r="3175" b="7620"/>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12"/>
                    <a:stretch>
                      <a:fillRect/>
                    </a:stretch>
                  </pic:blipFill>
                  <pic:spPr>
                    <a:xfrm>
                      <a:off x="0" y="0"/>
                      <a:ext cx="6645275" cy="2564130"/>
                    </a:xfrm>
                    <a:prstGeom prst="rect">
                      <a:avLst/>
                    </a:prstGeom>
                    <a:noFill/>
                    <a:ln w="9525">
                      <a:noFill/>
                    </a:ln>
                  </pic:spPr>
                </pic:pic>
              </a:graphicData>
            </a:graphic>
          </wp:inline>
        </w:drawing>
      </w:r>
    </w:p>
    <w:p>
      <w:pPr>
        <w:rPr>
          <w:rFonts w:ascii="黑体" w:eastAsia="黑体"/>
          <w:sz w:val="52"/>
          <w:szCs w:val="52"/>
        </w:rPr>
      </w:pPr>
    </w:p>
    <w:p>
      <w:pPr>
        <w:rPr>
          <w:rFonts w:ascii="黑体" w:eastAsia="黑体"/>
          <w:sz w:val="52"/>
          <w:szCs w:val="52"/>
        </w:rPr>
      </w:pPr>
      <w:r>
        <w:rPr>
          <w:rFonts w:hint="eastAsia" w:ascii="黑体" w:eastAsia="黑体"/>
          <w:sz w:val="52"/>
          <w:szCs w:val="52"/>
        </w:rPr>
        <w:t>第三部分</w:t>
      </w:r>
    </w:p>
    <w:p>
      <w:pPr>
        <w:rPr>
          <w:rFonts w:ascii="黑体" w:eastAsia="黑体"/>
          <w:sz w:val="52"/>
          <w:szCs w:val="52"/>
        </w:rPr>
      </w:pPr>
    </w:p>
    <w:p>
      <w:pPr>
        <w:rPr>
          <w:rFonts w:ascii="黑体" w:eastAsia="黑体"/>
          <w:sz w:val="52"/>
          <w:szCs w:val="52"/>
        </w:rPr>
      </w:pPr>
    </w:p>
    <w:p>
      <w:pPr>
        <w:ind w:left="277" w:leftChars="8" w:hanging="260" w:hangingChars="50"/>
        <w:jc w:val="center"/>
        <w:rPr>
          <w:rFonts w:ascii="黑体" w:eastAsia="黑体"/>
          <w:sz w:val="52"/>
          <w:szCs w:val="52"/>
        </w:rPr>
      </w:pPr>
      <w:r>
        <w:rPr>
          <w:rFonts w:hint="eastAsia" w:ascii="黑体" w:eastAsia="黑体"/>
          <w:sz w:val="52"/>
          <w:szCs w:val="52"/>
        </w:rPr>
        <w:t>2016年度部门决算情况          和重要事项说明</w:t>
      </w:r>
    </w:p>
    <w:p>
      <w:pPr>
        <w:rPr>
          <w:rFonts w:ascii="黑体" w:eastAsia="黑体"/>
          <w:b/>
          <w:sz w:val="30"/>
          <w:szCs w:val="30"/>
        </w:rPr>
      </w:pPr>
    </w:p>
    <w:p>
      <w:pPr>
        <w:rPr>
          <w:rFonts w:ascii="黑体" w:eastAsia="黑体"/>
          <w:b/>
          <w:sz w:val="30"/>
          <w:szCs w:val="30"/>
        </w:rPr>
      </w:pPr>
    </w:p>
    <w:p>
      <w:pPr>
        <w:rPr>
          <w:rFonts w:ascii="黑体" w:eastAsia="黑体"/>
          <w:b/>
          <w:sz w:val="30"/>
          <w:szCs w:val="30"/>
        </w:rPr>
      </w:pPr>
    </w:p>
    <w:p>
      <w:pPr>
        <w:rPr>
          <w:rFonts w:ascii="黑体" w:eastAsia="黑体"/>
          <w:b/>
          <w:sz w:val="30"/>
          <w:szCs w:val="30"/>
        </w:rPr>
      </w:pPr>
    </w:p>
    <w:p>
      <w:pPr>
        <w:rPr>
          <w:rFonts w:ascii="黑体" w:eastAsia="黑体"/>
          <w:b/>
          <w:sz w:val="30"/>
          <w:szCs w:val="30"/>
        </w:rPr>
      </w:pPr>
    </w:p>
    <w:p>
      <w:pPr>
        <w:rPr>
          <w:rFonts w:ascii="黑体" w:eastAsia="黑体"/>
          <w:b/>
          <w:sz w:val="30"/>
          <w:szCs w:val="30"/>
        </w:rPr>
      </w:pPr>
    </w:p>
    <w:p>
      <w:pPr>
        <w:rPr>
          <w:rFonts w:ascii="黑体" w:eastAsia="黑体"/>
          <w:b/>
          <w:sz w:val="30"/>
          <w:szCs w:val="30"/>
        </w:rPr>
      </w:pPr>
    </w:p>
    <w:p>
      <w:pPr>
        <w:rPr>
          <w:rFonts w:ascii="黑体" w:eastAsia="黑体"/>
          <w:b/>
          <w:sz w:val="30"/>
          <w:szCs w:val="30"/>
        </w:rPr>
      </w:pPr>
    </w:p>
    <w:p>
      <w:pPr>
        <w:rPr>
          <w:rFonts w:ascii="黑体" w:eastAsia="黑体"/>
          <w:b/>
          <w:sz w:val="30"/>
          <w:szCs w:val="30"/>
        </w:rPr>
      </w:pPr>
    </w:p>
    <w:p>
      <w:pPr>
        <w:rPr>
          <w:rFonts w:ascii="黑体" w:eastAsia="黑体"/>
          <w:b/>
          <w:sz w:val="30"/>
          <w:szCs w:val="30"/>
        </w:rPr>
      </w:pPr>
    </w:p>
    <w:p>
      <w:pPr>
        <w:rPr>
          <w:rFonts w:ascii="黑体" w:eastAsia="黑体"/>
          <w:b/>
          <w:sz w:val="30"/>
          <w:szCs w:val="30"/>
        </w:rPr>
      </w:pPr>
    </w:p>
    <w:p>
      <w:pPr>
        <w:rPr>
          <w:rFonts w:ascii="黑体" w:eastAsia="黑体"/>
          <w:b/>
          <w:sz w:val="30"/>
          <w:szCs w:val="30"/>
        </w:rPr>
      </w:pPr>
    </w:p>
    <w:p>
      <w:pPr>
        <w:rPr>
          <w:rFonts w:ascii="黑体" w:eastAsia="黑体"/>
          <w:b/>
          <w:sz w:val="30"/>
          <w:szCs w:val="30"/>
        </w:rPr>
      </w:pPr>
    </w:p>
    <w:p>
      <w:pPr>
        <w:spacing w:line="580" w:lineRule="exact"/>
        <w:ind w:firstLine="640" w:firstLineChars="200"/>
        <w:rPr>
          <w:rFonts w:ascii="黑体" w:hAnsi="黑体" w:eastAsia="黑体"/>
          <w:sz w:val="32"/>
          <w:szCs w:val="32"/>
        </w:rPr>
      </w:pPr>
      <w:r>
        <w:rPr>
          <w:rFonts w:hint="eastAsia" w:ascii="黑体" w:hAnsi="黑体" w:eastAsia="黑体"/>
          <w:sz w:val="32"/>
          <w:szCs w:val="32"/>
        </w:rPr>
        <w:t>一、2016年部门决算情况说明</w:t>
      </w:r>
    </w:p>
    <w:p>
      <w:pPr>
        <w:spacing w:line="580" w:lineRule="exact"/>
        <w:ind w:firstLine="640" w:firstLineChars="200"/>
        <w:rPr>
          <w:rFonts w:ascii="楷体_GB2312" w:eastAsia="楷体_GB2312"/>
          <w:sz w:val="32"/>
          <w:szCs w:val="32"/>
        </w:rPr>
      </w:pPr>
      <w:r>
        <w:rPr>
          <w:rFonts w:hint="eastAsia" w:ascii="楷体_GB2312" w:eastAsia="楷体_GB2312"/>
          <w:sz w:val="32"/>
          <w:szCs w:val="32"/>
        </w:rPr>
        <w:t>（一）收入支出决算总体情况</w:t>
      </w:r>
    </w:p>
    <w:p>
      <w:pPr>
        <w:snapToGrid w:val="0"/>
        <w:spacing w:line="560" w:lineRule="exact"/>
        <w:ind w:firstLine="640" w:firstLineChars="200"/>
        <w:rPr>
          <w:rFonts w:ascii="仿宋_GB2312" w:hAnsi="仿宋" w:eastAsia="仿宋_GB2312"/>
          <w:color w:val="000000"/>
          <w:sz w:val="32"/>
          <w:szCs w:val="32"/>
        </w:rPr>
      </w:pPr>
      <w:r>
        <w:rPr>
          <w:rFonts w:hint="eastAsia" w:ascii="仿宋_GB2312" w:eastAsia="仿宋_GB2312"/>
          <w:sz w:val="32"/>
          <w:szCs w:val="32"/>
        </w:rPr>
        <w:t>2016年度收入总计259384.23万元，支出总计259384.23万元。与2015年相比，收、支总计各减少66800.83万元，下降20.48%。</w:t>
      </w:r>
      <w:r>
        <w:rPr>
          <w:rFonts w:hint="eastAsia" w:ascii="仿宋_GB2312" w:hAnsi="仿宋" w:eastAsia="仿宋_GB2312"/>
          <w:color w:val="000000"/>
          <w:sz w:val="32"/>
          <w:szCs w:val="32"/>
        </w:rPr>
        <w:t>主要原因是五所</w:t>
      </w:r>
      <w:r>
        <w:rPr>
          <w:rFonts w:ascii="仿宋_GB2312" w:hAnsi="仿宋" w:eastAsia="仿宋_GB2312"/>
          <w:color w:val="000000"/>
          <w:sz w:val="32"/>
          <w:szCs w:val="32"/>
        </w:rPr>
        <w:t>新建高中基本完工，</w:t>
      </w:r>
      <w:r>
        <w:rPr>
          <w:rFonts w:hint="eastAsia" w:ascii="仿宋_GB2312" w:hAnsi="仿宋" w:eastAsia="仿宋_GB2312"/>
          <w:color w:val="000000"/>
          <w:sz w:val="32"/>
          <w:szCs w:val="32"/>
        </w:rPr>
        <w:t>基建</w:t>
      </w:r>
      <w:r>
        <w:rPr>
          <w:rFonts w:ascii="仿宋_GB2312" w:hAnsi="仿宋" w:eastAsia="仿宋_GB2312"/>
          <w:color w:val="000000"/>
          <w:sz w:val="32"/>
          <w:szCs w:val="32"/>
        </w:rPr>
        <w:t>项目</w:t>
      </w:r>
      <w:r>
        <w:rPr>
          <w:rFonts w:hint="eastAsia" w:ascii="仿宋_GB2312" w:hAnsi="仿宋" w:eastAsia="仿宋_GB2312"/>
          <w:color w:val="000000"/>
          <w:sz w:val="32"/>
          <w:szCs w:val="32"/>
        </w:rPr>
        <w:t>拨款</w:t>
      </w:r>
      <w:r>
        <w:rPr>
          <w:rFonts w:ascii="仿宋_GB2312" w:hAnsi="仿宋" w:eastAsia="仿宋_GB2312"/>
          <w:color w:val="000000"/>
          <w:sz w:val="32"/>
          <w:szCs w:val="32"/>
        </w:rPr>
        <w:t>减少</w:t>
      </w:r>
      <w:r>
        <w:rPr>
          <w:rFonts w:hint="eastAsia" w:ascii="仿宋_GB2312" w:hAnsi="仿宋" w:eastAsia="仿宋_GB2312"/>
          <w:color w:val="000000"/>
          <w:sz w:val="32"/>
          <w:szCs w:val="32"/>
        </w:rPr>
        <w:t>。</w:t>
      </w:r>
    </w:p>
    <w:p>
      <w:pPr>
        <w:snapToGrid w:val="0"/>
        <w:spacing w:line="560" w:lineRule="exact"/>
        <w:ind w:firstLine="640" w:firstLineChars="200"/>
        <w:rPr>
          <w:rFonts w:ascii="仿宋_GB2312" w:hAnsi="仿宋" w:eastAsia="仿宋_GB2312"/>
          <w:color w:val="000000"/>
          <w:sz w:val="32"/>
          <w:szCs w:val="32"/>
        </w:rPr>
      </w:pPr>
      <w:r>
        <w:rPr>
          <w:rFonts w:ascii="仿宋_GB2312" w:hAnsi="仿宋" w:eastAsia="仿宋_GB2312"/>
          <w:color w:val="000000"/>
          <w:sz w:val="32"/>
          <w:szCs w:val="32"/>
        </w:rPr>
        <w:drawing>
          <wp:anchor distT="0" distB="0" distL="114300" distR="114300" simplePos="0" relativeHeight="251672576" behindDoc="0" locked="0" layoutInCell="1" allowOverlap="1">
            <wp:simplePos x="0" y="0"/>
            <wp:positionH relativeFrom="column">
              <wp:posOffset>97155</wp:posOffset>
            </wp:positionH>
            <wp:positionV relativeFrom="paragraph">
              <wp:posOffset>73660</wp:posOffset>
            </wp:positionV>
            <wp:extent cx="5276850" cy="3108960"/>
            <wp:effectExtent l="19050" t="0" r="0" b="0"/>
            <wp:wrapSquare wrapText="bothSides"/>
            <wp:docPr id="1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2"/>
                    <pic:cNvPicPr>
                      <a:picLocks noChangeAspect="1" noChangeArrowheads="1"/>
                    </pic:cNvPicPr>
                  </pic:nvPicPr>
                  <pic:blipFill>
                    <a:blip r:embed="rId13" cstate="print"/>
                    <a:srcRect/>
                    <a:stretch>
                      <a:fillRect/>
                    </a:stretch>
                  </pic:blipFill>
                  <pic:spPr>
                    <a:xfrm>
                      <a:off x="0" y="0"/>
                      <a:ext cx="5276850" cy="3108960"/>
                    </a:xfrm>
                    <a:prstGeom prst="rect">
                      <a:avLst/>
                    </a:prstGeom>
                    <a:noFill/>
                  </pic:spPr>
                </pic:pic>
              </a:graphicData>
            </a:graphic>
          </wp:anchor>
        </w:drawing>
      </w:r>
    </w:p>
    <w:p>
      <w:pPr>
        <w:spacing w:line="580" w:lineRule="exact"/>
        <w:ind w:firstLine="640" w:firstLineChars="200"/>
        <w:rPr>
          <w:rFonts w:ascii="楷体_GB2312" w:eastAsia="楷体_GB2312"/>
          <w:sz w:val="32"/>
          <w:szCs w:val="32"/>
        </w:rPr>
      </w:pPr>
      <w:r>
        <w:rPr>
          <w:rFonts w:hint="eastAsia" w:ascii="楷体_GB2312" w:eastAsia="楷体_GB2312"/>
          <w:sz w:val="32"/>
          <w:szCs w:val="32"/>
        </w:rPr>
        <w:t>（二）收入决算情况</w:t>
      </w:r>
    </w:p>
    <w:p>
      <w:pPr>
        <w:spacing w:line="580" w:lineRule="exact"/>
        <w:ind w:firstLine="640" w:firstLineChars="200"/>
        <w:rPr>
          <w:rFonts w:ascii="仿宋_GB2312" w:hAnsi="仿宋" w:eastAsia="仿宋_GB2312"/>
          <w:sz w:val="32"/>
          <w:szCs w:val="32"/>
        </w:rPr>
      </w:pPr>
      <w:r>
        <w:rPr>
          <w:rFonts w:hint="eastAsia" w:ascii="仿宋_GB2312" w:eastAsia="仿宋_GB2312"/>
          <w:sz w:val="32"/>
          <w:szCs w:val="32"/>
        </w:rPr>
        <w:t>2016年度本年收入255628.07万元，其中：财政拨款收入242226.71万元，占94.76%；</w:t>
      </w:r>
      <w:r>
        <w:rPr>
          <w:rFonts w:hint="eastAsia" w:ascii="仿宋_GB2312" w:hAnsi="仿宋" w:eastAsia="仿宋_GB2312"/>
          <w:sz w:val="32"/>
          <w:szCs w:val="32"/>
        </w:rPr>
        <w:t>事业收入1</w:t>
      </w:r>
      <w:r>
        <w:rPr>
          <w:rFonts w:ascii="仿宋_GB2312" w:hAnsi="仿宋" w:eastAsia="仿宋_GB2312"/>
          <w:sz w:val="32"/>
          <w:szCs w:val="32"/>
        </w:rPr>
        <w:t>0330.68</w:t>
      </w:r>
      <w:r>
        <w:rPr>
          <w:rFonts w:hint="eastAsia" w:ascii="仿宋_GB2312" w:hAnsi="仿宋" w:eastAsia="仿宋_GB2312"/>
          <w:sz w:val="32"/>
          <w:szCs w:val="32"/>
        </w:rPr>
        <w:t>万元</w:t>
      </w:r>
      <w:r>
        <w:rPr>
          <w:rFonts w:ascii="仿宋_GB2312" w:hAnsi="仿宋" w:eastAsia="仿宋_GB2312"/>
          <w:sz w:val="32"/>
          <w:szCs w:val="32"/>
        </w:rPr>
        <w:t>，占4.04%</w:t>
      </w:r>
      <w:r>
        <w:rPr>
          <w:rFonts w:hint="eastAsia" w:ascii="仿宋_GB2312" w:hAnsi="仿宋" w:eastAsia="仿宋_GB2312"/>
          <w:sz w:val="32"/>
          <w:szCs w:val="32"/>
        </w:rPr>
        <w:t>；上级补助收入570万元，占0.22%；附属单位上缴收入195.26万元，占0.07%；</w:t>
      </w:r>
      <w:r>
        <w:rPr>
          <w:rFonts w:ascii="仿宋_GB2312" w:hAnsi="仿宋" w:eastAsia="仿宋_GB2312"/>
          <w:sz w:val="32"/>
          <w:szCs w:val="32"/>
        </w:rPr>
        <w:t>其他收入</w:t>
      </w:r>
      <w:r>
        <w:rPr>
          <w:rFonts w:hint="eastAsia" w:ascii="仿宋_GB2312" w:hAnsi="仿宋" w:eastAsia="仿宋_GB2312"/>
          <w:sz w:val="32"/>
          <w:szCs w:val="32"/>
        </w:rPr>
        <w:t>2305.42万元</w:t>
      </w:r>
      <w:r>
        <w:rPr>
          <w:rFonts w:ascii="仿宋_GB2312" w:hAnsi="仿宋" w:eastAsia="仿宋_GB2312"/>
          <w:sz w:val="32"/>
          <w:szCs w:val="32"/>
        </w:rPr>
        <w:t>，占</w:t>
      </w:r>
      <w:r>
        <w:rPr>
          <w:rFonts w:hint="eastAsia" w:ascii="仿宋_GB2312" w:hAnsi="仿宋" w:eastAsia="仿宋_GB2312"/>
          <w:sz w:val="32"/>
          <w:szCs w:val="32"/>
        </w:rPr>
        <w:t>0.90</w:t>
      </w:r>
      <w:r>
        <w:rPr>
          <w:rFonts w:ascii="仿宋_GB2312" w:hAnsi="仿宋" w:eastAsia="仿宋_GB2312"/>
          <w:sz w:val="32"/>
          <w:szCs w:val="32"/>
        </w:rPr>
        <w:t>%。</w:t>
      </w:r>
    </w:p>
    <w:p>
      <w:pPr>
        <w:spacing w:line="580" w:lineRule="exact"/>
        <w:ind w:firstLine="640" w:firstLineChars="200"/>
        <w:rPr>
          <w:rFonts w:ascii="仿宋_GB2312" w:hAnsi="仿宋" w:eastAsia="仿宋_GB2312"/>
          <w:sz w:val="32"/>
          <w:szCs w:val="32"/>
        </w:rPr>
      </w:pPr>
    </w:p>
    <w:p>
      <w:pPr>
        <w:spacing w:line="580" w:lineRule="exact"/>
        <w:ind w:firstLine="640" w:firstLineChars="200"/>
        <w:rPr>
          <w:rFonts w:ascii="楷体_GB2312" w:eastAsia="楷体_GB2312"/>
          <w:sz w:val="32"/>
          <w:szCs w:val="32"/>
        </w:rPr>
      </w:pPr>
    </w:p>
    <w:p>
      <w:pPr>
        <w:spacing w:line="580" w:lineRule="exact"/>
        <w:ind w:firstLine="640" w:firstLineChars="200"/>
        <w:rPr>
          <w:rFonts w:ascii="楷体_GB2312" w:eastAsia="楷体_GB2312"/>
          <w:sz w:val="32"/>
          <w:szCs w:val="32"/>
        </w:rPr>
      </w:pPr>
      <w:r>
        <w:rPr>
          <w:rFonts w:ascii="楷体_GB2312" w:eastAsia="楷体_GB2312"/>
          <w:sz w:val="32"/>
          <w:szCs w:val="32"/>
        </w:rPr>
        <w:drawing>
          <wp:anchor distT="0" distB="0" distL="114300" distR="114300" simplePos="0" relativeHeight="251676672" behindDoc="0" locked="0" layoutInCell="1" allowOverlap="1">
            <wp:simplePos x="0" y="0"/>
            <wp:positionH relativeFrom="column">
              <wp:posOffset>-19050</wp:posOffset>
            </wp:positionH>
            <wp:positionV relativeFrom="paragraph">
              <wp:posOffset>262890</wp:posOffset>
            </wp:positionV>
            <wp:extent cx="5292090" cy="2857500"/>
            <wp:effectExtent l="19050" t="0" r="3810" b="0"/>
            <wp:wrapSquare wrapText="bothSides"/>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14" cstate="print"/>
                    <a:srcRect/>
                    <a:stretch>
                      <a:fillRect/>
                    </a:stretch>
                  </pic:blipFill>
                  <pic:spPr>
                    <a:xfrm>
                      <a:off x="0" y="0"/>
                      <a:ext cx="5292090" cy="2857500"/>
                    </a:xfrm>
                    <a:prstGeom prst="rect">
                      <a:avLst/>
                    </a:prstGeom>
                    <a:noFill/>
                  </pic:spPr>
                </pic:pic>
              </a:graphicData>
            </a:graphic>
          </wp:anchor>
        </w:drawing>
      </w:r>
    </w:p>
    <w:p>
      <w:pPr>
        <w:spacing w:line="580" w:lineRule="exact"/>
        <w:ind w:firstLine="640" w:firstLineChars="200"/>
        <w:rPr>
          <w:rFonts w:ascii="楷体_GB2312" w:eastAsia="楷体_GB2312"/>
          <w:sz w:val="32"/>
          <w:szCs w:val="32"/>
        </w:rPr>
      </w:pPr>
      <w:r>
        <w:rPr>
          <w:rFonts w:hint="eastAsia" w:ascii="楷体_GB2312" w:eastAsia="楷体_GB2312"/>
          <w:sz w:val="32"/>
          <w:szCs w:val="32"/>
        </w:rPr>
        <w:t>（三）支出决算情况</w:t>
      </w:r>
    </w:p>
    <w:p>
      <w:pPr>
        <w:spacing w:line="580" w:lineRule="exact"/>
        <w:ind w:firstLine="640" w:firstLineChars="200"/>
        <w:rPr>
          <w:rFonts w:ascii="仿宋_GB2312" w:eastAsia="仿宋_GB2312"/>
          <w:sz w:val="32"/>
          <w:szCs w:val="32"/>
        </w:rPr>
      </w:pPr>
      <w:r>
        <w:rPr>
          <w:rFonts w:hint="eastAsia" w:ascii="仿宋_GB2312" w:eastAsia="仿宋_GB2312"/>
          <w:sz w:val="32"/>
          <w:szCs w:val="32"/>
        </w:rPr>
        <w:drawing>
          <wp:anchor distT="0" distB="0" distL="114300" distR="114300" simplePos="0" relativeHeight="251663360" behindDoc="0" locked="0" layoutInCell="1" allowOverlap="1">
            <wp:simplePos x="0" y="0"/>
            <wp:positionH relativeFrom="column">
              <wp:posOffset>-9525</wp:posOffset>
            </wp:positionH>
            <wp:positionV relativeFrom="paragraph">
              <wp:posOffset>1206500</wp:posOffset>
            </wp:positionV>
            <wp:extent cx="5238750" cy="3345180"/>
            <wp:effectExtent l="19050" t="0" r="0" b="0"/>
            <wp:wrapSquare wrapText="bothSides"/>
            <wp:docPr id="49"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12"/>
                    <pic:cNvPicPr>
                      <a:picLocks noChangeAspect="1" noChangeArrowheads="1"/>
                    </pic:cNvPicPr>
                  </pic:nvPicPr>
                  <pic:blipFill>
                    <a:blip r:embed="rId15" cstate="print"/>
                    <a:srcRect/>
                    <a:stretch>
                      <a:fillRect/>
                    </a:stretch>
                  </pic:blipFill>
                  <pic:spPr>
                    <a:xfrm>
                      <a:off x="0" y="0"/>
                      <a:ext cx="5238750" cy="3345180"/>
                    </a:xfrm>
                    <a:prstGeom prst="rect">
                      <a:avLst/>
                    </a:prstGeom>
                    <a:noFill/>
                  </pic:spPr>
                </pic:pic>
              </a:graphicData>
            </a:graphic>
          </wp:anchor>
        </w:drawing>
      </w:r>
      <w:r>
        <w:rPr>
          <w:rFonts w:hint="eastAsia" w:ascii="仿宋_GB2312" w:eastAsia="仿宋_GB2312"/>
          <w:sz w:val="32"/>
          <w:szCs w:val="32"/>
        </w:rPr>
        <w:t>2016年度本年支出256268.44万元，其中：基本支出   184916.22万元，占72.16%；项目支出71352.22万元，占27.84%。</w:t>
      </w:r>
    </w:p>
    <w:p>
      <w:pPr>
        <w:spacing w:line="580" w:lineRule="exact"/>
        <w:ind w:firstLine="600"/>
        <w:rPr>
          <w:rFonts w:ascii="仿宋_GB2312" w:eastAsia="仿宋_GB2312"/>
          <w:sz w:val="32"/>
          <w:szCs w:val="32"/>
        </w:rPr>
      </w:pPr>
    </w:p>
    <w:p>
      <w:pPr>
        <w:spacing w:line="580" w:lineRule="exact"/>
        <w:ind w:firstLine="600"/>
        <w:rPr>
          <w:rFonts w:ascii="楷体_GB2312" w:eastAsia="楷体_GB2312"/>
          <w:sz w:val="32"/>
          <w:szCs w:val="32"/>
        </w:rPr>
      </w:pPr>
      <w:r>
        <w:rPr>
          <w:rFonts w:hint="eastAsia" w:ascii="楷体_GB2312" w:eastAsia="楷体_GB2312"/>
          <w:sz w:val="32"/>
          <w:szCs w:val="32"/>
        </w:rPr>
        <w:t>（四）财政拨款收入支出决算总体情况</w:t>
      </w:r>
    </w:p>
    <w:p>
      <w:pPr>
        <w:spacing w:line="580" w:lineRule="exact"/>
        <w:ind w:firstLine="600"/>
        <w:rPr>
          <w:rFonts w:ascii="楷体_GB2312" w:eastAsia="楷体_GB2312"/>
          <w:sz w:val="32"/>
          <w:szCs w:val="32"/>
        </w:rPr>
      </w:pPr>
      <w:r>
        <w:rPr>
          <w:rFonts w:hint="eastAsia" w:ascii="仿宋_GB2312" w:eastAsia="仿宋_GB2312"/>
          <w:sz w:val="32"/>
          <w:szCs w:val="32"/>
        </w:rPr>
        <w:drawing>
          <wp:anchor distT="0" distB="0" distL="114300" distR="114300" simplePos="0" relativeHeight="251674624" behindDoc="0" locked="0" layoutInCell="1" allowOverlap="1">
            <wp:simplePos x="0" y="0"/>
            <wp:positionH relativeFrom="column">
              <wp:posOffset>36195</wp:posOffset>
            </wp:positionH>
            <wp:positionV relativeFrom="paragraph">
              <wp:posOffset>1483360</wp:posOffset>
            </wp:positionV>
            <wp:extent cx="5276850" cy="3078480"/>
            <wp:effectExtent l="19050" t="0" r="0" b="0"/>
            <wp:wrapSquare wrapText="bothSides"/>
            <wp:docPr id="2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4"/>
                    <pic:cNvPicPr>
                      <a:picLocks noChangeAspect="1" noChangeArrowheads="1"/>
                    </pic:cNvPicPr>
                  </pic:nvPicPr>
                  <pic:blipFill>
                    <a:blip r:embed="rId16" cstate="print"/>
                    <a:srcRect/>
                    <a:stretch>
                      <a:fillRect/>
                    </a:stretch>
                  </pic:blipFill>
                  <pic:spPr>
                    <a:xfrm>
                      <a:off x="0" y="0"/>
                      <a:ext cx="5276850" cy="3078480"/>
                    </a:xfrm>
                    <a:prstGeom prst="rect">
                      <a:avLst/>
                    </a:prstGeom>
                    <a:noFill/>
                  </pic:spPr>
                </pic:pic>
              </a:graphicData>
            </a:graphic>
          </wp:anchor>
        </w:drawing>
      </w:r>
      <w:r>
        <w:rPr>
          <w:rFonts w:hint="eastAsia" w:ascii="仿宋_GB2312" w:eastAsia="仿宋_GB2312"/>
          <w:sz w:val="32"/>
          <w:szCs w:val="32"/>
        </w:rPr>
        <w:drawing>
          <wp:anchor distT="0" distB="0" distL="114300" distR="114300" simplePos="0" relativeHeight="251677696" behindDoc="0" locked="0" layoutInCell="1" allowOverlap="1">
            <wp:simplePos x="0" y="0"/>
            <wp:positionH relativeFrom="column">
              <wp:posOffset>36195</wp:posOffset>
            </wp:positionH>
            <wp:positionV relativeFrom="paragraph">
              <wp:posOffset>5788660</wp:posOffset>
            </wp:positionV>
            <wp:extent cx="5314950" cy="2613660"/>
            <wp:effectExtent l="19050" t="0" r="0" b="0"/>
            <wp:wrapSquare wrapText="bothSides"/>
            <wp:docPr id="1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3"/>
                    <pic:cNvPicPr>
                      <a:picLocks noChangeAspect="1" noChangeArrowheads="1"/>
                    </pic:cNvPicPr>
                  </pic:nvPicPr>
                  <pic:blipFill>
                    <a:blip r:embed="rId17" cstate="print"/>
                    <a:srcRect/>
                    <a:stretch>
                      <a:fillRect/>
                    </a:stretch>
                  </pic:blipFill>
                  <pic:spPr>
                    <a:xfrm>
                      <a:off x="0" y="0"/>
                      <a:ext cx="5314950" cy="2613660"/>
                    </a:xfrm>
                    <a:prstGeom prst="rect">
                      <a:avLst/>
                    </a:prstGeom>
                    <a:noFill/>
                  </pic:spPr>
                </pic:pic>
              </a:graphicData>
            </a:graphic>
          </wp:anchor>
        </w:drawing>
      </w:r>
      <w:r>
        <w:rPr>
          <w:rFonts w:hint="eastAsia" w:ascii="仿宋_GB2312" w:eastAsia="仿宋_GB2312"/>
          <w:sz w:val="32"/>
          <w:szCs w:val="32"/>
        </w:rPr>
        <w:t>2016年度财政拨款收支总决算242226.71万元。与2015年相比，财政拨款收、支总计各减少68977.06万元，下降22.16%。</w:t>
      </w:r>
      <w:r>
        <w:rPr>
          <w:rFonts w:hint="eastAsia" w:ascii="仿宋_GB2312" w:hAnsi="仿宋" w:eastAsia="仿宋_GB2312"/>
          <w:color w:val="000000"/>
          <w:sz w:val="32"/>
          <w:szCs w:val="32"/>
        </w:rPr>
        <w:t>主要原因是五所</w:t>
      </w:r>
      <w:r>
        <w:rPr>
          <w:rFonts w:ascii="仿宋_GB2312" w:hAnsi="仿宋" w:eastAsia="仿宋_GB2312"/>
          <w:color w:val="000000"/>
          <w:sz w:val="32"/>
          <w:szCs w:val="32"/>
        </w:rPr>
        <w:t>新建高中基本完工，</w:t>
      </w:r>
      <w:r>
        <w:rPr>
          <w:rFonts w:hint="eastAsia" w:ascii="仿宋_GB2312" w:hAnsi="仿宋" w:eastAsia="仿宋_GB2312"/>
          <w:color w:val="000000"/>
          <w:sz w:val="32"/>
          <w:szCs w:val="32"/>
        </w:rPr>
        <w:t>基建</w:t>
      </w:r>
      <w:r>
        <w:rPr>
          <w:rFonts w:ascii="仿宋_GB2312" w:hAnsi="仿宋" w:eastAsia="仿宋_GB2312"/>
          <w:color w:val="000000"/>
          <w:sz w:val="32"/>
          <w:szCs w:val="32"/>
        </w:rPr>
        <w:t>项目</w:t>
      </w:r>
      <w:r>
        <w:rPr>
          <w:rFonts w:hint="eastAsia" w:ascii="仿宋_GB2312" w:hAnsi="仿宋" w:eastAsia="仿宋_GB2312"/>
          <w:color w:val="000000"/>
          <w:sz w:val="32"/>
          <w:szCs w:val="32"/>
        </w:rPr>
        <w:t>拨款</w:t>
      </w:r>
      <w:r>
        <w:rPr>
          <w:rFonts w:ascii="仿宋_GB2312" w:hAnsi="仿宋" w:eastAsia="仿宋_GB2312"/>
          <w:color w:val="000000"/>
          <w:sz w:val="32"/>
          <w:szCs w:val="32"/>
        </w:rPr>
        <w:t>减少</w:t>
      </w:r>
      <w:r>
        <w:rPr>
          <w:rFonts w:hint="eastAsia" w:ascii="仿宋_GB2312" w:hAnsi="仿宋" w:eastAsia="仿宋_GB2312"/>
          <w:color w:val="000000"/>
          <w:sz w:val="32"/>
          <w:szCs w:val="32"/>
        </w:rPr>
        <w:t>。</w:t>
      </w:r>
      <w:r>
        <w:rPr>
          <w:rFonts w:ascii="仿宋_GB2312" w:hAnsi="仿宋" w:eastAsia="仿宋_GB2312"/>
          <w:color w:val="000000"/>
          <w:sz w:val="32"/>
          <w:szCs w:val="32"/>
        </w:rPr>
        <w:br w:type="textWrapping"/>
      </w:r>
      <w:r>
        <w:rPr>
          <w:rFonts w:hint="eastAsia" w:ascii="楷体_GB2312" w:eastAsia="楷体_GB2312"/>
          <w:sz w:val="32"/>
          <w:szCs w:val="32"/>
        </w:rPr>
        <w:t xml:space="preserve">    </w:t>
      </w:r>
      <w:r>
        <w:rPr>
          <w:rFonts w:hint="eastAsia" w:ascii="仿宋_GB2312" w:eastAsia="仿宋_GB2312"/>
          <w:sz w:val="32"/>
          <w:szCs w:val="32"/>
        </w:rPr>
        <w:t>2016年度财政拨款收入决算总计242226.71万元，其中：一般公共预算财政拨款242006.71万元，占99.91%；政府性基金预算财政拨款220万元，占0.09%。</w:t>
      </w:r>
    </w:p>
    <w:p>
      <w:pPr>
        <w:spacing w:line="580" w:lineRule="exact"/>
        <w:ind w:firstLine="640" w:firstLineChars="200"/>
        <w:rPr>
          <w:rFonts w:ascii="仿宋_GB2312" w:eastAsia="仿宋_GB2312"/>
          <w:sz w:val="32"/>
          <w:szCs w:val="32"/>
        </w:rPr>
      </w:pPr>
      <w:r>
        <w:rPr>
          <w:rFonts w:hint="eastAsia" w:ascii="仿宋_GB2312" w:eastAsia="仿宋_GB2312"/>
          <w:sz w:val="32"/>
          <w:szCs w:val="32"/>
        </w:rPr>
        <w:t>2016年度财政拨款支出决算总计242226.71万元，其中：教育支出240867.18万元，占99.44%；社会保障和就业支出893.51万元,占0.36%；其他支出230.30万元，占0.10%；一般公共服务（类）支出98万元，占0.04%；年末财政拨款结转和结余69.7万元，占0.03%；城乡社区支出63.06万元，占0.03%。</w:t>
      </w:r>
    </w:p>
    <w:p>
      <w:pPr>
        <w:spacing w:line="580" w:lineRule="exact"/>
        <w:ind w:firstLine="640" w:firstLineChars="200"/>
        <w:rPr>
          <w:rFonts w:ascii="仿宋_GB2312" w:eastAsia="仿宋_GB2312"/>
          <w:sz w:val="32"/>
          <w:szCs w:val="32"/>
        </w:rPr>
      </w:pPr>
      <w:r>
        <w:rPr>
          <w:rFonts w:ascii="仿宋_GB2312" w:eastAsia="仿宋_GB2312"/>
          <w:sz w:val="32"/>
          <w:szCs w:val="32"/>
        </w:rPr>
        <w:drawing>
          <wp:anchor distT="0" distB="0" distL="114300" distR="114300" simplePos="0" relativeHeight="251667456" behindDoc="0" locked="0" layoutInCell="1" allowOverlap="1">
            <wp:simplePos x="0" y="0"/>
            <wp:positionH relativeFrom="column">
              <wp:posOffset>-1905</wp:posOffset>
            </wp:positionH>
            <wp:positionV relativeFrom="paragraph">
              <wp:posOffset>373380</wp:posOffset>
            </wp:positionV>
            <wp:extent cx="5261610" cy="2910840"/>
            <wp:effectExtent l="19050" t="0" r="0" b="0"/>
            <wp:wrapSquare wrapText="bothSides"/>
            <wp:docPr id="61"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17"/>
                    <pic:cNvPicPr>
                      <a:picLocks noChangeAspect="1" noChangeArrowheads="1"/>
                    </pic:cNvPicPr>
                  </pic:nvPicPr>
                  <pic:blipFill>
                    <a:blip r:embed="rId18" cstate="print"/>
                    <a:srcRect/>
                    <a:stretch>
                      <a:fillRect/>
                    </a:stretch>
                  </pic:blipFill>
                  <pic:spPr>
                    <a:xfrm>
                      <a:off x="0" y="0"/>
                      <a:ext cx="5261610" cy="2910840"/>
                    </a:xfrm>
                    <a:prstGeom prst="rect">
                      <a:avLst/>
                    </a:prstGeom>
                    <a:noFill/>
                  </pic:spPr>
                </pic:pic>
              </a:graphicData>
            </a:graphic>
          </wp:anchor>
        </w:drawing>
      </w:r>
    </w:p>
    <w:p>
      <w:pPr>
        <w:spacing w:line="580" w:lineRule="exact"/>
        <w:ind w:firstLine="640" w:firstLineChars="200"/>
        <w:rPr>
          <w:rFonts w:ascii="仿宋_GB2312" w:eastAsia="仿宋_GB2312"/>
          <w:sz w:val="32"/>
          <w:szCs w:val="32"/>
        </w:rPr>
      </w:pPr>
    </w:p>
    <w:p>
      <w:pPr>
        <w:spacing w:line="580" w:lineRule="exact"/>
        <w:rPr>
          <w:rFonts w:ascii="楷体_GB2312" w:eastAsia="楷体_GB2312"/>
          <w:sz w:val="32"/>
          <w:szCs w:val="32"/>
        </w:rPr>
      </w:pPr>
      <w:r>
        <w:rPr>
          <w:rFonts w:hint="eastAsia" w:ascii="楷体_GB2312" w:eastAsia="楷体_GB2312"/>
          <w:sz w:val="32"/>
          <w:szCs w:val="32"/>
        </w:rPr>
        <w:t>（五）一般公共预算财政拨款支出决算情况</w:t>
      </w:r>
    </w:p>
    <w:p>
      <w:pPr>
        <w:spacing w:line="580" w:lineRule="exact"/>
        <w:ind w:firstLine="640" w:firstLineChars="200"/>
        <w:rPr>
          <w:rFonts w:ascii="仿宋_GB2312" w:eastAsia="仿宋_GB2312"/>
          <w:sz w:val="32"/>
          <w:szCs w:val="32"/>
        </w:rPr>
      </w:pPr>
      <w:r>
        <w:rPr>
          <w:rFonts w:hint="eastAsia" w:ascii="仿宋_GB2312" w:eastAsia="仿宋_GB2312"/>
          <w:sz w:val="32"/>
          <w:szCs w:val="32"/>
        </w:rPr>
        <w:t>1、一般公共预算财政拨款支出决算总体情况</w:t>
      </w:r>
    </w:p>
    <w:p>
      <w:pPr>
        <w:snapToGrid w:val="0"/>
        <w:spacing w:line="560" w:lineRule="exact"/>
        <w:ind w:firstLine="640" w:firstLineChars="200"/>
        <w:rPr>
          <w:rFonts w:ascii="仿宋_GB2312" w:hAnsi="仿宋" w:eastAsia="仿宋_GB2312"/>
          <w:color w:val="000000"/>
          <w:sz w:val="32"/>
          <w:szCs w:val="32"/>
        </w:rPr>
      </w:pPr>
      <w:r>
        <w:rPr>
          <w:rFonts w:hint="eastAsia" w:ascii="仿宋_GB2312" w:eastAsia="仿宋_GB2312"/>
          <w:sz w:val="32"/>
          <w:szCs w:val="32"/>
        </w:rPr>
        <w:t>2016年度一般公共预算财政拨款支出241937.01万元，占本年支出合计的94.41%。与2015年相比，一般公共预算财政拨款支出减少69077.94万元，下降22.21%。</w:t>
      </w:r>
      <w:r>
        <w:rPr>
          <w:rFonts w:hint="eastAsia" w:ascii="仿宋_GB2312" w:hAnsi="仿宋" w:eastAsia="仿宋_GB2312"/>
          <w:color w:val="000000"/>
          <w:sz w:val="32"/>
          <w:szCs w:val="32"/>
        </w:rPr>
        <w:t>主要原因是五所</w:t>
      </w:r>
      <w:r>
        <w:rPr>
          <w:rFonts w:ascii="仿宋_GB2312" w:hAnsi="仿宋" w:eastAsia="仿宋_GB2312"/>
          <w:color w:val="000000"/>
          <w:sz w:val="32"/>
          <w:szCs w:val="32"/>
        </w:rPr>
        <w:t>新建高中基本完工，</w:t>
      </w:r>
      <w:r>
        <w:rPr>
          <w:rFonts w:hint="eastAsia" w:ascii="仿宋_GB2312" w:hAnsi="仿宋" w:eastAsia="仿宋_GB2312"/>
          <w:color w:val="000000"/>
          <w:sz w:val="32"/>
          <w:szCs w:val="32"/>
        </w:rPr>
        <w:t>基建</w:t>
      </w:r>
      <w:r>
        <w:rPr>
          <w:rFonts w:ascii="仿宋_GB2312" w:hAnsi="仿宋" w:eastAsia="仿宋_GB2312"/>
          <w:color w:val="000000"/>
          <w:sz w:val="32"/>
          <w:szCs w:val="32"/>
        </w:rPr>
        <w:t>项目</w:t>
      </w:r>
      <w:r>
        <w:rPr>
          <w:rFonts w:hint="eastAsia" w:ascii="仿宋_GB2312" w:hAnsi="仿宋" w:eastAsia="仿宋_GB2312"/>
          <w:color w:val="000000"/>
          <w:sz w:val="32"/>
          <w:szCs w:val="32"/>
        </w:rPr>
        <w:t>拨款</w:t>
      </w:r>
      <w:r>
        <w:rPr>
          <w:rFonts w:ascii="仿宋_GB2312" w:hAnsi="仿宋" w:eastAsia="仿宋_GB2312"/>
          <w:color w:val="000000"/>
          <w:sz w:val="32"/>
          <w:szCs w:val="32"/>
        </w:rPr>
        <w:t>减少</w:t>
      </w:r>
      <w:r>
        <w:rPr>
          <w:rFonts w:hint="eastAsia" w:ascii="仿宋_GB2312" w:hAnsi="仿宋" w:eastAsia="仿宋_GB2312"/>
          <w:color w:val="000000"/>
          <w:sz w:val="32"/>
          <w:szCs w:val="32"/>
        </w:rPr>
        <w:t>。</w:t>
      </w:r>
    </w:p>
    <w:p>
      <w:pPr>
        <w:snapToGrid w:val="0"/>
        <w:spacing w:line="560" w:lineRule="exact"/>
        <w:ind w:firstLine="640" w:firstLineChars="200"/>
        <w:rPr>
          <w:rFonts w:ascii="仿宋_GB2312" w:hAnsi="仿宋" w:eastAsia="仿宋_GB2312"/>
          <w:color w:val="000000"/>
          <w:sz w:val="32"/>
          <w:szCs w:val="32"/>
        </w:rPr>
      </w:pPr>
      <w:r>
        <w:rPr>
          <w:rFonts w:ascii="仿宋_GB2312" w:hAnsi="仿宋" w:eastAsia="仿宋_GB2312"/>
          <w:color w:val="000000"/>
          <w:sz w:val="32"/>
          <w:szCs w:val="32"/>
        </w:rPr>
        <w:drawing>
          <wp:anchor distT="0" distB="0" distL="114300" distR="114300" simplePos="0" relativeHeight="251675648" behindDoc="0" locked="0" layoutInCell="1" allowOverlap="1">
            <wp:simplePos x="0" y="0"/>
            <wp:positionH relativeFrom="column">
              <wp:posOffset>-24765</wp:posOffset>
            </wp:positionH>
            <wp:positionV relativeFrom="paragraph">
              <wp:posOffset>15240</wp:posOffset>
            </wp:positionV>
            <wp:extent cx="5276850" cy="3253740"/>
            <wp:effectExtent l="19050" t="0" r="0" b="0"/>
            <wp:wrapSquare wrapText="bothSides"/>
            <wp:docPr id="28"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5"/>
                    <pic:cNvPicPr>
                      <a:picLocks noChangeAspect="1" noChangeArrowheads="1"/>
                    </pic:cNvPicPr>
                  </pic:nvPicPr>
                  <pic:blipFill>
                    <a:blip r:embed="rId19" cstate="print"/>
                    <a:srcRect/>
                    <a:stretch>
                      <a:fillRect/>
                    </a:stretch>
                  </pic:blipFill>
                  <pic:spPr>
                    <a:xfrm>
                      <a:off x="0" y="0"/>
                      <a:ext cx="5276850" cy="3253740"/>
                    </a:xfrm>
                    <a:prstGeom prst="rect">
                      <a:avLst/>
                    </a:prstGeom>
                    <a:noFill/>
                  </pic:spPr>
                </pic:pic>
              </a:graphicData>
            </a:graphic>
          </wp:anchor>
        </w:drawing>
      </w:r>
    </w:p>
    <w:p>
      <w:pPr>
        <w:snapToGrid w:val="0"/>
        <w:spacing w:line="560" w:lineRule="exact"/>
        <w:ind w:firstLine="640" w:firstLineChars="200"/>
        <w:rPr>
          <w:rFonts w:ascii="仿宋_GB2312" w:hAnsi="仿宋" w:eastAsia="仿宋_GB2312"/>
          <w:color w:val="000000"/>
          <w:sz w:val="32"/>
          <w:szCs w:val="32"/>
        </w:rPr>
      </w:pPr>
      <w:r>
        <w:rPr>
          <w:rFonts w:hint="eastAsia" w:ascii="仿宋_GB2312" w:eastAsia="仿宋_GB2312"/>
          <w:bCs/>
          <w:sz w:val="32"/>
          <w:szCs w:val="32"/>
        </w:rPr>
        <w:t>2、</w:t>
      </w:r>
      <w:r>
        <w:rPr>
          <w:rFonts w:hint="eastAsia" w:ascii="仿宋_GB2312" w:eastAsia="仿宋_GB2312"/>
          <w:sz w:val="32"/>
          <w:szCs w:val="32"/>
        </w:rPr>
        <w:t>一般公共预算财政拨款支出决算结构情况</w:t>
      </w:r>
    </w:p>
    <w:p>
      <w:pPr>
        <w:spacing w:line="580" w:lineRule="exact"/>
        <w:ind w:firstLine="640" w:firstLineChars="200"/>
        <w:rPr>
          <w:rFonts w:ascii="仿宋_GB2312" w:eastAsia="仿宋_GB2312"/>
          <w:sz w:val="32"/>
          <w:szCs w:val="32"/>
        </w:rPr>
      </w:pPr>
      <w:r>
        <w:rPr>
          <w:rFonts w:hint="eastAsia" w:ascii="仿宋_GB2312" w:eastAsia="仿宋_GB2312"/>
          <w:sz w:val="32"/>
          <w:szCs w:val="32"/>
        </w:rPr>
        <w:drawing>
          <wp:anchor distT="0" distB="0" distL="114300" distR="114300" simplePos="0" relativeHeight="251658240" behindDoc="0" locked="0" layoutInCell="1" allowOverlap="1">
            <wp:simplePos x="0" y="0"/>
            <wp:positionH relativeFrom="column">
              <wp:posOffset>-34290</wp:posOffset>
            </wp:positionH>
            <wp:positionV relativeFrom="paragraph">
              <wp:posOffset>1569085</wp:posOffset>
            </wp:positionV>
            <wp:extent cx="5276850" cy="3009900"/>
            <wp:effectExtent l="19050" t="0" r="0" b="0"/>
            <wp:wrapSquare wrapText="bothSides"/>
            <wp:docPr id="1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3"/>
                    <pic:cNvPicPr>
                      <a:picLocks noChangeAspect="1" noChangeArrowheads="1"/>
                    </pic:cNvPicPr>
                  </pic:nvPicPr>
                  <pic:blipFill>
                    <a:blip r:embed="rId20" cstate="print"/>
                    <a:srcRect/>
                    <a:stretch>
                      <a:fillRect/>
                    </a:stretch>
                  </pic:blipFill>
                  <pic:spPr>
                    <a:xfrm>
                      <a:off x="0" y="0"/>
                      <a:ext cx="5276850" cy="3009900"/>
                    </a:xfrm>
                    <a:prstGeom prst="rect">
                      <a:avLst/>
                    </a:prstGeom>
                    <a:noFill/>
                  </pic:spPr>
                </pic:pic>
              </a:graphicData>
            </a:graphic>
          </wp:anchor>
        </w:drawing>
      </w:r>
      <w:r>
        <w:rPr>
          <w:rFonts w:hint="eastAsia" w:ascii="仿宋_GB2312" w:eastAsia="仿宋_GB2312"/>
          <w:sz w:val="32"/>
          <w:szCs w:val="32"/>
        </w:rPr>
        <w:t>2016年度一般公共预算财政拨款支出241937.01万元，主要用于以下方面：教育支出240867.18万元，占99.56%；社会保障和就业支出893.51万元,占0.37%；一般公共服务支出98万元，占0.04%；城乡社区支出63.06万元，占0.03%。</w:t>
      </w:r>
    </w:p>
    <w:p>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3、一般公共预算财政拨款支出决算具体情况</w:t>
      </w:r>
    </w:p>
    <w:p>
      <w:pPr>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2016年度一般公共预算财政拨款支出年初预算为278375.71万元，支出决算为241937.01万元，完成年初预算的85.91%。决算数小于预算数的主要原因：本年度收入支出决算中未包含政府配置校车运营补贴、北部职教园区和五所高中租赁型人才公寓PPP项目、高校学科共建等专项资金。其中：</w:t>
      </w:r>
    </w:p>
    <w:p>
      <w:pPr>
        <w:numPr>
          <w:ilvl w:val="0"/>
          <w:numId w:val="2"/>
        </w:num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教育支出（类）教育管理事务（款）行政运行（项）。年初预算为3162.19万元，支出决算为4403.18万元，完成预算的139.24%。决算数大于预算数的主要原因：人员工资调整等。</w:t>
      </w:r>
    </w:p>
    <w:p>
      <w:pPr>
        <w:numPr>
          <w:ilvl w:val="0"/>
          <w:numId w:val="2"/>
        </w:num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教育支出（类）教育管理事务（款）一般行政管理事务（项）。年初预算为177.32万元，支出决算为177.32万元，完成预算的100%。</w:t>
      </w:r>
    </w:p>
    <w:p>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3.教育支出（类）教育管理事务（款）其他教育管理事务支出（项）。年初预算为2144.95万元，支出决算为3081.07万元，完成预算的143.64%。决算数大于预算数的主要原因：人员工资调整等。</w:t>
      </w:r>
    </w:p>
    <w:p>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4.教育支出（类）普通教育（款）学前教育（项）。年初预算为10294万元，支出决算为1151.29万元，完成预算的11.18%。决算数小于预算数的主要原因：我局已完成预算，但预算批复中有</w:t>
      </w:r>
      <w:r>
        <w:rPr>
          <w:rFonts w:hint="eastAsia" w:ascii="仿宋_GB2312" w:hAnsi="仿宋_GB2312" w:eastAsia="仿宋_GB2312" w:cs="仿宋_GB2312"/>
          <w:sz w:val="32"/>
          <w:szCs w:val="32"/>
          <w:lang w:eastAsia="zh-CN"/>
        </w:rPr>
        <w:t>拨付区市资金</w:t>
      </w:r>
      <w:r>
        <w:rPr>
          <w:rFonts w:hint="eastAsia" w:ascii="仿宋_GB2312" w:hAnsi="仿宋_GB2312" w:eastAsia="仿宋_GB2312" w:cs="仿宋_GB2312"/>
          <w:sz w:val="32"/>
          <w:szCs w:val="32"/>
        </w:rPr>
        <w:t>，决算不在我局部门决算中反映。</w:t>
      </w:r>
    </w:p>
    <w:p>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5.教育支出（类）普通教育（款）初中教育（项）。年初预算为9893.68万元，支出决算为14213.37万元，完成预算的143.66%。决算数大于预算数的主要原因：人员工资调整等。</w:t>
      </w:r>
    </w:p>
    <w:p>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6.教育支出（类）普通教育（款）高中教育（项）。年初预算为70455.67万元，支出决算为91574.58万元，完成预算的129.97%。决算数大于预算数的主要原因：人员工资调整等。</w:t>
      </w:r>
    </w:p>
    <w:p>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教育支出（类）普通教育（款）高等教育（项）。年初预算为9418万元，支出决算为4760.21万元，完成预算的50.54%。决算数小于预算数的主要原因：我局已完成预算，但预算批复中有外系统经费，如高等教育重点学科共建、高校困难学生助学金等，决算不在我局部门决算中反映。</w:t>
      </w:r>
    </w:p>
    <w:p>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8.教育支出（类）普通教育（款）其他普通教育支出（项）。年初预算为1947.85万元，支出决算为2318.44万元，完成预算的119.03%。决算数大于预算数的主要原因：人员工资调整等。</w:t>
      </w:r>
    </w:p>
    <w:p>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9.教育支出（类）职业教育（款）中专教育（项）。年初预算为1914.29万元，支出决算为5670.44万元，完成预算的 296.22%。决算数大于预算数的主要原因：人员工资调整等。</w:t>
      </w:r>
    </w:p>
    <w:p>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10.教育支出（类）职业教育（款）职业高中教育（项）。年初预算为54828.47万元，支出决算为65824.33万元，完成预算的120.06%。决算数大于预算数的主要原因：人员工资调整等。</w:t>
      </w:r>
    </w:p>
    <w:p>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11.教育支出（类）职业教育（款）其他职业教育支出（项）。年初预算为2384.72万元，支出决算为3050.29万元，完成预算的127.91%。决算数大于预算数的主要原因：人员工资调整等。</w:t>
      </w:r>
    </w:p>
    <w:p>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12.教育支出（类）成人教育（款）成人高等教育（项）。年初预算为177万元，支出决算为177万元，完成预算的100%。</w:t>
      </w:r>
    </w:p>
    <w:p>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13.教育支出（类）成人教育（款）成人广播电视教育（项）。年初未安排预算，支出决算为23.55万元。决算数大于预算数的主要原因：本年财政安排交通学校提租补贴。</w:t>
      </w:r>
    </w:p>
    <w:p>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14.教育支出（类）成人教育（款）其他成人教育支出（项）。年初预算8万元，支出决算为8万元，完成预算100%。</w:t>
      </w:r>
    </w:p>
    <w:p>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15.教育支出（类）特殊教育（款）特殊学校教育（项）。年初预算为4498.77万元，支出决算为5809.15万元，完成预算的129.13%。决算数大于预算数的主要原因：人员工资调整等。</w:t>
      </w:r>
    </w:p>
    <w:p>
      <w:pPr>
        <w:spacing w:line="580" w:lineRule="exact"/>
        <w:ind w:firstLine="640" w:firstLineChars="200"/>
        <w:rPr>
          <w:rFonts w:hint="eastAsia" w:ascii="仿宋_GB2312" w:hAnsi="仿宋_GB2312" w:eastAsia="仿宋_GB2312" w:cs="仿宋_GB2312"/>
          <w:color w:val="FF0000"/>
          <w:sz w:val="32"/>
          <w:szCs w:val="32"/>
        </w:rPr>
      </w:pPr>
      <w:r>
        <w:rPr>
          <w:rFonts w:hint="eastAsia" w:ascii="仿宋_GB2312" w:hAnsi="仿宋_GB2312" w:eastAsia="仿宋_GB2312" w:cs="仿宋_GB2312"/>
          <w:sz w:val="32"/>
          <w:szCs w:val="32"/>
        </w:rPr>
        <w:t>16.教育支出（类）特殊教育（款）其他特殊教育支出（项）。年初预算为630万元，支出决算为630万元，完成预算的100%。</w:t>
      </w:r>
    </w:p>
    <w:p>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17.教育支出（类）进修及培训（款）教师进修（项）。年初未批复预算，支出决算为44.55万元。决算数大于预算数的主要原因：本年财政安排轻工学校教师培训计划省专项。</w:t>
      </w:r>
    </w:p>
    <w:p>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18.教育支出（类）教育费附加安排的支出（款）其他教育费附加安排的支出（项）。年初预算84600万元，支出决算为28615.79万元，完成预算的33.82%。决算数小于预算数的主要原因：预算批复中有</w:t>
      </w:r>
      <w:r>
        <w:rPr>
          <w:rFonts w:hint="eastAsia" w:ascii="仿宋_GB2312" w:hAnsi="仿宋_GB2312" w:eastAsia="仿宋_GB2312" w:cs="仿宋_GB2312"/>
          <w:sz w:val="32"/>
          <w:szCs w:val="32"/>
          <w:lang w:eastAsia="zh-CN"/>
        </w:rPr>
        <w:t>拨付区市资金</w:t>
      </w:r>
      <w:r>
        <w:rPr>
          <w:rFonts w:hint="eastAsia" w:ascii="仿宋_GB2312" w:hAnsi="仿宋_GB2312" w:eastAsia="仿宋_GB2312" w:cs="仿宋_GB2312"/>
          <w:sz w:val="32"/>
          <w:szCs w:val="32"/>
        </w:rPr>
        <w:t>，决算未在我局部门决算中，已完成预算。</w:t>
      </w:r>
    </w:p>
    <w:p>
      <w:pPr>
        <w:spacing w:line="580" w:lineRule="exact"/>
        <w:ind w:firstLine="640" w:firstLineChars="200"/>
        <w:rPr>
          <w:rFonts w:hint="eastAsia" w:ascii="仿宋_GB2312" w:hAnsi="仿宋_GB2312" w:eastAsia="仿宋_GB2312" w:cs="仿宋_GB2312"/>
          <w:color w:val="FF0000"/>
          <w:sz w:val="32"/>
          <w:szCs w:val="32"/>
        </w:rPr>
      </w:pPr>
      <w:r>
        <w:rPr>
          <w:rFonts w:hint="eastAsia" w:ascii="仿宋_GB2312" w:hAnsi="仿宋_GB2312" w:eastAsia="仿宋_GB2312" w:cs="仿宋_GB2312"/>
          <w:sz w:val="32"/>
          <w:szCs w:val="32"/>
        </w:rPr>
        <w:t>19.教育支出（类）其他教育支出（款）其他教育支出（项）。年初预算为14732.85万元，支出决算为9334.61万元，完成预算的63.36%。决算数小于预算数的主要原因：预算批复中有</w:t>
      </w:r>
      <w:r>
        <w:rPr>
          <w:rFonts w:hint="eastAsia" w:ascii="仿宋_GB2312" w:hAnsi="仿宋_GB2312" w:eastAsia="仿宋_GB2312" w:cs="仿宋_GB2312"/>
          <w:sz w:val="32"/>
          <w:szCs w:val="32"/>
          <w:lang w:eastAsia="zh-CN"/>
        </w:rPr>
        <w:t>拨付区市资金</w:t>
      </w:r>
      <w:r>
        <w:rPr>
          <w:rFonts w:hint="eastAsia" w:ascii="仿宋_GB2312" w:hAnsi="仿宋_GB2312" w:eastAsia="仿宋_GB2312" w:cs="仿宋_GB2312"/>
          <w:sz w:val="32"/>
          <w:szCs w:val="32"/>
        </w:rPr>
        <w:t>，决算未在我局部门决算中，已完成预算。</w:t>
      </w:r>
    </w:p>
    <w:p>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社会保障和就业支出（类）行政事业单位离退休（款）机关事业单位基本养老保险缴费支出（项）。年初预算未安排预算，支出决算为893.51万元。决算数大于预算数的主要原因：2016年机关事业单位养老保险制度改革。</w:t>
      </w:r>
    </w:p>
    <w:p>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21.一般公共服务支出（类）其他一般公共服务支出（款）其他一般公共服务支出（项）。年初未安排预算，支出决算为98万元。决算数大于预算数的主要原因：本年财政安排市公共实训基地50名外聘教师人员经费。</w:t>
      </w:r>
    </w:p>
    <w:p>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22.城乡社区支出（类）其他城乡社区支出（款）其他城乡社区支出（项）。年初未安排批复预算，支出决算为63.06万元。决算数大于预算数的主要原因：本年财政安排基建项目资金等。</w:t>
      </w:r>
    </w:p>
    <w:p>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23.商业服务业等支出（类）涉外发展服务支出（款）其他涉外发展服务支出（项）。年初未安排批复预算，支出决算为4.97万元。决算数大于预算数的主要原因：本年财政安排招商项目经费。</w:t>
      </w:r>
    </w:p>
    <w:p>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24.其他支出（类）其他支出（款）其他支出（项）。年初未安排批复预算，支出决算为10.30万元。决算数大于预算数的主要原因：本年财政安排北部职教园区和五所高中租赁型人才公寓PPP项目资金。</w:t>
      </w:r>
    </w:p>
    <w:p>
      <w:pPr>
        <w:spacing w:line="580" w:lineRule="exact"/>
        <w:ind w:firstLine="480" w:firstLineChars="150"/>
        <w:rPr>
          <w:rFonts w:ascii="楷体_GB2312" w:eastAsia="楷体_GB2312"/>
          <w:sz w:val="32"/>
          <w:szCs w:val="32"/>
        </w:rPr>
      </w:pPr>
      <w:r>
        <w:rPr>
          <w:rFonts w:hint="eastAsia" w:ascii="楷体_GB2312" w:eastAsia="楷体_GB2312"/>
          <w:sz w:val="32"/>
          <w:szCs w:val="32"/>
        </w:rPr>
        <w:t>（六）一般公共预算财政拨款基本支出决算情况</w:t>
      </w:r>
    </w:p>
    <w:p>
      <w:pPr>
        <w:spacing w:line="580" w:lineRule="exact"/>
        <w:ind w:firstLine="6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2016年度一般公共预算财政拨款基本支出171132.37万元，包括人员经费和公用经费，支出具体情况如下：</w:t>
      </w:r>
    </w:p>
    <w:p>
      <w:pPr>
        <w:spacing w:line="580" w:lineRule="exact"/>
        <w:ind w:firstLine="640" w:firstLineChars="200"/>
        <w:rPr>
          <w:rFonts w:hint="eastAsia" w:ascii="仿宋_GB2312" w:hAnsi="仿宋_GB2312" w:eastAsia="仿宋_GB2312" w:cs="仿宋_GB2312"/>
          <w:b/>
          <w:sz w:val="32"/>
          <w:szCs w:val="32"/>
        </w:rPr>
      </w:pPr>
      <w:r>
        <w:rPr>
          <w:rFonts w:hint="eastAsia" w:ascii="仿宋_GB2312" w:hAnsi="仿宋_GB2312" w:eastAsia="仿宋_GB2312" w:cs="仿宋_GB2312"/>
          <w:sz w:val="32"/>
          <w:szCs w:val="32"/>
        </w:rPr>
        <w:t>人员经费136643.09万元，主要包括：基本工资、津贴补贴、奖金、社会保障缴费、伙食补助费、绩效工资、其他工资福利支出、离休费、退休费、抚恤金、生活补助、医疗费、助学金、奖励金、住房公积金、其他对个人和家庭的补助支出。</w:t>
      </w:r>
    </w:p>
    <w:p>
      <w:pPr>
        <w:spacing w:line="580" w:lineRule="exact"/>
        <w:ind w:firstLine="640" w:firstLineChars="200"/>
        <w:rPr>
          <w:rFonts w:hint="eastAsia" w:ascii="仿宋_GB2312" w:hAnsi="仿宋_GB2312" w:eastAsia="仿宋_GB2312" w:cs="仿宋_GB2312"/>
          <w:b/>
          <w:sz w:val="32"/>
          <w:szCs w:val="32"/>
        </w:rPr>
      </w:pPr>
      <w:r>
        <w:rPr>
          <w:rFonts w:hint="eastAsia" w:ascii="仿宋_GB2312" w:hAnsi="仿宋_GB2312" w:eastAsia="仿宋_GB2312" w:cs="仿宋_GB2312"/>
          <w:sz w:val="32"/>
          <w:szCs w:val="32"/>
        </w:rPr>
        <w:t>公用经费34489.28万元，主要包括：办公费、印刷费、咨询费、手续费、水费、电费、邮电费、取暖费、物业管理费、差旅费、因公出国（境）费、维修（护）费、租赁费、会议费、培训费、公务接待费、专用材料费、劳务费、委托业务费、工会经费、福利费、公务用车运行维护费、其他交通费用、其他商品和服务支出。</w:t>
      </w:r>
    </w:p>
    <w:p>
      <w:pPr>
        <w:spacing w:line="580" w:lineRule="exact"/>
        <w:ind w:firstLine="600"/>
        <w:rPr>
          <w:rFonts w:ascii="楷体_GB2312" w:eastAsia="楷体_GB2312"/>
          <w:sz w:val="32"/>
          <w:szCs w:val="32"/>
        </w:rPr>
      </w:pPr>
      <w:r>
        <w:rPr>
          <w:rFonts w:hint="eastAsia" w:ascii="楷体_GB2312" w:eastAsia="楷体_GB2312"/>
          <w:sz w:val="32"/>
          <w:szCs w:val="32"/>
        </w:rPr>
        <w:t>（七）政府性基金预算财政拨款收入支出决算情况</w:t>
      </w:r>
    </w:p>
    <w:p>
      <w:pPr>
        <w:spacing w:line="580" w:lineRule="exact"/>
        <w:ind w:firstLine="640" w:firstLineChars="200"/>
        <w:rPr>
          <w:rFonts w:ascii="仿宋_GB2312" w:eastAsia="仿宋_GB2312"/>
          <w:sz w:val="32"/>
          <w:szCs w:val="32"/>
        </w:rPr>
      </w:pPr>
      <w:r>
        <w:rPr>
          <w:rFonts w:hint="eastAsia" w:ascii="仿宋_GB2312" w:eastAsia="仿宋_GB2312"/>
          <w:sz w:val="32"/>
          <w:szCs w:val="32"/>
        </w:rPr>
        <w:drawing>
          <wp:anchor distT="0" distB="0" distL="114300" distR="114300" simplePos="0" relativeHeight="251678720" behindDoc="0" locked="0" layoutInCell="1" allowOverlap="1">
            <wp:simplePos x="0" y="0"/>
            <wp:positionH relativeFrom="column">
              <wp:posOffset>285750</wp:posOffset>
            </wp:positionH>
            <wp:positionV relativeFrom="paragraph">
              <wp:posOffset>1239520</wp:posOffset>
            </wp:positionV>
            <wp:extent cx="5147310" cy="3208020"/>
            <wp:effectExtent l="19050" t="0" r="0" b="0"/>
            <wp:wrapSquare wrapText="bothSides"/>
            <wp:docPr id="1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4"/>
                    <pic:cNvPicPr>
                      <a:picLocks noChangeAspect="1" noChangeArrowheads="1"/>
                    </pic:cNvPicPr>
                  </pic:nvPicPr>
                  <pic:blipFill>
                    <a:blip r:embed="rId21" cstate="print"/>
                    <a:srcRect/>
                    <a:stretch>
                      <a:fillRect/>
                    </a:stretch>
                  </pic:blipFill>
                  <pic:spPr>
                    <a:xfrm>
                      <a:off x="0" y="0"/>
                      <a:ext cx="5147310" cy="3208020"/>
                    </a:xfrm>
                    <a:prstGeom prst="rect">
                      <a:avLst/>
                    </a:prstGeom>
                    <a:noFill/>
                  </pic:spPr>
                </pic:pic>
              </a:graphicData>
            </a:graphic>
          </wp:anchor>
        </w:drawing>
      </w:r>
      <w:r>
        <w:rPr>
          <w:rFonts w:hint="eastAsia" w:ascii="仿宋_GB2312" w:eastAsia="仿宋_GB2312"/>
          <w:sz w:val="32"/>
          <w:szCs w:val="32"/>
        </w:rPr>
        <w:t>2016年度政府性基金预算财政拨款收入220万元，支出220万元。与2015年相比，收、支各增加31.18万元，增长16.51%。</w:t>
      </w:r>
    </w:p>
    <w:p>
      <w:pPr>
        <w:spacing w:line="580" w:lineRule="exact"/>
        <w:rPr>
          <w:rFonts w:ascii="仿宋_GB2312" w:eastAsia="仿宋_GB2312"/>
          <w:sz w:val="32"/>
          <w:szCs w:val="32"/>
        </w:rPr>
      </w:pPr>
    </w:p>
    <w:p>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2016年度政府性基金预算财政拨款年初结转和结余0万元，本年收入220万元，本年支出220万元，年末结转和结余0万元。支出具体情况如下：</w:t>
      </w:r>
    </w:p>
    <w:p>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其他支出（类）彩票公益金及对应专项债务收入安排的支出（款）用于社会福利的彩票公益金支出（项）。年初未安排批复预算，支出决算为80万元。决算数大于预算数主要原因是本年财政安排困难家庭学生补助资金。</w:t>
      </w:r>
    </w:p>
    <w:p>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2、其他支出（类）彩票公益金及对应专项债务收入安排的支出（款）用于体育事业的彩票公益金支出（项）。年初未安排批复预算，支出决算为 25万元。决算数大于预算数主要原因是本年财政安排体育项目资金等。</w:t>
      </w:r>
    </w:p>
    <w:p>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其他支出（类）彩票公益金及对应专项债务收入安排的支出（款）用于教育事业的彩票公益金支出（项）。年初未安排批复预算，支出决算为100万元。决算数大于预算数主要原因是本年财政安排未成年人校外活动保障和能力提升项目资金。</w:t>
      </w:r>
    </w:p>
    <w:p>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其他支出（类）彩票公益金及对应专项债务收入安排的支出（款）用于残疾人事业的彩票公益金支出（项）。年初未安排批复预算，支出决算为15万元。决算数大于预算数主要原因是本年财政安排盲校项目资金。</w:t>
      </w:r>
    </w:p>
    <w:p>
      <w:pPr>
        <w:spacing w:line="580" w:lineRule="exact"/>
        <w:ind w:firstLine="480" w:firstLineChars="150"/>
        <w:rPr>
          <w:rFonts w:ascii="楷体_GB2312" w:eastAsia="楷体_GB2312"/>
          <w:sz w:val="32"/>
          <w:szCs w:val="32"/>
        </w:rPr>
      </w:pPr>
      <w:r>
        <w:rPr>
          <w:rFonts w:hint="eastAsia" w:ascii="楷体_GB2312" w:eastAsia="楷体_GB2312"/>
          <w:sz w:val="32"/>
          <w:szCs w:val="32"/>
        </w:rPr>
        <w:t>（八）一般公共预算财政拨款“三公”经费支出决算情况</w:t>
      </w:r>
    </w:p>
    <w:p>
      <w:pPr>
        <w:spacing w:line="580" w:lineRule="exact"/>
        <w:ind w:firstLine="600"/>
        <w:rPr>
          <w:rFonts w:ascii="仿宋_GB2312" w:eastAsia="仿宋_GB2312"/>
          <w:sz w:val="32"/>
          <w:szCs w:val="32"/>
        </w:rPr>
      </w:pPr>
      <w:r>
        <w:rPr>
          <w:rFonts w:hint="eastAsia" w:ascii="仿宋_GB2312" w:eastAsia="仿宋_GB2312"/>
          <w:sz w:val="32"/>
          <w:szCs w:val="32"/>
        </w:rPr>
        <w:t>1、“三公”经费支出情况及增减变动原因</w:t>
      </w:r>
    </w:p>
    <w:p>
      <w:pPr>
        <w:spacing w:line="580" w:lineRule="exact"/>
        <w:ind w:firstLine="600"/>
        <w:rPr>
          <w:rFonts w:ascii="仿宋_GB2312" w:eastAsia="仿宋_GB2312"/>
          <w:sz w:val="32"/>
          <w:szCs w:val="32"/>
        </w:rPr>
      </w:pPr>
      <w:r>
        <w:rPr>
          <w:rFonts w:hint="eastAsia" w:ascii="仿宋_GB2312" w:eastAsia="仿宋_GB2312"/>
          <w:sz w:val="32"/>
          <w:szCs w:val="32"/>
        </w:rPr>
        <w:t>2016年度一般公共预算财政拨款“三公”经费决算数为</w:t>
      </w:r>
    </w:p>
    <w:p>
      <w:pPr>
        <w:spacing w:line="580" w:lineRule="exact"/>
        <w:rPr>
          <w:rFonts w:ascii="仿宋_GB2312" w:eastAsia="仿宋_GB2312"/>
          <w:sz w:val="32"/>
          <w:szCs w:val="32"/>
        </w:rPr>
      </w:pPr>
      <w:r>
        <w:rPr>
          <w:rFonts w:hint="eastAsia" w:ascii="仿宋_GB2312" w:eastAsia="仿宋_GB2312"/>
          <w:sz w:val="32"/>
          <w:szCs w:val="32"/>
        </w:rPr>
        <w:t>196.77万元（含局（办）机关及46个所属预算单位），其中：因公出国（境）费75.1万元，占38.17%；公务用车购置及运行维护费115.91万元，占58.91%；公务接待费5.76万元，占2.92%。</w:t>
      </w:r>
    </w:p>
    <w:p>
      <w:pPr>
        <w:spacing w:line="580" w:lineRule="exact"/>
        <w:rPr>
          <w:rFonts w:ascii="仿宋_GB2312" w:eastAsia="仿宋_GB2312"/>
          <w:sz w:val="32"/>
          <w:szCs w:val="32"/>
        </w:rPr>
      </w:pPr>
    </w:p>
    <w:p>
      <w:pPr>
        <w:spacing w:line="580" w:lineRule="exact"/>
        <w:rPr>
          <w:rFonts w:ascii="仿宋_GB2312" w:eastAsia="仿宋_GB2312"/>
          <w:sz w:val="32"/>
          <w:szCs w:val="32"/>
        </w:rPr>
      </w:pPr>
    </w:p>
    <w:p>
      <w:pPr>
        <w:spacing w:line="580" w:lineRule="exact"/>
        <w:rPr>
          <w:rFonts w:ascii="仿宋_GB2312" w:eastAsia="仿宋_GB2312"/>
          <w:sz w:val="32"/>
          <w:szCs w:val="32"/>
        </w:rPr>
      </w:pPr>
      <w:r>
        <w:rPr>
          <w:rFonts w:ascii="仿宋_GB2312" w:eastAsia="仿宋_GB2312"/>
          <w:sz w:val="32"/>
          <w:szCs w:val="32"/>
        </w:rPr>
        <w:drawing>
          <wp:anchor distT="0" distB="0" distL="114300" distR="114300" simplePos="0" relativeHeight="251671552" behindDoc="0" locked="0" layoutInCell="1" allowOverlap="1">
            <wp:simplePos x="0" y="0"/>
            <wp:positionH relativeFrom="column">
              <wp:posOffset>13335</wp:posOffset>
            </wp:positionH>
            <wp:positionV relativeFrom="paragraph">
              <wp:posOffset>68580</wp:posOffset>
            </wp:positionV>
            <wp:extent cx="5276850" cy="3436620"/>
            <wp:effectExtent l="19050" t="0" r="0" b="0"/>
            <wp:wrapSquare wrapText="bothSides"/>
            <wp:docPr id="23"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5"/>
                    <pic:cNvPicPr>
                      <a:picLocks noChangeAspect="1" noChangeArrowheads="1"/>
                    </pic:cNvPicPr>
                  </pic:nvPicPr>
                  <pic:blipFill>
                    <a:blip r:embed="rId22" cstate="print"/>
                    <a:srcRect/>
                    <a:stretch>
                      <a:fillRect/>
                    </a:stretch>
                  </pic:blipFill>
                  <pic:spPr>
                    <a:xfrm>
                      <a:off x="0" y="0"/>
                      <a:ext cx="5276850" cy="3436620"/>
                    </a:xfrm>
                    <a:prstGeom prst="rect">
                      <a:avLst/>
                    </a:prstGeom>
                    <a:noFill/>
                  </pic:spPr>
                </pic:pic>
              </a:graphicData>
            </a:graphic>
          </wp:anchor>
        </w:drawing>
      </w:r>
    </w:p>
    <w:p>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2016年度一般公共预算财政拨款“三公”经费决算数比年初预算数减少137.83万元，主要原因是</w:t>
      </w:r>
      <w:r>
        <w:rPr>
          <w:rFonts w:hint="eastAsia" w:ascii="仿宋_GB2312" w:hAnsi="仿宋_GB2312" w:eastAsia="仿宋_GB2312" w:cs="仿宋_GB2312"/>
          <w:color w:val="000000"/>
          <w:sz w:val="32"/>
          <w:szCs w:val="32"/>
        </w:rPr>
        <w:t>局属各单位严格贯彻落实八项规定要求，按照“三公”经费只减不增的要求，将实际支出控制在上年度支出范围内</w:t>
      </w:r>
      <w:r>
        <w:rPr>
          <w:rFonts w:hint="eastAsia" w:ascii="仿宋_GB2312" w:hAnsi="仿宋_GB2312" w:eastAsia="仿宋_GB2312" w:cs="仿宋_GB2312"/>
          <w:sz w:val="32"/>
          <w:szCs w:val="32"/>
        </w:rPr>
        <w:t>。其中：因公出国（境）费比年初预算数减少30.07万元。公务用车购置及运行维护费比年初预算数增减少81.11万元，主要原因是</w:t>
      </w:r>
      <w:r>
        <w:rPr>
          <w:rFonts w:hint="eastAsia" w:ascii="仿宋_GB2312" w:hAnsi="仿宋_GB2312" w:eastAsia="仿宋_GB2312" w:cs="仿宋_GB2312"/>
          <w:color w:val="000000"/>
          <w:sz w:val="32"/>
          <w:szCs w:val="32"/>
        </w:rPr>
        <w:t>局机关项目活动租车费减少，局属各单位财政资金安排的公务用车运行费用减少</w:t>
      </w:r>
      <w:r>
        <w:rPr>
          <w:rFonts w:hint="eastAsia" w:ascii="仿宋_GB2312" w:hAnsi="仿宋_GB2312" w:eastAsia="仿宋_GB2312" w:cs="仿宋_GB2312"/>
          <w:sz w:val="32"/>
          <w:szCs w:val="32"/>
        </w:rPr>
        <w:t>。公务接待费比年初预算数减少26.64万元，主要原因是坚持厉行节约。</w:t>
      </w:r>
    </w:p>
    <w:p>
      <w:pPr>
        <w:spacing w:line="580" w:lineRule="exact"/>
        <w:ind w:firstLine="6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2016年度一般公共预算财政拨款“三公”经费决算数比2015年减少19.53万元，下降9.03 %，主要原因是严格贯彻落实八项规定要求，坚持厉行节约。其中：因公出国（境）费支出决算减少5.38万元，下降6.68%；公务用车购置及运行费支出决算减少11.54万元，下降9.05%，；公务接待费支出决算减少2.61万元，下降31.18%。</w:t>
      </w:r>
    </w:p>
    <w:p>
      <w:pPr>
        <w:spacing w:line="580" w:lineRule="exact"/>
        <w:ind w:firstLine="600"/>
        <w:rPr>
          <w:rFonts w:ascii="仿宋_GB2312" w:eastAsia="仿宋_GB2312"/>
          <w:sz w:val="32"/>
          <w:szCs w:val="32"/>
        </w:rPr>
      </w:pPr>
      <w:r>
        <w:rPr>
          <w:rFonts w:hint="eastAsia" w:ascii="仿宋_GB2312" w:eastAsia="仿宋_GB2312"/>
          <w:sz w:val="32"/>
          <w:szCs w:val="32"/>
        </w:rPr>
        <w:t>2、“三公”经费支出相关情况说明</w:t>
      </w:r>
    </w:p>
    <w:p>
      <w:pPr>
        <w:spacing w:line="580" w:lineRule="exact"/>
        <w:ind w:firstLine="600"/>
        <w:rPr>
          <w:rFonts w:ascii="仿宋_GB2312" w:eastAsia="仿宋_GB2312"/>
          <w:sz w:val="32"/>
          <w:szCs w:val="32"/>
        </w:rPr>
      </w:pPr>
      <w:r>
        <w:rPr>
          <w:rFonts w:hint="eastAsia" w:ascii="仿宋_GB2312" w:eastAsia="仿宋_GB2312"/>
          <w:sz w:val="32"/>
          <w:szCs w:val="32"/>
        </w:rPr>
        <w:t>(1)因公出国（境）费指单位工作人员公务出国（境）的差旅费、伙食补助费、杂费、培训费等支出。2016年使用一般公共预算财政拨款安排因公出国(境)团组</w:t>
      </w:r>
      <w:r>
        <w:rPr>
          <w:rFonts w:ascii="仿宋_GB2312" w:eastAsia="仿宋_GB2312"/>
          <w:sz w:val="32"/>
          <w:szCs w:val="32"/>
        </w:rPr>
        <w:t>11</w:t>
      </w:r>
      <w:r>
        <w:rPr>
          <w:rFonts w:hint="eastAsia" w:ascii="仿宋_GB2312" w:eastAsia="仿宋_GB2312"/>
          <w:sz w:val="32"/>
          <w:szCs w:val="32"/>
        </w:rPr>
        <w:t>个， 累计</w:t>
      </w:r>
      <w:r>
        <w:rPr>
          <w:rFonts w:ascii="仿宋_GB2312" w:eastAsia="仿宋_GB2312"/>
          <w:sz w:val="32"/>
          <w:szCs w:val="32"/>
        </w:rPr>
        <w:t>39</w:t>
      </w:r>
      <w:r>
        <w:rPr>
          <w:rFonts w:hint="eastAsia" w:ascii="仿宋_GB2312" w:eastAsia="仿宋_GB2312"/>
          <w:sz w:val="32"/>
          <w:szCs w:val="32"/>
        </w:rPr>
        <w:t>人次。</w:t>
      </w:r>
    </w:p>
    <w:p>
      <w:pPr>
        <w:spacing w:line="580" w:lineRule="exact"/>
        <w:ind w:firstLine="588" w:firstLineChars="184"/>
        <w:rPr>
          <w:rFonts w:ascii="仿宋_GB2312" w:eastAsia="仿宋_GB2312"/>
          <w:sz w:val="32"/>
          <w:szCs w:val="32"/>
        </w:rPr>
      </w:pPr>
      <w:r>
        <w:rPr>
          <w:rFonts w:hint="eastAsia" w:ascii="仿宋_GB2312" w:eastAsia="仿宋_GB2312"/>
          <w:sz w:val="32"/>
          <w:szCs w:val="32"/>
        </w:rPr>
        <w:t>(2)公务用车购置及运行维护费指单位公务用车购置费（含车辆购置税）及租用费、燃料费、维修费、过路过桥费、保险费等支出。其中：</w:t>
      </w:r>
    </w:p>
    <w:p>
      <w:pPr>
        <w:spacing w:line="580" w:lineRule="exact"/>
        <w:ind w:firstLine="588" w:firstLineChars="184"/>
        <w:rPr>
          <w:rFonts w:ascii="仿宋_GB2312" w:eastAsia="仿宋_GB2312"/>
          <w:sz w:val="32"/>
          <w:szCs w:val="32"/>
        </w:rPr>
      </w:pPr>
      <w:r>
        <w:rPr>
          <w:rFonts w:hint="eastAsia" w:ascii="仿宋_GB2312" w:eastAsia="仿宋_GB2312"/>
          <w:sz w:val="32"/>
          <w:szCs w:val="32"/>
        </w:rPr>
        <w:t>公务用车购置费0万元。2016年使用一般公共预算财政拨款购置公务用车0辆；</w:t>
      </w:r>
    </w:p>
    <w:p>
      <w:pPr>
        <w:spacing w:line="580" w:lineRule="exact"/>
        <w:ind w:firstLine="588" w:firstLineChars="184"/>
        <w:rPr>
          <w:rFonts w:ascii="仿宋_GB2312" w:eastAsia="仿宋_GB2312"/>
          <w:sz w:val="32"/>
          <w:szCs w:val="32"/>
        </w:rPr>
      </w:pPr>
      <w:r>
        <w:rPr>
          <w:rFonts w:hint="eastAsia" w:ascii="仿宋_GB2312" w:eastAsia="仿宋_GB2312"/>
          <w:sz w:val="32"/>
          <w:szCs w:val="32"/>
        </w:rPr>
        <w:t>公务用车运行维护费115.91万元。主要用于</w:t>
      </w:r>
      <w:r>
        <w:rPr>
          <w:rFonts w:hint="eastAsia" w:ascii="仿宋_GB2312" w:eastAsia="仿宋_GB2312" w:cs="仿宋_GB2312"/>
          <w:sz w:val="32"/>
          <w:szCs w:val="32"/>
        </w:rPr>
        <w:t>局本级及局属单位公务用车燃料费、维修费、过路过桥费、保险费等支出。</w:t>
      </w:r>
      <w:r>
        <w:rPr>
          <w:rFonts w:hint="eastAsia" w:ascii="仿宋_GB2312" w:eastAsia="仿宋_GB2312"/>
          <w:sz w:val="32"/>
          <w:szCs w:val="32"/>
        </w:rPr>
        <w:t>2016年本部门开支财政拨款的公务用车保有量为</w:t>
      </w:r>
      <w:r>
        <w:rPr>
          <w:rFonts w:ascii="仿宋_GB2312" w:eastAsia="仿宋_GB2312"/>
          <w:sz w:val="32"/>
          <w:szCs w:val="32"/>
        </w:rPr>
        <w:t>32</w:t>
      </w:r>
      <w:r>
        <w:rPr>
          <w:rFonts w:hint="eastAsia" w:ascii="仿宋_GB2312" w:eastAsia="仿宋_GB2312"/>
          <w:sz w:val="32"/>
          <w:szCs w:val="32"/>
        </w:rPr>
        <w:t>辆。</w:t>
      </w:r>
    </w:p>
    <w:p>
      <w:pPr>
        <w:spacing w:line="580" w:lineRule="exact"/>
        <w:ind w:firstLine="601"/>
        <w:rPr>
          <w:rFonts w:ascii="仿宋_GB2312" w:eastAsia="仿宋_GB2312"/>
          <w:sz w:val="32"/>
          <w:szCs w:val="32"/>
        </w:rPr>
      </w:pPr>
      <w:r>
        <w:rPr>
          <w:rFonts w:hint="eastAsia" w:ascii="仿宋_GB2312" w:eastAsia="仿宋_GB2312"/>
          <w:sz w:val="32"/>
          <w:szCs w:val="32"/>
        </w:rPr>
        <w:t>(3)2016年公务接待全部为国内公务接待，主要用于局</w:t>
      </w:r>
      <w:r>
        <w:rPr>
          <w:rFonts w:ascii="仿宋_GB2312" w:eastAsia="仿宋_GB2312"/>
          <w:sz w:val="32"/>
          <w:szCs w:val="32"/>
        </w:rPr>
        <w:t>本级及局属单位日常业务接待外地教育、学校考察团等公务接待费支出</w:t>
      </w:r>
      <w:r>
        <w:rPr>
          <w:rFonts w:hint="eastAsia" w:ascii="仿宋_GB2312" w:eastAsia="仿宋_GB2312"/>
          <w:sz w:val="32"/>
          <w:szCs w:val="32"/>
        </w:rPr>
        <w:t>，共计接待</w:t>
      </w:r>
      <w:r>
        <w:rPr>
          <w:rFonts w:ascii="仿宋_GB2312" w:eastAsia="仿宋_GB2312"/>
          <w:sz w:val="32"/>
          <w:szCs w:val="32"/>
        </w:rPr>
        <w:t>57</w:t>
      </w:r>
      <w:r>
        <w:rPr>
          <w:rFonts w:hint="eastAsia" w:ascii="仿宋_GB2312" w:eastAsia="仿宋_GB2312"/>
          <w:sz w:val="32"/>
          <w:szCs w:val="32"/>
        </w:rPr>
        <w:t>批次，558人次，其中外事接待</w:t>
      </w:r>
      <w:r>
        <w:rPr>
          <w:rFonts w:ascii="仿宋_GB2312" w:eastAsia="仿宋_GB2312"/>
          <w:sz w:val="32"/>
          <w:szCs w:val="32"/>
        </w:rPr>
        <w:t>2</w:t>
      </w:r>
      <w:r>
        <w:rPr>
          <w:rFonts w:hint="eastAsia" w:ascii="仿宋_GB2312" w:eastAsia="仿宋_GB2312"/>
          <w:sz w:val="32"/>
          <w:szCs w:val="32"/>
        </w:rPr>
        <w:t>批次，10人次。</w:t>
      </w:r>
    </w:p>
    <w:p>
      <w:pPr>
        <w:spacing w:line="580" w:lineRule="exact"/>
        <w:ind w:firstLine="600"/>
        <w:rPr>
          <w:rFonts w:ascii="黑体" w:hAnsi="黑体" w:eastAsia="黑体"/>
          <w:sz w:val="32"/>
          <w:szCs w:val="32"/>
        </w:rPr>
      </w:pPr>
      <w:r>
        <w:rPr>
          <w:rFonts w:hint="eastAsia" w:ascii="黑体" w:hAnsi="黑体" w:eastAsia="黑体"/>
          <w:sz w:val="32"/>
          <w:szCs w:val="32"/>
        </w:rPr>
        <w:t>二、重要事项说明</w:t>
      </w:r>
    </w:p>
    <w:p>
      <w:pPr>
        <w:spacing w:line="580" w:lineRule="exact"/>
        <w:ind w:firstLine="601"/>
        <w:rPr>
          <w:rFonts w:ascii="楷体_GB2312" w:eastAsia="楷体_GB2312"/>
          <w:sz w:val="32"/>
          <w:szCs w:val="32"/>
        </w:rPr>
      </w:pPr>
      <w:r>
        <w:rPr>
          <w:rFonts w:hint="eastAsia" w:ascii="楷体_GB2312" w:eastAsia="楷体_GB2312"/>
          <w:sz w:val="32"/>
          <w:szCs w:val="32"/>
        </w:rPr>
        <w:t>（一）机关运行经费支出情况说明</w:t>
      </w:r>
    </w:p>
    <w:p>
      <w:pPr>
        <w:spacing w:line="580" w:lineRule="exact"/>
        <w:ind w:firstLine="601"/>
        <w:rPr>
          <w:rFonts w:ascii="仿宋_GB2312" w:hAnsi="仿宋_GB2312" w:eastAsia="仿宋_GB2312"/>
          <w:sz w:val="32"/>
          <w:szCs w:val="32"/>
        </w:rPr>
      </w:pPr>
      <w:r>
        <w:rPr>
          <w:rFonts w:hint="eastAsia" w:ascii="仿宋_GB2312" w:hAnsi="宋体" w:eastAsia="仿宋_GB2312" w:cs="Courier New"/>
          <w:sz w:val="32"/>
          <w:szCs w:val="32"/>
        </w:rPr>
        <w:t>本部门</w:t>
      </w:r>
      <w:r>
        <w:rPr>
          <w:rFonts w:hint="eastAsia" w:ascii="仿宋_GB2312" w:eastAsia="仿宋_GB2312"/>
          <w:sz w:val="32"/>
          <w:szCs w:val="32"/>
        </w:rPr>
        <w:t>2016年度机关运行经费支出</w:t>
      </w:r>
      <w:r>
        <w:rPr>
          <w:rFonts w:ascii="仿宋_GB2312" w:eastAsia="仿宋_GB2312"/>
          <w:sz w:val="32"/>
          <w:szCs w:val="32"/>
        </w:rPr>
        <w:t>677.83</w:t>
      </w:r>
      <w:r>
        <w:rPr>
          <w:rFonts w:hint="eastAsia" w:ascii="仿宋_GB2312" w:eastAsia="仿宋_GB2312"/>
          <w:sz w:val="32"/>
          <w:szCs w:val="32"/>
        </w:rPr>
        <w:t>万元，比2015年增加399.46万元，增长143.5%，</w:t>
      </w:r>
      <w:r>
        <w:rPr>
          <w:rFonts w:hint="eastAsia" w:ascii="仿宋_GB2312" w:hAnsi="仿宋_GB2312" w:eastAsia="仿宋_GB2312"/>
          <w:sz w:val="32"/>
          <w:szCs w:val="32"/>
        </w:rPr>
        <w:t>主要原因是：</w:t>
      </w:r>
      <w:r>
        <w:rPr>
          <w:rFonts w:ascii="仿宋_GB2312" w:hAnsi="仿宋" w:eastAsia="仿宋_GB2312" w:cs="仿宋"/>
          <w:bCs/>
          <w:color w:val="000000"/>
          <w:sz w:val="32"/>
          <w:szCs w:val="32"/>
        </w:rPr>
        <w:t>统计范围不同</w:t>
      </w:r>
      <w:r>
        <w:rPr>
          <w:rFonts w:hint="eastAsia" w:ascii="仿宋_GB2312" w:hAnsi="仿宋" w:eastAsia="仿宋_GB2312" w:cs="仿宋"/>
          <w:bCs/>
          <w:color w:val="000000"/>
          <w:sz w:val="32"/>
          <w:szCs w:val="32"/>
        </w:rPr>
        <w:t>，</w:t>
      </w:r>
      <w:r>
        <w:rPr>
          <w:rFonts w:ascii="仿宋_GB2312" w:hAnsi="仿宋" w:eastAsia="仿宋_GB2312" w:cs="仿宋"/>
          <w:bCs/>
          <w:color w:val="000000"/>
          <w:sz w:val="32"/>
          <w:szCs w:val="32"/>
        </w:rPr>
        <w:t>本年数据</w:t>
      </w:r>
      <w:r>
        <w:rPr>
          <w:rFonts w:hint="eastAsia" w:ascii="仿宋_GB2312" w:hAnsi="仿宋" w:eastAsia="仿宋_GB2312" w:cs="仿宋"/>
          <w:bCs/>
          <w:color w:val="000000"/>
          <w:sz w:val="32"/>
          <w:szCs w:val="32"/>
        </w:rPr>
        <w:t>要求</w:t>
      </w:r>
      <w:r>
        <w:rPr>
          <w:rFonts w:ascii="仿宋_GB2312" w:hAnsi="仿宋" w:eastAsia="仿宋_GB2312" w:cs="仿宋"/>
          <w:bCs/>
          <w:color w:val="000000"/>
          <w:sz w:val="32"/>
          <w:szCs w:val="32"/>
        </w:rPr>
        <w:t>填报基本支出和一般行政管理项目支出</w:t>
      </w:r>
      <w:r>
        <w:rPr>
          <w:rFonts w:hint="eastAsia" w:ascii="仿宋_GB2312" w:hAnsi="仿宋" w:eastAsia="仿宋_GB2312" w:cs="仿宋"/>
          <w:bCs/>
          <w:color w:val="000000"/>
          <w:sz w:val="32"/>
          <w:szCs w:val="32"/>
        </w:rPr>
        <w:t>,</w:t>
      </w:r>
      <w:r>
        <w:rPr>
          <w:rFonts w:ascii="仿宋_GB2312" w:hAnsi="仿宋" w:eastAsia="仿宋_GB2312" w:cs="仿宋"/>
          <w:bCs/>
          <w:color w:val="000000"/>
          <w:sz w:val="32"/>
          <w:szCs w:val="32"/>
        </w:rPr>
        <w:t>上年数据要求填报使用一般公共预算财政拨款安排的基本支出中的日常公用经费</w:t>
      </w:r>
      <w:r>
        <w:rPr>
          <w:rFonts w:hint="eastAsia" w:ascii="仿宋_GB2312" w:hAnsi="仿宋" w:eastAsia="仿宋_GB2312" w:cs="仿宋"/>
          <w:bCs/>
          <w:color w:val="000000"/>
          <w:sz w:val="32"/>
          <w:szCs w:val="32"/>
        </w:rPr>
        <w:t>支出。</w:t>
      </w:r>
      <w:r>
        <w:rPr>
          <w:rFonts w:ascii="仿宋_GB2312" w:hAnsi="仿宋_GB2312" w:eastAsia="仿宋_GB2312"/>
          <w:sz w:val="32"/>
          <w:szCs w:val="32"/>
        </w:rPr>
        <w:t>。</w:t>
      </w:r>
    </w:p>
    <w:p>
      <w:pPr>
        <w:spacing w:line="580" w:lineRule="exact"/>
        <w:ind w:firstLine="601"/>
        <w:rPr>
          <w:rFonts w:ascii="楷体_GB2312" w:eastAsia="楷体_GB2312"/>
          <w:sz w:val="32"/>
          <w:szCs w:val="32"/>
        </w:rPr>
      </w:pPr>
      <w:r>
        <w:rPr>
          <w:rFonts w:hint="eastAsia" w:ascii="楷体_GB2312" w:eastAsia="楷体_GB2312"/>
          <w:sz w:val="32"/>
          <w:szCs w:val="32"/>
        </w:rPr>
        <w:t>（二）政府采购支出情况说明</w:t>
      </w:r>
    </w:p>
    <w:p>
      <w:pPr>
        <w:spacing w:line="580" w:lineRule="exact"/>
        <w:ind w:firstLine="600"/>
        <w:rPr>
          <w:rFonts w:hint="eastAsia" w:ascii="仿宋_GB2312" w:hAnsi="宋体" w:eastAsia="仿宋_GB2312" w:cs="Courier New"/>
          <w:sz w:val="32"/>
          <w:szCs w:val="32"/>
        </w:rPr>
      </w:pPr>
      <w:r>
        <w:rPr>
          <w:rFonts w:hint="eastAsia" w:ascii="仿宋_GB2312" w:hAnsi="仿宋_GB2312" w:eastAsia="仿宋_GB2312"/>
          <w:sz w:val="32"/>
          <w:szCs w:val="32"/>
        </w:rPr>
        <w:t>本部门2016 年度政府采购支出总额58421.51万元</w:t>
      </w:r>
      <w:r>
        <w:rPr>
          <w:rFonts w:hint="eastAsia" w:ascii="仿宋_GB2312" w:hAnsi="宋体" w:eastAsia="仿宋_GB2312" w:cs="Courier New"/>
          <w:sz w:val="32"/>
          <w:szCs w:val="32"/>
        </w:rPr>
        <w:t>，其中：政府采购货物支出38562.18万元、政府采购工程支出  13853.50万元、政府采购服务支出6005.83万元。授予中小企业合同金额54135.40万元，占政府采购支出总额的92.66%，其中：授予小微企业合同金额21973.55万元，占政府采购支出总额的37.61%。</w:t>
      </w:r>
    </w:p>
    <w:p>
      <w:pPr>
        <w:spacing w:line="580" w:lineRule="exact"/>
        <w:ind w:firstLine="600"/>
        <w:rPr>
          <w:rFonts w:ascii="楷体_GB2312" w:eastAsia="楷体_GB2312"/>
          <w:sz w:val="32"/>
          <w:szCs w:val="32"/>
          <w:highlight w:val="yellow"/>
        </w:rPr>
      </w:pPr>
      <w:r>
        <w:rPr>
          <w:rFonts w:hint="eastAsia" w:ascii="楷体_GB2312" w:eastAsia="楷体_GB2312"/>
          <w:sz w:val="32"/>
          <w:szCs w:val="32"/>
        </w:rPr>
        <w:t>（三）国有资产占用情况说明</w:t>
      </w:r>
    </w:p>
    <w:p>
      <w:pPr>
        <w:spacing w:line="580" w:lineRule="exact"/>
        <w:ind w:firstLine="600"/>
        <w:rPr>
          <w:rFonts w:ascii="仿宋_GB2312" w:hAnsi="宋体" w:eastAsia="仿宋_GB2312" w:cs="Courier New"/>
          <w:sz w:val="32"/>
          <w:szCs w:val="32"/>
        </w:rPr>
      </w:pPr>
      <w:r>
        <w:rPr>
          <w:rFonts w:hint="eastAsia" w:ascii="仿宋_GB2312" w:hAnsi="宋体" w:eastAsia="仿宋_GB2312" w:cs="Courier New"/>
          <w:sz w:val="32"/>
          <w:szCs w:val="32"/>
        </w:rPr>
        <w:t>截至2016年</w:t>
      </w:r>
      <w:r>
        <w:rPr>
          <w:rFonts w:hint="eastAsia" w:ascii="仿宋_GB2312" w:hAnsi="仿宋_GB2312" w:eastAsia="仿宋_GB2312"/>
          <w:sz w:val="32"/>
          <w:szCs w:val="32"/>
        </w:rPr>
        <w:t>12 月31 日</w:t>
      </w:r>
      <w:r>
        <w:rPr>
          <w:rFonts w:hint="eastAsia" w:ascii="仿宋_GB2312" w:hAnsi="宋体" w:eastAsia="仿宋_GB2312" w:cs="Courier New"/>
          <w:sz w:val="32"/>
          <w:szCs w:val="32"/>
        </w:rPr>
        <w:t>，本部门共有车辆</w:t>
      </w:r>
      <w:r>
        <w:rPr>
          <w:rFonts w:ascii="仿宋_GB2312" w:hAnsi="宋体" w:eastAsia="仿宋_GB2312" w:cs="Courier New"/>
          <w:sz w:val="32"/>
          <w:szCs w:val="32"/>
        </w:rPr>
        <w:t>103</w:t>
      </w:r>
      <w:r>
        <w:rPr>
          <w:rFonts w:hint="eastAsia" w:ascii="仿宋_GB2312" w:hAnsi="宋体" w:eastAsia="仿宋_GB2312" w:cs="Courier New"/>
          <w:sz w:val="32"/>
          <w:szCs w:val="32"/>
        </w:rPr>
        <w:t>辆，其中，公务用车</w:t>
      </w:r>
      <w:r>
        <w:rPr>
          <w:rFonts w:ascii="仿宋_GB2312" w:hAnsi="宋体" w:eastAsia="仿宋_GB2312" w:cs="Courier New"/>
          <w:sz w:val="32"/>
          <w:szCs w:val="32"/>
        </w:rPr>
        <w:t>95</w:t>
      </w:r>
      <w:r>
        <w:rPr>
          <w:rFonts w:hint="eastAsia" w:ascii="仿宋_GB2312" w:hAnsi="宋体" w:eastAsia="仿宋_GB2312" w:cs="Courier New"/>
          <w:sz w:val="32"/>
          <w:szCs w:val="32"/>
        </w:rPr>
        <w:t>辆、其他用车</w:t>
      </w:r>
      <w:r>
        <w:rPr>
          <w:rFonts w:ascii="仿宋_GB2312" w:hAnsi="宋体" w:eastAsia="仿宋_GB2312" w:cs="Courier New"/>
          <w:sz w:val="32"/>
          <w:szCs w:val="32"/>
        </w:rPr>
        <w:t>8</w:t>
      </w:r>
      <w:r>
        <w:rPr>
          <w:rFonts w:hint="eastAsia" w:ascii="仿宋_GB2312" w:hAnsi="宋体" w:eastAsia="仿宋_GB2312" w:cs="Courier New"/>
          <w:sz w:val="32"/>
          <w:szCs w:val="32"/>
        </w:rPr>
        <w:t>辆，其他用车主要是学校班车。</w:t>
      </w:r>
    </w:p>
    <w:p>
      <w:pPr>
        <w:spacing w:line="580" w:lineRule="exact"/>
        <w:rPr>
          <w:rFonts w:ascii="楷体_GB2312" w:eastAsia="楷体_GB2312"/>
          <w:sz w:val="32"/>
          <w:szCs w:val="32"/>
        </w:rPr>
      </w:pPr>
      <w:r>
        <w:rPr>
          <w:rFonts w:hint="eastAsia" w:ascii="仿宋_GB2312" w:eastAsia="仿宋_GB2312"/>
          <w:sz w:val="32"/>
          <w:szCs w:val="32"/>
        </w:rPr>
        <w:t xml:space="preserve">    </w:t>
      </w:r>
      <w:r>
        <w:rPr>
          <w:rFonts w:hint="eastAsia" w:ascii="楷体_GB2312" w:eastAsia="楷体_GB2312"/>
          <w:sz w:val="32"/>
          <w:szCs w:val="32"/>
        </w:rPr>
        <w:t>（四）预算绩效管理工作开展情况说明</w:t>
      </w:r>
    </w:p>
    <w:p>
      <w:pPr>
        <w:spacing w:line="580" w:lineRule="exact"/>
        <w:ind w:firstLine="600"/>
        <w:rPr>
          <w:rFonts w:ascii="仿宋_GB2312" w:hAnsi="宋体" w:eastAsia="仿宋_GB2312" w:cs="Courier New"/>
          <w:sz w:val="32"/>
          <w:szCs w:val="32"/>
        </w:rPr>
      </w:pPr>
      <w:r>
        <w:rPr>
          <w:rFonts w:hint="eastAsia" w:ascii="仿宋_GB2312" w:hAnsi="宋体" w:eastAsia="仿宋_GB2312" w:cs="Courier New"/>
          <w:sz w:val="32"/>
          <w:szCs w:val="32"/>
        </w:rPr>
        <w:t>1. 预算绩效管理工作开展情况。根据市财政局《关于2016年度专项资金绩效评价报告编写和提报工作的通知》（青财预评〔2017〕2号）要求，我部门（单位）组织对2016年度教育专项资金开展了绩效自评，具体情况如下：</w:t>
      </w:r>
    </w:p>
    <w:p>
      <w:pPr>
        <w:spacing w:line="580" w:lineRule="exact"/>
        <w:ind w:firstLine="600"/>
        <w:rPr>
          <w:rFonts w:ascii="仿宋_GB2312" w:hAnsi="宋体" w:eastAsia="仿宋_GB2312" w:cs="Courier New"/>
          <w:sz w:val="32"/>
          <w:szCs w:val="32"/>
        </w:rPr>
      </w:pPr>
      <w:r>
        <w:rPr>
          <w:rFonts w:hint="eastAsia" w:ascii="仿宋_GB2312" w:hAnsi="宋体" w:eastAsia="仿宋_GB2312" w:cs="Courier New"/>
          <w:sz w:val="32"/>
          <w:szCs w:val="32"/>
        </w:rPr>
        <w:t>2016年度教育专项资金涉及项目104个、资金159760万元。从评价情况看，绩效目标基本完成。</w:t>
      </w:r>
    </w:p>
    <w:p>
      <w:pPr>
        <w:spacing w:line="580" w:lineRule="exact"/>
        <w:ind w:firstLine="600"/>
        <w:rPr>
          <w:rFonts w:ascii="仿宋_GB2312" w:hAnsi="宋体" w:eastAsia="仿宋_GB2312" w:cs="Courier New"/>
          <w:sz w:val="32"/>
          <w:szCs w:val="32"/>
        </w:rPr>
      </w:pPr>
      <w:r>
        <w:rPr>
          <w:rFonts w:hint="eastAsia" w:ascii="仿宋_GB2312" w:hAnsi="宋体" w:eastAsia="仿宋_GB2312" w:cs="Courier New"/>
          <w:sz w:val="32"/>
          <w:szCs w:val="32"/>
        </w:rPr>
        <w:t>一是创新教育、管理、培训模式，加强干部教师队伍建设。全年分批次组织6.1万余人参加多种形式的35项市级培训，真正满足广大中小学干部队伍、教师队伍发展的个性化、差异化需求。实施校长职级制改革, 为推动全市教育优质均衡发展奠定基础。成立19个名校长工作室，吸引校长156名，探索完善教育家办学工作机制取得成效。组建30个名师工作室，吸引青年教师240余人，培养优秀教师带动教师共同成长。其中，1人获得国家万人计划教学名师，5人被评为正高级职称，有20余人被评为青岛名师和齐鲁名师培养人选，有60人次获得教学能手、学科带头人称号。建立名班主任工作室，发挥优秀班主任辐射带动作用。</w:t>
      </w:r>
    </w:p>
    <w:p>
      <w:pPr>
        <w:spacing w:line="580" w:lineRule="exact"/>
        <w:ind w:firstLine="600"/>
        <w:rPr>
          <w:rFonts w:ascii="仿宋_GB2312" w:hAnsi="宋体" w:eastAsia="仿宋_GB2312" w:cs="Courier New"/>
          <w:sz w:val="32"/>
          <w:szCs w:val="32"/>
        </w:rPr>
      </w:pPr>
      <w:r>
        <w:rPr>
          <w:rFonts w:hint="eastAsia" w:ascii="仿宋_GB2312" w:hAnsi="宋体" w:eastAsia="仿宋_GB2312" w:cs="Courier New"/>
          <w:sz w:val="32"/>
          <w:szCs w:val="32"/>
        </w:rPr>
        <w:t>二是教育公平迈出新步伐，推动教育事业向优质均衡迈进。2016年全市新建改扩建幼儿园60所、中小学55所，改造农村义务教育薄弱学校100所，普惠性幼儿园比例达到78.2%，90%的幼儿园和97.8%的中小学分别达到省定办园标准和市定现代化学校标准，全面改薄工作和解决大班额问题初见成效，提升城乡幼儿园标准化水平，学前教育走在全国同类城市前列。加强孤独症实验班建设，提升孤独症儿童康复教育水平。承担国家特殊教育改革实验区任务，全面启动改革实验工作，重点开展送教上门、随班就读、医教结合三项实验，三项改革工作取得显著效果。坚持扶持民办教育，形成不同特色的民办教育品牌，推动我市民办教育事业健康发展。</w:t>
      </w:r>
    </w:p>
    <w:p>
      <w:pPr>
        <w:spacing w:line="580" w:lineRule="exact"/>
        <w:ind w:firstLine="600"/>
        <w:rPr>
          <w:rFonts w:ascii="仿宋_GB2312" w:hAnsi="宋体" w:eastAsia="仿宋_GB2312" w:cs="Courier New"/>
          <w:sz w:val="32"/>
          <w:szCs w:val="32"/>
        </w:rPr>
      </w:pPr>
      <w:r>
        <w:rPr>
          <w:rFonts w:hint="eastAsia" w:ascii="仿宋_GB2312" w:hAnsi="宋体" w:eastAsia="仿宋_GB2312" w:cs="Courier New"/>
          <w:sz w:val="32"/>
          <w:szCs w:val="32"/>
        </w:rPr>
        <w:t>三是现代职业教育体系建设全面展开，建立人才培养立交桥。牢固确立职业教育在国家人才培养体系中的重要位置，努力形成适应发展需求、产教深度融合、中职高职衔接、职业教育与普通教育相互沟通，体现终身教育理念，构建具有中国特色、世界水平的现代职业教育体系。如：培养高技能型人才和技术多面手，2016届毕业生中有686名学生获得两个技能证书和15名学生获得三个及以上技能证书；特聘中等职业学校兼职教师，发挥其专业水平为教育教学活动服务；实施“十百千万”工程，重点打造5所具有鲜明青岛特色、适应产业发展需求的品牌职业院校，建设4个内涵丰富、辐射能力强的市级骨干专业，6个专业入选省品牌专业；承办全国技能大赛，共有来自全国近40个学校的200余名选手参加比赛，展示青岛职业教育良好形象，进一步提升我市职业教育在全国的地位；我市报送参加第十二届全国中职“文明风采”竞赛活动的100件作品全部获奖，其中，有15件作品获全国一等奖，一等奖数量在全国37个省市代表队中列11位，青岛旅游学校等8所学校获学校优秀组织奖，99名教师获优秀指导教师奖，青岛市教育局获组织贡献奖；“3+4”本科院校试点项目成绩显著。2016年8所中等职业学校和11所本科院校开展“3+4”对口贯通分段培养试点工作，14个试点专业，760人招生计划，走出了一条具有青岛特色的“3+4”贯通培养之路。青岛市2013级开展试点的133名“3+4”学生全部通过省教育厅组织的转段测试，升入青岛科技大学就读。</w:t>
      </w:r>
    </w:p>
    <w:p>
      <w:pPr>
        <w:spacing w:line="580" w:lineRule="exact"/>
        <w:ind w:firstLine="600"/>
        <w:rPr>
          <w:rFonts w:ascii="仿宋_GB2312" w:hAnsi="宋体" w:eastAsia="仿宋_GB2312" w:cs="Courier New"/>
          <w:sz w:val="32"/>
          <w:szCs w:val="32"/>
        </w:rPr>
      </w:pPr>
      <w:r>
        <w:rPr>
          <w:rFonts w:hint="eastAsia" w:ascii="仿宋_GB2312" w:hAnsi="宋体" w:eastAsia="仿宋_GB2312" w:cs="Courier New"/>
          <w:sz w:val="32"/>
          <w:szCs w:val="32"/>
        </w:rPr>
        <w:t>四是优质高等教育资源的引进工作取得重大进展，助力人才强市、科教兴市和创新驱动战略的实施。建设一流的高层次创新人才培养基地，支持高校与世界一流水平的大学或学术机构开展实质性合作，教育局2016年正式签订合作协议的国内外高校（机构）已达28所，为青岛学子在家门口接受优质高等教育提供了更多的机会，开展高职院校重点专业市校共建、高校重点学科市校共建工程，拥有省部级以上重点实验室或科研创新应用平台数量增长了52%，研究生毕业留青比例提高了19.2%，本科毕业生留青比例提高了17.16%，为青岛提供各级各类社会教育与培训人次增长49.6%，获得省部级以上科研成果奖励数量增长38.4%，承担青岛辖区内企业事业单位科研课题项目数量增长141.6%，为青岛辖区内行业企业提供技术服务或科技成果转化数量增长107.8%，建设周期内与青岛辖区内内开展产学研合作的单位数量增长93.53%，面向青岛的行业企业、高校和科研院所提供开放服务和共享的设备台数增长53.9%。</w:t>
      </w:r>
    </w:p>
    <w:p>
      <w:pPr>
        <w:spacing w:line="580" w:lineRule="exact"/>
        <w:ind w:firstLine="600"/>
        <w:rPr>
          <w:rFonts w:ascii="仿宋_GB2312" w:hAnsi="宋体" w:eastAsia="仿宋_GB2312" w:cs="Courier New"/>
          <w:sz w:val="32"/>
          <w:szCs w:val="32"/>
        </w:rPr>
      </w:pPr>
      <w:r>
        <w:rPr>
          <w:rFonts w:hint="eastAsia" w:ascii="仿宋_GB2312" w:hAnsi="宋体" w:eastAsia="仿宋_GB2312" w:cs="Courier New"/>
          <w:sz w:val="32"/>
          <w:szCs w:val="32"/>
        </w:rPr>
        <w:t>五是学校办学条件明显改善，中小学信息化水平显著提升。</w:t>
      </w:r>
    </w:p>
    <w:p>
      <w:pPr>
        <w:spacing w:line="580" w:lineRule="exact"/>
        <w:ind w:firstLine="600"/>
        <w:rPr>
          <w:rFonts w:ascii="仿宋_GB2312" w:hAnsi="宋体" w:eastAsia="仿宋_GB2312" w:cs="Courier New"/>
          <w:sz w:val="32"/>
          <w:szCs w:val="32"/>
        </w:rPr>
      </w:pPr>
      <w:r>
        <w:rPr>
          <w:rFonts w:hint="eastAsia" w:ascii="仿宋_GB2312" w:hAnsi="宋体" w:eastAsia="仿宋_GB2312" w:cs="Courier New"/>
          <w:sz w:val="32"/>
          <w:szCs w:val="32"/>
        </w:rPr>
        <w:t>2016年全市94%的中小学校、93%的教师和超过20万名学生、家长开通网络学习空间，90%的中小学校建成智慧校园；连续三年将标准化食堂列入市办实事，完成第一轮标准化食堂建设任务，建成了726所标准化食堂，惠及77万名学生。微视频开发，实现信息化与课堂教学的深度融合，初步形成具有青岛特色的微视频课程资源库，目前这些微课，已挂在青岛市教育资源平台，供全市广大教师使用。开发精品网络课程，优秀成果开放共享；强化视频监控平台建设，维护平安校园防控系统建设。实施中小学校食堂标准化建设，改善、提高中小学生营养状况，促进学生全面健康成长。五所高中新建校竣工，提升青岛教育品质。</w:t>
      </w:r>
    </w:p>
    <w:p>
      <w:pPr>
        <w:spacing w:line="580" w:lineRule="exact"/>
        <w:ind w:firstLine="600"/>
        <w:rPr>
          <w:rFonts w:ascii="仿宋_GB2312" w:hAnsi="宋体" w:eastAsia="仿宋_GB2312" w:cs="Courier New"/>
          <w:sz w:val="32"/>
          <w:szCs w:val="32"/>
        </w:rPr>
      </w:pPr>
      <w:r>
        <w:rPr>
          <w:rFonts w:hint="eastAsia" w:ascii="仿宋_GB2312" w:hAnsi="宋体" w:eastAsia="仿宋_GB2312" w:cs="Courier New"/>
          <w:sz w:val="32"/>
          <w:szCs w:val="32"/>
        </w:rPr>
        <w:t>六是多领域教育国际交流合作有序展开，教育影响力得到新提升。2016年全市中小学校与国外缔结友好学校达到近300个，在青高校开展国际合作项目达39个，每年双向交流人数达到1.1万人，扩大青岛教育影响力。有30所中小学校开展国际理解教育试点。我市成为继北京之后第二个与外交部驻外使领馆阳光学校总校签约合作的城市。多个国际性和国家级会议落户青岛。成功承办了2016年国际教育信息化会议、2016年中国教育国际化研讨会，高端平台的城市品牌逐步形成。组建德国研究会，推进优质高等教育资源的引进工作。教育国际化研讨会，发布了“青岛倡议”，对我市吸收借鉴全国经验、制定教育对外开放意见具有重要意义。</w:t>
      </w:r>
    </w:p>
    <w:p>
      <w:pPr>
        <w:spacing w:line="580" w:lineRule="exact"/>
        <w:ind w:firstLine="600"/>
        <w:rPr>
          <w:rFonts w:ascii="仿宋_GB2312" w:hAnsi="宋体" w:eastAsia="仿宋_GB2312" w:cs="Courier New"/>
          <w:sz w:val="32"/>
          <w:szCs w:val="32"/>
        </w:rPr>
      </w:pPr>
      <w:r>
        <w:rPr>
          <w:rFonts w:hint="eastAsia" w:ascii="仿宋_GB2312" w:hAnsi="宋体" w:eastAsia="仿宋_GB2312" w:cs="Courier New"/>
          <w:sz w:val="32"/>
          <w:szCs w:val="32"/>
        </w:rPr>
        <w:t>七是牢固树立健康第一的教育理念，着力提升体育艺术卫生及安全工作水平。组织全国中小学生管乐独奏展演活动，提升管乐教育和中小学生的专业水平，打造我市的文化品牌起到了积极助推作用。建立学校行进乐队，学生体质健康和艺术专业水平得到全面提升和改善，并形成区域联盟，推动我市艺术教育工作的全面发展。通过政府招标采购，完成2016年青岛市中小学生视力调研抽测研究，促进学校、家庭、社会及时采取有效防控措施，切实控制中小学生视力不良率的增长。配备校园保安，规范校园安全管理，提高了校园安全防范能力，确保了校园安全稳定，得到了社会各界认可。开创“市区校车、郊区校车、社区校车、新区校车、农村校车和山区校车”六位一体的经营格局，规范校车管理，取得了良好的社会效益和经济效益。</w:t>
      </w:r>
    </w:p>
    <w:p>
      <w:pPr>
        <w:spacing w:line="580" w:lineRule="exact"/>
        <w:ind w:firstLine="600"/>
        <w:rPr>
          <w:rFonts w:ascii="仿宋_GB2312" w:hAnsi="宋体" w:eastAsia="仿宋_GB2312" w:cs="Courier New"/>
          <w:sz w:val="32"/>
          <w:szCs w:val="32"/>
        </w:rPr>
      </w:pPr>
      <w:r>
        <w:rPr>
          <w:rFonts w:hint="eastAsia" w:ascii="仿宋_GB2312" w:hAnsi="宋体" w:eastAsia="仿宋_GB2312" w:cs="Courier New"/>
          <w:sz w:val="32"/>
          <w:szCs w:val="32"/>
        </w:rPr>
        <w:t>2、绩效自评报告公开情况。根据《关于进一步推进预决算公开工作的通知》（青办发〔2016〕24号）要求，及时将绩效评价报告通过市政府政务网站公开。</w:t>
      </w:r>
    </w:p>
    <w:p>
      <w:pPr>
        <w:spacing w:line="600" w:lineRule="exact"/>
        <w:ind w:firstLine="600"/>
        <w:rPr>
          <w:rFonts w:ascii="仿宋_GB2312" w:eastAsia="仿宋_GB2312"/>
          <w:sz w:val="52"/>
          <w:szCs w:val="52"/>
        </w:rPr>
      </w:pPr>
    </w:p>
    <w:p>
      <w:pPr>
        <w:rPr>
          <w:rFonts w:ascii="黑体" w:eastAsia="黑体"/>
          <w:sz w:val="52"/>
          <w:szCs w:val="52"/>
        </w:rPr>
      </w:pPr>
    </w:p>
    <w:p>
      <w:pPr>
        <w:rPr>
          <w:rFonts w:ascii="黑体" w:eastAsia="黑体"/>
          <w:sz w:val="52"/>
          <w:szCs w:val="52"/>
        </w:rPr>
      </w:pPr>
    </w:p>
    <w:p>
      <w:pPr>
        <w:rPr>
          <w:rFonts w:ascii="黑体" w:eastAsia="黑体"/>
          <w:sz w:val="52"/>
          <w:szCs w:val="52"/>
        </w:rPr>
      </w:pPr>
    </w:p>
    <w:p>
      <w:pPr>
        <w:rPr>
          <w:rFonts w:ascii="黑体" w:eastAsia="黑体"/>
          <w:sz w:val="52"/>
          <w:szCs w:val="52"/>
        </w:rPr>
      </w:pPr>
    </w:p>
    <w:p>
      <w:pPr>
        <w:rPr>
          <w:rFonts w:ascii="黑体" w:eastAsia="黑体"/>
          <w:sz w:val="52"/>
          <w:szCs w:val="52"/>
        </w:rPr>
      </w:pPr>
    </w:p>
    <w:p>
      <w:pPr>
        <w:rPr>
          <w:rFonts w:ascii="黑体" w:eastAsia="黑体"/>
          <w:sz w:val="52"/>
          <w:szCs w:val="52"/>
        </w:rPr>
      </w:pPr>
    </w:p>
    <w:p>
      <w:pPr>
        <w:rPr>
          <w:rFonts w:ascii="黑体" w:eastAsia="黑体"/>
          <w:sz w:val="52"/>
          <w:szCs w:val="52"/>
        </w:rPr>
      </w:pPr>
    </w:p>
    <w:p>
      <w:pPr>
        <w:rPr>
          <w:rFonts w:ascii="黑体" w:eastAsia="黑体"/>
          <w:sz w:val="52"/>
          <w:szCs w:val="52"/>
        </w:rPr>
      </w:pPr>
    </w:p>
    <w:p>
      <w:pPr>
        <w:rPr>
          <w:rFonts w:ascii="黑体" w:eastAsia="黑体"/>
          <w:sz w:val="52"/>
          <w:szCs w:val="52"/>
        </w:rPr>
      </w:pPr>
    </w:p>
    <w:p>
      <w:pPr>
        <w:rPr>
          <w:rFonts w:ascii="黑体" w:eastAsia="黑体"/>
          <w:sz w:val="52"/>
          <w:szCs w:val="52"/>
        </w:rPr>
      </w:pPr>
    </w:p>
    <w:p>
      <w:pPr>
        <w:rPr>
          <w:rFonts w:ascii="黑体" w:eastAsia="黑体"/>
          <w:sz w:val="52"/>
          <w:szCs w:val="52"/>
        </w:rPr>
      </w:pPr>
    </w:p>
    <w:p>
      <w:pPr>
        <w:rPr>
          <w:rFonts w:ascii="黑体" w:eastAsia="黑体"/>
          <w:sz w:val="52"/>
          <w:szCs w:val="52"/>
        </w:rPr>
      </w:pPr>
    </w:p>
    <w:p>
      <w:pPr>
        <w:rPr>
          <w:rFonts w:ascii="黑体" w:eastAsia="黑体"/>
          <w:sz w:val="52"/>
          <w:szCs w:val="52"/>
        </w:rPr>
      </w:pPr>
    </w:p>
    <w:p>
      <w:pPr>
        <w:rPr>
          <w:rFonts w:ascii="黑体" w:eastAsia="黑体"/>
          <w:sz w:val="52"/>
          <w:szCs w:val="52"/>
        </w:rPr>
      </w:pPr>
      <w:r>
        <w:rPr>
          <w:rFonts w:hint="eastAsia" w:ascii="黑体" w:eastAsia="黑体"/>
          <w:sz w:val="52"/>
          <w:szCs w:val="52"/>
        </w:rPr>
        <w:t>第四部分</w:t>
      </w:r>
    </w:p>
    <w:p>
      <w:pPr>
        <w:rPr>
          <w:rFonts w:ascii="黑体" w:eastAsia="黑体"/>
          <w:sz w:val="52"/>
          <w:szCs w:val="52"/>
        </w:rPr>
      </w:pPr>
    </w:p>
    <w:p>
      <w:pPr>
        <w:rPr>
          <w:rFonts w:ascii="黑体" w:eastAsia="黑体"/>
          <w:sz w:val="52"/>
          <w:szCs w:val="52"/>
        </w:rPr>
      </w:pPr>
    </w:p>
    <w:p>
      <w:pPr>
        <w:rPr>
          <w:rFonts w:ascii="黑体" w:eastAsia="黑体"/>
          <w:sz w:val="52"/>
          <w:szCs w:val="52"/>
        </w:rPr>
      </w:pPr>
    </w:p>
    <w:p>
      <w:pPr>
        <w:jc w:val="center"/>
        <w:rPr>
          <w:rFonts w:ascii="黑体" w:eastAsia="黑体"/>
          <w:sz w:val="52"/>
          <w:szCs w:val="52"/>
        </w:rPr>
      </w:pPr>
      <w:r>
        <w:rPr>
          <w:rFonts w:hint="eastAsia" w:ascii="黑体" w:eastAsia="黑体"/>
          <w:sz w:val="52"/>
          <w:szCs w:val="52"/>
        </w:rPr>
        <w:t>名词解释</w:t>
      </w:r>
    </w:p>
    <w:p>
      <w:pPr>
        <w:rPr>
          <w:rFonts w:ascii="黑体" w:eastAsia="黑体"/>
          <w:b/>
          <w:sz w:val="30"/>
          <w:szCs w:val="30"/>
        </w:rPr>
      </w:pPr>
    </w:p>
    <w:p>
      <w:pPr>
        <w:rPr>
          <w:rFonts w:ascii="黑体" w:eastAsia="黑体"/>
          <w:b/>
          <w:sz w:val="30"/>
          <w:szCs w:val="30"/>
        </w:rPr>
      </w:pPr>
    </w:p>
    <w:p>
      <w:pPr>
        <w:rPr>
          <w:rFonts w:ascii="黑体" w:eastAsia="黑体"/>
          <w:b/>
          <w:sz w:val="30"/>
          <w:szCs w:val="30"/>
        </w:rPr>
      </w:pPr>
    </w:p>
    <w:p>
      <w:pPr>
        <w:rPr>
          <w:rFonts w:ascii="黑体" w:eastAsia="黑体"/>
          <w:b/>
          <w:sz w:val="30"/>
          <w:szCs w:val="30"/>
        </w:rPr>
      </w:pPr>
    </w:p>
    <w:p>
      <w:pPr>
        <w:rPr>
          <w:rFonts w:ascii="黑体" w:eastAsia="黑体"/>
          <w:b/>
          <w:sz w:val="30"/>
          <w:szCs w:val="30"/>
        </w:rPr>
      </w:pPr>
    </w:p>
    <w:p>
      <w:pPr>
        <w:rPr>
          <w:rFonts w:ascii="黑体" w:eastAsia="黑体"/>
          <w:b/>
          <w:sz w:val="30"/>
          <w:szCs w:val="30"/>
        </w:rPr>
      </w:pPr>
    </w:p>
    <w:p>
      <w:pPr>
        <w:rPr>
          <w:rFonts w:ascii="黑体" w:eastAsia="黑体"/>
          <w:b/>
          <w:sz w:val="30"/>
          <w:szCs w:val="30"/>
        </w:rPr>
      </w:pPr>
    </w:p>
    <w:p>
      <w:pPr>
        <w:rPr>
          <w:rFonts w:ascii="黑体" w:eastAsia="黑体"/>
          <w:b/>
          <w:sz w:val="30"/>
          <w:szCs w:val="30"/>
        </w:rPr>
      </w:pPr>
    </w:p>
    <w:p>
      <w:pPr>
        <w:rPr>
          <w:rFonts w:ascii="黑体" w:eastAsia="黑体"/>
          <w:b/>
          <w:sz w:val="30"/>
          <w:szCs w:val="30"/>
        </w:rPr>
      </w:pPr>
    </w:p>
    <w:p>
      <w:pPr>
        <w:rPr>
          <w:rFonts w:ascii="黑体" w:eastAsia="黑体"/>
          <w:b/>
          <w:sz w:val="30"/>
          <w:szCs w:val="30"/>
        </w:rPr>
      </w:pPr>
    </w:p>
    <w:p>
      <w:pPr>
        <w:rPr>
          <w:rFonts w:ascii="黑体" w:eastAsia="黑体"/>
          <w:b/>
          <w:sz w:val="30"/>
          <w:szCs w:val="30"/>
        </w:rPr>
      </w:pPr>
    </w:p>
    <w:p>
      <w:pPr>
        <w:rPr>
          <w:rFonts w:ascii="黑体" w:eastAsia="黑体"/>
          <w:b/>
          <w:sz w:val="30"/>
          <w:szCs w:val="30"/>
        </w:rPr>
      </w:pPr>
    </w:p>
    <w:p>
      <w:pPr>
        <w:rPr>
          <w:rFonts w:ascii="黑体" w:eastAsia="黑体"/>
          <w:b/>
          <w:sz w:val="30"/>
          <w:szCs w:val="30"/>
        </w:rPr>
      </w:pPr>
    </w:p>
    <w:p>
      <w:pPr>
        <w:rPr>
          <w:rFonts w:ascii="黑体" w:eastAsia="黑体"/>
          <w:b/>
          <w:sz w:val="30"/>
          <w:szCs w:val="30"/>
        </w:rPr>
      </w:pPr>
    </w:p>
    <w:p>
      <w:pPr>
        <w:spacing w:line="580" w:lineRule="exact"/>
        <w:ind w:firstLine="600"/>
        <w:rPr>
          <w:rFonts w:eastAsia="仿宋_GB2312"/>
          <w:sz w:val="32"/>
          <w:szCs w:val="32"/>
        </w:rPr>
      </w:pPr>
      <w:r>
        <w:rPr>
          <w:rFonts w:hint="eastAsia" w:ascii="黑体" w:hAnsi="黑体" w:eastAsia="黑体"/>
          <w:color w:val="000000"/>
          <w:sz w:val="32"/>
          <w:szCs w:val="32"/>
        </w:rPr>
        <w:t>一、财政拨款收入：</w:t>
      </w:r>
      <w:r>
        <w:rPr>
          <w:rFonts w:hint="eastAsia" w:ascii="仿宋_GB2312" w:eastAsia="仿宋_GB2312"/>
          <w:sz w:val="32"/>
          <w:szCs w:val="32"/>
        </w:rPr>
        <w:t>指由省级财政当年拨付的资金。按现行管理制度，省级部门决算中反映的财政拨款包括一般公共预算财政拨款和政府性基金财政拨款。</w:t>
      </w:r>
    </w:p>
    <w:p>
      <w:pPr>
        <w:spacing w:line="580" w:lineRule="exact"/>
        <w:ind w:firstLine="640" w:firstLineChars="200"/>
        <w:rPr>
          <w:rFonts w:ascii="仿宋_GB2312" w:hAnsi="仿宋" w:eastAsia="仿宋_GB2312"/>
          <w:sz w:val="32"/>
          <w:szCs w:val="32"/>
        </w:rPr>
      </w:pPr>
      <w:r>
        <w:rPr>
          <w:rFonts w:hint="eastAsia" w:ascii="黑体" w:hAnsi="黑体" w:eastAsia="黑体"/>
          <w:sz w:val="32"/>
          <w:szCs w:val="32"/>
        </w:rPr>
        <w:t>二、上级补助收入：</w:t>
      </w:r>
      <w:r>
        <w:rPr>
          <w:rFonts w:hint="eastAsia" w:ascii="仿宋_GB2312" w:hAnsi="仿宋" w:eastAsia="仿宋_GB2312"/>
          <w:sz w:val="32"/>
          <w:szCs w:val="32"/>
        </w:rPr>
        <w:t>指事业单位从主管部门和上级单位取得的非财政补助收入。</w:t>
      </w:r>
    </w:p>
    <w:p>
      <w:pPr>
        <w:spacing w:line="580" w:lineRule="exact"/>
        <w:ind w:firstLine="600"/>
        <w:rPr>
          <w:rFonts w:ascii="仿宋_GB2312" w:eastAsia="仿宋_GB2312"/>
          <w:sz w:val="32"/>
          <w:szCs w:val="32"/>
        </w:rPr>
      </w:pPr>
      <w:r>
        <w:rPr>
          <w:rFonts w:hint="eastAsia" w:ascii="黑体" w:hAnsi="黑体" w:eastAsia="黑体"/>
          <w:sz w:val="32"/>
          <w:szCs w:val="32"/>
        </w:rPr>
        <w:t>三、事业收入：</w:t>
      </w:r>
      <w:r>
        <w:rPr>
          <w:rFonts w:hint="eastAsia" w:ascii="仿宋_GB2312" w:hAnsi="仿宋" w:eastAsia="仿宋_GB2312"/>
          <w:sz w:val="32"/>
          <w:szCs w:val="32"/>
        </w:rPr>
        <w:t>指事业单位开展专业业务活动及其辅助活动取得的收入。包括事业单位收到的财政专户实际核拨的教育收费等。</w:t>
      </w:r>
    </w:p>
    <w:p>
      <w:pPr>
        <w:spacing w:line="580" w:lineRule="exact"/>
        <w:ind w:firstLine="600"/>
        <w:rPr>
          <w:rFonts w:ascii="仿宋_GB2312" w:eastAsia="仿宋_GB2312"/>
          <w:sz w:val="32"/>
          <w:szCs w:val="32"/>
        </w:rPr>
      </w:pPr>
      <w:r>
        <w:rPr>
          <w:rFonts w:hint="eastAsia" w:ascii="黑体" w:hAnsi="黑体" w:eastAsia="黑体"/>
          <w:sz w:val="32"/>
          <w:szCs w:val="32"/>
        </w:rPr>
        <w:t>四、经营收入：</w:t>
      </w:r>
      <w:r>
        <w:rPr>
          <w:rFonts w:hint="eastAsia" w:ascii="仿宋_GB2312" w:hAnsi="仿宋" w:eastAsia="仿宋_GB2312"/>
          <w:sz w:val="32"/>
          <w:szCs w:val="32"/>
        </w:rPr>
        <w:t>指事业单位在专业业务活动及其辅助活动之外开展非独立核算经营活动取得的收入。</w:t>
      </w:r>
    </w:p>
    <w:p>
      <w:pPr>
        <w:spacing w:line="580" w:lineRule="exact"/>
        <w:ind w:firstLine="640" w:firstLineChars="200"/>
        <w:rPr>
          <w:rFonts w:ascii="仿宋_GB2312" w:hAnsi="仿宋" w:eastAsia="仿宋_GB2312"/>
          <w:sz w:val="32"/>
          <w:szCs w:val="32"/>
        </w:rPr>
      </w:pPr>
      <w:r>
        <w:rPr>
          <w:rFonts w:hint="eastAsia" w:ascii="黑体" w:hAnsi="黑体" w:eastAsia="黑体"/>
          <w:sz w:val="32"/>
          <w:szCs w:val="32"/>
        </w:rPr>
        <w:t>五、附属单位上缴收入：</w:t>
      </w:r>
      <w:r>
        <w:rPr>
          <w:rFonts w:hint="eastAsia" w:ascii="仿宋_GB2312" w:hAnsi="仿宋" w:eastAsia="仿宋_GB2312"/>
          <w:sz w:val="32"/>
          <w:szCs w:val="32"/>
        </w:rPr>
        <w:t>指事业单位附属独立核算单位按照有关规定上缴的收入。</w:t>
      </w:r>
    </w:p>
    <w:p>
      <w:pPr>
        <w:spacing w:line="580" w:lineRule="exact"/>
        <w:ind w:firstLine="640" w:firstLineChars="200"/>
        <w:rPr>
          <w:rFonts w:ascii="仿宋_GB2312" w:hAnsi="仿宋" w:eastAsia="仿宋_GB2312"/>
          <w:sz w:val="32"/>
          <w:szCs w:val="32"/>
        </w:rPr>
      </w:pPr>
      <w:r>
        <w:rPr>
          <w:rFonts w:hint="eastAsia" w:ascii="黑体" w:hAnsi="黑体" w:eastAsia="黑体"/>
          <w:sz w:val="32"/>
          <w:szCs w:val="32"/>
        </w:rPr>
        <w:t>六、其他收入：</w:t>
      </w:r>
      <w:r>
        <w:rPr>
          <w:rFonts w:hint="eastAsia" w:ascii="仿宋_GB2312" w:hAnsi="仿宋" w:eastAsia="仿宋_GB2312"/>
          <w:sz w:val="32"/>
          <w:szCs w:val="32"/>
        </w:rPr>
        <w:t>指单位取得的除上述“</w:t>
      </w:r>
      <w:r>
        <w:rPr>
          <w:rFonts w:hint="eastAsia" w:eastAsia="仿宋_GB2312"/>
          <w:sz w:val="32"/>
          <w:szCs w:val="32"/>
        </w:rPr>
        <w:t>财政拨款收入</w:t>
      </w:r>
      <w:r>
        <w:rPr>
          <w:rFonts w:hint="eastAsia" w:ascii="仿宋_GB2312" w:hAnsi="仿宋" w:eastAsia="仿宋_GB2312"/>
          <w:sz w:val="32"/>
          <w:szCs w:val="32"/>
        </w:rPr>
        <w:t>”、“上级补助收入”、“事业收入”、“经营收入”、“附属单位上缴收入”等以外的各项收入。</w:t>
      </w:r>
    </w:p>
    <w:p>
      <w:pPr>
        <w:spacing w:line="580" w:lineRule="exact"/>
        <w:ind w:firstLine="600"/>
        <w:rPr>
          <w:rFonts w:ascii="仿宋_GB2312" w:eastAsia="仿宋_GB2312"/>
          <w:sz w:val="32"/>
          <w:szCs w:val="32"/>
        </w:rPr>
      </w:pPr>
      <w:r>
        <w:rPr>
          <w:rFonts w:hint="eastAsia" w:ascii="黑体" w:hAnsi="黑体" w:eastAsia="黑体"/>
          <w:sz w:val="32"/>
          <w:szCs w:val="32"/>
        </w:rPr>
        <w:t>七、用事业基金弥补收支差额：</w:t>
      </w:r>
      <w:r>
        <w:rPr>
          <w:rFonts w:hint="eastAsia" w:ascii="仿宋_GB2312" w:eastAsia="仿宋_GB2312"/>
          <w:sz w:val="32"/>
          <w:szCs w:val="32"/>
        </w:rPr>
        <w:t>指事业单位在预计用当年的“财政拨款收入”、“财政拨款结转和结余资金”、“事业收入”、“事业单位经营收入”、“其他收入”等不足以安排当年支出的情况下，使用以前年度积累的事业基金（事业单位当年收支相抵后按国家规定提取、用于弥补以后年度收支差额的基金）弥补本年度收支缺口的资金。</w:t>
      </w:r>
    </w:p>
    <w:p>
      <w:pPr>
        <w:spacing w:line="580" w:lineRule="exact"/>
        <w:ind w:firstLine="600"/>
        <w:rPr>
          <w:rFonts w:ascii="仿宋_GB2312" w:eastAsia="仿宋_GB2312"/>
          <w:sz w:val="32"/>
          <w:szCs w:val="32"/>
        </w:rPr>
      </w:pPr>
      <w:r>
        <w:rPr>
          <w:rFonts w:hint="eastAsia" w:ascii="黑体" w:hAnsi="黑体" w:eastAsia="黑体"/>
          <w:sz w:val="32"/>
          <w:szCs w:val="32"/>
        </w:rPr>
        <w:t>八、年初结转和结余：</w:t>
      </w:r>
      <w:r>
        <w:rPr>
          <w:rFonts w:hint="eastAsia" w:ascii="仿宋_GB2312" w:eastAsia="仿宋_GB2312"/>
          <w:sz w:val="32"/>
          <w:szCs w:val="32"/>
        </w:rPr>
        <w:t>指以前年度尚未完成、结转到本年仍按原规定用途继续使用的资金，或项目已完成等产生的结余资金。</w:t>
      </w:r>
    </w:p>
    <w:p>
      <w:pPr>
        <w:spacing w:line="580" w:lineRule="exact"/>
        <w:ind w:firstLine="640" w:firstLineChars="200"/>
        <w:rPr>
          <w:rFonts w:ascii="仿宋_GB2312" w:hAnsi="仿宋" w:eastAsia="仿宋_GB2312"/>
          <w:sz w:val="32"/>
          <w:szCs w:val="32"/>
        </w:rPr>
      </w:pPr>
      <w:r>
        <w:rPr>
          <w:rFonts w:hint="eastAsia" w:ascii="黑体" w:hAnsi="黑体" w:eastAsia="黑体"/>
          <w:sz w:val="32"/>
          <w:szCs w:val="32"/>
        </w:rPr>
        <w:t>九、结余分配：</w:t>
      </w:r>
      <w:r>
        <w:rPr>
          <w:rFonts w:hint="eastAsia" w:ascii="仿宋_GB2312" w:hAnsi="仿宋" w:eastAsia="仿宋_GB2312"/>
          <w:sz w:val="32"/>
          <w:szCs w:val="32"/>
        </w:rPr>
        <w:t>指事业单位按照《事业单位会计制度》的规定从非财政补助结余中分配的事业基金和职工福利基金等。</w:t>
      </w:r>
    </w:p>
    <w:p>
      <w:pPr>
        <w:spacing w:line="580" w:lineRule="exact"/>
        <w:ind w:firstLine="640" w:firstLineChars="200"/>
        <w:rPr>
          <w:rFonts w:ascii="仿宋_GB2312" w:hAnsi="仿宋" w:eastAsia="仿宋_GB2312"/>
          <w:sz w:val="32"/>
          <w:szCs w:val="32"/>
        </w:rPr>
      </w:pPr>
      <w:r>
        <w:rPr>
          <w:rFonts w:hint="eastAsia" w:ascii="黑体" w:hAnsi="黑体" w:eastAsia="黑体"/>
          <w:sz w:val="32"/>
          <w:szCs w:val="32"/>
        </w:rPr>
        <w:t>十、年末结转和结余：</w:t>
      </w:r>
      <w:r>
        <w:rPr>
          <w:rFonts w:hint="eastAsia" w:ascii="仿宋_GB2312" w:hAnsi="仿宋" w:eastAsia="仿宋_GB2312"/>
          <w:sz w:val="32"/>
          <w:szCs w:val="32"/>
        </w:rPr>
        <w:t>指单位按照有关规定结转到下年继续使用的资金，或项目已完成等产生的结余资金。</w:t>
      </w:r>
    </w:p>
    <w:p>
      <w:pPr>
        <w:spacing w:line="580" w:lineRule="exact"/>
        <w:ind w:firstLine="600"/>
        <w:rPr>
          <w:rFonts w:ascii="仿宋_GB2312" w:eastAsia="仿宋_GB2312"/>
          <w:sz w:val="32"/>
          <w:szCs w:val="32"/>
        </w:rPr>
      </w:pPr>
      <w:r>
        <w:rPr>
          <w:rFonts w:hint="eastAsia" w:ascii="黑体" w:hAnsi="黑体" w:eastAsia="黑体"/>
          <w:sz w:val="32"/>
          <w:szCs w:val="32"/>
        </w:rPr>
        <w:t>十一、基本支出：</w:t>
      </w:r>
      <w:r>
        <w:rPr>
          <w:rFonts w:hint="eastAsia" w:ascii="仿宋_GB2312" w:eastAsia="仿宋_GB2312"/>
          <w:sz w:val="32"/>
          <w:szCs w:val="32"/>
        </w:rPr>
        <w:t>指单位为保障其机构正常运转、完成日常工作任务而发生的各项支出。</w:t>
      </w:r>
    </w:p>
    <w:p>
      <w:pPr>
        <w:spacing w:line="580" w:lineRule="exact"/>
        <w:ind w:firstLine="600"/>
        <w:rPr>
          <w:rFonts w:ascii="仿宋_GB2312" w:eastAsia="仿宋_GB2312"/>
          <w:sz w:val="32"/>
          <w:szCs w:val="32"/>
        </w:rPr>
      </w:pPr>
      <w:r>
        <w:rPr>
          <w:rFonts w:hint="eastAsia" w:ascii="黑体" w:hAnsi="黑体" w:eastAsia="黑体"/>
          <w:sz w:val="32"/>
          <w:szCs w:val="32"/>
        </w:rPr>
        <w:t>十二、项目支出：</w:t>
      </w:r>
      <w:r>
        <w:rPr>
          <w:rFonts w:hint="eastAsia" w:ascii="仿宋_GB2312" w:eastAsia="仿宋_GB2312"/>
          <w:sz w:val="32"/>
          <w:szCs w:val="32"/>
        </w:rPr>
        <w:t>指单位在基本支出之外为完成特定的工作任务或事业发展目标所发生的支出。</w:t>
      </w:r>
    </w:p>
    <w:p>
      <w:pPr>
        <w:spacing w:line="580" w:lineRule="exact"/>
        <w:rPr>
          <w:rFonts w:ascii="仿宋_GB2312" w:eastAsia="仿宋_GB2312"/>
          <w:sz w:val="32"/>
          <w:szCs w:val="32"/>
        </w:rPr>
      </w:pPr>
      <w:r>
        <w:rPr>
          <w:rFonts w:hint="eastAsia" w:ascii="仿宋_GB2312" w:eastAsia="仿宋_GB2312"/>
          <w:sz w:val="32"/>
          <w:szCs w:val="32"/>
        </w:rPr>
        <w:t xml:space="preserve">    </w:t>
      </w:r>
      <w:r>
        <w:rPr>
          <w:rFonts w:hint="eastAsia" w:ascii="黑体" w:hAnsi="黑体" w:eastAsia="黑体"/>
          <w:sz w:val="32"/>
          <w:szCs w:val="32"/>
        </w:rPr>
        <w:t>十三、经营支出：</w:t>
      </w:r>
      <w:r>
        <w:rPr>
          <w:rFonts w:hint="eastAsia" w:ascii="仿宋_GB2312" w:eastAsia="仿宋_GB2312"/>
          <w:sz w:val="32"/>
          <w:szCs w:val="32"/>
        </w:rPr>
        <w:t>指事业单位在专业业务活动及其辅助活动之外开展非独立核算经营活动发生的支出。</w:t>
      </w:r>
    </w:p>
    <w:p>
      <w:pPr>
        <w:spacing w:line="580" w:lineRule="exact"/>
        <w:ind w:firstLine="600"/>
        <w:rPr>
          <w:rFonts w:ascii="仿宋_GB2312" w:eastAsia="仿宋_GB2312"/>
          <w:sz w:val="32"/>
          <w:szCs w:val="32"/>
        </w:rPr>
      </w:pPr>
      <w:r>
        <w:rPr>
          <w:rFonts w:hint="eastAsia" w:ascii="黑体" w:hAnsi="黑体" w:eastAsia="黑体"/>
          <w:sz w:val="32"/>
          <w:szCs w:val="32"/>
        </w:rPr>
        <w:t>十四、“三公”经费：</w:t>
      </w:r>
      <w:r>
        <w:rPr>
          <w:rFonts w:hint="eastAsia" w:ascii="仿宋_GB2312" w:eastAsia="仿宋_GB2312"/>
          <w:sz w:val="32"/>
          <w:szCs w:val="32"/>
        </w:rPr>
        <w:t>指省级部门用财政拨款安排的因公出国（境）费、公务用车购置及运行费和公务接待费。其中，因公出国（境）费反映单位公务出国（境）的差旅费、伙食补助费、杂费、培训费等支出；公务用车购置及运行费反映单位公务用车购置费（含车辆购置税）及租用费、燃料费、维修费、过路过桥费、保险费等支出；公务接待费反映单位按规定开支的各类公务接待（含外宾接待）支出。</w:t>
      </w:r>
    </w:p>
    <w:p>
      <w:pPr>
        <w:spacing w:line="580" w:lineRule="exact"/>
        <w:ind w:firstLine="640" w:firstLineChars="200"/>
        <w:rPr>
          <w:rFonts w:ascii="仿宋_GB2312" w:eastAsia="仿宋_GB2312"/>
          <w:sz w:val="32"/>
          <w:szCs w:val="32"/>
        </w:rPr>
      </w:pPr>
      <w:r>
        <w:rPr>
          <w:rFonts w:hint="eastAsia" w:ascii="黑体" w:hAnsi="黑体" w:eastAsia="黑体"/>
          <w:sz w:val="32"/>
          <w:szCs w:val="32"/>
        </w:rPr>
        <w:t>十五、机关运行经费：</w:t>
      </w:r>
      <w:r>
        <w:rPr>
          <w:rFonts w:hint="eastAsia" w:ascii="仿宋_GB2312" w:eastAsia="仿宋_GB2312"/>
          <w:sz w:val="32"/>
          <w:szCs w:val="32"/>
        </w:rPr>
        <w:t>为保障行政单位(含参照公务员法管理的事业单位)运行用于购买货物和服务的各项资金，包括办公费、印刷费、咨询费、手续费、水费、电费、邮电费、取暖费、物业管理费、差旅费、因公出国（境）费、维修（护）费、租赁费、会议费、培训费、公务接待费、专用材料费、劳务费、委托业务费、工会经费、福利费、公务用车运行维护费以及其他费用等。</w:t>
      </w:r>
    </w:p>
    <w:p>
      <w:pPr>
        <w:spacing w:line="580" w:lineRule="exact"/>
        <w:ind w:firstLine="600"/>
        <w:rPr>
          <w:rFonts w:ascii="仿宋_GB2312" w:eastAsia="仿宋_GB2312"/>
          <w:sz w:val="32"/>
          <w:szCs w:val="32"/>
        </w:rPr>
      </w:pPr>
      <w:r>
        <w:rPr>
          <w:rFonts w:hint="eastAsia" w:ascii="黑体" w:hAnsi="黑体" w:eastAsia="黑体"/>
          <w:sz w:val="32"/>
          <w:szCs w:val="32"/>
        </w:rPr>
        <w:t>十六、一般公共服务支出（类）其他一般公共服务支出（款）其他一般公共服务支出（项）：</w:t>
      </w:r>
      <w:r>
        <w:rPr>
          <w:rFonts w:hint="eastAsia" w:ascii="仿宋_GB2312" w:eastAsia="仿宋_GB2312"/>
          <w:sz w:val="32"/>
          <w:szCs w:val="32"/>
        </w:rPr>
        <w:t>主要反映市公共实训基地</w:t>
      </w:r>
      <w:r>
        <w:rPr>
          <w:rFonts w:ascii="仿宋_GB2312" w:eastAsia="仿宋_GB2312"/>
          <w:sz w:val="32"/>
          <w:szCs w:val="32"/>
        </w:rPr>
        <w:t>发放市编委核准的</w:t>
      </w:r>
      <w:r>
        <w:rPr>
          <w:rFonts w:hint="eastAsia" w:ascii="仿宋_GB2312" w:eastAsia="仿宋_GB2312"/>
          <w:sz w:val="32"/>
          <w:szCs w:val="32"/>
        </w:rPr>
        <w:t>社会</w:t>
      </w:r>
      <w:r>
        <w:rPr>
          <w:rFonts w:ascii="仿宋_GB2312" w:eastAsia="仿宋_GB2312"/>
          <w:sz w:val="32"/>
          <w:szCs w:val="32"/>
        </w:rPr>
        <w:t>招聘</w:t>
      </w:r>
      <w:r>
        <w:rPr>
          <w:rFonts w:hint="eastAsia" w:ascii="仿宋_GB2312" w:eastAsia="仿宋_GB2312"/>
          <w:sz w:val="32"/>
          <w:szCs w:val="32"/>
        </w:rPr>
        <w:t>50名</w:t>
      </w:r>
      <w:r>
        <w:rPr>
          <w:rFonts w:ascii="仿宋_GB2312" w:eastAsia="仿宋_GB2312"/>
          <w:sz w:val="32"/>
          <w:szCs w:val="32"/>
        </w:rPr>
        <w:t>教师</w:t>
      </w:r>
      <w:r>
        <w:rPr>
          <w:rFonts w:hint="eastAsia" w:ascii="仿宋_GB2312" w:eastAsia="仿宋_GB2312"/>
          <w:sz w:val="32"/>
          <w:szCs w:val="32"/>
        </w:rPr>
        <w:t>全年</w:t>
      </w:r>
      <w:r>
        <w:rPr>
          <w:rFonts w:ascii="仿宋_GB2312" w:eastAsia="仿宋_GB2312"/>
          <w:sz w:val="32"/>
          <w:szCs w:val="32"/>
        </w:rPr>
        <w:t>工资及社保费</w:t>
      </w:r>
      <w:r>
        <w:rPr>
          <w:rFonts w:hint="eastAsia" w:ascii="仿宋_GB2312" w:eastAsia="仿宋_GB2312"/>
          <w:sz w:val="32"/>
          <w:szCs w:val="32"/>
        </w:rPr>
        <w:t>。</w:t>
      </w:r>
    </w:p>
    <w:p>
      <w:pPr>
        <w:spacing w:line="580" w:lineRule="exact"/>
        <w:ind w:firstLine="600"/>
        <w:rPr>
          <w:rFonts w:ascii="仿宋_GB2312" w:eastAsia="仿宋_GB2312"/>
          <w:sz w:val="32"/>
          <w:szCs w:val="32"/>
        </w:rPr>
      </w:pPr>
      <w:r>
        <w:rPr>
          <w:rFonts w:hint="eastAsia" w:ascii="黑体" w:hAnsi="黑体" w:eastAsia="黑体"/>
          <w:sz w:val="32"/>
          <w:szCs w:val="32"/>
        </w:rPr>
        <w:t>十七、教育支出（类）教育管理事务（款）行政运行（项）：</w:t>
      </w:r>
      <w:r>
        <w:rPr>
          <w:rFonts w:hint="eastAsia" w:ascii="仿宋_GB2312" w:eastAsia="仿宋_GB2312"/>
          <w:sz w:val="32"/>
          <w:szCs w:val="32"/>
        </w:rPr>
        <w:t>主要反映教育部门机关行政运行的支出。</w:t>
      </w:r>
    </w:p>
    <w:p>
      <w:pPr>
        <w:spacing w:line="580" w:lineRule="exact"/>
        <w:ind w:firstLine="640" w:firstLineChars="200"/>
        <w:rPr>
          <w:rFonts w:hint="eastAsia" w:ascii="仿宋_GB2312" w:hAnsi="仿宋" w:eastAsia="仿宋_GB2312" w:cs="宋体"/>
          <w:sz w:val="32"/>
          <w:szCs w:val="32"/>
        </w:rPr>
      </w:pPr>
      <w:r>
        <w:rPr>
          <w:rFonts w:hint="eastAsia" w:ascii="黑体" w:hAnsi="黑体" w:eastAsia="黑体"/>
          <w:sz w:val="32"/>
          <w:szCs w:val="32"/>
        </w:rPr>
        <w:t>十八、教育支出（类）教育管理事务（款）一般行政</w:t>
      </w:r>
      <w:r>
        <w:rPr>
          <w:rFonts w:ascii="黑体" w:hAnsi="黑体" w:eastAsia="黑体"/>
          <w:sz w:val="32"/>
          <w:szCs w:val="32"/>
        </w:rPr>
        <w:t>管理事务</w:t>
      </w:r>
      <w:r>
        <w:rPr>
          <w:rFonts w:hint="eastAsia" w:ascii="黑体" w:hAnsi="黑体" w:eastAsia="黑体"/>
          <w:sz w:val="32"/>
          <w:szCs w:val="32"/>
        </w:rPr>
        <w:t>（项）：</w:t>
      </w:r>
      <w:r>
        <w:rPr>
          <w:rFonts w:hint="eastAsia" w:ascii="仿宋_GB2312" w:hAnsi="仿宋" w:eastAsia="仿宋_GB2312" w:cs="宋体"/>
          <w:sz w:val="32"/>
          <w:szCs w:val="32"/>
        </w:rPr>
        <w:t>主要反映教育部门培训项目支出。</w:t>
      </w:r>
    </w:p>
    <w:p>
      <w:pPr>
        <w:spacing w:line="580" w:lineRule="exact"/>
        <w:ind w:firstLine="640" w:firstLineChars="200"/>
        <w:rPr>
          <w:rFonts w:hint="eastAsia" w:ascii="仿宋_GB2312" w:hAnsi="黑体" w:eastAsia="仿宋_GB2312"/>
          <w:sz w:val="32"/>
          <w:szCs w:val="32"/>
        </w:rPr>
      </w:pPr>
      <w:r>
        <w:rPr>
          <w:rFonts w:hint="eastAsia" w:ascii="黑体" w:hAnsi="黑体" w:eastAsia="黑体"/>
          <w:sz w:val="32"/>
          <w:szCs w:val="32"/>
        </w:rPr>
        <w:t>十九、教育支出（类）教育管理事务（款）其他教育管理事务支出（项）：</w:t>
      </w:r>
      <w:r>
        <w:rPr>
          <w:rFonts w:hint="eastAsia" w:ascii="仿宋_GB2312" w:hAnsi="黑体" w:eastAsia="仿宋_GB2312"/>
          <w:sz w:val="32"/>
          <w:szCs w:val="32"/>
        </w:rPr>
        <w:t>主要反映我局直属事业单位的日常运行支出。</w:t>
      </w:r>
    </w:p>
    <w:p>
      <w:pPr>
        <w:spacing w:line="580" w:lineRule="exact"/>
        <w:ind w:firstLine="640" w:firstLineChars="200"/>
        <w:rPr>
          <w:rFonts w:ascii="仿宋" w:hAnsi="仿宋" w:eastAsia="仿宋" w:cs="宋体"/>
          <w:sz w:val="32"/>
          <w:szCs w:val="32"/>
        </w:rPr>
      </w:pPr>
      <w:r>
        <w:rPr>
          <w:rFonts w:hint="eastAsia" w:ascii="黑体" w:hAnsi="黑体" w:eastAsia="黑体"/>
          <w:sz w:val="32"/>
          <w:szCs w:val="32"/>
        </w:rPr>
        <w:t>二十、教育支出（类）普通教育（款）学前教育（项）：</w:t>
      </w:r>
      <w:r>
        <w:rPr>
          <w:rFonts w:hint="eastAsia" w:ascii="仿宋_GB2312" w:hAnsi="仿宋" w:eastAsia="仿宋_GB2312" w:cs="宋体"/>
          <w:sz w:val="32"/>
          <w:szCs w:val="32"/>
        </w:rPr>
        <w:t>主要反映局属幼儿园的日常运行支出及为完成事业发展目标的项目支出。</w:t>
      </w:r>
    </w:p>
    <w:p>
      <w:pPr>
        <w:spacing w:line="580" w:lineRule="exact"/>
        <w:ind w:firstLine="640" w:firstLineChars="200"/>
        <w:rPr>
          <w:rFonts w:hint="eastAsia" w:ascii="仿宋_GB2312" w:hAnsi="仿宋" w:eastAsia="仿宋_GB2312" w:cs="宋体"/>
          <w:sz w:val="32"/>
          <w:szCs w:val="32"/>
        </w:rPr>
      </w:pPr>
      <w:r>
        <w:rPr>
          <w:rFonts w:hint="eastAsia" w:ascii="黑体" w:hAnsi="黑体" w:eastAsia="黑体"/>
          <w:sz w:val="32"/>
          <w:szCs w:val="32"/>
        </w:rPr>
        <w:t>二十一、教育支出（类）普通教育（款）初中教育（项）：</w:t>
      </w:r>
      <w:r>
        <w:rPr>
          <w:rFonts w:hint="eastAsia" w:ascii="仿宋_GB2312" w:hAnsi="仿宋" w:eastAsia="仿宋_GB2312" w:cs="宋体"/>
          <w:sz w:val="32"/>
          <w:szCs w:val="32"/>
        </w:rPr>
        <w:t>主要反映局属初中学校的日常运行支出及为完成事业发展目标的项目支出。</w:t>
      </w:r>
    </w:p>
    <w:p>
      <w:pPr>
        <w:spacing w:line="580" w:lineRule="exact"/>
        <w:ind w:firstLine="640" w:firstLineChars="200"/>
        <w:rPr>
          <w:rFonts w:ascii="仿宋_GB2312" w:hAnsi="仿宋" w:eastAsia="仿宋_GB2312" w:cs="宋体"/>
          <w:sz w:val="32"/>
          <w:szCs w:val="32"/>
        </w:rPr>
      </w:pPr>
      <w:r>
        <w:rPr>
          <w:rFonts w:hint="eastAsia" w:ascii="黑体" w:hAnsi="黑体" w:eastAsia="黑体"/>
          <w:sz w:val="32"/>
          <w:szCs w:val="32"/>
        </w:rPr>
        <w:t>二十二、教育支出（类）普通教育（款）高中教育（项）：</w:t>
      </w:r>
      <w:r>
        <w:rPr>
          <w:rFonts w:hint="eastAsia" w:ascii="仿宋_GB2312" w:hAnsi="仿宋" w:eastAsia="仿宋_GB2312" w:cs="宋体"/>
          <w:sz w:val="32"/>
          <w:szCs w:val="32"/>
        </w:rPr>
        <w:t>主要反映局属普通高中的日常运行支出及为完成事业发展目标的项目支出。</w:t>
      </w:r>
    </w:p>
    <w:p>
      <w:pPr>
        <w:spacing w:line="580" w:lineRule="exact"/>
        <w:ind w:firstLine="640" w:firstLineChars="200"/>
        <w:rPr>
          <w:rFonts w:ascii="仿宋_GB2312" w:hAnsi="仿宋" w:eastAsia="仿宋_GB2312" w:cs="宋体"/>
          <w:sz w:val="32"/>
          <w:szCs w:val="32"/>
        </w:rPr>
      </w:pPr>
      <w:r>
        <w:rPr>
          <w:rFonts w:hint="eastAsia" w:ascii="黑体" w:hAnsi="黑体" w:eastAsia="黑体"/>
          <w:sz w:val="32"/>
          <w:szCs w:val="32"/>
        </w:rPr>
        <w:t>二十三、教育支出（类）普通教育（款）高等教育（项）：</w:t>
      </w:r>
      <w:r>
        <w:rPr>
          <w:rFonts w:hint="eastAsia" w:ascii="仿宋_GB2312" w:hAnsi="仿宋" w:eastAsia="仿宋_GB2312" w:cs="宋体"/>
          <w:sz w:val="32"/>
          <w:szCs w:val="32"/>
        </w:rPr>
        <w:t>主要反映高等教育重点学科共建、高校困难学生助学金等项目的支出。</w:t>
      </w:r>
    </w:p>
    <w:p>
      <w:pPr>
        <w:spacing w:line="580" w:lineRule="exact"/>
        <w:ind w:firstLine="640" w:firstLineChars="200"/>
        <w:rPr>
          <w:rFonts w:hint="eastAsia" w:ascii="仿宋_GB2312" w:hAnsi="黑体" w:eastAsia="仿宋_GB2312"/>
          <w:sz w:val="32"/>
          <w:szCs w:val="32"/>
        </w:rPr>
      </w:pPr>
      <w:r>
        <w:rPr>
          <w:rFonts w:hint="eastAsia" w:ascii="黑体" w:hAnsi="黑体" w:eastAsia="黑体"/>
          <w:sz w:val="32"/>
          <w:szCs w:val="32"/>
        </w:rPr>
        <w:t>二十四、教育支出（类）普通教育（款）其他普通教育支出（项）：</w:t>
      </w:r>
      <w:r>
        <w:rPr>
          <w:rFonts w:hint="eastAsia" w:ascii="仿宋_GB2312" w:hAnsi="黑体" w:eastAsia="仿宋_GB2312"/>
          <w:sz w:val="32"/>
          <w:szCs w:val="32"/>
        </w:rPr>
        <w:t>主要反映我局直属事业单位的日常运行支出。</w:t>
      </w:r>
    </w:p>
    <w:p>
      <w:pPr>
        <w:spacing w:line="580" w:lineRule="exact"/>
        <w:ind w:firstLine="640" w:firstLineChars="200"/>
        <w:rPr>
          <w:rFonts w:ascii="黑体" w:hAnsi="黑体" w:eastAsia="黑体"/>
          <w:sz w:val="32"/>
          <w:szCs w:val="32"/>
        </w:rPr>
      </w:pPr>
      <w:r>
        <w:rPr>
          <w:rFonts w:hint="eastAsia" w:ascii="黑体" w:hAnsi="黑体" w:eastAsia="黑体"/>
          <w:sz w:val="32"/>
          <w:szCs w:val="32"/>
        </w:rPr>
        <w:t>二十五、教育支出（类）职业教育（款）中专教育（项）：</w:t>
      </w:r>
      <w:r>
        <w:rPr>
          <w:rFonts w:hint="eastAsia" w:ascii="仿宋_GB2312" w:hAnsi="黑体" w:eastAsia="仿宋_GB2312"/>
          <w:sz w:val="32"/>
          <w:szCs w:val="32"/>
        </w:rPr>
        <w:t>主要反映局属中专教育学校的日常运行支出及为完成事业发展目标的项目支出。</w:t>
      </w:r>
    </w:p>
    <w:p>
      <w:pPr>
        <w:spacing w:line="580" w:lineRule="exact"/>
        <w:ind w:firstLine="640" w:firstLineChars="200"/>
        <w:rPr>
          <w:rFonts w:ascii="仿宋_GB2312" w:hAnsi="黑体" w:eastAsia="仿宋_GB2312"/>
          <w:sz w:val="32"/>
          <w:szCs w:val="32"/>
        </w:rPr>
      </w:pPr>
      <w:r>
        <w:rPr>
          <w:rFonts w:hint="eastAsia" w:ascii="黑体" w:hAnsi="黑体" w:eastAsia="黑体"/>
          <w:sz w:val="32"/>
          <w:szCs w:val="32"/>
        </w:rPr>
        <w:t>二十六、教育支出（类）职业教育（款）职业高中教育（项）：</w:t>
      </w:r>
      <w:r>
        <w:rPr>
          <w:rFonts w:hint="eastAsia" w:ascii="仿宋_GB2312" w:hAnsi="黑体" w:eastAsia="仿宋_GB2312"/>
          <w:sz w:val="32"/>
          <w:szCs w:val="32"/>
        </w:rPr>
        <w:t>主要反映局属职业高中的日常运行支出及为完成事业发展目标的项目支出。</w:t>
      </w:r>
    </w:p>
    <w:p>
      <w:pPr>
        <w:spacing w:line="580" w:lineRule="exact"/>
        <w:ind w:firstLine="640" w:firstLineChars="200"/>
        <w:rPr>
          <w:rFonts w:ascii="黑体" w:hAnsi="黑体" w:eastAsia="黑体"/>
          <w:sz w:val="32"/>
          <w:szCs w:val="32"/>
        </w:rPr>
      </w:pPr>
      <w:r>
        <w:rPr>
          <w:rFonts w:hint="eastAsia" w:ascii="黑体" w:hAnsi="黑体" w:eastAsia="黑体"/>
          <w:sz w:val="32"/>
          <w:szCs w:val="32"/>
        </w:rPr>
        <w:t>二十七、教育支出（类）职业教育（款）其他职业教育支出（项）：</w:t>
      </w:r>
      <w:r>
        <w:rPr>
          <w:rFonts w:hint="eastAsia" w:ascii="仿宋_GB2312" w:hAnsi="黑体" w:eastAsia="仿宋_GB2312"/>
          <w:sz w:val="32"/>
          <w:szCs w:val="32"/>
        </w:rPr>
        <w:t>主要反映我局</w:t>
      </w:r>
      <w:r>
        <w:rPr>
          <w:rFonts w:ascii="仿宋_GB2312" w:hAnsi="黑体" w:eastAsia="仿宋_GB2312"/>
          <w:sz w:val="32"/>
          <w:szCs w:val="32"/>
        </w:rPr>
        <w:t>直属事业单位</w:t>
      </w:r>
      <w:r>
        <w:rPr>
          <w:rFonts w:hint="eastAsia" w:ascii="仿宋_GB2312" w:hAnsi="黑体" w:eastAsia="仿宋_GB2312"/>
          <w:sz w:val="32"/>
          <w:szCs w:val="32"/>
        </w:rPr>
        <w:t>的日常运行支出及为完成事业发展目标的项目支出。</w:t>
      </w:r>
    </w:p>
    <w:p>
      <w:pPr>
        <w:spacing w:line="580" w:lineRule="exact"/>
        <w:ind w:firstLine="640" w:firstLineChars="200"/>
        <w:rPr>
          <w:rFonts w:ascii="仿宋_GB2312" w:eastAsia="仿宋_GB2312"/>
          <w:sz w:val="32"/>
          <w:szCs w:val="32"/>
        </w:rPr>
      </w:pPr>
      <w:r>
        <w:rPr>
          <w:rFonts w:hint="eastAsia" w:ascii="黑体" w:hAnsi="黑体" w:eastAsia="黑体"/>
          <w:sz w:val="32"/>
          <w:szCs w:val="32"/>
        </w:rPr>
        <w:t>二十八、教育支出（类）成人教育（款）成人高等教育（项）：</w:t>
      </w:r>
      <w:r>
        <w:rPr>
          <w:rFonts w:hint="eastAsia" w:ascii="仿宋_GB2312" w:eastAsia="仿宋_GB2312"/>
          <w:sz w:val="32"/>
          <w:szCs w:val="32"/>
        </w:rPr>
        <w:t>主要反映</w:t>
      </w:r>
      <w:r>
        <w:rPr>
          <w:rFonts w:ascii="仿宋_GB2312" w:eastAsia="仿宋_GB2312"/>
          <w:sz w:val="32"/>
          <w:szCs w:val="32"/>
        </w:rPr>
        <w:t>市编委核准的</w:t>
      </w:r>
      <w:r>
        <w:rPr>
          <w:rFonts w:hint="eastAsia" w:ascii="仿宋_GB2312" w:eastAsia="仿宋_GB2312"/>
          <w:sz w:val="32"/>
          <w:szCs w:val="32"/>
        </w:rPr>
        <w:t>市公共实训基地通过社会</w:t>
      </w:r>
      <w:r>
        <w:rPr>
          <w:rFonts w:ascii="仿宋_GB2312" w:eastAsia="仿宋_GB2312"/>
          <w:sz w:val="32"/>
          <w:szCs w:val="32"/>
        </w:rPr>
        <w:t>招聘的</w:t>
      </w:r>
      <w:r>
        <w:rPr>
          <w:rFonts w:hint="eastAsia" w:ascii="仿宋_GB2312" w:eastAsia="仿宋_GB2312"/>
          <w:sz w:val="32"/>
          <w:szCs w:val="32"/>
        </w:rPr>
        <w:t>50名</w:t>
      </w:r>
      <w:r>
        <w:rPr>
          <w:rFonts w:ascii="仿宋_GB2312" w:eastAsia="仿宋_GB2312"/>
          <w:sz w:val="32"/>
          <w:szCs w:val="32"/>
        </w:rPr>
        <w:t>教师</w:t>
      </w:r>
      <w:r>
        <w:rPr>
          <w:rFonts w:hint="eastAsia" w:ascii="仿宋_GB2312" w:eastAsia="仿宋_GB2312"/>
          <w:sz w:val="32"/>
          <w:szCs w:val="32"/>
        </w:rPr>
        <w:t>全年</w:t>
      </w:r>
      <w:r>
        <w:rPr>
          <w:rFonts w:ascii="仿宋_GB2312" w:eastAsia="仿宋_GB2312"/>
          <w:sz w:val="32"/>
          <w:szCs w:val="32"/>
        </w:rPr>
        <w:t>工资及社保费</w:t>
      </w:r>
      <w:r>
        <w:rPr>
          <w:rFonts w:hint="eastAsia" w:ascii="仿宋_GB2312" w:eastAsia="仿宋_GB2312"/>
          <w:sz w:val="32"/>
          <w:szCs w:val="32"/>
        </w:rPr>
        <w:t>。</w:t>
      </w:r>
    </w:p>
    <w:p>
      <w:pPr>
        <w:spacing w:line="580" w:lineRule="exact"/>
        <w:ind w:firstLine="640" w:firstLineChars="200"/>
        <w:rPr>
          <w:rFonts w:ascii="仿宋_GB2312" w:eastAsia="仿宋_GB2312"/>
          <w:sz w:val="32"/>
          <w:szCs w:val="32"/>
        </w:rPr>
      </w:pPr>
      <w:r>
        <w:rPr>
          <w:rFonts w:hint="eastAsia" w:ascii="黑体" w:hAnsi="黑体" w:eastAsia="黑体"/>
          <w:sz w:val="32"/>
          <w:szCs w:val="32"/>
        </w:rPr>
        <w:t>二十九、教育支出（类）成人教育（款）成人广播电视教育（项）：</w:t>
      </w:r>
      <w:r>
        <w:rPr>
          <w:rFonts w:hint="eastAsia" w:ascii="仿宋_GB2312" w:eastAsia="仿宋_GB2312"/>
          <w:sz w:val="32"/>
          <w:szCs w:val="32"/>
        </w:rPr>
        <w:t>主要反映局属学校本年财政安排的人员经费。</w:t>
      </w:r>
    </w:p>
    <w:p>
      <w:pPr>
        <w:spacing w:line="580" w:lineRule="exact"/>
        <w:ind w:firstLine="640" w:firstLineChars="200"/>
        <w:rPr>
          <w:rFonts w:ascii="仿宋_GB2312" w:eastAsia="仿宋_GB2312"/>
          <w:sz w:val="32"/>
          <w:szCs w:val="32"/>
        </w:rPr>
      </w:pPr>
      <w:r>
        <w:rPr>
          <w:rFonts w:hint="eastAsia" w:ascii="黑体" w:hAnsi="黑体" w:eastAsia="黑体"/>
          <w:sz w:val="32"/>
          <w:szCs w:val="32"/>
        </w:rPr>
        <w:t>三十、教育支出（类）成人教育（款）其他成人教育支出（项）：</w:t>
      </w:r>
      <w:r>
        <w:rPr>
          <w:rFonts w:hint="eastAsia" w:ascii="仿宋_GB2312" w:eastAsia="仿宋_GB2312"/>
          <w:sz w:val="32"/>
          <w:szCs w:val="32"/>
        </w:rPr>
        <w:t>主要反映本年财政安排的成人教育发展专项资金。</w:t>
      </w:r>
    </w:p>
    <w:p>
      <w:pPr>
        <w:spacing w:line="580" w:lineRule="exact"/>
        <w:ind w:firstLine="640" w:firstLineChars="200"/>
        <w:rPr>
          <w:rFonts w:ascii="黑体" w:hAnsi="黑体" w:eastAsia="黑体"/>
          <w:sz w:val="32"/>
          <w:szCs w:val="32"/>
        </w:rPr>
      </w:pPr>
      <w:r>
        <w:rPr>
          <w:rFonts w:hint="eastAsia" w:ascii="黑体" w:hAnsi="黑体" w:eastAsia="黑体"/>
          <w:sz w:val="32"/>
          <w:szCs w:val="32"/>
        </w:rPr>
        <w:t>三十一、教育支出（类）特殊教育（款）特殊学校教育支出（项）：</w:t>
      </w:r>
      <w:r>
        <w:rPr>
          <w:rFonts w:hint="eastAsia" w:ascii="仿宋_GB2312" w:eastAsia="仿宋_GB2312"/>
          <w:sz w:val="32"/>
          <w:szCs w:val="32"/>
        </w:rPr>
        <w:t>主要反映局属特殊教育学校的日常运行支出及为完成事业发展目标的项目支出。</w:t>
      </w:r>
    </w:p>
    <w:p>
      <w:pPr>
        <w:spacing w:line="580" w:lineRule="exact"/>
        <w:ind w:firstLine="640" w:firstLineChars="200"/>
        <w:rPr>
          <w:rFonts w:ascii="仿宋_GB2312" w:eastAsia="仿宋_GB2312"/>
          <w:sz w:val="32"/>
          <w:szCs w:val="32"/>
        </w:rPr>
      </w:pPr>
      <w:r>
        <w:rPr>
          <w:rFonts w:hint="eastAsia" w:ascii="黑体" w:hAnsi="黑体" w:eastAsia="黑体"/>
          <w:sz w:val="32"/>
          <w:szCs w:val="32"/>
        </w:rPr>
        <w:t>三十二：教育支出（类）特殊教育（款）其他特殊教育支出（项）：</w:t>
      </w:r>
      <w:r>
        <w:rPr>
          <w:rFonts w:hint="eastAsia" w:ascii="仿宋_GB2312" w:eastAsia="仿宋_GB2312"/>
          <w:sz w:val="32"/>
          <w:szCs w:val="32"/>
        </w:rPr>
        <w:t>主要反映市本级特教学生公用经费及补助。</w:t>
      </w:r>
    </w:p>
    <w:p>
      <w:pPr>
        <w:spacing w:line="580" w:lineRule="exact"/>
        <w:ind w:firstLine="640" w:firstLineChars="200"/>
        <w:rPr>
          <w:rFonts w:ascii="仿宋_GB2312" w:eastAsia="仿宋_GB2312"/>
          <w:sz w:val="32"/>
          <w:szCs w:val="32"/>
        </w:rPr>
      </w:pPr>
      <w:r>
        <w:rPr>
          <w:rFonts w:hint="eastAsia" w:ascii="黑体" w:hAnsi="黑体" w:eastAsia="黑体"/>
          <w:sz w:val="32"/>
          <w:szCs w:val="32"/>
        </w:rPr>
        <w:t>三十三、教育支出（类）进修及培训（款）教师进修（项）：</w:t>
      </w:r>
      <w:r>
        <w:rPr>
          <w:rFonts w:hint="eastAsia" w:ascii="仿宋_GB2312" w:eastAsia="仿宋_GB2312"/>
          <w:sz w:val="32"/>
          <w:szCs w:val="32"/>
        </w:rPr>
        <w:t>主要反映教育部门用于教育培训专项计划的支出。</w:t>
      </w:r>
    </w:p>
    <w:p>
      <w:pPr>
        <w:spacing w:line="580" w:lineRule="exact"/>
        <w:ind w:firstLine="640" w:firstLineChars="200"/>
        <w:rPr>
          <w:rFonts w:ascii="仿宋_GB2312" w:eastAsia="仿宋_GB2312"/>
          <w:sz w:val="32"/>
          <w:szCs w:val="32"/>
        </w:rPr>
      </w:pPr>
      <w:r>
        <w:rPr>
          <w:rFonts w:hint="eastAsia" w:ascii="黑体" w:hAnsi="黑体" w:eastAsia="黑体"/>
          <w:sz w:val="32"/>
          <w:szCs w:val="32"/>
        </w:rPr>
        <w:t>三十四、教育支出（类）教育费附加安排的支出（款）其他教育费附加安排的支出（项）：</w:t>
      </w:r>
      <w:r>
        <w:rPr>
          <w:rFonts w:hint="eastAsia" w:ascii="仿宋_GB2312" w:eastAsia="仿宋_GB2312"/>
          <w:sz w:val="32"/>
          <w:szCs w:val="32"/>
        </w:rPr>
        <w:t>主要反映教育费附加、地方教育附加安排的专项支出。</w:t>
      </w:r>
    </w:p>
    <w:p>
      <w:pPr>
        <w:spacing w:line="580" w:lineRule="exact"/>
        <w:ind w:firstLine="640" w:firstLineChars="200"/>
        <w:rPr>
          <w:rFonts w:ascii="仿宋_GB2312" w:eastAsia="仿宋_GB2312"/>
          <w:sz w:val="32"/>
          <w:szCs w:val="32"/>
        </w:rPr>
      </w:pPr>
      <w:r>
        <w:rPr>
          <w:rFonts w:hint="eastAsia" w:ascii="黑体" w:hAnsi="黑体" w:eastAsia="黑体"/>
          <w:sz w:val="32"/>
          <w:szCs w:val="32"/>
        </w:rPr>
        <w:t>三十五、教育支出（类）其他教育支出（款）其他教育支出（项）：</w:t>
      </w:r>
      <w:r>
        <w:rPr>
          <w:rFonts w:hint="eastAsia" w:ascii="仿宋_GB2312" w:eastAsia="仿宋_GB2312"/>
          <w:sz w:val="32"/>
          <w:szCs w:val="32"/>
        </w:rPr>
        <w:t>主要反映我局直属事业单位的支出，包括单位日常运行支出和为完成事业发展目标的项目支出。</w:t>
      </w:r>
    </w:p>
    <w:p>
      <w:pPr>
        <w:spacing w:line="580" w:lineRule="exact"/>
        <w:ind w:firstLine="640" w:firstLineChars="200"/>
        <w:rPr>
          <w:rFonts w:ascii="仿宋_GB2312" w:eastAsia="仿宋_GB2312"/>
          <w:sz w:val="32"/>
          <w:szCs w:val="32"/>
        </w:rPr>
      </w:pPr>
      <w:r>
        <w:rPr>
          <w:rFonts w:hint="eastAsia" w:ascii="黑体" w:hAnsi="黑体" w:eastAsia="黑体"/>
          <w:sz w:val="32"/>
          <w:szCs w:val="32"/>
        </w:rPr>
        <w:t>三十六、社会保障和就业支出（类）行政事业单位离退休（款）机关事业单位基本养老保险缴费支出（项）：</w:t>
      </w:r>
      <w:r>
        <w:rPr>
          <w:rFonts w:hint="eastAsia" w:ascii="仿宋_GB2312" w:eastAsia="仿宋_GB2312"/>
          <w:sz w:val="32"/>
          <w:szCs w:val="32"/>
        </w:rPr>
        <w:t>主要反映教育部门机关事业单位养老保险缴费支出。</w:t>
      </w:r>
    </w:p>
    <w:p>
      <w:pPr>
        <w:spacing w:line="580" w:lineRule="exact"/>
        <w:ind w:firstLine="640" w:firstLineChars="200"/>
        <w:rPr>
          <w:rFonts w:ascii="仿宋_GB2312" w:eastAsia="仿宋_GB2312"/>
          <w:sz w:val="32"/>
          <w:szCs w:val="32"/>
        </w:rPr>
      </w:pPr>
      <w:r>
        <w:rPr>
          <w:rFonts w:hint="eastAsia" w:ascii="黑体" w:hAnsi="黑体" w:eastAsia="黑体"/>
          <w:sz w:val="32"/>
          <w:szCs w:val="32"/>
        </w:rPr>
        <w:t>三十七、城乡社区支出（类）其他城乡社区支出（款）其他城乡社区支出（项）：</w:t>
      </w:r>
      <w:r>
        <w:rPr>
          <w:rFonts w:hint="eastAsia" w:ascii="仿宋_GB2312" w:eastAsia="仿宋_GB2312"/>
          <w:sz w:val="32"/>
          <w:szCs w:val="32"/>
        </w:rPr>
        <w:t>主要反映局属学校本年财政安排的基建项目经费。</w:t>
      </w:r>
    </w:p>
    <w:p>
      <w:pPr>
        <w:spacing w:line="580" w:lineRule="exact"/>
        <w:ind w:firstLine="640" w:firstLineChars="200"/>
        <w:rPr>
          <w:rFonts w:ascii="仿宋_GB2312" w:eastAsia="仿宋_GB2312"/>
          <w:sz w:val="32"/>
          <w:szCs w:val="32"/>
        </w:rPr>
      </w:pPr>
      <w:r>
        <w:rPr>
          <w:rFonts w:hint="eastAsia" w:ascii="黑体" w:hAnsi="黑体" w:eastAsia="黑体"/>
          <w:sz w:val="32"/>
          <w:szCs w:val="32"/>
        </w:rPr>
        <w:t>三十八、商业服务业等支出（类）涉外发展服务支出（款）其他涉外发展服务支出（项）：</w:t>
      </w:r>
      <w:r>
        <w:rPr>
          <w:rFonts w:hint="eastAsia" w:ascii="仿宋_GB2312" w:eastAsia="仿宋_GB2312"/>
          <w:sz w:val="32"/>
          <w:szCs w:val="32"/>
        </w:rPr>
        <w:t>主要反映本年</w:t>
      </w:r>
      <w:r>
        <w:rPr>
          <w:rFonts w:ascii="仿宋_GB2312" w:eastAsia="仿宋_GB2312"/>
          <w:sz w:val="32"/>
          <w:szCs w:val="32"/>
        </w:rPr>
        <w:t>财政安排</w:t>
      </w:r>
      <w:r>
        <w:rPr>
          <w:rFonts w:hint="eastAsia" w:ascii="仿宋_GB2312" w:eastAsia="仿宋_GB2312"/>
          <w:sz w:val="32"/>
          <w:szCs w:val="32"/>
        </w:rPr>
        <w:t>招商项目经费。</w:t>
      </w:r>
    </w:p>
    <w:p>
      <w:pPr>
        <w:spacing w:line="580" w:lineRule="exact"/>
        <w:ind w:firstLine="640" w:firstLineChars="200"/>
        <w:rPr>
          <w:rFonts w:ascii="仿宋_GB2312" w:eastAsia="仿宋_GB2312"/>
          <w:sz w:val="32"/>
          <w:szCs w:val="32"/>
        </w:rPr>
      </w:pPr>
      <w:r>
        <w:rPr>
          <w:rFonts w:hint="eastAsia" w:ascii="黑体" w:hAnsi="黑体" w:eastAsia="黑体"/>
          <w:sz w:val="32"/>
          <w:szCs w:val="32"/>
        </w:rPr>
        <w:t>三十九、其他支出（类）其他支出（款）其他支出（项）：</w:t>
      </w:r>
      <w:r>
        <w:rPr>
          <w:rFonts w:hint="eastAsia" w:ascii="仿宋_GB2312" w:eastAsia="仿宋_GB2312"/>
          <w:sz w:val="32"/>
          <w:szCs w:val="32"/>
        </w:rPr>
        <w:t>主要反映北部职教园区和五所高中租赁型人才公寓PPP项目经费。</w:t>
      </w:r>
      <w:bookmarkStart w:id="0" w:name="_GoBack"/>
      <w:bookmarkEnd w:id="0"/>
    </w:p>
    <w:p>
      <w:pPr>
        <w:spacing w:line="580" w:lineRule="exact"/>
        <w:ind w:firstLine="640" w:firstLineChars="200"/>
        <w:rPr>
          <w:rFonts w:ascii="黑体" w:hAnsi="黑体" w:eastAsia="黑体"/>
          <w:sz w:val="32"/>
          <w:szCs w:val="32"/>
        </w:rPr>
      </w:pPr>
    </w:p>
    <w:p>
      <w:pPr>
        <w:spacing w:line="580" w:lineRule="exact"/>
        <w:ind w:firstLine="640" w:firstLineChars="200"/>
        <w:rPr>
          <w:rFonts w:ascii="黑体" w:hAnsi="黑体" w:eastAsia="黑体"/>
          <w:sz w:val="32"/>
          <w:szCs w:val="32"/>
        </w:rPr>
      </w:pPr>
    </w:p>
    <w:p>
      <w:pPr>
        <w:spacing w:line="580" w:lineRule="exact"/>
        <w:rPr>
          <w:rFonts w:ascii="仿宋_GB2312" w:eastAsia="仿宋_GB2312"/>
          <w:sz w:val="32"/>
          <w:szCs w:val="32"/>
        </w:rPr>
      </w:pPr>
    </w:p>
    <w:sectPr>
      <w:pgSz w:w="11906" w:h="16838"/>
      <w:pgMar w:top="1440" w:right="1797" w:bottom="1440" w:left="1797"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A00002EF" w:usb1="4000004B" w:usb2="00000000" w:usb3="00000000" w:csb0="2000009F" w:csb1="00000000"/>
  </w:font>
  <w:font w:name="Calibri">
    <w:panose1 w:val="020F0502020204030204"/>
    <w:charset w:val="00"/>
    <w:family w:val="swiss"/>
    <w:pitch w:val="default"/>
    <w:sig w:usb0="A00002EF" w:usb1="4000207B" w:usb2="00000000" w:usb3="00000000" w:csb0="2000009F" w:csb1="00000000"/>
  </w:font>
  <w:font w:name="Verdana">
    <w:panose1 w:val="020B0604030504040204"/>
    <w:charset w:val="00"/>
    <w:family w:val="swiss"/>
    <w:pitch w:val="default"/>
    <w:sig w:usb0="A10006FF" w:usb1="4000205B" w:usb2="00000010" w:usb3="00000000" w:csb0="2000019F" w:csb1="00000000"/>
  </w:font>
  <w:font w:name="仿宋_GB2312">
    <w:panose1 w:val="02010609030101010101"/>
    <w:charset w:val="86"/>
    <w:family w:val="modern"/>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文星简大标宋">
    <w:altName w:val="Arial Unicode MS"/>
    <w:panose1 w:val="02010609000101010101"/>
    <w:charset w:val="86"/>
    <w:family w:val="modern"/>
    <w:pitch w:val="default"/>
    <w:sig w:usb0="00000000" w:usb1="00000000" w:usb2="00000000" w:usb3="00000000" w:csb0="00000000" w:csb1="00000000"/>
  </w:font>
  <w:font w:name="Courier New">
    <w:panose1 w:val="02070309020205020404"/>
    <w:charset w:val="00"/>
    <w:family w:val="modern"/>
    <w:pitch w:val="default"/>
    <w:sig w:usb0="E0002AFF" w:usb1="C0007843" w:usb2="00000009" w:usb3="00000000" w:csb0="400001FF" w:csb1="FFFF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6"/>
      </w:rPr>
    </w:pPr>
    <w:r>
      <w:fldChar w:fldCharType="begin"/>
    </w:r>
    <w:r>
      <w:rPr>
        <w:rStyle w:val="6"/>
      </w:rPr>
      <w:instrText xml:space="preserve">PAGE  </w:instrText>
    </w:r>
    <w:r>
      <w:fldChar w:fldCharType="separate"/>
    </w:r>
    <w:r>
      <w:rPr>
        <w:rStyle w:val="6"/>
      </w:rPr>
      <w:t>- 41 -</w:t>
    </w:r>
    <w:r>
      <w:fldChar w:fldCharType="end"/>
    </w:r>
  </w:p>
  <w:p>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248601D"/>
    <w:multiLevelType w:val="multilevel"/>
    <w:tmpl w:val="5248601D"/>
    <w:lvl w:ilvl="0" w:tentative="0">
      <w:start w:val="1"/>
      <w:numFmt w:val="japaneseCounting"/>
      <w:lvlText w:val="%1、"/>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57AAD127"/>
    <w:multiLevelType w:val="singleLevel"/>
    <w:tmpl w:val="57AAD127"/>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172A27"/>
    <w:rsid w:val="00003283"/>
    <w:rsid w:val="000037A0"/>
    <w:rsid w:val="00007DC9"/>
    <w:rsid w:val="0001068F"/>
    <w:rsid w:val="00010FE6"/>
    <w:rsid w:val="00016478"/>
    <w:rsid w:val="00017BE6"/>
    <w:rsid w:val="00021595"/>
    <w:rsid w:val="000217B6"/>
    <w:rsid w:val="00023ACF"/>
    <w:rsid w:val="000262D1"/>
    <w:rsid w:val="00031E72"/>
    <w:rsid w:val="00031FDC"/>
    <w:rsid w:val="00033550"/>
    <w:rsid w:val="000348C2"/>
    <w:rsid w:val="000368B1"/>
    <w:rsid w:val="00037B20"/>
    <w:rsid w:val="00044DCC"/>
    <w:rsid w:val="00045A58"/>
    <w:rsid w:val="00046A75"/>
    <w:rsid w:val="00047D02"/>
    <w:rsid w:val="000531CC"/>
    <w:rsid w:val="00053C6A"/>
    <w:rsid w:val="00057C39"/>
    <w:rsid w:val="00057D1D"/>
    <w:rsid w:val="000679A9"/>
    <w:rsid w:val="00070D28"/>
    <w:rsid w:val="00074D65"/>
    <w:rsid w:val="00076E25"/>
    <w:rsid w:val="00077098"/>
    <w:rsid w:val="0008135F"/>
    <w:rsid w:val="00082097"/>
    <w:rsid w:val="00087607"/>
    <w:rsid w:val="00090C14"/>
    <w:rsid w:val="000A0305"/>
    <w:rsid w:val="000A0D90"/>
    <w:rsid w:val="000A2755"/>
    <w:rsid w:val="000A32E5"/>
    <w:rsid w:val="000A7E71"/>
    <w:rsid w:val="000B0216"/>
    <w:rsid w:val="000B02E0"/>
    <w:rsid w:val="000B06A6"/>
    <w:rsid w:val="000B71F9"/>
    <w:rsid w:val="000C7459"/>
    <w:rsid w:val="000C74E1"/>
    <w:rsid w:val="000D0803"/>
    <w:rsid w:val="000D1878"/>
    <w:rsid w:val="000D31C7"/>
    <w:rsid w:val="000D5383"/>
    <w:rsid w:val="000D7769"/>
    <w:rsid w:val="000D7B27"/>
    <w:rsid w:val="000E2130"/>
    <w:rsid w:val="000E37E6"/>
    <w:rsid w:val="000E41B0"/>
    <w:rsid w:val="000E76A2"/>
    <w:rsid w:val="000F2160"/>
    <w:rsid w:val="000F2903"/>
    <w:rsid w:val="000F406F"/>
    <w:rsid w:val="000F5F60"/>
    <w:rsid w:val="000F63FB"/>
    <w:rsid w:val="000F6B1F"/>
    <w:rsid w:val="000F75A5"/>
    <w:rsid w:val="00100FDC"/>
    <w:rsid w:val="00102DF0"/>
    <w:rsid w:val="00107432"/>
    <w:rsid w:val="00110214"/>
    <w:rsid w:val="00111472"/>
    <w:rsid w:val="001149AF"/>
    <w:rsid w:val="00114AFE"/>
    <w:rsid w:val="00115F31"/>
    <w:rsid w:val="00117FD5"/>
    <w:rsid w:val="001247D3"/>
    <w:rsid w:val="0012556E"/>
    <w:rsid w:val="00125BFB"/>
    <w:rsid w:val="0013247D"/>
    <w:rsid w:val="00133784"/>
    <w:rsid w:val="0013508F"/>
    <w:rsid w:val="0014481D"/>
    <w:rsid w:val="0015319D"/>
    <w:rsid w:val="00155BA2"/>
    <w:rsid w:val="00156352"/>
    <w:rsid w:val="0015766C"/>
    <w:rsid w:val="0016083B"/>
    <w:rsid w:val="00163788"/>
    <w:rsid w:val="0016381D"/>
    <w:rsid w:val="00167985"/>
    <w:rsid w:val="00167F6E"/>
    <w:rsid w:val="00170426"/>
    <w:rsid w:val="0017132B"/>
    <w:rsid w:val="00172A27"/>
    <w:rsid w:val="001776CE"/>
    <w:rsid w:val="001823F0"/>
    <w:rsid w:val="00184019"/>
    <w:rsid w:val="001865C8"/>
    <w:rsid w:val="00186D80"/>
    <w:rsid w:val="0019244E"/>
    <w:rsid w:val="00193842"/>
    <w:rsid w:val="00195E4A"/>
    <w:rsid w:val="001961AE"/>
    <w:rsid w:val="001A0EBF"/>
    <w:rsid w:val="001B062F"/>
    <w:rsid w:val="001B293E"/>
    <w:rsid w:val="001B2B4D"/>
    <w:rsid w:val="001B60EA"/>
    <w:rsid w:val="001B65A9"/>
    <w:rsid w:val="001B687A"/>
    <w:rsid w:val="001C37EC"/>
    <w:rsid w:val="001C444B"/>
    <w:rsid w:val="001C5454"/>
    <w:rsid w:val="001C5FD0"/>
    <w:rsid w:val="001C6FF9"/>
    <w:rsid w:val="001C7171"/>
    <w:rsid w:val="001D09B8"/>
    <w:rsid w:val="001D1089"/>
    <w:rsid w:val="001D197E"/>
    <w:rsid w:val="001E24D4"/>
    <w:rsid w:val="001E24EC"/>
    <w:rsid w:val="001E4025"/>
    <w:rsid w:val="001E457C"/>
    <w:rsid w:val="001F0816"/>
    <w:rsid w:val="001F65C5"/>
    <w:rsid w:val="001F789E"/>
    <w:rsid w:val="00200D15"/>
    <w:rsid w:val="002022B9"/>
    <w:rsid w:val="0020598C"/>
    <w:rsid w:val="00210B61"/>
    <w:rsid w:val="002111EE"/>
    <w:rsid w:val="0021146E"/>
    <w:rsid w:val="00211F82"/>
    <w:rsid w:val="002122D4"/>
    <w:rsid w:val="002139C7"/>
    <w:rsid w:val="00213DC0"/>
    <w:rsid w:val="00221DFE"/>
    <w:rsid w:val="00224A07"/>
    <w:rsid w:val="00226C5A"/>
    <w:rsid w:val="00227ED0"/>
    <w:rsid w:val="00231B86"/>
    <w:rsid w:val="00231EBE"/>
    <w:rsid w:val="00232600"/>
    <w:rsid w:val="00232FE3"/>
    <w:rsid w:val="0024268A"/>
    <w:rsid w:val="00253115"/>
    <w:rsid w:val="0026303E"/>
    <w:rsid w:val="00265A3A"/>
    <w:rsid w:val="002661EC"/>
    <w:rsid w:val="002669B6"/>
    <w:rsid w:val="00270648"/>
    <w:rsid w:val="002713E0"/>
    <w:rsid w:val="00272A85"/>
    <w:rsid w:val="00274233"/>
    <w:rsid w:val="002770E4"/>
    <w:rsid w:val="00282C2B"/>
    <w:rsid w:val="00283947"/>
    <w:rsid w:val="00291019"/>
    <w:rsid w:val="00294BC6"/>
    <w:rsid w:val="00294D2F"/>
    <w:rsid w:val="002A412F"/>
    <w:rsid w:val="002B09AE"/>
    <w:rsid w:val="002B0AE3"/>
    <w:rsid w:val="002B66B0"/>
    <w:rsid w:val="002B7DA7"/>
    <w:rsid w:val="002C47BC"/>
    <w:rsid w:val="002D0011"/>
    <w:rsid w:val="002D1809"/>
    <w:rsid w:val="002D35C0"/>
    <w:rsid w:val="002D38E5"/>
    <w:rsid w:val="002D486B"/>
    <w:rsid w:val="002D748B"/>
    <w:rsid w:val="002E5BA7"/>
    <w:rsid w:val="002F0219"/>
    <w:rsid w:val="002F6E69"/>
    <w:rsid w:val="00301BBA"/>
    <w:rsid w:val="0030390E"/>
    <w:rsid w:val="0030618F"/>
    <w:rsid w:val="00311702"/>
    <w:rsid w:val="0031481E"/>
    <w:rsid w:val="00316B3F"/>
    <w:rsid w:val="003171C0"/>
    <w:rsid w:val="003207A7"/>
    <w:rsid w:val="00321983"/>
    <w:rsid w:val="00322604"/>
    <w:rsid w:val="00323311"/>
    <w:rsid w:val="00323FD0"/>
    <w:rsid w:val="00324F4C"/>
    <w:rsid w:val="00326A28"/>
    <w:rsid w:val="00331F0D"/>
    <w:rsid w:val="00335733"/>
    <w:rsid w:val="003369FE"/>
    <w:rsid w:val="00341E6C"/>
    <w:rsid w:val="003439FD"/>
    <w:rsid w:val="00344C60"/>
    <w:rsid w:val="00345092"/>
    <w:rsid w:val="00345DCF"/>
    <w:rsid w:val="003466B0"/>
    <w:rsid w:val="00346C30"/>
    <w:rsid w:val="0034701E"/>
    <w:rsid w:val="00350E02"/>
    <w:rsid w:val="00354A29"/>
    <w:rsid w:val="0036187C"/>
    <w:rsid w:val="00362A69"/>
    <w:rsid w:val="00363B33"/>
    <w:rsid w:val="00364D86"/>
    <w:rsid w:val="00366644"/>
    <w:rsid w:val="00366A03"/>
    <w:rsid w:val="00367C74"/>
    <w:rsid w:val="003718AB"/>
    <w:rsid w:val="003733C9"/>
    <w:rsid w:val="00373AEC"/>
    <w:rsid w:val="00374547"/>
    <w:rsid w:val="00376739"/>
    <w:rsid w:val="003772AC"/>
    <w:rsid w:val="0038681E"/>
    <w:rsid w:val="00386AB9"/>
    <w:rsid w:val="00387C92"/>
    <w:rsid w:val="00387E37"/>
    <w:rsid w:val="00390ABE"/>
    <w:rsid w:val="003913E3"/>
    <w:rsid w:val="00392032"/>
    <w:rsid w:val="003A0A2C"/>
    <w:rsid w:val="003B32A7"/>
    <w:rsid w:val="003B3F67"/>
    <w:rsid w:val="003B4301"/>
    <w:rsid w:val="003B71FC"/>
    <w:rsid w:val="003C0B34"/>
    <w:rsid w:val="003C35F1"/>
    <w:rsid w:val="003C6496"/>
    <w:rsid w:val="003D56BB"/>
    <w:rsid w:val="003D61D5"/>
    <w:rsid w:val="003D7461"/>
    <w:rsid w:val="003E4711"/>
    <w:rsid w:val="003E5556"/>
    <w:rsid w:val="003E5D24"/>
    <w:rsid w:val="003E7375"/>
    <w:rsid w:val="00400E2C"/>
    <w:rsid w:val="004031BC"/>
    <w:rsid w:val="00405D47"/>
    <w:rsid w:val="00412B6A"/>
    <w:rsid w:val="00413BC6"/>
    <w:rsid w:val="00416379"/>
    <w:rsid w:val="00435C0A"/>
    <w:rsid w:val="00440A47"/>
    <w:rsid w:val="00443328"/>
    <w:rsid w:val="00445E78"/>
    <w:rsid w:val="00446537"/>
    <w:rsid w:val="0044702C"/>
    <w:rsid w:val="00454FBB"/>
    <w:rsid w:val="00455FF4"/>
    <w:rsid w:val="004607FD"/>
    <w:rsid w:val="00462348"/>
    <w:rsid w:val="00465436"/>
    <w:rsid w:val="00467431"/>
    <w:rsid w:val="004747CA"/>
    <w:rsid w:val="00475CEF"/>
    <w:rsid w:val="00475EDF"/>
    <w:rsid w:val="0047767A"/>
    <w:rsid w:val="004830CB"/>
    <w:rsid w:val="0048482E"/>
    <w:rsid w:val="00484CC0"/>
    <w:rsid w:val="00484D66"/>
    <w:rsid w:val="00485FDE"/>
    <w:rsid w:val="00490C6B"/>
    <w:rsid w:val="00492973"/>
    <w:rsid w:val="004A6E98"/>
    <w:rsid w:val="004B0533"/>
    <w:rsid w:val="004B7583"/>
    <w:rsid w:val="004C1C7B"/>
    <w:rsid w:val="004C43C7"/>
    <w:rsid w:val="004C6442"/>
    <w:rsid w:val="004C6B98"/>
    <w:rsid w:val="004C7193"/>
    <w:rsid w:val="004C7321"/>
    <w:rsid w:val="004D043F"/>
    <w:rsid w:val="004D225B"/>
    <w:rsid w:val="004D56E2"/>
    <w:rsid w:val="004E3E89"/>
    <w:rsid w:val="004F01C6"/>
    <w:rsid w:val="004F2701"/>
    <w:rsid w:val="004F2B79"/>
    <w:rsid w:val="004F6772"/>
    <w:rsid w:val="0050040E"/>
    <w:rsid w:val="00500863"/>
    <w:rsid w:val="00500AA2"/>
    <w:rsid w:val="005011D4"/>
    <w:rsid w:val="00503114"/>
    <w:rsid w:val="005039A7"/>
    <w:rsid w:val="00504936"/>
    <w:rsid w:val="00505B64"/>
    <w:rsid w:val="00506738"/>
    <w:rsid w:val="005109A3"/>
    <w:rsid w:val="00512FF3"/>
    <w:rsid w:val="00522F0F"/>
    <w:rsid w:val="005233EC"/>
    <w:rsid w:val="0053096A"/>
    <w:rsid w:val="0053153E"/>
    <w:rsid w:val="005344D3"/>
    <w:rsid w:val="00536282"/>
    <w:rsid w:val="005373CB"/>
    <w:rsid w:val="0053776B"/>
    <w:rsid w:val="00540F27"/>
    <w:rsid w:val="00543249"/>
    <w:rsid w:val="0054412E"/>
    <w:rsid w:val="0054677A"/>
    <w:rsid w:val="00547154"/>
    <w:rsid w:val="00551ED0"/>
    <w:rsid w:val="00555B87"/>
    <w:rsid w:val="00557C9D"/>
    <w:rsid w:val="00561B5E"/>
    <w:rsid w:val="005646A8"/>
    <w:rsid w:val="00565412"/>
    <w:rsid w:val="0056549B"/>
    <w:rsid w:val="00567075"/>
    <w:rsid w:val="00574539"/>
    <w:rsid w:val="00574586"/>
    <w:rsid w:val="005755A8"/>
    <w:rsid w:val="00576E88"/>
    <w:rsid w:val="00577962"/>
    <w:rsid w:val="005831C6"/>
    <w:rsid w:val="00585BC9"/>
    <w:rsid w:val="0059306C"/>
    <w:rsid w:val="00594782"/>
    <w:rsid w:val="00594ACF"/>
    <w:rsid w:val="005967A0"/>
    <w:rsid w:val="005A1E8F"/>
    <w:rsid w:val="005A21B3"/>
    <w:rsid w:val="005B024D"/>
    <w:rsid w:val="005B2496"/>
    <w:rsid w:val="005B297E"/>
    <w:rsid w:val="005B2B10"/>
    <w:rsid w:val="005C18B7"/>
    <w:rsid w:val="005C1C2D"/>
    <w:rsid w:val="005C1FA3"/>
    <w:rsid w:val="005C3252"/>
    <w:rsid w:val="005D4E72"/>
    <w:rsid w:val="005D599A"/>
    <w:rsid w:val="005D6B39"/>
    <w:rsid w:val="005E134E"/>
    <w:rsid w:val="005E16E7"/>
    <w:rsid w:val="005E36BC"/>
    <w:rsid w:val="005E6413"/>
    <w:rsid w:val="005F0341"/>
    <w:rsid w:val="005F07F8"/>
    <w:rsid w:val="005F2D23"/>
    <w:rsid w:val="005F3F69"/>
    <w:rsid w:val="005F3F70"/>
    <w:rsid w:val="005F4BA3"/>
    <w:rsid w:val="005F7113"/>
    <w:rsid w:val="006007ED"/>
    <w:rsid w:val="00604C27"/>
    <w:rsid w:val="00613A94"/>
    <w:rsid w:val="00617765"/>
    <w:rsid w:val="00620166"/>
    <w:rsid w:val="006221DE"/>
    <w:rsid w:val="00623432"/>
    <w:rsid w:val="006238B2"/>
    <w:rsid w:val="00630A0B"/>
    <w:rsid w:val="006330B8"/>
    <w:rsid w:val="00636296"/>
    <w:rsid w:val="00640B31"/>
    <w:rsid w:val="00645818"/>
    <w:rsid w:val="00645C71"/>
    <w:rsid w:val="00653A44"/>
    <w:rsid w:val="0065588E"/>
    <w:rsid w:val="00665DCB"/>
    <w:rsid w:val="00667CBE"/>
    <w:rsid w:val="00671D18"/>
    <w:rsid w:val="00675CA1"/>
    <w:rsid w:val="00676472"/>
    <w:rsid w:val="00683DFA"/>
    <w:rsid w:val="006846DB"/>
    <w:rsid w:val="00686B6E"/>
    <w:rsid w:val="00692D3F"/>
    <w:rsid w:val="00693F70"/>
    <w:rsid w:val="00694C54"/>
    <w:rsid w:val="0069671E"/>
    <w:rsid w:val="006A0235"/>
    <w:rsid w:val="006A50AB"/>
    <w:rsid w:val="006A54D4"/>
    <w:rsid w:val="006A5E5E"/>
    <w:rsid w:val="006A6D5B"/>
    <w:rsid w:val="006A728B"/>
    <w:rsid w:val="006B06A7"/>
    <w:rsid w:val="006B2173"/>
    <w:rsid w:val="006B5892"/>
    <w:rsid w:val="006B64AF"/>
    <w:rsid w:val="006C2EC5"/>
    <w:rsid w:val="006C3613"/>
    <w:rsid w:val="006C366E"/>
    <w:rsid w:val="006C48DF"/>
    <w:rsid w:val="006C4B80"/>
    <w:rsid w:val="006D2734"/>
    <w:rsid w:val="006D5998"/>
    <w:rsid w:val="006D6890"/>
    <w:rsid w:val="006D71BB"/>
    <w:rsid w:val="006E0A8D"/>
    <w:rsid w:val="006E3ADD"/>
    <w:rsid w:val="006E5339"/>
    <w:rsid w:val="006F28B3"/>
    <w:rsid w:val="006F34A2"/>
    <w:rsid w:val="006F40E4"/>
    <w:rsid w:val="006F4106"/>
    <w:rsid w:val="006F7571"/>
    <w:rsid w:val="007023BD"/>
    <w:rsid w:val="00703E1B"/>
    <w:rsid w:val="00705024"/>
    <w:rsid w:val="007065CF"/>
    <w:rsid w:val="00706CC7"/>
    <w:rsid w:val="00713691"/>
    <w:rsid w:val="00713D8F"/>
    <w:rsid w:val="00714DB0"/>
    <w:rsid w:val="007155F8"/>
    <w:rsid w:val="00715A52"/>
    <w:rsid w:val="00720089"/>
    <w:rsid w:val="007249CC"/>
    <w:rsid w:val="00731F18"/>
    <w:rsid w:val="007348EB"/>
    <w:rsid w:val="00735892"/>
    <w:rsid w:val="007363D5"/>
    <w:rsid w:val="00740894"/>
    <w:rsid w:val="0074314A"/>
    <w:rsid w:val="00746456"/>
    <w:rsid w:val="00747FD9"/>
    <w:rsid w:val="007538FE"/>
    <w:rsid w:val="00753900"/>
    <w:rsid w:val="00755A8E"/>
    <w:rsid w:val="00756EBC"/>
    <w:rsid w:val="00760C8A"/>
    <w:rsid w:val="00763A4E"/>
    <w:rsid w:val="007678DB"/>
    <w:rsid w:val="0077070A"/>
    <w:rsid w:val="007732EC"/>
    <w:rsid w:val="00774489"/>
    <w:rsid w:val="0077775C"/>
    <w:rsid w:val="00784D97"/>
    <w:rsid w:val="00785894"/>
    <w:rsid w:val="0078718E"/>
    <w:rsid w:val="00791675"/>
    <w:rsid w:val="00792E30"/>
    <w:rsid w:val="0079788A"/>
    <w:rsid w:val="007A0649"/>
    <w:rsid w:val="007A48A4"/>
    <w:rsid w:val="007A75E1"/>
    <w:rsid w:val="007B2ABD"/>
    <w:rsid w:val="007B2AFC"/>
    <w:rsid w:val="007B5587"/>
    <w:rsid w:val="007B5B83"/>
    <w:rsid w:val="007B6D81"/>
    <w:rsid w:val="007C2DA9"/>
    <w:rsid w:val="007D0905"/>
    <w:rsid w:val="007D2D78"/>
    <w:rsid w:val="007D2EFF"/>
    <w:rsid w:val="007E068D"/>
    <w:rsid w:val="007E1595"/>
    <w:rsid w:val="007E250F"/>
    <w:rsid w:val="007E76E9"/>
    <w:rsid w:val="007F197F"/>
    <w:rsid w:val="007F4E22"/>
    <w:rsid w:val="00800344"/>
    <w:rsid w:val="008003DF"/>
    <w:rsid w:val="00805D6F"/>
    <w:rsid w:val="00805E9E"/>
    <w:rsid w:val="00810EA6"/>
    <w:rsid w:val="00812E17"/>
    <w:rsid w:val="00814B7C"/>
    <w:rsid w:val="00814DA0"/>
    <w:rsid w:val="008151FA"/>
    <w:rsid w:val="008165E2"/>
    <w:rsid w:val="00820FFC"/>
    <w:rsid w:val="00823109"/>
    <w:rsid w:val="008257E6"/>
    <w:rsid w:val="00831F19"/>
    <w:rsid w:val="008377F0"/>
    <w:rsid w:val="008432A9"/>
    <w:rsid w:val="00843D50"/>
    <w:rsid w:val="00843FF0"/>
    <w:rsid w:val="008470E2"/>
    <w:rsid w:val="00853EFF"/>
    <w:rsid w:val="00874270"/>
    <w:rsid w:val="00875837"/>
    <w:rsid w:val="0087660C"/>
    <w:rsid w:val="00876ED2"/>
    <w:rsid w:val="00877705"/>
    <w:rsid w:val="00881A1C"/>
    <w:rsid w:val="0088746A"/>
    <w:rsid w:val="0089022B"/>
    <w:rsid w:val="008A3A8A"/>
    <w:rsid w:val="008A5379"/>
    <w:rsid w:val="008A6293"/>
    <w:rsid w:val="008B2D73"/>
    <w:rsid w:val="008B4D3E"/>
    <w:rsid w:val="008C04AD"/>
    <w:rsid w:val="008C36CB"/>
    <w:rsid w:val="008C697A"/>
    <w:rsid w:val="008D1A06"/>
    <w:rsid w:val="008D1BEE"/>
    <w:rsid w:val="008D7064"/>
    <w:rsid w:val="008D7A9D"/>
    <w:rsid w:val="008E1BD4"/>
    <w:rsid w:val="008E2141"/>
    <w:rsid w:val="008E3D87"/>
    <w:rsid w:val="008E5BA4"/>
    <w:rsid w:val="00901525"/>
    <w:rsid w:val="009104D6"/>
    <w:rsid w:val="009205D2"/>
    <w:rsid w:val="009205EB"/>
    <w:rsid w:val="00921B10"/>
    <w:rsid w:val="009220D0"/>
    <w:rsid w:val="0092312F"/>
    <w:rsid w:val="0092688A"/>
    <w:rsid w:val="00931531"/>
    <w:rsid w:val="00931E89"/>
    <w:rsid w:val="00934D21"/>
    <w:rsid w:val="00935267"/>
    <w:rsid w:val="009353FA"/>
    <w:rsid w:val="009560E0"/>
    <w:rsid w:val="00963ED2"/>
    <w:rsid w:val="00965BEF"/>
    <w:rsid w:val="00965E5C"/>
    <w:rsid w:val="009741DF"/>
    <w:rsid w:val="0097607F"/>
    <w:rsid w:val="0097650F"/>
    <w:rsid w:val="009774BB"/>
    <w:rsid w:val="00980122"/>
    <w:rsid w:val="00987810"/>
    <w:rsid w:val="0099140F"/>
    <w:rsid w:val="009915DE"/>
    <w:rsid w:val="0099689B"/>
    <w:rsid w:val="009971C2"/>
    <w:rsid w:val="009A39EB"/>
    <w:rsid w:val="009A39FE"/>
    <w:rsid w:val="009A3A32"/>
    <w:rsid w:val="009A3A68"/>
    <w:rsid w:val="009A4C19"/>
    <w:rsid w:val="009A62F8"/>
    <w:rsid w:val="009B0E03"/>
    <w:rsid w:val="009B6761"/>
    <w:rsid w:val="009B7616"/>
    <w:rsid w:val="009C2E7D"/>
    <w:rsid w:val="009C4325"/>
    <w:rsid w:val="009C4D56"/>
    <w:rsid w:val="009C566B"/>
    <w:rsid w:val="009D19A6"/>
    <w:rsid w:val="009D3668"/>
    <w:rsid w:val="009D7733"/>
    <w:rsid w:val="009E0A44"/>
    <w:rsid w:val="009E1EC7"/>
    <w:rsid w:val="009E2932"/>
    <w:rsid w:val="009E60A7"/>
    <w:rsid w:val="009F0B1D"/>
    <w:rsid w:val="009F213B"/>
    <w:rsid w:val="009F5CC6"/>
    <w:rsid w:val="00A0055B"/>
    <w:rsid w:val="00A121E0"/>
    <w:rsid w:val="00A23431"/>
    <w:rsid w:val="00A30456"/>
    <w:rsid w:val="00A33173"/>
    <w:rsid w:val="00A44FD1"/>
    <w:rsid w:val="00A63459"/>
    <w:rsid w:val="00A63BB9"/>
    <w:rsid w:val="00A64E36"/>
    <w:rsid w:val="00A65852"/>
    <w:rsid w:val="00A66FB6"/>
    <w:rsid w:val="00A674AA"/>
    <w:rsid w:val="00A71E40"/>
    <w:rsid w:val="00A72282"/>
    <w:rsid w:val="00A72C5C"/>
    <w:rsid w:val="00A8145E"/>
    <w:rsid w:val="00A839C1"/>
    <w:rsid w:val="00A843B6"/>
    <w:rsid w:val="00A8471B"/>
    <w:rsid w:val="00A86088"/>
    <w:rsid w:val="00A903A0"/>
    <w:rsid w:val="00A91F76"/>
    <w:rsid w:val="00A92890"/>
    <w:rsid w:val="00A92D71"/>
    <w:rsid w:val="00A943AB"/>
    <w:rsid w:val="00A970C8"/>
    <w:rsid w:val="00AA271B"/>
    <w:rsid w:val="00AA3273"/>
    <w:rsid w:val="00AA5368"/>
    <w:rsid w:val="00AA7CCE"/>
    <w:rsid w:val="00AB28FC"/>
    <w:rsid w:val="00AB2B45"/>
    <w:rsid w:val="00AB2E00"/>
    <w:rsid w:val="00AC24E3"/>
    <w:rsid w:val="00AC5C42"/>
    <w:rsid w:val="00AD00F4"/>
    <w:rsid w:val="00AE2F92"/>
    <w:rsid w:val="00AF1426"/>
    <w:rsid w:val="00AF167A"/>
    <w:rsid w:val="00AF55FE"/>
    <w:rsid w:val="00B0120F"/>
    <w:rsid w:val="00B05591"/>
    <w:rsid w:val="00B062C2"/>
    <w:rsid w:val="00B06810"/>
    <w:rsid w:val="00B06A8C"/>
    <w:rsid w:val="00B15167"/>
    <w:rsid w:val="00B165E0"/>
    <w:rsid w:val="00B17819"/>
    <w:rsid w:val="00B17A76"/>
    <w:rsid w:val="00B25757"/>
    <w:rsid w:val="00B271A4"/>
    <w:rsid w:val="00B3021D"/>
    <w:rsid w:val="00B414AC"/>
    <w:rsid w:val="00B41D30"/>
    <w:rsid w:val="00B42634"/>
    <w:rsid w:val="00B44470"/>
    <w:rsid w:val="00B46081"/>
    <w:rsid w:val="00B51DA0"/>
    <w:rsid w:val="00B51E38"/>
    <w:rsid w:val="00B52084"/>
    <w:rsid w:val="00B52E49"/>
    <w:rsid w:val="00B53C30"/>
    <w:rsid w:val="00B55BB0"/>
    <w:rsid w:val="00B56144"/>
    <w:rsid w:val="00B61CF6"/>
    <w:rsid w:val="00B6782E"/>
    <w:rsid w:val="00B709E2"/>
    <w:rsid w:val="00B709FC"/>
    <w:rsid w:val="00B70F34"/>
    <w:rsid w:val="00B76536"/>
    <w:rsid w:val="00B8067A"/>
    <w:rsid w:val="00B81B7C"/>
    <w:rsid w:val="00B9092C"/>
    <w:rsid w:val="00B92962"/>
    <w:rsid w:val="00B94728"/>
    <w:rsid w:val="00B96A90"/>
    <w:rsid w:val="00BA7713"/>
    <w:rsid w:val="00BB44A5"/>
    <w:rsid w:val="00BB62C8"/>
    <w:rsid w:val="00BC40F0"/>
    <w:rsid w:val="00BD111A"/>
    <w:rsid w:val="00BD719C"/>
    <w:rsid w:val="00BE1BE1"/>
    <w:rsid w:val="00BE3135"/>
    <w:rsid w:val="00BE4A0B"/>
    <w:rsid w:val="00BF0368"/>
    <w:rsid w:val="00C05A9B"/>
    <w:rsid w:val="00C06471"/>
    <w:rsid w:val="00C06766"/>
    <w:rsid w:val="00C07719"/>
    <w:rsid w:val="00C306DB"/>
    <w:rsid w:val="00C3076E"/>
    <w:rsid w:val="00C35D5D"/>
    <w:rsid w:val="00C364D6"/>
    <w:rsid w:val="00C37E3F"/>
    <w:rsid w:val="00C42808"/>
    <w:rsid w:val="00C434B0"/>
    <w:rsid w:val="00C515BF"/>
    <w:rsid w:val="00C52A1F"/>
    <w:rsid w:val="00C54F09"/>
    <w:rsid w:val="00C567A3"/>
    <w:rsid w:val="00C57211"/>
    <w:rsid w:val="00C61290"/>
    <w:rsid w:val="00C63755"/>
    <w:rsid w:val="00C703EA"/>
    <w:rsid w:val="00C7560F"/>
    <w:rsid w:val="00C76465"/>
    <w:rsid w:val="00C81BF7"/>
    <w:rsid w:val="00C82757"/>
    <w:rsid w:val="00C83FDD"/>
    <w:rsid w:val="00C85D8A"/>
    <w:rsid w:val="00C863D4"/>
    <w:rsid w:val="00C869AC"/>
    <w:rsid w:val="00CA0A54"/>
    <w:rsid w:val="00CB09CA"/>
    <w:rsid w:val="00CB0C69"/>
    <w:rsid w:val="00CB1D6E"/>
    <w:rsid w:val="00CB3256"/>
    <w:rsid w:val="00CC2894"/>
    <w:rsid w:val="00CC4038"/>
    <w:rsid w:val="00CC5805"/>
    <w:rsid w:val="00CD0F4A"/>
    <w:rsid w:val="00CD3757"/>
    <w:rsid w:val="00CE0139"/>
    <w:rsid w:val="00CE01D8"/>
    <w:rsid w:val="00CF15F8"/>
    <w:rsid w:val="00CF564F"/>
    <w:rsid w:val="00CF652E"/>
    <w:rsid w:val="00D06B98"/>
    <w:rsid w:val="00D16989"/>
    <w:rsid w:val="00D1793C"/>
    <w:rsid w:val="00D2442B"/>
    <w:rsid w:val="00D27621"/>
    <w:rsid w:val="00D30E34"/>
    <w:rsid w:val="00D318F4"/>
    <w:rsid w:val="00D36154"/>
    <w:rsid w:val="00D366B3"/>
    <w:rsid w:val="00D40ECB"/>
    <w:rsid w:val="00D46B74"/>
    <w:rsid w:val="00D51120"/>
    <w:rsid w:val="00D52159"/>
    <w:rsid w:val="00D548A9"/>
    <w:rsid w:val="00D55F96"/>
    <w:rsid w:val="00D63781"/>
    <w:rsid w:val="00D672A9"/>
    <w:rsid w:val="00D67539"/>
    <w:rsid w:val="00D746B3"/>
    <w:rsid w:val="00D746FC"/>
    <w:rsid w:val="00D76590"/>
    <w:rsid w:val="00D81063"/>
    <w:rsid w:val="00D8759A"/>
    <w:rsid w:val="00D87648"/>
    <w:rsid w:val="00D9080F"/>
    <w:rsid w:val="00D9327A"/>
    <w:rsid w:val="00D93A23"/>
    <w:rsid w:val="00D97195"/>
    <w:rsid w:val="00D971B4"/>
    <w:rsid w:val="00DA0B8E"/>
    <w:rsid w:val="00DA4FA5"/>
    <w:rsid w:val="00DB6188"/>
    <w:rsid w:val="00DB6874"/>
    <w:rsid w:val="00DB72F2"/>
    <w:rsid w:val="00DC2CC1"/>
    <w:rsid w:val="00DC7D38"/>
    <w:rsid w:val="00DD075B"/>
    <w:rsid w:val="00DD2032"/>
    <w:rsid w:val="00DD56FE"/>
    <w:rsid w:val="00DD667B"/>
    <w:rsid w:val="00DD6CC2"/>
    <w:rsid w:val="00DE332A"/>
    <w:rsid w:val="00DE3C7F"/>
    <w:rsid w:val="00DF3395"/>
    <w:rsid w:val="00DF74F0"/>
    <w:rsid w:val="00E00E61"/>
    <w:rsid w:val="00E0315F"/>
    <w:rsid w:val="00E03A96"/>
    <w:rsid w:val="00E13F48"/>
    <w:rsid w:val="00E1422B"/>
    <w:rsid w:val="00E23138"/>
    <w:rsid w:val="00E24842"/>
    <w:rsid w:val="00E25D51"/>
    <w:rsid w:val="00E26850"/>
    <w:rsid w:val="00E2757E"/>
    <w:rsid w:val="00E31164"/>
    <w:rsid w:val="00E32F8F"/>
    <w:rsid w:val="00E37026"/>
    <w:rsid w:val="00E41EB6"/>
    <w:rsid w:val="00E43BF9"/>
    <w:rsid w:val="00E46181"/>
    <w:rsid w:val="00E50120"/>
    <w:rsid w:val="00E558F4"/>
    <w:rsid w:val="00E634E2"/>
    <w:rsid w:val="00E63748"/>
    <w:rsid w:val="00E65E82"/>
    <w:rsid w:val="00E661C3"/>
    <w:rsid w:val="00E661DB"/>
    <w:rsid w:val="00E708A1"/>
    <w:rsid w:val="00E71BA9"/>
    <w:rsid w:val="00E71CE8"/>
    <w:rsid w:val="00E771A2"/>
    <w:rsid w:val="00E80BAB"/>
    <w:rsid w:val="00E80D85"/>
    <w:rsid w:val="00E83CB4"/>
    <w:rsid w:val="00E86A5F"/>
    <w:rsid w:val="00E873C2"/>
    <w:rsid w:val="00E91B7F"/>
    <w:rsid w:val="00EA03C9"/>
    <w:rsid w:val="00EA1878"/>
    <w:rsid w:val="00EA3766"/>
    <w:rsid w:val="00EA3C4D"/>
    <w:rsid w:val="00EB21BF"/>
    <w:rsid w:val="00EB25B2"/>
    <w:rsid w:val="00EB2665"/>
    <w:rsid w:val="00EB79FB"/>
    <w:rsid w:val="00EC1554"/>
    <w:rsid w:val="00EC2025"/>
    <w:rsid w:val="00EC3566"/>
    <w:rsid w:val="00EC3CC3"/>
    <w:rsid w:val="00EC5B08"/>
    <w:rsid w:val="00EC71D7"/>
    <w:rsid w:val="00EC7B9C"/>
    <w:rsid w:val="00ED2A40"/>
    <w:rsid w:val="00ED3294"/>
    <w:rsid w:val="00ED56EF"/>
    <w:rsid w:val="00ED6A00"/>
    <w:rsid w:val="00EE0E5C"/>
    <w:rsid w:val="00EE115B"/>
    <w:rsid w:val="00EE413D"/>
    <w:rsid w:val="00EE5778"/>
    <w:rsid w:val="00EE6CC3"/>
    <w:rsid w:val="00EE78E1"/>
    <w:rsid w:val="00EF11F9"/>
    <w:rsid w:val="00F00C18"/>
    <w:rsid w:val="00F012AE"/>
    <w:rsid w:val="00F03A19"/>
    <w:rsid w:val="00F04DC6"/>
    <w:rsid w:val="00F079BE"/>
    <w:rsid w:val="00F07D0D"/>
    <w:rsid w:val="00F104D7"/>
    <w:rsid w:val="00F25922"/>
    <w:rsid w:val="00F2686A"/>
    <w:rsid w:val="00F277B2"/>
    <w:rsid w:val="00F32407"/>
    <w:rsid w:val="00F37E69"/>
    <w:rsid w:val="00F40678"/>
    <w:rsid w:val="00F408D6"/>
    <w:rsid w:val="00F50C7B"/>
    <w:rsid w:val="00F523E5"/>
    <w:rsid w:val="00F54182"/>
    <w:rsid w:val="00F55939"/>
    <w:rsid w:val="00F644CA"/>
    <w:rsid w:val="00F65E1A"/>
    <w:rsid w:val="00F702EB"/>
    <w:rsid w:val="00F70982"/>
    <w:rsid w:val="00F71C18"/>
    <w:rsid w:val="00F72127"/>
    <w:rsid w:val="00F74217"/>
    <w:rsid w:val="00F74C73"/>
    <w:rsid w:val="00F74D3C"/>
    <w:rsid w:val="00F75283"/>
    <w:rsid w:val="00F753CF"/>
    <w:rsid w:val="00F76F11"/>
    <w:rsid w:val="00F8064C"/>
    <w:rsid w:val="00F82E0A"/>
    <w:rsid w:val="00F859D5"/>
    <w:rsid w:val="00F90260"/>
    <w:rsid w:val="00F91188"/>
    <w:rsid w:val="00F96274"/>
    <w:rsid w:val="00FB012D"/>
    <w:rsid w:val="00FB1075"/>
    <w:rsid w:val="00FB326A"/>
    <w:rsid w:val="00FB6CB9"/>
    <w:rsid w:val="00FC03D4"/>
    <w:rsid w:val="00FC08C3"/>
    <w:rsid w:val="00FD1922"/>
    <w:rsid w:val="00FE1BB8"/>
    <w:rsid w:val="00FE754C"/>
    <w:rsid w:val="00FF6A3B"/>
    <w:rsid w:val="02647F0C"/>
    <w:rsid w:val="034B72AF"/>
    <w:rsid w:val="043A3F7F"/>
    <w:rsid w:val="0441429B"/>
    <w:rsid w:val="061E4BE6"/>
    <w:rsid w:val="082038E6"/>
    <w:rsid w:val="09A20491"/>
    <w:rsid w:val="09BF7391"/>
    <w:rsid w:val="09FD3473"/>
    <w:rsid w:val="0AE122B0"/>
    <w:rsid w:val="0B6013F2"/>
    <w:rsid w:val="0CD55D5A"/>
    <w:rsid w:val="0E5C209B"/>
    <w:rsid w:val="0E937FF7"/>
    <w:rsid w:val="10196EF9"/>
    <w:rsid w:val="103C6B69"/>
    <w:rsid w:val="10593A70"/>
    <w:rsid w:val="11950637"/>
    <w:rsid w:val="11E164E5"/>
    <w:rsid w:val="13043A9F"/>
    <w:rsid w:val="13A85E50"/>
    <w:rsid w:val="164A2BA1"/>
    <w:rsid w:val="16853733"/>
    <w:rsid w:val="18D57CCC"/>
    <w:rsid w:val="19E47E89"/>
    <w:rsid w:val="1ACF2894"/>
    <w:rsid w:val="1B0A43E8"/>
    <w:rsid w:val="1C2C6E7C"/>
    <w:rsid w:val="1D927867"/>
    <w:rsid w:val="1E1F30ED"/>
    <w:rsid w:val="22750198"/>
    <w:rsid w:val="24397377"/>
    <w:rsid w:val="257B570D"/>
    <w:rsid w:val="25C77B31"/>
    <w:rsid w:val="287A4275"/>
    <w:rsid w:val="297D3D3B"/>
    <w:rsid w:val="2EDF4541"/>
    <w:rsid w:val="2F2D0A57"/>
    <w:rsid w:val="2FD57C5E"/>
    <w:rsid w:val="30110AE9"/>
    <w:rsid w:val="317E2A66"/>
    <w:rsid w:val="32013111"/>
    <w:rsid w:val="34DC77C8"/>
    <w:rsid w:val="3677689A"/>
    <w:rsid w:val="36A46DB4"/>
    <w:rsid w:val="3730221B"/>
    <w:rsid w:val="3ACE72C7"/>
    <w:rsid w:val="3C385D76"/>
    <w:rsid w:val="3CB2519A"/>
    <w:rsid w:val="3D8F434D"/>
    <w:rsid w:val="3E5606C7"/>
    <w:rsid w:val="3E5B60DB"/>
    <w:rsid w:val="435D67B3"/>
    <w:rsid w:val="43AC0A6B"/>
    <w:rsid w:val="43F30F9A"/>
    <w:rsid w:val="44471760"/>
    <w:rsid w:val="46754EE7"/>
    <w:rsid w:val="48084340"/>
    <w:rsid w:val="481C0CDA"/>
    <w:rsid w:val="481D1792"/>
    <w:rsid w:val="492B471A"/>
    <w:rsid w:val="4CFB6FCA"/>
    <w:rsid w:val="4F12464F"/>
    <w:rsid w:val="508C2CB2"/>
    <w:rsid w:val="525E4232"/>
    <w:rsid w:val="52D64B36"/>
    <w:rsid w:val="543B3C37"/>
    <w:rsid w:val="54D413B8"/>
    <w:rsid w:val="55AC3E06"/>
    <w:rsid w:val="59C8263E"/>
    <w:rsid w:val="5A9802AF"/>
    <w:rsid w:val="5B240884"/>
    <w:rsid w:val="5C9B47B9"/>
    <w:rsid w:val="5D1C53E2"/>
    <w:rsid w:val="5E75300B"/>
    <w:rsid w:val="5F253D0F"/>
    <w:rsid w:val="5F6706D0"/>
    <w:rsid w:val="621012B2"/>
    <w:rsid w:val="62D16A57"/>
    <w:rsid w:val="637F0FCD"/>
    <w:rsid w:val="65024A18"/>
    <w:rsid w:val="66007D67"/>
    <w:rsid w:val="66C027E5"/>
    <w:rsid w:val="68D77510"/>
    <w:rsid w:val="6D1B39C5"/>
    <w:rsid w:val="72454EBB"/>
    <w:rsid w:val="73326E69"/>
    <w:rsid w:val="73834DB5"/>
    <w:rsid w:val="73F504FA"/>
    <w:rsid w:val="760630B0"/>
    <w:rsid w:val="76936224"/>
    <w:rsid w:val="77AE372B"/>
    <w:rsid w:val="78AC1120"/>
    <w:rsid w:val="79BF036F"/>
    <w:rsid w:val="7A2765DE"/>
    <w:rsid w:val="7B736089"/>
    <w:rsid w:val="7D260BDE"/>
    <w:rsid w:val="7D607EEA"/>
    <w:rsid w:val="7F3E30CC"/>
    <w:rsid w:val="7F5419D2"/>
    <w:rsid w:val="7F542607"/>
    <w:rsid w:val="7F9E1D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unhideWhenUsed/>
    <w:uiPriority w:val="1"/>
  </w:style>
  <w:style w:type="table" w:default="1" w:styleId="7">
    <w:name w:val="Normal Table"/>
    <w:unhideWhenUsed/>
    <w:qFormat/>
    <w:uiPriority w:val="99"/>
    <w:tblPr>
      <w:tblLayout w:type="fixed"/>
      <w:tblCellMar>
        <w:top w:w="0" w:type="dxa"/>
        <w:left w:w="108" w:type="dxa"/>
        <w:bottom w:w="0" w:type="dxa"/>
        <w:right w:w="108" w:type="dxa"/>
      </w:tblCellMar>
    </w:tblPr>
  </w:style>
  <w:style w:type="paragraph" w:styleId="2">
    <w:name w:val="Balloon Text"/>
    <w:basedOn w:val="1"/>
    <w:semiHidden/>
    <w:qFormat/>
    <w:uiPriority w:val="0"/>
    <w:rPr>
      <w:sz w:val="18"/>
      <w:szCs w:val="18"/>
    </w:r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styleId="6">
    <w:name w:val="page number"/>
    <w:basedOn w:val="5"/>
    <w:qFormat/>
    <w:uiPriority w:val="0"/>
  </w:style>
  <w:style w:type="paragraph" w:customStyle="1" w:styleId="8">
    <w:name w:val="Char Char Char Char Char Char Char Char Char Char Char Char Char Char Char Char"/>
    <w:basedOn w:val="1"/>
    <w:qFormat/>
    <w:uiPriority w:val="0"/>
    <w:pPr>
      <w:tabs>
        <w:tab w:val="left" w:pos="360"/>
      </w:tabs>
    </w:pPr>
    <w:rPr>
      <w:sz w:val="24"/>
    </w:rPr>
  </w:style>
  <w:style w:type="paragraph" w:customStyle="1" w:styleId="9">
    <w:name w:val="Char Char Char Char1 Char Char Char Char Char Char Char Char Char Char Char Char Char Char Char Char Char"/>
    <w:basedOn w:val="1"/>
    <w:qFormat/>
    <w:uiPriority w:val="0"/>
    <w:pPr>
      <w:widowControl/>
      <w:spacing w:after="160" w:line="240" w:lineRule="exact"/>
      <w:ind w:firstLine="980" w:firstLineChars="350"/>
      <w:jc w:val="left"/>
    </w:pPr>
    <w:rPr>
      <w:rFonts w:ascii="Verdana" w:hAnsi="Verdana" w:eastAsia="仿宋_GB2312"/>
      <w:kern w:val="0"/>
      <w:sz w:val="28"/>
      <w:szCs w:val="28"/>
      <w:lang w:eastAsia="en-US"/>
    </w:rPr>
  </w:style>
  <w:style w:type="paragraph" w:customStyle="1" w:styleId="10">
    <w:name w:val="Char"/>
    <w:basedOn w:val="1"/>
    <w:qFormat/>
    <w:uiPriority w:val="0"/>
    <w:rPr>
      <w:rFonts w:ascii="Tahoma" w:hAnsi="Tahoma"/>
      <w:sz w:val="24"/>
      <w:szCs w:val="20"/>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5" Type="http://schemas.openxmlformats.org/officeDocument/2006/relationships/fontTable" Target="fontTable.xml"/><Relationship Id="rId24" Type="http://schemas.openxmlformats.org/officeDocument/2006/relationships/numbering" Target="numbering.xml"/><Relationship Id="rId23" Type="http://schemas.openxmlformats.org/officeDocument/2006/relationships/customXml" Target="../customXml/item1.xml"/><Relationship Id="rId22" Type="http://schemas.openxmlformats.org/officeDocument/2006/relationships/image" Target="media/image18.png"/><Relationship Id="rId21" Type="http://schemas.openxmlformats.org/officeDocument/2006/relationships/image" Target="media/image17.png"/><Relationship Id="rId20" Type="http://schemas.openxmlformats.org/officeDocument/2006/relationships/image" Target="media/image16.png"/><Relationship Id="rId2" Type="http://schemas.openxmlformats.org/officeDocument/2006/relationships/settings" Target="settings.xml"/><Relationship Id="rId19" Type="http://schemas.openxmlformats.org/officeDocument/2006/relationships/image" Target="media/image15.png"/><Relationship Id="rId18" Type="http://schemas.openxmlformats.org/officeDocument/2006/relationships/image" Target="media/image14.png"/><Relationship Id="rId17" Type="http://schemas.openxmlformats.org/officeDocument/2006/relationships/image" Target="media/image13.png"/><Relationship Id="rId16" Type="http://schemas.openxmlformats.org/officeDocument/2006/relationships/image" Target="media/image12.png"/><Relationship Id="rId15" Type="http://schemas.openxmlformats.org/officeDocument/2006/relationships/image" Target="media/image11.png"/><Relationship Id="rId14" Type="http://schemas.openxmlformats.org/officeDocument/2006/relationships/image" Target="media/image10.png"/><Relationship Id="rId13" Type="http://schemas.openxmlformats.org/officeDocument/2006/relationships/image" Target="media/image9.png"/><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44</Pages>
  <Words>1909</Words>
  <Characters>10882</Characters>
  <Lines>90</Lines>
  <Paragraphs>25</Paragraphs>
  <ScaleCrop>false</ScaleCrop>
  <LinksUpToDate>false</LinksUpToDate>
  <CharactersWithSpaces>12766</CharactersWithSpaces>
  <Application>WPS Office_10.1.0.6490_F1E327BC-269C-435d-A152-05C5408002CA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2017-09-10T11:20:00Z</dcterms:created>
  <dc:creator>Administrator</dc:creator>
  <cp:lastModifiedBy>hp</cp:lastModifiedBy>
  <cp:lastPrinted>2017-09-11T07:17:00Z</cp:lastPrinted>
  <dcterms:modified xsi:type="dcterms:W3CDTF">2017-09-14T07:45:39Z</dcterms:modified>
  <dc:title>内部资料，请勿外传（公开时请删除）</dc:title>
  <cp:revision>90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2052-10.1.0.6490</vt:lpwstr>
  </property>
</Properties>
</file>