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9"/>
        <w:spacing w:line="520" w:lineRule="exact"/>
        <w:rPr>
          <w:rFonts w:hint="default" w:ascii="Times New Roman" w:hAnsi="Times New Roman" w:eastAsia="宋体" w:cs="Times New Roman"/>
          <w:color w:val="auto"/>
          <w:highlight w:val="none"/>
        </w:rPr>
      </w:pPr>
    </w:p>
    <w:p>
      <w:pPr>
        <w:pStyle w:val="49"/>
        <w:spacing w:line="520" w:lineRule="exact"/>
        <w:rPr>
          <w:rFonts w:hint="default" w:ascii="Times New Roman" w:hAnsi="Times New Roman" w:eastAsia="宋体" w:cs="Times New Roman"/>
          <w:color w:val="auto"/>
          <w:highlight w:val="none"/>
        </w:rPr>
      </w:pPr>
    </w:p>
    <w:p>
      <w:pPr>
        <w:pStyle w:val="49"/>
        <w:spacing w:line="520" w:lineRule="exact"/>
        <w:rPr>
          <w:rFonts w:hint="default" w:ascii="Times New Roman" w:hAnsi="Times New Roman" w:eastAsia="宋体" w:cs="Times New Roman"/>
          <w:color w:val="auto"/>
          <w:highlight w:val="none"/>
        </w:rPr>
      </w:pPr>
    </w:p>
    <w:p>
      <w:pPr>
        <w:pStyle w:val="49"/>
        <w:spacing w:line="520" w:lineRule="exact"/>
        <w:rPr>
          <w:rFonts w:hint="default" w:ascii="Times New Roman" w:hAnsi="Times New Roman" w:eastAsia="宋体" w:cs="Times New Roman"/>
          <w:color w:val="auto"/>
          <w:highlight w:val="none"/>
        </w:rPr>
      </w:pPr>
    </w:p>
    <w:p>
      <w:pPr>
        <w:pStyle w:val="49"/>
        <w:spacing w:line="520" w:lineRule="exact"/>
        <w:rPr>
          <w:rFonts w:hint="default" w:ascii="Times New Roman" w:hAnsi="Times New Roman" w:eastAsia="宋体" w:cs="Times New Roman"/>
          <w:color w:val="auto"/>
          <w:highlight w:val="none"/>
        </w:rPr>
      </w:pPr>
    </w:p>
    <w:p>
      <w:pPr>
        <w:pStyle w:val="49"/>
        <w:keepNext w:val="0"/>
        <w:keepLines w:val="0"/>
        <w:pageBreakBefore w:val="0"/>
        <w:widowControl/>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color w:val="auto"/>
          <w:highlight w:val="none"/>
        </w:rPr>
      </w:pPr>
    </w:p>
    <w:p>
      <w:pPr>
        <w:keepNext w:val="0"/>
        <w:keepLines w:val="0"/>
        <w:pageBreakBefore w:val="0"/>
        <w:widowControl/>
        <w:kinsoku/>
        <w:wordWrap/>
        <w:overflowPunct/>
        <w:topLinePunct w:val="0"/>
        <w:autoSpaceDE/>
        <w:autoSpaceDN/>
        <w:bidi w:val="0"/>
        <w:adjustRightInd/>
        <w:snapToGrid/>
        <w:spacing w:line="520" w:lineRule="exact"/>
        <w:ind w:left="879" w:hanging="879"/>
        <w:jc w:val="center"/>
        <w:textAlignment w:val="auto"/>
        <w:rPr>
          <w:rFonts w:hint="eastAsia" w:ascii="Times New Roman" w:hAnsi="Times New Roman" w:eastAsia="方正小标宋_GBK" w:cs="Times New Roman"/>
          <w:color w:val="auto"/>
          <w:kern w:val="0"/>
          <w:sz w:val="44"/>
          <w:szCs w:val="44"/>
          <w:highlight w:val="none"/>
          <w:lang w:eastAsia="zh-CN"/>
        </w:rPr>
      </w:pPr>
      <w:r>
        <w:rPr>
          <w:rFonts w:hint="eastAsia" w:ascii="Times New Roman" w:hAnsi="Times New Roman" w:eastAsia="方正小标宋_GBK" w:cs="Times New Roman"/>
          <w:color w:val="auto"/>
          <w:kern w:val="0"/>
          <w:sz w:val="44"/>
          <w:szCs w:val="44"/>
          <w:highlight w:val="none"/>
          <w:lang w:val="en-US" w:eastAsia="zh-CN"/>
        </w:rPr>
        <w:t>2020年度青岛市教育局</w:t>
      </w:r>
    </w:p>
    <w:p>
      <w:pPr>
        <w:keepNext w:val="0"/>
        <w:keepLines w:val="0"/>
        <w:pageBreakBefore w:val="0"/>
        <w:widowControl/>
        <w:kinsoku/>
        <w:wordWrap/>
        <w:overflowPunct/>
        <w:topLinePunct w:val="0"/>
        <w:autoSpaceDE/>
        <w:autoSpaceDN/>
        <w:bidi w:val="0"/>
        <w:adjustRightInd/>
        <w:snapToGrid/>
        <w:spacing w:line="520" w:lineRule="exact"/>
        <w:ind w:left="879" w:hanging="879"/>
        <w:jc w:val="center"/>
        <w:textAlignment w:val="auto"/>
        <w:rPr>
          <w:rFonts w:hint="default" w:ascii="Times New Roman" w:hAnsi="Times New Roman" w:eastAsia="方正小标宋_GBK" w:cs="Times New Roman"/>
          <w:color w:val="auto"/>
          <w:kern w:val="0"/>
          <w:sz w:val="44"/>
          <w:szCs w:val="44"/>
          <w:highlight w:val="none"/>
        </w:rPr>
      </w:pPr>
      <w:r>
        <w:rPr>
          <w:rFonts w:hint="default" w:ascii="Times New Roman" w:hAnsi="Times New Roman" w:eastAsia="方正小标宋_GBK" w:cs="Times New Roman"/>
          <w:color w:val="auto"/>
          <w:kern w:val="0"/>
          <w:sz w:val="44"/>
          <w:szCs w:val="44"/>
          <w:highlight w:val="none"/>
        </w:rPr>
        <w:t>整体支出绩效评价报告</w:t>
      </w: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keepNext w:val="0"/>
        <w:keepLines w:val="0"/>
        <w:pageBreakBefore w:val="0"/>
        <w:widowControl w:val="0"/>
        <w:kinsoku/>
        <w:wordWrap/>
        <w:overflowPunct/>
        <w:topLinePunct w:val="0"/>
        <w:autoSpaceDE/>
        <w:autoSpaceDN/>
        <w:bidi w:val="0"/>
        <w:adjustRightInd/>
        <w:snapToGrid/>
        <w:spacing w:before="120" w:after="120" w:line="520" w:lineRule="exact"/>
        <w:ind w:left="2240" w:hanging="2240" w:hangingChars="700"/>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before="120" w:after="120" w:line="520" w:lineRule="exact"/>
        <w:ind w:left="640" w:hanging="640"/>
        <w:jc w:val="left"/>
        <w:textAlignment w:val="auto"/>
        <w:rPr>
          <w:rFonts w:hint="eastAsia" w:ascii="Times New Roman" w:hAnsi="Times New Roman" w:eastAsia="黑体" w:cs="Times New Roman"/>
          <w:color w:val="auto"/>
          <w:spacing w:val="-20"/>
          <w:sz w:val="32"/>
          <w:szCs w:val="32"/>
          <w:highlight w:val="none"/>
          <w:lang w:eastAsia="zh-CN"/>
        </w:rPr>
      </w:pPr>
      <w:r>
        <w:rPr>
          <w:rFonts w:hint="default" w:ascii="Times New Roman" w:hAnsi="Times New Roman" w:eastAsia="黑体" w:cs="Times New Roman"/>
          <w:color w:val="auto"/>
          <w:spacing w:val="53"/>
          <w:w w:val="100"/>
          <w:kern w:val="0"/>
          <w:sz w:val="32"/>
          <w:szCs w:val="32"/>
          <w:highlight w:val="none"/>
          <w:fitText w:val="1600" w:id="1562321104"/>
        </w:rPr>
        <w:t>评价</w:t>
      </w:r>
      <w:r>
        <w:rPr>
          <w:rFonts w:hint="eastAsia" w:ascii="Times New Roman" w:hAnsi="Times New Roman" w:eastAsia="黑体" w:cs="Times New Roman"/>
          <w:color w:val="auto"/>
          <w:spacing w:val="53"/>
          <w:w w:val="100"/>
          <w:kern w:val="0"/>
          <w:sz w:val="32"/>
          <w:szCs w:val="32"/>
          <w:highlight w:val="none"/>
          <w:fitText w:val="1600" w:id="1562321104"/>
          <w:lang w:eastAsia="zh-CN"/>
        </w:rPr>
        <w:t>单</w:t>
      </w:r>
      <w:r>
        <w:rPr>
          <w:rFonts w:hint="eastAsia" w:ascii="Times New Roman" w:hAnsi="Times New Roman" w:eastAsia="黑体" w:cs="Times New Roman"/>
          <w:color w:val="auto"/>
          <w:spacing w:val="1"/>
          <w:w w:val="100"/>
          <w:kern w:val="0"/>
          <w:sz w:val="32"/>
          <w:szCs w:val="32"/>
          <w:highlight w:val="none"/>
          <w:fitText w:val="1600" w:id="1562321104"/>
          <w:lang w:eastAsia="zh-CN"/>
        </w:rPr>
        <w:t>位</w:t>
      </w:r>
      <w:r>
        <w:rPr>
          <w:rFonts w:hint="default" w:ascii="Times New Roman" w:hAnsi="Times New Roman" w:eastAsia="黑体" w:cs="Times New Roman"/>
          <w:color w:val="auto"/>
          <w:sz w:val="32"/>
          <w:szCs w:val="32"/>
          <w:highlight w:val="none"/>
        </w:rPr>
        <w:t>：</w:t>
      </w:r>
      <w:r>
        <w:rPr>
          <w:rFonts w:hint="eastAsia" w:ascii="Times New Roman" w:hAnsi="Times New Roman" w:eastAsia="黑体" w:cs="Times New Roman"/>
          <w:color w:val="auto"/>
          <w:spacing w:val="-20"/>
          <w:sz w:val="32"/>
          <w:szCs w:val="32"/>
          <w:highlight w:val="none"/>
          <w:lang w:eastAsia="zh-CN"/>
        </w:rPr>
        <w:t>山东广信达土地房地产资产评估项目管理有限公司</w:t>
      </w:r>
    </w:p>
    <w:p>
      <w:pPr>
        <w:keepNext w:val="0"/>
        <w:keepLines w:val="0"/>
        <w:pageBreakBefore w:val="0"/>
        <w:widowControl w:val="0"/>
        <w:kinsoku/>
        <w:wordWrap/>
        <w:overflowPunct/>
        <w:topLinePunct w:val="0"/>
        <w:autoSpaceDE/>
        <w:autoSpaceDN/>
        <w:bidi w:val="0"/>
        <w:adjustRightInd/>
        <w:snapToGrid/>
        <w:spacing w:before="120" w:after="120" w:line="520" w:lineRule="exact"/>
        <w:ind w:left="2240" w:hanging="2240" w:hangingChars="700"/>
        <w:textAlignment w:val="auto"/>
        <w:rPr>
          <w:rFonts w:hint="eastAsia"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被评价单位：</w:t>
      </w:r>
      <w:r>
        <w:rPr>
          <w:rFonts w:hint="eastAsia" w:ascii="Times New Roman" w:hAnsi="Times New Roman" w:eastAsia="黑体" w:cs="Times New Roman"/>
          <w:color w:val="auto"/>
          <w:sz w:val="32"/>
          <w:szCs w:val="32"/>
          <w:highlight w:val="none"/>
          <w:lang w:eastAsia="zh-CN"/>
        </w:rPr>
        <w:t>青岛市教育局</w:t>
      </w: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spacing w:line="520" w:lineRule="exact"/>
        <w:ind w:left="1040" w:hanging="1040"/>
        <w:jc w:val="center"/>
        <w:rPr>
          <w:rFonts w:hint="default" w:ascii="Times New Roman" w:hAnsi="Times New Roman" w:eastAsia="文星简黑体" w:cs="Times New Roman"/>
          <w:color w:val="auto"/>
          <w:sz w:val="52"/>
          <w:szCs w:val="52"/>
          <w:highlight w:val="none"/>
        </w:rPr>
      </w:pPr>
    </w:p>
    <w:p>
      <w:pPr>
        <w:spacing w:before="120" w:after="120" w:line="520" w:lineRule="exact"/>
        <w:jc w:val="center"/>
        <w:rPr>
          <w:rFonts w:hint="default" w:ascii="Times New Roman" w:hAnsi="Times New Roman" w:eastAsia="黑体" w:cs="Times New Roman"/>
          <w:b/>
          <w:color w:val="auto"/>
          <w:kern w:val="0"/>
          <w:sz w:val="28"/>
          <w:szCs w:val="28"/>
          <w:highlight w:val="none"/>
          <w:lang w:val="zh-CN"/>
        </w:rPr>
      </w:pPr>
      <w:r>
        <w:rPr>
          <w:rFonts w:hint="default" w:ascii="Times New Roman" w:hAnsi="Times New Roman" w:eastAsia="黑体" w:cs="Times New Roman"/>
          <w:color w:val="auto"/>
          <w:sz w:val="32"/>
          <w:szCs w:val="32"/>
          <w:highlight w:val="none"/>
        </w:rPr>
        <w:t>202</w:t>
      </w:r>
      <w:r>
        <w:rPr>
          <w:rFonts w:hint="eastAsia" w:ascii="Times New Roman" w:hAnsi="Times New Roman" w:eastAsia="黑体" w:cs="Times New Roman"/>
          <w:color w:val="auto"/>
          <w:sz w:val="32"/>
          <w:szCs w:val="32"/>
          <w:highlight w:val="none"/>
          <w:lang w:val="en-US" w:eastAsia="zh-CN"/>
        </w:rPr>
        <w:t>1</w:t>
      </w:r>
      <w:r>
        <w:rPr>
          <w:rFonts w:hint="default"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7</w:t>
      </w:r>
      <w:r>
        <w:rPr>
          <w:rFonts w:hint="default" w:ascii="Times New Roman" w:hAnsi="Times New Roman" w:eastAsia="黑体" w:cs="Times New Roman"/>
          <w:color w:val="auto"/>
          <w:sz w:val="32"/>
          <w:szCs w:val="32"/>
          <w:highlight w:val="none"/>
        </w:rPr>
        <w:t>月</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sdt>
      <w:sdtPr>
        <w:rPr>
          <w:rFonts w:hint="eastAsia" w:ascii="宋体" w:hAnsi="宋体" w:eastAsia="宋体" w:cs="宋体"/>
          <w:b/>
          <w:bCs/>
          <w:color w:val="auto"/>
          <w:sz w:val="36"/>
          <w:szCs w:val="36"/>
          <w:highlight w:val="none"/>
        </w:rPr>
        <w:id w:val="147461369"/>
        <w:docPartObj>
          <w:docPartGallery w:val="Table of Contents"/>
          <w:docPartUnique/>
        </w:docPartObj>
      </w:sdtPr>
      <w:sdtEndPr>
        <w:rPr>
          <w:rFonts w:hint="default" w:ascii="Times New Roman" w:hAnsi="Times New Roman" w:eastAsia="宋体" w:cs="Times New Roman"/>
          <w:b w:val="0"/>
          <w:bCs w:val="0"/>
          <w:color w:val="auto"/>
          <w:sz w:val="32"/>
          <w:szCs w:val="32"/>
          <w:highlight w:val="none"/>
        </w:rPr>
      </w:sdtEndPr>
      <w:sdtContent>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b w:val="0"/>
              <w:bCs w:val="0"/>
              <w:color w:val="auto"/>
              <w:kern w:val="2"/>
              <w:sz w:val="32"/>
              <w:szCs w:val="32"/>
              <w:highlight w:val="none"/>
              <w:lang w:val="en-US" w:eastAsia="zh-CN" w:bidi="ar-SA"/>
            </w:rPr>
          </w:pPr>
          <w:bookmarkStart w:id="0" w:name="_Toc2224"/>
          <w:bookmarkStart w:id="1" w:name="_Toc14968"/>
          <w:bookmarkStart w:id="2" w:name="_Toc2787"/>
          <w:bookmarkStart w:id="3" w:name="_Toc2709"/>
          <w:bookmarkStart w:id="4" w:name="_Toc32643"/>
          <w:r>
            <w:rPr>
              <w:rFonts w:hint="eastAsia" w:ascii="宋体" w:hAnsi="宋体" w:eastAsia="宋体" w:cs="宋体"/>
              <w:b/>
              <w:bCs/>
              <w:color w:val="auto"/>
              <w:sz w:val="36"/>
              <w:szCs w:val="36"/>
              <w:highlight w:val="none"/>
            </w:rPr>
            <w:t>目 录</w:t>
          </w:r>
          <w:r>
            <w:rPr>
              <w:rFonts w:hint="default" w:ascii="Times New Roman" w:hAnsi="Times New Roman" w:cs="Times New Roman"/>
              <w:b w:val="0"/>
              <w:bCs w:val="0"/>
              <w:color w:val="auto"/>
              <w:sz w:val="32"/>
              <w:szCs w:val="32"/>
              <w:highlight w:val="none"/>
            </w:rPr>
            <w:fldChar w:fldCharType="begin"/>
          </w:r>
          <w:r>
            <w:rPr>
              <w:rFonts w:hint="default" w:ascii="Times New Roman" w:hAnsi="Times New Roman" w:cs="Times New Roman"/>
              <w:b w:val="0"/>
              <w:bCs w:val="0"/>
              <w:color w:val="auto"/>
              <w:sz w:val="32"/>
              <w:szCs w:val="32"/>
              <w:highlight w:val="none"/>
            </w:rPr>
            <w:instrText xml:space="preserve">TOC \o "1-2" \h \u </w:instrText>
          </w:r>
          <w:r>
            <w:rPr>
              <w:rFonts w:hint="default" w:ascii="Times New Roman" w:hAnsi="Times New Roman" w:cs="Times New Roman"/>
              <w:b w:val="0"/>
              <w:bCs w:val="0"/>
              <w:color w:val="auto"/>
              <w:sz w:val="32"/>
              <w:szCs w:val="32"/>
              <w:highlight w:val="none"/>
            </w:rPr>
            <w:fldChar w:fldCharType="separate"/>
          </w:r>
        </w:p>
        <w:p>
          <w:pPr>
            <w:pStyle w:val="16"/>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b w:val="0"/>
              <w:bCs w:val="0"/>
              <w:color w:val="auto"/>
              <w:sz w:val="32"/>
              <w:szCs w:val="32"/>
              <w:highlight w:val="none"/>
            </w:rPr>
          </w:pPr>
          <w:r>
            <w:rPr>
              <w:rFonts w:hint="default" w:ascii="Times New Roman" w:hAnsi="Times New Roman" w:cs="Times New Roman"/>
              <w:b w:val="0"/>
              <w:bCs w:val="0"/>
              <w:color w:val="auto"/>
              <w:sz w:val="32"/>
              <w:szCs w:val="32"/>
              <w:highlight w:val="none"/>
            </w:rPr>
            <w:fldChar w:fldCharType="begin"/>
          </w:r>
          <w:r>
            <w:rPr>
              <w:rFonts w:hint="default" w:ascii="Times New Roman" w:hAnsi="Times New Roman" w:cs="Times New Roman"/>
              <w:b w:val="0"/>
              <w:bCs w:val="0"/>
              <w:color w:val="auto"/>
              <w:sz w:val="32"/>
              <w:szCs w:val="32"/>
              <w:highlight w:val="none"/>
            </w:rPr>
            <w:instrText xml:space="preserve"> HYPERLINK \l _Toc27366 </w:instrText>
          </w:r>
          <w:r>
            <w:rPr>
              <w:rFonts w:hint="default" w:ascii="Times New Roman" w:hAnsi="Times New Roman" w:cs="Times New Roman"/>
              <w:b w:val="0"/>
              <w:bCs w:val="0"/>
              <w:color w:val="auto"/>
              <w:sz w:val="32"/>
              <w:szCs w:val="32"/>
              <w:highlight w:val="none"/>
            </w:rPr>
            <w:fldChar w:fldCharType="separate"/>
          </w:r>
          <w:r>
            <w:rPr>
              <w:rFonts w:hint="default" w:ascii="Times New Roman" w:hAnsi="Times New Roman" w:cs="Times New Roman"/>
              <w:b w:val="0"/>
              <w:bCs w:val="0"/>
              <w:color w:val="auto"/>
              <w:sz w:val="32"/>
              <w:szCs w:val="32"/>
              <w:highlight w:val="none"/>
            </w:rPr>
            <w:t>一、</w:t>
          </w:r>
          <w:r>
            <w:rPr>
              <w:rFonts w:hint="eastAsia" w:ascii="Times New Roman" w:hAnsi="Times New Roman" w:cs="Times New Roman"/>
              <w:b w:val="0"/>
              <w:bCs w:val="0"/>
              <w:color w:val="auto"/>
              <w:sz w:val="32"/>
              <w:szCs w:val="32"/>
              <w:highlight w:val="none"/>
              <w:lang w:eastAsia="zh-CN"/>
            </w:rPr>
            <w:t>部门基本情况</w:t>
          </w:r>
          <w:r>
            <w:rPr>
              <w:b w:val="0"/>
              <w:bCs w:val="0"/>
              <w:color w:val="auto"/>
              <w:sz w:val="32"/>
              <w:szCs w:val="32"/>
              <w:highlight w:val="none"/>
            </w:rPr>
            <w:tab/>
          </w:r>
          <w:r>
            <w:rPr>
              <w:b w:val="0"/>
              <w:bCs w:val="0"/>
              <w:color w:val="auto"/>
              <w:sz w:val="32"/>
              <w:szCs w:val="32"/>
              <w:highlight w:val="none"/>
            </w:rPr>
            <w:fldChar w:fldCharType="begin"/>
          </w:r>
          <w:r>
            <w:rPr>
              <w:b w:val="0"/>
              <w:bCs w:val="0"/>
              <w:color w:val="auto"/>
              <w:sz w:val="32"/>
              <w:szCs w:val="32"/>
              <w:highlight w:val="none"/>
            </w:rPr>
            <w:instrText xml:space="preserve"> PAGEREF _Toc27366 \h </w:instrText>
          </w:r>
          <w:r>
            <w:rPr>
              <w:b w:val="0"/>
              <w:bCs w:val="0"/>
              <w:color w:val="auto"/>
              <w:sz w:val="32"/>
              <w:szCs w:val="32"/>
              <w:highlight w:val="none"/>
            </w:rPr>
            <w:fldChar w:fldCharType="separate"/>
          </w:r>
          <w:r>
            <w:rPr>
              <w:b w:val="0"/>
              <w:bCs w:val="0"/>
              <w:color w:val="auto"/>
              <w:sz w:val="32"/>
              <w:szCs w:val="32"/>
              <w:highlight w:val="none"/>
            </w:rPr>
            <w:t>1</w:t>
          </w:r>
          <w:r>
            <w:rPr>
              <w:b w:val="0"/>
              <w:bCs w:val="0"/>
              <w:color w:val="auto"/>
              <w:sz w:val="32"/>
              <w:szCs w:val="32"/>
              <w:highlight w:val="none"/>
            </w:rPr>
            <w:fldChar w:fldCharType="end"/>
          </w:r>
          <w:r>
            <w:rPr>
              <w:rFonts w:hint="default" w:ascii="Times New Roman" w:hAnsi="Times New Roman" w:cs="Times New Roman"/>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HYPERLINK \l _Toc1628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kern w:val="0"/>
              <w:sz w:val="32"/>
              <w:szCs w:val="32"/>
              <w:highlight w:val="none"/>
              <w:lang w:val="en-US" w:eastAsia="zh-CN" w:bidi="ar-SA"/>
            </w:rPr>
            <w:t>（一）部门概况</w:t>
          </w:r>
          <w:r>
            <w:rPr>
              <w:rFonts w:hint="eastAsia" w:ascii="楷体_GB2312" w:hAnsi="楷体_GB2312" w:eastAsia="楷体_GB2312" w:cs="楷体_GB2312"/>
              <w:b w:val="0"/>
              <w:bCs w:val="0"/>
              <w:color w:val="auto"/>
              <w:sz w:val="32"/>
              <w:szCs w:val="32"/>
              <w:highlight w:val="none"/>
            </w:rPr>
            <w:tab/>
          </w: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PAGEREF _Toc1628 \h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1</w:t>
          </w:r>
          <w:r>
            <w:rPr>
              <w:rFonts w:hint="eastAsia" w:ascii="楷体_GB2312" w:hAnsi="楷体_GB2312" w:eastAsia="楷体_GB2312" w:cs="楷体_GB2312"/>
              <w:b w:val="0"/>
              <w:bCs w:val="0"/>
              <w:color w:val="auto"/>
              <w:sz w:val="32"/>
              <w:szCs w:val="32"/>
              <w:highlight w:val="none"/>
            </w:rPr>
            <w:fldChar w:fldCharType="end"/>
          </w:r>
          <w:r>
            <w:rPr>
              <w:rFonts w:hint="eastAsia" w:ascii="楷体_GB2312" w:hAnsi="楷体_GB2312" w:eastAsia="楷体_GB2312" w:cs="楷体_GB2312"/>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HYPERLINK \l _Toc30293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二</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部门绩效目标</w:t>
          </w:r>
          <w:r>
            <w:rPr>
              <w:rFonts w:hint="eastAsia" w:ascii="楷体_GB2312" w:hAnsi="楷体_GB2312" w:eastAsia="楷体_GB2312" w:cs="楷体_GB2312"/>
              <w:b w:val="0"/>
              <w:bCs w:val="0"/>
              <w:color w:val="auto"/>
              <w:sz w:val="32"/>
              <w:szCs w:val="32"/>
              <w:highlight w:val="none"/>
            </w:rPr>
            <w:tab/>
          </w: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PAGEREF _Toc30293 \h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4</w:t>
          </w:r>
          <w:r>
            <w:rPr>
              <w:rFonts w:hint="eastAsia" w:ascii="楷体_GB2312" w:hAnsi="楷体_GB2312" w:eastAsia="楷体_GB2312" w:cs="楷体_GB2312"/>
              <w:b w:val="0"/>
              <w:bCs w:val="0"/>
              <w:color w:val="auto"/>
              <w:sz w:val="32"/>
              <w:szCs w:val="32"/>
              <w:highlight w:val="none"/>
            </w:rPr>
            <w:fldChar w:fldCharType="end"/>
          </w:r>
          <w:r>
            <w:rPr>
              <w:rFonts w:hint="eastAsia" w:ascii="楷体_GB2312" w:hAnsi="楷体_GB2312" w:eastAsia="楷体_GB2312" w:cs="楷体_GB2312"/>
              <w:b w:val="0"/>
              <w:bCs w:val="0"/>
              <w:color w:val="auto"/>
              <w:sz w:val="32"/>
              <w:szCs w:val="32"/>
              <w:highlight w:val="none"/>
            </w:rPr>
            <w:fldChar w:fldCharType="end"/>
          </w:r>
        </w:p>
        <w:p>
          <w:pPr>
            <w:pStyle w:val="16"/>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b w:val="0"/>
              <w:bCs w:val="0"/>
              <w:color w:val="auto"/>
              <w:sz w:val="32"/>
              <w:szCs w:val="32"/>
              <w:highlight w:val="none"/>
            </w:rPr>
          </w:pPr>
          <w:r>
            <w:rPr>
              <w:rFonts w:hint="default" w:ascii="Times New Roman" w:hAnsi="Times New Roman" w:cs="Times New Roman"/>
              <w:b w:val="0"/>
              <w:bCs w:val="0"/>
              <w:color w:val="auto"/>
              <w:sz w:val="32"/>
              <w:szCs w:val="32"/>
              <w:highlight w:val="none"/>
            </w:rPr>
            <w:fldChar w:fldCharType="begin"/>
          </w:r>
          <w:r>
            <w:rPr>
              <w:rFonts w:hint="default" w:ascii="Times New Roman" w:hAnsi="Times New Roman" w:cs="Times New Roman"/>
              <w:b w:val="0"/>
              <w:bCs w:val="0"/>
              <w:color w:val="auto"/>
              <w:sz w:val="32"/>
              <w:szCs w:val="32"/>
              <w:highlight w:val="none"/>
            </w:rPr>
            <w:instrText xml:space="preserve"> HYPERLINK \l _Toc2893 </w:instrText>
          </w:r>
          <w:r>
            <w:rPr>
              <w:rFonts w:hint="default" w:ascii="Times New Roman" w:hAnsi="Times New Roman" w:cs="Times New Roman"/>
              <w:b w:val="0"/>
              <w:bCs w:val="0"/>
              <w:color w:val="auto"/>
              <w:sz w:val="32"/>
              <w:szCs w:val="32"/>
              <w:highlight w:val="none"/>
            </w:rPr>
            <w:fldChar w:fldCharType="separate"/>
          </w:r>
          <w:r>
            <w:rPr>
              <w:rFonts w:hint="default" w:ascii="Times New Roman" w:hAnsi="Times New Roman" w:cs="Times New Roman"/>
              <w:b w:val="0"/>
              <w:bCs w:val="0"/>
              <w:color w:val="auto"/>
              <w:sz w:val="32"/>
              <w:szCs w:val="32"/>
              <w:highlight w:val="none"/>
            </w:rPr>
            <w:t>二、评价</w:t>
          </w:r>
          <w:r>
            <w:rPr>
              <w:rFonts w:hint="eastAsia" w:ascii="Times New Roman" w:hAnsi="Times New Roman" w:cs="Times New Roman"/>
              <w:b w:val="0"/>
              <w:bCs w:val="0"/>
              <w:color w:val="auto"/>
              <w:sz w:val="32"/>
              <w:szCs w:val="32"/>
              <w:highlight w:val="none"/>
              <w:lang w:eastAsia="zh-CN"/>
            </w:rPr>
            <w:t>实施情况</w:t>
          </w:r>
          <w:r>
            <w:rPr>
              <w:b w:val="0"/>
              <w:bCs w:val="0"/>
              <w:color w:val="auto"/>
              <w:sz w:val="32"/>
              <w:szCs w:val="32"/>
              <w:highlight w:val="none"/>
            </w:rPr>
            <w:tab/>
          </w:r>
          <w:r>
            <w:rPr>
              <w:b w:val="0"/>
              <w:bCs w:val="0"/>
              <w:color w:val="auto"/>
              <w:sz w:val="32"/>
              <w:szCs w:val="32"/>
              <w:highlight w:val="none"/>
            </w:rPr>
            <w:fldChar w:fldCharType="begin"/>
          </w:r>
          <w:r>
            <w:rPr>
              <w:b w:val="0"/>
              <w:bCs w:val="0"/>
              <w:color w:val="auto"/>
              <w:sz w:val="32"/>
              <w:szCs w:val="32"/>
              <w:highlight w:val="none"/>
            </w:rPr>
            <w:instrText xml:space="preserve"> PAGEREF _Toc2893 \h </w:instrText>
          </w:r>
          <w:r>
            <w:rPr>
              <w:b w:val="0"/>
              <w:bCs w:val="0"/>
              <w:color w:val="auto"/>
              <w:sz w:val="32"/>
              <w:szCs w:val="32"/>
              <w:highlight w:val="none"/>
            </w:rPr>
            <w:fldChar w:fldCharType="separate"/>
          </w:r>
          <w:r>
            <w:rPr>
              <w:b w:val="0"/>
              <w:bCs w:val="0"/>
              <w:color w:val="auto"/>
              <w:sz w:val="32"/>
              <w:szCs w:val="32"/>
              <w:highlight w:val="none"/>
            </w:rPr>
            <w:t>7</w:t>
          </w:r>
          <w:r>
            <w:rPr>
              <w:b w:val="0"/>
              <w:bCs w:val="0"/>
              <w:color w:val="auto"/>
              <w:sz w:val="32"/>
              <w:szCs w:val="32"/>
              <w:highlight w:val="none"/>
            </w:rPr>
            <w:fldChar w:fldCharType="end"/>
          </w:r>
          <w:r>
            <w:rPr>
              <w:rFonts w:hint="default" w:ascii="Times New Roman" w:hAnsi="Times New Roman" w:cs="Times New Roman"/>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HYPERLINK \l _Toc23024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kern w:val="0"/>
              <w:sz w:val="32"/>
              <w:szCs w:val="32"/>
              <w:highlight w:val="none"/>
            </w:rPr>
            <w:t>（一）评价目的</w:t>
          </w:r>
          <w:r>
            <w:rPr>
              <w:rFonts w:hint="eastAsia" w:ascii="楷体_GB2312" w:hAnsi="楷体_GB2312" w:eastAsia="楷体_GB2312" w:cs="楷体_GB2312"/>
              <w:b w:val="0"/>
              <w:bCs w:val="0"/>
              <w:color w:val="auto"/>
              <w:kern w:val="0"/>
              <w:sz w:val="32"/>
              <w:szCs w:val="32"/>
              <w:highlight w:val="none"/>
              <w:lang w:eastAsia="zh-CN"/>
            </w:rPr>
            <w:t>、对象和范围</w:t>
          </w:r>
          <w:r>
            <w:rPr>
              <w:rFonts w:hint="eastAsia" w:ascii="楷体_GB2312" w:hAnsi="楷体_GB2312" w:eastAsia="楷体_GB2312" w:cs="楷体_GB2312"/>
              <w:b w:val="0"/>
              <w:bCs w:val="0"/>
              <w:color w:val="auto"/>
              <w:sz w:val="32"/>
              <w:szCs w:val="32"/>
              <w:highlight w:val="none"/>
            </w:rPr>
            <w:tab/>
          </w: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PAGEREF _Toc23024 \h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7</w:t>
          </w:r>
          <w:r>
            <w:rPr>
              <w:rFonts w:hint="eastAsia" w:ascii="楷体_GB2312" w:hAnsi="楷体_GB2312" w:eastAsia="楷体_GB2312" w:cs="楷体_GB2312"/>
              <w:b w:val="0"/>
              <w:bCs w:val="0"/>
              <w:color w:val="auto"/>
              <w:sz w:val="32"/>
              <w:szCs w:val="32"/>
              <w:highlight w:val="none"/>
            </w:rPr>
            <w:fldChar w:fldCharType="end"/>
          </w:r>
          <w:r>
            <w:rPr>
              <w:rFonts w:hint="eastAsia" w:ascii="楷体_GB2312" w:hAnsi="楷体_GB2312" w:eastAsia="楷体_GB2312" w:cs="楷体_GB2312"/>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HYPERLINK \l _Toc20691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kern w:val="0"/>
              <w:sz w:val="32"/>
              <w:szCs w:val="32"/>
              <w:highlight w:val="none"/>
            </w:rPr>
            <w:t>（二）评价依据</w:t>
          </w:r>
          <w:r>
            <w:rPr>
              <w:rFonts w:hint="eastAsia" w:ascii="楷体_GB2312" w:hAnsi="楷体_GB2312" w:eastAsia="楷体_GB2312" w:cs="楷体_GB2312"/>
              <w:b w:val="0"/>
              <w:bCs w:val="0"/>
              <w:color w:val="auto"/>
              <w:kern w:val="0"/>
              <w:sz w:val="32"/>
              <w:szCs w:val="32"/>
              <w:highlight w:val="none"/>
              <w:lang w:eastAsia="zh-CN"/>
            </w:rPr>
            <w:t>、方法、标准、指标体系等</w:t>
          </w:r>
          <w:r>
            <w:rPr>
              <w:rFonts w:hint="eastAsia" w:ascii="楷体_GB2312" w:hAnsi="楷体_GB2312" w:eastAsia="楷体_GB2312" w:cs="楷体_GB2312"/>
              <w:b w:val="0"/>
              <w:bCs w:val="0"/>
              <w:color w:val="auto"/>
              <w:sz w:val="32"/>
              <w:szCs w:val="32"/>
              <w:highlight w:val="none"/>
            </w:rPr>
            <w:tab/>
          </w: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PAGEREF _Toc20691 \h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7</w:t>
          </w:r>
          <w:r>
            <w:rPr>
              <w:rFonts w:hint="eastAsia" w:ascii="楷体_GB2312" w:hAnsi="楷体_GB2312" w:eastAsia="楷体_GB2312" w:cs="楷体_GB2312"/>
              <w:b w:val="0"/>
              <w:bCs w:val="0"/>
              <w:color w:val="auto"/>
              <w:sz w:val="32"/>
              <w:szCs w:val="32"/>
              <w:highlight w:val="none"/>
            </w:rPr>
            <w:fldChar w:fldCharType="end"/>
          </w:r>
          <w:r>
            <w:rPr>
              <w:rFonts w:hint="eastAsia" w:ascii="楷体_GB2312" w:hAnsi="楷体_GB2312" w:eastAsia="楷体_GB2312" w:cs="楷体_GB2312"/>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HYPERLINK \l _Toc24952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三</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评价实施程序</w:t>
          </w:r>
          <w:r>
            <w:rPr>
              <w:rFonts w:hint="eastAsia" w:ascii="楷体_GB2312" w:hAnsi="楷体_GB2312" w:eastAsia="楷体_GB2312" w:cs="楷体_GB2312"/>
              <w:b w:val="0"/>
              <w:bCs w:val="0"/>
              <w:color w:val="auto"/>
              <w:sz w:val="32"/>
              <w:szCs w:val="32"/>
              <w:highlight w:val="none"/>
            </w:rPr>
            <w:tab/>
          </w: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PAGEREF _Toc24952 \h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9</w:t>
          </w:r>
          <w:r>
            <w:rPr>
              <w:rFonts w:hint="eastAsia" w:ascii="楷体_GB2312" w:hAnsi="楷体_GB2312" w:eastAsia="楷体_GB2312" w:cs="楷体_GB2312"/>
              <w:b w:val="0"/>
              <w:bCs w:val="0"/>
              <w:color w:val="auto"/>
              <w:sz w:val="32"/>
              <w:szCs w:val="32"/>
              <w:highlight w:val="none"/>
            </w:rPr>
            <w:fldChar w:fldCharType="end"/>
          </w:r>
          <w:r>
            <w:rPr>
              <w:rFonts w:hint="eastAsia" w:ascii="楷体_GB2312" w:hAnsi="楷体_GB2312" w:eastAsia="楷体_GB2312" w:cs="楷体_GB2312"/>
              <w:b w:val="0"/>
              <w:bCs w:val="0"/>
              <w:color w:val="auto"/>
              <w:sz w:val="32"/>
              <w:szCs w:val="32"/>
              <w:highlight w:val="none"/>
            </w:rPr>
            <w:fldChar w:fldCharType="end"/>
          </w:r>
        </w:p>
        <w:p>
          <w:pPr>
            <w:pStyle w:val="16"/>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b w:val="0"/>
              <w:bCs w:val="0"/>
              <w:color w:val="auto"/>
              <w:sz w:val="32"/>
              <w:szCs w:val="32"/>
              <w:highlight w:val="none"/>
            </w:rPr>
          </w:pPr>
          <w:r>
            <w:rPr>
              <w:rFonts w:hint="default" w:ascii="Times New Roman" w:hAnsi="Times New Roman" w:cs="Times New Roman"/>
              <w:b w:val="0"/>
              <w:bCs w:val="0"/>
              <w:color w:val="auto"/>
              <w:sz w:val="32"/>
              <w:szCs w:val="32"/>
              <w:highlight w:val="none"/>
            </w:rPr>
            <w:fldChar w:fldCharType="begin"/>
          </w:r>
          <w:r>
            <w:rPr>
              <w:rFonts w:hint="default" w:ascii="Times New Roman" w:hAnsi="Times New Roman" w:cs="Times New Roman"/>
              <w:b w:val="0"/>
              <w:bCs w:val="0"/>
              <w:color w:val="auto"/>
              <w:sz w:val="32"/>
              <w:szCs w:val="32"/>
              <w:highlight w:val="none"/>
            </w:rPr>
            <w:instrText xml:space="preserve"> HYPERLINK \l _Toc13969 </w:instrText>
          </w:r>
          <w:r>
            <w:rPr>
              <w:rFonts w:hint="default" w:ascii="Times New Roman" w:hAnsi="Times New Roman" w:cs="Times New Roman"/>
              <w:b w:val="0"/>
              <w:bCs w:val="0"/>
              <w:color w:val="auto"/>
              <w:sz w:val="32"/>
              <w:szCs w:val="32"/>
              <w:highlight w:val="none"/>
            </w:rPr>
            <w:fldChar w:fldCharType="separate"/>
          </w:r>
          <w:r>
            <w:rPr>
              <w:rFonts w:hint="default" w:ascii="Times New Roman" w:hAnsi="Times New Roman" w:cs="Times New Roman"/>
              <w:b w:val="0"/>
              <w:bCs w:val="0"/>
              <w:color w:val="auto"/>
              <w:sz w:val="32"/>
              <w:szCs w:val="32"/>
              <w:highlight w:val="none"/>
            </w:rPr>
            <w:t>三、</w:t>
          </w:r>
          <w:r>
            <w:rPr>
              <w:rFonts w:hint="eastAsia" w:ascii="Times New Roman" w:hAnsi="Times New Roman" w:cs="Times New Roman"/>
              <w:b w:val="0"/>
              <w:bCs w:val="0"/>
              <w:color w:val="auto"/>
              <w:sz w:val="32"/>
              <w:szCs w:val="32"/>
              <w:highlight w:val="none"/>
              <w:lang w:eastAsia="zh-CN"/>
            </w:rPr>
            <w:t>指标分析及评价结论</w:t>
          </w:r>
          <w:r>
            <w:rPr>
              <w:b w:val="0"/>
              <w:bCs w:val="0"/>
              <w:color w:val="auto"/>
              <w:sz w:val="32"/>
              <w:szCs w:val="32"/>
              <w:highlight w:val="none"/>
            </w:rPr>
            <w:tab/>
          </w:r>
          <w:r>
            <w:rPr>
              <w:b w:val="0"/>
              <w:bCs w:val="0"/>
              <w:color w:val="auto"/>
              <w:sz w:val="32"/>
              <w:szCs w:val="32"/>
              <w:highlight w:val="none"/>
            </w:rPr>
            <w:fldChar w:fldCharType="begin"/>
          </w:r>
          <w:r>
            <w:rPr>
              <w:b w:val="0"/>
              <w:bCs w:val="0"/>
              <w:color w:val="auto"/>
              <w:sz w:val="32"/>
              <w:szCs w:val="32"/>
              <w:highlight w:val="none"/>
            </w:rPr>
            <w:instrText xml:space="preserve"> PAGEREF _Toc13969 \h </w:instrText>
          </w:r>
          <w:r>
            <w:rPr>
              <w:b w:val="0"/>
              <w:bCs w:val="0"/>
              <w:color w:val="auto"/>
              <w:sz w:val="32"/>
              <w:szCs w:val="32"/>
              <w:highlight w:val="none"/>
            </w:rPr>
            <w:fldChar w:fldCharType="separate"/>
          </w:r>
          <w:r>
            <w:rPr>
              <w:b w:val="0"/>
              <w:bCs w:val="0"/>
              <w:color w:val="auto"/>
              <w:sz w:val="32"/>
              <w:szCs w:val="32"/>
              <w:highlight w:val="none"/>
            </w:rPr>
            <w:t>10</w:t>
          </w:r>
          <w:r>
            <w:rPr>
              <w:b w:val="0"/>
              <w:bCs w:val="0"/>
              <w:color w:val="auto"/>
              <w:sz w:val="32"/>
              <w:szCs w:val="32"/>
              <w:highlight w:val="none"/>
            </w:rPr>
            <w:fldChar w:fldCharType="end"/>
          </w:r>
          <w:r>
            <w:rPr>
              <w:rFonts w:hint="default" w:ascii="Times New Roman" w:hAnsi="Times New Roman" w:cs="Times New Roman"/>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HYPERLINK \l _Toc11610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kern w:val="0"/>
              <w:sz w:val="32"/>
              <w:szCs w:val="32"/>
              <w:highlight w:val="none"/>
            </w:rPr>
            <w:t>（</w:t>
          </w:r>
          <w:r>
            <w:rPr>
              <w:rFonts w:hint="eastAsia" w:ascii="楷体_GB2312" w:hAnsi="楷体_GB2312" w:eastAsia="楷体_GB2312" w:cs="楷体_GB2312"/>
              <w:b w:val="0"/>
              <w:bCs w:val="0"/>
              <w:color w:val="auto"/>
              <w:kern w:val="0"/>
              <w:sz w:val="32"/>
              <w:szCs w:val="32"/>
              <w:highlight w:val="none"/>
              <w:lang w:eastAsia="zh-CN"/>
            </w:rPr>
            <w:t>一</w:t>
          </w:r>
          <w:r>
            <w:rPr>
              <w:rFonts w:hint="eastAsia" w:ascii="楷体_GB2312" w:hAnsi="楷体_GB2312" w:eastAsia="楷体_GB2312" w:cs="楷体_GB2312"/>
              <w:b w:val="0"/>
              <w:bCs w:val="0"/>
              <w:color w:val="auto"/>
              <w:kern w:val="0"/>
              <w:sz w:val="32"/>
              <w:szCs w:val="32"/>
              <w:highlight w:val="none"/>
            </w:rPr>
            <w:t>）</w:t>
          </w:r>
          <w:r>
            <w:rPr>
              <w:rFonts w:hint="eastAsia" w:ascii="楷体_GB2312" w:hAnsi="楷体_GB2312" w:eastAsia="楷体_GB2312" w:cs="楷体_GB2312"/>
              <w:b w:val="0"/>
              <w:bCs w:val="0"/>
              <w:color w:val="auto"/>
              <w:kern w:val="0"/>
              <w:sz w:val="32"/>
              <w:szCs w:val="32"/>
              <w:highlight w:val="none"/>
              <w:lang w:eastAsia="zh-CN"/>
            </w:rPr>
            <w:t>绩效评价指标体系分析</w:t>
          </w:r>
          <w:r>
            <w:rPr>
              <w:rFonts w:hint="eastAsia" w:ascii="楷体_GB2312" w:hAnsi="楷体_GB2312" w:eastAsia="楷体_GB2312" w:cs="楷体_GB2312"/>
              <w:b w:val="0"/>
              <w:bCs w:val="0"/>
              <w:color w:val="auto"/>
              <w:sz w:val="32"/>
              <w:szCs w:val="32"/>
              <w:highlight w:val="none"/>
            </w:rPr>
            <w:tab/>
          </w: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PAGEREF _Toc11610 \h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10</w:t>
          </w:r>
          <w:r>
            <w:rPr>
              <w:rFonts w:hint="eastAsia" w:ascii="楷体_GB2312" w:hAnsi="楷体_GB2312" w:eastAsia="楷体_GB2312" w:cs="楷体_GB2312"/>
              <w:b w:val="0"/>
              <w:bCs w:val="0"/>
              <w:color w:val="auto"/>
              <w:sz w:val="32"/>
              <w:szCs w:val="32"/>
              <w:highlight w:val="none"/>
            </w:rPr>
            <w:fldChar w:fldCharType="end"/>
          </w:r>
          <w:r>
            <w:rPr>
              <w:rFonts w:hint="eastAsia" w:ascii="楷体_GB2312" w:hAnsi="楷体_GB2312" w:eastAsia="楷体_GB2312" w:cs="楷体_GB2312"/>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HYPERLINK \l _Toc1329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kern w:val="0"/>
              <w:sz w:val="32"/>
              <w:szCs w:val="32"/>
              <w:highlight w:val="none"/>
            </w:rPr>
            <w:t>（</w:t>
          </w:r>
          <w:r>
            <w:rPr>
              <w:rFonts w:hint="eastAsia" w:ascii="楷体_GB2312" w:hAnsi="楷体_GB2312" w:eastAsia="楷体_GB2312" w:cs="楷体_GB2312"/>
              <w:b w:val="0"/>
              <w:bCs w:val="0"/>
              <w:color w:val="auto"/>
              <w:kern w:val="0"/>
              <w:sz w:val="32"/>
              <w:szCs w:val="32"/>
              <w:highlight w:val="none"/>
              <w:lang w:eastAsia="zh-CN"/>
            </w:rPr>
            <w:t>二</w:t>
          </w:r>
          <w:r>
            <w:rPr>
              <w:rFonts w:hint="eastAsia" w:ascii="楷体_GB2312" w:hAnsi="楷体_GB2312" w:eastAsia="楷体_GB2312" w:cs="楷体_GB2312"/>
              <w:b w:val="0"/>
              <w:bCs w:val="0"/>
              <w:color w:val="auto"/>
              <w:kern w:val="0"/>
              <w:sz w:val="32"/>
              <w:szCs w:val="32"/>
              <w:highlight w:val="none"/>
            </w:rPr>
            <w:t>）评价结论</w:t>
          </w:r>
          <w:r>
            <w:rPr>
              <w:rFonts w:hint="eastAsia" w:ascii="楷体_GB2312" w:hAnsi="楷体_GB2312" w:eastAsia="楷体_GB2312" w:cs="楷体_GB2312"/>
              <w:b w:val="0"/>
              <w:bCs w:val="0"/>
              <w:color w:val="auto"/>
              <w:sz w:val="32"/>
              <w:szCs w:val="32"/>
              <w:highlight w:val="none"/>
            </w:rPr>
            <w:tab/>
          </w:r>
          <w:r>
            <w:rPr>
              <w:rFonts w:hint="eastAsia" w:ascii="楷体_GB2312" w:hAnsi="楷体_GB2312" w:eastAsia="楷体_GB2312" w:cs="楷体_GB2312"/>
              <w:b w:val="0"/>
              <w:bCs w:val="0"/>
              <w:color w:val="auto"/>
              <w:sz w:val="32"/>
              <w:szCs w:val="32"/>
              <w:highlight w:val="none"/>
            </w:rPr>
            <w:fldChar w:fldCharType="begin"/>
          </w:r>
          <w:r>
            <w:rPr>
              <w:rFonts w:hint="eastAsia" w:ascii="楷体_GB2312" w:hAnsi="楷体_GB2312" w:eastAsia="楷体_GB2312" w:cs="楷体_GB2312"/>
              <w:b w:val="0"/>
              <w:bCs w:val="0"/>
              <w:color w:val="auto"/>
              <w:sz w:val="32"/>
              <w:szCs w:val="32"/>
              <w:highlight w:val="none"/>
            </w:rPr>
            <w:instrText xml:space="preserve"> PAGEREF _Toc1329 \h </w:instrText>
          </w:r>
          <w:r>
            <w:rPr>
              <w:rFonts w:hint="eastAsia" w:ascii="楷体_GB2312" w:hAnsi="楷体_GB2312" w:eastAsia="楷体_GB2312" w:cs="楷体_GB2312"/>
              <w:b w:val="0"/>
              <w:bCs w:val="0"/>
              <w:color w:val="auto"/>
              <w:sz w:val="32"/>
              <w:szCs w:val="32"/>
              <w:highlight w:val="none"/>
            </w:rPr>
            <w:fldChar w:fldCharType="separate"/>
          </w:r>
          <w:r>
            <w:rPr>
              <w:rFonts w:hint="eastAsia" w:ascii="楷体_GB2312" w:hAnsi="楷体_GB2312" w:eastAsia="楷体_GB2312" w:cs="楷体_GB2312"/>
              <w:b w:val="0"/>
              <w:bCs w:val="0"/>
              <w:color w:val="auto"/>
              <w:sz w:val="32"/>
              <w:szCs w:val="32"/>
              <w:highlight w:val="none"/>
            </w:rPr>
            <w:t>13</w:t>
          </w:r>
          <w:r>
            <w:rPr>
              <w:rFonts w:hint="eastAsia" w:ascii="楷体_GB2312" w:hAnsi="楷体_GB2312" w:eastAsia="楷体_GB2312" w:cs="楷体_GB2312"/>
              <w:b w:val="0"/>
              <w:bCs w:val="0"/>
              <w:color w:val="auto"/>
              <w:sz w:val="32"/>
              <w:szCs w:val="32"/>
              <w:highlight w:val="none"/>
            </w:rPr>
            <w:fldChar w:fldCharType="end"/>
          </w:r>
          <w:r>
            <w:rPr>
              <w:rFonts w:hint="eastAsia" w:ascii="楷体_GB2312" w:hAnsi="楷体_GB2312" w:eastAsia="楷体_GB2312" w:cs="楷体_GB2312"/>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HYPERLINK \l _Toc11719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sz w:val="32"/>
              <w:szCs w:val="32"/>
              <w:highlight w:val="none"/>
              <w:lang w:val="en-US" w:eastAsia="zh-CN"/>
            </w:rPr>
            <w:t>1.评价分数和等级</w:t>
          </w:r>
          <w:r>
            <w:rPr>
              <w:rFonts w:hint="eastAsia" w:ascii="仿宋_GB2312" w:hAnsi="仿宋_GB2312" w:eastAsia="仿宋_GB2312" w:cs="仿宋_GB2312"/>
              <w:b w:val="0"/>
              <w:bCs w:val="0"/>
              <w:color w:val="auto"/>
              <w:sz w:val="32"/>
              <w:szCs w:val="32"/>
              <w:highlight w:val="none"/>
            </w:rPr>
            <w:tab/>
          </w: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PAGEREF _Toc11719 \h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sz w:val="32"/>
              <w:szCs w:val="32"/>
              <w:highlight w:val="none"/>
            </w:rPr>
            <w:t>13</w:t>
          </w:r>
          <w:r>
            <w:rPr>
              <w:rFonts w:hint="eastAsia" w:ascii="仿宋_GB2312" w:hAnsi="仿宋_GB2312" w:eastAsia="仿宋_GB2312" w:cs="仿宋_GB2312"/>
              <w:b w:val="0"/>
              <w:bCs w:val="0"/>
              <w:color w:val="auto"/>
              <w:sz w:val="32"/>
              <w:szCs w:val="32"/>
              <w:highlight w:val="none"/>
            </w:rPr>
            <w:fldChar w:fldCharType="end"/>
          </w:r>
          <w:r>
            <w:rPr>
              <w:rFonts w:hint="eastAsia" w:ascii="仿宋_GB2312" w:hAnsi="仿宋_GB2312" w:eastAsia="仿宋_GB2312" w:cs="仿宋_GB2312"/>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HYPERLINK \l _Toc13732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kern w:val="2"/>
              <w:sz w:val="32"/>
              <w:szCs w:val="32"/>
              <w:highlight w:val="none"/>
              <w:shd w:val="clear" w:color="auto" w:fill="auto"/>
              <w:lang w:val="en-US" w:eastAsia="zh-CN" w:bidi="ar-SA"/>
            </w:rPr>
            <w:t>2.工作成效</w:t>
          </w:r>
          <w:r>
            <w:rPr>
              <w:rFonts w:hint="eastAsia" w:ascii="仿宋_GB2312" w:hAnsi="仿宋_GB2312" w:eastAsia="仿宋_GB2312" w:cs="仿宋_GB2312"/>
              <w:b w:val="0"/>
              <w:bCs w:val="0"/>
              <w:color w:val="auto"/>
              <w:sz w:val="32"/>
              <w:szCs w:val="32"/>
              <w:highlight w:val="none"/>
            </w:rPr>
            <w:tab/>
          </w: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PAGEREF _Toc13732 \h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sz w:val="32"/>
              <w:szCs w:val="32"/>
              <w:highlight w:val="none"/>
            </w:rPr>
            <w:t>13</w:t>
          </w:r>
          <w:r>
            <w:rPr>
              <w:rFonts w:hint="eastAsia" w:ascii="仿宋_GB2312" w:hAnsi="仿宋_GB2312" w:eastAsia="仿宋_GB2312" w:cs="仿宋_GB2312"/>
              <w:b w:val="0"/>
              <w:bCs w:val="0"/>
              <w:color w:val="auto"/>
              <w:sz w:val="32"/>
              <w:szCs w:val="32"/>
              <w:highlight w:val="none"/>
            </w:rPr>
            <w:fldChar w:fldCharType="end"/>
          </w:r>
          <w:r>
            <w:rPr>
              <w:rFonts w:hint="eastAsia" w:ascii="仿宋_GB2312" w:hAnsi="仿宋_GB2312" w:eastAsia="仿宋_GB2312" w:cs="仿宋_GB2312"/>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HYPERLINK \l _Toc9062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kern w:val="2"/>
              <w:sz w:val="32"/>
              <w:szCs w:val="32"/>
              <w:highlight w:val="none"/>
              <w:shd w:val="clear" w:color="auto" w:fill="auto"/>
              <w:lang w:val="en-US" w:eastAsia="zh-CN" w:bidi="ar-SA"/>
            </w:rPr>
            <w:t>3.主要问题</w:t>
          </w:r>
          <w:r>
            <w:rPr>
              <w:rFonts w:hint="eastAsia" w:ascii="仿宋_GB2312" w:hAnsi="仿宋_GB2312" w:eastAsia="仿宋_GB2312" w:cs="仿宋_GB2312"/>
              <w:b w:val="0"/>
              <w:bCs w:val="0"/>
              <w:color w:val="auto"/>
              <w:sz w:val="32"/>
              <w:szCs w:val="32"/>
              <w:highlight w:val="none"/>
            </w:rPr>
            <w:tab/>
          </w: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PAGEREF _Toc9062 \h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sz w:val="32"/>
              <w:szCs w:val="32"/>
              <w:highlight w:val="none"/>
            </w:rPr>
            <w:t>15</w:t>
          </w:r>
          <w:r>
            <w:rPr>
              <w:rFonts w:hint="eastAsia" w:ascii="仿宋_GB2312" w:hAnsi="仿宋_GB2312" w:eastAsia="仿宋_GB2312" w:cs="仿宋_GB2312"/>
              <w:b w:val="0"/>
              <w:bCs w:val="0"/>
              <w:color w:val="auto"/>
              <w:sz w:val="32"/>
              <w:szCs w:val="32"/>
              <w:highlight w:val="none"/>
            </w:rPr>
            <w:fldChar w:fldCharType="end"/>
          </w:r>
          <w:r>
            <w:rPr>
              <w:rFonts w:hint="eastAsia" w:ascii="仿宋_GB2312" w:hAnsi="仿宋_GB2312" w:eastAsia="仿宋_GB2312" w:cs="仿宋_GB2312"/>
              <w:b w:val="0"/>
              <w:bCs w:val="0"/>
              <w:color w:val="auto"/>
              <w:sz w:val="32"/>
              <w:szCs w:val="32"/>
              <w:highlight w:val="none"/>
            </w:rPr>
            <w:fldChar w:fldCharType="end"/>
          </w:r>
        </w:p>
        <w:p>
          <w:pPr>
            <w:pStyle w:val="18"/>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HYPERLINK \l _Toc27521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kern w:val="2"/>
              <w:sz w:val="32"/>
              <w:szCs w:val="32"/>
              <w:highlight w:val="none"/>
              <w:lang w:val="en-US" w:eastAsia="zh-CN" w:bidi="ar-SA"/>
            </w:rPr>
            <w:t>4.相关建议</w:t>
          </w:r>
          <w:r>
            <w:rPr>
              <w:rFonts w:hint="eastAsia" w:ascii="仿宋_GB2312" w:hAnsi="仿宋_GB2312" w:eastAsia="仿宋_GB2312" w:cs="仿宋_GB2312"/>
              <w:b w:val="0"/>
              <w:bCs w:val="0"/>
              <w:color w:val="auto"/>
              <w:sz w:val="32"/>
              <w:szCs w:val="32"/>
              <w:highlight w:val="none"/>
            </w:rPr>
            <w:tab/>
          </w: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PAGEREF _Toc27521 \h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sz w:val="32"/>
              <w:szCs w:val="32"/>
              <w:highlight w:val="none"/>
            </w:rPr>
            <w:t>16</w:t>
          </w:r>
          <w:r>
            <w:rPr>
              <w:rFonts w:hint="eastAsia" w:ascii="仿宋_GB2312" w:hAnsi="仿宋_GB2312" w:eastAsia="仿宋_GB2312" w:cs="仿宋_GB2312"/>
              <w:b w:val="0"/>
              <w:bCs w:val="0"/>
              <w:color w:val="auto"/>
              <w:sz w:val="32"/>
              <w:szCs w:val="32"/>
              <w:highlight w:val="none"/>
            </w:rPr>
            <w:fldChar w:fldCharType="end"/>
          </w:r>
          <w:r>
            <w:rPr>
              <w:rFonts w:hint="eastAsia" w:ascii="仿宋_GB2312" w:hAnsi="仿宋_GB2312" w:eastAsia="仿宋_GB2312" w:cs="仿宋_GB2312"/>
              <w:b w:val="0"/>
              <w:bCs w:val="0"/>
              <w:color w:val="auto"/>
              <w:sz w:val="32"/>
              <w:szCs w:val="32"/>
              <w:highlight w:val="none"/>
            </w:rPr>
            <w:fldChar w:fldCharType="end"/>
          </w:r>
        </w:p>
        <w:p>
          <w:pPr>
            <w:pStyle w:val="16"/>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360" w:lineRule="auto"/>
            <w:textAlignment w:val="auto"/>
            <w:rPr>
              <w:b w:val="0"/>
              <w:bCs w:val="0"/>
              <w:color w:val="auto"/>
              <w:sz w:val="32"/>
              <w:szCs w:val="32"/>
              <w:highlight w:val="none"/>
            </w:rPr>
          </w:pPr>
          <w:r>
            <w:rPr>
              <w:rFonts w:hint="default" w:ascii="Times New Roman" w:hAnsi="Times New Roman" w:cs="Times New Roman"/>
              <w:b w:val="0"/>
              <w:bCs w:val="0"/>
              <w:color w:val="auto"/>
              <w:sz w:val="32"/>
              <w:szCs w:val="32"/>
              <w:highlight w:val="none"/>
            </w:rPr>
            <w:fldChar w:fldCharType="begin"/>
          </w:r>
          <w:r>
            <w:rPr>
              <w:rFonts w:hint="default" w:ascii="Times New Roman" w:hAnsi="Times New Roman" w:cs="Times New Roman"/>
              <w:b w:val="0"/>
              <w:bCs w:val="0"/>
              <w:color w:val="auto"/>
              <w:sz w:val="32"/>
              <w:szCs w:val="32"/>
              <w:highlight w:val="none"/>
            </w:rPr>
            <w:instrText xml:space="preserve"> HYPERLINK \l _Toc15031 </w:instrText>
          </w:r>
          <w:r>
            <w:rPr>
              <w:rFonts w:hint="default" w:ascii="Times New Roman" w:hAnsi="Times New Roman" w:cs="Times New Roman"/>
              <w:b w:val="0"/>
              <w:bCs w:val="0"/>
              <w:color w:val="auto"/>
              <w:sz w:val="32"/>
              <w:szCs w:val="32"/>
              <w:highlight w:val="none"/>
            </w:rPr>
            <w:fldChar w:fldCharType="separate"/>
          </w:r>
          <w:r>
            <w:rPr>
              <w:rFonts w:hint="eastAsia" w:ascii="Times New Roman" w:hAnsi="Times New Roman" w:eastAsia="黑体" w:cs="Times New Roman"/>
              <w:b w:val="0"/>
              <w:bCs w:val="0"/>
              <w:color w:val="auto"/>
              <w:sz w:val="32"/>
              <w:szCs w:val="32"/>
              <w:highlight w:val="none"/>
              <w:lang w:eastAsia="zh-CN"/>
            </w:rPr>
            <w:t>四</w:t>
          </w:r>
          <w:r>
            <w:rPr>
              <w:rFonts w:hint="default" w:ascii="Times New Roman" w:hAnsi="Times New Roman" w:eastAsia="黑体" w:cs="Times New Roman"/>
              <w:b w:val="0"/>
              <w:bCs w:val="0"/>
              <w:color w:val="auto"/>
              <w:sz w:val="32"/>
              <w:szCs w:val="32"/>
              <w:highlight w:val="none"/>
            </w:rPr>
            <w:t>、</w:t>
          </w:r>
          <w:r>
            <w:rPr>
              <w:rFonts w:hint="eastAsia" w:ascii="Times New Roman" w:hAnsi="Times New Roman" w:eastAsia="黑体" w:cs="Times New Roman"/>
              <w:b w:val="0"/>
              <w:bCs w:val="0"/>
              <w:color w:val="auto"/>
              <w:sz w:val="32"/>
              <w:szCs w:val="32"/>
              <w:highlight w:val="none"/>
              <w:lang w:eastAsia="zh-CN"/>
            </w:rPr>
            <w:t>评价单位盖章</w:t>
          </w:r>
          <w:r>
            <w:rPr>
              <w:b w:val="0"/>
              <w:bCs w:val="0"/>
              <w:color w:val="auto"/>
              <w:sz w:val="32"/>
              <w:szCs w:val="32"/>
              <w:highlight w:val="none"/>
            </w:rPr>
            <w:tab/>
          </w:r>
          <w:r>
            <w:rPr>
              <w:b w:val="0"/>
              <w:bCs w:val="0"/>
              <w:color w:val="auto"/>
              <w:sz w:val="32"/>
              <w:szCs w:val="32"/>
              <w:highlight w:val="none"/>
            </w:rPr>
            <w:fldChar w:fldCharType="begin"/>
          </w:r>
          <w:r>
            <w:rPr>
              <w:b w:val="0"/>
              <w:bCs w:val="0"/>
              <w:color w:val="auto"/>
              <w:sz w:val="32"/>
              <w:szCs w:val="32"/>
              <w:highlight w:val="none"/>
            </w:rPr>
            <w:instrText xml:space="preserve"> PAGEREF _Toc15031 \h </w:instrText>
          </w:r>
          <w:r>
            <w:rPr>
              <w:b w:val="0"/>
              <w:bCs w:val="0"/>
              <w:color w:val="auto"/>
              <w:sz w:val="32"/>
              <w:szCs w:val="32"/>
              <w:highlight w:val="none"/>
            </w:rPr>
            <w:fldChar w:fldCharType="separate"/>
          </w:r>
          <w:r>
            <w:rPr>
              <w:b w:val="0"/>
              <w:bCs w:val="0"/>
              <w:color w:val="auto"/>
              <w:sz w:val="32"/>
              <w:szCs w:val="32"/>
              <w:highlight w:val="none"/>
            </w:rPr>
            <w:t>17</w:t>
          </w:r>
          <w:r>
            <w:rPr>
              <w:b w:val="0"/>
              <w:bCs w:val="0"/>
              <w:color w:val="auto"/>
              <w:sz w:val="32"/>
              <w:szCs w:val="32"/>
              <w:highlight w:val="none"/>
            </w:rPr>
            <w:fldChar w:fldCharType="end"/>
          </w:r>
          <w:r>
            <w:rPr>
              <w:rFonts w:hint="default" w:ascii="Times New Roman" w:hAnsi="Times New Roman" w:cs="Times New Roman"/>
              <w:b w:val="0"/>
              <w:bCs w:val="0"/>
              <w:color w:val="auto"/>
              <w:sz w:val="32"/>
              <w:szCs w:val="32"/>
              <w:highlight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32"/>
              <w:szCs w:val="32"/>
              <w:highlight w:val="none"/>
            </w:rPr>
          </w:pPr>
          <w:r>
            <w:rPr>
              <w:rFonts w:hint="default" w:ascii="Times New Roman" w:hAnsi="Times New Roman" w:cs="Times New Roman"/>
              <w:b w:val="0"/>
              <w:bCs w:val="0"/>
              <w:color w:val="auto"/>
              <w:sz w:val="32"/>
              <w:szCs w:val="32"/>
              <w:highlight w:val="none"/>
            </w:rPr>
            <w:fldChar w:fldCharType="end"/>
          </w:r>
        </w:p>
      </w:sdtContent>
    </w:sdt>
    <w:p>
      <w:pPr>
        <w:pStyle w:val="7"/>
        <w:keepNext w:val="0"/>
        <w:keepLines w:val="0"/>
        <w:pageBreakBefore w:val="0"/>
        <w:widowControl w:val="0"/>
        <w:kinsoku/>
        <w:wordWrap/>
        <w:overflowPunct/>
        <w:topLinePunct w:val="0"/>
        <w:autoSpaceDE/>
        <w:autoSpaceDN/>
        <w:bidi w:val="0"/>
        <w:adjustRightInd/>
        <w:snapToGrid/>
        <w:spacing w:line="360" w:lineRule="auto"/>
        <w:ind w:firstLine="640"/>
        <w:jc w:val="center"/>
        <w:textAlignment w:val="auto"/>
        <w:outlineLvl w:val="0"/>
        <w:rPr>
          <w:rFonts w:hint="default" w:ascii="Times New Roman" w:hAnsi="Times New Roman" w:eastAsia="黑体" w:cs="Times New Roman"/>
          <w:b w:val="0"/>
          <w:bCs w:val="0"/>
          <w:color w:val="auto"/>
          <w:kern w:val="2"/>
          <w:sz w:val="32"/>
          <w:highlight w:val="none"/>
          <w:lang w:val="en-US"/>
        </w:rPr>
        <w:sectPr>
          <w:headerReference r:id="rId3" w:type="default"/>
          <w:footerReference r:id="rId4" w:type="default"/>
          <w:footnotePr>
            <w:numRestart w:val="eachPage"/>
          </w:footnotePr>
          <w:pgSz w:w="11906" w:h="16838"/>
          <w:pgMar w:top="2098" w:right="1474" w:bottom="1984" w:left="1587" w:header="851" w:footer="992" w:gutter="0"/>
          <w:pgNumType w:start="1"/>
          <w:cols w:space="425" w:num="1"/>
          <w:docGrid w:type="lines" w:linePitch="312" w:charSpace="0"/>
        </w:sectPr>
      </w:pPr>
    </w:p>
    <w:bookmarkEnd w:id="0"/>
    <w:bookmarkEnd w:id="1"/>
    <w:bookmarkEnd w:id="2"/>
    <w:bookmarkEnd w:id="3"/>
    <w:bookmarkEnd w:id="4"/>
    <w:p>
      <w:pPr>
        <w:pStyle w:val="7"/>
        <w:keepNext w:val="0"/>
        <w:keepLines w:val="0"/>
        <w:pageBreakBefore w:val="0"/>
        <w:widowControl w:val="0"/>
        <w:kinsoku/>
        <w:wordWrap/>
        <w:overflowPunct/>
        <w:topLinePunct w:val="0"/>
        <w:autoSpaceDE/>
        <w:autoSpaceDN/>
        <w:bidi w:val="0"/>
        <w:adjustRightInd/>
        <w:snapToGrid/>
        <w:spacing w:line="520" w:lineRule="exact"/>
        <w:ind w:firstLine="883"/>
        <w:jc w:val="center"/>
        <w:textAlignment w:val="auto"/>
        <w:rPr>
          <w:rFonts w:hint="eastAsia" w:ascii="仿宋_GB2312" w:hAnsi="仿宋_GB2312" w:eastAsia="仿宋_GB2312" w:cs="仿宋_GB2312"/>
          <w:b/>
          <w:color w:val="auto"/>
          <w:sz w:val="44"/>
          <w:szCs w:val="44"/>
          <w:highlight w:val="none"/>
          <w:lang w:eastAsia="zh-CN"/>
        </w:rPr>
      </w:pPr>
      <w:r>
        <w:rPr>
          <w:rFonts w:hint="eastAsia" w:ascii="仿宋_GB2312" w:hAnsi="仿宋_GB2312" w:cs="仿宋_GB2312"/>
          <w:b/>
          <w:color w:val="auto"/>
          <w:sz w:val="44"/>
          <w:szCs w:val="44"/>
          <w:highlight w:val="none"/>
          <w:lang w:val="en-US" w:eastAsia="zh-CN"/>
        </w:rPr>
        <w:t>2020年度青岛市教育局</w:t>
      </w:r>
    </w:p>
    <w:p>
      <w:pPr>
        <w:pStyle w:val="7"/>
        <w:keepNext w:val="0"/>
        <w:keepLines w:val="0"/>
        <w:pageBreakBefore w:val="0"/>
        <w:widowControl w:val="0"/>
        <w:kinsoku/>
        <w:wordWrap/>
        <w:overflowPunct/>
        <w:topLinePunct w:val="0"/>
        <w:autoSpaceDE/>
        <w:autoSpaceDN/>
        <w:bidi w:val="0"/>
        <w:adjustRightInd/>
        <w:snapToGrid/>
        <w:spacing w:line="520" w:lineRule="exact"/>
        <w:ind w:firstLine="883"/>
        <w:jc w:val="center"/>
        <w:textAlignment w:val="auto"/>
        <w:rPr>
          <w:rFonts w:hint="eastAsia" w:ascii="仿宋_GB2312" w:hAnsi="仿宋_GB2312" w:eastAsia="仿宋_GB2312" w:cs="仿宋_GB2312"/>
          <w:b/>
          <w:bCs/>
          <w:color w:val="auto"/>
          <w:sz w:val="44"/>
          <w:szCs w:val="44"/>
          <w:highlight w:val="none"/>
          <w:lang w:val="en-US"/>
        </w:rPr>
      </w:pPr>
      <w:r>
        <w:rPr>
          <w:rFonts w:hint="eastAsia" w:ascii="仿宋_GB2312" w:hAnsi="仿宋_GB2312" w:eastAsia="仿宋_GB2312" w:cs="仿宋_GB2312"/>
          <w:b/>
          <w:color w:val="auto"/>
          <w:sz w:val="44"/>
          <w:szCs w:val="44"/>
          <w:highlight w:val="none"/>
        </w:rPr>
        <w:t>整体支出绩效评价报告</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firstLine="640" w:firstLineChars="200"/>
        <w:textAlignment w:val="auto"/>
        <w:rPr>
          <w:rFonts w:hint="default" w:ascii="Times New Roman" w:hAnsi="Times New Roman" w:cs="Times New Roman"/>
          <w:color w:val="auto"/>
          <w:highlight w:val="none"/>
        </w:rPr>
      </w:pPr>
      <w:bookmarkStart w:id="5" w:name="_Toc27366"/>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20" w:lineRule="exact"/>
        <w:ind w:firstLine="640" w:firstLineChars="200"/>
        <w:textAlignment w:val="auto"/>
        <w:rPr>
          <w:rFonts w:hint="eastAsia" w:ascii="Times New Roman" w:hAnsi="Times New Roman" w:cs="Times New Roman"/>
          <w:color w:val="auto"/>
          <w:highlight w:val="none"/>
          <w:lang w:eastAsia="zh-CN"/>
        </w:rPr>
      </w:pPr>
      <w:r>
        <w:rPr>
          <w:rFonts w:hint="default" w:ascii="Times New Roman" w:hAnsi="Times New Roman" w:cs="Times New Roman"/>
          <w:color w:val="auto"/>
          <w:highlight w:val="none"/>
        </w:rPr>
        <w:t>一、</w:t>
      </w:r>
      <w:r>
        <w:rPr>
          <w:rFonts w:hint="eastAsia" w:ascii="Times New Roman" w:hAnsi="Times New Roman" w:cs="Times New Roman"/>
          <w:color w:val="auto"/>
          <w:highlight w:val="none"/>
          <w:lang w:eastAsia="zh-CN"/>
        </w:rPr>
        <w:t>部门基本情况</w:t>
      </w:r>
      <w:bookmarkEnd w:id="5"/>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20" w:lineRule="exact"/>
        <w:ind w:firstLine="640" w:firstLineChars="200"/>
        <w:textAlignment w:val="auto"/>
        <w:outlineLvl w:val="1"/>
        <w:rPr>
          <w:rFonts w:hint="default" w:ascii="楷体_GB2312" w:hAnsi="楷体_GB2312" w:eastAsia="楷体_GB2312" w:cs="楷体_GB2312"/>
          <w:b w:val="0"/>
          <w:bCs w:val="0"/>
          <w:color w:val="auto"/>
          <w:kern w:val="0"/>
          <w:sz w:val="32"/>
          <w:szCs w:val="32"/>
          <w:highlight w:val="none"/>
          <w:lang w:val="en-US" w:eastAsia="zh-CN" w:bidi="ar-SA"/>
        </w:rPr>
      </w:pPr>
      <w:bookmarkStart w:id="6" w:name="_Toc1628"/>
      <w:r>
        <w:rPr>
          <w:rFonts w:hint="eastAsia" w:ascii="楷体_GB2312" w:hAnsi="楷体_GB2312" w:eastAsia="楷体_GB2312" w:cs="楷体_GB2312"/>
          <w:b w:val="0"/>
          <w:bCs w:val="0"/>
          <w:color w:val="auto"/>
          <w:kern w:val="0"/>
          <w:sz w:val="32"/>
          <w:szCs w:val="32"/>
          <w:highlight w:val="none"/>
          <w:lang w:val="en-US" w:eastAsia="zh-CN" w:bidi="ar-SA"/>
        </w:rPr>
        <w:t>（一）</w:t>
      </w:r>
      <w:r>
        <w:rPr>
          <w:rFonts w:hint="default" w:ascii="楷体_GB2312" w:hAnsi="楷体_GB2312" w:eastAsia="楷体_GB2312" w:cs="楷体_GB2312"/>
          <w:b w:val="0"/>
          <w:bCs w:val="0"/>
          <w:color w:val="auto"/>
          <w:kern w:val="0"/>
          <w:sz w:val="32"/>
          <w:szCs w:val="32"/>
          <w:highlight w:val="none"/>
          <w:lang w:val="en-US" w:eastAsia="zh-CN" w:bidi="ar-SA"/>
        </w:rPr>
        <w:t>部门概况</w:t>
      </w:r>
      <w:bookmarkEnd w:id="6"/>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9"/>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highlight w:val="none"/>
          <w:lang w:val="en-US" w:eastAsia="zh-CN"/>
        </w:rPr>
        <w:t>1.</w:t>
      </w:r>
      <w:r>
        <w:rPr>
          <w:rFonts w:hint="eastAsia" w:ascii="仿宋_GB2312" w:hAnsi="仿宋_GB2312" w:eastAsia="仿宋_GB2312" w:cs="仿宋_GB2312"/>
          <w:bCs/>
          <w:color w:val="auto"/>
          <w:kern w:val="0"/>
          <w:sz w:val="32"/>
          <w:szCs w:val="32"/>
          <w:highlight w:val="none"/>
        </w:rPr>
        <w:t>部门设立背景</w:t>
      </w:r>
      <w:bookmarkStart w:id="7" w:name="_Toc26964728"/>
    </w:p>
    <w:bookmarkEnd w:id="7"/>
    <w:p>
      <w:pPr>
        <w:pStyle w:val="77"/>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青岛市教育局是青岛市政府的教育行政部门。</w:t>
      </w:r>
      <w:r>
        <w:rPr>
          <w:rFonts w:hint="default" w:ascii="仿宋_GB2312" w:hAnsi="仿宋_GB2312" w:eastAsia="仿宋_GB2312" w:cs="仿宋_GB2312"/>
          <w:bCs/>
          <w:color w:val="auto"/>
          <w:sz w:val="32"/>
          <w:szCs w:val="32"/>
          <w:highlight w:val="none"/>
          <w:lang w:val="en-US" w:eastAsia="zh-CN"/>
        </w:rPr>
        <w:t>近年来，全市教育系统以习近平新时代中国特色社会主义思想为指导，深入学习贯彻党的十九大精神，全面落实中央和省委、市委对教育工作的各项部署要求，以率先实现教育现代化、让城乡居民学有优教为目标，坚持深化改革和依法治教双轮驱动，学校建设与内涵提升齐头并进，努力办好人民满意的教育。</w:t>
      </w:r>
    </w:p>
    <w:p>
      <w:pPr>
        <w:keepNext w:val="0"/>
        <w:keepLines w:val="0"/>
        <w:pageBreakBefore w:val="0"/>
        <w:widowControl w:val="0"/>
        <w:tabs>
          <w:tab w:val="left" w:pos="3771"/>
        </w:tabs>
        <w:kinsoku/>
        <w:wordWrap/>
        <w:overflowPunct/>
        <w:topLinePunct w:val="0"/>
        <w:autoSpaceDE/>
        <w:autoSpaceDN/>
        <w:bidi w:val="0"/>
        <w:adjustRightInd w:val="0"/>
        <w:snapToGrid w:val="0"/>
        <w:spacing w:line="520" w:lineRule="exact"/>
        <w:ind w:firstLine="640" w:firstLineChars="200"/>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Cs/>
          <w:color w:val="auto"/>
          <w:kern w:val="0"/>
          <w:sz w:val="32"/>
          <w:szCs w:val="32"/>
          <w:highlight w:val="none"/>
          <w:lang w:val="en-US" w:eastAsia="zh-CN"/>
        </w:rPr>
        <w:t>2.</w:t>
      </w:r>
      <w:r>
        <w:rPr>
          <w:rFonts w:hint="eastAsia" w:ascii="仿宋_GB2312" w:hAnsi="仿宋_GB2312" w:eastAsia="仿宋_GB2312" w:cs="仿宋_GB2312"/>
          <w:bCs/>
          <w:color w:val="auto"/>
          <w:kern w:val="0"/>
          <w:sz w:val="32"/>
          <w:szCs w:val="32"/>
          <w:highlight w:val="none"/>
        </w:rPr>
        <w:t>部门职能</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w:t>
      </w:r>
      <w:r>
        <w:rPr>
          <w:rFonts w:hint="eastAsia" w:ascii="仿宋_GB2312" w:hAnsi="仿宋_GB2312" w:eastAsia="仿宋_GB2312" w:cs="仿宋_GB2312"/>
          <w:bCs/>
          <w:color w:val="auto"/>
          <w:kern w:val="0"/>
          <w:sz w:val="32"/>
          <w:szCs w:val="32"/>
          <w:highlight w:val="none"/>
          <w:lang w:val="en-US" w:eastAsia="zh-CN" w:bidi="ar-SA"/>
        </w:rPr>
        <w:t>研究</w:t>
      </w:r>
      <w:r>
        <w:rPr>
          <w:rFonts w:hint="eastAsia" w:ascii="仿宋_GB2312" w:eastAsia="仿宋_GB2312"/>
          <w:color w:val="auto"/>
          <w:sz w:val="32"/>
          <w:szCs w:val="32"/>
        </w:rPr>
        <w:t>制定教育系统党的建设规划并指导实施。负责对教育系统党的建设重大问题进行调查研究</w:t>
      </w:r>
      <w:r>
        <w:rPr>
          <w:rFonts w:hint="eastAsia" w:ascii="仿宋_GB2312" w:eastAsia="仿宋_GB2312"/>
          <w:color w:val="auto"/>
          <w:sz w:val="32"/>
          <w:szCs w:val="32"/>
          <w:lang w:eastAsia="zh-CN"/>
        </w:rPr>
        <w:t>，</w:t>
      </w:r>
      <w:r>
        <w:rPr>
          <w:rFonts w:hint="eastAsia" w:ascii="仿宋_GB2312" w:eastAsia="仿宋_GB2312"/>
          <w:color w:val="auto"/>
          <w:sz w:val="32"/>
          <w:szCs w:val="32"/>
        </w:rPr>
        <w:t>向市委提出意见和建议</w:t>
      </w:r>
      <w:r>
        <w:rPr>
          <w:rFonts w:hint="eastAsia" w:ascii="仿宋_GB2312" w:eastAsia="仿宋_GB2312"/>
          <w:color w:val="auto"/>
          <w:sz w:val="32"/>
          <w:szCs w:val="32"/>
          <w:lang w:eastAsia="zh-CN"/>
        </w:rPr>
        <w:t>，</w:t>
      </w:r>
      <w:r>
        <w:rPr>
          <w:rFonts w:hint="eastAsia" w:ascii="仿宋_GB2312" w:eastAsia="仿宋_GB2312"/>
          <w:color w:val="auto"/>
          <w:sz w:val="32"/>
          <w:szCs w:val="32"/>
        </w:rPr>
        <w:t>在职权范围内对有关问题作出决定。</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w:t>
      </w:r>
      <w:r>
        <w:rPr>
          <w:rFonts w:hint="eastAsia" w:ascii="仿宋_GB2312" w:eastAsia="仿宋_GB2312"/>
          <w:color w:val="auto"/>
          <w:sz w:val="32"/>
          <w:szCs w:val="32"/>
          <w:lang w:eastAsia="zh-CN"/>
        </w:rPr>
        <w:t>）</w:t>
      </w:r>
      <w:r>
        <w:rPr>
          <w:rFonts w:hint="eastAsia" w:ascii="仿宋_GB2312" w:eastAsia="仿宋_GB2312"/>
          <w:color w:val="auto"/>
          <w:sz w:val="32"/>
          <w:szCs w:val="32"/>
        </w:rPr>
        <w:t xml:space="preserve">负责指导教育系统党的基层组织建设和党员队伍建设工作。指导教育系统思想政治建设以及学校德育工作和精神文明建设。指导教育系统工会、团委、妇委会等群团的有关工作。   </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3</w:t>
      </w:r>
      <w:r>
        <w:rPr>
          <w:rFonts w:hint="eastAsia" w:ascii="仿宋_GB2312" w:eastAsia="仿宋_GB2312"/>
          <w:color w:val="auto"/>
          <w:sz w:val="32"/>
          <w:szCs w:val="32"/>
          <w:lang w:eastAsia="zh-CN"/>
        </w:rPr>
        <w:t>）</w:t>
      </w:r>
      <w:r>
        <w:rPr>
          <w:rFonts w:hint="eastAsia" w:ascii="仿宋_GB2312" w:eastAsia="仿宋_GB2312"/>
          <w:color w:val="auto"/>
          <w:sz w:val="32"/>
          <w:szCs w:val="32"/>
        </w:rPr>
        <w:t xml:space="preserve">负责市属高校党的理论宣传、新闻宣传、思想政治、意识形态、维护稳定、统一战线和群众工作。配合做好省属、部属高校党建及相关工作。协助市委组织部做好高等学校领导班子管理工作。 </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eastAsia="zh-CN"/>
        </w:rPr>
        <w:t>）</w:t>
      </w:r>
      <w:r>
        <w:rPr>
          <w:rFonts w:hint="eastAsia" w:ascii="仿宋_GB2312" w:eastAsia="仿宋_GB2312"/>
          <w:color w:val="auto"/>
          <w:sz w:val="32"/>
          <w:szCs w:val="32"/>
        </w:rPr>
        <w:t>贯彻执行教育工作法律法规和方针政策</w:t>
      </w:r>
      <w:r>
        <w:rPr>
          <w:rFonts w:hint="eastAsia" w:ascii="仿宋_GB2312" w:eastAsia="仿宋_GB2312"/>
          <w:color w:val="auto"/>
          <w:sz w:val="32"/>
          <w:szCs w:val="32"/>
          <w:lang w:eastAsia="zh-CN"/>
        </w:rPr>
        <w:t>，</w:t>
      </w:r>
      <w:r>
        <w:rPr>
          <w:rFonts w:hint="eastAsia" w:ascii="仿宋_GB2312" w:eastAsia="仿宋_GB2312"/>
          <w:color w:val="auto"/>
          <w:sz w:val="32"/>
          <w:szCs w:val="32"/>
        </w:rPr>
        <w:t xml:space="preserve">起草有关地方性法规、政府规章草案。拟订教育改革与发展的政策、规划并组织实施。负责教育基本信息的统计、分析、发布工作。 </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w:t>
      </w:r>
      <w:r>
        <w:rPr>
          <w:rFonts w:hint="eastAsia" w:ascii="仿宋_GB2312" w:eastAsia="仿宋_GB2312"/>
          <w:color w:val="auto"/>
          <w:sz w:val="32"/>
          <w:szCs w:val="32"/>
        </w:rPr>
        <w:t xml:space="preserve">负责基础教育(含学前教育、高等教育、职业教育、继续教育、民办教育、少数民族教育和特殊教育的统筹规划和协调管理工作。负责教育领域人才队伍建设。负责教育督导与评估工作。 </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w:t>
      </w:r>
      <w:r>
        <w:rPr>
          <w:rFonts w:hint="eastAsia" w:ascii="仿宋_GB2312" w:eastAsia="仿宋_GB2312"/>
          <w:color w:val="auto"/>
          <w:sz w:val="32"/>
          <w:szCs w:val="32"/>
        </w:rPr>
        <w:t>负责推动全市义务教育均衡发展</w:t>
      </w:r>
      <w:r>
        <w:rPr>
          <w:rFonts w:hint="eastAsia" w:ascii="仿宋_GB2312" w:eastAsia="仿宋_GB2312"/>
          <w:color w:val="auto"/>
          <w:sz w:val="32"/>
          <w:szCs w:val="32"/>
          <w:lang w:eastAsia="zh-CN"/>
        </w:rPr>
        <w:t>，</w:t>
      </w:r>
      <w:r>
        <w:rPr>
          <w:rFonts w:hint="eastAsia" w:ascii="仿宋_GB2312" w:eastAsia="仿宋_GB2312"/>
          <w:color w:val="auto"/>
          <w:sz w:val="32"/>
          <w:szCs w:val="32"/>
        </w:rPr>
        <w:t>促进教育公平。制定全域义务教育均衡发展规划</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rPr>
        <w:t>合理规划义务</w:t>
      </w:r>
      <w:r>
        <w:rPr>
          <w:rFonts w:hint="eastAsia" w:ascii="仿宋_GB2312" w:eastAsia="仿宋_GB2312"/>
          <w:color w:val="auto"/>
          <w:sz w:val="32"/>
          <w:szCs w:val="32"/>
          <w:highlight w:val="none"/>
          <w:u w:val="none"/>
        </w:rPr>
        <w:t>教育学校布局</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均衡配置资源</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缩小城乡间、区(市)间、校际间义</w:t>
      </w:r>
      <w:r>
        <w:rPr>
          <w:rFonts w:hint="eastAsia" w:ascii="仿宋_GB2312" w:eastAsia="仿宋_GB2312"/>
          <w:color w:val="auto"/>
          <w:sz w:val="32"/>
          <w:szCs w:val="32"/>
          <w:highlight w:val="none"/>
        </w:rPr>
        <w:t>务</w:t>
      </w:r>
      <w:r>
        <w:rPr>
          <w:rFonts w:hint="eastAsia" w:ascii="仿宋_GB2312" w:eastAsia="仿宋_GB2312"/>
          <w:color w:val="auto"/>
          <w:sz w:val="32"/>
          <w:szCs w:val="32"/>
        </w:rPr>
        <w:t xml:space="preserve">教育差距。  </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7</w:t>
      </w:r>
      <w:r>
        <w:rPr>
          <w:rFonts w:hint="eastAsia" w:ascii="仿宋_GB2312" w:eastAsia="仿宋_GB2312"/>
          <w:color w:val="auto"/>
          <w:sz w:val="32"/>
          <w:szCs w:val="32"/>
          <w:lang w:eastAsia="zh-CN"/>
        </w:rPr>
        <w:t>）</w:t>
      </w:r>
      <w:r>
        <w:rPr>
          <w:rFonts w:hint="eastAsia" w:ascii="仿宋_GB2312" w:eastAsia="仿宋_GB2312"/>
          <w:color w:val="auto"/>
          <w:sz w:val="32"/>
          <w:szCs w:val="32"/>
        </w:rPr>
        <w:t>负责市级教育经费的统筹管理</w:t>
      </w:r>
      <w:r>
        <w:rPr>
          <w:rFonts w:hint="eastAsia" w:ascii="仿宋_GB2312" w:eastAsia="仿宋_GB2312"/>
          <w:color w:val="auto"/>
          <w:sz w:val="32"/>
          <w:szCs w:val="32"/>
          <w:lang w:eastAsia="zh-CN"/>
        </w:rPr>
        <w:t>，</w:t>
      </w:r>
      <w:r>
        <w:rPr>
          <w:rFonts w:hint="eastAsia" w:ascii="仿宋_GB2312" w:eastAsia="仿宋_GB2312"/>
          <w:color w:val="auto"/>
          <w:sz w:val="32"/>
          <w:szCs w:val="32"/>
        </w:rPr>
        <w:t>参与拟订教育经费筹措、教育拨款、教育基建投资和学生资助等政策</w:t>
      </w:r>
      <w:r>
        <w:rPr>
          <w:rFonts w:hint="eastAsia" w:ascii="仿宋_GB2312" w:eastAsia="仿宋_GB2312"/>
          <w:color w:val="auto"/>
          <w:sz w:val="32"/>
          <w:szCs w:val="32"/>
          <w:lang w:eastAsia="zh-CN"/>
        </w:rPr>
        <w:t>，</w:t>
      </w:r>
      <w:r>
        <w:rPr>
          <w:rFonts w:hint="eastAsia" w:ascii="仿宋_GB2312" w:eastAsia="仿宋_GB2312"/>
          <w:color w:val="auto"/>
          <w:sz w:val="32"/>
          <w:szCs w:val="32"/>
        </w:rPr>
        <w:t>监测中等及以下学校教育经费筹措和使用。管理权限内教育援助和教育贷款。承担义务教育经费保障机制改革有关工作。</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8</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none"/>
          <w:u w:val="none"/>
        </w:rPr>
        <w:t xml:space="preserve">组织制定中等及以下学历教育招生政策并组织实施。承办市属高校、民办学历高校、中等专业学校等有关招生工作。   </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none"/>
          <w:u w:val="none"/>
        </w:rPr>
        <w:t>主管中等及以下学校教师工作</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 xml:space="preserve">指导学校教师队伍建设和学校内部管理制度改革。负责师范类毕业生就业相关工作。 </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none"/>
          <w:u w:val="none"/>
        </w:rPr>
        <w:t>指导中等及以下学校的教育教学改革、教育科研、教学研究、德育、体育、卫生健康、艺术教育和国防教育等工作</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 xml:space="preserve">指导学校参与创新体系建设,开展创新创业教育。 </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11</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none"/>
          <w:u w:val="none"/>
        </w:rPr>
        <w:t>督查、指导、协调教育系统安全稳定工作和防范、处理突发应急事件</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负责所属单位安全稳定工作。</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12</w:t>
      </w:r>
      <w:r>
        <w:rPr>
          <w:rFonts w:hint="eastAsia" w:ascii="仿宋_GB2312" w:eastAsia="仿宋_GB2312"/>
          <w:color w:val="auto"/>
          <w:sz w:val="32"/>
          <w:szCs w:val="32"/>
          <w:lang w:eastAsia="zh-CN"/>
        </w:rPr>
        <w:t>）</w:t>
      </w:r>
      <w:r>
        <w:rPr>
          <w:rFonts w:hint="eastAsia" w:ascii="仿宋_GB2312" w:eastAsia="仿宋_GB2312"/>
          <w:color w:val="auto"/>
          <w:sz w:val="32"/>
          <w:szCs w:val="32"/>
        </w:rPr>
        <w:t>负责与国外、港澳台地区的教育交流与合作。承担推进教育领域招商引资、招才引智等相关工作。负</w:t>
      </w:r>
      <w:r>
        <w:rPr>
          <w:rFonts w:hint="eastAsia" w:ascii="仿宋_GB2312" w:eastAsia="仿宋_GB2312"/>
          <w:color w:val="auto"/>
          <w:sz w:val="32"/>
          <w:szCs w:val="32"/>
          <w:highlight w:val="none"/>
          <w:u w:val="none"/>
        </w:rPr>
        <w:t>责推动</w:t>
      </w:r>
      <w:r>
        <w:rPr>
          <w:rFonts w:hint="eastAsia" w:ascii="仿宋_GB2312" w:eastAsia="仿宋_GB2312"/>
          <w:color w:val="auto"/>
          <w:sz w:val="32"/>
          <w:szCs w:val="32"/>
        </w:rPr>
        <w:t>政府向社会力量购买服务。培育、引导、扶持教育行业协会发展</w:t>
      </w:r>
      <w:r>
        <w:rPr>
          <w:rFonts w:hint="eastAsia" w:ascii="仿宋_GB2312" w:eastAsia="仿宋_GB2312"/>
          <w:color w:val="auto"/>
          <w:sz w:val="32"/>
          <w:szCs w:val="32"/>
          <w:lang w:eastAsia="zh-CN"/>
        </w:rPr>
        <w:t>，</w:t>
      </w:r>
      <w:r>
        <w:rPr>
          <w:rFonts w:hint="eastAsia" w:ascii="仿宋_GB2312" w:eastAsia="仿宋_GB2312"/>
          <w:color w:val="auto"/>
          <w:sz w:val="32"/>
          <w:szCs w:val="32"/>
        </w:rPr>
        <w:t>推进行业协会自律</w:t>
      </w:r>
      <w:r>
        <w:rPr>
          <w:rFonts w:hint="eastAsia" w:ascii="仿宋_GB2312" w:eastAsia="仿宋_GB2312"/>
          <w:color w:val="auto"/>
          <w:sz w:val="32"/>
          <w:szCs w:val="32"/>
          <w:lang w:eastAsia="zh-CN"/>
        </w:rPr>
        <w:t>，</w:t>
      </w:r>
      <w:r>
        <w:rPr>
          <w:rFonts w:hint="eastAsia" w:ascii="仿宋_GB2312" w:eastAsia="仿宋_GB2312"/>
          <w:color w:val="auto"/>
          <w:sz w:val="32"/>
          <w:szCs w:val="32"/>
        </w:rPr>
        <w:t>发挥服务国家、服务社会、服务群众、服务行业的作用</w:t>
      </w:r>
      <w:r>
        <w:rPr>
          <w:rFonts w:hint="eastAsia" w:ascii="仿宋_GB2312"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13</w:t>
      </w:r>
      <w:r>
        <w:rPr>
          <w:rFonts w:hint="eastAsia" w:ascii="仿宋_GB2312" w:eastAsia="仿宋_GB2312"/>
          <w:color w:val="auto"/>
          <w:sz w:val="32"/>
          <w:szCs w:val="32"/>
          <w:lang w:eastAsia="zh-CN"/>
        </w:rPr>
        <w:t>）</w:t>
      </w:r>
      <w:r>
        <w:rPr>
          <w:rFonts w:hint="eastAsia" w:ascii="仿宋_GB2312" w:eastAsia="仿宋_GB2312"/>
          <w:color w:val="auto"/>
          <w:sz w:val="32"/>
          <w:szCs w:val="32"/>
        </w:rPr>
        <w:t>组织拟订语言文字工作中长期规划</w:t>
      </w:r>
      <w:r>
        <w:rPr>
          <w:rFonts w:hint="eastAsia" w:ascii="仿宋_GB2312" w:eastAsia="仿宋_GB2312"/>
          <w:color w:val="auto"/>
          <w:sz w:val="32"/>
          <w:szCs w:val="32"/>
          <w:lang w:eastAsia="zh-CN"/>
        </w:rPr>
        <w:t>，</w:t>
      </w:r>
      <w:r>
        <w:rPr>
          <w:rFonts w:hint="eastAsia" w:ascii="仿宋_GB2312" w:eastAsia="仿宋_GB2312"/>
          <w:color w:val="auto"/>
          <w:sz w:val="32"/>
          <w:szCs w:val="32"/>
        </w:rPr>
        <w:t>负责语言文字工作</w:t>
      </w:r>
      <w:r>
        <w:rPr>
          <w:rFonts w:hint="eastAsia" w:ascii="仿宋_GB2312" w:eastAsia="仿宋_GB2312"/>
          <w:color w:val="auto"/>
          <w:sz w:val="32"/>
          <w:szCs w:val="32"/>
          <w:lang w:eastAsia="zh-CN"/>
        </w:rPr>
        <w:t>，</w:t>
      </w:r>
      <w:r>
        <w:rPr>
          <w:rFonts w:hint="eastAsia" w:ascii="仿宋_GB2312" w:eastAsia="仿宋_GB2312"/>
          <w:color w:val="auto"/>
          <w:sz w:val="32"/>
          <w:szCs w:val="32"/>
        </w:rPr>
        <w:t xml:space="preserve">承担市语言文字工作指导委员会的日常工作。 </w:t>
      </w:r>
    </w:p>
    <w:p>
      <w:pPr>
        <w:keepNext w:val="0"/>
        <w:keepLines w:val="0"/>
        <w:pageBreakBefore w:val="0"/>
        <w:widowControl w:val="0"/>
        <w:tabs>
          <w:tab w:val="left" w:pos="3771"/>
        </w:tabs>
        <w:kinsoku/>
        <w:wordWrap/>
        <w:overflowPunct/>
        <w:topLinePunct w:val="0"/>
        <w:autoSpaceDE/>
        <w:autoSpaceDN/>
        <w:bidi w:val="0"/>
        <w:adjustRightInd w:val="0"/>
        <w:snapToGrid w:val="0"/>
        <w:spacing w:line="520" w:lineRule="exact"/>
        <w:ind w:firstLine="640" w:firstLineChars="200"/>
        <w:textAlignment w:val="auto"/>
        <w:outlineLvl w:val="2"/>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14</w:t>
      </w:r>
      <w:r>
        <w:rPr>
          <w:rFonts w:hint="eastAsia" w:ascii="仿宋_GB2312" w:eastAsia="仿宋_GB2312"/>
          <w:color w:val="auto"/>
          <w:sz w:val="32"/>
          <w:szCs w:val="32"/>
          <w:lang w:eastAsia="zh-CN"/>
        </w:rPr>
        <w:t>）</w:t>
      </w:r>
      <w:r>
        <w:rPr>
          <w:rFonts w:hint="eastAsia" w:ascii="仿宋_GB2312" w:eastAsia="仿宋_GB2312"/>
          <w:color w:val="auto"/>
          <w:sz w:val="32"/>
          <w:szCs w:val="32"/>
        </w:rPr>
        <w:t>完成市委、市政府交办的其他任务。</w:t>
      </w:r>
    </w:p>
    <w:p>
      <w:pPr>
        <w:keepNext w:val="0"/>
        <w:keepLines w:val="0"/>
        <w:pageBreakBefore w:val="0"/>
        <w:widowControl w:val="0"/>
        <w:tabs>
          <w:tab w:val="left" w:pos="3771"/>
        </w:tabs>
        <w:kinsoku/>
        <w:wordWrap/>
        <w:overflowPunct/>
        <w:topLinePunct w:val="0"/>
        <w:autoSpaceDE/>
        <w:autoSpaceDN/>
        <w:bidi w:val="0"/>
        <w:adjustRightInd w:val="0"/>
        <w:snapToGrid w:val="0"/>
        <w:spacing w:line="520" w:lineRule="exact"/>
        <w:ind w:firstLine="640" w:firstLineChars="200"/>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.部门架构</w:t>
      </w:r>
    </w:p>
    <w:p>
      <w:pPr>
        <w:pStyle w:val="77"/>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eastAsia" w:ascii="仿宋_GB2312" w:hAnsi="宋体" w:eastAsia="仿宋_GB2312" w:cs="Courier New"/>
          <w:color w:val="auto"/>
          <w:sz w:val="32"/>
          <w:szCs w:val="32"/>
        </w:rPr>
      </w:pPr>
      <w:r>
        <w:rPr>
          <w:rFonts w:hint="eastAsia" w:ascii="仿宋_GB2312" w:hAnsi="宋体" w:eastAsia="仿宋_GB2312" w:cs="Courier New"/>
          <w:color w:val="auto"/>
          <w:sz w:val="32"/>
          <w:szCs w:val="32"/>
        </w:rPr>
        <w:t>青岛市教育局部门内设机构共16个，分别为：办公室、政策法规处、学前教育处、基础教育处、职业教育与继续教育处、高等教育处、民办教育处（挂行政执法处牌子）、体育卫生与艺术教育处（挂语言文字处牌子）、家庭教育处、思想政治与德育工作处、国际交流合作处、学校安全管理处、教师工作处(挂人事处牌子)、规划财务处(挂审计处牌子)、市政府教育督导室、组织处(挂统战处牌子)。</w:t>
      </w:r>
    </w:p>
    <w:p>
      <w:pPr>
        <w:keepNext w:val="0"/>
        <w:keepLines w:val="0"/>
        <w:pageBreakBefore w:val="0"/>
        <w:widowControl w:val="0"/>
        <w:kinsoku/>
        <w:wordWrap/>
        <w:overflowPunct/>
        <w:topLinePunct w:val="0"/>
        <w:autoSpaceDE/>
        <w:autoSpaceDN/>
        <w:bidi w:val="0"/>
        <w:adjustRightInd w:val="0"/>
        <w:snapToGrid w:val="0"/>
        <w:spacing w:line="520" w:lineRule="exact"/>
        <w:ind w:firstLine="547" w:firstLineChars="171"/>
        <w:textAlignment w:val="auto"/>
        <w:rPr>
          <w:rFonts w:hint="eastAsia" w:ascii="仿宋_GB2312" w:hAnsi="宋体" w:eastAsia="仿宋_GB2312" w:cs="Courier New"/>
          <w:color w:val="auto"/>
          <w:sz w:val="32"/>
          <w:szCs w:val="32"/>
        </w:rPr>
      </w:pPr>
      <w:r>
        <w:rPr>
          <w:rFonts w:hint="eastAsia" w:ascii="仿宋_GB2312" w:hAnsi="仿宋_GB2312" w:eastAsia="仿宋_GB2312" w:cs="仿宋_GB2312"/>
          <w:bCs/>
          <w:color w:val="auto"/>
          <w:sz w:val="32"/>
          <w:szCs w:val="32"/>
          <w:highlight w:val="none"/>
          <w:lang w:eastAsia="zh-CN"/>
        </w:rPr>
        <w:t>青岛市教育局</w:t>
      </w:r>
      <w:r>
        <w:rPr>
          <w:rFonts w:hint="eastAsia" w:ascii="仿宋_GB2312" w:hAnsi="仿宋_GB2312" w:eastAsia="仿宋_GB2312" w:cs="仿宋_GB2312"/>
          <w:bCs/>
          <w:color w:val="auto"/>
          <w:sz w:val="32"/>
          <w:szCs w:val="32"/>
          <w:highlight w:val="none"/>
        </w:rPr>
        <w:t>事业单位共</w:t>
      </w:r>
      <w:r>
        <w:rPr>
          <w:rFonts w:hint="eastAsia" w:ascii="仿宋_GB2312" w:hAnsi="仿宋_GB2312" w:eastAsia="仿宋_GB2312" w:cs="仿宋_GB2312"/>
          <w:bCs/>
          <w:color w:val="auto"/>
          <w:sz w:val="32"/>
          <w:szCs w:val="32"/>
          <w:highlight w:val="none"/>
          <w:lang w:val="en-US" w:eastAsia="zh-CN"/>
        </w:rPr>
        <w:t>46</w:t>
      </w:r>
      <w:r>
        <w:rPr>
          <w:rFonts w:hint="eastAsia" w:ascii="仿宋_GB2312" w:hAnsi="仿宋_GB2312" w:eastAsia="仿宋_GB2312" w:cs="仿宋_GB2312"/>
          <w:bCs/>
          <w:color w:val="auto"/>
          <w:sz w:val="32"/>
          <w:szCs w:val="32"/>
          <w:highlight w:val="none"/>
        </w:rPr>
        <w:t>个：</w:t>
      </w:r>
      <w:r>
        <w:rPr>
          <w:rFonts w:hint="eastAsia" w:ascii="仿宋_GB2312" w:hAnsi="宋体" w:eastAsia="仿宋_GB2312" w:cs="Courier New"/>
          <w:color w:val="auto"/>
          <w:sz w:val="32"/>
          <w:szCs w:val="32"/>
        </w:rPr>
        <w:t>山东省青岛第一中学</w:t>
      </w:r>
      <w:r>
        <w:rPr>
          <w:rFonts w:hint="eastAsia" w:ascii="仿宋_GB2312" w:hAnsi="宋体" w:eastAsia="仿宋_GB2312" w:cs="Courier New"/>
          <w:color w:val="auto"/>
          <w:sz w:val="32"/>
          <w:szCs w:val="32"/>
          <w:lang w:eastAsia="zh-CN"/>
        </w:rPr>
        <w:t>、</w:t>
      </w:r>
      <w:r>
        <w:rPr>
          <w:rFonts w:hint="eastAsia" w:ascii="仿宋_GB2312" w:hAnsi="宋体" w:eastAsia="仿宋_GB2312" w:cs="Courier New"/>
          <w:color w:val="auto"/>
          <w:sz w:val="32"/>
          <w:szCs w:val="32"/>
        </w:rPr>
        <w:t>山东省青岛第二中学</w:t>
      </w:r>
      <w:r>
        <w:rPr>
          <w:rFonts w:hint="eastAsia" w:ascii="仿宋_GB2312" w:hAnsi="宋体" w:eastAsia="仿宋_GB2312" w:cs="Courier New"/>
          <w:color w:val="auto"/>
          <w:sz w:val="32"/>
          <w:szCs w:val="32"/>
          <w:lang w:eastAsia="zh-CN"/>
        </w:rPr>
        <w:t>、</w:t>
      </w:r>
      <w:r>
        <w:rPr>
          <w:rFonts w:hint="eastAsia" w:ascii="仿宋_GB2312" w:hAnsi="宋体" w:eastAsia="仿宋_GB2312" w:cs="Courier New"/>
          <w:color w:val="auto"/>
          <w:sz w:val="32"/>
          <w:szCs w:val="32"/>
        </w:rPr>
        <w:t>山东省青岛第二中学分校</w:t>
      </w:r>
      <w:r>
        <w:rPr>
          <w:rFonts w:hint="eastAsia" w:ascii="仿宋_GB2312" w:hAnsi="宋体" w:eastAsia="仿宋_GB2312" w:cs="Courier New"/>
          <w:color w:val="auto"/>
          <w:sz w:val="32"/>
          <w:szCs w:val="32"/>
          <w:lang w:eastAsia="zh-CN"/>
        </w:rPr>
        <w:t>、</w:t>
      </w:r>
      <w:r>
        <w:rPr>
          <w:rFonts w:hint="eastAsia" w:ascii="仿宋_GB2312" w:hAnsi="宋体" w:eastAsia="仿宋_GB2312" w:cs="Courier New"/>
          <w:color w:val="auto"/>
          <w:sz w:val="32"/>
          <w:szCs w:val="32"/>
        </w:rPr>
        <w:t>山东省青岛实验初级中学</w:t>
      </w:r>
      <w:r>
        <w:rPr>
          <w:rFonts w:hint="eastAsia" w:ascii="仿宋_GB2312" w:hAnsi="宋体" w:eastAsia="仿宋_GB2312" w:cs="Courier New"/>
          <w:color w:val="auto"/>
          <w:sz w:val="32"/>
          <w:szCs w:val="32"/>
          <w:lang w:eastAsia="zh-CN"/>
        </w:rPr>
        <w:t>、</w:t>
      </w:r>
      <w:r>
        <w:rPr>
          <w:rFonts w:hint="eastAsia" w:ascii="仿宋_GB2312" w:hAnsi="宋体" w:eastAsia="仿宋_GB2312" w:cs="Courier New"/>
          <w:color w:val="auto"/>
          <w:sz w:val="32"/>
          <w:szCs w:val="32"/>
        </w:rPr>
        <w:t>山东省青岛第三中学</w:t>
      </w:r>
      <w:r>
        <w:rPr>
          <w:rFonts w:hint="eastAsia" w:ascii="仿宋_GB2312" w:hAnsi="宋体" w:eastAsia="仿宋_GB2312" w:cs="Courier New"/>
          <w:color w:val="auto"/>
          <w:sz w:val="32"/>
          <w:szCs w:val="32"/>
          <w:lang w:eastAsia="zh-CN"/>
        </w:rPr>
        <w:t>、</w:t>
      </w:r>
      <w:r>
        <w:rPr>
          <w:rFonts w:hint="eastAsia" w:ascii="仿宋_GB2312" w:hAnsi="宋体" w:eastAsia="仿宋_GB2312" w:cs="Courier New"/>
          <w:color w:val="auto"/>
          <w:sz w:val="32"/>
          <w:szCs w:val="32"/>
        </w:rPr>
        <w:t>山东省青岛第六中学、山东省青岛第九中学、青岛外事服务职业学校、青岛交通职业学校、山东省青岛第十五中学、山东省青岛第十六中学、山东省青岛第十七中学、青岛华夏职业教育中心、山东省青岛第十九中学、青岛经济职业学校、青岛旅游学校、青岛烹饪职业学校、青岛电子学校、青岛幼儿师范学校、青岛商务学校、山东省青岛第三十七中学、山东省青岛第三十九中学、青岛工贸职业学校、青岛艺术学校、青岛市中学生综合实践教育中心、青岛城市管理职业学校、山东省青岛第五十八中学、山东省青岛第六十六中学、青岛财经职业学校、青岛市盲校、青岛中心聋校、青岛市实验幼儿园、平度师范学校、青岛市职业教育公共实训基地、山东省轻工工程学校、山东省青岛第六十七中学、山东省青岛第六十八中学、</w:t>
      </w:r>
      <w:r>
        <w:rPr>
          <w:rFonts w:ascii="仿宋_GB2312" w:hAnsi="宋体" w:eastAsia="仿宋_GB2312" w:cs="Courier New"/>
          <w:color w:val="auto"/>
          <w:sz w:val="32"/>
          <w:szCs w:val="32"/>
        </w:rPr>
        <w:t>青岛高新职业学校</w:t>
      </w:r>
      <w:r>
        <w:rPr>
          <w:rFonts w:hint="eastAsia" w:ascii="仿宋_GB2312" w:hAnsi="宋体" w:eastAsia="仿宋_GB2312" w:cs="Courier New"/>
          <w:color w:val="auto"/>
          <w:sz w:val="32"/>
          <w:szCs w:val="32"/>
        </w:rPr>
        <w:t>、青岛市晨星实验学校、青岛市教育后勤保障服务中心、</w:t>
      </w:r>
      <w:r>
        <w:rPr>
          <w:rFonts w:ascii="仿宋_GB2312" w:hAnsi="宋体" w:eastAsia="仿宋_GB2312" w:cs="Courier New"/>
          <w:color w:val="auto"/>
          <w:sz w:val="32"/>
          <w:szCs w:val="32"/>
        </w:rPr>
        <w:t>青岛市教育装备与信息技术中心</w:t>
      </w:r>
      <w:r>
        <w:rPr>
          <w:rFonts w:hint="eastAsia" w:ascii="仿宋_GB2312" w:hAnsi="宋体" w:eastAsia="仿宋_GB2312" w:cs="Courier New"/>
          <w:color w:val="auto"/>
          <w:sz w:val="32"/>
          <w:szCs w:val="32"/>
        </w:rPr>
        <w:t>、青岛市教育局基建中心、青岛市教育科学研究院、青岛市招生考试院、青岛市学生资助中心、青岛市教育人才综合服务中心（加挂市普通话培训测试中心牌子）</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9"/>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highlight w:val="none"/>
          <w:lang w:val="en-US" w:eastAsia="zh-CN"/>
        </w:rPr>
        <w:t>4.资金投入</w:t>
      </w:r>
      <w:r>
        <w:rPr>
          <w:rFonts w:hint="eastAsia" w:ascii="仿宋_GB2312" w:hAnsi="仿宋_GB2312" w:eastAsia="仿宋_GB2312" w:cs="仿宋_GB2312"/>
          <w:bCs/>
          <w:color w:val="auto"/>
          <w:kern w:val="0"/>
          <w:sz w:val="32"/>
          <w:szCs w:val="32"/>
          <w:highlight w:val="none"/>
        </w:rPr>
        <w:t>及</w:t>
      </w:r>
      <w:r>
        <w:rPr>
          <w:rFonts w:hint="eastAsia" w:ascii="仿宋_GB2312" w:hAnsi="仿宋_GB2312" w:eastAsia="仿宋_GB2312" w:cs="仿宋_GB2312"/>
          <w:bCs/>
          <w:color w:val="auto"/>
          <w:kern w:val="0"/>
          <w:sz w:val="32"/>
          <w:szCs w:val="32"/>
          <w:highlight w:val="none"/>
          <w:lang w:eastAsia="zh-CN"/>
        </w:rPr>
        <w:t>使用情况</w:t>
      </w:r>
    </w:p>
    <w:p>
      <w:pPr>
        <w:pStyle w:val="77"/>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eastAsia" w:ascii="仿宋_GB2312" w:hAnsi="仿宋_GB2312" w:eastAsia="仿宋_GB2312" w:cs="仿宋_GB2312"/>
          <w:color w:val="auto"/>
          <w:sz w:val="32"/>
          <w:szCs w:val="32"/>
          <w:highlight w:val="none"/>
        </w:rPr>
      </w:pPr>
      <w:bookmarkStart w:id="8" w:name="_Toc26964729"/>
      <w:r>
        <w:rPr>
          <w:rFonts w:hint="eastAsia" w:ascii="仿宋_GB2312" w:hAnsi="仿宋_GB2312" w:eastAsia="仿宋_GB2312" w:cs="仿宋_GB2312"/>
          <w:bCs/>
          <w:color w:val="auto"/>
          <w:sz w:val="32"/>
          <w:szCs w:val="32"/>
          <w:highlight w:val="none"/>
          <w:lang w:eastAsia="zh-CN"/>
        </w:rPr>
        <w:t>根据《青岛市教育局收入支出决算总表》，</w:t>
      </w:r>
      <w:r>
        <w:rPr>
          <w:rFonts w:hint="eastAsia" w:ascii="仿宋_GB2312" w:hAnsi="仿宋_GB2312" w:eastAsia="仿宋_GB2312" w:cs="仿宋_GB2312"/>
          <w:bCs/>
          <w:color w:val="auto"/>
          <w:sz w:val="32"/>
          <w:szCs w:val="32"/>
          <w:highlight w:val="none"/>
        </w:rPr>
        <w:t>2020年度</w:t>
      </w:r>
      <w:r>
        <w:rPr>
          <w:rFonts w:hint="eastAsia" w:ascii="仿宋_GB2312" w:hAnsi="仿宋_GB2312" w:eastAsia="仿宋_GB2312" w:cs="仿宋_GB2312"/>
          <w:bCs/>
          <w:color w:val="auto"/>
          <w:sz w:val="32"/>
          <w:szCs w:val="32"/>
          <w:highlight w:val="none"/>
          <w:lang w:eastAsia="zh-CN"/>
        </w:rPr>
        <w:t>，市教育局</w:t>
      </w:r>
      <w:r>
        <w:rPr>
          <w:rFonts w:hint="eastAsia" w:ascii="仿宋_GB2312" w:hAnsi="仿宋_GB2312" w:eastAsia="仿宋_GB2312" w:cs="仿宋_GB2312"/>
          <w:bCs/>
          <w:color w:val="auto"/>
          <w:sz w:val="32"/>
          <w:szCs w:val="32"/>
          <w:highlight w:val="none"/>
        </w:rPr>
        <w:t>年初预算</w:t>
      </w:r>
      <w:r>
        <w:rPr>
          <w:rFonts w:hint="eastAsia" w:ascii="仿宋_GB2312" w:hAnsi="仿宋_GB2312" w:eastAsia="仿宋_GB2312" w:cs="仿宋_GB2312"/>
          <w:bCs/>
          <w:color w:val="auto"/>
          <w:sz w:val="32"/>
          <w:szCs w:val="32"/>
          <w:highlight w:val="none"/>
          <w:lang w:val="en-US" w:eastAsia="zh-CN"/>
        </w:rPr>
        <w:t>369740.97</w:t>
      </w:r>
      <w:r>
        <w:rPr>
          <w:rFonts w:hint="eastAsia" w:ascii="仿宋_GB2312" w:hAnsi="仿宋_GB2312" w:eastAsia="仿宋_GB2312" w:cs="仿宋_GB2312"/>
          <w:bCs/>
          <w:color w:val="auto"/>
          <w:sz w:val="32"/>
          <w:szCs w:val="32"/>
          <w:highlight w:val="none"/>
        </w:rPr>
        <w:t>万元，调整预算数</w:t>
      </w:r>
      <w:r>
        <w:rPr>
          <w:rFonts w:hint="eastAsia" w:ascii="仿宋_GB2312" w:hAnsi="仿宋_GB2312" w:eastAsia="仿宋_GB2312" w:cs="仿宋_GB2312"/>
          <w:bCs/>
          <w:color w:val="auto"/>
          <w:sz w:val="32"/>
          <w:szCs w:val="32"/>
          <w:highlight w:val="none"/>
          <w:lang w:val="en-US" w:eastAsia="zh-CN"/>
        </w:rPr>
        <w:t>307054.67</w:t>
      </w:r>
      <w:r>
        <w:rPr>
          <w:rFonts w:hint="eastAsia" w:ascii="仿宋_GB2312" w:hAnsi="仿宋_GB2312" w:eastAsia="仿宋_GB2312" w:cs="仿宋_GB2312"/>
          <w:bCs/>
          <w:color w:val="auto"/>
          <w:sz w:val="32"/>
          <w:szCs w:val="32"/>
          <w:highlight w:val="none"/>
        </w:rPr>
        <w:t>万元，决算数</w:t>
      </w:r>
      <w:r>
        <w:rPr>
          <w:rFonts w:hint="eastAsia" w:ascii="仿宋_GB2312" w:hAnsi="仿宋_GB2312" w:eastAsia="仿宋_GB2312" w:cs="仿宋_GB2312"/>
          <w:bCs/>
          <w:color w:val="auto"/>
          <w:sz w:val="32"/>
          <w:szCs w:val="32"/>
          <w:highlight w:val="none"/>
          <w:lang w:val="en-US" w:eastAsia="zh-CN"/>
        </w:rPr>
        <w:t>299053.12</w:t>
      </w:r>
      <w:r>
        <w:rPr>
          <w:rFonts w:hint="eastAsia" w:ascii="仿宋_GB2312" w:hAnsi="仿宋_GB2312" w:eastAsia="仿宋_GB2312" w:cs="仿宋_GB2312"/>
          <w:bCs/>
          <w:color w:val="auto"/>
          <w:sz w:val="32"/>
          <w:szCs w:val="32"/>
          <w:highlight w:val="none"/>
        </w:rPr>
        <w:t>万元，年末结转和结余数</w:t>
      </w:r>
      <w:r>
        <w:rPr>
          <w:rFonts w:hint="eastAsia" w:ascii="仿宋_GB2312" w:hAnsi="仿宋_GB2312" w:eastAsia="仿宋_GB2312" w:cs="仿宋_GB2312"/>
          <w:bCs/>
          <w:color w:val="auto"/>
          <w:sz w:val="32"/>
          <w:szCs w:val="32"/>
          <w:highlight w:val="none"/>
          <w:lang w:val="en-US" w:eastAsia="zh-CN"/>
        </w:rPr>
        <w:t>6153.46</w:t>
      </w:r>
      <w:r>
        <w:rPr>
          <w:rFonts w:hint="eastAsia" w:ascii="仿宋_GB2312" w:hAnsi="仿宋_GB2312" w:eastAsia="仿宋_GB2312" w:cs="仿宋_GB2312"/>
          <w:bCs/>
          <w:color w:val="auto"/>
          <w:sz w:val="32"/>
          <w:szCs w:val="32"/>
          <w:highlight w:val="none"/>
        </w:rPr>
        <w:t>万元，预算执行率9</w:t>
      </w:r>
      <w:r>
        <w:rPr>
          <w:rFonts w:hint="eastAsia" w:ascii="仿宋_GB2312" w:hAnsi="仿宋_GB2312" w:eastAsia="仿宋_GB2312" w:cs="仿宋_GB2312"/>
          <w:bCs/>
          <w:color w:val="auto"/>
          <w:sz w:val="32"/>
          <w:szCs w:val="32"/>
          <w:highlight w:val="none"/>
          <w:lang w:val="en-US" w:eastAsia="zh-CN"/>
        </w:rPr>
        <w:t>7.39</w:t>
      </w:r>
      <w:r>
        <w:rPr>
          <w:rFonts w:hint="eastAsia" w:ascii="仿宋_GB2312" w:hAnsi="仿宋_GB2312" w:eastAsia="仿宋_GB2312" w:cs="仿宋_GB2312"/>
          <w:bCs/>
          <w:color w:val="auto"/>
          <w:sz w:val="32"/>
          <w:szCs w:val="32"/>
          <w:highlight w:val="none"/>
        </w:rPr>
        <w:t>%。年度预算及支出数据如下</w:t>
      </w:r>
      <w:r>
        <w:rPr>
          <w:rFonts w:hint="eastAsia" w:ascii="仿宋_GB2312" w:hAnsi="仿宋_GB2312" w:eastAsia="仿宋_GB2312" w:cs="仿宋_GB2312"/>
          <w:bCs/>
          <w:color w:val="auto"/>
          <w:sz w:val="32"/>
          <w:szCs w:val="32"/>
          <w:highlight w:val="none"/>
          <w:lang w:eastAsia="zh-CN"/>
        </w:rPr>
        <w:t>表</w:t>
      </w:r>
      <w:r>
        <w:rPr>
          <w:rFonts w:hint="eastAsia" w:ascii="仿宋_GB2312" w:hAnsi="仿宋_GB2312" w:eastAsia="仿宋_GB2312" w:cs="仿宋_GB2312"/>
          <w:bCs/>
          <w:color w:val="auto"/>
          <w:sz w:val="32"/>
          <w:szCs w:val="32"/>
          <w:highlight w:val="none"/>
          <w:lang w:val="en-US" w:eastAsia="zh-CN"/>
        </w:rPr>
        <w:t>1</w:t>
      </w:r>
      <w:r>
        <w:rPr>
          <w:rFonts w:hint="eastAsia" w:ascii="仿宋_GB2312" w:hAnsi="仿宋_GB2312" w:eastAsia="仿宋_GB2312" w:cs="仿宋_GB2312"/>
          <w:bCs/>
          <w:color w:val="auto"/>
          <w:sz w:val="32"/>
          <w:szCs w:val="32"/>
          <w:highlight w:val="none"/>
          <w:lang w:eastAsia="zh-CN"/>
        </w:rPr>
        <w:t>。</w:t>
      </w:r>
    </w:p>
    <w:p>
      <w:pPr>
        <w:pStyle w:val="7"/>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黑体" w:hAnsi="黑体" w:eastAsia="黑体" w:cs="黑体"/>
          <w:b w:val="0"/>
          <w:bCs/>
          <w:color w:val="auto"/>
          <w:sz w:val="28"/>
          <w:szCs w:val="32"/>
          <w:highlight w:val="none"/>
          <w:lang w:val="en-US"/>
        </w:rPr>
      </w:pPr>
      <w:r>
        <w:rPr>
          <w:rFonts w:hint="eastAsia" w:ascii="黑体" w:hAnsi="黑体" w:eastAsia="黑体" w:cs="黑体"/>
          <w:b w:val="0"/>
          <w:bCs/>
          <w:color w:val="auto"/>
          <w:sz w:val="28"/>
          <w:szCs w:val="32"/>
          <w:highlight w:val="none"/>
          <w:lang w:val="en-US"/>
        </w:rPr>
        <w:t>表1</w:t>
      </w:r>
      <w:r>
        <w:rPr>
          <w:rFonts w:hint="eastAsia" w:ascii="黑体" w:hAnsi="黑体" w:eastAsia="黑体" w:cs="黑体"/>
          <w:b w:val="0"/>
          <w:bCs/>
          <w:color w:val="auto"/>
          <w:sz w:val="28"/>
          <w:szCs w:val="32"/>
          <w:highlight w:val="none"/>
          <w:lang w:val="en-US" w:eastAsia="zh-CN"/>
        </w:rPr>
        <w:t xml:space="preserve"> 市教育局</w:t>
      </w:r>
      <w:r>
        <w:rPr>
          <w:rFonts w:hint="eastAsia" w:ascii="黑体" w:hAnsi="黑体" w:eastAsia="黑体" w:cs="黑体"/>
          <w:b w:val="0"/>
          <w:bCs/>
          <w:color w:val="auto"/>
          <w:sz w:val="28"/>
          <w:szCs w:val="32"/>
          <w:highlight w:val="none"/>
          <w:lang w:val="en-US"/>
        </w:rPr>
        <w:t>2020年度预算及支出情况</w:t>
      </w:r>
    </w:p>
    <w:tbl>
      <w:tblPr>
        <w:tblStyle w:val="23"/>
        <w:tblW w:w="5000" w:type="pct"/>
        <w:tblInd w:w="0" w:type="dxa"/>
        <w:tblLayout w:type="fixed"/>
        <w:tblCellMar>
          <w:top w:w="0" w:type="dxa"/>
          <w:left w:w="108" w:type="dxa"/>
          <w:bottom w:w="0" w:type="dxa"/>
          <w:right w:w="108" w:type="dxa"/>
        </w:tblCellMar>
      </w:tblPr>
      <w:tblGrid>
        <w:gridCol w:w="1763"/>
        <w:gridCol w:w="1660"/>
        <w:gridCol w:w="1677"/>
        <w:gridCol w:w="1898"/>
        <w:gridCol w:w="2064"/>
      </w:tblGrid>
      <w:tr>
        <w:trPr>
          <w:trHeight w:val="567" w:hRule="atLeast"/>
        </w:trPr>
        <w:tc>
          <w:tcPr>
            <w:tcW w:w="973" w:type="pct"/>
            <w:tcBorders>
              <w:top w:val="single" w:color="auto" w:sz="8" w:space="0"/>
              <w:left w:val="single" w:color="auto" w:sz="4" w:space="0"/>
              <w:bottom w:val="single" w:color="auto" w:sz="8" w:space="0"/>
              <w:right w:val="single" w:color="auto" w:sz="8" w:space="0"/>
            </w:tcBorders>
            <w:shd w:val="clear" w:color="000000"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val="0"/>
                <w:bCs w:val="0"/>
                <w:color w:val="auto"/>
                <w:kern w:val="0"/>
                <w:sz w:val="22"/>
                <w:szCs w:val="22"/>
                <w:highlight w:val="none"/>
              </w:rPr>
            </w:pPr>
            <w:r>
              <w:rPr>
                <w:rFonts w:hint="eastAsia" w:ascii="黑体" w:hAnsi="黑体" w:eastAsia="黑体" w:cs="黑体"/>
                <w:b w:val="0"/>
                <w:bCs w:val="0"/>
                <w:color w:val="auto"/>
                <w:kern w:val="0"/>
                <w:sz w:val="22"/>
                <w:szCs w:val="22"/>
                <w:highlight w:val="none"/>
              </w:rPr>
              <w:t>类别</w:t>
            </w:r>
          </w:p>
        </w:tc>
        <w:tc>
          <w:tcPr>
            <w:tcW w:w="916" w:type="pct"/>
            <w:tcBorders>
              <w:top w:val="single" w:color="auto" w:sz="8" w:space="0"/>
              <w:left w:val="nil"/>
              <w:bottom w:val="single" w:color="auto" w:sz="8" w:space="0"/>
              <w:right w:val="single" w:color="auto" w:sz="8" w:space="0"/>
            </w:tcBorders>
            <w:shd w:val="clear" w:color="000000"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val="0"/>
                <w:bCs w:val="0"/>
                <w:color w:val="auto"/>
                <w:kern w:val="0"/>
                <w:sz w:val="22"/>
                <w:szCs w:val="22"/>
                <w:highlight w:val="none"/>
              </w:rPr>
            </w:pPr>
            <w:r>
              <w:rPr>
                <w:rFonts w:hint="eastAsia" w:ascii="黑体" w:hAnsi="黑体" w:eastAsia="黑体" w:cs="黑体"/>
                <w:b w:val="0"/>
                <w:bCs w:val="0"/>
                <w:color w:val="auto"/>
                <w:kern w:val="0"/>
                <w:sz w:val="22"/>
                <w:szCs w:val="22"/>
                <w:highlight w:val="none"/>
              </w:rPr>
              <w:t>年初预算数</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val="0"/>
                <w:bCs w:val="0"/>
                <w:color w:val="auto"/>
                <w:kern w:val="0"/>
                <w:sz w:val="22"/>
                <w:szCs w:val="22"/>
                <w:highlight w:val="none"/>
              </w:rPr>
            </w:pPr>
            <w:r>
              <w:rPr>
                <w:rFonts w:hint="eastAsia" w:ascii="黑体" w:hAnsi="黑体" w:eastAsia="黑体" w:cs="黑体"/>
                <w:b w:val="0"/>
                <w:bCs w:val="0"/>
                <w:color w:val="auto"/>
                <w:kern w:val="0"/>
                <w:sz w:val="22"/>
                <w:szCs w:val="22"/>
                <w:highlight w:val="none"/>
              </w:rPr>
              <w:t>（万元）</w:t>
            </w:r>
          </w:p>
        </w:tc>
        <w:tc>
          <w:tcPr>
            <w:tcW w:w="925" w:type="pct"/>
            <w:tcBorders>
              <w:top w:val="single" w:color="auto" w:sz="8" w:space="0"/>
              <w:left w:val="nil"/>
              <w:bottom w:val="single" w:color="auto" w:sz="8" w:space="0"/>
              <w:right w:val="single" w:color="auto" w:sz="4" w:space="0"/>
            </w:tcBorders>
            <w:shd w:val="clear" w:color="000000"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val="0"/>
                <w:bCs w:val="0"/>
                <w:color w:val="auto"/>
                <w:kern w:val="0"/>
                <w:sz w:val="22"/>
                <w:szCs w:val="22"/>
                <w:highlight w:val="none"/>
              </w:rPr>
            </w:pPr>
            <w:r>
              <w:rPr>
                <w:rFonts w:hint="eastAsia" w:ascii="黑体" w:hAnsi="黑体" w:eastAsia="黑体" w:cs="黑体"/>
                <w:b w:val="0"/>
                <w:bCs w:val="0"/>
                <w:color w:val="auto"/>
                <w:kern w:val="0"/>
                <w:sz w:val="22"/>
                <w:szCs w:val="22"/>
                <w:highlight w:val="none"/>
              </w:rPr>
              <w:t>调整预算数</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val="0"/>
                <w:bCs w:val="0"/>
                <w:color w:val="auto"/>
                <w:kern w:val="0"/>
                <w:sz w:val="22"/>
                <w:szCs w:val="22"/>
                <w:highlight w:val="none"/>
              </w:rPr>
            </w:pPr>
            <w:r>
              <w:rPr>
                <w:rFonts w:hint="eastAsia" w:ascii="黑体" w:hAnsi="黑体" w:eastAsia="黑体" w:cs="黑体"/>
                <w:b w:val="0"/>
                <w:bCs w:val="0"/>
                <w:color w:val="auto"/>
                <w:kern w:val="0"/>
                <w:sz w:val="22"/>
                <w:szCs w:val="22"/>
                <w:highlight w:val="none"/>
              </w:rPr>
              <w:t>（万元）</w:t>
            </w:r>
          </w:p>
        </w:tc>
        <w:tc>
          <w:tcPr>
            <w:tcW w:w="1047" w:type="pct"/>
            <w:tcBorders>
              <w:top w:val="single" w:color="auto" w:sz="8" w:space="0"/>
              <w:left w:val="single" w:color="auto" w:sz="4" w:space="0"/>
              <w:bottom w:val="single" w:color="auto" w:sz="8" w:space="0"/>
              <w:right w:val="single" w:color="auto" w:sz="8" w:space="0"/>
            </w:tcBorders>
            <w:shd w:val="clear" w:color="000000"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val="0"/>
                <w:bCs w:val="0"/>
                <w:color w:val="auto"/>
                <w:kern w:val="0"/>
                <w:sz w:val="22"/>
                <w:szCs w:val="22"/>
                <w:highlight w:val="none"/>
              </w:rPr>
            </w:pPr>
            <w:r>
              <w:rPr>
                <w:rFonts w:hint="eastAsia" w:ascii="黑体" w:hAnsi="黑体" w:eastAsia="黑体" w:cs="黑体"/>
                <w:b w:val="0"/>
                <w:bCs w:val="0"/>
                <w:color w:val="auto"/>
                <w:kern w:val="0"/>
                <w:sz w:val="22"/>
                <w:szCs w:val="22"/>
                <w:highlight w:val="none"/>
              </w:rPr>
              <w:t>决算数（万元）</w:t>
            </w:r>
          </w:p>
        </w:tc>
        <w:tc>
          <w:tcPr>
            <w:tcW w:w="1139" w:type="pct"/>
            <w:tcBorders>
              <w:top w:val="single" w:color="auto" w:sz="8" w:space="0"/>
              <w:left w:val="nil"/>
              <w:bottom w:val="single" w:color="auto" w:sz="8" w:space="0"/>
              <w:right w:val="single" w:color="auto" w:sz="8" w:space="0"/>
            </w:tcBorders>
            <w:shd w:val="clear" w:color="000000"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val="0"/>
                <w:bCs w:val="0"/>
                <w:color w:val="auto"/>
                <w:kern w:val="0"/>
                <w:sz w:val="22"/>
                <w:szCs w:val="22"/>
                <w:highlight w:val="none"/>
              </w:rPr>
            </w:pPr>
            <w:r>
              <w:rPr>
                <w:rFonts w:hint="eastAsia" w:ascii="黑体" w:hAnsi="黑体" w:eastAsia="黑体" w:cs="黑体"/>
                <w:b w:val="0"/>
                <w:bCs w:val="0"/>
                <w:color w:val="auto"/>
                <w:kern w:val="0"/>
                <w:sz w:val="22"/>
                <w:szCs w:val="22"/>
                <w:highlight w:val="none"/>
              </w:rPr>
              <w:t>预算执行率（%）</w:t>
            </w:r>
          </w:p>
        </w:tc>
      </w:tr>
      <w:tr>
        <w:tblPrEx>
          <w:tblCellMar>
            <w:top w:w="0" w:type="dxa"/>
            <w:left w:w="108" w:type="dxa"/>
            <w:bottom w:w="0" w:type="dxa"/>
            <w:right w:w="108" w:type="dxa"/>
          </w:tblCellMar>
        </w:tblPrEx>
        <w:trPr>
          <w:trHeight w:val="567" w:hRule="atLeast"/>
        </w:trPr>
        <w:tc>
          <w:tcPr>
            <w:tcW w:w="973" w:type="pct"/>
            <w:tcBorders>
              <w:top w:val="nil"/>
              <w:left w:val="single" w:color="auto" w:sz="4" w:space="0"/>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基本支出</w:t>
            </w:r>
          </w:p>
        </w:tc>
        <w:tc>
          <w:tcPr>
            <w:tcW w:w="916" w:type="pct"/>
            <w:tcBorders>
              <w:top w:val="nil"/>
              <w:left w:val="nil"/>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194992.02</w:t>
            </w:r>
          </w:p>
        </w:tc>
        <w:tc>
          <w:tcPr>
            <w:tcW w:w="925" w:type="pct"/>
            <w:tcBorders>
              <w:top w:val="nil"/>
              <w:left w:val="nil"/>
              <w:bottom w:val="single" w:color="auto" w:sz="8"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212365.69</w:t>
            </w:r>
          </w:p>
        </w:tc>
        <w:tc>
          <w:tcPr>
            <w:tcW w:w="1047" w:type="pct"/>
            <w:tcBorders>
              <w:top w:val="nil"/>
              <w:left w:val="single" w:color="auto" w:sz="4" w:space="0"/>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208424.91</w:t>
            </w:r>
          </w:p>
        </w:tc>
        <w:tc>
          <w:tcPr>
            <w:tcW w:w="1139" w:type="pct"/>
            <w:tcBorders>
              <w:top w:val="nil"/>
              <w:left w:val="nil"/>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98.14%</w:t>
            </w:r>
          </w:p>
        </w:tc>
      </w:tr>
      <w:tr>
        <w:tblPrEx>
          <w:tblCellMar>
            <w:top w:w="0" w:type="dxa"/>
            <w:left w:w="108" w:type="dxa"/>
            <w:bottom w:w="0" w:type="dxa"/>
            <w:right w:w="108" w:type="dxa"/>
          </w:tblCellMar>
        </w:tblPrEx>
        <w:trPr>
          <w:trHeight w:val="567" w:hRule="atLeast"/>
        </w:trPr>
        <w:tc>
          <w:tcPr>
            <w:tcW w:w="973" w:type="pct"/>
            <w:tcBorders>
              <w:top w:val="nil"/>
              <w:left w:val="single" w:color="auto" w:sz="4" w:space="0"/>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项目支出</w:t>
            </w:r>
          </w:p>
        </w:tc>
        <w:tc>
          <w:tcPr>
            <w:tcW w:w="916" w:type="pct"/>
            <w:tcBorders>
              <w:top w:val="nil"/>
              <w:left w:val="nil"/>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174748.95</w:t>
            </w:r>
          </w:p>
        </w:tc>
        <w:tc>
          <w:tcPr>
            <w:tcW w:w="925" w:type="pct"/>
            <w:tcBorders>
              <w:top w:val="nil"/>
              <w:left w:val="nil"/>
              <w:bottom w:val="single" w:color="auto" w:sz="8"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94688.98</w:t>
            </w:r>
          </w:p>
        </w:tc>
        <w:tc>
          <w:tcPr>
            <w:tcW w:w="1047" w:type="pct"/>
            <w:tcBorders>
              <w:top w:val="nil"/>
              <w:left w:val="single" w:color="auto" w:sz="4" w:space="0"/>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90628.21</w:t>
            </w:r>
          </w:p>
        </w:tc>
        <w:tc>
          <w:tcPr>
            <w:tcW w:w="1139" w:type="pct"/>
            <w:tcBorders>
              <w:top w:val="nil"/>
              <w:left w:val="nil"/>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95.71%</w:t>
            </w:r>
          </w:p>
        </w:tc>
      </w:tr>
      <w:tr>
        <w:trPr>
          <w:trHeight w:val="567" w:hRule="atLeast"/>
        </w:trPr>
        <w:tc>
          <w:tcPr>
            <w:tcW w:w="973" w:type="pct"/>
            <w:tcBorders>
              <w:top w:val="nil"/>
              <w:left w:val="single" w:color="auto" w:sz="4"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val="0"/>
                <w:bCs w:val="0"/>
                <w:color w:val="auto"/>
                <w:kern w:val="0"/>
                <w:sz w:val="22"/>
                <w:szCs w:val="22"/>
                <w:highlight w:val="none"/>
              </w:rPr>
            </w:pPr>
            <w:r>
              <w:rPr>
                <w:rFonts w:hint="eastAsia" w:ascii="黑体" w:hAnsi="黑体" w:eastAsia="黑体" w:cs="黑体"/>
                <w:b w:val="0"/>
                <w:bCs w:val="0"/>
                <w:color w:val="auto"/>
                <w:kern w:val="0"/>
                <w:sz w:val="22"/>
                <w:szCs w:val="22"/>
                <w:highlight w:val="none"/>
              </w:rPr>
              <w:t>合计</w:t>
            </w:r>
          </w:p>
        </w:tc>
        <w:tc>
          <w:tcPr>
            <w:tcW w:w="916" w:type="pct"/>
            <w:tcBorders>
              <w:top w:val="nil"/>
              <w:left w:val="nil"/>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b w:val="0"/>
                <w:bCs w:val="0"/>
                <w:color w:val="auto"/>
                <w:kern w:val="0"/>
                <w:sz w:val="22"/>
                <w:szCs w:val="22"/>
                <w:highlight w:val="none"/>
                <w:lang w:val="en-US" w:eastAsia="zh-CN"/>
              </w:rPr>
            </w:pPr>
            <w:r>
              <w:rPr>
                <w:rFonts w:hint="eastAsia" w:ascii="黑体" w:hAnsi="黑体" w:eastAsia="黑体" w:cs="黑体"/>
                <w:b w:val="0"/>
                <w:bCs w:val="0"/>
                <w:color w:val="auto"/>
                <w:kern w:val="0"/>
                <w:sz w:val="22"/>
                <w:szCs w:val="22"/>
                <w:highlight w:val="none"/>
                <w:lang w:val="en-US" w:eastAsia="zh-CN"/>
              </w:rPr>
              <w:t>369740.97</w:t>
            </w:r>
          </w:p>
        </w:tc>
        <w:tc>
          <w:tcPr>
            <w:tcW w:w="925" w:type="pct"/>
            <w:tcBorders>
              <w:top w:val="nil"/>
              <w:left w:val="nil"/>
              <w:bottom w:val="single" w:color="auto" w:sz="8"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b w:val="0"/>
                <w:bCs w:val="0"/>
                <w:color w:val="auto"/>
                <w:kern w:val="0"/>
                <w:sz w:val="22"/>
                <w:szCs w:val="22"/>
                <w:highlight w:val="none"/>
                <w:lang w:val="en-US" w:eastAsia="zh-CN"/>
              </w:rPr>
            </w:pPr>
            <w:r>
              <w:rPr>
                <w:rFonts w:hint="eastAsia" w:ascii="黑体" w:hAnsi="黑体" w:eastAsia="黑体" w:cs="黑体"/>
                <w:b w:val="0"/>
                <w:bCs w:val="0"/>
                <w:color w:val="auto"/>
                <w:kern w:val="0"/>
                <w:sz w:val="22"/>
                <w:szCs w:val="22"/>
                <w:highlight w:val="none"/>
                <w:lang w:val="en-US" w:eastAsia="zh-CN"/>
              </w:rPr>
              <w:t>307054.67</w:t>
            </w:r>
          </w:p>
        </w:tc>
        <w:tc>
          <w:tcPr>
            <w:tcW w:w="1047" w:type="pct"/>
            <w:tcBorders>
              <w:top w:val="nil"/>
              <w:left w:val="single" w:color="auto" w:sz="4" w:space="0"/>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b w:val="0"/>
                <w:bCs w:val="0"/>
                <w:color w:val="auto"/>
                <w:kern w:val="0"/>
                <w:sz w:val="22"/>
                <w:szCs w:val="22"/>
                <w:highlight w:val="none"/>
                <w:lang w:val="en-US" w:eastAsia="zh-CN"/>
              </w:rPr>
            </w:pPr>
            <w:r>
              <w:rPr>
                <w:rFonts w:hint="eastAsia" w:ascii="黑体" w:hAnsi="黑体" w:eastAsia="黑体" w:cs="黑体"/>
                <w:b w:val="0"/>
                <w:bCs w:val="0"/>
                <w:color w:val="auto"/>
                <w:kern w:val="0"/>
                <w:sz w:val="22"/>
                <w:szCs w:val="22"/>
                <w:highlight w:val="none"/>
                <w:lang w:val="en-US" w:eastAsia="zh-CN"/>
              </w:rPr>
              <w:t>299053.12</w:t>
            </w:r>
          </w:p>
        </w:tc>
        <w:tc>
          <w:tcPr>
            <w:tcW w:w="1139" w:type="pct"/>
            <w:tcBorders>
              <w:top w:val="nil"/>
              <w:left w:val="nil"/>
              <w:bottom w:val="single" w:color="auto" w:sz="8" w:space="0"/>
              <w:right w:val="single" w:color="auto" w:sz="8"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b w:val="0"/>
                <w:bCs w:val="0"/>
                <w:color w:val="auto"/>
                <w:kern w:val="0"/>
                <w:sz w:val="22"/>
                <w:szCs w:val="22"/>
                <w:highlight w:val="none"/>
                <w:lang w:val="en-US" w:eastAsia="zh-CN"/>
              </w:rPr>
            </w:pPr>
            <w:r>
              <w:rPr>
                <w:rFonts w:hint="eastAsia" w:ascii="黑体" w:hAnsi="黑体" w:eastAsia="黑体" w:cs="黑体"/>
                <w:b w:val="0"/>
                <w:bCs w:val="0"/>
                <w:color w:val="auto"/>
                <w:kern w:val="0"/>
                <w:sz w:val="22"/>
                <w:szCs w:val="22"/>
                <w:highlight w:val="none"/>
                <w:lang w:val="en-US" w:eastAsia="zh-CN"/>
              </w:rPr>
              <w:t>97.39%</w:t>
            </w:r>
          </w:p>
        </w:tc>
      </w:tr>
    </w:tbl>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0"/>
        <w:rPr>
          <w:rFonts w:hint="eastAsia" w:ascii="楷体_GB2312" w:hAnsi="楷体_GB2312" w:eastAsia="楷体_GB2312" w:cs="楷体_GB2312"/>
          <w:bCs/>
          <w:color w:val="auto"/>
          <w:kern w:val="0"/>
          <w:sz w:val="32"/>
          <w:szCs w:val="32"/>
          <w:highlight w:val="none"/>
        </w:rPr>
      </w:pPr>
      <w:bookmarkStart w:id="9" w:name="_Toc30293"/>
      <w:r>
        <w:rPr>
          <w:rFonts w:hint="eastAsia" w:ascii="楷体_GB2312" w:hAnsi="楷体_GB2312" w:eastAsia="楷体_GB2312" w:cs="楷体_GB2312"/>
          <w:bCs/>
          <w:color w:val="auto"/>
          <w:kern w:val="0"/>
          <w:sz w:val="32"/>
          <w:szCs w:val="32"/>
          <w:highlight w:val="none"/>
        </w:rPr>
        <w:t>（</w:t>
      </w:r>
      <w:r>
        <w:rPr>
          <w:rFonts w:hint="eastAsia" w:ascii="楷体_GB2312" w:hAnsi="楷体_GB2312" w:eastAsia="楷体_GB2312" w:cs="楷体_GB2312"/>
          <w:bCs/>
          <w:color w:val="auto"/>
          <w:kern w:val="0"/>
          <w:sz w:val="32"/>
          <w:szCs w:val="32"/>
          <w:highlight w:val="none"/>
          <w:lang w:eastAsia="zh-CN"/>
        </w:rPr>
        <w:t>二</w:t>
      </w:r>
      <w:r>
        <w:rPr>
          <w:rFonts w:hint="eastAsia" w:ascii="楷体_GB2312" w:hAnsi="楷体_GB2312" w:eastAsia="楷体_GB2312" w:cs="楷体_GB2312"/>
          <w:bCs/>
          <w:color w:val="auto"/>
          <w:kern w:val="0"/>
          <w:sz w:val="32"/>
          <w:szCs w:val="32"/>
          <w:highlight w:val="none"/>
        </w:rPr>
        <w:t>）</w:t>
      </w:r>
      <w:r>
        <w:rPr>
          <w:rFonts w:hint="eastAsia" w:ascii="楷体_GB2312" w:hAnsi="楷体_GB2312" w:eastAsia="楷体_GB2312" w:cs="楷体_GB2312"/>
          <w:bCs/>
          <w:color w:val="auto"/>
          <w:kern w:val="0"/>
          <w:sz w:val="32"/>
          <w:szCs w:val="32"/>
          <w:highlight w:val="none"/>
          <w:lang w:eastAsia="zh-CN"/>
        </w:rPr>
        <w:t>部门绩效目标</w:t>
      </w:r>
      <w:bookmarkEnd w:id="8"/>
      <w:bookmarkEnd w:id="9"/>
    </w:p>
    <w:p>
      <w:pPr>
        <w:pStyle w:val="95"/>
        <w:keepNext w:val="0"/>
        <w:keepLines w:val="0"/>
        <w:pageBreakBefore w:val="0"/>
        <w:widowControl w:val="0"/>
        <w:kinsoku/>
        <w:wordWrap/>
        <w:overflowPunct/>
        <w:topLinePunct w:val="0"/>
        <w:autoSpaceDE/>
        <w:autoSpaceDN/>
        <w:bidi w:val="0"/>
        <w:adjustRightInd w:val="0"/>
        <w:snapToGrid w:val="0"/>
        <w:spacing w:line="530" w:lineRule="exact"/>
        <w:ind w:firstLine="640"/>
        <w:textAlignment w:val="auto"/>
        <w:outlineLvl w:val="9"/>
        <w:rPr>
          <w:rStyle w:val="96"/>
          <w:rFonts w:hint="eastAsia" w:ascii="仿宋_GB2312" w:hAnsi="仿宋_GB2312" w:eastAsia="仿宋_GB2312" w:cs="仿宋_GB2312"/>
          <w:color w:val="auto"/>
          <w:sz w:val="32"/>
          <w:szCs w:val="32"/>
          <w:highlight w:val="none"/>
          <w:lang w:val="en-US" w:eastAsia="zh-CN"/>
        </w:rPr>
      </w:pPr>
      <w:r>
        <w:rPr>
          <w:rStyle w:val="96"/>
          <w:rFonts w:hint="eastAsia" w:ascii="仿宋_GB2312" w:hAnsi="仿宋_GB2312" w:eastAsia="仿宋_GB2312" w:cs="仿宋_GB2312"/>
          <w:color w:val="auto"/>
          <w:sz w:val="32"/>
          <w:szCs w:val="32"/>
          <w:highlight w:val="none"/>
          <w:lang w:val="en-US" w:eastAsia="zh-CN"/>
        </w:rPr>
        <w:t>1.总体目标</w:t>
      </w:r>
    </w:p>
    <w:p>
      <w:pPr>
        <w:pStyle w:val="1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30" w:lineRule="exact"/>
        <w:ind w:left="0" w:right="0" w:firstLine="640" w:firstLineChars="200"/>
        <w:jc w:val="left"/>
        <w:textAlignment w:val="auto"/>
        <w:rPr>
          <w:rFonts w:hint="eastAsia" w:ascii="仿宋_GB2312" w:hAnsi="宋体" w:eastAsia="仿宋_GB2312" w:cs="Courier New"/>
          <w:color w:val="auto"/>
          <w:kern w:val="2"/>
          <w:sz w:val="32"/>
          <w:szCs w:val="32"/>
          <w:lang w:val="en-US" w:eastAsia="zh-CN" w:bidi="ar-SA"/>
        </w:rPr>
      </w:pPr>
      <w:r>
        <w:rPr>
          <w:rFonts w:hint="eastAsia" w:ascii="仿宋_GB2312" w:hAnsi="宋体" w:eastAsia="仿宋_GB2312" w:cs="Courier New"/>
          <w:color w:val="auto"/>
          <w:kern w:val="2"/>
          <w:sz w:val="32"/>
          <w:szCs w:val="32"/>
          <w:lang w:val="en-US" w:eastAsia="zh-CN" w:bidi="ar-SA"/>
        </w:rPr>
        <w:t>到2020年，实现高水平、有特色的教育现代化，基本建成学习型社会，形成区域性优势明显的人力资源集聚高地，教育事业发展主要指标和人力资源开发水平位居全国同类城市前列。 </w:t>
      </w:r>
    </w:p>
    <w:p>
      <w:pPr>
        <w:pStyle w:val="1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30" w:lineRule="exact"/>
        <w:ind w:left="0" w:right="0" w:firstLine="640" w:firstLineChars="200"/>
        <w:jc w:val="left"/>
        <w:textAlignment w:val="auto"/>
        <w:rPr>
          <w:rFonts w:hint="eastAsia" w:ascii="仿宋_GB2312" w:hAnsi="宋体" w:eastAsia="仿宋_GB2312" w:cs="Courier New"/>
          <w:color w:val="auto"/>
          <w:kern w:val="2"/>
          <w:sz w:val="32"/>
          <w:szCs w:val="32"/>
          <w:lang w:val="en-US" w:eastAsia="zh-CN" w:bidi="ar-SA"/>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w:t>
      </w:r>
      <w:r>
        <w:rPr>
          <w:rFonts w:hint="eastAsia" w:ascii="仿宋_GB2312" w:hAnsi="宋体" w:eastAsia="仿宋_GB2312" w:cs="Courier New"/>
          <w:color w:val="auto"/>
          <w:kern w:val="2"/>
          <w:sz w:val="32"/>
          <w:szCs w:val="32"/>
          <w:lang w:val="en-US" w:eastAsia="zh-CN" w:bidi="ar-SA"/>
        </w:rPr>
        <w:t>城乡教育优质均衡发展水平显著提高。城乡基本公共教育服务体系更加完善，教育资源配置更加合理，城乡、区域、校际及群体之间的教育水平差距进一步缩小，城乡教育一体化发展水平显著提高，人民群众对优质教育的多样化需求得到更好满足。公办和普惠性民办幼儿园在园幼儿不低于90%，实现义务教育全域均衡发展目标，高水平普及15年基础教育。</w:t>
      </w:r>
    </w:p>
    <w:p>
      <w:pPr>
        <w:pStyle w:val="1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30" w:lineRule="exact"/>
        <w:ind w:left="0" w:right="0"/>
        <w:jc w:val="left"/>
        <w:textAlignment w:val="auto"/>
        <w:rPr>
          <w:rFonts w:hint="eastAsia" w:ascii="仿宋_GB2312" w:hAnsi="宋体" w:eastAsia="仿宋_GB2312" w:cs="Courier New"/>
          <w:color w:val="auto"/>
          <w:kern w:val="2"/>
          <w:sz w:val="32"/>
          <w:szCs w:val="32"/>
          <w:lang w:val="en-US" w:eastAsia="zh-CN" w:bidi="ar-SA"/>
        </w:rPr>
      </w:pPr>
      <w:r>
        <w:rPr>
          <w:rFonts w:hint="eastAsia" w:ascii="仿宋_GB2312" w:hAnsi="宋体" w:eastAsia="仿宋_GB2312" w:cs="Courier New"/>
          <w:color w:val="auto"/>
          <w:kern w:val="2"/>
          <w:sz w:val="32"/>
          <w:szCs w:val="32"/>
          <w:lang w:val="en-US" w:eastAsia="zh-CN" w:bidi="ar-SA"/>
        </w:rPr>
        <w:t>　　</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w:t>
      </w:r>
      <w:r>
        <w:rPr>
          <w:rFonts w:hint="eastAsia" w:ascii="仿宋_GB2312" w:hAnsi="宋体" w:eastAsia="仿宋_GB2312" w:cs="Courier New"/>
          <w:color w:val="auto"/>
          <w:kern w:val="2"/>
          <w:sz w:val="32"/>
          <w:szCs w:val="32"/>
          <w:lang w:val="en-US" w:eastAsia="zh-CN" w:bidi="ar-SA"/>
        </w:rPr>
        <w:t>各级各类教育办学水平和育人质量全面提升。建立师德高尚、业务精湛、结构合理、充满活力的教师队伍，幼儿园教师专科及以上学历达90%以上，职业教育“双师型”教师比例达到80%，中小学教师研究生学历比例大幅提升。立德树人的有效途径和长效机制逐步完善，教育信息化、国际化水平明显提高，信息技术与课程教学深度融合，100%中小学建成智慧校园，人才培养模式及体系改革不断深化，各级各类学校办学特色更加鲜明，课程与教学更好地满足不同学生潜能发展的需要。</w:t>
      </w:r>
    </w:p>
    <w:p>
      <w:pPr>
        <w:pStyle w:val="1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30" w:lineRule="exact"/>
        <w:ind w:left="0" w:right="0" w:firstLine="640" w:firstLineChars="200"/>
        <w:jc w:val="left"/>
        <w:textAlignment w:val="auto"/>
        <w:rPr>
          <w:rFonts w:hint="eastAsia" w:ascii="仿宋_GB2312" w:hAnsi="宋体" w:eastAsia="仿宋_GB2312" w:cs="Courier New"/>
          <w:color w:val="auto"/>
          <w:kern w:val="2"/>
          <w:sz w:val="32"/>
          <w:szCs w:val="32"/>
          <w:lang w:val="en-US" w:eastAsia="zh-CN" w:bidi="ar-SA"/>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w:t>
      </w:r>
      <w:r>
        <w:rPr>
          <w:rFonts w:hint="eastAsia" w:ascii="仿宋_GB2312" w:hAnsi="宋体" w:eastAsia="仿宋_GB2312" w:cs="Courier New"/>
          <w:color w:val="auto"/>
          <w:kern w:val="2"/>
          <w:sz w:val="32"/>
          <w:szCs w:val="32"/>
          <w:lang w:val="en-US" w:eastAsia="zh-CN" w:bidi="ar-SA"/>
        </w:rPr>
        <w:t>教育治理体系和治理能力现代化基本实现。建立起比较完善的教育治理体系，依法治教成为新优势。现代学校制度建设迈上新台阶，学校自主办学、自主发展的活力显著增强，教育家办学生态全面优化。人才培养方式不断创新，考试评价制度改革取得重要突破。</w:t>
      </w:r>
    </w:p>
    <w:p>
      <w:pPr>
        <w:pStyle w:val="1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30" w:lineRule="exact"/>
        <w:ind w:left="0" w:right="0"/>
        <w:jc w:val="left"/>
        <w:textAlignment w:val="auto"/>
        <w:rPr>
          <w:rFonts w:hint="eastAsia" w:ascii="仿宋_GB2312" w:hAnsi="宋体" w:eastAsia="仿宋_GB2312" w:cs="Courier New"/>
          <w:color w:val="auto"/>
          <w:kern w:val="2"/>
          <w:sz w:val="32"/>
          <w:szCs w:val="32"/>
          <w:lang w:val="en-US" w:eastAsia="zh-CN" w:bidi="ar-SA"/>
        </w:rPr>
      </w:pPr>
      <w:r>
        <w:rPr>
          <w:rFonts w:hint="eastAsia" w:ascii="仿宋_GB2312" w:hAnsi="宋体" w:eastAsia="仿宋_GB2312" w:cs="Courier New"/>
          <w:color w:val="auto"/>
          <w:kern w:val="2"/>
          <w:sz w:val="32"/>
          <w:szCs w:val="32"/>
          <w:lang w:val="en-US" w:eastAsia="zh-CN" w:bidi="ar-SA"/>
        </w:rPr>
        <w:t>　　</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w:t>
      </w:r>
      <w:r>
        <w:rPr>
          <w:rFonts w:hint="eastAsia" w:ascii="仿宋_GB2312" w:hAnsi="宋体" w:eastAsia="仿宋_GB2312" w:cs="Courier New"/>
          <w:color w:val="auto"/>
          <w:kern w:val="2"/>
          <w:sz w:val="32"/>
          <w:szCs w:val="32"/>
          <w:lang w:val="en-US" w:eastAsia="zh-CN" w:bidi="ar-SA"/>
        </w:rPr>
        <w:t>服务现代化国际城市发展能力显著提升。构建起与宜居幸福现代化国际城市相适应的现代化教育体系。形成各级各类教育相互衔接、校内外教育相互融通、正式学习和非正式学习相互补充的终身教育体系，从业人员继续教育参与率达到50%以上，主要劳动年龄人口平均受教育年限提高到13年，教育服务人才资源开发、引领科技创新和文化建设的能力显著提高，对城市经济社会发展的贡献度明显提升。</w:t>
      </w:r>
    </w:p>
    <w:p>
      <w:pPr>
        <w:pStyle w:val="95"/>
        <w:keepNext w:val="0"/>
        <w:keepLines w:val="0"/>
        <w:pageBreakBefore w:val="0"/>
        <w:widowControl w:val="0"/>
        <w:kinsoku/>
        <w:wordWrap/>
        <w:overflowPunct/>
        <w:topLinePunct w:val="0"/>
        <w:autoSpaceDE/>
        <w:autoSpaceDN/>
        <w:bidi w:val="0"/>
        <w:adjustRightInd w:val="0"/>
        <w:snapToGrid w:val="0"/>
        <w:spacing w:line="530" w:lineRule="exact"/>
        <w:ind w:firstLine="640"/>
        <w:textAlignment w:val="auto"/>
        <w:outlineLvl w:val="9"/>
        <w:rPr>
          <w:rStyle w:val="96"/>
          <w:rFonts w:hint="eastAsia" w:ascii="仿宋_GB2312" w:hAnsi="仿宋_GB2312" w:eastAsia="仿宋_GB2312" w:cs="仿宋_GB2312"/>
          <w:color w:val="auto"/>
          <w:sz w:val="32"/>
          <w:szCs w:val="32"/>
          <w:highlight w:val="none"/>
          <w:lang w:val="en-US" w:eastAsia="zh-CN"/>
        </w:rPr>
      </w:pPr>
      <w:r>
        <w:rPr>
          <w:rStyle w:val="96"/>
          <w:rFonts w:hint="eastAsia" w:ascii="仿宋_GB2312" w:hAnsi="仿宋_GB2312" w:eastAsia="仿宋_GB2312" w:cs="仿宋_GB2312"/>
          <w:color w:val="auto"/>
          <w:sz w:val="32"/>
          <w:szCs w:val="32"/>
          <w:highlight w:val="none"/>
          <w:lang w:val="en-US" w:eastAsia="zh-CN"/>
        </w:rPr>
        <w:t>2.2020年度目标</w:t>
      </w:r>
    </w:p>
    <w:p>
      <w:pPr>
        <w:pStyle w:val="95"/>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9"/>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color w:val="auto"/>
          <w:kern w:val="2"/>
          <w:sz w:val="32"/>
          <w:szCs w:val="32"/>
          <w:highlight w:val="none"/>
          <w:u w:val="none"/>
          <w:lang w:val="en-US" w:eastAsia="zh-CN" w:bidi="ar-SA"/>
        </w:rPr>
        <w:t>继续推进高水平现代化学校建设，以捆绑式评估方式，提高农村薄弱学校教育教学水平，力争全市90%普通中小学达到高水平现代化学校建设标准。加强义务教育优质均衡评估监测，推动区市争创国家义务教育优质均衡发展县（市、区）。优化小学生课后校内托管服务。组织中小学生海洋节，举办小学生海洋科普讲解大赛、海洋科普论坛，开展海洋科普网络直播活动。推进海洋教育地方课程建设，组织海洋课程优质课评选。重点建设20所高水平海洋教育特色校。提升校园文化品质，创建100所“校园文化建设示范学校”。办好“家长大课堂”“家长面对面”活动和“家校合作网”，研究制订中小学幼儿园家庭教育指导纲要，提升家庭教育质量。培育40个家庭教育校（园）本精品课程、100个家庭教育服务站、50所心理健康教育示范学校。完善“十个一”项目信息平台建设和评价体系，初步实现教师、学生、家长可随时查询，教师、学生可时时进行评价的平台功能，完成“十个一”项目书库、专家库、研学基地库等资源库的一期建设，涉及三大类百小项资源。组织开展第三期青岛名校长评选、第五届在青高校教学名师评选、第四期青岛名师培养工程评选，评选首批教育名家。研究制定关于加强新时代教育干部队伍建设的意见，围绕提升“能想、能写、能说、能跑、能干”素质开展岗位练兵，常态化开展“述理论、述政策、述典型”，建设“三化一型”高素质干部队伍。加大人工智能教育工作力度，举办人工智能教育研讨会。实施青岛教育e平台深化应用项目，年内整合接入5个业务信息系统。完成智慧校园三期19所学校建设。推进《青岛市教育装备配备标准》落实，制定实施意见，搭建专题网站，开展普查形成台账。开工新建、改扩建中小学30所、幼儿园50所，完成209所城区配套幼儿园专项整治工作。实施中小学幼儿园一键式紧急报警系统配备工程，完善3434所中小学幼儿园校园门口视频监控设备，实现与公安机关联网。</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30" w:lineRule="exact"/>
        <w:ind w:firstLine="640" w:firstLineChars="200"/>
        <w:textAlignment w:val="auto"/>
        <w:rPr>
          <w:rFonts w:hint="default" w:ascii="Times New Roman" w:hAnsi="Times New Roman" w:cs="Times New Roman"/>
          <w:color w:val="auto"/>
          <w:highlight w:val="none"/>
        </w:rPr>
      </w:pPr>
      <w:bookmarkStart w:id="10" w:name="_Toc2893"/>
      <w:r>
        <w:rPr>
          <w:rFonts w:hint="default" w:ascii="Times New Roman" w:hAnsi="Times New Roman" w:cs="Times New Roman"/>
          <w:color w:val="auto"/>
          <w:highlight w:val="none"/>
        </w:rPr>
        <w:t>二、评价</w:t>
      </w:r>
      <w:r>
        <w:rPr>
          <w:rFonts w:hint="eastAsia" w:ascii="Times New Roman" w:hAnsi="Times New Roman" w:cs="Times New Roman"/>
          <w:color w:val="auto"/>
          <w:highlight w:val="none"/>
          <w:lang w:eastAsia="zh-CN"/>
        </w:rPr>
        <w:t>实施情况</w:t>
      </w:r>
      <w:bookmarkEnd w:id="10"/>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1"/>
        <w:rPr>
          <w:rFonts w:hint="eastAsia" w:ascii="楷体_GB2312" w:hAnsi="楷体_GB2312" w:eastAsia="楷体_GB2312" w:cs="楷体_GB2312"/>
          <w:bCs/>
          <w:color w:val="auto"/>
          <w:kern w:val="0"/>
          <w:sz w:val="32"/>
          <w:szCs w:val="32"/>
          <w:highlight w:val="none"/>
          <w:lang w:eastAsia="zh-CN"/>
        </w:rPr>
      </w:pPr>
      <w:bookmarkStart w:id="11" w:name="_Toc26964733"/>
      <w:bookmarkStart w:id="12" w:name="_Toc23024"/>
      <w:r>
        <w:rPr>
          <w:rFonts w:hint="default" w:ascii="楷体_GB2312" w:hAnsi="楷体_GB2312" w:eastAsia="楷体_GB2312" w:cs="楷体_GB2312"/>
          <w:bCs/>
          <w:color w:val="auto"/>
          <w:kern w:val="0"/>
          <w:sz w:val="32"/>
          <w:szCs w:val="32"/>
          <w:highlight w:val="none"/>
        </w:rPr>
        <w:t>（</w:t>
      </w:r>
      <w:r>
        <w:rPr>
          <w:rFonts w:hint="eastAsia" w:ascii="楷体_GB2312" w:hAnsi="楷体_GB2312" w:eastAsia="楷体_GB2312" w:cs="楷体_GB2312"/>
          <w:bCs/>
          <w:color w:val="auto"/>
          <w:kern w:val="0"/>
          <w:sz w:val="32"/>
          <w:szCs w:val="32"/>
          <w:highlight w:val="none"/>
        </w:rPr>
        <w:t>一）评价目的</w:t>
      </w:r>
      <w:bookmarkEnd w:id="11"/>
      <w:r>
        <w:rPr>
          <w:rFonts w:hint="eastAsia" w:ascii="楷体_GB2312" w:hAnsi="楷体_GB2312" w:eastAsia="楷体_GB2312" w:cs="楷体_GB2312"/>
          <w:bCs/>
          <w:color w:val="auto"/>
          <w:kern w:val="0"/>
          <w:sz w:val="32"/>
          <w:szCs w:val="32"/>
          <w:highlight w:val="none"/>
          <w:lang w:eastAsia="zh-CN"/>
        </w:rPr>
        <w:t>、对象和范围</w:t>
      </w:r>
      <w:bookmarkEnd w:id="12"/>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9"/>
        <w:rPr>
          <w:rFonts w:hint="eastAsia" w:ascii="Times New Roman" w:hAnsi="Times New Roman" w:eastAsia="仿宋_GB2312" w:cs="Times New Roman"/>
          <w:color w:val="auto"/>
          <w:sz w:val="32"/>
          <w:szCs w:val="32"/>
          <w:highlight w:val="none"/>
          <w:lang w:val="en-US" w:eastAsia="zh-CN"/>
        </w:rPr>
      </w:pPr>
      <w:bookmarkStart w:id="13" w:name="_Toc26964734"/>
      <w:r>
        <w:rPr>
          <w:rFonts w:hint="eastAsia" w:ascii="Times New Roman" w:hAnsi="Times New Roman" w:eastAsia="仿宋_GB2312" w:cs="Times New Roman"/>
          <w:color w:val="auto"/>
          <w:sz w:val="32"/>
          <w:szCs w:val="32"/>
          <w:highlight w:val="none"/>
          <w:lang w:val="en-US" w:eastAsia="zh-CN"/>
        </w:rPr>
        <w:t>1.评价目的</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围绕部门职责、行业发展规划，以预算资金管理为主线，统筹考虑资产和业务活动，从运行成本、管理效率、履职效能、社会效应、可持续发展能力和服务对象满意度等方面，衡量部门整体及核心业务实施效果，强化部门整体支出绩效管理责任，推动提高部门整体绩效管理水平。</w:t>
      </w:r>
    </w:p>
    <w:p>
      <w:pPr>
        <w:pStyle w:val="2"/>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9"/>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2.评估对象和范围</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本次绩效</w:t>
      </w:r>
      <w:r>
        <w:rPr>
          <w:rFonts w:hint="eastAsia" w:ascii="Times New Roman" w:hAnsi="Times New Roman" w:eastAsia="仿宋_GB2312" w:cs="Times New Roman"/>
          <w:color w:val="auto"/>
          <w:sz w:val="32"/>
          <w:szCs w:val="32"/>
          <w:highlight w:val="none"/>
        </w:rPr>
        <w:t>评价对象</w:t>
      </w:r>
      <w:r>
        <w:rPr>
          <w:rFonts w:hint="eastAsia" w:ascii="Times New Roman" w:hAnsi="Times New Roman" w:eastAsia="仿宋_GB2312" w:cs="Times New Roman"/>
          <w:color w:val="auto"/>
          <w:sz w:val="32"/>
          <w:szCs w:val="32"/>
          <w:highlight w:val="none"/>
          <w:lang w:eastAsia="zh-CN"/>
        </w:rPr>
        <w:t>为市教育局</w:t>
      </w:r>
      <w:r>
        <w:rPr>
          <w:rFonts w:hint="eastAsia" w:ascii="Times New Roman" w:hAnsi="Times New Roman" w:eastAsia="仿宋_GB2312" w:cs="Times New Roman"/>
          <w:color w:val="auto"/>
          <w:sz w:val="32"/>
          <w:szCs w:val="32"/>
          <w:highlight w:val="none"/>
          <w:lang w:val="en-US" w:eastAsia="zh-CN"/>
        </w:rPr>
        <w:t>2020年度</w:t>
      </w:r>
      <w:r>
        <w:rPr>
          <w:rFonts w:hint="eastAsia" w:ascii="Times New Roman" w:hAnsi="Times New Roman" w:eastAsia="仿宋_GB2312" w:cs="Times New Roman"/>
          <w:color w:val="auto"/>
          <w:sz w:val="32"/>
          <w:szCs w:val="32"/>
          <w:highlight w:val="none"/>
        </w:rPr>
        <w:t>部门整体支出</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zh-TW" w:eastAsia="zh-TW"/>
        </w:rPr>
        <w:t>绩效评价</w:t>
      </w:r>
      <w:r>
        <w:rPr>
          <w:rFonts w:hint="eastAsia" w:ascii="Times New Roman" w:hAnsi="Times New Roman" w:eastAsia="仿宋_GB2312" w:cs="Times New Roman"/>
          <w:color w:val="auto"/>
          <w:sz w:val="32"/>
          <w:szCs w:val="32"/>
          <w:highlight w:val="none"/>
          <w:lang w:val="zh-TW"/>
        </w:rPr>
        <w:t>资金</w:t>
      </w:r>
      <w:r>
        <w:rPr>
          <w:rFonts w:hint="eastAsia" w:ascii="Times New Roman" w:hAnsi="Times New Roman" w:eastAsia="仿宋_GB2312" w:cs="Times New Roman"/>
          <w:color w:val="auto"/>
          <w:sz w:val="32"/>
          <w:szCs w:val="32"/>
          <w:highlight w:val="none"/>
          <w:lang w:val="zh-TW" w:eastAsia="zh-TW"/>
        </w:rPr>
        <w:t>范围为一般公共预算安排的用于</w:t>
      </w:r>
      <w:r>
        <w:rPr>
          <w:rFonts w:hint="eastAsia" w:ascii="Times New Roman" w:hAnsi="Times New Roman" w:eastAsia="仿宋_GB2312" w:cs="Times New Roman"/>
          <w:color w:val="auto"/>
          <w:sz w:val="32"/>
          <w:szCs w:val="32"/>
          <w:highlight w:val="none"/>
          <w:lang w:val="zh-TW" w:eastAsia="zh-CN"/>
        </w:rPr>
        <w:t>市教育局</w:t>
      </w:r>
      <w:r>
        <w:rPr>
          <w:rFonts w:hint="eastAsia" w:ascii="Times New Roman" w:hAnsi="Times New Roman" w:eastAsia="仿宋_GB2312" w:cs="Times New Roman"/>
          <w:color w:val="auto"/>
          <w:sz w:val="32"/>
          <w:szCs w:val="32"/>
          <w:highlight w:val="none"/>
          <w:lang w:val="zh-TW" w:eastAsia="zh-TW"/>
        </w:rPr>
        <w:t>的基本支出</w:t>
      </w:r>
      <w:r>
        <w:rPr>
          <w:rFonts w:hint="eastAsia" w:ascii="Times New Roman" w:hAnsi="Times New Roman" w:eastAsia="仿宋_GB2312" w:cs="Times New Roman"/>
          <w:color w:val="auto"/>
          <w:sz w:val="32"/>
          <w:szCs w:val="32"/>
          <w:highlight w:val="none"/>
          <w:lang w:val="zh-TW" w:eastAsia="zh-CN"/>
        </w:rPr>
        <w:t>和项目支出。</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1"/>
        <w:rPr>
          <w:rFonts w:hint="eastAsia" w:ascii="楷体_GB2312" w:hAnsi="楷体_GB2312" w:eastAsia="楷体_GB2312" w:cs="楷体_GB2312"/>
          <w:bCs/>
          <w:color w:val="auto"/>
          <w:kern w:val="0"/>
          <w:sz w:val="32"/>
          <w:szCs w:val="32"/>
          <w:highlight w:val="none"/>
          <w:lang w:eastAsia="zh-CN"/>
        </w:rPr>
      </w:pPr>
      <w:bookmarkStart w:id="14" w:name="_Toc20691"/>
      <w:r>
        <w:rPr>
          <w:rFonts w:hint="default" w:ascii="楷体_GB2312" w:hAnsi="楷体_GB2312" w:eastAsia="楷体_GB2312" w:cs="楷体_GB2312"/>
          <w:bCs/>
          <w:color w:val="auto"/>
          <w:kern w:val="0"/>
          <w:sz w:val="32"/>
          <w:szCs w:val="32"/>
          <w:highlight w:val="none"/>
        </w:rPr>
        <w:t>（二）评价依据</w:t>
      </w:r>
      <w:bookmarkEnd w:id="13"/>
      <w:r>
        <w:rPr>
          <w:rFonts w:hint="eastAsia" w:ascii="楷体_GB2312" w:hAnsi="楷体_GB2312" w:eastAsia="楷体_GB2312" w:cs="楷体_GB2312"/>
          <w:bCs/>
          <w:color w:val="auto"/>
          <w:kern w:val="0"/>
          <w:sz w:val="32"/>
          <w:szCs w:val="32"/>
          <w:highlight w:val="none"/>
          <w:lang w:eastAsia="zh-CN"/>
        </w:rPr>
        <w:t>、方法、标准、指标体系等</w:t>
      </w:r>
      <w:bookmarkEnd w:id="14"/>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bookmarkStart w:id="15" w:name="_Toc26964735"/>
      <w:r>
        <w:rPr>
          <w:rFonts w:hint="eastAsia" w:ascii="Times New Roman" w:hAnsi="Times New Roman" w:eastAsia="仿宋_GB2312" w:cs="Times New Roman"/>
          <w:color w:val="auto"/>
          <w:sz w:val="32"/>
          <w:szCs w:val="32"/>
          <w:highlight w:val="none"/>
          <w:lang w:val="en-US" w:eastAsia="zh-CN"/>
        </w:rPr>
        <w:t>1.评价依据</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Times New Roman" w:hAnsi="Times New Roman" w:eastAsia="仿宋_GB2312" w:cs="Times New Roman"/>
          <w:color w:val="auto"/>
          <w:sz w:val="32"/>
          <w:szCs w:val="32"/>
          <w:highlight w:val="none"/>
        </w:rPr>
        <w:t>《中共中</w:t>
      </w:r>
      <w:r>
        <w:rPr>
          <w:rFonts w:hint="eastAsia" w:ascii="Times New Roman" w:hAnsi="Times New Roman" w:eastAsia="仿宋_GB2312" w:cs="Times New Roman"/>
          <w:color w:val="auto"/>
          <w:sz w:val="32"/>
          <w:szCs w:val="32"/>
          <w:highlight w:val="none"/>
          <w:u w:val="none"/>
        </w:rPr>
        <w:t>央 国务</w:t>
      </w:r>
      <w:r>
        <w:rPr>
          <w:rFonts w:hint="eastAsia" w:ascii="Times New Roman" w:hAnsi="Times New Roman" w:eastAsia="仿宋_GB2312" w:cs="Times New Roman"/>
          <w:color w:val="auto"/>
          <w:sz w:val="32"/>
          <w:szCs w:val="32"/>
          <w:highlight w:val="none"/>
        </w:rPr>
        <w:t>院关于全面实施预算绩效管理的意见》（中发〔2018〕34号）；</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Times New Roman"/>
          <w:color w:val="auto"/>
          <w:sz w:val="32"/>
          <w:szCs w:val="32"/>
          <w:highlight w:val="none"/>
        </w:rPr>
        <w:t>财政部《关于贯彻落实&lt;中共中</w:t>
      </w:r>
      <w:r>
        <w:rPr>
          <w:rFonts w:hint="eastAsia" w:ascii="Times New Roman" w:hAnsi="Times New Roman" w:eastAsia="仿宋_GB2312" w:cs="Times New Roman"/>
          <w:color w:val="auto"/>
          <w:sz w:val="32"/>
          <w:szCs w:val="32"/>
          <w:highlight w:val="none"/>
          <w:u w:val="none"/>
        </w:rPr>
        <w:t>央 国</w:t>
      </w:r>
      <w:r>
        <w:rPr>
          <w:rFonts w:hint="eastAsia" w:ascii="Times New Roman" w:hAnsi="Times New Roman" w:eastAsia="仿宋_GB2312" w:cs="Times New Roman"/>
          <w:color w:val="auto"/>
          <w:sz w:val="32"/>
          <w:szCs w:val="32"/>
          <w:highlight w:val="none"/>
        </w:rPr>
        <w:t>务院关于全面实施预算绩效管理的意见&gt;的通知》（财预〔2018〕167号）；</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仿宋_GB2312" w:cs="Times New Roman"/>
          <w:color w:val="auto"/>
          <w:sz w:val="32"/>
          <w:szCs w:val="32"/>
          <w:highlight w:val="none"/>
          <w:u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Times New Roman"/>
          <w:color w:val="auto"/>
          <w:sz w:val="32"/>
          <w:szCs w:val="32"/>
          <w:highlight w:val="none"/>
        </w:rPr>
        <w:t>《中共山东</w:t>
      </w:r>
      <w:r>
        <w:rPr>
          <w:rFonts w:hint="eastAsia" w:ascii="Times New Roman" w:hAnsi="Times New Roman" w:eastAsia="仿宋_GB2312" w:cs="Times New Roman"/>
          <w:color w:val="auto"/>
          <w:sz w:val="32"/>
          <w:szCs w:val="32"/>
          <w:highlight w:val="none"/>
          <w:u w:val="none"/>
        </w:rPr>
        <w:t>省委 山东省人民政府关于全面推进预算绩效管理的实施意见》（鲁发〔2019〕2号）；</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rPr>
        <w:t>）</w:t>
      </w:r>
      <w:r>
        <w:rPr>
          <w:rFonts w:hint="eastAsia" w:ascii="Times New Roman" w:hAnsi="Times New Roman" w:eastAsia="仿宋_GB2312" w:cs="Times New Roman"/>
          <w:color w:val="auto"/>
          <w:sz w:val="32"/>
          <w:szCs w:val="32"/>
          <w:highlight w:val="none"/>
          <w:u w:val="none"/>
        </w:rPr>
        <w:t>《中共青岛市委 青岛</w:t>
      </w:r>
      <w:r>
        <w:rPr>
          <w:rFonts w:hint="eastAsia" w:ascii="Times New Roman" w:hAnsi="Times New Roman" w:eastAsia="仿宋_GB2312" w:cs="Times New Roman"/>
          <w:color w:val="auto"/>
          <w:sz w:val="32"/>
          <w:szCs w:val="32"/>
          <w:highlight w:val="none"/>
        </w:rPr>
        <w:t>市人民政府关于深化预算管理改革全面推进预算绩效管理的实施意见》（青发〔2019〕6号）；</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仿宋_GB2312" w:cs="Times New Roman"/>
          <w:color w:val="auto"/>
          <w:sz w:val="32"/>
          <w:szCs w:val="32"/>
          <w:highlight w:val="none"/>
        </w:rPr>
      </w:pPr>
      <w:bookmarkStart w:id="16" w:name="_Hlk49088702"/>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Times New Roman"/>
          <w:color w:val="auto"/>
          <w:sz w:val="32"/>
          <w:szCs w:val="32"/>
          <w:highlight w:val="none"/>
          <w:lang w:val="zh-TW" w:eastAsia="zh-TW"/>
        </w:rPr>
        <w:t>《</w:t>
      </w:r>
      <w:r>
        <w:rPr>
          <w:rFonts w:hint="eastAsia" w:ascii="Times New Roman" w:hAnsi="Times New Roman" w:eastAsia="仿宋_GB2312" w:cs="Times New Roman"/>
          <w:color w:val="auto"/>
          <w:sz w:val="32"/>
          <w:szCs w:val="32"/>
          <w:highlight w:val="none"/>
          <w:lang w:val="zh-TW"/>
        </w:rPr>
        <w:t>青岛市财政局关于印发&lt;</w:t>
      </w:r>
      <w:r>
        <w:rPr>
          <w:rFonts w:hint="eastAsia" w:ascii="Times New Roman" w:hAnsi="Times New Roman" w:eastAsia="仿宋_GB2312" w:cs="Times New Roman"/>
          <w:color w:val="auto"/>
          <w:sz w:val="32"/>
          <w:szCs w:val="32"/>
          <w:highlight w:val="none"/>
          <w:lang w:val="zh-TW" w:eastAsia="zh-TW"/>
        </w:rPr>
        <w:t>市级财政绩效评价操作指南</w:t>
      </w:r>
      <w:r>
        <w:rPr>
          <w:rFonts w:hint="eastAsia" w:ascii="Times New Roman" w:hAnsi="Times New Roman" w:eastAsia="仿宋_GB2312" w:cs="Times New Roman"/>
          <w:color w:val="auto"/>
          <w:sz w:val="32"/>
          <w:szCs w:val="32"/>
          <w:highlight w:val="none"/>
          <w:lang w:val="zh-TW"/>
        </w:rPr>
        <w:t>&gt;的通知</w:t>
      </w:r>
      <w:r>
        <w:rPr>
          <w:rFonts w:hint="eastAsia" w:ascii="Times New Roman" w:hAnsi="Times New Roman" w:eastAsia="仿宋_GB2312" w:cs="Times New Roman"/>
          <w:color w:val="auto"/>
          <w:sz w:val="32"/>
          <w:szCs w:val="32"/>
          <w:highlight w:val="none"/>
          <w:lang w:val="zh-TW" w:eastAsia="zh-TW"/>
        </w:rPr>
        <w:t>》（青财绩〔</w:t>
      </w:r>
      <w:r>
        <w:rPr>
          <w:rFonts w:hint="eastAsia" w:ascii="Times New Roman" w:hAnsi="Times New Roman" w:eastAsia="仿宋_GB2312" w:cs="Times New Roman"/>
          <w:color w:val="auto"/>
          <w:sz w:val="32"/>
          <w:szCs w:val="32"/>
          <w:highlight w:val="none"/>
          <w:lang w:eastAsia="zh-TW"/>
        </w:rPr>
        <w:t>20</w:t>
      </w:r>
      <w:r>
        <w:rPr>
          <w:rFonts w:hint="eastAsia" w:ascii="Times New Roman" w:hAnsi="Times New Roman" w:eastAsia="仿宋_GB2312" w:cs="Times New Roman"/>
          <w:color w:val="auto"/>
          <w:sz w:val="32"/>
          <w:szCs w:val="32"/>
          <w:highlight w:val="none"/>
        </w:rPr>
        <w:t>20</w:t>
      </w:r>
      <w:r>
        <w:rPr>
          <w:rFonts w:hint="eastAsia" w:ascii="Times New Roman" w:hAnsi="Times New Roman" w:eastAsia="仿宋_GB2312" w:cs="Times New Roman"/>
          <w:color w:val="auto"/>
          <w:sz w:val="32"/>
          <w:szCs w:val="32"/>
          <w:highlight w:val="none"/>
          <w:lang w:val="zh-TW" w:eastAsia="zh-TW"/>
        </w:rPr>
        <w:t>〕</w:t>
      </w:r>
      <w:r>
        <w:rPr>
          <w:rFonts w:hint="eastAsia" w:ascii="Times New Roman" w:hAnsi="Times New Roman" w:eastAsia="仿宋_GB2312" w:cs="Times New Roman"/>
          <w:color w:val="auto"/>
          <w:sz w:val="32"/>
          <w:szCs w:val="32"/>
          <w:highlight w:val="none"/>
        </w:rPr>
        <w:t>6</w:t>
      </w:r>
      <w:r>
        <w:rPr>
          <w:rFonts w:hint="eastAsia" w:ascii="Times New Roman" w:hAnsi="Times New Roman" w:eastAsia="仿宋_GB2312" w:cs="Times New Roman"/>
          <w:color w:val="auto"/>
          <w:sz w:val="32"/>
          <w:szCs w:val="32"/>
          <w:highlight w:val="none"/>
          <w:lang w:val="zh-TW" w:eastAsia="zh-TW"/>
        </w:rPr>
        <w:t>号）</w:t>
      </w:r>
      <w:bookmarkEnd w:id="16"/>
      <w:r>
        <w:rPr>
          <w:rFonts w:hint="eastAsia" w:ascii="Times New Roman" w:hAnsi="Times New Roman" w:eastAsia="仿宋_GB2312" w:cs="Times New Roman"/>
          <w:color w:val="auto"/>
          <w:sz w:val="32"/>
          <w:szCs w:val="32"/>
          <w:highlight w:val="none"/>
          <w:lang w:val="zh-TW"/>
        </w:rPr>
        <w:t>；</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Times New Roman"/>
          <w:color w:val="auto"/>
          <w:sz w:val="32"/>
          <w:szCs w:val="32"/>
          <w:highlight w:val="none"/>
          <w:lang w:eastAsia="zh-CN"/>
        </w:rPr>
        <w:t>青岛市教育局</w:t>
      </w:r>
      <w:r>
        <w:rPr>
          <w:rFonts w:hint="eastAsia" w:ascii="Times New Roman" w:hAnsi="Times New Roman" w:eastAsia="仿宋_GB2312" w:cs="Times New Roman"/>
          <w:color w:val="auto"/>
          <w:sz w:val="32"/>
          <w:szCs w:val="32"/>
          <w:highlight w:val="none"/>
        </w:rPr>
        <w:t>提报的部门职能文件、工作计划、管理制度、预决算报表、工作开展情况等资料；</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Times New Roman"/>
          <w:color w:val="auto"/>
          <w:sz w:val="32"/>
          <w:szCs w:val="32"/>
          <w:highlight w:val="none"/>
        </w:rPr>
        <w:t>其他资料。</w:t>
      </w:r>
    </w:p>
    <w:bookmarkEnd w:id="15"/>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9"/>
        <w:rPr>
          <w:rFonts w:hint="default" w:ascii="楷体_GB2312" w:hAnsi="楷体_GB2312" w:eastAsia="楷体_GB2312" w:cs="楷体_GB2312"/>
          <w:bCs/>
          <w:color w:val="auto"/>
          <w:kern w:val="0"/>
          <w:sz w:val="32"/>
          <w:szCs w:val="32"/>
          <w:highlight w:val="none"/>
        </w:rPr>
      </w:pPr>
      <w:bookmarkStart w:id="17" w:name="_Toc26964736"/>
      <w:r>
        <w:rPr>
          <w:rFonts w:hint="eastAsia" w:ascii="楷体_GB2312" w:hAnsi="楷体_GB2312" w:eastAsia="楷体_GB2312" w:cs="楷体_GB2312"/>
          <w:bCs/>
          <w:color w:val="auto"/>
          <w:kern w:val="0"/>
          <w:sz w:val="32"/>
          <w:szCs w:val="32"/>
          <w:highlight w:val="none"/>
          <w:lang w:val="en-US" w:eastAsia="zh-CN"/>
        </w:rPr>
        <w:t>2.</w:t>
      </w:r>
      <w:bookmarkEnd w:id="17"/>
      <w:r>
        <w:rPr>
          <w:rFonts w:hint="default" w:ascii="楷体_GB2312" w:hAnsi="楷体_GB2312" w:eastAsia="楷体_GB2312" w:cs="楷体_GB2312"/>
          <w:bCs/>
          <w:color w:val="auto"/>
          <w:kern w:val="0"/>
          <w:sz w:val="32"/>
          <w:szCs w:val="32"/>
          <w:highlight w:val="none"/>
        </w:rPr>
        <w:t>评价方法</w:t>
      </w:r>
    </w:p>
    <w:p>
      <w:pPr>
        <w:keepNext w:val="0"/>
        <w:keepLines w:val="0"/>
        <w:pageBreakBefore w:val="0"/>
        <w:widowControl w:val="0"/>
        <w:tabs>
          <w:tab w:val="left" w:pos="3771"/>
        </w:tabs>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highlight w:val="none"/>
        </w:rPr>
      </w:pPr>
      <w:bookmarkStart w:id="18" w:name="_Toc30942"/>
      <w:bookmarkStart w:id="19" w:name="_Toc24816"/>
      <w:bookmarkStart w:id="20" w:name="_Toc22177"/>
      <w:bookmarkStart w:id="21" w:name="_Toc15901"/>
      <w:bookmarkStart w:id="22" w:name="_Toc23822"/>
      <w:r>
        <w:rPr>
          <w:rFonts w:hint="eastAsia" w:ascii="仿宋_GB2312" w:hAnsi="仿宋_GB2312" w:eastAsia="仿宋_GB2312" w:cs="仿宋_GB2312"/>
          <w:color w:val="auto"/>
          <w:sz w:val="32"/>
          <w:szCs w:val="32"/>
          <w:highlight w:val="none"/>
        </w:rPr>
        <w:t>为准确、全面反映部门履职情况和履职效益，体现绩效评价的公平和客观，本次评价主要采用比较法、因素分析法、专家评议法和公众评判法4种方法。</w:t>
      </w:r>
    </w:p>
    <w:p>
      <w:pPr>
        <w:keepNext w:val="0"/>
        <w:keepLines w:val="0"/>
        <w:pageBreakBefore w:val="0"/>
        <w:widowControl w:val="0"/>
        <w:tabs>
          <w:tab w:val="left" w:pos="3771"/>
        </w:tabs>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（1）比较法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通过对绩效目标与绩效结果、历史情况和考评期情况、不同部门和地区同类支出的比较，综合分析考评绩效目标完成情况的评价方法。</w:t>
      </w:r>
    </w:p>
    <w:p>
      <w:pPr>
        <w:keepNext w:val="0"/>
        <w:keepLines w:val="0"/>
        <w:pageBreakBefore w:val="0"/>
        <w:widowControl w:val="0"/>
        <w:tabs>
          <w:tab w:val="left" w:pos="3771"/>
        </w:tabs>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（2）因素分析法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通过分析影响目标、结果及成本的内外因素，综合分析评价绩效目标完成情况，总结项目实施过程中的经验、问题，提出项目改进建议。</w:t>
      </w:r>
    </w:p>
    <w:p>
      <w:pPr>
        <w:keepNext w:val="0"/>
        <w:keepLines w:val="0"/>
        <w:pageBreakBefore w:val="0"/>
        <w:widowControl w:val="0"/>
        <w:tabs>
          <w:tab w:val="left" w:pos="3771"/>
        </w:tabs>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（3）专家评议法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在定量和定性分析的基础上，以打分等方式做出定量评价。根据需求邀请</w:t>
      </w:r>
      <w:r>
        <w:rPr>
          <w:rFonts w:hint="eastAsia" w:ascii="仿宋_GB2312" w:hAnsi="仿宋_GB2312" w:eastAsia="仿宋_GB2312" w:cs="仿宋_GB2312"/>
          <w:color w:val="auto"/>
          <w:sz w:val="32"/>
          <w:szCs w:val="32"/>
          <w:highlight w:val="none"/>
          <w:lang w:val="en-US" w:eastAsia="zh-CN"/>
        </w:rPr>
        <w:t>相关</w:t>
      </w:r>
      <w:r>
        <w:rPr>
          <w:rFonts w:hint="eastAsia" w:ascii="仿宋_GB2312" w:hAnsi="仿宋_GB2312" w:eastAsia="仿宋_GB2312" w:cs="仿宋_GB2312"/>
          <w:color w:val="auto"/>
          <w:sz w:val="32"/>
          <w:szCs w:val="32"/>
          <w:highlight w:val="none"/>
        </w:rPr>
        <w:t>专家组成评价小组，到项目单位采取勘察、问询、复核、访谈等方式，对有关情况进行核实，对掌握的有关资料进行整理分析，及时提供专业的咨询意见，专家根据评价标准和行业经验进行评分。</w:t>
      </w:r>
    </w:p>
    <w:p>
      <w:pPr>
        <w:keepNext w:val="0"/>
        <w:keepLines w:val="0"/>
        <w:pageBreakBefore w:val="0"/>
        <w:widowControl w:val="0"/>
        <w:tabs>
          <w:tab w:val="left" w:pos="3771"/>
        </w:tabs>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（4）公众评判法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通过专家评估、公众问卷及抽样调查等方式，对财政支出的效率性和效益性进行评判，评价绩效目标的实现程度。</w:t>
      </w:r>
    </w:p>
    <w:p>
      <w:pPr>
        <w:keepNext w:val="0"/>
        <w:keepLines w:val="0"/>
        <w:pageBreakBefore w:val="0"/>
        <w:widowControl w:val="0"/>
        <w:tabs>
          <w:tab w:val="left" w:pos="3771"/>
        </w:tabs>
        <w:kinsoku/>
        <w:wordWrap/>
        <w:overflowPunct/>
        <w:topLinePunct w:val="0"/>
        <w:autoSpaceDE/>
        <w:autoSpaceDN/>
        <w:bidi w:val="0"/>
        <w:adjustRightInd w:val="0"/>
        <w:snapToGrid w:val="0"/>
        <w:spacing w:line="53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.评价</w:t>
      </w:r>
      <w:r>
        <w:rPr>
          <w:rFonts w:hint="eastAsia" w:ascii="仿宋_GB2312" w:hAnsi="仿宋_GB2312" w:eastAsia="仿宋_GB2312" w:cs="仿宋_GB2312"/>
          <w:b w:val="0"/>
          <w:bCs w:val="0"/>
          <w:color w:val="auto"/>
          <w:sz w:val="32"/>
          <w:szCs w:val="32"/>
          <w:highlight w:val="none"/>
          <w:lang w:eastAsia="zh-CN"/>
        </w:rPr>
        <w:t>标准</w:t>
      </w:r>
      <w:bookmarkEnd w:id="18"/>
      <w:bookmarkEnd w:id="19"/>
      <w:bookmarkEnd w:id="20"/>
      <w:bookmarkEnd w:id="21"/>
      <w:bookmarkEnd w:id="22"/>
    </w:p>
    <w:p>
      <w:pPr>
        <w:keepNext w:val="0"/>
        <w:keepLines w:val="0"/>
        <w:pageBreakBefore w:val="0"/>
        <w:widowControl w:val="0"/>
        <w:kinsoku/>
        <w:wordWrap/>
        <w:overflowPunct w:val="0"/>
        <w:topLinePunct w:val="0"/>
        <w:autoSpaceDE/>
        <w:autoSpaceDN/>
        <w:bidi w:val="0"/>
        <w:adjustRightInd w:val="0"/>
        <w:snapToGrid w:val="0"/>
        <w:spacing w:line="530" w:lineRule="exact"/>
        <w:ind w:firstLine="640"/>
        <w:textAlignment w:val="auto"/>
        <w:rPr>
          <w:rFonts w:hint="eastAsia"/>
          <w:color w:val="auto"/>
          <w:highlight w:val="none"/>
        </w:rPr>
      </w:pPr>
      <w:bookmarkStart w:id="23" w:name="_Toc29541"/>
      <w:bookmarkStart w:id="24" w:name="_Toc28408"/>
      <w:bookmarkStart w:id="25" w:name="_Toc5126"/>
      <w:bookmarkStart w:id="26" w:name="_Toc7512"/>
      <w:bookmarkStart w:id="27" w:name="_Toc4681"/>
      <w:r>
        <w:rPr>
          <w:rFonts w:hint="eastAsia" w:ascii="仿宋_GB2312" w:hAnsi="仿宋_GB2312" w:eastAsia="仿宋_GB2312" w:cs="仿宋_GB2312"/>
          <w:color w:val="auto"/>
          <w:sz w:val="32"/>
          <w:szCs w:val="32"/>
          <w:highlight w:val="none"/>
        </w:rPr>
        <w:t>评价标准依据</w:t>
      </w:r>
      <w:r>
        <w:rPr>
          <w:rFonts w:hint="eastAsia" w:ascii="仿宋_GB2312" w:hAnsi="仿宋_GB2312" w:eastAsia="仿宋_GB2312" w:cs="仿宋_GB2312"/>
          <w:color w:val="auto"/>
          <w:sz w:val="32"/>
          <w:szCs w:val="32"/>
          <w:highlight w:val="none"/>
          <w:lang w:eastAsia="zh-CN"/>
        </w:rPr>
        <w:t>青岛市人民政府办公厅</w:t>
      </w:r>
      <w:r>
        <w:rPr>
          <w:rFonts w:hint="eastAsia" w:ascii="仿宋_GB2312" w:hAnsi="仿宋_GB2312" w:eastAsia="仿宋_GB2312" w:cs="仿宋_GB2312"/>
          <w:color w:val="auto"/>
          <w:sz w:val="32"/>
          <w:szCs w:val="32"/>
          <w:highlight w:val="none"/>
        </w:rPr>
        <w:t>《关于印发</w:t>
      </w:r>
      <w:r>
        <w:rPr>
          <w:rFonts w:hint="eastAsia" w:ascii="仿宋_GB2312" w:hAnsi="仿宋_GB2312" w:eastAsia="仿宋_GB2312" w:cs="仿宋_GB2312"/>
          <w:color w:val="auto"/>
          <w:sz w:val="32"/>
          <w:szCs w:val="32"/>
          <w:highlight w:val="none"/>
          <w:lang w:eastAsia="zh-CN"/>
        </w:rPr>
        <w:t>青岛市“十三五”教育事业发展规划的通知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青政办字</w:t>
      </w:r>
      <w:r>
        <w:rPr>
          <w:rFonts w:hint="eastAsia" w:ascii="仿宋_GB2312" w:hAnsi="仿宋_GB2312" w:eastAsia="仿宋_GB2312" w:cs="仿宋_GB2312"/>
          <w:color w:val="auto"/>
          <w:sz w:val="32"/>
          <w:szCs w:val="32"/>
          <w:highlight w:val="none"/>
        </w:rPr>
        <w:t>〔201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158</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highlight w:val="none"/>
          <w:lang w:eastAsia="zh-CN"/>
        </w:rPr>
        <w:t>青岛市教育局办公室（新闻中心）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关于印发</w:t>
      </w:r>
      <w:r>
        <w:rPr>
          <w:rFonts w:hint="eastAsia" w:ascii="仿宋_GB2312" w:hAnsi="仿宋_GB2312" w:eastAsia="仿宋_GB2312" w:cs="仿宋_GB2312"/>
          <w:color w:val="auto"/>
          <w:sz w:val="32"/>
          <w:szCs w:val="32"/>
          <w:highlight w:val="none"/>
          <w:lang w:val="en-US" w:eastAsia="zh-CN"/>
        </w:rPr>
        <w:t>&lt;2020年全市教育工作要点的通知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青教工委</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highlight w:val="none"/>
          <w:lang w:eastAsia="zh-CN"/>
        </w:rPr>
        <w:t>等文件，《青岛市支持教育事业发展专项资金管理办法》、《青岛市教育费附加使用管理办法》等专项</w:t>
      </w:r>
      <w:r>
        <w:rPr>
          <w:rFonts w:hint="eastAsia" w:ascii="仿宋_GB2312" w:hAnsi="仿宋_GB2312" w:eastAsia="仿宋_GB2312" w:cs="仿宋_GB2312"/>
          <w:color w:val="auto"/>
          <w:sz w:val="32"/>
          <w:szCs w:val="32"/>
          <w:highlight w:val="none"/>
        </w:rPr>
        <w:t>资金及实施管理的有关制度</w:t>
      </w:r>
      <w:r>
        <w:rPr>
          <w:rFonts w:hint="eastAsia" w:ascii="仿宋_GB2312" w:hAnsi="仿宋_GB2312" w:eastAsia="仿宋_GB2312" w:cs="仿宋_GB2312"/>
          <w:color w:val="auto"/>
          <w:sz w:val="32"/>
          <w:szCs w:val="32"/>
          <w:highlight w:val="none"/>
          <w:lang w:eastAsia="zh-CN"/>
        </w:rPr>
        <w:t>、教育发展</w:t>
      </w:r>
      <w:r>
        <w:rPr>
          <w:rFonts w:hint="eastAsia" w:ascii="仿宋_GB2312" w:hAnsi="仿宋_GB2312" w:eastAsia="仿宋_GB2312" w:cs="仿宋_GB2312"/>
          <w:color w:val="auto"/>
          <w:sz w:val="32"/>
          <w:szCs w:val="32"/>
          <w:highlight w:val="none"/>
        </w:rPr>
        <w:t>有关技术标准</w:t>
      </w:r>
      <w:r>
        <w:rPr>
          <w:rFonts w:hint="eastAsia" w:ascii="仿宋_GB2312" w:hAnsi="仿宋_GB2312" w:eastAsia="仿宋_GB2312" w:cs="仿宋_GB2312"/>
          <w:color w:val="auto"/>
          <w:sz w:val="32"/>
          <w:szCs w:val="32"/>
          <w:highlight w:val="none"/>
          <w:lang w:eastAsia="zh-CN"/>
        </w:rPr>
        <w:t>以及部门目标任务完成情况申报表、</w:t>
      </w:r>
      <w:r>
        <w:rPr>
          <w:rFonts w:hint="eastAsia" w:ascii="仿宋_GB2312" w:hAnsi="仿宋_GB2312" w:eastAsia="仿宋_GB2312" w:cs="仿宋_GB2312"/>
          <w:color w:val="auto"/>
          <w:spacing w:val="-4"/>
          <w:sz w:val="32"/>
          <w:szCs w:val="32"/>
          <w:highlight w:val="none"/>
          <w:lang w:bidi="ar"/>
        </w:rPr>
        <w:t>项目绩效目标</w:t>
      </w:r>
      <w:r>
        <w:rPr>
          <w:rFonts w:hint="eastAsia" w:ascii="仿宋_GB2312" w:hAnsi="仿宋_GB2312" w:eastAsia="仿宋_GB2312" w:cs="仿宋_GB2312"/>
          <w:color w:val="auto"/>
          <w:spacing w:val="-4"/>
          <w:sz w:val="32"/>
          <w:szCs w:val="32"/>
          <w:highlight w:val="none"/>
          <w:lang w:eastAsia="zh-CN" w:bidi="ar"/>
        </w:rPr>
        <w:t>批复等</w:t>
      </w:r>
      <w:r>
        <w:rPr>
          <w:rFonts w:hint="eastAsia" w:ascii="仿宋_GB2312" w:hAnsi="仿宋_GB2312" w:eastAsia="仿宋_GB2312" w:cs="仿宋_GB2312"/>
          <w:color w:val="auto"/>
          <w:sz w:val="32"/>
          <w:szCs w:val="32"/>
          <w:highlight w:val="none"/>
          <w:lang w:eastAsia="zh-CN"/>
        </w:rPr>
        <w:t>，评价指标标杆值以相关制度及</w:t>
      </w:r>
      <w:r>
        <w:rPr>
          <w:rFonts w:hint="eastAsia" w:ascii="仿宋_GB2312" w:hAnsi="仿宋_GB2312" w:eastAsia="仿宋_GB2312" w:cs="仿宋_GB2312"/>
          <w:b w:val="0"/>
          <w:bCs w:val="0"/>
          <w:color w:val="auto"/>
          <w:spacing w:val="-4"/>
          <w:sz w:val="32"/>
          <w:szCs w:val="32"/>
          <w:highlight w:val="none"/>
          <w:lang w:bidi="ar"/>
        </w:rPr>
        <w:t>计划标</w:t>
      </w:r>
      <w:r>
        <w:rPr>
          <w:rFonts w:hint="eastAsia" w:ascii="仿宋_GB2312" w:hAnsi="仿宋_GB2312" w:eastAsia="仿宋_GB2312" w:cs="仿宋_GB2312"/>
          <w:color w:val="auto"/>
          <w:spacing w:val="-4"/>
          <w:sz w:val="32"/>
          <w:szCs w:val="32"/>
          <w:highlight w:val="none"/>
          <w:lang w:bidi="ar"/>
        </w:rPr>
        <w:t>准、行业标准</w:t>
      </w:r>
      <w:r>
        <w:rPr>
          <w:rFonts w:hint="eastAsia" w:ascii="仿宋_GB2312" w:hAnsi="仿宋_GB2312" w:eastAsia="仿宋_GB2312" w:cs="仿宋_GB2312"/>
          <w:color w:val="auto"/>
          <w:spacing w:val="-4"/>
          <w:sz w:val="32"/>
          <w:szCs w:val="32"/>
          <w:highlight w:val="none"/>
          <w:lang w:eastAsia="zh-CN" w:bidi="ar"/>
        </w:rPr>
        <w:t>、</w:t>
      </w:r>
      <w:r>
        <w:rPr>
          <w:rFonts w:hint="eastAsia" w:ascii="仿宋_GB2312" w:hAnsi="仿宋_GB2312" w:eastAsia="仿宋_GB2312" w:cs="仿宋_GB2312"/>
          <w:color w:val="auto"/>
          <w:spacing w:val="-4"/>
          <w:sz w:val="32"/>
          <w:szCs w:val="32"/>
          <w:highlight w:val="none"/>
          <w:lang w:bidi="ar"/>
        </w:rPr>
        <w:t>历史标准</w:t>
      </w:r>
      <w:r>
        <w:rPr>
          <w:rFonts w:hint="eastAsia" w:ascii="仿宋_GB2312" w:hAnsi="仿宋_GB2312" w:eastAsia="仿宋_GB2312" w:cs="仿宋_GB2312"/>
          <w:color w:val="auto"/>
          <w:spacing w:val="-4"/>
          <w:sz w:val="32"/>
          <w:szCs w:val="32"/>
          <w:highlight w:val="none"/>
          <w:lang w:eastAsia="zh-CN" w:bidi="ar"/>
        </w:rPr>
        <w:t>和事业发展公报等为依据。</w:t>
      </w:r>
    </w:p>
    <w:bookmarkEnd w:id="23"/>
    <w:bookmarkEnd w:id="24"/>
    <w:bookmarkEnd w:id="25"/>
    <w:bookmarkEnd w:id="26"/>
    <w:bookmarkEnd w:id="27"/>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9"/>
        <w:rPr>
          <w:rFonts w:hint="eastAsia"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highlight w:val="none"/>
          <w:lang w:val="en-US" w:eastAsia="zh-CN"/>
        </w:rPr>
        <w:t>4.评价指标体系</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9"/>
        <w:rPr>
          <w:rFonts w:ascii="仿宋_GB2312" w:hAnsi="Times New Roman" w:eastAsia="仿宋_GB2312" w:cs="Times New Roman"/>
          <w:color w:val="auto"/>
          <w:sz w:val="32"/>
          <w:szCs w:val="32"/>
          <w:highlight w:val="none"/>
          <w:lang w:val="zh-TW"/>
        </w:rPr>
      </w:pPr>
      <w:r>
        <w:rPr>
          <w:rFonts w:hint="eastAsia" w:ascii="仿宋_GB2312" w:hAnsi="Times New Roman" w:eastAsia="仿宋_GB2312" w:cs="Times New Roman"/>
          <w:color w:val="auto"/>
          <w:kern w:val="0"/>
          <w:sz w:val="32"/>
          <w:szCs w:val="32"/>
          <w:highlight w:val="none"/>
          <w:u w:color="000000"/>
          <w:lang w:val="zh-TW"/>
        </w:rPr>
        <w:t>根据</w:t>
      </w:r>
      <w:r>
        <w:rPr>
          <w:rFonts w:hint="eastAsia" w:ascii="仿宋_GB2312" w:hAnsi="Times New Roman" w:eastAsia="仿宋_GB2312" w:cs="Times New Roman"/>
          <w:color w:val="auto"/>
          <w:sz w:val="32"/>
          <w:szCs w:val="32"/>
          <w:highlight w:val="none"/>
        </w:rPr>
        <w:t>《青岛市财政局关于印发&lt;市级财政绩效评价操作指南&gt;的通知》（青财绩〔2020〕6号）</w:t>
      </w:r>
      <w:r>
        <w:rPr>
          <w:rFonts w:hint="eastAsia" w:ascii="仿宋_GB2312" w:hAnsi="Times New Roman" w:eastAsia="仿宋_GB2312" w:cs="Times New Roman"/>
          <w:color w:val="auto"/>
          <w:kern w:val="0"/>
          <w:sz w:val="32"/>
          <w:szCs w:val="32"/>
          <w:highlight w:val="none"/>
          <w:u w:color="000000"/>
        </w:rPr>
        <w:t>的</w:t>
      </w:r>
      <w:r>
        <w:rPr>
          <w:rFonts w:hint="eastAsia" w:ascii="仿宋_GB2312" w:hAnsi="Times New Roman" w:eastAsia="仿宋_GB2312" w:cs="Times New Roman"/>
          <w:color w:val="auto"/>
          <w:kern w:val="0"/>
          <w:sz w:val="32"/>
          <w:szCs w:val="32"/>
          <w:highlight w:val="none"/>
          <w:u w:color="000000"/>
          <w:lang w:val="zh-TW" w:eastAsia="zh-TW"/>
        </w:rPr>
        <w:t>部门整体支出指标体系框架，</w:t>
      </w:r>
      <w:r>
        <w:rPr>
          <w:rFonts w:hint="eastAsia" w:ascii="仿宋_GB2312" w:hAnsi="Times New Roman" w:eastAsia="仿宋_GB2312" w:cs="Times New Roman"/>
          <w:color w:val="auto"/>
          <w:kern w:val="0"/>
          <w:sz w:val="32"/>
          <w:szCs w:val="32"/>
          <w:highlight w:val="none"/>
          <w:u w:color="000000"/>
          <w:lang w:val="zh-TW"/>
        </w:rPr>
        <w:t>结合工作实际，</w:t>
      </w:r>
      <w:r>
        <w:rPr>
          <w:rFonts w:hint="eastAsia" w:ascii="仿宋_GB2312" w:hAnsi="Times New Roman" w:eastAsia="仿宋_GB2312" w:cs="Times New Roman"/>
          <w:color w:val="auto"/>
          <w:kern w:val="0"/>
          <w:sz w:val="32"/>
          <w:szCs w:val="32"/>
          <w:highlight w:val="none"/>
          <w:u w:color="000000"/>
          <w:lang w:val="zh-TW" w:eastAsia="zh-TW"/>
        </w:rPr>
        <w:t>制定</w:t>
      </w:r>
      <w:r>
        <w:rPr>
          <w:rFonts w:hint="eastAsia" w:ascii="仿宋_GB2312" w:hAnsi="Times New Roman" w:eastAsia="仿宋_GB2312" w:cs="Times New Roman"/>
          <w:color w:val="auto"/>
          <w:kern w:val="0"/>
          <w:sz w:val="32"/>
          <w:szCs w:val="32"/>
          <w:highlight w:val="none"/>
          <w:u w:color="000000"/>
          <w:lang w:val="zh-TW"/>
        </w:rPr>
        <w:t>本次</w:t>
      </w:r>
      <w:r>
        <w:rPr>
          <w:rFonts w:hint="eastAsia" w:ascii="仿宋_GB2312" w:hAnsi="Times New Roman" w:eastAsia="仿宋_GB2312" w:cs="Times New Roman"/>
          <w:color w:val="auto"/>
          <w:kern w:val="0"/>
          <w:sz w:val="32"/>
          <w:szCs w:val="32"/>
          <w:highlight w:val="none"/>
          <w:u w:color="000000"/>
          <w:lang w:val="zh-TW" w:eastAsia="zh-TW"/>
        </w:rPr>
        <w:t>绩效评价指标</w:t>
      </w:r>
      <w:r>
        <w:rPr>
          <w:rFonts w:hint="eastAsia" w:ascii="仿宋_GB2312" w:hAnsi="Times New Roman" w:eastAsia="仿宋_GB2312" w:cs="Times New Roman"/>
          <w:color w:val="auto"/>
          <w:sz w:val="32"/>
          <w:szCs w:val="32"/>
          <w:highlight w:val="none"/>
        </w:rPr>
        <w:t>体系，分为投入、过程、产出、</w:t>
      </w:r>
      <w:r>
        <w:rPr>
          <w:rFonts w:hint="eastAsia" w:ascii="仿宋_GB2312" w:hAnsi="Times New Roman" w:eastAsia="仿宋_GB2312" w:cs="Times New Roman"/>
          <w:color w:val="auto"/>
          <w:sz w:val="32"/>
          <w:szCs w:val="32"/>
          <w:highlight w:val="none"/>
          <w:lang w:eastAsia="zh-CN"/>
        </w:rPr>
        <w:t>效果</w:t>
      </w:r>
      <w:r>
        <w:rPr>
          <w:rFonts w:hint="eastAsia" w:ascii="仿宋_GB2312" w:hAnsi="Times New Roman" w:eastAsia="仿宋_GB2312" w:cs="Times New Roman"/>
          <w:color w:val="auto"/>
          <w:sz w:val="32"/>
          <w:szCs w:val="32"/>
          <w:highlight w:val="none"/>
        </w:rPr>
        <w:t>四个一级指标。</w:t>
      </w:r>
      <w:r>
        <w:rPr>
          <w:rFonts w:hint="eastAsia" w:ascii="仿宋_GB2312" w:hAnsi="Times New Roman" w:eastAsia="仿宋_GB2312" w:cs="Times New Roman"/>
          <w:color w:val="auto"/>
          <w:kern w:val="0"/>
          <w:sz w:val="32"/>
          <w:szCs w:val="32"/>
          <w:highlight w:val="none"/>
          <w:u w:color="000000"/>
          <w:lang w:val="zh-TW" w:eastAsia="zh-TW"/>
        </w:rPr>
        <w:t>“投入”指标主要评价目标设定、预算编制情况；“过程”指标主要评价预算执行、预算管理、资产管理情况；“产出”指标主要评价职责履行</w:t>
      </w:r>
      <w:r>
        <w:rPr>
          <w:rFonts w:hint="eastAsia" w:ascii="仿宋_GB2312" w:hAnsi="Times New Roman" w:eastAsia="仿宋_GB2312" w:cs="Times New Roman"/>
          <w:color w:val="auto"/>
          <w:kern w:val="0"/>
          <w:sz w:val="32"/>
          <w:szCs w:val="32"/>
          <w:highlight w:val="none"/>
          <w:u w:color="000000"/>
          <w:lang w:val="zh-TW" w:eastAsia="zh-CN"/>
        </w:rPr>
        <w:t>实际完成率、</w:t>
      </w:r>
      <w:r>
        <w:rPr>
          <w:rFonts w:hint="eastAsia" w:ascii="仿宋_GB2312" w:hAnsi="Times New Roman" w:eastAsia="仿宋_GB2312" w:cs="Times New Roman"/>
          <w:color w:val="auto"/>
          <w:kern w:val="0"/>
          <w:sz w:val="32"/>
          <w:szCs w:val="32"/>
          <w:highlight w:val="none"/>
          <w:u w:color="000000"/>
          <w:lang w:val="zh-TW" w:eastAsia="zh-TW"/>
        </w:rPr>
        <w:t>完成及时</w:t>
      </w:r>
      <w:r>
        <w:rPr>
          <w:rFonts w:hint="eastAsia" w:ascii="仿宋_GB2312" w:hAnsi="Times New Roman" w:eastAsia="仿宋_GB2312" w:cs="Times New Roman"/>
          <w:color w:val="auto"/>
          <w:kern w:val="0"/>
          <w:sz w:val="32"/>
          <w:szCs w:val="32"/>
          <w:highlight w:val="none"/>
          <w:u w:color="000000"/>
          <w:lang w:val="zh-TW" w:eastAsia="zh-CN"/>
        </w:rPr>
        <w:t>率</w:t>
      </w:r>
      <w:r>
        <w:rPr>
          <w:rFonts w:hint="eastAsia" w:ascii="仿宋_GB2312" w:hAnsi="Times New Roman" w:eastAsia="仿宋_GB2312" w:cs="Times New Roman"/>
          <w:color w:val="auto"/>
          <w:kern w:val="0"/>
          <w:sz w:val="32"/>
          <w:szCs w:val="32"/>
          <w:highlight w:val="none"/>
          <w:u w:color="000000"/>
          <w:lang w:val="zh-TW" w:eastAsia="zh-TW"/>
        </w:rPr>
        <w:t>、质量达标</w:t>
      </w:r>
      <w:r>
        <w:rPr>
          <w:rFonts w:hint="eastAsia" w:ascii="仿宋_GB2312" w:hAnsi="Times New Roman" w:eastAsia="仿宋_GB2312" w:cs="Times New Roman"/>
          <w:color w:val="auto"/>
          <w:kern w:val="0"/>
          <w:sz w:val="32"/>
          <w:szCs w:val="32"/>
          <w:highlight w:val="none"/>
          <w:u w:color="000000"/>
          <w:lang w:val="zh-TW" w:eastAsia="zh-CN"/>
        </w:rPr>
        <w:t>率</w:t>
      </w:r>
      <w:r>
        <w:rPr>
          <w:rFonts w:hint="eastAsia" w:ascii="仿宋_GB2312" w:hAnsi="Times New Roman" w:eastAsia="仿宋_GB2312" w:cs="Times New Roman"/>
          <w:color w:val="auto"/>
          <w:kern w:val="0"/>
          <w:sz w:val="32"/>
          <w:szCs w:val="32"/>
          <w:highlight w:val="none"/>
          <w:u w:color="000000"/>
          <w:lang w:val="zh-TW" w:eastAsia="zh-TW"/>
        </w:rPr>
        <w:t>和重点工作办结情况；“效</w:t>
      </w:r>
      <w:r>
        <w:rPr>
          <w:rFonts w:hint="eastAsia" w:ascii="仿宋_GB2312" w:hAnsi="Times New Roman" w:eastAsia="仿宋_GB2312" w:cs="Times New Roman"/>
          <w:color w:val="auto"/>
          <w:kern w:val="0"/>
          <w:sz w:val="32"/>
          <w:szCs w:val="32"/>
          <w:highlight w:val="none"/>
          <w:u w:color="000000"/>
          <w:lang w:val="zh-TW" w:eastAsia="zh-CN"/>
        </w:rPr>
        <w:t>果</w:t>
      </w:r>
      <w:r>
        <w:rPr>
          <w:rFonts w:hint="eastAsia" w:ascii="仿宋_GB2312" w:hAnsi="Times New Roman" w:eastAsia="仿宋_GB2312" w:cs="Times New Roman"/>
          <w:color w:val="auto"/>
          <w:kern w:val="0"/>
          <w:sz w:val="32"/>
          <w:szCs w:val="32"/>
          <w:highlight w:val="none"/>
          <w:u w:color="000000"/>
          <w:lang w:val="zh-TW" w:eastAsia="zh-TW"/>
        </w:rPr>
        <w:t>”指标主要评价社会效益、行政效能、可持续效益、社会公众、其他部门（单位）或服务对象满意度情况。</w:t>
      </w:r>
      <w:r>
        <w:rPr>
          <w:rFonts w:hint="eastAsia" w:ascii="仿宋_GB2312" w:hAnsi="Times New Roman" w:eastAsia="仿宋_GB2312" w:cs="Times New Roman"/>
          <w:color w:val="auto"/>
          <w:sz w:val="32"/>
          <w:szCs w:val="32"/>
          <w:highlight w:val="none"/>
        </w:rPr>
        <w:t>同时，按照绩效评价总体要求和部门整体支出内容设计了四级指标。</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1"/>
        <w:rPr>
          <w:rFonts w:hint="default" w:ascii="Times New Roman" w:hAnsi="Times New Roman" w:eastAsia="楷体" w:cs="Times New Roman"/>
          <w:bCs/>
          <w:color w:val="auto"/>
          <w:kern w:val="0"/>
          <w:sz w:val="32"/>
          <w:szCs w:val="32"/>
          <w:highlight w:val="none"/>
        </w:rPr>
      </w:pPr>
      <w:bookmarkStart w:id="28" w:name="_Toc24952"/>
      <w:r>
        <w:rPr>
          <w:rFonts w:hint="default" w:ascii="Times New Roman" w:hAnsi="Times New Roman" w:eastAsia="楷体" w:cs="Times New Roman"/>
          <w:bCs/>
          <w:color w:val="auto"/>
          <w:kern w:val="0"/>
          <w:sz w:val="32"/>
          <w:szCs w:val="32"/>
          <w:highlight w:val="none"/>
        </w:rPr>
        <w:t>（</w:t>
      </w:r>
      <w:r>
        <w:rPr>
          <w:rFonts w:hint="eastAsia" w:ascii="Times New Roman" w:hAnsi="Times New Roman" w:eastAsia="楷体" w:cs="Times New Roman"/>
          <w:bCs/>
          <w:color w:val="auto"/>
          <w:kern w:val="0"/>
          <w:sz w:val="32"/>
          <w:szCs w:val="32"/>
          <w:highlight w:val="none"/>
          <w:lang w:eastAsia="zh-CN"/>
        </w:rPr>
        <w:t>三</w:t>
      </w:r>
      <w:r>
        <w:rPr>
          <w:rFonts w:hint="default" w:ascii="Times New Roman" w:hAnsi="Times New Roman" w:eastAsia="楷体" w:cs="Times New Roman"/>
          <w:bCs/>
          <w:color w:val="auto"/>
          <w:kern w:val="0"/>
          <w:sz w:val="32"/>
          <w:szCs w:val="32"/>
          <w:highlight w:val="none"/>
        </w:rPr>
        <w:t>）</w:t>
      </w:r>
      <w:r>
        <w:rPr>
          <w:rFonts w:hint="eastAsia" w:ascii="Times New Roman" w:hAnsi="Times New Roman" w:eastAsia="楷体" w:cs="Times New Roman"/>
          <w:bCs/>
          <w:color w:val="auto"/>
          <w:kern w:val="0"/>
          <w:sz w:val="32"/>
          <w:szCs w:val="32"/>
          <w:highlight w:val="none"/>
          <w:lang w:eastAsia="zh-CN"/>
        </w:rPr>
        <w:t>评价实施程序</w:t>
      </w:r>
      <w:bookmarkEnd w:id="28"/>
    </w:p>
    <w:p>
      <w:pPr>
        <w:keepNext w:val="0"/>
        <w:keepLines w:val="0"/>
        <w:pageBreakBefore w:val="0"/>
        <w:widowControl w:val="0"/>
        <w:tabs>
          <w:tab w:val="left" w:pos="312"/>
        </w:tabs>
        <w:kinsoku/>
        <w:wordWrap/>
        <w:overflowPunct/>
        <w:topLinePunct w:val="0"/>
        <w:autoSpaceDE/>
        <w:autoSpaceDN/>
        <w:bidi w:val="0"/>
        <w:adjustRightInd w:val="0"/>
        <w:snapToGrid w:val="0"/>
        <w:spacing w:line="530" w:lineRule="exact"/>
        <w:ind w:firstLine="640" w:firstLineChars="200"/>
        <w:jc w:val="left"/>
        <w:textAlignment w:val="auto"/>
        <w:rPr>
          <w:rFonts w:ascii="仿宋_GB2312" w:hAnsi="Times New Roman" w:eastAsia="仿宋_GB2312" w:cs="Times New Roman"/>
          <w:color w:val="auto"/>
          <w:sz w:val="32"/>
          <w:szCs w:val="32"/>
          <w:highlight w:val="none"/>
        </w:rPr>
      </w:pPr>
      <w:bookmarkStart w:id="29" w:name="_Toc15315"/>
      <w:bookmarkStart w:id="30" w:name="_Toc23810"/>
      <w:bookmarkStart w:id="31" w:name="_Toc30679"/>
      <w:bookmarkStart w:id="32" w:name="_Toc11388"/>
      <w:bookmarkStart w:id="33" w:name="_Toc12557"/>
      <w:r>
        <w:rPr>
          <w:rFonts w:hint="eastAsia" w:ascii="仿宋_GB2312" w:hAnsi="Times New Roman" w:eastAsia="仿宋_GB2312" w:cs="Times New Roman"/>
          <w:color w:val="auto"/>
          <w:sz w:val="32"/>
          <w:szCs w:val="32"/>
          <w:highlight w:val="none"/>
        </w:rPr>
        <w:t>1.评价准备阶段。结合部门前期提报资料，有针对性的制定了《</w:t>
      </w:r>
      <w:r>
        <w:rPr>
          <w:rFonts w:hint="eastAsia" w:ascii="仿宋_GB2312" w:hAnsi="Times New Roman" w:eastAsia="仿宋_GB2312" w:cs="Times New Roman"/>
          <w:color w:val="auto"/>
          <w:sz w:val="32"/>
          <w:szCs w:val="32"/>
          <w:highlight w:val="none"/>
          <w:lang w:val="en-US" w:eastAsia="zh-CN"/>
        </w:rPr>
        <w:t>2020年度青岛市教育局</w:t>
      </w:r>
      <w:r>
        <w:rPr>
          <w:rFonts w:hint="eastAsia" w:ascii="仿宋_GB2312" w:hAnsi="Times New Roman" w:eastAsia="仿宋_GB2312" w:cs="Times New Roman"/>
          <w:color w:val="auto"/>
          <w:sz w:val="32"/>
          <w:szCs w:val="32"/>
          <w:highlight w:val="none"/>
        </w:rPr>
        <w:t>整体支出绩效评价工作方案》，明确评价思路、指标体系、评价方法等内容。</w:t>
      </w:r>
    </w:p>
    <w:p>
      <w:pPr>
        <w:keepNext w:val="0"/>
        <w:keepLines w:val="0"/>
        <w:pageBreakBefore w:val="0"/>
        <w:widowControl w:val="0"/>
        <w:kinsoku/>
        <w:wordWrap/>
        <w:overflowPunct/>
        <w:topLinePunct w:val="0"/>
        <w:autoSpaceDE/>
        <w:autoSpaceDN/>
        <w:bidi w:val="0"/>
        <w:adjustRightInd w:val="0"/>
        <w:snapToGrid w:val="0"/>
        <w:spacing w:line="530" w:lineRule="exact"/>
        <w:ind w:firstLine="640"/>
        <w:textAlignment w:val="auto"/>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2.评价实施阶段。对被评价部门的基本情况、财政资金使用情况、项目组织实施情况、预算评审报告、绩效目标、绩效监控和绩效自评等评价资料，采用现场调研、座谈和调查问卷等形式进行现场查验核实取证，按照绩效评价指标体系进行综合评定打分。</w:t>
      </w:r>
    </w:p>
    <w:p>
      <w:pPr>
        <w:keepNext w:val="0"/>
        <w:keepLines w:val="0"/>
        <w:pageBreakBefore w:val="0"/>
        <w:widowControl w:val="0"/>
        <w:kinsoku/>
        <w:wordWrap/>
        <w:overflowPunct/>
        <w:topLinePunct w:val="0"/>
        <w:autoSpaceDE/>
        <w:autoSpaceDN/>
        <w:bidi w:val="0"/>
        <w:adjustRightInd w:val="0"/>
        <w:snapToGrid w:val="0"/>
        <w:spacing w:line="530" w:lineRule="exact"/>
        <w:ind w:firstLine="640"/>
        <w:textAlignment w:val="auto"/>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3.出具报告阶段。撰写绩效评价报告，征求财政部门和被评价部门的意见，按期出具绩效评价报告终稿。</w:t>
      </w:r>
    </w:p>
    <w:p>
      <w:pPr>
        <w:keepNext w:val="0"/>
        <w:keepLines w:val="0"/>
        <w:pageBreakBefore w:val="0"/>
        <w:widowControl w:val="0"/>
        <w:kinsoku/>
        <w:wordWrap/>
        <w:overflowPunct/>
        <w:topLinePunct w:val="0"/>
        <w:autoSpaceDE/>
        <w:autoSpaceDN/>
        <w:bidi w:val="0"/>
        <w:adjustRightInd w:val="0"/>
        <w:snapToGrid w:val="0"/>
        <w:spacing w:line="530" w:lineRule="exact"/>
        <w:ind w:firstLine="640"/>
        <w:textAlignment w:val="auto"/>
        <w:rPr>
          <w:rFonts w:hint="default" w:ascii="仿宋_GB2312" w:hAnsi="Times New Roman" w:eastAsia="仿宋_GB2312" w:cs="Times New Roman"/>
          <w:color w:val="auto"/>
          <w:sz w:val="32"/>
          <w:szCs w:val="32"/>
          <w:highlight w:val="none"/>
        </w:rPr>
      </w:pPr>
      <w:r>
        <w:rPr>
          <w:rFonts w:hint="default" w:ascii="仿宋_GB2312" w:hAnsi="Times New Roman" w:eastAsia="仿宋_GB2312" w:cs="Times New Roman"/>
          <w:color w:val="auto"/>
          <w:sz w:val="32"/>
          <w:szCs w:val="32"/>
          <w:highlight w:val="none"/>
        </w:rPr>
        <w:t>4.档案整理与提交</w:t>
      </w:r>
      <w:bookmarkEnd w:id="29"/>
      <w:bookmarkEnd w:id="30"/>
      <w:bookmarkEnd w:id="31"/>
      <w:bookmarkEnd w:id="32"/>
      <w:bookmarkEnd w:id="33"/>
    </w:p>
    <w:p>
      <w:pPr>
        <w:keepNext w:val="0"/>
        <w:keepLines w:val="0"/>
        <w:pageBreakBefore w:val="0"/>
        <w:widowControl w:val="0"/>
        <w:kinsoku/>
        <w:wordWrap/>
        <w:overflowPunct/>
        <w:topLinePunct w:val="0"/>
        <w:autoSpaceDE/>
        <w:autoSpaceDN/>
        <w:bidi w:val="0"/>
        <w:adjustRightInd w:val="0"/>
        <w:snapToGrid w:val="0"/>
        <w:spacing w:line="530" w:lineRule="exact"/>
        <w:ind w:firstLine="640"/>
        <w:textAlignment w:val="auto"/>
        <w:rPr>
          <w:rFonts w:hint="default" w:ascii="仿宋_GB2312" w:hAnsi="Times New Roman" w:eastAsia="仿宋_GB2312" w:cs="Times New Roman"/>
          <w:color w:val="auto"/>
          <w:sz w:val="32"/>
          <w:szCs w:val="32"/>
          <w:highlight w:val="none"/>
          <w:lang w:val="en-US"/>
        </w:rPr>
      </w:pPr>
      <w:r>
        <w:rPr>
          <w:rFonts w:hint="default" w:ascii="仿宋_GB2312" w:hAnsi="Times New Roman" w:eastAsia="仿宋_GB2312" w:cs="Times New Roman"/>
          <w:color w:val="auto"/>
          <w:sz w:val="32"/>
          <w:szCs w:val="32"/>
          <w:highlight w:val="none"/>
        </w:rPr>
        <w:t>整理项目绩效评价各阶段的评价底稿、收集的</w:t>
      </w:r>
      <w:r>
        <w:rPr>
          <w:rFonts w:hint="default" w:ascii="仿宋_GB2312" w:hAnsi="Times New Roman" w:eastAsia="仿宋_GB2312" w:cs="Times New Roman"/>
          <w:color w:val="auto"/>
          <w:sz w:val="32"/>
          <w:szCs w:val="32"/>
          <w:highlight w:val="none"/>
          <w:lang w:val="en-US" w:eastAsia="zh-CN"/>
        </w:rPr>
        <w:t>资料照片</w:t>
      </w:r>
      <w:r>
        <w:rPr>
          <w:rFonts w:hint="default" w:ascii="仿宋_GB2312" w:hAnsi="Times New Roman" w:eastAsia="仿宋_GB2312" w:cs="Times New Roman"/>
          <w:color w:val="auto"/>
          <w:sz w:val="32"/>
          <w:szCs w:val="32"/>
          <w:highlight w:val="none"/>
        </w:rPr>
        <w:t>、现场评价的图片及影像资料等，进行归档</w:t>
      </w:r>
      <w:r>
        <w:rPr>
          <w:rFonts w:hint="default" w:ascii="仿宋_GB2312" w:hAnsi="Times New Roman" w:eastAsia="仿宋_GB2312" w:cs="Times New Roman"/>
          <w:color w:val="auto"/>
          <w:sz w:val="32"/>
          <w:szCs w:val="32"/>
          <w:highlight w:val="none"/>
          <w:lang w:val="en-US"/>
        </w:rPr>
        <w:t>。</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30" w:lineRule="exact"/>
        <w:ind w:firstLine="640" w:firstLineChars="200"/>
        <w:textAlignment w:val="auto"/>
        <w:rPr>
          <w:rFonts w:hint="default" w:ascii="Times New Roman" w:hAnsi="Times New Roman" w:cs="Times New Roman"/>
          <w:color w:val="auto"/>
          <w:highlight w:val="none"/>
        </w:rPr>
      </w:pPr>
      <w:bookmarkStart w:id="34" w:name="_Toc26964738"/>
      <w:bookmarkStart w:id="35" w:name="_Toc13969"/>
      <w:r>
        <w:rPr>
          <w:rFonts w:hint="default" w:ascii="Times New Roman" w:hAnsi="Times New Roman" w:cs="Times New Roman"/>
          <w:color w:val="auto"/>
          <w:highlight w:val="none"/>
        </w:rPr>
        <w:t>三、</w:t>
      </w:r>
      <w:r>
        <w:rPr>
          <w:rFonts w:hint="eastAsia" w:ascii="Times New Roman" w:hAnsi="Times New Roman" w:cs="Times New Roman"/>
          <w:color w:val="auto"/>
          <w:highlight w:val="none"/>
          <w:lang w:eastAsia="zh-CN"/>
        </w:rPr>
        <w:t>指标分析及评价结论</w:t>
      </w:r>
      <w:bookmarkEnd w:id="34"/>
      <w:bookmarkEnd w:id="35"/>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1"/>
        <w:rPr>
          <w:rFonts w:hint="default" w:ascii="Times New Roman" w:hAnsi="Times New Roman" w:eastAsia="楷体" w:cs="Times New Roman"/>
          <w:bCs/>
          <w:color w:val="auto"/>
          <w:kern w:val="0"/>
          <w:sz w:val="32"/>
          <w:szCs w:val="32"/>
          <w:highlight w:val="none"/>
        </w:rPr>
      </w:pPr>
      <w:bookmarkStart w:id="36" w:name="_Toc11610"/>
      <w:bookmarkStart w:id="37" w:name="_Toc26964739"/>
      <w:r>
        <w:rPr>
          <w:rFonts w:hint="default" w:ascii="Times New Roman" w:hAnsi="Times New Roman" w:eastAsia="楷体" w:cs="Times New Roman"/>
          <w:bCs/>
          <w:color w:val="auto"/>
          <w:kern w:val="0"/>
          <w:sz w:val="32"/>
          <w:szCs w:val="32"/>
          <w:highlight w:val="none"/>
        </w:rPr>
        <w:t>（</w:t>
      </w:r>
      <w:r>
        <w:rPr>
          <w:rFonts w:hint="eastAsia" w:ascii="Times New Roman" w:hAnsi="Times New Roman" w:eastAsia="楷体" w:cs="Times New Roman"/>
          <w:bCs/>
          <w:color w:val="auto"/>
          <w:kern w:val="0"/>
          <w:sz w:val="32"/>
          <w:szCs w:val="32"/>
          <w:highlight w:val="none"/>
          <w:lang w:eastAsia="zh-CN"/>
        </w:rPr>
        <w:t>一</w:t>
      </w:r>
      <w:r>
        <w:rPr>
          <w:rFonts w:hint="default" w:ascii="Times New Roman" w:hAnsi="Times New Roman" w:eastAsia="楷体" w:cs="Times New Roman"/>
          <w:bCs/>
          <w:color w:val="auto"/>
          <w:kern w:val="0"/>
          <w:sz w:val="32"/>
          <w:szCs w:val="32"/>
          <w:highlight w:val="none"/>
        </w:rPr>
        <w:t>）</w:t>
      </w:r>
      <w:r>
        <w:rPr>
          <w:rFonts w:hint="eastAsia" w:ascii="Times New Roman" w:hAnsi="Times New Roman" w:eastAsia="楷体" w:cs="Times New Roman"/>
          <w:bCs/>
          <w:color w:val="auto"/>
          <w:kern w:val="0"/>
          <w:sz w:val="32"/>
          <w:szCs w:val="32"/>
          <w:highlight w:val="none"/>
          <w:lang w:eastAsia="zh-CN"/>
        </w:rPr>
        <w:t>绩效评价指标体系分析</w:t>
      </w:r>
      <w:bookmarkEnd w:id="36"/>
    </w:p>
    <w:p>
      <w:pPr>
        <w:keepNext w:val="0"/>
        <w:keepLines w:val="0"/>
        <w:pageBreakBefore w:val="0"/>
        <w:widowControl w:val="0"/>
        <w:kinsoku/>
        <w:wordWrap/>
        <w:overflowPunct/>
        <w:topLinePunct w:val="0"/>
        <w:autoSpaceDE/>
        <w:autoSpaceDN/>
        <w:bidi w:val="0"/>
        <w:adjustRightInd w:val="0"/>
        <w:snapToGrid w:val="0"/>
        <w:spacing w:line="530" w:lineRule="exact"/>
        <w:ind w:firstLine="642" w:firstLineChars="200"/>
        <w:textAlignment w:val="auto"/>
        <w:rPr>
          <w:rFonts w:hint="eastAsia" w:ascii="仿宋_GB2312" w:hAnsi="仿宋_GB2312" w:eastAsia="仿宋_GB2312" w:cs="仿宋_GB2312"/>
          <w:b/>
          <w:color w:val="auto"/>
          <w:sz w:val="32"/>
          <w:szCs w:val="32"/>
          <w:highlight w:val="none"/>
          <w:lang w:eastAsia="zh-CN"/>
        </w:rPr>
      </w:pPr>
      <w:bookmarkStart w:id="38" w:name="_Toc20159"/>
      <w:bookmarkStart w:id="39" w:name="_Toc20490"/>
      <w:bookmarkStart w:id="40" w:name="_Toc31872"/>
      <w:r>
        <w:rPr>
          <w:rFonts w:hint="eastAsia" w:ascii="仿宋_GB2312" w:hAnsi="仿宋_GB2312" w:eastAsia="仿宋_GB2312" w:cs="仿宋_GB2312"/>
          <w:b/>
          <w:color w:val="auto"/>
          <w:sz w:val="32"/>
          <w:szCs w:val="32"/>
          <w:highlight w:val="none"/>
        </w:rPr>
        <w:t>1.</w:t>
      </w:r>
      <w:r>
        <w:rPr>
          <w:rFonts w:hint="eastAsia" w:ascii="仿宋_GB2312" w:hAnsi="仿宋_GB2312" w:eastAsia="仿宋_GB2312" w:cs="仿宋_GB2312"/>
          <w:b/>
          <w:color w:val="auto"/>
          <w:sz w:val="32"/>
          <w:szCs w:val="32"/>
          <w:highlight w:val="none"/>
          <w:lang w:eastAsia="zh-CN"/>
        </w:rPr>
        <w:t>投入</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指标分值</w:t>
      </w:r>
      <w:r>
        <w:rPr>
          <w:rFonts w:hint="eastAsia" w:ascii="仿宋_GB2312" w:hAnsi="仿宋_GB2312" w:eastAsia="仿宋_GB2312" w:cs="仿宋_GB2312"/>
          <w:b w:val="0"/>
          <w:bCs/>
          <w:color w:val="auto"/>
          <w:sz w:val="32"/>
          <w:szCs w:val="32"/>
          <w:highlight w:val="none"/>
          <w:lang w:val="en-US" w:eastAsia="zh-CN"/>
        </w:rPr>
        <w:t>10</w:t>
      </w:r>
      <w:r>
        <w:rPr>
          <w:rFonts w:hint="eastAsia" w:ascii="仿宋_GB2312" w:hAnsi="仿宋_GB2312" w:eastAsia="仿宋_GB2312" w:cs="仿宋_GB2312"/>
          <w:b w:val="0"/>
          <w:bCs/>
          <w:color w:val="auto"/>
          <w:sz w:val="32"/>
          <w:szCs w:val="32"/>
          <w:highlight w:val="none"/>
        </w:rPr>
        <w:t>分，得分</w:t>
      </w:r>
      <w:r>
        <w:rPr>
          <w:rFonts w:hint="eastAsia" w:ascii="仿宋_GB2312" w:hAnsi="仿宋_GB2312" w:eastAsia="仿宋_GB2312" w:cs="仿宋_GB2312"/>
          <w:b w:val="0"/>
          <w:bCs/>
          <w:color w:val="auto"/>
          <w:sz w:val="32"/>
          <w:szCs w:val="32"/>
          <w:highlight w:val="none"/>
          <w:lang w:val="en-US" w:eastAsia="zh-CN"/>
        </w:rPr>
        <w:t>9.5</w:t>
      </w:r>
      <w:r>
        <w:rPr>
          <w:rFonts w:hint="eastAsia" w:ascii="仿宋_GB2312" w:hAnsi="仿宋_GB2312" w:eastAsia="仿宋_GB2312" w:cs="仿宋_GB2312"/>
          <w:b w:val="0"/>
          <w:bCs/>
          <w:color w:val="auto"/>
          <w:sz w:val="32"/>
          <w:szCs w:val="32"/>
          <w:highlight w:val="none"/>
        </w:rPr>
        <w:t>分，扣减</w:t>
      </w:r>
      <w:r>
        <w:rPr>
          <w:rFonts w:hint="eastAsia" w:ascii="仿宋_GB2312" w:hAnsi="仿宋_GB2312" w:eastAsia="仿宋_GB2312" w:cs="仿宋_GB2312"/>
          <w:b w:val="0"/>
          <w:bCs/>
          <w:color w:val="auto"/>
          <w:sz w:val="32"/>
          <w:szCs w:val="32"/>
          <w:highlight w:val="none"/>
          <w:lang w:val="en-US" w:eastAsia="zh-CN"/>
        </w:rPr>
        <w:t>0.5</w:t>
      </w:r>
      <w:r>
        <w:rPr>
          <w:rFonts w:hint="eastAsia" w:ascii="仿宋_GB2312" w:hAnsi="仿宋_GB2312" w:eastAsia="仿宋_GB2312" w:cs="仿宋_GB2312"/>
          <w:b w:val="0"/>
          <w:bCs/>
          <w:color w:val="auto"/>
          <w:sz w:val="32"/>
          <w:szCs w:val="32"/>
          <w:highlight w:val="none"/>
        </w:rPr>
        <w:t>分。</w:t>
      </w:r>
    </w:p>
    <w:p>
      <w:pPr>
        <w:pStyle w:val="77"/>
        <w:keepNext w:val="0"/>
        <w:keepLines w:val="0"/>
        <w:pageBreakBefore w:val="0"/>
        <w:widowControl w:val="0"/>
        <w:kinsoku/>
        <w:wordWrap/>
        <w:overflowPunct/>
        <w:topLinePunct w:val="0"/>
        <w:autoSpaceDE/>
        <w:autoSpaceDN/>
        <w:bidi w:val="0"/>
        <w:adjustRightInd w:val="0"/>
        <w:snapToGrid w:val="0"/>
        <w:spacing w:line="530" w:lineRule="exact"/>
        <w:ind w:firstLine="640"/>
        <w:textAlignment w:val="auto"/>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color w:val="auto"/>
          <w:sz w:val="32"/>
          <w:szCs w:val="32"/>
          <w:highlight w:val="none"/>
        </w:rPr>
        <w:t>（1）“绩效指标明确性</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扣减0.5分。原因为：</w:t>
      </w:r>
      <w:r>
        <w:rPr>
          <w:rFonts w:hint="eastAsia" w:ascii="仿宋_GB2312" w:hAnsi="仿宋_GB2312" w:eastAsia="仿宋_GB2312" w:cs="仿宋_GB2312"/>
          <w:b w:val="0"/>
          <w:bCs/>
          <w:color w:val="auto"/>
          <w:sz w:val="32"/>
          <w:szCs w:val="32"/>
          <w:highlight w:val="none"/>
          <w:lang w:eastAsia="zh-CN"/>
        </w:rPr>
        <w:t>绩效指标与部门年度工作任务数或计划数不对应，个别部门职能目标或任务未体现在绩效目标中，如未设置九年义务教育巩固率、职业教育“双师型”教师比例等“十三五”教育事业发展约束性指标。根据评分标准，扣减</w:t>
      </w:r>
      <w:r>
        <w:rPr>
          <w:rFonts w:hint="eastAsia" w:ascii="仿宋_GB2312" w:hAnsi="仿宋_GB2312" w:eastAsia="仿宋_GB2312" w:cs="仿宋_GB2312"/>
          <w:b w:val="0"/>
          <w:bCs/>
          <w:color w:val="auto"/>
          <w:sz w:val="32"/>
          <w:szCs w:val="32"/>
          <w:highlight w:val="none"/>
          <w:lang w:val="en-US" w:eastAsia="zh-CN"/>
        </w:rPr>
        <w:t>0.5分</w:t>
      </w:r>
      <w:r>
        <w:rPr>
          <w:rFonts w:hint="eastAsia" w:ascii="仿宋_GB2312" w:hAnsi="仿宋_GB2312" w:eastAsia="仿宋_GB2312" w:cs="仿宋_GB2312"/>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30" w:lineRule="exact"/>
        <w:ind w:firstLine="642" w:firstLineChars="200"/>
        <w:textAlignment w:val="auto"/>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lang w:val="en-US" w:eastAsia="zh-CN"/>
        </w:rPr>
        <w:t>2</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eastAsia="zh-CN"/>
        </w:rPr>
        <w:t>过程</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b w:val="0"/>
          <w:bCs/>
          <w:color w:val="auto"/>
          <w:sz w:val="32"/>
          <w:szCs w:val="32"/>
          <w:highlight w:val="yellow"/>
        </w:rPr>
      </w:pPr>
      <w:r>
        <w:rPr>
          <w:rFonts w:hint="eastAsia" w:ascii="仿宋_GB2312" w:hAnsi="仿宋_GB2312" w:eastAsia="仿宋_GB2312" w:cs="仿宋_GB2312"/>
          <w:b w:val="0"/>
          <w:bCs/>
          <w:color w:val="auto"/>
          <w:sz w:val="32"/>
          <w:szCs w:val="32"/>
          <w:highlight w:val="none"/>
        </w:rPr>
        <w:t>指标分值</w:t>
      </w:r>
      <w:r>
        <w:rPr>
          <w:rFonts w:hint="eastAsia" w:ascii="仿宋_GB2312" w:hAnsi="仿宋_GB2312" w:eastAsia="仿宋_GB2312" w:cs="仿宋_GB2312"/>
          <w:b w:val="0"/>
          <w:bCs/>
          <w:color w:val="auto"/>
          <w:sz w:val="32"/>
          <w:szCs w:val="32"/>
          <w:highlight w:val="none"/>
          <w:lang w:val="en-US" w:eastAsia="zh-CN"/>
        </w:rPr>
        <w:t>30</w:t>
      </w:r>
      <w:r>
        <w:rPr>
          <w:rFonts w:hint="eastAsia" w:ascii="仿宋_GB2312" w:hAnsi="仿宋_GB2312" w:eastAsia="仿宋_GB2312" w:cs="仿宋_GB2312"/>
          <w:b w:val="0"/>
          <w:bCs/>
          <w:color w:val="auto"/>
          <w:sz w:val="32"/>
          <w:szCs w:val="32"/>
          <w:highlight w:val="none"/>
        </w:rPr>
        <w:t>分，得分</w:t>
      </w:r>
      <w:r>
        <w:rPr>
          <w:rFonts w:hint="eastAsia" w:ascii="仿宋_GB2312" w:hAnsi="仿宋_GB2312" w:eastAsia="仿宋_GB2312" w:cs="仿宋_GB2312"/>
          <w:b w:val="0"/>
          <w:bCs/>
          <w:color w:val="auto"/>
          <w:sz w:val="32"/>
          <w:szCs w:val="32"/>
          <w:highlight w:val="none"/>
          <w:lang w:val="en-US" w:eastAsia="zh-CN"/>
        </w:rPr>
        <w:t>27.16</w:t>
      </w:r>
      <w:r>
        <w:rPr>
          <w:rFonts w:hint="eastAsia" w:ascii="仿宋_GB2312" w:hAnsi="仿宋_GB2312" w:eastAsia="仿宋_GB2312" w:cs="仿宋_GB2312"/>
          <w:b w:val="0"/>
          <w:bCs/>
          <w:color w:val="auto"/>
          <w:sz w:val="32"/>
          <w:szCs w:val="32"/>
          <w:highlight w:val="none"/>
        </w:rPr>
        <w:t>分，扣减</w:t>
      </w:r>
      <w:r>
        <w:rPr>
          <w:rFonts w:hint="eastAsia" w:ascii="仿宋_GB2312" w:hAnsi="仿宋_GB2312" w:eastAsia="仿宋_GB2312" w:cs="仿宋_GB2312"/>
          <w:b w:val="0"/>
          <w:bCs/>
          <w:color w:val="auto"/>
          <w:sz w:val="32"/>
          <w:szCs w:val="32"/>
          <w:highlight w:val="none"/>
          <w:lang w:val="en-US" w:eastAsia="zh-CN"/>
        </w:rPr>
        <w:t>2.84</w:t>
      </w:r>
      <w:r>
        <w:rPr>
          <w:rFonts w:hint="eastAsia" w:ascii="仿宋_GB2312" w:hAnsi="仿宋_GB2312" w:eastAsia="仿宋_GB2312" w:cs="仿宋_GB2312"/>
          <w:b w:val="0"/>
          <w:bCs/>
          <w:color w:val="auto"/>
          <w:sz w:val="32"/>
          <w:szCs w:val="32"/>
          <w:highlight w:val="none"/>
        </w:rPr>
        <w:t>分。</w:t>
      </w:r>
    </w:p>
    <w:p>
      <w:pPr>
        <w:keepNext w:val="0"/>
        <w:keepLines w:val="0"/>
        <w:pageBreakBefore w:val="0"/>
        <w:widowControl w:val="0"/>
        <w:kinsoku/>
        <w:wordWrap/>
        <w:overflowPunct/>
        <w:topLinePunct w:val="0"/>
        <w:autoSpaceDE/>
        <w:autoSpaceDN/>
        <w:bidi w:val="0"/>
        <w:adjustRightInd w:val="0"/>
        <w:snapToGrid w:val="0"/>
        <w:spacing w:line="530" w:lineRule="exact"/>
        <w:ind w:firstLine="48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（1）“预算执行率”扣减</w:t>
      </w:r>
      <w:r>
        <w:rPr>
          <w:rFonts w:hint="eastAsia" w:ascii="仿宋_GB2312" w:hAnsi="仿宋_GB2312" w:eastAsia="仿宋_GB2312" w:cs="仿宋_GB2312"/>
          <w:color w:val="auto"/>
          <w:sz w:val="32"/>
          <w:szCs w:val="32"/>
          <w:highlight w:val="none"/>
          <w:lang w:val="en-US" w:eastAsia="zh-CN"/>
        </w:rPr>
        <w:t>0.39</w:t>
      </w:r>
      <w:r>
        <w:rPr>
          <w:rFonts w:hint="eastAsia" w:ascii="仿宋_GB2312" w:hAnsi="仿宋_GB2312" w:eastAsia="仿宋_GB2312" w:cs="仿宋_GB2312"/>
          <w:color w:val="auto"/>
          <w:sz w:val="32"/>
          <w:szCs w:val="32"/>
          <w:highlight w:val="none"/>
        </w:rPr>
        <w:t>分。原因为：20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年年初</w:t>
      </w:r>
      <w:r>
        <w:rPr>
          <w:rFonts w:hint="eastAsia" w:ascii="仿宋_GB2312" w:hAnsi="仿宋_GB2312" w:eastAsia="仿宋_GB2312" w:cs="仿宋_GB2312"/>
          <w:color w:val="auto"/>
          <w:sz w:val="32"/>
          <w:szCs w:val="32"/>
          <w:highlight w:val="none"/>
          <w:lang w:eastAsia="zh-CN"/>
        </w:rPr>
        <w:t>市财政</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val="en-US" w:eastAsia="zh-CN"/>
        </w:rPr>
        <w:t>369740.97</w:t>
      </w:r>
      <w:r>
        <w:rPr>
          <w:rFonts w:hint="eastAsia" w:ascii="仿宋_GB2312" w:hAnsi="仿宋_GB2312" w:eastAsia="仿宋_GB2312" w:cs="仿宋_GB2312"/>
          <w:color w:val="auto"/>
          <w:sz w:val="32"/>
          <w:szCs w:val="32"/>
          <w:highlight w:val="none"/>
        </w:rPr>
        <w:t>万元，调整后预算</w:t>
      </w:r>
      <w:r>
        <w:rPr>
          <w:rFonts w:hint="eastAsia" w:ascii="仿宋_GB2312" w:hAnsi="仿宋_GB2312" w:eastAsia="仿宋_GB2312" w:cs="仿宋_GB2312"/>
          <w:color w:val="auto"/>
          <w:sz w:val="32"/>
          <w:szCs w:val="32"/>
          <w:highlight w:val="none"/>
          <w:lang w:val="en-US" w:eastAsia="zh-CN"/>
        </w:rPr>
        <w:t>3707054.67</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决算</w:t>
      </w:r>
      <w:r>
        <w:rPr>
          <w:rFonts w:hint="eastAsia" w:ascii="仿宋_GB2312" w:hAnsi="仿宋_GB2312" w:eastAsia="仿宋_GB2312" w:cs="仿宋_GB2312"/>
          <w:color w:val="auto"/>
          <w:sz w:val="32"/>
          <w:szCs w:val="32"/>
          <w:highlight w:val="none"/>
        </w:rPr>
        <w:t>数</w:t>
      </w:r>
      <w:r>
        <w:rPr>
          <w:rFonts w:hint="eastAsia" w:ascii="仿宋_GB2312" w:hAnsi="仿宋_GB2312" w:eastAsia="仿宋_GB2312" w:cs="仿宋_GB2312"/>
          <w:color w:val="auto"/>
          <w:sz w:val="32"/>
          <w:szCs w:val="32"/>
          <w:highlight w:val="none"/>
          <w:lang w:val="en-US" w:eastAsia="zh-CN"/>
        </w:rPr>
        <w:t>299053.12</w:t>
      </w:r>
      <w:r>
        <w:rPr>
          <w:rFonts w:hint="eastAsia" w:ascii="仿宋_GB2312" w:hAnsi="仿宋_GB2312" w:eastAsia="仿宋_GB2312" w:cs="仿宋_GB2312"/>
          <w:color w:val="auto"/>
          <w:sz w:val="32"/>
          <w:szCs w:val="32"/>
          <w:highlight w:val="none"/>
        </w:rPr>
        <w:t>万元，执行率=（</w:t>
      </w:r>
      <w:r>
        <w:rPr>
          <w:rFonts w:hint="eastAsia" w:ascii="仿宋_GB2312" w:hAnsi="仿宋_GB2312" w:eastAsia="仿宋_GB2312" w:cs="仿宋_GB2312"/>
          <w:color w:val="auto"/>
          <w:sz w:val="32"/>
          <w:szCs w:val="32"/>
          <w:highlight w:val="none"/>
          <w:lang w:val="en-US" w:eastAsia="zh-CN"/>
        </w:rPr>
        <w:t>299053.12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3707054.67</w:t>
      </w:r>
      <w:r>
        <w:rPr>
          <w:rFonts w:hint="eastAsia" w:ascii="仿宋_GB2312" w:hAnsi="仿宋_GB2312" w:eastAsia="仿宋_GB2312" w:cs="仿宋_GB2312"/>
          <w:color w:val="auto"/>
          <w:sz w:val="32"/>
          <w:szCs w:val="32"/>
          <w:highlight w:val="none"/>
        </w:rPr>
        <w:t>）×100%=</w:t>
      </w:r>
      <w:r>
        <w:rPr>
          <w:rFonts w:hint="eastAsia" w:ascii="仿宋_GB2312" w:hAnsi="仿宋_GB2312" w:eastAsia="仿宋_GB2312" w:cs="仿宋_GB2312"/>
          <w:color w:val="auto"/>
          <w:sz w:val="32"/>
          <w:szCs w:val="32"/>
          <w:highlight w:val="none"/>
          <w:lang w:val="en-US" w:eastAsia="zh-CN"/>
        </w:rPr>
        <w:t>97.39</w:t>
      </w:r>
      <w:r>
        <w:rPr>
          <w:rFonts w:hint="eastAsia" w:ascii="仿宋_GB2312" w:hAnsi="仿宋_GB2312" w:eastAsia="仿宋_GB2312" w:cs="仿宋_GB2312"/>
          <w:color w:val="auto"/>
          <w:sz w:val="32"/>
          <w:szCs w:val="32"/>
          <w:highlight w:val="none"/>
        </w:rPr>
        <w:t>%。扣分=（1-</w:t>
      </w:r>
      <w:r>
        <w:rPr>
          <w:rFonts w:hint="eastAsia" w:ascii="仿宋_GB2312" w:hAnsi="仿宋_GB2312" w:eastAsia="仿宋_GB2312" w:cs="仿宋_GB2312"/>
          <w:color w:val="auto"/>
          <w:sz w:val="32"/>
          <w:szCs w:val="32"/>
          <w:highlight w:val="none"/>
          <w:lang w:val="en-US" w:eastAsia="zh-CN"/>
        </w:rPr>
        <w:t>97.39</w:t>
      </w:r>
      <w:r>
        <w:rPr>
          <w:rFonts w:hint="eastAsia" w:ascii="仿宋_GB2312" w:hAnsi="仿宋_GB2312" w:eastAsia="仿宋_GB2312" w:cs="仿宋_GB2312"/>
          <w:color w:val="auto"/>
          <w:sz w:val="32"/>
          <w:szCs w:val="32"/>
          <w:highlight w:val="none"/>
        </w:rPr>
        <w:t>%）/1%*5%*</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0.39</w:t>
      </w:r>
      <w:r>
        <w:rPr>
          <w:rFonts w:hint="eastAsia" w:ascii="仿宋_GB2312" w:hAnsi="仿宋_GB2312" w:eastAsia="仿宋_GB2312" w:cs="仿宋_GB2312"/>
          <w:color w:val="auto"/>
          <w:sz w:val="32"/>
          <w:szCs w:val="32"/>
          <w:highlight w:val="none"/>
        </w:rPr>
        <w:t>分。</w:t>
      </w:r>
    </w:p>
    <w:p>
      <w:pPr>
        <w:keepNext w:val="0"/>
        <w:keepLines w:val="0"/>
        <w:pageBreakBefore w:val="0"/>
        <w:widowControl w:val="0"/>
        <w:kinsoku/>
        <w:wordWrap/>
        <w:overflowPunct/>
        <w:topLinePunct w:val="0"/>
        <w:autoSpaceDE/>
        <w:autoSpaceDN/>
        <w:bidi w:val="0"/>
        <w:adjustRightInd w:val="0"/>
        <w:snapToGrid w:val="0"/>
        <w:spacing w:line="530" w:lineRule="exact"/>
        <w:ind w:firstLine="48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（2）“支付进度率”扣减</w:t>
      </w:r>
      <w:r>
        <w:rPr>
          <w:rFonts w:hint="eastAsia" w:ascii="仿宋_GB2312" w:hAnsi="仿宋_GB2312" w:eastAsia="仿宋_GB2312" w:cs="仿宋_GB2312"/>
          <w:color w:val="auto"/>
          <w:sz w:val="32"/>
          <w:szCs w:val="32"/>
          <w:highlight w:val="none"/>
          <w:lang w:val="en-US" w:eastAsia="zh-CN"/>
        </w:rPr>
        <w:t>0.06</w:t>
      </w:r>
      <w:r>
        <w:rPr>
          <w:rFonts w:hint="eastAsia" w:ascii="仿宋_GB2312" w:hAnsi="仿宋_GB2312" w:eastAsia="仿宋_GB2312" w:cs="仿宋_GB2312"/>
          <w:color w:val="auto"/>
          <w:sz w:val="32"/>
          <w:szCs w:val="32"/>
          <w:highlight w:val="none"/>
        </w:rPr>
        <w:t>分。原因为：</w:t>
      </w:r>
      <w:r>
        <w:rPr>
          <w:rFonts w:hint="eastAsia" w:ascii="仿宋_GB2312" w:hAnsi="仿宋_GB2312" w:eastAsia="仿宋_GB2312" w:cs="仿宋_GB2312"/>
          <w:color w:val="auto"/>
          <w:sz w:val="32"/>
          <w:szCs w:val="32"/>
          <w:highlight w:val="none"/>
          <w:lang w:val="en-US" w:eastAsia="zh-CN"/>
        </w:rPr>
        <w:t>2020年市财政批复教育专项资金年初预算数208440.5万元（含区（市）转移支付项目），调整后预算数207724.1万元，实际执行206867.16万元，支付进度率99.59%。扣分=</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99.59</w:t>
      </w:r>
      <w:r>
        <w:rPr>
          <w:rFonts w:hint="eastAsia" w:ascii="仿宋_GB2312" w:hAnsi="仿宋_GB2312" w:eastAsia="仿宋_GB2312" w:cs="仿宋_GB2312"/>
          <w:color w:val="auto"/>
          <w:sz w:val="32"/>
          <w:szCs w:val="32"/>
          <w:highlight w:val="none"/>
        </w:rPr>
        <w:t>%）/1%*5%*</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0.06</w:t>
      </w:r>
      <w:r>
        <w:rPr>
          <w:rFonts w:hint="eastAsia" w:ascii="仿宋_GB2312" w:hAnsi="仿宋_GB2312" w:eastAsia="仿宋_GB2312" w:cs="仿宋_GB2312"/>
          <w:color w:val="auto"/>
          <w:sz w:val="32"/>
          <w:szCs w:val="32"/>
          <w:highlight w:val="none"/>
        </w:rPr>
        <w:t>分。</w:t>
      </w:r>
    </w:p>
    <w:p>
      <w:pPr>
        <w:keepNext w:val="0"/>
        <w:keepLines w:val="0"/>
        <w:pageBreakBefore w:val="0"/>
        <w:widowControl w:val="0"/>
        <w:kinsoku/>
        <w:wordWrap/>
        <w:overflowPunct/>
        <w:topLinePunct w:val="0"/>
        <w:autoSpaceDE/>
        <w:autoSpaceDN/>
        <w:bidi w:val="0"/>
        <w:adjustRightInd w:val="0"/>
        <w:snapToGrid w:val="0"/>
        <w:spacing w:line="530" w:lineRule="exact"/>
        <w:ind w:firstLine="48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）“上年结转资金执行率”扣减</w:t>
      </w:r>
      <w:r>
        <w:rPr>
          <w:rFonts w:hint="eastAsia" w:ascii="仿宋_GB2312" w:hAnsi="仿宋_GB2312" w:eastAsia="仿宋_GB2312" w:cs="仿宋_GB2312"/>
          <w:color w:val="auto"/>
          <w:sz w:val="32"/>
          <w:szCs w:val="32"/>
          <w:highlight w:val="none"/>
          <w:lang w:val="en-US" w:eastAsia="zh-CN"/>
        </w:rPr>
        <w:t>2分。原因为：</w:t>
      </w:r>
      <w:r>
        <w:rPr>
          <w:rFonts w:hint="eastAsia" w:ascii="仿宋_GB2312" w:hAnsi="仿宋_GB2312" w:eastAsia="仿宋_GB2312" w:cs="仿宋_GB2312"/>
          <w:bCs/>
          <w:color w:val="auto"/>
          <w:kern w:val="0"/>
          <w:sz w:val="32"/>
          <w:szCs w:val="32"/>
          <w:highlight w:val="none"/>
        </w:rPr>
        <w:t>根据《</w:t>
      </w:r>
      <w:r>
        <w:rPr>
          <w:rFonts w:hint="eastAsia" w:ascii="仿宋_GB2312" w:hAnsi="仿宋_GB2312" w:eastAsia="仿宋_GB2312" w:cs="仿宋_GB2312"/>
          <w:bCs/>
          <w:color w:val="auto"/>
          <w:kern w:val="0"/>
          <w:sz w:val="32"/>
          <w:szCs w:val="32"/>
          <w:highlight w:val="none"/>
          <w:lang w:eastAsia="zh-CN"/>
        </w:rPr>
        <w:t>2020年度青岛市教育局</w:t>
      </w:r>
      <w:r>
        <w:rPr>
          <w:rFonts w:hint="eastAsia" w:ascii="仿宋_GB2312" w:hAnsi="仿宋_GB2312" w:eastAsia="仿宋_GB2312" w:cs="仿宋_GB2312"/>
          <w:bCs/>
          <w:color w:val="auto"/>
          <w:kern w:val="0"/>
          <w:sz w:val="32"/>
          <w:szCs w:val="32"/>
          <w:highlight w:val="none"/>
        </w:rPr>
        <w:t>决算（汇总）》，上年结转资金执行率=（6079.29-6153.46）/6079.29=-1.22%。</w:t>
      </w:r>
      <w:r>
        <w:rPr>
          <w:rFonts w:hint="eastAsia" w:ascii="仿宋_GB2312" w:hAnsi="仿宋_GB2312" w:eastAsia="仿宋_GB2312" w:cs="仿宋_GB2312"/>
          <w:bCs/>
          <w:color w:val="auto"/>
          <w:kern w:val="0"/>
          <w:sz w:val="32"/>
          <w:szCs w:val="32"/>
          <w:highlight w:val="none"/>
          <w:lang w:eastAsia="zh-CN"/>
        </w:rPr>
        <w:t>根据评分标准</w:t>
      </w:r>
      <w:r>
        <w:rPr>
          <w:rFonts w:hint="eastAsia" w:ascii="仿宋_GB2312" w:hAnsi="仿宋_GB2312" w:eastAsia="仿宋_GB2312" w:cs="仿宋_GB2312"/>
          <w:bCs/>
          <w:color w:val="auto"/>
          <w:kern w:val="0"/>
          <w:sz w:val="32"/>
          <w:szCs w:val="32"/>
          <w:highlight w:val="none"/>
          <w:lang w:val="en-US" w:eastAsia="zh-CN"/>
        </w:rPr>
        <w:t>，</w:t>
      </w:r>
      <w:r>
        <w:rPr>
          <w:rFonts w:hint="eastAsia" w:ascii="仿宋_GB2312" w:hAnsi="仿宋_GB2312" w:eastAsia="仿宋_GB2312" w:cs="仿宋_GB2312"/>
          <w:bCs/>
          <w:color w:val="auto"/>
          <w:kern w:val="0"/>
          <w:sz w:val="32"/>
          <w:szCs w:val="32"/>
          <w:highlight w:val="none"/>
          <w:lang w:eastAsia="zh-CN"/>
        </w:rPr>
        <w:t>扣减</w:t>
      </w:r>
      <w:r>
        <w:rPr>
          <w:rFonts w:hint="eastAsia" w:ascii="仿宋_GB2312" w:hAnsi="仿宋_GB2312" w:eastAsia="仿宋_GB2312" w:cs="仿宋_GB2312"/>
          <w:bCs/>
          <w:color w:val="auto"/>
          <w:kern w:val="0"/>
          <w:sz w:val="32"/>
          <w:szCs w:val="32"/>
          <w:highlight w:val="none"/>
          <w:lang w:val="en-US" w:eastAsia="zh-CN"/>
        </w:rPr>
        <w:t>2</w:t>
      </w:r>
      <w:r>
        <w:rPr>
          <w:rFonts w:hint="eastAsia" w:ascii="仿宋_GB2312" w:hAnsi="仿宋_GB2312" w:eastAsia="仿宋_GB2312" w:cs="仿宋_GB2312"/>
          <w:color w:val="auto"/>
          <w:sz w:val="32"/>
          <w:szCs w:val="32"/>
          <w:highlight w:val="none"/>
        </w:rPr>
        <w:t>分。</w:t>
      </w:r>
    </w:p>
    <w:p>
      <w:pPr>
        <w:keepNext w:val="0"/>
        <w:keepLines w:val="0"/>
        <w:pageBreakBefore w:val="0"/>
        <w:widowControl w:val="0"/>
        <w:kinsoku/>
        <w:wordWrap/>
        <w:overflowPunct/>
        <w:topLinePunct w:val="0"/>
        <w:autoSpaceDE/>
        <w:autoSpaceDN/>
        <w:bidi w:val="0"/>
        <w:adjustRightInd w:val="0"/>
        <w:snapToGrid w:val="0"/>
        <w:spacing w:line="530" w:lineRule="exact"/>
        <w:ind w:firstLine="48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“政府采购执行率”扣减</w:t>
      </w:r>
      <w:r>
        <w:rPr>
          <w:rFonts w:hint="eastAsia" w:ascii="仿宋_GB2312" w:hAnsi="仿宋_GB2312" w:eastAsia="仿宋_GB2312" w:cs="仿宋_GB2312"/>
          <w:color w:val="auto"/>
          <w:sz w:val="32"/>
          <w:szCs w:val="32"/>
          <w:highlight w:val="none"/>
          <w:lang w:val="en-US" w:eastAsia="zh-CN"/>
        </w:rPr>
        <w:t>0.39</w:t>
      </w:r>
      <w:r>
        <w:rPr>
          <w:rFonts w:hint="eastAsia" w:ascii="仿宋_GB2312" w:hAnsi="仿宋_GB2312" w:eastAsia="仿宋_GB2312" w:cs="仿宋_GB2312"/>
          <w:color w:val="auto"/>
          <w:sz w:val="32"/>
          <w:szCs w:val="32"/>
          <w:highlight w:val="none"/>
        </w:rPr>
        <w:t>分。原因为：</w:t>
      </w:r>
      <w:r>
        <w:rPr>
          <w:rFonts w:hint="eastAsia" w:ascii="仿宋_GB2312" w:hAnsi="仿宋_GB2312" w:eastAsia="仿宋_GB2312" w:cs="仿宋_GB2312"/>
          <w:bCs/>
          <w:color w:val="auto"/>
          <w:kern w:val="0"/>
          <w:sz w:val="32"/>
          <w:szCs w:val="32"/>
          <w:highlight w:val="none"/>
        </w:rPr>
        <w:t>2020年政府采购</w:t>
      </w:r>
      <w:r>
        <w:rPr>
          <w:rFonts w:hint="eastAsia" w:ascii="仿宋_GB2312" w:hAnsi="仿宋_GB2312" w:eastAsia="仿宋_GB2312" w:cs="仿宋_GB2312"/>
          <w:bCs/>
          <w:color w:val="auto"/>
          <w:kern w:val="0"/>
          <w:sz w:val="32"/>
          <w:szCs w:val="32"/>
          <w:highlight w:val="none"/>
          <w:lang w:eastAsia="zh-CN"/>
        </w:rPr>
        <w:t>年初</w:t>
      </w:r>
      <w:r>
        <w:rPr>
          <w:rFonts w:hint="eastAsia" w:ascii="仿宋_GB2312" w:hAnsi="仿宋_GB2312" w:eastAsia="仿宋_GB2312" w:cs="仿宋_GB2312"/>
          <w:bCs/>
          <w:color w:val="auto"/>
          <w:kern w:val="0"/>
          <w:sz w:val="32"/>
          <w:szCs w:val="32"/>
          <w:highlight w:val="none"/>
        </w:rPr>
        <w:t>预算数82604.97万元，</w:t>
      </w:r>
      <w:r>
        <w:rPr>
          <w:rFonts w:hint="eastAsia" w:ascii="仿宋_GB2312" w:hAnsi="仿宋_GB2312" w:eastAsia="仿宋_GB2312" w:cs="仿宋_GB2312"/>
          <w:bCs/>
          <w:color w:val="auto"/>
          <w:kern w:val="0"/>
          <w:sz w:val="32"/>
          <w:szCs w:val="32"/>
          <w:highlight w:val="none"/>
          <w:lang w:eastAsia="zh-CN"/>
        </w:rPr>
        <w:t>因基建项目预算采购需按总投资申报，总计</w:t>
      </w:r>
      <w:r>
        <w:rPr>
          <w:rFonts w:hint="eastAsia" w:ascii="仿宋_GB2312" w:hAnsi="仿宋_GB2312" w:eastAsia="仿宋_GB2312" w:cs="仿宋_GB2312"/>
          <w:color w:val="auto"/>
          <w:sz w:val="32"/>
          <w:szCs w:val="32"/>
          <w:highlight w:val="none"/>
          <w:lang w:val="en-US" w:eastAsia="zh-CN"/>
        </w:rPr>
        <w:t>37128</w:t>
      </w:r>
      <w:r>
        <w:rPr>
          <w:rFonts w:hint="eastAsia" w:ascii="仿宋_GB2312" w:hAnsi="仿宋_GB2312" w:eastAsia="仿宋_GB2312" w:cs="仿宋_GB2312"/>
          <w:bCs/>
          <w:color w:val="auto"/>
          <w:kern w:val="0"/>
          <w:sz w:val="32"/>
          <w:szCs w:val="32"/>
          <w:highlight w:val="none"/>
          <w:lang w:val="en-US" w:eastAsia="zh-CN"/>
        </w:rPr>
        <w:t>万元，实际</w:t>
      </w:r>
      <w:r>
        <w:rPr>
          <w:rFonts w:hint="eastAsia" w:ascii="仿宋_GB2312" w:hAnsi="仿宋_GB2312" w:eastAsia="仿宋_GB2312" w:cs="仿宋_GB2312"/>
          <w:color w:val="auto"/>
          <w:sz w:val="32"/>
          <w:szCs w:val="32"/>
          <w:highlight w:val="none"/>
          <w:lang w:val="en-US" w:eastAsia="zh-CN"/>
        </w:rPr>
        <w:t>根据工程进度分年度安排资金执行预算，2020年预算资金7292万元；</w:t>
      </w:r>
      <w:r>
        <w:rPr>
          <w:rFonts w:hint="eastAsia" w:ascii="仿宋_GB2312" w:hAnsi="仿宋_GB2312" w:eastAsia="仿宋_GB2312" w:cs="仿宋_GB2312"/>
          <w:color w:val="auto"/>
          <w:sz w:val="32"/>
          <w:szCs w:val="32"/>
          <w:lang w:val="en-US" w:eastAsia="zh-CN"/>
        </w:rPr>
        <w:t>67中基建维修项目、68中设备采购项目申报政府采购预算均为项目总投资数，总计724.82万元，</w:t>
      </w:r>
      <w:r>
        <w:rPr>
          <w:rFonts w:hint="eastAsia" w:ascii="仿宋_GB2312" w:hAnsi="仿宋_GB2312" w:eastAsia="仿宋_GB2312" w:cs="仿宋_GB2312"/>
          <w:bCs/>
          <w:color w:val="auto"/>
          <w:kern w:val="0"/>
          <w:sz w:val="32"/>
          <w:szCs w:val="32"/>
          <w:highlight w:val="none"/>
          <w:lang w:val="en-US" w:eastAsia="zh-CN"/>
        </w:rPr>
        <w:t>实际</w:t>
      </w:r>
      <w:r>
        <w:rPr>
          <w:rFonts w:hint="eastAsia" w:ascii="仿宋_GB2312" w:hAnsi="仿宋_GB2312" w:eastAsia="仿宋_GB2312" w:cs="仿宋_GB2312"/>
          <w:color w:val="auto"/>
          <w:sz w:val="32"/>
          <w:szCs w:val="32"/>
          <w:lang w:val="en-US" w:eastAsia="zh-CN"/>
        </w:rPr>
        <w:t>资金分年度安排，2020年预算</w:t>
      </w:r>
      <w:r>
        <w:rPr>
          <w:rFonts w:hint="eastAsia" w:ascii="仿宋_GB2312" w:hAnsi="仿宋_GB2312" w:eastAsia="仿宋_GB2312" w:cs="仿宋_GB2312"/>
          <w:color w:val="auto"/>
          <w:sz w:val="32"/>
          <w:szCs w:val="32"/>
          <w:highlight w:val="none"/>
          <w:lang w:val="en-US" w:eastAsia="zh-CN"/>
        </w:rPr>
        <w:t>资金</w:t>
      </w:r>
      <w:r>
        <w:rPr>
          <w:rFonts w:hint="eastAsia" w:ascii="仿宋_GB2312" w:hAnsi="仿宋_GB2312" w:eastAsia="仿宋_GB2312" w:cs="仿宋_GB2312"/>
          <w:color w:val="auto"/>
          <w:sz w:val="32"/>
          <w:szCs w:val="32"/>
          <w:lang w:val="en-US" w:eastAsia="zh-CN"/>
        </w:rPr>
        <w:t>423.04万元；</w:t>
      </w:r>
      <w:r>
        <w:rPr>
          <w:rFonts w:hint="eastAsia" w:ascii="仿宋_GB2312" w:hAnsi="仿宋_GB2312" w:eastAsia="仿宋_GB2312" w:cs="仿宋_GB2312"/>
          <w:color w:val="auto"/>
          <w:sz w:val="32"/>
          <w:szCs w:val="32"/>
          <w:highlight w:val="none"/>
          <w:lang w:val="en-US" w:eastAsia="zh-CN"/>
        </w:rPr>
        <w:t>受疫情影响第十四届全国学生运动会延期举行，调整采购预算6919.61万元；</w:t>
      </w:r>
      <w:r>
        <w:rPr>
          <w:rFonts w:hint="eastAsia" w:ascii="仿宋_GB2312" w:hAnsi="仿宋_GB2312" w:eastAsia="仿宋_GB2312" w:cs="仿宋_GB2312"/>
          <w:color w:val="auto"/>
          <w:sz w:val="32"/>
          <w:szCs w:val="32"/>
          <w:lang w:val="en-US" w:eastAsia="zh-CN"/>
        </w:rPr>
        <w:t>受疫情影响，教育部取消2020年上半年教师资格面试，</w:t>
      </w:r>
      <w:r>
        <w:rPr>
          <w:rFonts w:hint="eastAsia" w:ascii="仿宋_GB2312" w:hAnsi="仿宋_GB2312" w:eastAsia="仿宋_GB2312" w:cs="仿宋_GB2312"/>
          <w:color w:val="auto"/>
          <w:sz w:val="32"/>
          <w:szCs w:val="32"/>
          <w:highlight w:val="none"/>
          <w:lang w:val="en-US" w:eastAsia="zh-CN"/>
        </w:rPr>
        <w:t>调整</w:t>
      </w:r>
      <w:r>
        <w:rPr>
          <w:rFonts w:hint="eastAsia" w:ascii="仿宋_GB2312" w:hAnsi="仿宋_GB2312" w:eastAsia="仿宋_GB2312" w:cs="仿宋_GB2312"/>
          <w:color w:val="auto"/>
          <w:sz w:val="32"/>
          <w:szCs w:val="32"/>
          <w:lang w:val="en-US" w:eastAsia="zh-CN"/>
        </w:rPr>
        <w:t>人才中心考试用设备</w:t>
      </w:r>
      <w:r>
        <w:rPr>
          <w:rFonts w:hint="eastAsia" w:ascii="仿宋_GB2312" w:hAnsi="仿宋_GB2312" w:eastAsia="仿宋_GB2312" w:cs="仿宋_GB2312"/>
          <w:color w:val="auto"/>
          <w:sz w:val="32"/>
          <w:szCs w:val="32"/>
          <w:highlight w:val="none"/>
          <w:lang w:val="en-US" w:eastAsia="zh-CN"/>
        </w:rPr>
        <w:t>采购预算</w:t>
      </w:r>
      <w:r>
        <w:rPr>
          <w:rFonts w:hint="eastAsia" w:ascii="仿宋_GB2312" w:hAnsi="仿宋_GB2312" w:eastAsia="仿宋_GB2312" w:cs="仿宋_GB2312"/>
          <w:color w:val="auto"/>
          <w:sz w:val="32"/>
          <w:szCs w:val="32"/>
          <w:lang w:val="en-US" w:eastAsia="zh-CN"/>
        </w:rPr>
        <w:t>54.95万元；因疫情原因2020年职业技能大赛取消，</w:t>
      </w:r>
      <w:r>
        <w:rPr>
          <w:rFonts w:hint="eastAsia" w:ascii="仿宋_GB2312" w:hAnsi="仿宋_GB2312" w:eastAsia="仿宋_GB2312" w:cs="仿宋_GB2312"/>
          <w:color w:val="auto"/>
          <w:sz w:val="32"/>
          <w:szCs w:val="32"/>
          <w:highlight w:val="none"/>
          <w:lang w:val="en-US" w:eastAsia="zh-CN"/>
        </w:rPr>
        <w:t>调整</w:t>
      </w:r>
      <w:r>
        <w:rPr>
          <w:rFonts w:hint="eastAsia" w:ascii="仿宋_GB2312" w:hAnsi="仿宋_GB2312" w:eastAsia="仿宋_GB2312" w:cs="仿宋_GB2312"/>
          <w:color w:val="auto"/>
          <w:sz w:val="32"/>
          <w:szCs w:val="32"/>
          <w:lang w:val="en-US" w:eastAsia="zh-CN"/>
        </w:rPr>
        <w:t>十四中大赛设备</w:t>
      </w:r>
      <w:r>
        <w:rPr>
          <w:rFonts w:hint="eastAsia" w:ascii="仿宋_GB2312" w:hAnsi="仿宋_GB2312" w:eastAsia="仿宋_GB2312" w:cs="仿宋_GB2312"/>
          <w:color w:val="auto"/>
          <w:sz w:val="32"/>
          <w:szCs w:val="32"/>
          <w:highlight w:val="none"/>
          <w:lang w:val="en-US" w:eastAsia="zh-CN"/>
        </w:rPr>
        <w:t>采购预算</w:t>
      </w:r>
      <w:r>
        <w:rPr>
          <w:rFonts w:hint="eastAsia" w:ascii="仿宋_GB2312" w:hAnsi="仿宋_GB2312" w:eastAsia="仿宋_GB2312" w:cs="仿宋_GB2312"/>
          <w:color w:val="auto"/>
          <w:sz w:val="32"/>
          <w:szCs w:val="32"/>
          <w:lang w:val="en-US" w:eastAsia="zh-CN"/>
        </w:rPr>
        <w:t>132.38万元；</w:t>
      </w:r>
      <w:r>
        <w:rPr>
          <w:rFonts w:hint="default" w:ascii="仿宋_GB2312" w:hAnsi="仿宋_GB2312" w:eastAsia="仿宋_GB2312" w:cs="仿宋_GB2312"/>
          <w:color w:val="auto"/>
          <w:sz w:val="32"/>
          <w:szCs w:val="32"/>
          <w:highlight w:val="none"/>
          <w:lang w:val="en-US" w:eastAsia="zh-CN"/>
        </w:rPr>
        <w:t>青岛市职业教育公共实训基地2020年政府采购预算7745</w:t>
      </w:r>
      <w:r>
        <w:rPr>
          <w:rFonts w:hint="eastAsia" w:ascii="仿宋_GB2312" w:hAnsi="仿宋_GB2312" w:eastAsia="仿宋_GB2312" w:cs="仿宋_GB2312"/>
          <w:color w:val="auto"/>
          <w:sz w:val="32"/>
          <w:szCs w:val="32"/>
          <w:highlight w:val="none"/>
          <w:lang w:val="en-US" w:eastAsia="zh-CN"/>
        </w:rPr>
        <w:t>.51</w:t>
      </w:r>
      <w:r>
        <w:rPr>
          <w:rFonts w:hint="default" w:ascii="仿宋_GB2312" w:hAnsi="仿宋_GB2312" w:eastAsia="仿宋_GB2312" w:cs="仿宋_GB2312"/>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，实训基地2020年5月注销并入新成立的青岛工程职业学院，其</w:t>
      </w:r>
      <w:r>
        <w:rPr>
          <w:rFonts w:hint="default" w:ascii="仿宋_GB2312" w:hAnsi="仿宋_GB2312" w:eastAsia="仿宋_GB2312" w:cs="仿宋_GB2312"/>
          <w:color w:val="auto"/>
          <w:sz w:val="32"/>
          <w:szCs w:val="32"/>
          <w:highlight w:val="none"/>
          <w:lang w:val="en-US" w:eastAsia="zh-CN"/>
        </w:rPr>
        <w:t>采购项目和预算资金在2020年11月初全部转入</w:t>
      </w:r>
      <w:r>
        <w:rPr>
          <w:rFonts w:hint="eastAsia" w:ascii="仿宋_GB2312" w:hAnsi="仿宋_GB2312" w:eastAsia="仿宋_GB2312" w:cs="仿宋_GB2312"/>
          <w:color w:val="auto"/>
          <w:sz w:val="32"/>
          <w:szCs w:val="32"/>
          <w:highlight w:val="none"/>
          <w:lang w:val="en-US" w:eastAsia="zh-CN"/>
        </w:rPr>
        <w:t>青岛工程职业学院，由学院</w:t>
      </w:r>
      <w:r>
        <w:rPr>
          <w:rFonts w:hint="default" w:ascii="仿宋_GB2312" w:hAnsi="仿宋_GB2312" w:eastAsia="仿宋_GB2312" w:cs="仿宋_GB2312"/>
          <w:color w:val="auto"/>
          <w:sz w:val="32"/>
          <w:szCs w:val="32"/>
          <w:highlight w:val="none"/>
          <w:lang w:val="en-US" w:eastAsia="zh-CN"/>
        </w:rPr>
        <w:t>落实执行</w:t>
      </w:r>
      <w:r>
        <w:rPr>
          <w:rFonts w:hint="eastAsia" w:ascii="仿宋_GB2312" w:hAnsi="仿宋_GB2312" w:eastAsia="仿宋_GB2312" w:cs="仿宋_GB2312"/>
          <w:color w:val="auto"/>
          <w:sz w:val="32"/>
          <w:szCs w:val="32"/>
          <w:highlight w:val="none"/>
          <w:lang w:val="en-US" w:eastAsia="zh-CN"/>
        </w:rPr>
        <w:t>，不纳入市教育局部门决算，综上，共调整采购预算45897.15万元，实际采购预算金额应为36707.82万元，</w:t>
      </w:r>
      <w:r>
        <w:rPr>
          <w:rFonts w:hint="eastAsia" w:ascii="仿宋_GB2312" w:hAnsi="仿宋_GB2312" w:eastAsia="仿宋_GB2312" w:cs="仿宋_GB2312"/>
          <w:bCs/>
          <w:color w:val="auto"/>
          <w:kern w:val="0"/>
          <w:sz w:val="32"/>
          <w:szCs w:val="32"/>
          <w:highlight w:val="none"/>
        </w:rPr>
        <w:t>执行</w:t>
      </w:r>
      <w:r>
        <w:rPr>
          <w:rFonts w:hint="eastAsia" w:ascii="仿宋_GB2312" w:hAnsi="仿宋_GB2312" w:eastAsia="仿宋_GB2312" w:cs="仿宋_GB2312"/>
          <w:bCs/>
          <w:color w:val="auto"/>
          <w:kern w:val="0"/>
          <w:sz w:val="32"/>
          <w:szCs w:val="32"/>
          <w:highlight w:val="none"/>
          <w:lang w:eastAsia="zh-CN"/>
        </w:rPr>
        <w:t>金额</w:t>
      </w:r>
      <w:r>
        <w:rPr>
          <w:rFonts w:hint="eastAsia" w:ascii="仿宋_GB2312" w:hAnsi="仿宋_GB2312" w:eastAsia="仿宋_GB2312" w:cs="仿宋_GB2312"/>
          <w:bCs/>
          <w:color w:val="auto"/>
          <w:kern w:val="0"/>
          <w:sz w:val="32"/>
          <w:szCs w:val="32"/>
          <w:highlight w:val="none"/>
          <w:lang w:val="en-US" w:eastAsia="zh-CN"/>
        </w:rPr>
        <w:t>33906.13</w:t>
      </w:r>
      <w:r>
        <w:rPr>
          <w:rFonts w:hint="eastAsia" w:ascii="仿宋_GB2312" w:hAnsi="仿宋_GB2312" w:eastAsia="仿宋_GB2312" w:cs="仿宋_GB2312"/>
          <w:bCs/>
          <w:color w:val="auto"/>
          <w:kern w:val="0"/>
          <w:sz w:val="32"/>
          <w:szCs w:val="32"/>
          <w:highlight w:val="none"/>
        </w:rPr>
        <w:t>万元，执行率</w:t>
      </w:r>
      <w:r>
        <w:rPr>
          <w:rFonts w:hint="eastAsia" w:ascii="仿宋_GB2312" w:hAnsi="仿宋_GB2312" w:eastAsia="仿宋_GB2312" w:cs="仿宋_GB2312"/>
          <w:bCs/>
          <w:color w:val="auto"/>
          <w:kern w:val="0"/>
          <w:sz w:val="32"/>
          <w:szCs w:val="32"/>
          <w:highlight w:val="none"/>
          <w:lang w:val="en-US" w:eastAsia="zh-CN"/>
        </w:rPr>
        <w:t>92.37</w:t>
      </w:r>
      <w:r>
        <w:rPr>
          <w:rFonts w:hint="eastAsia" w:ascii="仿宋_GB2312" w:hAnsi="仿宋_GB2312" w:eastAsia="仿宋_GB2312" w:cs="仿宋_GB2312"/>
          <w:bCs/>
          <w:color w:val="auto"/>
          <w:kern w:val="0"/>
          <w:sz w:val="32"/>
          <w:szCs w:val="32"/>
          <w:highlight w:val="none"/>
        </w:rPr>
        <w:t>%</w:t>
      </w:r>
      <w:r>
        <w:rPr>
          <w:rFonts w:hint="eastAsia" w:ascii="仿宋_GB2312" w:hAnsi="仿宋_GB2312" w:eastAsia="仿宋_GB2312" w:cs="仿宋_GB2312"/>
          <w:bCs/>
          <w:color w:val="auto"/>
          <w:kern w:val="0"/>
          <w:sz w:val="32"/>
          <w:szCs w:val="32"/>
          <w:highlight w:val="none"/>
          <w:lang w:eastAsia="zh-CN"/>
        </w:rPr>
        <w:t>，根据评分标准，</w:t>
      </w:r>
      <w:r>
        <w:rPr>
          <w:rFonts w:hint="eastAsia" w:ascii="仿宋_GB2312" w:hAnsi="仿宋_GB2312" w:eastAsia="仿宋_GB2312" w:cs="仿宋_GB2312"/>
          <w:color w:val="auto"/>
          <w:sz w:val="32"/>
          <w:szCs w:val="32"/>
          <w:highlight w:val="none"/>
          <w:lang w:val="en-US" w:eastAsia="zh-CN"/>
        </w:rPr>
        <w:t>扣分=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95%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92.37</w:t>
      </w:r>
      <w:r>
        <w:rPr>
          <w:rFonts w:hint="eastAsia" w:ascii="仿宋_GB2312" w:hAnsi="仿宋_GB2312" w:eastAsia="仿宋_GB2312" w:cs="仿宋_GB2312"/>
          <w:color w:val="auto"/>
          <w:sz w:val="32"/>
          <w:szCs w:val="32"/>
          <w:highlight w:val="none"/>
        </w:rPr>
        <w:t>%）/1%*5%*</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0.39</w:t>
      </w:r>
      <w:r>
        <w:rPr>
          <w:rFonts w:hint="eastAsia" w:ascii="仿宋_GB2312" w:hAnsi="仿宋_GB2312" w:eastAsia="仿宋_GB2312" w:cs="仿宋_GB2312"/>
          <w:color w:val="auto"/>
          <w:sz w:val="32"/>
          <w:szCs w:val="32"/>
          <w:highlight w:val="none"/>
        </w:rPr>
        <w:t>分。</w:t>
      </w:r>
    </w:p>
    <w:p>
      <w:pPr>
        <w:keepNext w:val="0"/>
        <w:keepLines w:val="0"/>
        <w:pageBreakBefore w:val="0"/>
        <w:widowControl w:val="0"/>
        <w:kinsoku/>
        <w:wordWrap/>
        <w:overflowPunct/>
        <w:topLinePunct w:val="0"/>
        <w:autoSpaceDE/>
        <w:autoSpaceDN/>
        <w:bidi w:val="0"/>
        <w:adjustRightInd w:val="0"/>
        <w:snapToGrid w:val="0"/>
        <w:spacing w:line="530" w:lineRule="exact"/>
        <w:ind w:firstLine="642"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3</w:t>
      </w:r>
      <w:r>
        <w:rPr>
          <w:rFonts w:hint="eastAsia" w:ascii="仿宋_GB2312" w:hAnsi="仿宋_GB2312" w:eastAsia="仿宋_GB2312" w:cs="仿宋_GB2312"/>
          <w:b/>
          <w:color w:val="auto"/>
          <w:sz w:val="32"/>
          <w:szCs w:val="32"/>
          <w:highlight w:val="none"/>
        </w:rPr>
        <w:t>.产出</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rPr>
        <w:t>指标分值30分，得分</w:t>
      </w:r>
      <w:r>
        <w:rPr>
          <w:rFonts w:hint="eastAsia" w:ascii="仿宋_GB2312" w:hAnsi="仿宋_GB2312" w:eastAsia="仿宋_GB2312" w:cs="仿宋_GB2312"/>
          <w:b w:val="0"/>
          <w:bCs/>
          <w:color w:val="auto"/>
          <w:sz w:val="32"/>
          <w:szCs w:val="32"/>
          <w:highlight w:val="none"/>
          <w:lang w:val="en-US" w:eastAsia="zh-CN"/>
        </w:rPr>
        <w:t>28</w:t>
      </w:r>
      <w:r>
        <w:rPr>
          <w:rFonts w:hint="eastAsia" w:ascii="仿宋_GB2312" w:hAnsi="仿宋_GB2312" w:eastAsia="仿宋_GB2312" w:cs="仿宋_GB2312"/>
          <w:b w:val="0"/>
          <w:bCs/>
          <w:color w:val="auto"/>
          <w:sz w:val="32"/>
          <w:szCs w:val="32"/>
          <w:highlight w:val="none"/>
        </w:rPr>
        <w:t>分，扣减</w:t>
      </w:r>
      <w:r>
        <w:rPr>
          <w:rFonts w:hint="eastAsia" w:ascii="仿宋_GB2312" w:hAnsi="仿宋_GB2312" w:eastAsia="仿宋_GB2312" w:cs="仿宋_GB2312"/>
          <w:b w:val="0"/>
          <w:bCs/>
          <w:color w:val="auto"/>
          <w:sz w:val="32"/>
          <w:szCs w:val="32"/>
          <w:highlight w:val="none"/>
          <w:lang w:val="en-US" w:eastAsia="zh-CN"/>
        </w:rPr>
        <w:t>2</w:t>
      </w:r>
      <w:r>
        <w:rPr>
          <w:rFonts w:hint="eastAsia" w:ascii="仿宋_GB2312" w:hAnsi="仿宋_GB2312" w:eastAsia="仿宋_GB2312" w:cs="仿宋_GB2312"/>
          <w:b w:val="0"/>
          <w:bCs/>
          <w:color w:val="auto"/>
          <w:sz w:val="32"/>
          <w:szCs w:val="32"/>
          <w:highlight w:val="none"/>
        </w:rPr>
        <w:t>分。</w:t>
      </w:r>
    </w:p>
    <w:p>
      <w:pPr>
        <w:keepNext w:val="0"/>
        <w:keepLines w:val="0"/>
        <w:pageBreakBefore w:val="0"/>
        <w:widowControl w:val="0"/>
        <w:kinsoku/>
        <w:wordWrap/>
        <w:overflowPunct/>
        <w:topLinePunct w:val="0"/>
        <w:autoSpaceDE/>
        <w:autoSpaceDN/>
        <w:bidi w:val="0"/>
        <w:adjustRightInd w:val="0"/>
        <w:snapToGrid w:val="0"/>
        <w:spacing w:line="530" w:lineRule="exact"/>
        <w:ind w:firstLine="48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实际完成率</w:t>
      </w:r>
      <w:r>
        <w:rPr>
          <w:rFonts w:hint="eastAsia" w:ascii="仿宋_GB2312" w:hAnsi="仿宋_GB2312" w:eastAsia="仿宋_GB2312" w:cs="仿宋_GB2312"/>
          <w:color w:val="auto"/>
          <w:sz w:val="32"/>
          <w:szCs w:val="32"/>
          <w:highlight w:val="none"/>
          <w:lang w:eastAsia="zh-CN"/>
        </w:rPr>
        <w:t>”扣减</w:t>
      </w:r>
      <w:r>
        <w:rPr>
          <w:rFonts w:hint="eastAsia" w:ascii="仿宋_GB2312" w:hAnsi="仿宋_GB2312" w:eastAsia="仿宋_GB2312" w:cs="仿宋_GB2312"/>
          <w:color w:val="auto"/>
          <w:sz w:val="32"/>
          <w:szCs w:val="32"/>
          <w:highlight w:val="none"/>
          <w:lang w:val="en-US" w:eastAsia="zh-CN"/>
        </w:rPr>
        <w:t>0.89分。原因为：</w:t>
      </w:r>
    </w:p>
    <w:p>
      <w:pPr>
        <w:keepNext w:val="0"/>
        <w:keepLines w:val="0"/>
        <w:pageBreakBefore w:val="0"/>
        <w:widowControl w:val="0"/>
        <w:kinsoku/>
        <w:wordWrap/>
        <w:overflowPunct/>
        <w:topLinePunct w:val="0"/>
        <w:autoSpaceDE/>
        <w:autoSpaceDN/>
        <w:bidi w:val="0"/>
        <w:adjustRightInd w:val="0"/>
        <w:snapToGrid w:val="0"/>
        <w:spacing w:line="530" w:lineRule="exact"/>
        <w:ind w:firstLine="48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a.</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改善办学条件专项目标完成率</w:t>
      </w:r>
      <w:r>
        <w:rPr>
          <w:rFonts w:hint="eastAsia" w:ascii="仿宋_GB2312" w:hAnsi="仿宋_GB2312" w:eastAsia="仿宋_GB2312" w:cs="仿宋_GB2312"/>
          <w:color w:val="auto"/>
          <w:sz w:val="32"/>
          <w:szCs w:val="32"/>
          <w:highlight w:val="none"/>
        </w:rPr>
        <w:t>”扣减</w:t>
      </w:r>
      <w:r>
        <w:rPr>
          <w:rFonts w:hint="eastAsia" w:ascii="仿宋_GB2312" w:hAnsi="仿宋_GB2312" w:eastAsia="仿宋_GB2312" w:cs="仿宋_GB2312"/>
          <w:color w:val="auto"/>
          <w:sz w:val="32"/>
          <w:szCs w:val="32"/>
          <w:highlight w:val="none"/>
          <w:lang w:val="en-US" w:eastAsia="zh-CN"/>
        </w:rPr>
        <w:t>0.67</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教育教学研究资金”一师一优课等评奖项目目标值为5000节，实际完成3826节；“促进学生全面发展‘十个一’资金”李沧区项目未开展；“教育装备配备与信息化建设资金”全市中小学实验室危险化学品集中处置项目未开展、教育信息化专项培训项目目标值为400人次，实际培训约200人次。根据评分标准，扣分=3/9*2=0.67分。</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b.</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支持教育事业发展专项目标完成率</w:t>
      </w:r>
      <w:r>
        <w:rPr>
          <w:rFonts w:hint="eastAsia" w:ascii="仿宋_GB2312" w:hAnsi="仿宋_GB2312" w:eastAsia="仿宋_GB2312" w:cs="仿宋_GB2312"/>
          <w:color w:val="auto"/>
          <w:sz w:val="32"/>
          <w:szCs w:val="32"/>
          <w:highlight w:val="none"/>
        </w:rPr>
        <w:t>”扣减</w:t>
      </w:r>
      <w:r>
        <w:rPr>
          <w:rFonts w:hint="eastAsia" w:ascii="仿宋_GB2312" w:hAnsi="仿宋_GB2312" w:eastAsia="仿宋_GB2312" w:cs="仿宋_GB2312"/>
          <w:color w:val="auto"/>
          <w:sz w:val="32"/>
          <w:szCs w:val="32"/>
          <w:highlight w:val="none"/>
          <w:lang w:val="en-US" w:eastAsia="zh-CN"/>
        </w:rPr>
        <w:t>0.22</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高等教育发展</w:t>
      </w:r>
      <w:r>
        <w:rPr>
          <w:rFonts w:hint="eastAsia" w:ascii="仿宋_GB2312" w:hAnsi="仿宋_GB2312" w:eastAsia="仿宋_GB2312" w:cs="仿宋_GB2312"/>
          <w:color w:val="auto"/>
          <w:sz w:val="32"/>
          <w:szCs w:val="32"/>
          <w:highlight w:val="none"/>
          <w:lang w:eastAsia="zh-CN"/>
        </w:rPr>
        <w:t>资金</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青岛大学“十三五”共建项目</w:t>
      </w:r>
      <w:r>
        <w:rPr>
          <w:rFonts w:hint="eastAsia" w:ascii="仿宋_GB2312" w:hAnsi="仿宋_GB2312" w:eastAsia="仿宋_GB2312" w:cs="仿宋_GB2312"/>
          <w:color w:val="auto"/>
          <w:sz w:val="32"/>
          <w:szCs w:val="32"/>
          <w:highlight w:val="none"/>
          <w:lang w:eastAsia="zh-CN"/>
        </w:rPr>
        <w:t>用于</w:t>
      </w:r>
      <w:r>
        <w:rPr>
          <w:rFonts w:hint="eastAsia" w:ascii="仿宋_GB2312" w:hAnsi="仿宋_GB2312" w:eastAsia="仿宋_GB2312" w:cs="仿宋_GB2312"/>
          <w:color w:val="auto"/>
          <w:sz w:val="32"/>
          <w:szCs w:val="32"/>
          <w:highlight w:val="none"/>
          <w:lang w:val="en-US" w:eastAsia="zh-CN"/>
        </w:rPr>
        <w:t>5个研发项目，</w:t>
      </w:r>
      <w:r>
        <w:rPr>
          <w:rFonts w:hint="eastAsia" w:ascii="仿宋_GB2312" w:hAnsi="仿宋_GB2312" w:eastAsia="仿宋_GB2312" w:cs="仿宋_GB2312"/>
          <w:color w:val="auto"/>
          <w:sz w:val="32"/>
          <w:szCs w:val="32"/>
          <w:highlight w:val="none"/>
        </w:rPr>
        <w:t>其中</w:t>
      </w:r>
      <w:r>
        <w:rPr>
          <w:rFonts w:hint="eastAsia" w:ascii="仿宋_GB2312" w:hAnsi="仿宋_GB2312" w:eastAsia="仿宋_GB2312" w:cs="仿宋_GB2312"/>
          <w:color w:val="auto"/>
          <w:sz w:val="32"/>
          <w:szCs w:val="32"/>
          <w:highlight w:val="none"/>
          <w:lang w:val="en-US" w:eastAsia="zh-CN"/>
        </w:rPr>
        <w:t>3个研发项目未完成年度绩效目标:①</w:t>
      </w:r>
      <w:r>
        <w:rPr>
          <w:rFonts w:hint="eastAsia" w:ascii="仿宋_GB2312" w:hAnsi="仿宋_GB2312" w:eastAsia="仿宋_GB2312" w:cs="仿宋_GB2312"/>
          <w:color w:val="auto"/>
          <w:sz w:val="32"/>
          <w:szCs w:val="32"/>
          <w:highlight w:val="none"/>
        </w:rPr>
        <w:t>靶向创新药物的品种开发项目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R&amp;D目标项目数4</w:t>
      </w:r>
      <w:r>
        <w:rPr>
          <w:rFonts w:hint="eastAsia" w:ascii="仿宋_GB2312" w:hAnsi="仿宋_GB2312" w:eastAsia="仿宋_GB2312" w:cs="仿宋_GB2312"/>
          <w:color w:val="auto"/>
          <w:sz w:val="32"/>
          <w:szCs w:val="32"/>
          <w:highlight w:val="none"/>
          <w:lang w:eastAsia="zh-CN"/>
        </w:rPr>
        <w:t>个</w:t>
      </w:r>
      <w:r>
        <w:rPr>
          <w:rFonts w:hint="eastAsia" w:ascii="仿宋_GB2312" w:hAnsi="仿宋_GB2312" w:eastAsia="仿宋_GB2312" w:cs="仿宋_GB2312"/>
          <w:color w:val="auto"/>
          <w:sz w:val="32"/>
          <w:szCs w:val="32"/>
          <w:highlight w:val="none"/>
        </w:rPr>
        <w:t>，实际完成1</w:t>
      </w:r>
      <w:r>
        <w:rPr>
          <w:rFonts w:hint="eastAsia" w:ascii="仿宋_GB2312" w:hAnsi="仿宋_GB2312" w:eastAsia="仿宋_GB2312" w:cs="仿宋_GB2312"/>
          <w:color w:val="auto"/>
          <w:sz w:val="32"/>
          <w:szCs w:val="32"/>
          <w:highlight w:val="none"/>
          <w:lang w:eastAsia="zh-CN"/>
        </w:rPr>
        <w:t>个</w:t>
      </w:r>
      <w:r>
        <w:rPr>
          <w:rFonts w:hint="eastAsia" w:ascii="仿宋_GB2312" w:hAnsi="仿宋_GB2312" w:eastAsia="仿宋_GB2312" w:cs="仿宋_GB2312"/>
          <w:color w:val="auto"/>
          <w:sz w:val="32"/>
          <w:szCs w:val="32"/>
          <w:highlight w:val="none"/>
        </w:rPr>
        <w:t>；全市技术合同交易目标额200万元，实际</w:t>
      </w:r>
      <w:r>
        <w:rPr>
          <w:rFonts w:hint="eastAsia" w:ascii="仿宋_GB2312" w:hAnsi="仿宋_GB2312" w:eastAsia="仿宋_GB2312" w:cs="仿宋_GB2312"/>
          <w:color w:val="auto"/>
          <w:sz w:val="32"/>
          <w:szCs w:val="32"/>
          <w:highlight w:val="none"/>
          <w:lang w:eastAsia="zh-CN"/>
        </w:rPr>
        <w:t>完成</w:t>
      </w:r>
      <w:r>
        <w:rPr>
          <w:rFonts w:hint="eastAsia" w:ascii="仿宋_GB2312" w:hAnsi="仿宋_GB2312" w:eastAsia="仿宋_GB2312" w:cs="仿宋_GB2312"/>
          <w:color w:val="auto"/>
          <w:sz w:val="32"/>
          <w:szCs w:val="32"/>
          <w:highlight w:val="none"/>
        </w:rPr>
        <w:t>54万元；专利申请目标数5个，实际完成3个</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②</w:t>
      </w:r>
      <w:r>
        <w:rPr>
          <w:rFonts w:hint="eastAsia" w:ascii="仿宋_GB2312" w:hAnsi="仿宋_GB2312" w:eastAsia="仿宋_GB2312" w:cs="仿宋_GB2312"/>
          <w:color w:val="auto"/>
          <w:sz w:val="32"/>
          <w:szCs w:val="32"/>
          <w:highlight w:val="none"/>
        </w:rPr>
        <w:t>神经系统药物校企协同创新中心项目：拟发</w:t>
      </w:r>
      <w:r>
        <w:rPr>
          <w:rFonts w:hint="eastAsia" w:ascii="仿宋_GB2312" w:hAnsi="仿宋_GB2312" w:eastAsia="仿宋_GB2312" w:cs="仿宋_GB2312"/>
          <w:color w:val="auto"/>
          <w:sz w:val="32"/>
          <w:szCs w:val="32"/>
          <w:highlight w:val="none"/>
          <w:lang w:eastAsia="zh-CN"/>
        </w:rPr>
        <w:t>表</w:t>
      </w:r>
      <w:r>
        <w:rPr>
          <w:rFonts w:hint="eastAsia" w:ascii="仿宋_GB2312" w:hAnsi="仿宋_GB2312" w:eastAsia="仿宋_GB2312" w:cs="仿宋_GB2312"/>
          <w:color w:val="auto"/>
          <w:sz w:val="32"/>
          <w:szCs w:val="32"/>
          <w:highlight w:val="none"/>
        </w:rPr>
        <w:t>文章15-20篇，实际</w:t>
      </w:r>
      <w:r>
        <w:rPr>
          <w:rFonts w:hint="eastAsia" w:ascii="仿宋_GB2312" w:hAnsi="仿宋_GB2312" w:eastAsia="仿宋_GB2312" w:cs="仿宋_GB2312"/>
          <w:color w:val="auto"/>
          <w:sz w:val="32"/>
          <w:szCs w:val="32"/>
          <w:highlight w:val="none"/>
          <w:lang w:eastAsia="zh-CN"/>
        </w:rPr>
        <w:t>发表</w:t>
      </w:r>
      <w:r>
        <w:rPr>
          <w:rFonts w:hint="eastAsia" w:ascii="仿宋_GB2312" w:hAnsi="仿宋_GB2312" w:eastAsia="仿宋_GB2312" w:cs="仿宋_GB2312"/>
          <w:color w:val="auto"/>
          <w:sz w:val="32"/>
          <w:szCs w:val="32"/>
          <w:highlight w:val="none"/>
        </w:rPr>
        <w:t>8篇；全市技术合同目标交易</w:t>
      </w:r>
      <w:r>
        <w:rPr>
          <w:rFonts w:hint="eastAsia" w:ascii="仿宋_GB2312" w:hAnsi="仿宋_GB2312" w:eastAsia="仿宋_GB2312" w:cs="仿宋_GB2312"/>
          <w:color w:val="auto"/>
          <w:sz w:val="32"/>
          <w:szCs w:val="32"/>
          <w:highlight w:val="none"/>
          <w:lang w:eastAsia="zh-CN"/>
        </w:rPr>
        <w:t>额</w:t>
      </w:r>
      <w:r>
        <w:rPr>
          <w:rFonts w:hint="eastAsia" w:ascii="仿宋_GB2312" w:hAnsi="仿宋_GB2312" w:eastAsia="仿宋_GB2312" w:cs="仿宋_GB2312"/>
          <w:color w:val="auto"/>
          <w:sz w:val="32"/>
          <w:szCs w:val="32"/>
          <w:highlight w:val="none"/>
        </w:rPr>
        <w:t>150-200万无，实际完成0元；专利申请目标数7-10项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实际</w:t>
      </w:r>
      <w:r>
        <w:rPr>
          <w:rFonts w:hint="eastAsia" w:ascii="仿宋_GB2312" w:hAnsi="仿宋_GB2312" w:eastAsia="仿宋_GB2312" w:cs="仿宋_GB2312"/>
          <w:color w:val="auto"/>
          <w:sz w:val="32"/>
          <w:szCs w:val="32"/>
          <w:highlight w:val="none"/>
          <w:lang w:eastAsia="zh-CN"/>
        </w:rPr>
        <w:t>申请</w:t>
      </w:r>
      <w:r>
        <w:rPr>
          <w:rFonts w:hint="eastAsia" w:ascii="仿宋_GB2312" w:hAnsi="仿宋_GB2312" w:eastAsia="仿宋_GB2312" w:cs="仿宋_GB2312"/>
          <w:color w:val="auto"/>
          <w:sz w:val="32"/>
          <w:szCs w:val="32"/>
          <w:highlight w:val="none"/>
        </w:rPr>
        <w:t>0项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③</w:t>
      </w:r>
      <w:r>
        <w:rPr>
          <w:rFonts w:hint="eastAsia" w:ascii="仿宋_GB2312" w:hAnsi="仿宋_GB2312" w:eastAsia="仿宋_GB2312" w:cs="仿宋_GB2312"/>
          <w:color w:val="auto"/>
          <w:sz w:val="32"/>
          <w:szCs w:val="32"/>
          <w:highlight w:val="none"/>
          <w:lang w:eastAsia="zh-CN"/>
        </w:rPr>
        <w:t>电动汽车智能化动力集成技术项目：</w:t>
      </w:r>
      <w:r>
        <w:rPr>
          <w:rFonts w:hint="eastAsia" w:ascii="仿宋_GB2312" w:hAnsi="仿宋_GB2312" w:eastAsia="仿宋_GB2312" w:cs="仿宋_GB2312"/>
          <w:color w:val="auto"/>
          <w:sz w:val="32"/>
          <w:szCs w:val="32"/>
          <w:highlight w:val="none"/>
        </w:rPr>
        <w:t>拟发</w:t>
      </w:r>
      <w:r>
        <w:rPr>
          <w:rFonts w:hint="eastAsia" w:ascii="仿宋_GB2312" w:hAnsi="仿宋_GB2312" w:eastAsia="仿宋_GB2312" w:cs="仿宋_GB2312"/>
          <w:color w:val="auto"/>
          <w:sz w:val="32"/>
          <w:szCs w:val="32"/>
          <w:highlight w:val="none"/>
          <w:lang w:eastAsia="zh-CN"/>
        </w:rPr>
        <w:t>表科技论文</w:t>
      </w:r>
      <w:r>
        <w:rPr>
          <w:rFonts w:hint="eastAsia" w:ascii="仿宋_GB2312" w:hAnsi="仿宋_GB2312" w:eastAsia="仿宋_GB2312" w:cs="仿宋_GB2312"/>
          <w:color w:val="auto"/>
          <w:sz w:val="32"/>
          <w:szCs w:val="32"/>
          <w:highlight w:val="none"/>
          <w:lang w:val="en-US" w:eastAsia="zh-CN"/>
        </w:rPr>
        <w:t>44</w:t>
      </w:r>
      <w:r>
        <w:rPr>
          <w:rFonts w:hint="eastAsia" w:ascii="仿宋_GB2312" w:hAnsi="仿宋_GB2312" w:eastAsia="仿宋_GB2312" w:cs="仿宋_GB2312"/>
          <w:color w:val="auto"/>
          <w:sz w:val="32"/>
          <w:szCs w:val="32"/>
          <w:highlight w:val="none"/>
        </w:rPr>
        <w:t>篇，实际</w:t>
      </w:r>
      <w:r>
        <w:rPr>
          <w:rFonts w:hint="eastAsia" w:ascii="仿宋_GB2312" w:hAnsi="仿宋_GB2312" w:eastAsia="仿宋_GB2312" w:cs="仿宋_GB2312"/>
          <w:color w:val="auto"/>
          <w:sz w:val="32"/>
          <w:szCs w:val="32"/>
          <w:highlight w:val="none"/>
          <w:lang w:eastAsia="zh-CN"/>
        </w:rPr>
        <w:t>发表</w:t>
      </w:r>
      <w:r>
        <w:rPr>
          <w:rFonts w:hint="eastAsia" w:ascii="仿宋_GB2312" w:hAnsi="仿宋_GB2312" w:eastAsia="仿宋_GB2312" w:cs="仿宋_GB2312"/>
          <w:color w:val="auto"/>
          <w:sz w:val="32"/>
          <w:szCs w:val="32"/>
          <w:highlight w:val="none"/>
          <w:lang w:val="en-US" w:eastAsia="zh-CN"/>
        </w:rPr>
        <w:t>36</w:t>
      </w:r>
      <w:r>
        <w:rPr>
          <w:rFonts w:hint="eastAsia" w:ascii="仿宋_GB2312" w:hAnsi="仿宋_GB2312" w:eastAsia="仿宋_GB2312" w:cs="仿宋_GB2312"/>
          <w:color w:val="auto"/>
          <w:sz w:val="32"/>
          <w:szCs w:val="32"/>
          <w:highlight w:val="none"/>
        </w:rPr>
        <w:t>篇；专利申请目标数</w:t>
      </w:r>
      <w:r>
        <w:rPr>
          <w:rFonts w:hint="eastAsia" w:ascii="仿宋_GB2312" w:hAnsi="仿宋_GB2312" w:eastAsia="仿宋_GB2312" w:cs="仿宋_GB2312"/>
          <w:color w:val="auto"/>
          <w:sz w:val="32"/>
          <w:szCs w:val="32"/>
          <w:highlight w:val="none"/>
          <w:lang w:val="en-US" w:eastAsia="zh-CN"/>
        </w:rPr>
        <w:t>34</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实际</w:t>
      </w:r>
      <w:r>
        <w:rPr>
          <w:rFonts w:hint="eastAsia" w:ascii="仿宋_GB2312" w:hAnsi="仿宋_GB2312" w:eastAsia="仿宋_GB2312" w:cs="仿宋_GB2312"/>
          <w:color w:val="auto"/>
          <w:sz w:val="32"/>
          <w:szCs w:val="32"/>
          <w:highlight w:val="none"/>
          <w:lang w:eastAsia="zh-CN"/>
        </w:rPr>
        <w:t>申请</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lang w:eastAsia="zh-CN"/>
        </w:rPr>
        <w:t>项。</w:t>
      </w:r>
      <w:r>
        <w:rPr>
          <w:rFonts w:hint="eastAsia" w:ascii="仿宋_GB2312" w:hAnsi="仿宋_GB2312" w:eastAsia="仿宋_GB2312" w:cs="仿宋_GB2312"/>
          <w:color w:val="auto"/>
          <w:sz w:val="32"/>
          <w:szCs w:val="32"/>
          <w:highlight w:val="none"/>
          <w:lang w:val="en-US" w:eastAsia="zh-CN"/>
        </w:rPr>
        <w:t>扣分=1/9*2=0.22分。</w:t>
      </w:r>
    </w:p>
    <w:p>
      <w:pPr>
        <w:keepNext w:val="0"/>
        <w:keepLines w:val="0"/>
        <w:pageBreakBefore w:val="0"/>
        <w:widowControl w:val="0"/>
        <w:kinsoku/>
        <w:wordWrap/>
        <w:overflowPunct/>
        <w:topLinePunct w:val="0"/>
        <w:autoSpaceDE/>
        <w:autoSpaceDN/>
        <w:bidi w:val="0"/>
        <w:adjustRightInd w:val="0"/>
        <w:snapToGrid w:val="0"/>
        <w:spacing w:line="530" w:lineRule="exact"/>
        <w:ind w:firstLine="48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质量达标率</w:t>
      </w:r>
      <w:r>
        <w:rPr>
          <w:rFonts w:hint="eastAsia" w:ascii="仿宋_GB2312" w:hAnsi="仿宋_GB2312" w:eastAsia="仿宋_GB2312" w:cs="仿宋_GB2312"/>
          <w:color w:val="auto"/>
          <w:sz w:val="32"/>
          <w:szCs w:val="32"/>
          <w:highlight w:val="none"/>
          <w:lang w:eastAsia="zh-CN"/>
        </w:rPr>
        <w:t>”扣减</w:t>
      </w:r>
      <w:r>
        <w:rPr>
          <w:rFonts w:hint="eastAsia" w:ascii="仿宋_GB2312" w:hAnsi="仿宋_GB2312" w:eastAsia="仿宋_GB2312" w:cs="仿宋_GB2312"/>
          <w:color w:val="auto"/>
          <w:sz w:val="32"/>
          <w:szCs w:val="32"/>
          <w:highlight w:val="none"/>
          <w:lang w:val="en-US" w:eastAsia="zh-CN"/>
        </w:rPr>
        <w:t>1.11分。原因为：“改善办学条件专项资金”局属校园安防视频网上巡查率、国家教育考试视频监控网上巡查率未达预定目标值，根据评分标准，扣分=</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88.89</w:t>
      </w:r>
      <w:r>
        <w:rPr>
          <w:rFonts w:hint="eastAsia" w:ascii="仿宋_GB2312" w:hAnsi="仿宋_GB2312" w:eastAsia="仿宋_GB2312" w:cs="仿宋_GB2312"/>
          <w:color w:val="auto"/>
          <w:sz w:val="32"/>
          <w:szCs w:val="32"/>
          <w:highlight w:val="none"/>
        </w:rPr>
        <w:t>%）/1%*5%*</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1.11分。</w:t>
      </w:r>
    </w:p>
    <w:p>
      <w:pPr>
        <w:keepNext w:val="0"/>
        <w:keepLines w:val="0"/>
        <w:pageBreakBefore w:val="0"/>
        <w:widowControl w:val="0"/>
        <w:kinsoku/>
        <w:wordWrap/>
        <w:overflowPunct/>
        <w:topLinePunct w:val="0"/>
        <w:autoSpaceDE/>
        <w:autoSpaceDN/>
        <w:bidi w:val="0"/>
        <w:adjustRightInd w:val="0"/>
        <w:snapToGrid w:val="0"/>
        <w:spacing w:line="530" w:lineRule="exact"/>
        <w:ind w:firstLine="642" w:firstLineChars="200"/>
        <w:textAlignment w:val="auto"/>
        <w:rPr>
          <w:rFonts w:hint="eastAsia" w:ascii="仿宋_GB2312" w:hAnsi="Times New Roman" w:eastAsia="仿宋_GB2312" w:cs="Times New Roman"/>
          <w:b/>
          <w:color w:val="auto"/>
          <w:sz w:val="32"/>
          <w:szCs w:val="32"/>
          <w:highlight w:val="none"/>
          <w:lang w:eastAsia="zh-CN"/>
        </w:rPr>
      </w:pPr>
      <w:r>
        <w:rPr>
          <w:rFonts w:hint="eastAsia" w:ascii="仿宋_GB2312" w:hAnsi="Times New Roman" w:eastAsia="仿宋_GB2312" w:cs="Times New Roman"/>
          <w:b/>
          <w:color w:val="auto"/>
          <w:sz w:val="32"/>
          <w:szCs w:val="32"/>
          <w:highlight w:val="none"/>
          <w:lang w:val="en-US" w:eastAsia="zh-CN"/>
        </w:rPr>
        <w:t>4</w:t>
      </w:r>
      <w:r>
        <w:rPr>
          <w:rFonts w:hint="eastAsia" w:ascii="仿宋_GB2312" w:hAnsi="Times New Roman" w:eastAsia="仿宋_GB2312" w:cs="Times New Roman"/>
          <w:b/>
          <w:color w:val="auto"/>
          <w:sz w:val="32"/>
          <w:szCs w:val="32"/>
          <w:highlight w:val="none"/>
        </w:rPr>
        <w:t>.效</w:t>
      </w:r>
      <w:r>
        <w:rPr>
          <w:rFonts w:hint="eastAsia" w:ascii="仿宋_GB2312" w:hAnsi="Times New Roman" w:eastAsia="仿宋_GB2312" w:cs="Times New Roman"/>
          <w:b/>
          <w:color w:val="auto"/>
          <w:sz w:val="32"/>
          <w:szCs w:val="32"/>
          <w:highlight w:val="none"/>
          <w:lang w:eastAsia="zh-CN"/>
        </w:rPr>
        <w:t>果</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仿宋_GB2312" w:hAnsi="Times New Roman" w:eastAsia="仿宋_GB2312" w:cs="Times New Roman"/>
          <w:b/>
          <w:color w:val="auto"/>
          <w:sz w:val="32"/>
          <w:szCs w:val="32"/>
          <w:highlight w:val="none"/>
        </w:rPr>
      </w:pPr>
      <w:r>
        <w:rPr>
          <w:rFonts w:hint="eastAsia" w:ascii="仿宋_GB2312" w:hAnsi="Times New Roman" w:eastAsia="仿宋_GB2312" w:cs="Times New Roman"/>
          <w:b w:val="0"/>
          <w:bCs/>
          <w:color w:val="auto"/>
          <w:sz w:val="32"/>
          <w:szCs w:val="32"/>
          <w:highlight w:val="none"/>
        </w:rPr>
        <w:t>指标分值30分，得分</w:t>
      </w:r>
      <w:r>
        <w:rPr>
          <w:rFonts w:hint="eastAsia" w:ascii="仿宋_GB2312" w:hAnsi="Times New Roman" w:eastAsia="仿宋_GB2312" w:cs="Times New Roman"/>
          <w:b w:val="0"/>
          <w:bCs/>
          <w:color w:val="auto"/>
          <w:sz w:val="32"/>
          <w:szCs w:val="32"/>
          <w:highlight w:val="none"/>
          <w:lang w:val="en-US" w:eastAsia="zh-CN"/>
        </w:rPr>
        <w:t>29</w:t>
      </w:r>
      <w:r>
        <w:rPr>
          <w:rFonts w:hint="eastAsia" w:ascii="仿宋_GB2312" w:hAnsi="Times New Roman" w:eastAsia="仿宋_GB2312" w:cs="Times New Roman"/>
          <w:b w:val="0"/>
          <w:bCs/>
          <w:color w:val="auto"/>
          <w:sz w:val="32"/>
          <w:szCs w:val="32"/>
          <w:highlight w:val="none"/>
        </w:rPr>
        <w:t>分，扣减</w:t>
      </w:r>
      <w:r>
        <w:rPr>
          <w:rFonts w:hint="eastAsia" w:ascii="仿宋_GB2312" w:hAnsi="Times New Roman" w:eastAsia="仿宋_GB2312" w:cs="Times New Roman"/>
          <w:b w:val="0"/>
          <w:bCs/>
          <w:color w:val="auto"/>
          <w:sz w:val="32"/>
          <w:szCs w:val="32"/>
          <w:highlight w:val="none"/>
          <w:lang w:val="en-US" w:eastAsia="zh-CN"/>
        </w:rPr>
        <w:t>1</w:t>
      </w:r>
      <w:r>
        <w:rPr>
          <w:rFonts w:hint="eastAsia" w:ascii="仿宋_GB2312" w:hAnsi="Times New Roman" w:eastAsia="仿宋_GB2312" w:cs="Times New Roman"/>
          <w:b w:val="0"/>
          <w:bCs/>
          <w:color w:val="auto"/>
          <w:sz w:val="32"/>
          <w:szCs w:val="32"/>
          <w:highlight w:val="none"/>
        </w:rPr>
        <w:t>分。</w:t>
      </w:r>
    </w:p>
    <w:p>
      <w:pPr>
        <w:pStyle w:val="77"/>
        <w:keepNext w:val="0"/>
        <w:keepLines w:val="0"/>
        <w:pageBreakBefore w:val="0"/>
        <w:widowControl w:val="0"/>
        <w:kinsoku/>
        <w:wordWrap/>
        <w:overflowPunct/>
        <w:topLinePunct w:val="0"/>
        <w:autoSpaceDE/>
        <w:autoSpaceDN/>
        <w:bidi w:val="0"/>
        <w:adjustRightInd w:val="0"/>
        <w:snapToGrid w:val="0"/>
        <w:spacing w:line="530" w:lineRule="exact"/>
        <w:ind w:left="0" w:leftChars="0" w:firstLine="640" w:firstLineChars="200"/>
        <w:textAlignment w:val="auto"/>
        <w:rPr>
          <w:rFonts w:hint="default"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“扩增学前教育资源总量”扣减</w:t>
      </w:r>
      <w:r>
        <w:rPr>
          <w:rFonts w:hint="eastAsia" w:ascii="仿宋_GB2312" w:eastAsia="仿宋_GB2312" w:cs="Times New Roman"/>
          <w:color w:val="auto"/>
          <w:kern w:val="2"/>
          <w:sz w:val="32"/>
          <w:szCs w:val="32"/>
          <w:highlight w:val="none"/>
          <w:lang w:val="en-US" w:eastAsia="zh-CN" w:bidi="ar-SA"/>
        </w:rPr>
        <w:t>1</w:t>
      </w:r>
      <w:r>
        <w:rPr>
          <w:rFonts w:hint="eastAsia" w:ascii="仿宋_GB2312" w:hAnsi="Times New Roman" w:eastAsia="仿宋_GB2312" w:cs="Times New Roman"/>
          <w:color w:val="auto"/>
          <w:kern w:val="2"/>
          <w:sz w:val="32"/>
          <w:szCs w:val="32"/>
          <w:highlight w:val="none"/>
          <w:lang w:val="en-US" w:eastAsia="zh-CN" w:bidi="ar-SA"/>
        </w:rPr>
        <w:t>分。原因为：2020示范类幼儿园占城镇幼儿园总数比例50%</w:t>
      </w:r>
      <w:r>
        <w:rPr>
          <w:rFonts w:hint="eastAsia" w:ascii="仿宋_GB2312" w:eastAsia="仿宋_GB2312" w:cs="Times New Roman"/>
          <w:color w:val="auto"/>
          <w:kern w:val="2"/>
          <w:sz w:val="32"/>
          <w:szCs w:val="32"/>
          <w:highlight w:val="none"/>
          <w:lang w:val="en-US" w:eastAsia="zh-CN" w:bidi="ar-SA"/>
        </w:rPr>
        <w:t>，未达十三五规划示范类幼儿园占城镇幼儿园总数比例达70%以上的目标值</w:t>
      </w:r>
      <w:r>
        <w:rPr>
          <w:rFonts w:hint="eastAsia" w:ascii="仿宋_GB2312" w:hAnsi="Times New Roman" w:eastAsia="仿宋_GB2312" w:cs="Times New Roman"/>
          <w:color w:val="auto"/>
          <w:kern w:val="2"/>
          <w:sz w:val="32"/>
          <w:szCs w:val="32"/>
          <w:highlight w:val="none"/>
          <w:lang w:val="en-US" w:eastAsia="zh-CN" w:bidi="ar-SA"/>
        </w:rPr>
        <w:t>。</w:t>
      </w:r>
      <w:r>
        <w:rPr>
          <w:rFonts w:hint="eastAsia" w:ascii="仿宋_GB2312" w:eastAsia="仿宋_GB2312" w:cs="Times New Roman"/>
          <w:color w:val="auto"/>
          <w:kern w:val="2"/>
          <w:sz w:val="32"/>
          <w:szCs w:val="32"/>
          <w:highlight w:val="none"/>
          <w:lang w:val="en-US" w:eastAsia="zh-CN" w:bidi="ar-SA"/>
        </w:rPr>
        <w:t>根据评分标准，扣减1分。</w:t>
      </w:r>
    </w:p>
    <w:bookmarkEnd w:id="38"/>
    <w:bookmarkEnd w:id="39"/>
    <w:bookmarkEnd w:id="40"/>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outlineLvl w:val="1"/>
        <w:rPr>
          <w:rFonts w:hint="default" w:ascii="Times New Roman" w:hAnsi="Times New Roman" w:eastAsia="楷体" w:cs="Times New Roman"/>
          <w:bCs/>
          <w:color w:val="auto"/>
          <w:kern w:val="0"/>
          <w:sz w:val="32"/>
          <w:szCs w:val="32"/>
          <w:highlight w:val="none"/>
        </w:rPr>
      </w:pPr>
      <w:bookmarkStart w:id="41" w:name="_Toc1329"/>
      <w:r>
        <w:rPr>
          <w:rFonts w:hint="default" w:ascii="Times New Roman" w:hAnsi="Times New Roman" w:eastAsia="楷体" w:cs="Times New Roman"/>
          <w:bCs/>
          <w:color w:val="auto"/>
          <w:kern w:val="0"/>
          <w:sz w:val="32"/>
          <w:szCs w:val="32"/>
          <w:highlight w:val="none"/>
        </w:rPr>
        <w:t>（</w:t>
      </w:r>
      <w:r>
        <w:rPr>
          <w:rFonts w:hint="eastAsia" w:ascii="Times New Roman" w:hAnsi="Times New Roman" w:eastAsia="楷体" w:cs="Times New Roman"/>
          <w:bCs/>
          <w:color w:val="auto"/>
          <w:kern w:val="0"/>
          <w:sz w:val="32"/>
          <w:szCs w:val="32"/>
          <w:highlight w:val="none"/>
          <w:lang w:eastAsia="zh-CN"/>
        </w:rPr>
        <w:t>二</w:t>
      </w:r>
      <w:r>
        <w:rPr>
          <w:rFonts w:hint="default" w:ascii="Times New Roman" w:hAnsi="Times New Roman" w:eastAsia="楷体" w:cs="Times New Roman"/>
          <w:bCs/>
          <w:color w:val="auto"/>
          <w:kern w:val="0"/>
          <w:sz w:val="32"/>
          <w:szCs w:val="32"/>
          <w:highlight w:val="none"/>
        </w:rPr>
        <w:t>）评价结论</w:t>
      </w:r>
      <w:bookmarkEnd w:id="37"/>
      <w:bookmarkEnd w:id="41"/>
    </w:p>
    <w:p>
      <w:pPr>
        <w:keepNext w:val="0"/>
        <w:keepLines w:val="0"/>
        <w:pageBreakBefore w:val="0"/>
        <w:widowControl w:val="0"/>
        <w:kinsoku/>
        <w:wordWrap/>
        <w:overflowPunct/>
        <w:topLinePunct w:val="0"/>
        <w:autoSpaceDE/>
        <w:autoSpaceDN/>
        <w:bidi w:val="0"/>
        <w:adjustRightInd w:val="0"/>
        <w:snapToGrid w:val="0"/>
        <w:spacing w:line="530" w:lineRule="exact"/>
        <w:ind w:firstLine="642" w:firstLineChars="200"/>
        <w:textAlignment w:val="auto"/>
        <w:outlineLvl w:val="1"/>
        <w:rPr>
          <w:rFonts w:hint="default" w:ascii="仿宋_GB2312" w:hAnsi="仿宋_GB2312" w:eastAsia="仿宋_GB2312" w:cs="仿宋_GB2312"/>
          <w:b/>
          <w:bCs/>
          <w:color w:val="auto"/>
          <w:sz w:val="32"/>
          <w:szCs w:val="32"/>
          <w:highlight w:val="none"/>
          <w:lang w:val="en-US" w:eastAsia="zh-CN"/>
        </w:rPr>
      </w:pPr>
      <w:bookmarkStart w:id="42" w:name="_Toc11719"/>
      <w:bookmarkStart w:id="43" w:name="_Toc26964742"/>
      <w:r>
        <w:rPr>
          <w:rFonts w:hint="eastAsia" w:ascii="仿宋_GB2312" w:hAnsi="仿宋_GB2312" w:eastAsia="仿宋_GB2312" w:cs="仿宋_GB2312"/>
          <w:b/>
          <w:bCs/>
          <w:color w:val="auto"/>
          <w:sz w:val="32"/>
          <w:szCs w:val="32"/>
          <w:highlight w:val="none"/>
          <w:lang w:val="en-US" w:eastAsia="zh-CN"/>
        </w:rPr>
        <w:t>1.评价分数和等级</w:t>
      </w:r>
      <w:bookmarkEnd w:id="42"/>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val="en-US" w:eastAsia="zh-CN"/>
        </w:rPr>
        <w:t>2020年度青岛市教育局</w:t>
      </w:r>
      <w:r>
        <w:rPr>
          <w:rFonts w:hint="eastAsia" w:ascii="仿宋_GB2312" w:hAnsi="仿宋_GB2312" w:eastAsia="仿宋_GB2312" w:cs="仿宋_GB2312"/>
          <w:color w:val="auto"/>
          <w:sz w:val="32"/>
          <w:szCs w:val="32"/>
          <w:highlight w:val="none"/>
        </w:rPr>
        <w:t>整体支出绩效评价指标</w:t>
      </w:r>
      <w:r>
        <w:rPr>
          <w:rFonts w:hint="eastAsia" w:ascii="仿宋_GB2312" w:hAnsi="仿宋_GB2312" w:eastAsia="仿宋_GB2312" w:cs="仿宋_GB2312"/>
          <w:color w:val="auto"/>
          <w:sz w:val="32"/>
          <w:szCs w:val="32"/>
          <w:highlight w:val="none"/>
          <w:lang w:eastAsia="zh-CN"/>
        </w:rPr>
        <w:t>体系</w:t>
      </w:r>
      <w:r>
        <w:rPr>
          <w:rFonts w:hint="eastAsia" w:ascii="仿宋_GB2312" w:hAnsi="仿宋_GB2312" w:eastAsia="仿宋_GB2312" w:cs="仿宋_GB2312"/>
          <w:color w:val="auto"/>
          <w:sz w:val="32"/>
          <w:szCs w:val="32"/>
          <w:highlight w:val="none"/>
        </w:rPr>
        <w:t>，绩效评价工作组从投入、过程、产出、</w:t>
      </w:r>
      <w:r>
        <w:rPr>
          <w:rFonts w:hint="eastAsia" w:ascii="仿宋_GB2312" w:hAnsi="仿宋_GB2312" w:eastAsia="仿宋_GB2312" w:cs="仿宋_GB2312"/>
          <w:color w:val="auto"/>
          <w:sz w:val="32"/>
          <w:szCs w:val="32"/>
          <w:highlight w:val="none"/>
          <w:lang w:eastAsia="zh-CN"/>
        </w:rPr>
        <w:t>效果</w:t>
      </w:r>
      <w:r>
        <w:rPr>
          <w:rFonts w:hint="eastAsia" w:ascii="仿宋_GB2312" w:hAnsi="仿宋_GB2312" w:eastAsia="仿宋_GB2312" w:cs="仿宋_GB2312"/>
          <w:color w:val="auto"/>
          <w:sz w:val="32"/>
          <w:szCs w:val="32"/>
          <w:highlight w:val="none"/>
        </w:rPr>
        <w:t>四个方面进行了评价打分和分析。该部门整体绩效评价得分</w:t>
      </w:r>
      <w:r>
        <w:rPr>
          <w:rFonts w:hint="eastAsia" w:ascii="仿宋_GB2312" w:hAnsi="仿宋_GB2312" w:eastAsia="仿宋_GB2312" w:cs="仿宋_GB2312"/>
          <w:color w:val="auto"/>
          <w:sz w:val="32"/>
          <w:szCs w:val="32"/>
          <w:highlight w:val="none"/>
          <w:u w:val="none"/>
        </w:rPr>
        <w:t>为</w:t>
      </w:r>
      <w:r>
        <w:rPr>
          <w:rFonts w:hint="eastAsia" w:ascii="仿宋_GB2312" w:hAnsi="仿宋_GB2312" w:eastAsia="仿宋_GB2312" w:cs="仿宋_GB2312"/>
          <w:color w:val="auto"/>
          <w:sz w:val="32"/>
          <w:szCs w:val="32"/>
          <w:highlight w:val="none"/>
          <w:u w:val="none"/>
          <w:lang w:val="en-US" w:eastAsia="zh-CN"/>
        </w:rPr>
        <w:t>93.66</w:t>
      </w:r>
      <w:r>
        <w:rPr>
          <w:rFonts w:hint="eastAsia" w:ascii="仿宋_GB2312" w:hAnsi="仿宋_GB2312" w:eastAsia="仿宋_GB2312" w:cs="仿宋_GB2312"/>
          <w:color w:val="auto"/>
          <w:sz w:val="32"/>
          <w:szCs w:val="32"/>
          <w:highlight w:val="none"/>
          <w:u w:val="none"/>
        </w:rPr>
        <w:t>分，</w:t>
      </w:r>
      <w:r>
        <w:rPr>
          <w:rFonts w:hint="eastAsia" w:ascii="仿宋_GB2312" w:hAnsi="仿宋_GB2312" w:eastAsia="仿宋_GB2312" w:cs="仿宋_GB2312"/>
          <w:color w:val="auto"/>
          <w:sz w:val="32"/>
          <w:szCs w:val="32"/>
          <w:highlight w:val="none"/>
        </w:rPr>
        <w:t>等级为“</w:t>
      </w:r>
      <w:r>
        <w:rPr>
          <w:rFonts w:hint="eastAsia" w:ascii="仿宋_GB2312" w:hAnsi="仿宋_GB2312" w:eastAsia="仿宋_GB2312" w:cs="仿宋_GB2312"/>
          <w:color w:val="auto"/>
          <w:sz w:val="32"/>
          <w:szCs w:val="32"/>
          <w:highlight w:val="none"/>
          <w:lang w:eastAsia="zh-CN"/>
        </w:rPr>
        <w:t>优</w:t>
      </w:r>
      <w:r>
        <w:rPr>
          <w:rFonts w:hint="eastAsia" w:ascii="仿宋_GB2312" w:hAnsi="仿宋_GB2312" w:eastAsia="仿宋_GB2312" w:cs="仿宋_GB2312"/>
          <w:color w:val="auto"/>
          <w:sz w:val="32"/>
          <w:szCs w:val="32"/>
          <w:highlight w:val="none"/>
        </w:rPr>
        <w:t>”。绩效得分整体情况如下</w:t>
      </w:r>
      <w:r>
        <w:rPr>
          <w:rFonts w:hint="eastAsia" w:ascii="仿宋_GB2312" w:hAnsi="仿宋_GB2312" w:eastAsia="仿宋_GB2312" w:cs="仿宋_GB2312"/>
          <w:color w:val="auto"/>
          <w:sz w:val="32"/>
          <w:szCs w:val="32"/>
          <w:highlight w:val="none"/>
          <w:lang w:eastAsia="zh-CN"/>
        </w:rPr>
        <w:t>表</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530" w:lineRule="exact"/>
        <w:jc w:val="center"/>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lang w:eastAsia="zh-CN"/>
        </w:rPr>
        <w:t>表</w:t>
      </w:r>
      <w:r>
        <w:rPr>
          <w:rFonts w:hint="eastAsia" w:ascii="黑体" w:hAnsi="黑体" w:eastAsia="黑体" w:cs="黑体"/>
          <w:b w:val="0"/>
          <w:bCs/>
          <w:color w:val="auto"/>
          <w:sz w:val="28"/>
          <w:szCs w:val="28"/>
          <w:highlight w:val="none"/>
          <w:lang w:val="en-US" w:eastAsia="zh-CN"/>
        </w:rPr>
        <w:t xml:space="preserve">2 </w:t>
      </w:r>
      <w:r>
        <w:rPr>
          <w:rFonts w:hint="eastAsia" w:ascii="黑体" w:hAnsi="黑体" w:eastAsia="黑体" w:cs="黑体"/>
          <w:b w:val="0"/>
          <w:bCs/>
          <w:color w:val="auto"/>
          <w:sz w:val="28"/>
          <w:szCs w:val="28"/>
          <w:highlight w:val="none"/>
        </w:rPr>
        <w:t>绩效得分整体情况表</w:t>
      </w:r>
    </w:p>
    <w:tbl>
      <w:tblPr>
        <w:tblStyle w:val="23"/>
        <w:tblpPr w:leftFromText="180" w:rightFromText="180" w:vertAnchor="text" w:horzAnchor="page" w:tblpX="1974" w:tblpY="1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2049"/>
        <w:gridCol w:w="2050"/>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2049" w:type="dxa"/>
            <w:shd w:val="clear" w:color="auto" w:fill="auto"/>
          </w:tcPr>
          <w:p>
            <w:pPr>
              <w:widowControl/>
              <w:spacing w:line="360" w:lineRule="auto"/>
              <w:jc w:val="center"/>
              <w:rPr>
                <w:rFonts w:hint="eastAsia" w:ascii="黑体" w:hAnsi="黑体" w:eastAsia="黑体" w:cs="黑体"/>
                <w:b w:val="0"/>
                <w:bCs w:val="0"/>
                <w:color w:val="auto"/>
                <w:kern w:val="0"/>
                <w:sz w:val="24"/>
                <w:szCs w:val="24"/>
                <w:highlight w:val="none"/>
              </w:rPr>
            </w:pPr>
            <w:r>
              <w:rPr>
                <w:rFonts w:hint="eastAsia" w:ascii="黑体" w:hAnsi="黑体" w:eastAsia="黑体" w:cs="黑体"/>
                <w:b w:val="0"/>
                <w:bCs w:val="0"/>
                <w:color w:val="auto"/>
                <w:kern w:val="0"/>
                <w:sz w:val="24"/>
                <w:szCs w:val="24"/>
                <w:highlight w:val="none"/>
              </w:rPr>
              <w:t>指标</w:t>
            </w:r>
          </w:p>
        </w:tc>
        <w:tc>
          <w:tcPr>
            <w:tcW w:w="2049" w:type="dxa"/>
            <w:shd w:val="clear" w:color="auto" w:fill="auto"/>
            <w:vAlign w:val="top"/>
          </w:tcPr>
          <w:p>
            <w:pPr>
              <w:widowControl/>
              <w:spacing w:line="360" w:lineRule="auto"/>
              <w:jc w:val="center"/>
              <w:rPr>
                <w:rFonts w:hint="eastAsia" w:ascii="黑体" w:hAnsi="黑体" w:eastAsia="黑体" w:cs="黑体"/>
                <w:b w:val="0"/>
                <w:bCs w:val="0"/>
                <w:color w:val="auto"/>
                <w:kern w:val="0"/>
                <w:sz w:val="24"/>
                <w:szCs w:val="24"/>
                <w:highlight w:val="none"/>
              </w:rPr>
            </w:pPr>
            <w:r>
              <w:rPr>
                <w:rFonts w:hint="eastAsia" w:ascii="黑体" w:hAnsi="黑体" w:eastAsia="黑体" w:cs="黑体"/>
                <w:b w:val="0"/>
                <w:bCs w:val="0"/>
                <w:color w:val="auto"/>
                <w:kern w:val="0"/>
                <w:sz w:val="24"/>
                <w:szCs w:val="24"/>
                <w:highlight w:val="none"/>
              </w:rPr>
              <w:t>标准分值</w:t>
            </w:r>
          </w:p>
        </w:tc>
        <w:tc>
          <w:tcPr>
            <w:tcW w:w="2050" w:type="dxa"/>
            <w:shd w:val="clear" w:color="auto" w:fill="auto"/>
          </w:tcPr>
          <w:p>
            <w:pPr>
              <w:widowControl/>
              <w:spacing w:line="360" w:lineRule="auto"/>
              <w:jc w:val="center"/>
              <w:rPr>
                <w:rFonts w:hint="eastAsia" w:ascii="黑体" w:hAnsi="黑体" w:eastAsia="黑体" w:cs="黑体"/>
                <w:b w:val="0"/>
                <w:bCs w:val="0"/>
                <w:color w:val="auto"/>
                <w:kern w:val="0"/>
                <w:sz w:val="24"/>
                <w:szCs w:val="24"/>
                <w:highlight w:val="none"/>
              </w:rPr>
            </w:pPr>
            <w:r>
              <w:rPr>
                <w:rFonts w:hint="eastAsia" w:ascii="黑体" w:hAnsi="黑体" w:eastAsia="黑体" w:cs="黑体"/>
                <w:b w:val="0"/>
                <w:bCs w:val="0"/>
                <w:color w:val="auto"/>
                <w:kern w:val="0"/>
                <w:sz w:val="24"/>
                <w:szCs w:val="24"/>
                <w:highlight w:val="none"/>
              </w:rPr>
              <w:t>实际得分</w:t>
            </w:r>
          </w:p>
        </w:tc>
        <w:tc>
          <w:tcPr>
            <w:tcW w:w="2050" w:type="dxa"/>
            <w:shd w:val="clear" w:color="auto" w:fill="auto"/>
          </w:tcPr>
          <w:p>
            <w:pPr>
              <w:widowControl/>
              <w:spacing w:line="360" w:lineRule="auto"/>
              <w:jc w:val="center"/>
              <w:rPr>
                <w:rFonts w:hint="eastAsia" w:ascii="黑体" w:hAnsi="黑体" w:eastAsia="黑体" w:cs="黑体"/>
                <w:b w:val="0"/>
                <w:bCs w:val="0"/>
                <w:color w:val="auto"/>
                <w:kern w:val="0"/>
                <w:sz w:val="24"/>
                <w:szCs w:val="24"/>
                <w:highlight w:val="none"/>
              </w:rPr>
            </w:pPr>
            <w:r>
              <w:rPr>
                <w:rFonts w:hint="eastAsia" w:ascii="黑体" w:hAnsi="黑体" w:eastAsia="黑体" w:cs="黑体"/>
                <w:b w:val="0"/>
                <w:bCs w:val="0"/>
                <w:color w:val="auto"/>
                <w:kern w:val="0"/>
                <w:sz w:val="24"/>
                <w:szCs w:val="24"/>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2049" w:type="dxa"/>
          </w:tcPr>
          <w:p>
            <w:pPr>
              <w:widowControl/>
              <w:spacing w:line="360" w:lineRule="auto"/>
              <w:jc w:val="center"/>
              <w:rPr>
                <w:rFonts w:hint="eastAsia" w:ascii="黑体" w:hAnsi="黑体" w:eastAsia="黑体" w:cs="黑体"/>
                <w:b w:val="0"/>
                <w:bCs/>
                <w:color w:val="auto"/>
                <w:kern w:val="0"/>
                <w:sz w:val="24"/>
                <w:szCs w:val="24"/>
                <w:highlight w:val="none"/>
              </w:rPr>
            </w:pPr>
            <w:r>
              <w:rPr>
                <w:rFonts w:hint="eastAsia" w:ascii="黑体" w:hAnsi="黑体" w:eastAsia="黑体" w:cs="黑体"/>
                <w:b w:val="0"/>
                <w:bCs/>
                <w:color w:val="auto"/>
                <w:kern w:val="0"/>
                <w:sz w:val="24"/>
                <w:szCs w:val="24"/>
                <w:highlight w:val="none"/>
              </w:rPr>
              <w:t>投入</w:t>
            </w:r>
          </w:p>
        </w:tc>
        <w:tc>
          <w:tcPr>
            <w:tcW w:w="2049" w:type="dxa"/>
            <w:vAlign w:val="center"/>
          </w:tcPr>
          <w:p>
            <w:pPr>
              <w:keepNext w:val="0"/>
              <w:keepLines w:val="0"/>
              <w:widowControl/>
              <w:suppressLineNumbers w:val="0"/>
              <w:jc w:val="center"/>
              <w:textAlignment w:val="top"/>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050" w:type="dxa"/>
            <w:vAlign w:val="center"/>
          </w:tcPr>
          <w:p>
            <w:pPr>
              <w:keepNext w:val="0"/>
              <w:keepLines w:val="0"/>
              <w:widowControl/>
              <w:suppressLineNumbers w:val="0"/>
              <w:jc w:val="center"/>
              <w:textAlignment w:val="top"/>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9.50</w:t>
            </w:r>
          </w:p>
        </w:tc>
        <w:tc>
          <w:tcPr>
            <w:tcW w:w="2050" w:type="dxa"/>
            <w:vAlign w:val="center"/>
          </w:tcPr>
          <w:p>
            <w:pPr>
              <w:keepNext w:val="0"/>
              <w:keepLines w:val="0"/>
              <w:widowControl/>
              <w:suppressLineNumbers w:val="0"/>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49" w:type="dxa"/>
          </w:tcPr>
          <w:p>
            <w:pPr>
              <w:widowControl/>
              <w:spacing w:line="360" w:lineRule="auto"/>
              <w:jc w:val="center"/>
              <w:rPr>
                <w:rFonts w:hint="eastAsia" w:ascii="黑体" w:hAnsi="黑体" w:eastAsia="黑体" w:cs="黑体"/>
                <w:b w:val="0"/>
                <w:bCs/>
                <w:color w:val="auto"/>
                <w:kern w:val="0"/>
                <w:sz w:val="24"/>
                <w:szCs w:val="24"/>
                <w:highlight w:val="none"/>
              </w:rPr>
            </w:pPr>
            <w:r>
              <w:rPr>
                <w:rFonts w:hint="eastAsia" w:ascii="黑体" w:hAnsi="黑体" w:eastAsia="黑体" w:cs="黑体"/>
                <w:b w:val="0"/>
                <w:bCs/>
                <w:color w:val="auto"/>
                <w:kern w:val="0"/>
                <w:sz w:val="24"/>
                <w:szCs w:val="24"/>
                <w:highlight w:val="none"/>
              </w:rPr>
              <w:t>过程</w:t>
            </w:r>
          </w:p>
        </w:tc>
        <w:tc>
          <w:tcPr>
            <w:tcW w:w="2049" w:type="dxa"/>
            <w:vAlign w:val="center"/>
          </w:tcPr>
          <w:p>
            <w:pPr>
              <w:keepNext w:val="0"/>
              <w:keepLines w:val="0"/>
              <w:widowControl/>
              <w:suppressLineNumbers w:val="0"/>
              <w:jc w:val="center"/>
              <w:textAlignment w:val="top"/>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050" w:type="dxa"/>
            <w:vAlign w:val="center"/>
          </w:tcPr>
          <w:p>
            <w:pPr>
              <w:keepNext w:val="0"/>
              <w:keepLines w:val="0"/>
              <w:widowControl/>
              <w:suppressLineNumbers w:val="0"/>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27.16</w:t>
            </w:r>
          </w:p>
        </w:tc>
        <w:tc>
          <w:tcPr>
            <w:tcW w:w="2050" w:type="dxa"/>
            <w:vAlign w:val="center"/>
          </w:tcPr>
          <w:p>
            <w:pPr>
              <w:keepNext w:val="0"/>
              <w:keepLines w:val="0"/>
              <w:widowControl/>
              <w:suppressLineNumbers w:val="0"/>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90.53%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2049" w:type="dxa"/>
          </w:tcPr>
          <w:p>
            <w:pPr>
              <w:widowControl/>
              <w:spacing w:line="360" w:lineRule="auto"/>
              <w:jc w:val="center"/>
              <w:rPr>
                <w:rFonts w:hint="eastAsia" w:ascii="黑体" w:hAnsi="黑体" w:eastAsia="黑体" w:cs="黑体"/>
                <w:b w:val="0"/>
                <w:bCs/>
                <w:color w:val="auto"/>
                <w:kern w:val="0"/>
                <w:sz w:val="24"/>
                <w:szCs w:val="24"/>
                <w:highlight w:val="none"/>
              </w:rPr>
            </w:pPr>
            <w:r>
              <w:rPr>
                <w:rFonts w:hint="eastAsia" w:ascii="黑体" w:hAnsi="黑体" w:eastAsia="黑体" w:cs="黑体"/>
                <w:b w:val="0"/>
                <w:bCs/>
                <w:color w:val="auto"/>
                <w:kern w:val="0"/>
                <w:sz w:val="24"/>
                <w:szCs w:val="24"/>
                <w:highlight w:val="none"/>
              </w:rPr>
              <w:t>产出</w:t>
            </w:r>
          </w:p>
        </w:tc>
        <w:tc>
          <w:tcPr>
            <w:tcW w:w="2049" w:type="dxa"/>
            <w:vAlign w:val="center"/>
          </w:tcPr>
          <w:p>
            <w:pPr>
              <w:keepNext w:val="0"/>
              <w:keepLines w:val="0"/>
              <w:widowControl/>
              <w:suppressLineNumbers w:val="0"/>
              <w:jc w:val="center"/>
              <w:textAlignment w:val="top"/>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050" w:type="dxa"/>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w:t>
            </w:r>
          </w:p>
        </w:tc>
        <w:tc>
          <w:tcPr>
            <w:tcW w:w="2050" w:type="dxa"/>
            <w:vAlign w:val="center"/>
          </w:tcPr>
          <w:p>
            <w:pPr>
              <w:keepNext w:val="0"/>
              <w:keepLines w:val="0"/>
              <w:widowControl/>
              <w:suppressLineNumbers w:val="0"/>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49" w:type="dxa"/>
          </w:tcPr>
          <w:p>
            <w:pPr>
              <w:widowControl/>
              <w:spacing w:line="360" w:lineRule="auto"/>
              <w:jc w:val="center"/>
              <w:rPr>
                <w:rFonts w:hint="eastAsia" w:ascii="黑体" w:hAnsi="黑体" w:eastAsia="黑体" w:cs="黑体"/>
                <w:b w:val="0"/>
                <w:bCs/>
                <w:color w:val="auto"/>
                <w:kern w:val="0"/>
                <w:sz w:val="24"/>
                <w:szCs w:val="24"/>
                <w:highlight w:val="none"/>
                <w:lang w:eastAsia="zh-CN"/>
              </w:rPr>
            </w:pPr>
            <w:r>
              <w:rPr>
                <w:rFonts w:hint="eastAsia" w:ascii="黑体" w:hAnsi="黑体" w:eastAsia="黑体" w:cs="黑体"/>
                <w:b w:val="0"/>
                <w:bCs/>
                <w:color w:val="auto"/>
                <w:kern w:val="0"/>
                <w:sz w:val="24"/>
                <w:szCs w:val="24"/>
                <w:highlight w:val="none"/>
                <w:lang w:eastAsia="zh-CN"/>
              </w:rPr>
              <w:t>效果</w:t>
            </w:r>
          </w:p>
        </w:tc>
        <w:tc>
          <w:tcPr>
            <w:tcW w:w="2049" w:type="dxa"/>
            <w:vAlign w:val="center"/>
          </w:tcPr>
          <w:p>
            <w:pPr>
              <w:keepNext w:val="0"/>
              <w:keepLines w:val="0"/>
              <w:widowControl/>
              <w:suppressLineNumbers w:val="0"/>
              <w:jc w:val="center"/>
              <w:textAlignment w:val="top"/>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050" w:type="dxa"/>
            <w:vAlign w:val="center"/>
          </w:tcPr>
          <w:p>
            <w:pPr>
              <w:keepNext w:val="0"/>
              <w:keepLines w:val="0"/>
              <w:widowControl/>
              <w:suppressLineNumbers w:val="0"/>
              <w:jc w:val="center"/>
              <w:textAlignment w:val="top"/>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29</w:t>
            </w:r>
          </w:p>
        </w:tc>
        <w:tc>
          <w:tcPr>
            <w:tcW w:w="2050" w:type="dxa"/>
            <w:vAlign w:val="center"/>
          </w:tcPr>
          <w:p>
            <w:pPr>
              <w:keepNext w:val="0"/>
              <w:keepLines w:val="0"/>
              <w:widowControl/>
              <w:suppressLineNumbers w:val="0"/>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2049" w:type="dxa"/>
          </w:tcPr>
          <w:p>
            <w:pPr>
              <w:widowControl/>
              <w:spacing w:line="360" w:lineRule="auto"/>
              <w:jc w:val="center"/>
              <w:rPr>
                <w:rFonts w:hint="eastAsia" w:ascii="黑体" w:hAnsi="黑体" w:eastAsia="黑体" w:cs="黑体"/>
                <w:b w:val="0"/>
                <w:bCs/>
                <w:color w:val="auto"/>
                <w:kern w:val="0"/>
                <w:sz w:val="24"/>
                <w:szCs w:val="24"/>
                <w:highlight w:val="none"/>
              </w:rPr>
            </w:pPr>
            <w:r>
              <w:rPr>
                <w:rFonts w:hint="eastAsia" w:ascii="黑体" w:hAnsi="黑体" w:eastAsia="黑体" w:cs="黑体"/>
                <w:b w:val="0"/>
                <w:bCs/>
                <w:color w:val="auto"/>
                <w:kern w:val="0"/>
                <w:sz w:val="24"/>
                <w:szCs w:val="24"/>
                <w:highlight w:val="none"/>
              </w:rPr>
              <w:t>综合绩效</w:t>
            </w:r>
          </w:p>
        </w:tc>
        <w:tc>
          <w:tcPr>
            <w:tcW w:w="2049" w:type="dxa"/>
            <w:vAlign w:val="center"/>
          </w:tcPr>
          <w:p>
            <w:pPr>
              <w:keepNext w:val="0"/>
              <w:keepLines w:val="0"/>
              <w:widowControl/>
              <w:suppressLineNumbers w:val="0"/>
              <w:jc w:val="center"/>
              <w:textAlignment w:val="top"/>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2050" w:type="dxa"/>
            <w:vAlign w:val="center"/>
          </w:tcPr>
          <w:p>
            <w:pPr>
              <w:keepNext w:val="0"/>
              <w:keepLines w:val="0"/>
              <w:widowControl/>
              <w:suppressLineNumbers w:val="0"/>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93.66</w:t>
            </w:r>
          </w:p>
        </w:tc>
        <w:tc>
          <w:tcPr>
            <w:tcW w:w="2050" w:type="dxa"/>
            <w:vAlign w:val="center"/>
          </w:tcPr>
          <w:p>
            <w:pPr>
              <w:keepNext w:val="0"/>
              <w:keepLines w:val="0"/>
              <w:widowControl/>
              <w:suppressLineNumbers w:val="0"/>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93.66%</w:t>
            </w:r>
          </w:p>
        </w:tc>
      </w:tr>
    </w:tbl>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从上表可以看出，过程对部门得分影响较大，具体评价结果及得分情况见附件1。</w:t>
      </w:r>
    </w:p>
    <w:bookmarkEnd w:id="43"/>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40" w:lineRule="exact"/>
        <w:ind w:firstLine="642" w:firstLineChars="200"/>
        <w:textAlignment w:val="auto"/>
        <w:outlineLvl w:val="1"/>
        <w:rPr>
          <w:rFonts w:hint="default" w:ascii="仿宋_GB2312" w:hAnsi="仿宋_GB2312" w:eastAsia="仿宋_GB2312" w:cs="仿宋_GB2312"/>
          <w:b/>
          <w:bCs/>
          <w:color w:val="auto"/>
          <w:kern w:val="2"/>
          <w:sz w:val="32"/>
          <w:szCs w:val="32"/>
          <w:highlight w:val="none"/>
          <w:shd w:val="clear" w:color="auto" w:fill="auto"/>
          <w:lang w:val="en-US" w:eastAsia="zh-CN" w:bidi="ar-SA"/>
        </w:rPr>
      </w:pPr>
      <w:bookmarkStart w:id="44" w:name="_Toc26964743"/>
      <w:bookmarkStart w:id="45" w:name="_Toc5141"/>
      <w:bookmarkStart w:id="46" w:name="_Toc13732"/>
      <w:r>
        <w:rPr>
          <w:rFonts w:hint="eastAsia" w:ascii="仿宋_GB2312" w:hAnsi="仿宋_GB2312" w:eastAsia="仿宋_GB2312" w:cs="仿宋_GB2312"/>
          <w:b/>
          <w:bCs/>
          <w:color w:val="auto"/>
          <w:kern w:val="2"/>
          <w:sz w:val="32"/>
          <w:szCs w:val="32"/>
          <w:highlight w:val="none"/>
          <w:shd w:val="clear" w:color="auto" w:fill="auto"/>
          <w:lang w:val="en-US" w:eastAsia="zh-CN" w:bidi="ar-SA"/>
        </w:rPr>
        <w:t>2.工作成效</w:t>
      </w:r>
      <w:bookmarkEnd w:id="44"/>
      <w:bookmarkEnd w:id="45"/>
      <w:bookmarkEnd w:id="46"/>
      <w:bookmarkStart w:id="47" w:name="_Toc26964745"/>
    </w:p>
    <w:p>
      <w:pPr>
        <w:keepNext w:val="0"/>
        <w:keepLines w:val="0"/>
        <w:pageBreakBefore w:val="0"/>
        <w:widowControl w:val="0"/>
        <w:kinsoku/>
        <w:wordWrap/>
        <w:overflowPunct/>
        <w:topLinePunct w:val="0"/>
        <w:autoSpaceDE/>
        <w:autoSpaceDN/>
        <w:bidi w:val="0"/>
        <w:adjustRightInd w:val="0"/>
        <w:snapToGrid w:val="0"/>
        <w:spacing w:line="540" w:lineRule="exact"/>
        <w:ind w:firstLine="645"/>
        <w:textAlignment w:val="auto"/>
        <w:rPr>
          <w:rFonts w:ascii="楷体_GB2312" w:hAnsi="仿宋" w:eastAsia="楷体_GB2312" w:cs="仿宋_GB2312"/>
          <w:bCs/>
          <w:color w:val="auto"/>
          <w:sz w:val="32"/>
          <w:szCs w:val="32"/>
          <w:u w:val="none"/>
        </w:rPr>
      </w:pPr>
      <w:r>
        <w:rPr>
          <w:rFonts w:hint="eastAsia" w:ascii="仿宋_GB2312" w:eastAsia="仿宋_GB2312"/>
          <w:color w:val="auto"/>
          <w:sz w:val="32"/>
          <w:szCs w:val="32"/>
          <w:u w:val="none"/>
        </w:rPr>
        <w:t>2020年，市教育局围绕办好人民满意教育，统筹做好学校疫情防控和教育改革发展工作，全市教育事业保持健康</w:t>
      </w:r>
      <w:r>
        <w:rPr>
          <w:rFonts w:hint="eastAsia" w:ascii="仿宋_GB2312" w:eastAsia="仿宋_GB2312"/>
          <w:color w:val="auto"/>
          <w:sz w:val="32"/>
          <w:szCs w:val="32"/>
          <w:u w:val="none"/>
          <w:lang w:eastAsia="zh-CN"/>
        </w:rPr>
        <w:t>高质量</w:t>
      </w:r>
      <w:r>
        <w:rPr>
          <w:rFonts w:hint="eastAsia" w:ascii="仿宋_GB2312" w:eastAsia="仿宋_GB2312"/>
          <w:color w:val="auto"/>
          <w:sz w:val="32"/>
          <w:szCs w:val="32"/>
          <w:u w:val="none"/>
        </w:rPr>
        <w:t>发展</w:t>
      </w:r>
      <w:r>
        <w:rPr>
          <w:rFonts w:hint="eastAsia" w:ascii="仿宋_GB2312" w:eastAsia="仿宋_GB2312"/>
          <w:color w:val="auto"/>
          <w:kern w:val="0"/>
          <w:sz w:val="32"/>
          <w:szCs w:val="32"/>
          <w:u w:val="none"/>
        </w:rPr>
        <w:t>。国家级产教融合型城市建设试点、儿童青少年近视防控改革试验区、省级职业教育创新发展示范区、中德职教合作示范区建设全面展开。在省对市履行教育职责评价中，我市获得优秀等次第一名。</w:t>
      </w:r>
    </w:p>
    <w:p>
      <w:pPr>
        <w:keepNext w:val="0"/>
        <w:keepLines w:val="0"/>
        <w:pageBreakBefore w:val="0"/>
        <w:widowControl w:val="0"/>
        <w:kinsoku/>
        <w:wordWrap/>
        <w:overflowPunct/>
        <w:topLinePunct w:val="0"/>
        <w:autoSpaceDE/>
        <w:autoSpaceDN/>
        <w:bidi w:val="0"/>
        <w:adjustRightInd w:val="0"/>
        <w:snapToGrid w:val="0"/>
        <w:spacing w:line="540" w:lineRule="exact"/>
        <w:ind w:firstLine="645"/>
        <w:textAlignment w:val="auto"/>
        <w:rPr>
          <w:rFonts w:hint="eastAsia" w:ascii="仿宋_GB2312" w:eastAsia="仿宋_GB2312"/>
          <w:color w:val="auto"/>
          <w:kern w:val="0"/>
          <w:sz w:val="32"/>
          <w:szCs w:val="32"/>
          <w:u w:val="none"/>
          <w:lang w:eastAsia="zh-CN"/>
        </w:rPr>
      </w:pPr>
      <w:r>
        <w:rPr>
          <w:rFonts w:hint="eastAsia" w:ascii="仿宋_GB2312" w:eastAsia="仿宋_GB2312"/>
          <w:color w:val="auto"/>
          <w:kern w:val="0"/>
          <w:sz w:val="32"/>
          <w:szCs w:val="32"/>
          <w:u w:val="none"/>
          <w:lang w:eastAsia="zh-CN"/>
        </w:rPr>
        <w:t>（</w:t>
      </w:r>
      <w:r>
        <w:rPr>
          <w:rFonts w:hint="eastAsia" w:ascii="仿宋_GB2312" w:eastAsia="仿宋_GB2312"/>
          <w:color w:val="auto"/>
          <w:kern w:val="0"/>
          <w:sz w:val="32"/>
          <w:szCs w:val="32"/>
          <w:u w:val="none"/>
          <w:lang w:val="en-US" w:eastAsia="zh-CN"/>
        </w:rPr>
        <w:t>1）</w:t>
      </w:r>
      <w:r>
        <w:rPr>
          <w:rFonts w:hint="eastAsia" w:ascii="仿宋_GB2312" w:eastAsia="仿宋_GB2312"/>
          <w:color w:val="auto"/>
          <w:kern w:val="0"/>
          <w:sz w:val="32"/>
          <w:szCs w:val="32"/>
          <w:u w:val="none"/>
        </w:rPr>
        <w:t>多措并举，打好学校疫情防控攻坚战</w:t>
      </w:r>
    </w:p>
    <w:p>
      <w:pPr>
        <w:keepNext w:val="0"/>
        <w:keepLines w:val="0"/>
        <w:pageBreakBefore w:val="0"/>
        <w:widowControl w:val="0"/>
        <w:kinsoku/>
        <w:wordWrap/>
        <w:overflowPunct/>
        <w:topLinePunct w:val="0"/>
        <w:autoSpaceDE/>
        <w:autoSpaceDN/>
        <w:bidi w:val="0"/>
        <w:adjustRightInd w:val="0"/>
        <w:snapToGrid w:val="0"/>
        <w:spacing w:line="540" w:lineRule="exact"/>
        <w:ind w:firstLine="645"/>
        <w:textAlignment w:val="auto"/>
        <w:rPr>
          <w:rFonts w:hint="eastAsia" w:ascii="仿宋_GB2312" w:eastAsia="仿宋_GB2312"/>
          <w:color w:val="auto"/>
          <w:kern w:val="0"/>
          <w:sz w:val="32"/>
          <w:szCs w:val="32"/>
          <w:u w:val="none"/>
        </w:rPr>
      </w:pPr>
      <w:r>
        <w:rPr>
          <w:rFonts w:hint="eastAsia" w:ascii="仿宋_GB2312" w:eastAsia="仿宋_GB2312"/>
          <w:color w:val="auto"/>
          <w:kern w:val="0"/>
          <w:sz w:val="32"/>
          <w:szCs w:val="32"/>
          <w:u w:val="none"/>
        </w:rPr>
        <w:t>始终坚持“停课不停学、停课不停教”，积极做好线上线下教学衔接，教育云空间上传各类课程3.3万余节，累计访问1250万人次，开设网络班会课5万余节，开展各类主题教育实践活动6000余次，全市各级各类学校</w:t>
      </w:r>
      <w:r>
        <w:rPr>
          <w:rFonts w:hint="eastAsia" w:ascii="仿宋_GB2312" w:eastAsia="仿宋_GB2312"/>
          <w:color w:val="auto"/>
          <w:kern w:val="0"/>
          <w:sz w:val="32"/>
          <w:szCs w:val="32"/>
          <w:u w:val="none"/>
          <w:lang w:eastAsia="zh-CN"/>
        </w:rPr>
        <w:t>平稳</w:t>
      </w:r>
      <w:r>
        <w:rPr>
          <w:rFonts w:hint="eastAsia" w:ascii="仿宋_GB2312" w:eastAsia="仿宋_GB2312"/>
          <w:color w:val="auto"/>
          <w:kern w:val="0"/>
          <w:sz w:val="32"/>
          <w:szCs w:val="32"/>
          <w:u w:val="none"/>
        </w:rPr>
        <w:t>有序开学复课。</w:t>
      </w:r>
    </w:p>
    <w:p>
      <w:pPr>
        <w:keepNext w:val="0"/>
        <w:keepLines w:val="0"/>
        <w:pageBreakBefore w:val="0"/>
        <w:widowControl w:val="0"/>
        <w:kinsoku/>
        <w:wordWrap/>
        <w:overflowPunct/>
        <w:topLinePunct w:val="0"/>
        <w:autoSpaceDE/>
        <w:autoSpaceDN/>
        <w:bidi w:val="0"/>
        <w:adjustRightInd w:val="0"/>
        <w:snapToGrid w:val="0"/>
        <w:spacing w:line="540" w:lineRule="exact"/>
        <w:ind w:firstLine="645"/>
        <w:textAlignment w:val="auto"/>
        <w:rPr>
          <w:rFonts w:hint="eastAsia" w:ascii="仿宋_GB2312" w:eastAsia="仿宋_GB2312"/>
          <w:color w:val="auto"/>
          <w:kern w:val="0"/>
          <w:sz w:val="32"/>
          <w:szCs w:val="32"/>
          <w:u w:val="none"/>
          <w:lang w:eastAsia="zh-CN"/>
        </w:rPr>
      </w:pPr>
      <w:r>
        <w:rPr>
          <w:rFonts w:hint="eastAsia" w:ascii="仿宋_GB2312" w:eastAsia="仿宋_GB2312"/>
          <w:color w:val="auto"/>
          <w:kern w:val="0"/>
          <w:sz w:val="32"/>
          <w:szCs w:val="32"/>
          <w:u w:val="none"/>
          <w:lang w:eastAsia="zh-CN"/>
        </w:rPr>
        <w:t>（</w:t>
      </w:r>
      <w:r>
        <w:rPr>
          <w:rFonts w:hint="eastAsia" w:ascii="仿宋_GB2312" w:eastAsia="仿宋_GB2312"/>
          <w:color w:val="auto"/>
          <w:kern w:val="0"/>
          <w:sz w:val="32"/>
          <w:szCs w:val="32"/>
          <w:u w:val="none"/>
          <w:lang w:val="en-US" w:eastAsia="zh-CN"/>
        </w:rPr>
        <w:t>2）</w:t>
      </w:r>
      <w:r>
        <w:rPr>
          <w:rFonts w:hint="eastAsia" w:ascii="仿宋_GB2312" w:eastAsia="仿宋_GB2312"/>
          <w:color w:val="auto"/>
          <w:kern w:val="0"/>
          <w:sz w:val="32"/>
          <w:szCs w:val="32"/>
          <w:u w:val="none"/>
        </w:rPr>
        <w:t>扩优提质，办好家门口每一所学校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hAnsi="仿宋" w:eastAsia="仿宋_GB2312" w:cs="仿宋_GB2312"/>
          <w:bCs/>
          <w:color w:val="auto"/>
          <w:sz w:val="32"/>
          <w:szCs w:val="32"/>
          <w:u w:val="none"/>
        </w:rPr>
      </w:pPr>
      <w:r>
        <w:rPr>
          <w:rFonts w:hint="eastAsia" w:ascii="仿宋_GB2312" w:hAnsi="仿宋" w:eastAsia="仿宋_GB2312" w:cs="仿宋_GB2312"/>
          <w:bCs/>
          <w:color w:val="auto"/>
          <w:sz w:val="32"/>
          <w:szCs w:val="32"/>
          <w:u w:val="none"/>
        </w:rPr>
        <w:t>新建改扩建幼儿园50所，新增学位1.27万个，全面完成2</w:t>
      </w:r>
      <w:r>
        <w:rPr>
          <w:rFonts w:ascii="仿宋_GB2312" w:hAnsi="仿宋" w:eastAsia="仿宋_GB2312" w:cs="仿宋_GB2312"/>
          <w:bCs/>
          <w:color w:val="auto"/>
          <w:sz w:val="32"/>
          <w:szCs w:val="32"/>
          <w:u w:val="none"/>
        </w:rPr>
        <w:t>09</w:t>
      </w:r>
      <w:r>
        <w:rPr>
          <w:rFonts w:hint="eastAsia" w:ascii="仿宋_GB2312" w:hAnsi="仿宋" w:eastAsia="仿宋_GB2312" w:cs="仿宋_GB2312"/>
          <w:bCs/>
          <w:color w:val="auto"/>
          <w:sz w:val="32"/>
          <w:szCs w:val="32"/>
          <w:u w:val="none"/>
        </w:rPr>
        <w:t>所城镇小区配套幼儿园专项整治，公办和普惠性民办学位占比达到90%，比国家要求高出10个百分点。新建改扩建中小学30所，新增学位2.67万个，90%的中小学校达到市定高水平现代化学校标准。</w:t>
      </w:r>
      <w:r>
        <w:rPr>
          <w:rFonts w:hint="eastAsia" w:ascii="仿宋_GB2312" w:hAnsi="仿宋" w:eastAsia="仿宋_GB2312" w:cs="仿宋_GB2312"/>
          <w:bCs/>
          <w:color w:val="auto"/>
          <w:sz w:val="32"/>
          <w:szCs w:val="32"/>
          <w:u w:val="none"/>
          <w:lang w:eastAsia="zh-CN"/>
        </w:rPr>
        <w:t>完成校园消防安全专项整治任务。</w:t>
      </w:r>
      <w:r>
        <w:rPr>
          <w:rFonts w:hint="eastAsia" w:ascii="仿宋_GB2312" w:hAnsi="仿宋" w:eastAsia="仿宋_GB2312" w:cs="仿宋_GB2312"/>
          <w:bCs/>
          <w:color w:val="auto"/>
          <w:sz w:val="32"/>
          <w:szCs w:val="32"/>
          <w:u w:val="none"/>
        </w:rPr>
        <w:t>按照“规范+特色”的</w:t>
      </w:r>
      <w:r>
        <w:rPr>
          <w:rFonts w:hint="eastAsia" w:ascii="仿宋_GB2312" w:hAnsi="仿宋" w:eastAsia="仿宋_GB2312" w:cs="仿宋_GB2312"/>
          <w:bCs/>
          <w:color w:val="auto"/>
          <w:sz w:val="32"/>
          <w:szCs w:val="32"/>
          <w:u w:val="none"/>
          <w:lang w:eastAsia="zh-CN"/>
        </w:rPr>
        <w:t>要求</w:t>
      </w:r>
      <w:r>
        <w:rPr>
          <w:rFonts w:hint="eastAsia" w:ascii="仿宋_GB2312" w:hAnsi="仿宋" w:eastAsia="仿宋_GB2312" w:cs="仿宋_GB2312"/>
          <w:bCs/>
          <w:color w:val="auto"/>
          <w:sz w:val="32"/>
          <w:szCs w:val="32"/>
          <w:u w:val="none"/>
        </w:rPr>
        <w:t>，全面推进校园文化建设，遴选建设100所左右示范学校，优化提升校园文化品质。深化课程和教学改革，加强优秀教学成果培育推广，全市共推出50个优秀教学法，建成200个学科教研基地，评选出市级教学成果179项、教育科研优秀成果奖127项、市级优课3829节。</w:t>
      </w:r>
    </w:p>
    <w:p>
      <w:pPr>
        <w:keepNext w:val="0"/>
        <w:keepLines w:val="0"/>
        <w:pageBreakBefore w:val="0"/>
        <w:widowControl w:val="0"/>
        <w:kinsoku/>
        <w:wordWrap/>
        <w:overflowPunct/>
        <w:topLinePunct w:val="0"/>
        <w:autoSpaceDE/>
        <w:autoSpaceDN/>
        <w:bidi w:val="0"/>
        <w:adjustRightInd w:val="0"/>
        <w:snapToGrid w:val="0"/>
        <w:spacing w:line="540" w:lineRule="exact"/>
        <w:ind w:firstLine="645"/>
        <w:textAlignment w:val="auto"/>
        <w:rPr>
          <w:rFonts w:hint="eastAsia" w:ascii="仿宋_GB2312" w:eastAsia="仿宋_GB2312"/>
          <w:color w:val="auto"/>
          <w:kern w:val="0"/>
          <w:sz w:val="32"/>
          <w:szCs w:val="32"/>
          <w:u w:val="none"/>
          <w:lang w:eastAsia="zh-CN"/>
        </w:rPr>
      </w:pPr>
      <w:r>
        <w:rPr>
          <w:rFonts w:hint="eastAsia" w:ascii="仿宋_GB2312" w:eastAsia="仿宋_GB2312"/>
          <w:color w:val="auto"/>
          <w:kern w:val="0"/>
          <w:sz w:val="32"/>
          <w:szCs w:val="32"/>
          <w:u w:val="none"/>
          <w:lang w:eastAsia="zh-CN"/>
        </w:rPr>
        <w:t>（</w:t>
      </w:r>
      <w:r>
        <w:rPr>
          <w:rFonts w:hint="eastAsia" w:ascii="仿宋_GB2312" w:eastAsia="仿宋_GB2312"/>
          <w:color w:val="auto"/>
          <w:kern w:val="0"/>
          <w:sz w:val="32"/>
          <w:szCs w:val="32"/>
          <w:u w:val="none"/>
          <w:lang w:val="en-US" w:eastAsia="zh-CN"/>
        </w:rPr>
        <w:t>3）</w:t>
      </w:r>
      <w:r>
        <w:rPr>
          <w:rFonts w:hint="eastAsia" w:ascii="仿宋_GB2312" w:eastAsia="仿宋_GB2312"/>
          <w:color w:val="auto"/>
          <w:kern w:val="0"/>
          <w:sz w:val="32"/>
          <w:szCs w:val="32"/>
          <w:u w:val="none"/>
          <w:lang w:eastAsia="zh-CN"/>
        </w:rPr>
        <w:t>深化改革，教好身边每一个孩子</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hAnsi="仿宋" w:eastAsia="仿宋_GB2312" w:cs="仿宋_GB2312"/>
          <w:bCs/>
          <w:color w:val="auto"/>
          <w:sz w:val="32"/>
          <w:szCs w:val="32"/>
          <w:u w:val="none"/>
        </w:rPr>
      </w:pPr>
      <w:r>
        <w:rPr>
          <w:rFonts w:hint="eastAsia" w:ascii="仿宋_GB2312" w:hAnsi="仿宋" w:eastAsia="仿宋_GB2312" w:cs="仿宋_GB2312"/>
          <w:bCs/>
          <w:color w:val="auto"/>
          <w:sz w:val="32"/>
          <w:szCs w:val="32"/>
          <w:u w:val="none"/>
        </w:rPr>
        <w:t>落实新中考政策，全面实行“分数+等级”的录取模式，完善“分数带”录取政策，在全省率先开展艺术学业水平测试并纳入中考评价，普通高中计划录取比例提高到68%，2338名学生通过“分数带”选择了适合的高中教育，综合高中由11所增加到14所，</w:t>
      </w:r>
      <w:r>
        <w:rPr>
          <w:rFonts w:hint="eastAsia" w:ascii="仿宋_GB2312" w:hAnsi="仿宋_GB2312" w:eastAsia="仿宋_GB2312" w:cs="仿宋_GB2312"/>
          <w:color w:val="auto"/>
          <w:sz w:val="32"/>
          <w:szCs w:val="32"/>
          <w:u w:val="none"/>
        </w:rPr>
        <w:t>完成招生5850人。</w:t>
      </w:r>
      <w:r>
        <w:rPr>
          <w:rFonts w:hint="eastAsia" w:ascii="仿宋_GB2312" w:hAnsi="仿宋" w:eastAsia="仿宋_GB2312" w:cs="仿宋_GB2312"/>
          <w:bCs/>
          <w:color w:val="auto"/>
          <w:sz w:val="32"/>
          <w:szCs w:val="32"/>
          <w:u w:val="none"/>
        </w:rPr>
        <w:t>率先出版《劳动教育（实验）》教材，建成社会课堂、研学旅行基地524处，深化学生全面发展“十个一”项目系列活动，促进学生全面而有个性的发展。适应国家实施“强基计划”要求，组建6个项目组、13所基地校，建立学科特殊禀赋学生培养项目化实施和首席教练员负责制等工作机制。小学生课后托管人数达到26.3万人，实现依需100%托管。</w:t>
      </w:r>
    </w:p>
    <w:p>
      <w:pPr>
        <w:keepNext w:val="0"/>
        <w:keepLines w:val="0"/>
        <w:pageBreakBefore w:val="0"/>
        <w:widowControl w:val="0"/>
        <w:kinsoku/>
        <w:wordWrap/>
        <w:overflowPunct/>
        <w:topLinePunct w:val="0"/>
        <w:autoSpaceDE/>
        <w:autoSpaceDN/>
        <w:bidi w:val="0"/>
        <w:adjustRightInd w:val="0"/>
        <w:snapToGrid w:val="0"/>
        <w:spacing w:line="540" w:lineRule="exact"/>
        <w:ind w:firstLine="645"/>
        <w:textAlignment w:val="auto"/>
        <w:rPr>
          <w:rFonts w:hint="eastAsia" w:ascii="仿宋_GB2312" w:eastAsia="仿宋_GB2312"/>
          <w:color w:val="auto"/>
          <w:kern w:val="0"/>
          <w:sz w:val="32"/>
          <w:szCs w:val="32"/>
          <w:u w:val="none"/>
          <w:lang w:eastAsia="zh-CN"/>
        </w:rPr>
      </w:pPr>
      <w:r>
        <w:rPr>
          <w:rFonts w:hint="eastAsia" w:ascii="仿宋_GB2312" w:eastAsia="仿宋_GB2312"/>
          <w:color w:val="auto"/>
          <w:kern w:val="0"/>
          <w:sz w:val="32"/>
          <w:szCs w:val="32"/>
          <w:u w:val="none"/>
          <w:lang w:eastAsia="zh-CN"/>
        </w:rPr>
        <w:t>（</w:t>
      </w:r>
      <w:r>
        <w:rPr>
          <w:rFonts w:hint="eastAsia" w:ascii="仿宋_GB2312" w:eastAsia="仿宋_GB2312"/>
          <w:color w:val="auto"/>
          <w:kern w:val="0"/>
          <w:sz w:val="32"/>
          <w:szCs w:val="32"/>
          <w:u w:val="none"/>
          <w:lang w:val="en-US" w:eastAsia="zh-CN"/>
        </w:rPr>
        <w:t>4）</w:t>
      </w:r>
      <w:r>
        <w:rPr>
          <w:rFonts w:hint="eastAsia" w:ascii="仿宋_GB2312" w:eastAsia="仿宋_GB2312"/>
          <w:color w:val="auto"/>
          <w:kern w:val="0"/>
          <w:sz w:val="32"/>
          <w:szCs w:val="32"/>
          <w:u w:val="none"/>
          <w:lang w:eastAsia="zh-CN"/>
        </w:rPr>
        <w:t>主动担当，提升教育服务能力</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hAnsi="仿宋" w:eastAsia="仿宋_GB2312" w:cs="仿宋_GB2312"/>
          <w:bCs/>
          <w:color w:val="auto"/>
          <w:sz w:val="32"/>
          <w:szCs w:val="32"/>
          <w:u w:val="none"/>
        </w:rPr>
      </w:pPr>
      <w:r>
        <w:rPr>
          <w:rFonts w:hint="eastAsia" w:ascii="仿宋_GB2312" w:hAnsi="仿宋" w:eastAsia="仿宋_GB2312" w:cs="仿宋_GB2312"/>
          <w:bCs/>
          <w:color w:val="auto"/>
          <w:sz w:val="32"/>
          <w:szCs w:val="32"/>
          <w:u w:val="none"/>
        </w:rPr>
        <w:t>精准落实学生资助政策，将建档立卡贫困家庭学生全部纳入学生资助政策体系，投入4.5亿元，保障家庭经济困难学生顺利完成学业。扎实推进东西部扶贫协作工作，265名教师分赴对口支援地区开展支教，430余所学校与对口支援地区学校建立922对“手拉手”结对帮扶关系。</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yellow"/>
          <w:shd w:val="clear" w:color="auto" w:fill="auto"/>
        </w:rPr>
      </w:pPr>
      <w:r>
        <w:rPr>
          <w:rFonts w:hint="eastAsia" w:ascii="仿宋_GB2312" w:hAnsi="仿宋" w:eastAsia="仿宋_GB2312" w:cs="仿宋_GB2312"/>
          <w:bCs/>
          <w:color w:val="auto"/>
          <w:sz w:val="32"/>
          <w:szCs w:val="32"/>
          <w:u w:val="none"/>
        </w:rPr>
        <w:t>海洋教育示范城特色市建设迈出新步伐，出台《青岛市中小学海洋教育指导纲要（试行）》，累计建成全国海洋科普教育基地15个、联盟基地71个，海洋教育研学基地16个，上海海事大学青岛研究院落地。突破平度莱西取得新进展，全年拨付两市教育专项资金1.98亿元，4所高校落户平度、莱西。“双招双引”实现新突破，引进25个优质教育项目，吸引社会资金96.6亿元</w:t>
      </w:r>
      <w:r>
        <w:rPr>
          <w:rFonts w:hint="eastAsia" w:ascii="仿宋_GB2312" w:hAnsi="仿宋" w:eastAsia="仿宋_GB2312" w:cs="仿宋_GB2312"/>
          <w:bCs/>
          <w:color w:val="auto"/>
          <w:sz w:val="32"/>
          <w:szCs w:val="32"/>
          <w:u w:val="none"/>
          <w:lang w:eastAsia="zh-CN"/>
        </w:rPr>
        <w:t>。</w:t>
      </w:r>
      <w:r>
        <w:rPr>
          <w:rFonts w:hint="eastAsia" w:ascii="仿宋_GB2312" w:hAnsi="仿宋" w:eastAsia="仿宋_GB2312" w:cs="仿宋_GB2312"/>
          <w:bCs/>
          <w:color w:val="auto"/>
          <w:sz w:val="32"/>
          <w:szCs w:val="32"/>
          <w:u w:val="none"/>
        </w:rPr>
        <w:t>全市高职院校达到11所，每年可为青岛输出高素质技能人才7万人。</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40" w:lineRule="exact"/>
        <w:ind w:firstLine="642" w:firstLineChars="200"/>
        <w:textAlignment w:val="auto"/>
        <w:outlineLvl w:val="1"/>
        <w:rPr>
          <w:rFonts w:hint="default" w:ascii="仿宋_GB2312" w:hAnsi="仿宋_GB2312" w:eastAsia="仿宋_GB2312" w:cs="仿宋_GB2312"/>
          <w:b/>
          <w:bCs/>
          <w:color w:val="auto"/>
          <w:kern w:val="2"/>
          <w:sz w:val="32"/>
          <w:szCs w:val="32"/>
          <w:highlight w:val="none"/>
          <w:shd w:val="clear" w:color="auto" w:fill="auto"/>
          <w:lang w:val="en-US" w:eastAsia="zh-CN" w:bidi="ar-SA"/>
        </w:rPr>
      </w:pPr>
      <w:bookmarkStart w:id="48" w:name="_Toc9062"/>
      <w:r>
        <w:rPr>
          <w:rFonts w:hint="eastAsia" w:ascii="仿宋_GB2312" w:hAnsi="仿宋_GB2312" w:eastAsia="仿宋_GB2312" w:cs="仿宋_GB2312"/>
          <w:b/>
          <w:bCs/>
          <w:color w:val="auto"/>
          <w:kern w:val="2"/>
          <w:sz w:val="32"/>
          <w:szCs w:val="32"/>
          <w:highlight w:val="none"/>
          <w:shd w:val="clear" w:color="auto" w:fill="auto"/>
          <w:lang w:val="en-US" w:eastAsia="zh-CN" w:bidi="ar-SA"/>
        </w:rPr>
        <w:t>3.主要问题</w:t>
      </w:r>
      <w:bookmarkEnd w:id="48"/>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仿宋_GB2312" w:eastAsia="仿宋_GB2312" w:cs="仿宋_GB2312"/>
          <w:bCs/>
          <w:color w:val="auto"/>
          <w:kern w:val="0"/>
          <w:sz w:val="32"/>
          <w:szCs w:val="32"/>
          <w:highlight w:val="yellow"/>
          <w:shd w:val="clear" w:color="auto" w:fill="auto"/>
          <w:lang w:eastAsia="zh-CN"/>
        </w:rPr>
      </w:pPr>
      <w:bookmarkStart w:id="49" w:name="_Toc19728"/>
      <w:bookmarkStart w:id="50" w:name="_Toc26964744"/>
      <w:bookmarkStart w:id="51" w:name="_Toc20248"/>
      <w:bookmarkStart w:id="52" w:name="_Toc18165"/>
      <w:r>
        <w:rPr>
          <w:rFonts w:hint="eastAsia" w:ascii="仿宋_GB2312" w:hAnsi="仿宋_GB2312" w:eastAsia="仿宋_GB2312" w:cs="仿宋_GB2312"/>
          <w:bCs/>
          <w:color w:val="auto"/>
          <w:kern w:val="0"/>
          <w:sz w:val="32"/>
          <w:szCs w:val="32"/>
          <w:highlight w:val="none"/>
          <w:shd w:val="clear" w:color="auto" w:fill="auto"/>
        </w:rPr>
        <w:t>（</w:t>
      </w:r>
      <w:r>
        <w:rPr>
          <w:rFonts w:hint="eastAsia" w:ascii="仿宋_GB2312" w:hAnsi="仿宋_GB2312" w:eastAsia="仿宋_GB2312" w:cs="仿宋_GB2312"/>
          <w:bCs/>
          <w:color w:val="auto"/>
          <w:kern w:val="0"/>
          <w:sz w:val="32"/>
          <w:szCs w:val="32"/>
          <w:highlight w:val="none"/>
          <w:shd w:val="clear" w:color="auto" w:fill="auto"/>
          <w:lang w:val="en-US" w:eastAsia="zh-CN"/>
        </w:rPr>
        <w:t>1</w:t>
      </w:r>
      <w:r>
        <w:rPr>
          <w:rFonts w:hint="eastAsia" w:ascii="仿宋_GB2312" w:hAnsi="仿宋_GB2312" w:eastAsia="仿宋_GB2312" w:cs="仿宋_GB2312"/>
          <w:bCs/>
          <w:color w:val="auto"/>
          <w:kern w:val="0"/>
          <w:sz w:val="32"/>
          <w:szCs w:val="32"/>
          <w:highlight w:val="none"/>
          <w:shd w:val="clear" w:color="auto" w:fill="auto"/>
        </w:rPr>
        <w:t>）</w:t>
      </w:r>
      <w:bookmarkEnd w:id="49"/>
      <w:r>
        <w:rPr>
          <w:rFonts w:hint="eastAsia" w:ascii="仿宋_GB2312" w:hAnsi="仿宋_GB2312" w:eastAsia="仿宋_GB2312" w:cs="仿宋_GB2312"/>
          <w:bCs/>
          <w:color w:val="auto"/>
          <w:kern w:val="0"/>
          <w:sz w:val="32"/>
          <w:szCs w:val="32"/>
          <w:highlight w:val="none"/>
          <w:shd w:val="clear" w:color="auto" w:fill="auto"/>
          <w:lang w:eastAsia="zh-CN"/>
        </w:rPr>
        <w:t>专项资金评价较客观、合理，但个别评价数据缺少佐证资料</w:t>
      </w:r>
      <w:r>
        <w:rPr>
          <w:rFonts w:hint="eastAsia" w:ascii="仿宋_GB2312" w:hAnsi="仿宋_GB2312" w:eastAsia="仿宋_GB2312" w:cs="仿宋_GB2312"/>
          <w:bCs/>
          <w:color w:val="auto"/>
          <w:kern w:val="0"/>
          <w:sz w:val="32"/>
          <w:szCs w:val="32"/>
          <w:highlight w:val="none"/>
          <w:u w:val="none"/>
          <w:shd w:val="clear" w:color="auto" w:fill="auto"/>
          <w:lang w:eastAsia="zh-CN"/>
        </w:rPr>
        <w:t>支撑</w:t>
      </w:r>
    </w:p>
    <w:p>
      <w:pPr>
        <w:pStyle w:val="2"/>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cs="仿宋_GB2312"/>
          <w:bCs/>
          <w:color w:val="auto"/>
          <w:sz w:val="32"/>
          <w:szCs w:val="32"/>
          <w:highlight w:val="yellow"/>
          <w:lang w:val="en-US" w:eastAsia="zh-CN" w:bidi="ar-SA"/>
        </w:rPr>
      </w:pPr>
      <w:r>
        <w:rPr>
          <w:rFonts w:hint="eastAsia" w:ascii="仿宋_GB2312" w:hAnsi="仿宋_GB2312" w:eastAsia="仿宋_GB2312" w:cs="仿宋_GB2312"/>
          <w:bCs/>
          <w:color w:val="auto"/>
          <w:kern w:val="0"/>
          <w:sz w:val="32"/>
          <w:szCs w:val="32"/>
          <w:highlight w:val="none"/>
          <w:shd w:val="clear" w:color="auto" w:fill="auto"/>
          <w:lang w:eastAsia="zh-CN"/>
        </w:rPr>
        <w:t>支持教育事业发展资金</w:t>
      </w:r>
      <w:r>
        <w:rPr>
          <w:rFonts w:hint="eastAsia" w:ascii="仿宋_GB2312" w:hAnsi="仿宋_GB2312" w:eastAsia="仿宋_GB2312" w:cs="仿宋_GB2312"/>
          <w:bCs/>
          <w:color w:val="auto"/>
          <w:kern w:val="0"/>
          <w:sz w:val="32"/>
          <w:szCs w:val="32"/>
          <w:highlight w:val="none"/>
          <w:shd w:val="clear" w:color="auto" w:fill="auto"/>
          <w:lang w:val="en-US" w:eastAsia="zh-CN" w:bidi="ar-SA"/>
        </w:rPr>
        <w:t>评价：</w:t>
      </w:r>
      <w:r>
        <w:rPr>
          <w:rFonts w:hint="eastAsia" w:ascii="仿宋_GB2312" w:hAnsi="仿宋_GB2312" w:eastAsia="仿宋_GB2312" w:cs="仿宋_GB2312"/>
          <w:b/>
          <w:bCs w:val="0"/>
          <w:color w:val="auto"/>
          <w:kern w:val="0"/>
          <w:sz w:val="32"/>
          <w:szCs w:val="32"/>
          <w:highlight w:val="none"/>
          <w:shd w:val="clear" w:color="auto" w:fill="auto"/>
          <w:lang w:val="en-US" w:eastAsia="zh-CN" w:bidi="ar-SA"/>
        </w:rPr>
        <w:t>一是</w:t>
      </w:r>
      <w:r>
        <w:rPr>
          <w:rFonts w:hint="eastAsia" w:ascii="仿宋_GB2312" w:hAnsi="仿宋_GB2312" w:cs="仿宋_GB2312"/>
          <w:bCs/>
          <w:color w:val="auto"/>
          <w:kern w:val="0"/>
          <w:sz w:val="32"/>
          <w:szCs w:val="32"/>
          <w:highlight w:val="none"/>
          <w:shd w:val="clear" w:color="auto" w:fill="auto"/>
          <w:lang w:val="en-US" w:eastAsia="zh-CN" w:bidi="ar-SA"/>
        </w:rPr>
        <w:t>个别评价数据不准确</w:t>
      </w:r>
      <w:r>
        <w:rPr>
          <w:rFonts w:hint="eastAsia" w:ascii="仿宋_GB2312" w:hAnsi="仿宋_GB2312" w:eastAsia="仿宋_GB2312" w:cs="仿宋_GB2312"/>
          <w:bCs/>
          <w:color w:val="auto"/>
          <w:kern w:val="0"/>
          <w:sz w:val="32"/>
          <w:szCs w:val="32"/>
          <w:highlight w:val="none"/>
          <w:shd w:val="clear" w:color="auto" w:fill="auto"/>
          <w:lang w:val="en-US" w:eastAsia="zh-CN" w:bidi="ar-SA"/>
        </w:rPr>
        <w:t>。</w:t>
      </w:r>
      <w:r>
        <w:rPr>
          <w:rFonts w:hint="eastAsia" w:ascii="仿宋_GB2312" w:hAnsi="仿宋_GB2312" w:cs="仿宋_GB2312"/>
          <w:bCs/>
          <w:color w:val="auto"/>
          <w:kern w:val="0"/>
          <w:sz w:val="32"/>
          <w:szCs w:val="32"/>
          <w:highlight w:val="none"/>
          <w:shd w:val="clear" w:color="auto" w:fill="auto"/>
          <w:lang w:val="en-US" w:eastAsia="zh-CN" w:bidi="ar-SA"/>
        </w:rPr>
        <w:t>如教育招生考试资金，2020年</w:t>
      </w:r>
      <w:r>
        <w:rPr>
          <w:rFonts w:hint="eastAsia" w:ascii="仿宋_GB2312" w:hAnsi="仿宋_GB2312" w:eastAsia="仿宋_GB2312" w:cs="仿宋_GB2312"/>
          <w:bCs/>
          <w:color w:val="auto"/>
          <w:kern w:val="0"/>
          <w:sz w:val="32"/>
          <w:szCs w:val="32"/>
          <w:highlight w:val="none"/>
          <w:shd w:val="clear" w:color="auto" w:fill="auto"/>
          <w:lang w:val="en-US" w:eastAsia="zh-CN" w:bidi="ar-SA"/>
        </w:rPr>
        <w:t>应报考学生参与率</w:t>
      </w:r>
      <w:r>
        <w:rPr>
          <w:rFonts w:hint="eastAsia" w:ascii="仿宋_GB2312" w:hAnsi="仿宋_GB2312" w:cs="仿宋_GB2312"/>
          <w:bCs/>
          <w:color w:val="auto"/>
          <w:kern w:val="0"/>
          <w:sz w:val="32"/>
          <w:szCs w:val="32"/>
          <w:highlight w:val="none"/>
          <w:shd w:val="clear" w:color="auto" w:fill="auto"/>
          <w:lang w:val="en-US" w:eastAsia="zh-CN" w:bidi="ar-SA"/>
        </w:rPr>
        <w:t>自评填报完成值为100%，根据系统统计截图，报考学生参与率为98.46%。</w:t>
      </w:r>
      <w:r>
        <w:rPr>
          <w:rFonts w:hint="eastAsia" w:ascii="仿宋_GB2312" w:hAnsi="仿宋_GB2312" w:cs="仿宋_GB2312"/>
          <w:b/>
          <w:bCs w:val="0"/>
          <w:color w:val="auto"/>
          <w:kern w:val="0"/>
          <w:sz w:val="32"/>
          <w:szCs w:val="32"/>
          <w:highlight w:val="none"/>
          <w:shd w:val="clear" w:color="auto" w:fill="auto"/>
          <w:lang w:val="en-US" w:eastAsia="zh-CN" w:bidi="ar-SA"/>
        </w:rPr>
        <w:t>二是</w:t>
      </w:r>
      <w:r>
        <w:rPr>
          <w:rFonts w:hint="eastAsia" w:ascii="仿宋_GB2312" w:hAnsi="仿宋_GB2312" w:cs="仿宋_GB2312"/>
          <w:bCs/>
          <w:color w:val="auto"/>
          <w:kern w:val="0"/>
          <w:sz w:val="32"/>
          <w:szCs w:val="32"/>
          <w:highlight w:val="none"/>
          <w:shd w:val="clear" w:color="auto" w:fill="auto"/>
          <w:lang w:val="en-US" w:eastAsia="zh-CN" w:bidi="ar-SA"/>
        </w:rPr>
        <w:t>自评数据缺少佐证依据。如</w:t>
      </w:r>
      <w:r>
        <w:rPr>
          <w:rFonts w:hint="eastAsia" w:ascii="仿宋_GB2312" w:hAnsi="仿宋_GB2312" w:eastAsia="仿宋_GB2312" w:cs="仿宋_GB2312"/>
          <w:bCs/>
          <w:color w:val="auto"/>
          <w:kern w:val="0"/>
          <w:sz w:val="32"/>
          <w:szCs w:val="32"/>
          <w:highlight w:val="none"/>
          <w:shd w:val="clear" w:color="auto" w:fill="auto"/>
          <w:lang w:val="en-US" w:eastAsia="zh-CN" w:bidi="ar-SA"/>
        </w:rPr>
        <w:t>受益对象满意度自评结论无相关社会调查等佐证资料证明。</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仿宋_GB2312" w:eastAsia="仿宋_GB2312" w:cs="仿宋_GB2312"/>
          <w:bCs/>
          <w:color w:val="auto"/>
          <w:kern w:val="0"/>
          <w:sz w:val="32"/>
          <w:szCs w:val="32"/>
          <w:highlight w:val="none"/>
          <w:shd w:val="clear" w:color="auto" w:fill="auto"/>
          <w:lang w:eastAsia="zh-CN"/>
        </w:rPr>
      </w:pPr>
      <w:r>
        <w:rPr>
          <w:rFonts w:hint="eastAsia" w:ascii="仿宋_GB2312" w:hAnsi="仿宋_GB2312" w:eastAsia="仿宋_GB2312" w:cs="仿宋_GB2312"/>
          <w:bCs/>
          <w:color w:val="auto"/>
          <w:kern w:val="0"/>
          <w:sz w:val="32"/>
          <w:szCs w:val="32"/>
          <w:highlight w:val="none"/>
          <w:shd w:val="clear" w:color="auto" w:fill="auto"/>
          <w:lang w:eastAsia="zh-CN"/>
        </w:rPr>
        <w:t>（</w:t>
      </w:r>
      <w:r>
        <w:rPr>
          <w:rFonts w:hint="eastAsia" w:ascii="仿宋_GB2312" w:hAnsi="仿宋_GB2312" w:eastAsia="仿宋_GB2312" w:cs="仿宋_GB2312"/>
          <w:bCs/>
          <w:color w:val="auto"/>
          <w:kern w:val="0"/>
          <w:sz w:val="32"/>
          <w:szCs w:val="32"/>
          <w:highlight w:val="none"/>
          <w:shd w:val="clear" w:color="auto" w:fill="auto"/>
          <w:lang w:val="en-US" w:eastAsia="zh-CN"/>
        </w:rPr>
        <w:t>2</w:t>
      </w:r>
      <w:r>
        <w:rPr>
          <w:rFonts w:hint="eastAsia" w:ascii="仿宋_GB2312" w:hAnsi="仿宋_GB2312" w:eastAsia="仿宋_GB2312" w:cs="仿宋_GB2312"/>
          <w:bCs/>
          <w:color w:val="auto"/>
          <w:kern w:val="0"/>
          <w:sz w:val="32"/>
          <w:szCs w:val="32"/>
          <w:highlight w:val="none"/>
          <w:shd w:val="clear" w:color="auto" w:fill="auto"/>
          <w:lang w:eastAsia="zh-CN"/>
        </w:rPr>
        <w:t>）绩效指标明确性不足</w:t>
      </w:r>
    </w:p>
    <w:p>
      <w:pPr>
        <w:pStyle w:val="77"/>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绩效指标与部门年度工作任务数或计划数不对应，个别部门重点职能目标或任务未体现在绩效目标中，如未设置九年义务教育巩固率、职业教育“双师型”教师比例等“十三五”教育事业发展约束性指标，无一流大学和一流学科建设、教师队伍建设和保险安全保障等项目产生和效益指标。</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仿宋_GB2312" w:eastAsia="仿宋_GB2312" w:cs="仿宋_GB2312"/>
          <w:bCs/>
          <w:color w:val="auto"/>
          <w:kern w:val="0"/>
          <w:sz w:val="32"/>
          <w:szCs w:val="32"/>
          <w:highlight w:val="none"/>
          <w:shd w:val="clear" w:color="auto" w:fill="auto"/>
          <w:lang w:eastAsia="zh-CN"/>
        </w:rPr>
      </w:pPr>
      <w:r>
        <w:rPr>
          <w:rFonts w:hint="eastAsia" w:ascii="仿宋_GB2312" w:hAnsi="仿宋_GB2312" w:eastAsia="仿宋_GB2312" w:cs="仿宋_GB2312"/>
          <w:bCs/>
          <w:color w:val="auto"/>
          <w:kern w:val="0"/>
          <w:sz w:val="32"/>
          <w:szCs w:val="32"/>
          <w:highlight w:val="none"/>
          <w:shd w:val="clear" w:color="auto" w:fill="auto"/>
          <w:lang w:eastAsia="zh-CN"/>
        </w:rPr>
        <w:t>（</w:t>
      </w:r>
      <w:r>
        <w:rPr>
          <w:rFonts w:hint="eastAsia" w:ascii="仿宋_GB2312" w:hAnsi="仿宋_GB2312" w:eastAsia="仿宋_GB2312" w:cs="仿宋_GB2312"/>
          <w:bCs/>
          <w:color w:val="auto"/>
          <w:kern w:val="0"/>
          <w:sz w:val="32"/>
          <w:szCs w:val="32"/>
          <w:highlight w:val="none"/>
          <w:shd w:val="clear" w:color="auto" w:fill="auto"/>
          <w:lang w:val="en-US" w:eastAsia="zh-CN"/>
        </w:rPr>
        <w:t>3</w:t>
      </w:r>
      <w:r>
        <w:rPr>
          <w:rFonts w:hint="eastAsia" w:ascii="仿宋_GB2312" w:hAnsi="仿宋_GB2312" w:eastAsia="仿宋_GB2312" w:cs="仿宋_GB2312"/>
          <w:bCs/>
          <w:color w:val="auto"/>
          <w:kern w:val="0"/>
          <w:sz w:val="32"/>
          <w:szCs w:val="32"/>
          <w:highlight w:val="none"/>
          <w:shd w:val="clear" w:color="auto" w:fill="auto"/>
          <w:lang w:eastAsia="zh-CN"/>
        </w:rPr>
        <w:t>）部门</w:t>
      </w:r>
      <w:r>
        <w:rPr>
          <w:rFonts w:hint="eastAsia" w:ascii="仿宋_GB2312" w:hAnsi="仿宋_GB2312" w:eastAsia="仿宋_GB2312" w:cs="仿宋_GB2312"/>
          <w:bCs/>
          <w:color w:val="auto"/>
          <w:kern w:val="0"/>
          <w:sz w:val="32"/>
          <w:szCs w:val="32"/>
          <w:highlight w:val="none"/>
          <w:shd w:val="clear" w:color="auto" w:fill="auto"/>
          <w:lang w:val="en-US" w:eastAsia="zh-CN"/>
        </w:rPr>
        <w:t>预算执行管理需进一步加强</w:t>
      </w:r>
    </w:p>
    <w:p>
      <w:pPr>
        <w:keepNext w:val="0"/>
        <w:keepLines w:val="0"/>
        <w:pageBreakBefore w:val="0"/>
        <w:widowControl w:val="0"/>
        <w:kinsoku/>
        <w:wordWrap/>
        <w:overflowPunct/>
        <w:topLinePunct w:val="0"/>
        <w:autoSpaceDE/>
        <w:autoSpaceDN/>
        <w:bidi w:val="0"/>
        <w:adjustRightInd w:val="0"/>
        <w:snapToGrid w:val="0"/>
        <w:spacing w:line="540" w:lineRule="exact"/>
        <w:ind w:firstLine="640"/>
        <w:jc w:val="both"/>
        <w:textAlignment w:val="auto"/>
        <w:rPr>
          <w:rFonts w:hint="eastAsia" w:ascii="仿宋_GB2312" w:hAnsi="仿宋_GB2312" w:eastAsia="仿宋_GB2312" w:cs="仿宋_GB2312"/>
          <w:bCs/>
          <w:color w:val="auto"/>
          <w:sz w:val="32"/>
          <w:szCs w:val="32"/>
          <w:highlight w:val="none"/>
          <w:lang w:val="en-US" w:eastAsia="zh-CN"/>
        </w:rPr>
      </w:pPr>
      <w:bookmarkStart w:id="53" w:name="_Toc26276"/>
      <w:bookmarkStart w:id="54" w:name="_Toc9228"/>
      <w:bookmarkStart w:id="55" w:name="_Toc24209"/>
      <w:r>
        <w:rPr>
          <w:rFonts w:hint="eastAsia" w:ascii="仿宋_GB2312" w:hAnsi="仿宋_GB2312" w:eastAsia="仿宋_GB2312" w:cs="仿宋_GB2312"/>
          <w:b/>
          <w:bCs w:val="0"/>
          <w:color w:val="auto"/>
          <w:sz w:val="32"/>
          <w:szCs w:val="32"/>
          <w:highlight w:val="none"/>
          <w:lang w:eastAsia="zh-CN"/>
        </w:rPr>
        <w:t>一是</w:t>
      </w:r>
      <w:r>
        <w:rPr>
          <w:rFonts w:hint="eastAsia" w:ascii="仿宋_GB2312" w:hAnsi="仿宋_GB2312" w:eastAsia="仿宋_GB2312" w:cs="仿宋_GB2312"/>
          <w:b w:val="0"/>
          <w:bCs/>
          <w:color w:val="auto"/>
          <w:sz w:val="32"/>
          <w:szCs w:val="32"/>
          <w:highlight w:val="none"/>
          <w:lang w:eastAsia="zh-CN"/>
        </w:rPr>
        <w:t>项目</w:t>
      </w:r>
      <w:r>
        <w:rPr>
          <w:rFonts w:hint="eastAsia" w:ascii="仿宋_GB2312" w:hAnsi="仿宋_GB2312" w:eastAsia="仿宋_GB2312" w:cs="仿宋_GB2312"/>
          <w:bCs/>
          <w:color w:val="auto"/>
          <w:sz w:val="32"/>
          <w:szCs w:val="32"/>
          <w:highlight w:val="none"/>
          <w:lang w:eastAsia="zh-CN"/>
        </w:rPr>
        <w:t>支出预算执行率略低。</w:t>
      </w:r>
      <w:r>
        <w:rPr>
          <w:rFonts w:hint="eastAsia" w:ascii="仿宋_GB2312" w:hAnsi="仿宋_GB2312" w:eastAsia="仿宋_GB2312" w:cs="仿宋_GB2312"/>
          <w:bCs/>
          <w:color w:val="auto"/>
          <w:sz w:val="32"/>
          <w:szCs w:val="32"/>
          <w:highlight w:val="none"/>
        </w:rPr>
        <w:t>2</w:t>
      </w:r>
      <w:r>
        <w:rPr>
          <w:rFonts w:ascii="仿宋_GB2312" w:hAnsi="仿宋_GB2312" w:eastAsia="仿宋_GB2312" w:cs="仿宋_GB2312"/>
          <w:bCs/>
          <w:color w:val="auto"/>
          <w:sz w:val="32"/>
          <w:szCs w:val="32"/>
          <w:highlight w:val="none"/>
        </w:rPr>
        <w:t>020年</w:t>
      </w:r>
      <w:r>
        <w:rPr>
          <w:rFonts w:hint="eastAsia" w:ascii="仿宋_GB2312" w:hAnsi="仿宋_GB2312" w:eastAsia="仿宋_GB2312" w:cs="仿宋_GB2312"/>
          <w:bCs/>
          <w:color w:val="auto"/>
          <w:sz w:val="32"/>
          <w:szCs w:val="32"/>
          <w:highlight w:val="none"/>
          <w:lang w:eastAsia="zh-CN"/>
        </w:rPr>
        <w:t>，</w:t>
      </w:r>
      <w:r>
        <w:rPr>
          <w:rFonts w:hint="eastAsia" w:ascii="仿宋_GB2312" w:eastAsia="仿宋_GB2312"/>
          <w:color w:val="auto"/>
          <w:sz w:val="32"/>
          <w:szCs w:val="32"/>
        </w:rPr>
        <w:t>中央支持学前教育发展专项资金</w:t>
      </w:r>
      <w:r>
        <w:rPr>
          <w:rFonts w:hint="eastAsia" w:ascii="仿宋_GB2312" w:eastAsia="仿宋_GB2312"/>
          <w:color w:val="auto"/>
          <w:sz w:val="32"/>
          <w:szCs w:val="32"/>
          <w:lang w:eastAsia="zh-CN"/>
        </w:rPr>
        <w:t>预算金额</w:t>
      </w:r>
      <w:r>
        <w:rPr>
          <w:rFonts w:hint="eastAsia" w:ascii="仿宋_GB2312" w:eastAsia="仿宋_GB2312"/>
          <w:color w:val="auto"/>
          <w:sz w:val="32"/>
          <w:szCs w:val="32"/>
          <w:lang w:val="en-US" w:eastAsia="zh-CN"/>
        </w:rPr>
        <w:t>2900万元</w:t>
      </w:r>
      <w:r>
        <w:rPr>
          <w:rFonts w:hint="eastAsia" w:ascii="仿宋_GB2312" w:eastAsia="仿宋_GB2312"/>
          <w:color w:val="auto"/>
          <w:sz w:val="32"/>
          <w:szCs w:val="32"/>
          <w:lang w:eastAsia="zh-CN"/>
        </w:rPr>
        <w:t>，实际</w:t>
      </w:r>
      <w:r>
        <w:rPr>
          <w:rFonts w:hint="eastAsia" w:ascii="仿宋_GB2312" w:eastAsia="仿宋_GB2312"/>
          <w:color w:val="auto"/>
          <w:sz w:val="32"/>
          <w:szCs w:val="32"/>
        </w:rPr>
        <w:t>执行2675.48万元，执行率92.26%</w:t>
      </w:r>
      <w:r>
        <w:rPr>
          <w:rFonts w:hint="eastAsia" w:ascii="仿宋_GB2312" w:eastAsia="仿宋_GB2312"/>
          <w:color w:val="auto"/>
          <w:sz w:val="32"/>
          <w:szCs w:val="32"/>
          <w:lang w:eastAsia="zh-CN"/>
        </w:rPr>
        <w:t>；</w:t>
      </w:r>
      <w:r>
        <w:rPr>
          <w:rFonts w:hint="eastAsia" w:ascii="仿宋_GB2312" w:hAnsi="仿宋_GB2312" w:eastAsia="仿宋_GB2312" w:cs="仿宋_GB2312"/>
          <w:bCs/>
          <w:color w:val="auto"/>
          <w:sz w:val="32"/>
          <w:szCs w:val="32"/>
          <w:highlight w:val="none"/>
          <w:lang w:eastAsia="zh-CN"/>
        </w:rPr>
        <w:t>市级</w:t>
      </w:r>
      <w:r>
        <w:rPr>
          <w:rFonts w:ascii="仿宋_GB2312" w:hAnsi="仿宋_GB2312" w:eastAsia="仿宋_GB2312" w:cs="仿宋_GB2312"/>
          <w:bCs/>
          <w:color w:val="auto"/>
          <w:sz w:val="32"/>
          <w:szCs w:val="32"/>
          <w:highlight w:val="none"/>
        </w:rPr>
        <w:t>部门</w:t>
      </w:r>
      <w:r>
        <w:rPr>
          <w:rFonts w:hint="eastAsia" w:ascii="仿宋_GB2312" w:hAnsi="仿宋_GB2312" w:eastAsia="仿宋_GB2312" w:cs="仿宋_GB2312"/>
          <w:bCs/>
          <w:color w:val="auto"/>
          <w:sz w:val="32"/>
          <w:szCs w:val="32"/>
          <w:highlight w:val="none"/>
          <w:lang w:eastAsia="zh-CN"/>
        </w:rPr>
        <w:t>项目支出调整预算数</w:t>
      </w:r>
      <w:r>
        <w:rPr>
          <w:rFonts w:hint="eastAsia" w:ascii="仿宋_GB2312" w:hAnsi="仿宋_GB2312" w:eastAsia="仿宋_GB2312" w:cs="仿宋_GB2312"/>
          <w:bCs/>
          <w:color w:val="auto"/>
          <w:sz w:val="32"/>
          <w:szCs w:val="32"/>
          <w:highlight w:val="none"/>
          <w:lang w:val="en-US" w:eastAsia="zh-CN"/>
        </w:rPr>
        <w:t>94688.98万元，实际执行90628.21万元，执行率95.71%；个别区（市）专项资金执行率较低，如城阳区2020年度教育专项资金预算金额797.45万元，实际执行648.77万元，执行率81.36%；西海岸新区2020年度教育专项资金预算金额1812.14万元，实际执行1589.72万元，执行率87.73%</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
          <w:bCs w:val="0"/>
          <w:color w:val="auto"/>
          <w:sz w:val="32"/>
          <w:szCs w:val="32"/>
          <w:highlight w:val="none"/>
          <w:lang w:eastAsia="zh-CN"/>
        </w:rPr>
        <w:t>二是</w:t>
      </w:r>
      <w:r>
        <w:rPr>
          <w:rFonts w:hint="eastAsia" w:ascii="仿宋_GB2312" w:hAnsi="仿宋_GB2312" w:eastAsia="仿宋_GB2312" w:cs="仿宋_GB2312"/>
          <w:bCs/>
          <w:color w:val="auto"/>
          <w:sz w:val="32"/>
          <w:szCs w:val="32"/>
          <w:highlight w:val="none"/>
          <w:lang w:eastAsia="zh-CN"/>
        </w:rPr>
        <w:t>上年结转资金执行率低。</w:t>
      </w:r>
      <w:r>
        <w:rPr>
          <w:rFonts w:hint="eastAsia" w:ascii="仿宋_GB2312" w:hAnsi="仿宋_GB2312" w:eastAsia="仿宋_GB2312" w:cs="仿宋_GB2312"/>
          <w:bCs/>
          <w:color w:val="auto"/>
          <w:sz w:val="32"/>
          <w:szCs w:val="32"/>
          <w:highlight w:val="none"/>
          <w:lang w:val="en-US" w:eastAsia="zh-CN"/>
        </w:rPr>
        <w:t>2019年，年末结转和结余6079.29万元，2020年，年末结转和结余6153.46万元，结转资金未消化执行</w:t>
      </w:r>
      <w:r>
        <w:rPr>
          <w:rFonts w:ascii="仿宋_GB2312" w:hAnsi="仿宋_GB2312" w:eastAsia="仿宋_GB2312" w:cs="仿宋_GB2312"/>
          <w:bCs/>
          <w:color w:val="auto"/>
          <w:sz w:val="32"/>
          <w:szCs w:val="32"/>
          <w:highlight w:val="none"/>
        </w:rPr>
        <w:t>。</w:t>
      </w:r>
    </w:p>
    <w:bookmarkEnd w:id="53"/>
    <w:bookmarkEnd w:id="54"/>
    <w:bookmarkEnd w:id="55"/>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40" w:lineRule="exact"/>
        <w:ind w:firstLine="642" w:firstLineChars="200"/>
        <w:textAlignment w:val="auto"/>
        <w:outlineLvl w:val="1"/>
        <w:rPr>
          <w:rFonts w:hint="eastAsia" w:ascii="仿宋_GB2312" w:hAnsi="Times New Roman" w:eastAsia="仿宋_GB2312" w:cs="Times New Roman"/>
          <w:b/>
          <w:bCs/>
          <w:color w:val="auto"/>
          <w:kern w:val="2"/>
          <w:sz w:val="32"/>
          <w:szCs w:val="32"/>
          <w:highlight w:val="none"/>
          <w:lang w:val="en-US" w:eastAsia="zh-CN" w:bidi="ar-SA"/>
        </w:rPr>
      </w:pPr>
      <w:bookmarkStart w:id="56" w:name="_Toc2724"/>
      <w:bookmarkStart w:id="57" w:name="_Toc27521"/>
      <w:r>
        <w:rPr>
          <w:rFonts w:hint="eastAsia" w:ascii="仿宋_GB2312" w:hAnsi="Times New Roman" w:eastAsia="仿宋_GB2312" w:cs="Times New Roman"/>
          <w:b/>
          <w:bCs/>
          <w:color w:val="auto"/>
          <w:kern w:val="2"/>
          <w:sz w:val="32"/>
          <w:szCs w:val="32"/>
          <w:highlight w:val="none"/>
          <w:lang w:val="en-US" w:eastAsia="zh-CN" w:bidi="ar-SA"/>
        </w:rPr>
        <w:t>4.相关建议</w:t>
      </w:r>
      <w:bookmarkEnd w:id="50"/>
      <w:bookmarkEnd w:id="51"/>
      <w:bookmarkEnd w:id="52"/>
      <w:bookmarkEnd w:id="56"/>
      <w:bookmarkEnd w:id="57"/>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仿宋_GB2312" w:eastAsia="仿宋_GB2312" w:cs="仿宋_GB2312"/>
          <w:bCs/>
          <w:color w:val="auto"/>
          <w:kern w:val="0"/>
          <w:sz w:val="32"/>
          <w:szCs w:val="32"/>
          <w:highlight w:val="none"/>
          <w:shd w:val="clear" w:color="auto" w:fill="auto"/>
        </w:rPr>
      </w:pPr>
      <w:bookmarkStart w:id="58" w:name="_Toc14029"/>
      <w:bookmarkStart w:id="59" w:name="_Toc21252"/>
      <w:bookmarkStart w:id="60" w:name="_Toc12049"/>
      <w:bookmarkStart w:id="61" w:name="_Toc30450"/>
      <w:bookmarkStart w:id="62" w:name="_Toc5476"/>
      <w:bookmarkStart w:id="63" w:name="_Toc52324513"/>
      <w:r>
        <w:rPr>
          <w:rFonts w:hint="eastAsia" w:ascii="仿宋_GB2312" w:hAnsi="仿宋_GB2312" w:eastAsia="仿宋_GB2312" w:cs="仿宋_GB2312"/>
          <w:bCs/>
          <w:color w:val="auto"/>
          <w:kern w:val="0"/>
          <w:sz w:val="32"/>
          <w:szCs w:val="32"/>
          <w:highlight w:val="none"/>
          <w:shd w:val="clear" w:color="auto" w:fill="auto"/>
        </w:rPr>
        <w:t>（</w:t>
      </w:r>
      <w:r>
        <w:rPr>
          <w:rFonts w:hint="eastAsia" w:ascii="仿宋_GB2312" w:hAnsi="仿宋_GB2312" w:eastAsia="仿宋_GB2312" w:cs="仿宋_GB2312"/>
          <w:bCs/>
          <w:color w:val="auto"/>
          <w:kern w:val="0"/>
          <w:sz w:val="32"/>
          <w:szCs w:val="32"/>
          <w:highlight w:val="none"/>
          <w:shd w:val="clear" w:color="auto" w:fill="auto"/>
          <w:lang w:val="en-US" w:eastAsia="zh-CN"/>
        </w:rPr>
        <w:t>1</w:t>
      </w:r>
      <w:r>
        <w:rPr>
          <w:rFonts w:hint="eastAsia" w:ascii="仿宋_GB2312" w:hAnsi="仿宋_GB2312" w:eastAsia="仿宋_GB2312" w:cs="仿宋_GB2312"/>
          <w:bCs/>
          <w:color w:val="auto"/>
          <w:kern w:val="0"/>
          <w:sz w:val="32"/>
          <w:szCs w:val="32"/>
          <w:highlight w:val="none"/>
          <w:shd w:val="clear" w:color="auto" w:fill="auto"/>
        </w:rPr>
        <w:t>）</w:t>
      </w:r>
      <w:r>
        <w:rPr>
          <w:rFonts w:hint="eastAsia" w:ascii="仿宋_GB2312" w:hAnsi="仿宋_GB2312" w:eastAsia="仿宋_GB2312" w:cs="仿宋_GB2312"/>
          <w:bCs/>
          <w:color w:val="auto"/>
          <w:kern w:val="0"/>
          <w:sz w:val="32"/>
          <w:szCs w:val="32"/>
          <w:highlight w:val="none"/>
          <w:shd w:val="clear" w:color="auto" w:fill="auto"/>
          <w:lang w:val="en-US" w:eastAsia="zh-CN"/>
        </w:rPr>
        <w:t>进一步提高部门评价工作水平</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eastAsia="zh-CN"/>
        </w:rPr>
        <w:t>严格按照</w:t>
      </w:r>
      <w:r>
        <w:rPr>
          <w:rFonts w:hint="eastAsia" w:ascii="仿宋_GB2312" w:hAnsi="Times New Roman" w:eastAsia="仿宋_GB2312" w:cs="Times New Roman"/>
          <w:color w:val="auto"/>
          <w:sz w:val="32"/>
          <w:szCs w:val="32"/>
          <w:highlight w:val="none"/>
        </w:rPr>
        <w:t>《中共青岛市</w:t>
      </w:r>
      <w:r>
        <w:rPr>
          <w:rFonts w:hint="eastAsia" w:ascii="仿宋_GB2312" w:hAnsi="Times New Roman" w:eastAsia="仿宋_GB2312" w:cs="Times New Roman"/>
          <w:color w:val="auto"/>
          <w:sz w:val="32"/>
          <w:szCs w:val="32"/>
          <w:highlight w:val="none"/>
          <w:u w:val="none"/>
        </w:rPr>
        <w:t>委 青岛市</w:t>
      </w:r>
      <w:r>
        <w:rPr>
          <w:rFonts w:hint="eastAsia" w:ascii="仿宋_GB2312" w:hAnsi="Times New Roman" w:eastAsia="仿宋_GB2312" w:cs="Times New Roman"/>
          <w:color w:val="auto"/>
          <w:sz w:val="32"/>
          <w:szCs w:val="32"/>
          <w:highlight w:val="none"/>
        </w:rPr>
        <w:t>人民政府关于深化预算管理改革全面推进预算绩效管理的实施意见》（青发〔2019〕6号）、青岛市财政局关于转发《财政部关于印发〈项目支出绩效评价管理办法〉的通知》的通知（青财绩〔2020〕5号）等有关要求</w:t>
      </w:r>
      <w:r>
        <w:rPr>
          <w:rFonts w:hint="eastAsia" w:ascii="仿宋_GB2312" w:hAnsi="Times New Roman" w:eastAsia="仿宋_GB2312" w:cs="Times New Roman"/>
          <w:color w:val="auto"/>
          <w:sz w:val="32"/>
          <w:szCs w:val="32"/>
          <w:highlight w:val="none"/>
          <w:lang w:eastAsia="zh-CN"/>
        </w:rPr>
        <w:t>开展部门评价，有效核实年度绩效目标达成情况及资金使用实效，做到填报指标完成值真实准确、佐证材料充分可靠、评价客观合理。</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仿宋_GB2312" w:eastAsia="仿宋_GB2312" w:cs="仿宋_GB2312"/>
          <w:bCs/>
          <w:color w:val="auto"/>
          <w:kern w:val="0"/>
          <w:sz w:val="32"/>
          <w:szCs w:val="32"/>
          <w:highlight w:val="none"/>
          <w:shd w:val="clear" w:color="auto" w:fill="auto"/>
          <w:lang w:eastAsia="zh-CN"/>
        </w:rPr>
      </w:pPr>
      <w:r>
        <w:rPr>
          <w:rFonts w:hint="eastAsia" w:ascii="仿宋_GB2312" w:hAnsi="仿宋_GB2312" w:eastAsia="仿宋_GB2312" w:cs="仿宋_GB2312"/>
          <w:bCs/>
          <w:color w:val="auto"/>
          <w:kern w:val="0"/>
          <w:sz w:val="32"/>
          <w:szCs w:val="32"/>
          <w:highlight w:val="none"/>
          <w:shd w:val="clear" w:color="auto" w:fill="auto"/>
        </w:rPr>
        <w:t>（</w:t>
      </w:r>
      <w:r>
        <w:rPr>
          <w:rFonts w:hint="eastAsia" w:ascii="仿宋_GB2312" w:hAnsi="仿宋_GB2312" w:eastAsia="仿宋_GB2312" w:cs="仿宋_GB2312"/>
          <w:bCs/>
          <w:color w:val="auto"/>
          <w:kern w:val="0"/>
          <w:sz w:val="32"/>
          <w:szCs w:val="32"/>
          <w:highlight w:val="none"/>
          <w:shd w:val="clear" w:color="auto" w:fill="auto"/>
          <w:lang w:val="en-US" w:eastAsia="zh-CN"/>
        </w:rPr>
        <w:t>2</w:t>
      </w:r>
      <w:r>
        <w:rPr>
          <w:rFonts w:hint="eastAsia" w:ascii="仿宋_GB2312" w:hAnsi="仿宋_GB2312" w:eastAsia="仿宋_GB2312" w:cs="仿宋_GB2312"/>
          <w:bCs/>
          <w:color w:val="auto"/>
          <w:kern w:val="0"/>
          <w:sz w:val="32"/>
          <w:szCs w:val="32"/>
          <w:highlight w:val="none"/>
          <w:shd w:val="clear" w:color="auto" w:fill="auto"/>
        </w:rPr>
        <w:t>）</w:t>
      </w:r>
      <w:r>
        <w:rPr>
          <w:rFonts w:hint="eastAsia" w:ascii="仿宋_GB2312" w:hAnsi="仿宋_GB2312" w:eastAsia="仿宋_GB2312" w:cs="仿宋_GB2312"/>
          <w:bCs/>
          <w:color w:val="auto"/>
          <w:kern w:val="0"/>
          <w:sz w:val="32"/>
          <w:szCs w:val="32"/>
          <w:highlight w:val="none"/>
          <w:shd w:val="clear" w:color="auto" w:fill="auto"/>
          <w:lang w:eastAsia="zh-CN"/>
        </w:rPr>
        <w:t>提高绩效目标编制水平</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Times New Roman" w:eastAsia="仿宋_GB2312" w:cs="Times New Roman"/>
          <w:color w:val="auto"/>
          <w:sz w:val="32"/>
          <w:szCs w:val="32"/>
          <w:highlight w:val="none"/>
          <w:lang w:val="en-US" w:eastAsia="zh-CN"/>
        </w:rPr>
      </w:pPr>
      <w:bookmarkStart w:id="64" w:name="_Toc19613"/>
      <w:bookmarkStart w:id="65" w:name="_Toc9372"/>
      <w:r>
        <w:rPr>
          <w:rFonts w:hint="eastAsia" w:ascii="仿宋_GB2312" w:hAnsi="Times New Roman" w:eastAsia="仿宋_GB2312" w:cs="Times New Roman"/>
          <w:color w:val="auto"/>
          <w:sz w:val="32"/>
          <w:szCs w:val="32"/>
          <w:highlight w:val="none"/>
          <w:lang w:val="en-US" w:eastAsia="zh-CN"/>
        </w:rPr>
        <w:t>建议相关处室加大对绩效目标编制工作的参与度，结合年度重点工作任务、十五大攻势及教育规划核心工作，合理设置绩效目标，并根据历史标准、行业标准及横向标准科学设置指标值，充分体现部门职能和年度重点工作，发挥目标的引领作用。</w:t>
      </w:r>
      <w:bookmarkEnd w:id="64"/>
      <w:bookmarkEnd w:id="65"/>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仿宋_GB2312" w:eastAsia="仿宋_GB2312" w:cs="仿宋_GB2312"/>
          <w:bCs/>
          <w:color w:val="auto"/>
          <w:kern w:val="0"/>
          <w:sz w:val="32"/>
          <w:szCs w:val="32"/>
          <w:highlight w:val="none"/>
          <w:shd w:val="clear" w:color="auto" w:fill="auto"/>
        </w:rPr>
      </w:pPr>
      <w:r>
        <w:rPr>
          <w:rFonts w:hint="eastAsia" w:ascii="仿宋_GB2312" w:hAnsi="仿宋_GB2312" w:eastAsia="仿宋_GB2312" w:cs="仿宋_GB2312"/>
          <w:bCs/>
          <w:color w:val="auto"/>
          <w:kern w:val="0"/>
          <w:sz w:val="32"/>
          <w:szCs w:val="32"/>
          <w:highlight w:val="none"/>
          <w:shd w:val="clear" w:color="auto" w:fill="auto"/>
          <w:lang w:eastAsia="zh-CN"/>
        </w:rPr>
        <w:t>（</w:t>
      </w:r>
      <w:r>
        <w:rPr>
          <w:rFonts w:hint="eastAsia" w:ascii="仿宋_GB2312" w:hAnsi="仿宋_GB2312" w:eastAsia="仿宋_GB2312" w:cs="仿宋_GB2312"/>
          <w:bCs/>
          <w:color w:val="auto"/>
          <w:kern w:val="0"/>
          <w:sz w:val="32"/>
          <w:szCs w:val="32"/>
          <w:highlight w:val="none"/>
          <w:shd w:val="clear" w:color="auto" w:fill="auto"/>
          <w:lang w:val="en-US" w:eastAsia="zh-CN"/>
        </w:rPr>
        <w:t>3</w:t>
      </w:r>
      <w:r>
        <w:rPr>
          <w:rFonts w:hint="eastAsia" w:ascii="仿宋_GB2312" w:hAnsi="仿宋_GB2312" w:eastAsia="仿宋_GB2312" w:cs="仿宋_GB2312"/>
          <w:bCs/>
          <w:color w:val="auto"/>
          <w:kern w:val="0"/>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rPr>
        <w:t>提高</w:t>
      </w:r>
      <w:r>
        <w:rPr>
          <w:rFonts w:hint="eastAsia" w:ascii="仿宋_GB2312" w:hAnsi="仿宋_GB2312" w:eastAsia="仿宋_GB2312" w:cs="仿宋_GB2312"/>
          <w:color w:val="auto"/>
          <w:sz w:val="32"/>
          <w:szCs w:val="32"/>
          <w:highlight w:val="none"/>
          <w:lang w:eastAsia="zh-CN"/>
        </w:rPr>
        <w:t>专项资金</w:t>
      </w:r>
      <w:r>
        <w:rPr>
          <w:rFonts w:hint="eastAsia" w:ascii="仿宋_GB2312" w:hAnsi="仿宋_GB2312" w:eastAsia="仿宋_GB2312" w:cs="仿宋_GB2312"/>
          <w:color w:val="auto"/>
          <w:sz w:val="32"/>
          <w:szCs w:val="32"/>
          <w:highlight w:val="none"/>
        </w:rPr>
        <w:t>执行进度</w:t>
      </w:r>
      <w:r>
        <w:rPr>
          <w:rFonts w:hint="eastAsia" w:ascii="仿宋_GB2312" w:hAnsi="仿宋_GB2312" w:eastAsia="仿宋_GB2312" w:cs="仿宋_GB2312"/>
          <w:bCs/>
          <w:color w:val="auto"/>
          <w:kern w:val="0"/>
          <w:sz w:val="32"/>
          <w:szCs w:val="32"/>
          <w:highlight w:val="none"/>
          <w:shd w:val="clear" w:color="auto" w:fill="auto"/>
          <w:lang w:val="en-US" w:eastAsia="zh-CN"/>
        </w:rPr>
        <w:t>、加快结余结转消化</w:t>
      </w:r>
    </w:p>
    <w:p>
      <w:pPr>
        <w:keepNext w:val="0"/>
        <w:keepLines w:val="0"/>
        <w:pageBreakBefore w:val="0"/>
        <w:widowControl w:val="0"/>
        <w:kinsoku/>
        <w:wordWrap/>
        <w:overflowPunct/>
        <w:topLinePunct w:val="0"/>
        <w:autoSpaceDE/>
        <w:autoSpaceDN/>
        <w:bidi w:val="0"/>
        <w:adjustRightInd w:val="0"/>
        <w:snapToGrid w:val="0"/>
        <w:spacing w:line="540" w:lineRule="exact"/>
        <w:ind w:firstLine="642" w:firstLineChars="200"/>
        <w:textAlignment w:val="auto"/>
        <w:outlineLvl w:val="9"/>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b/>
          <w:bCs/>
          <w:color w:val="auto"/>
          <w:sz w:val="32"/>
          <w:szCs w:val="32"/>
          <w:highlight w:val="none"/>
          <w:lang w:eastAsia="zh-CN"/>
        </w:rPr>
        <w:t>一是</w:t>
      </w:r>
      <w:r>
        <w:rPr>
          <w:rFonts w:hint="eastAsia" w:ascii="仿宋_GB2312" w:hAnsi="仿宋_GB2312" w:eastAsia="仿宋_GB2312" w:cs="仿宋_GB2312"/>
          <w:color w:val="auto"/>
          <w:sz w:val="32"/>
          <w:szCs w:val="32"/>
          <w:highlight w:val="none"/>
          <w:lang w:eastAsia="zh-CN"/>
        </w:rPr>
        <w:t>加强跨部门</w:t>
      </w:r>
      <w:r>
        <w:rPr>
          <w:rFonts w:hint="eastAsia" w:ascii="仿宋_GB2312" w:hAnsi="Times New Roman" w:eastAsia="仿宋_GB2312" w:cs="Times New Roman"/>
          <w:color w:val="auto"/>
          <w:sz w:val="32"/>
          <w:szCs w:val="32"/>
          <w:highlight w:val="none"/>
        </w:rPr>
        <w:t>沟通协作，保障资金支出</w:t>
      </w:r>
      <w:r>
        <w:rPr>
          <w:rFonts w:hint="eastAsia" w:ascii="仿宋_GB2312" w:hAnsi="Times New Roman" w:eastAsia="仿宋_GB2312" w:cs="Times New Roman"/>
          <w:color w:val="auto"/>
          <w:sz w:val="32"/>
          <w:szCs w:val="32"/>
          <w:highlight w:val="none"/>
          <w:lang w:eastAsia="zh-CN"/>
        </w:rPr>
        <w:t>进度。加强</w:t>
      </w:r>
      <w:r>
        <w:rPr>
          <w:rFonts w:hint="eastAsia" w:ascii="仿宋_GB2312" w:hAnsi="Times New Roman" w:eastAsia="仿宋_GB2312" w:cs="Times New Roman"/>
          <w:color w:val="auto"/>
          <w:sz w:val="32"/>
          <w:szCs w:val="32"/>
          <w:highlight w:val="none"/>
        </w:rPr>
        <w:t>项目进度</w:t>
      </w:r>
      <w:r>
        <w:rPr>
          <w:rFonts w:hint="eastAsia" w:ascii="仿宋_GB2312" w:hAnsi="Times New Roman" w:eastAsia="仿宋_GB2312" w:cs="Times New Roman"/>
          <w:color w:val="auto"/>
          <w:sz w:val="32"/>
          <w:szCs w:val="32"/>
          <w:highlight w:val="none"/>
          <w:lang w:eastAsia="zh-CN"/>
        </w:rPr>
        <w:t>监控</w:t>
      </w:r>
      <w:r>
        <w:rPr>
          <w:rFonts w:hint="eastAsia" w:ascii="仿宋_GB2312" w:hAnsi="Times New Roman" w:eastAsia="仿宋_GB2312" w:cs="Times New Roman"/>
          <w:color w:val="auto"/>
          <w:sz w:val="32"/>
          <w:szCs w:val="32"/>
          <w:highlight w:val="none"/>
        </w:rPr>
        <w:t>，按项目时间抓好预算执行，并建立相应的监督管理措施，提高预算执行的均衡性与时效性，切实发挥财政资金的使用效益。</w:t>
      </w:r>
      <w:r>
        <w:rPr>
          <w:rFonts w:hint="eastAsia" w:ascii="仿宋_GB2312" w:hAnsi="Times New Roman" w:eastAsia="仿宋_GB2312" w:cs="Times New Roman"/>
          <w:color w:val="auto"/>
          <w:sz w:val="32"/>
          <w:szCs w:val="32"/>
          <w:highlight w:val="none"/>
          <w:lang w:eastAsia="zh-CN"/>
        </w:rPr>
        <w:t>二</w:t>
      </w:r>
      <w:r>
        <w:rPr>
          <w:rFonts w:hint="eastAsia" w:ascii="仿宋_GB2312" w:hAnsi="Times New Roman" w:eastAsia="仿宋_GB2312" w:cs="Times New Roman"/>
          <w:b/>
          <w:bCs/>
          <w:color w:val="auto"/>
          <w:sz w:val="32"/>
          <w:szCs w:val="32"/>
          <w:highlight w:val="none"/>
          <w:lang w:eastAsia="zh-CN"/>
        </w:rPr>
        <w:t>是</w:t>
      </w:r>
      <w:r>
        <w:rPr>
          <w:rFonts w:hint="eastAsia" w:ascii="仿宋_GB2312" w:hAnsi="Times New Roman" w:eastAsia="仿宋_GB2312" w:cs="Times New Roman"/>
          <w:color w:val="auto"/>
          <w:sz w:val="32"/>
          <w:szCs w:val="32"/>
          <w:highlight w:val="none"/>
        </w:rPr>
        <w:t>加快结余结转消化，及时拨付资金，对新增资金需求优先使用结余结转资金解决，统筹合理使用，持续开展支出情况调度分析，督促相关</w:t>
      </w:r>
      <w:r>
        <w:rPr>
          <w:rFonts w:hint="eastAsia" w:ascii="仿宋_GB2312" w:hAnsi="Times New Roman" w:eastAsia="仿宋_GB2312" w:cs="Times New Roman"/>
          <w:color w:val="auto"/>
          <w:sz w:val="32"/>
          <w:szCs w:val="32"/>
          <w:highlight w:val="none"/>
          <w:u w:val="none"/>
        </w:rPr>
        <w:t>处室</w:t>
      </w:r>
      <w:r>
        <w:rPr>
          <w:rFonts w:hint="eastAsia" w:ascii="仿宋_GB2312" w:hAnsi="Times New Roman" w:eastAsia="仿宋_GB2312" w:cs="Times New Roman"/>
          <w:color w:val="auto"/>
          <w:sz w:val="32"/>
          <w:szCs w:val="32"/>
          <w:highlight w:val="none"/>
        </w:rPr>
        <w:t>加快项目实施，加快资金结算，避免形成结余。</w:t>
      </w:r>
    </w:p>
    <w:bookmarkEnd w:id="58"/>
    <w:bookmarkEnd w:id="59"/>
    <w:bookmarkEnd w:id="60"/>
    <w:bookmarkEnd w:id="61"/>
    <w:bookmarkEnd w:id="62"/>
    <w:bookmarkEnd w:id="63"/>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0"/>
        <w:rPr>
          <w:rFonts w:hint="eastAsia" w:ascii="Times New Roman" w:hAnsi="Times New Roman" w:eastAsia="仿宋" w:cs="Times New Roman"/>
          <w:color w:val="auto"/>
          <w:sz w:val="32"/>
          <w:szCs w:val="32"/>
          <w:highlight w:val="none"/>
          <w:lang w:eastAsia="zh-CN"/>
        </w:rPr>
      </w:pPr>
      <w:bookmarkStart w:id="66" w:name="_Toc2140"/>
      <w:bookmarkStart w:id="67" w:name="_Toc24247"/>
      <w:bookmarkStart w:id="68" w:name="_Toc15031"/>
      <w:bookmarkStart w:id="69" w:name="_Toc11398"/>
      <w:r>
        <w:rPr>
          <w:rFonts w:hint="eastAsia" w:ascii="Times New Roman" w:hAnsi="Times New Roman" w:eastAsia="黑体" w:cs="Times New Roman"/>
          <w:color w:val="auto"/>
          <w:sz w:val="32"/>
          <w:szCs w:val="28"/>
          <w:highlight w:val="none"/>
          <w:lang w:eastAsia="zh-CN"/>
        </w:rPr>
        <w:t>四</w:t>
      </w:r>
      <w:r>
        <w:rPr>
          <w:rFonts w:hint="default" w:ascii="Times New Roman" w:hAnsi="Times New Roman" w:eastAsia="黑体" w:cs="Times New Roman"/>
          <w:color w:val="auto"/>
          <w:sz w:val="32"/>
          <w:szCs w:val="28"/>
          <w:highlight w:val="none"/>
        </w:rPr>
        <w:t>、</w:t>
      </w:r>
      <w:r>
        <w:rPr>
          <w:rFonts w:hint="eastAsia" w:ascii="Times New Roman" w:hAnsi="Times New Roman" w:eastAsia="黑体" w:cs="Times New Roman"/>
          <w:color w:val="auto"/>
          <w:sz w:val="32"/>
          <w:szCs w:val="28"/>
          <w:highlight w:val="none"/>
          <w:lang w:eastAsia="zh-CN"/>
        </w:rPr>
        <w:t>评价单位盖章</w:t>
      </w:r>
      <w:bookmarkEnd w:id="66"/>
      <w:bookmarkEnd w:id="67"/>
      <w:bookmarkEnd w:id="68"/>
      <w:bookmarkEnd w:id="69"/>
    </w:p>
    <w:p>
      <w:pPr>
        <w:keepNext w:val="0"/>
        <w:keepLines w:val="0"/>
        <w:pageBreakBefore w:val="0"/>
        <w:widowControl w:val="0"/>
        <w:kinsoku/>
        <w:wordWrap/>
        <w:overflowPunct/>
        <w:topLinePunct w:val="0"/>
        <w:autoSpaceDE/>
        <w:autoSpaceDN/>
        <w:bidi w:val="0"/>
        <w:adjustRightInd w:val="0"/>
        <w:snapToGrid w:val="0"/>
        <w:spacing w:line="520" w:lineRule="exact"/>
        <w:jc w:val="right"/>
        <w:textAlignment w:val="auto"/>
        <w:rPr>
          <w:rFonts w:hint="eastAsia" w:ascii="Times New Roman" w:hAnsi="Times New Roman" w:eastAsia="仿宋" w:cs="Times New Roman"/>
          <w:color w:val="auto"/>
          <w:sz w:val="32"/>
          <w:szCs w:val="32"/>
          <w:highlight w:val="none"/>
          <w:lang w:eastAsia="zh-CN"/>
        </w:rPr>
      </w:pPr>
    </w:p>
    <w:p>
      <w:pPr>
        <w:pStyle w:val="2"/>
        <w:rPr>
          <w:rFonts w:hint="eastAsia"/>
          <w:color w:val="auto"/>
          <w:highlight w:val="none"/>
          <w:lang w:eastAsia="zh-CN"/>
        </w:rPr>
      </w:pPr>
    </w:p>
    <w:p>
      <w:pPr>
        <w:pStyle w:val="2"/>
        <w:rPr>
          <w:rFonts w:hint="eastAsia"/>
          <w:color w:val="auto"/>
          <w:highlight w:val="none"/>
          <w:lang w:eastAsia="zh-CN"/>
        </w:rPr>
      </w:pPr>
    </w:p>
    <w:p>
      <w:pPr>
        <w:pStyle w:val="2"/>
        <w:rPr>
          <w:rFonts w:hint="eastAsia"/>
          <w:color w:val="auto"/>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jc w:val="right"/>
        <w:textAlignment w:val="auto"/>
        <w:rPr>
          <w:rFonts w:hint="eastAsia" w:ascii="Times New Roman" w:hAnsi="Times New Roman" w:eastAsia="仿宋" w:cs="Times New Roman"/>
          <w:color w:val="auto"/>
          <w:spacing w:val="-20"/>
          <w:sz w:val="32"/>
          <w:szCs w:val="32"/>
          <w:highlight w:val="none"/>
          <w:lang w:eastAsia="zh-CN"/>
        </w:rPr>
      </w:pPr>
      <w:r>
        <w:rPr>
          <w:rFonts w:hint="eastAsia" w:ascii="Times New Roman" w:hAnsi="Times New Roman" w:eastAsia="仿宋" w:cs="Times New Roman"/>
          <w:color w:val="auto"/>
          <w:spacing w:val="-20"/>
          <w:sz w:val="32"/>
          <w:szCs w:val="32"/>
          <w:highlight w:val="none"/>
          <w:lang w:eastAsia="zh-CN"/>
        </w:rPr>
        <w:t>山东广信达土地房地产资产评估项目管理有限公司</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center"/>
        <w:textAlignment w:val="auto"/>
        <w:rPr>
          <w:rFonts w:hint="default"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lang w:val="en-US" w:eastAsia="zh-CN"/>
        </w:rPr>
        <w:t xml:space="preserve">           </w:t>
      </w:r>
      <w:r>
        <w:rPr>
          <w:rFonts w:hint="default" w:ascii="Times New Roman" w:hAnsi="Times New Roman" w:eastAsia="仿宋" w:cs="Times New Roman"/>
          <w:color w:val="auto"/>
          <w:sz w:val="32"/>
          <w:szCs w:val="32"/>
          <w:highlight w:val="none"/>
        </w:rPr>
        <w:t>二〇二</w:t>
      </w:r>
      <w:r>
        <w:rPr>
          <w:rFonts w:hint="eastAsia" w:ascii="Times New Roman" w:hAnsi="Times New Roman" w:eastAsia="仿宋" w:cs="Times New Roman"/>
          <w:color w:val="auto"/>
          <w:sz w:val="32"/>
          <w:szCs w:val="32"/>
          <w:highlight w:val="none"/>
          <w:lang w:eastAsia="zh-CN"/>
        </w:rPr>
        <w:t>一</w:t>
      </w:r>
      <w:r>
        <w:rPr>
          <w:rFonts w:hint="default" w:ascii="Times New Roman" w:hAnsi="Times New Roman" w:eastAsia="仿宋" w:cs="Times New Roman"/>
          <w:color w:val="auto"/>
          <w:sz w:val="32"/>
          <w:szCs w:val="32"/>
          <w:highlight w:val="none"/>
        </w:rPr>
        <w:t>年</w:t>
      </w:r>
      <w:r>
        <w:rPr>
          <w:rFonts w:hint="eastAsia" w:ascii="Times New Roman" w:hAnsi="Times New Roman" w:eastAsia="仿宋" w:cs="Times New Roman"/>
          <w:color w:val="auto"/>
          <w:sz w:val="32"/>
          <w:szCs w:val="32"/>
          <w:highlight w:val="none"/>
          <w:lang w:eastAsia="zh-CN"/>
        </w:rPr>
        <w:t>七</w:t>
      </w:r>
      <w:r>
        <w:rPr>
          <w:rFonts w:hint="default" w:ascii="Times New Roman" w:hAnsi="Times New Roman" w:eastAsia="仿宋" w:cs="Times New Roman"/>
          <w:color w:val="auto"/>
          <w:sz w:val="32"/>
          <w:szCs w:val="32"/>
          <w:highlight w:val="none"/>
        </w:rPr>
        <w:t>月</w:t>
      </w:r>
    </w:p>
    <w:p>
      <w:pPr>
        <w:pStyle w:val="7"/>
        <w:keepNext w:val="0"/>
        <w:keepLines w:val="0"/>
        <w:pageBreakBefore w:val="0"/>
        <w:widowControl w:val="0"/>
        <w:kinsoku/>
        <w:wordWrap/>
        <w:overflowPunct/>
        <w:topLinePunct w:val="0"/>
        <w:autoSpaceDE/>
        <w:autoSpaceDN/>
        <w:bidi w:val="0"/>
        <w:adjustRightInd/>
        <w:snapToGrid/>
        <w:spacing w:line="520" w:lineRule="exact"/>
        <w:ind w:firstLine="560"/>
        <w:textAlignment w:val="auto"/>
        <w:outlineLvl w:val="9"/>
        <w:rPr>
          <w:rFonts w:hint="eastAsia" w:ascii="仿宋_GB2312" w:hAnsi="仿宋_GB2312" w:eastAsia="仿宋_GB2312" w:cs="仿宋_GB2312"/>
          <w:color w:val="auto"/>
          <w:sz w:val="32"/>
          <w:szCs w:val="32"/>
          <w:highlight w:val="none"/>
          <w:lang w:val="en-US"/>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560"/>
        <w:textAlignment w:val="auto"/>
        <w:outlineLvl w:val="9"/>
        <w:rPr>
          <w:rFonts w:hint="eastAsia" w:ascii="仿宋_GB2312" w:hAnsi="仿宋_GB2312" w:eastAsia="仿宋_GB2312" w:cs="仿宋_GB2312"/>
          <w:color w:val="auto"/>
          <w:sz w:val="32"/>
          <w:szCs w:val="32"/>
          <w:highlight w:val="none"/>
          <w:lang w:val="en-US"/>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56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rPr>
        <w:t>附件：1.</w:t>
      </w:r>
      <w:r>
        <w:rPr>
          <w:rFonts w:hint="eastAsia" w:ascii="仿宋_GB2312" w:hAnsi="仿宋_GB2312" w:eastAsia="仿宋_GB2312" w:cs="仿宋_GB2312"/>
          <w:color w:val="auto"/>
          <w:sz w:val="32"/>
          <w:szCs w:val="32"/>
          <w:highlight w:val="none"/>
        </w:rPr>
        <w:t>部门整体支出</w:t>
      </w:r>
      <w:r>
        <w:rPr>
          <w:rFonts w:hint="eastAsia" w:ascii="仿宋_GB2312" w:hAnsi="仿宋_GB2312" w:cs="仿宋_GB2312"/>
          <w:color w:val="auto"/>
          <w:sz w:val="32"/>
          <w:szCs w:val="32"/>
          <w:highlight w:val="none"/>
          <w:lang w:eastAsia="zh-CN"/>
        </w:rPr>
        <w:t>绩效评价</w:t>
      </w:r>
      <w:r>
        <w:rPr>
          <w:rFonts w:hint="eastAsia" w:ascii="仿宋_GB2312" w:hAnsi="仿宋_GB2312" w:eastAsia="仿宋_GB2312" w:cs="仿宋_GB2312"/>
          <w:color w:val="auto"/>
          <w:sz w:val="32"/>
          <w:szCs w:val="32"/>
          <w:highlight w:val="none"/>
        </w:rPr>
        <w:t>指标体系</w:t>
      </w:r>
      <w:r>
        <w:rPr>
          <w:rFonts w:hint="eastAsia" w:ascii="仿宋_GB2312" w:hAnsi="仿宋_GB2312" w:cs="仿宋_GB2312"/>
          <w:color w:val="auto"/>
          <w:sz w:val="32"/>
          <w:szCs w:val="32"/>
          <w:highlight w:val="none"/>
          <w:lang w:eastAsia="zh-CN"/>
        </w:rPr>
        <w:t>及得分表</w:t>
      </w:r>
      <w:r>
        <w:rPr>
          <w:rFonts w:hint="eastAsia" w:ascii="仿宋_GB2312" w:hAnsi="仿宋_GB2312" w:eastAsia="仿宋_GB2312" w:cs="仿宋_GB2312"/>
          <w:color w:val="auto"/>
          <w:sz w:val="32"/>
          <w:szCs w:val="32"/>
          <w:highlight w:val="none"/>
        </w:rPr>
        <w:t>；</w:t>
      </w: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2.2020年部门整体支出绩效目标；</w:t>
      </w: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重点工作完成情况表；</w:t>
      </w: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.满意度调查问卷。</w:t>
      </w: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pPr>
    </w:p>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_GB2312" w:hAnsi="仿宋_GB2312" w:eastAsia="仿宋_GB2312" w:cs="仿宋_GB2312"/>
          <w:color w:val="auto"/>
          <w:sz w:val="32"/>
          <w:szCs w:val="32"/>
          <w:highlight w:val="none"/>
        </w:rPr>
        <w:sectPr>
          <w:footerReference r:id="rId5" w:type="default"/>
          <w:footnotePr>
            <w:numRestart w:val="eachPage"/>
          </w:footnotePr>
          <w:pgSz w:w="11906" w:h="16838"/>
          <w:pgMar w:top="1701" w:right="1474" w:bottom="1701" w:left="1587" w:header="851" w:footer="992" w:gutter="0"/>
          <w:pgNumType w:fmt="decimal" w:start="1"/>
          <w:cols w:space="425" w:num="1"/>
          <w:docGrid w:type="lines" w:linePitch="312" w:charSpace="0"/>
        </w:sectPr>
      </w:pPr>
    </w:p>
    <w:p>
      <w:pPr>
        <w:keepNext/>
        <w:keepLines/>
        <w:pageBreakBefore w:val="0"/>
        <w:widowControl w:val="0"/>
        <w:numPr>
          <w:ilvl w:val="1"/>
          <w:numId w:val="0"/>
        </w:numPr>
        <w:kinsoku/>
        <w:wordWrap/>
        <w:overflowPunct/>
        <w:topLinePunct w:val="0"/>
        <w:autoSpaceDE/>
        <w:autoSpaceDN/>
        <w:bidi w:val="0"/>
        <w:adjustRightInd/>
        <w:snapToGrid/>
        <w:spacing w:before="120" w:after="120" w:line="240" w:lineRule="auto"/>
        <w:textAlignment w:val="auto"/>
        <w:outlineLvl w:val="9"/>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zh-CN" w:eastAsia="zh-CN" w:bidi="ar-SA"/>
        </w:rPr>
        <w:t>附件</w:t>
      </w:r>
      <w:r>
        <w:rPr>
          <w:rFonts w:hint="eastAsia" w:ascii="仿宋_GB2312" w:hAnsi="仿宋_GB2312" w:eastAsia="仿宋_GB2312" w:cs="仿宋_GB2312"/>
          <w:b w:val="0"/>
          <w:bCs w:val="0"/>
          <w:color w:val="auto"/>
          <w:kern w:val="0"/>
          <w:sz w:val="24"/>
          <w:szCs w:val="24"/>
          <w:highlight w:val="none"/>
          <w:lang w:val="en-US" w:eastAsia="zh-CN" w:bidi="ar-SA"/>
        </w:rPr>
        <w:t>1.</w:t>
      </w:r>
    </w:p>
    <w:p>
      <w:pPr>
        <w:keepNext/>
        <w:keepLines/>
        <w:pageBreakBefore w:val="0"/>
        <w:widowControl w:val="0"/>
        <w:numPr>
          <w:ilvl w:val="1"/>
          <w:numId w:val="0"/>
        </w:numPr>
        <w:kinsoku/>
        <w:wordWrap/>
        <w:overflowPunct/>
        <w:topLinePunct w:val="0"/>
        <w:autoSpaceDE/>
        <w:autoSpaceDN/>
        <w:bidi w:val="0"/>
        <w:adjustRightInd/>
        <w:snapToGrid/>
        <w:spacing w:before="120" w:after="120" w:line="240" w:lineRule="auto"/>
        <w:ind w:left="198" w:leftChars="0"/>
        <w:jc w:val="center"/>
        <w:textAlignment w:val="auto"/>
        <w:outlineLvl w:val="9"/>
        <w:rPr>
          <w:rFonts w:hint="eastAsia" w:ascii="仿宋_GB2312" w:hAnsi="仿宋_GB2312" w:eastAsia="仿宋_GB2312" w:cs="仿宋_GB2312"/>
          <w:b w:val="0"/>
          <w:bCs w:val="0"/>
          <w:color w:val="auto"/>
          <w:kern w:val="0"/>
          <w:sz w:val="32"/>
          <w:szCs w:val="32"/>
          <w:highlight w:val="none"/>
          <w:lang w:val="zh-CN" w:eastAsia="zh-CN" w:bidi="ar-SA"/>
        </w:rPr>
      </w:pPr>
      <w:r>
        <w:rPr>
          <w:rFonts w:hint="eastAsia" w:ascii="宋体" w:hAnsi="宋体" w:eastAsia="宋体" w:cs="宋体"/>
          <w:b/>
          <w:bCs/>
          <w:color w:val="auto"/>
          <w:kern w:val="0"/>
          <w:sz w:val="32"/>
          <w:szCs w:val="32"/>
          <w:highlight w:val="none"/>
          <w:lang w:val="zh-CN" w:eastAsia="zh-CN" w:bidi="ar-SA"/>
        </w:rPr>
        <w:t>2020年度青岛市教育局整体支出绩效评价指标体系及得分表</w:t>
      </w:r>
    </w:p>
    <w:tbl>
      <w:tblPr>
        <w:tblStyle w:val="23"/>
        <w:tblW w:w="5039" w:type="pct"/>
        <w:tblInd w:w="0" w:type="dxa"/>
        <w:shd w:val="clear" w:color="auto" w:fill="auto"/>
        <w:tblLayout w:type="fixed"/>
        <w:tblCellMar>
          <w:top w:w="0" w:type="dxa"/>
          <w:left w:w="108" w:type="dxa"/>
          <w:bottom w:w="0" w:type="dxa"/>
          <w:right w:w="108" w:type="dxa"/>
        </w:tblCellMar>
      </w:tblPr>
      <w:tblGrid>
        <w:gridCol w:w="526"/>
        <w:gridCol w:w="689"/>
        <w:gridCol w:w="741"/>
        <w:gridCol w:w="1120"/>
        <w:gridCol w:w="519"/>
        <w:gridCol w:w="2685"/>
        <w:gridCol w:w="498"/>
        <w:gridCol w:w="4254"/>
        <w:gridCol w:w="682"/>
        <w:gridCol w:w="627"/>
        <w:gridCol w:w="1418"/>
      </w:tblGrid>
      <w:tr>
        <w:tblPrEx>
          <w:tblCellMar>
            <w:top w:w="0" w:type="dxa"/>
            <w:left w:w="108" w:type="dxa"/>
            <w:bottom w:w="0" w:type="dxa"/>
            <w:right w:w="108" w:type="dxa"/>
          </w:tblCellMar>
        </w:tblPrEx>
        <w:trPr>
          <w:trHeight w:val="66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一级</w:t>
            </w:r>
            <w:r>
              <w:rPr>
                <w:rFonts w:hint="eastAsia" w:ascii="楷体_GB2312" w:hAnsi="宋体" w:eastAsia="楷体_GB2312" w:cs="楷体_GB2312"/>
                <w:b/>
                <w:bCs/>
                <w:i w:val="0"/>
                <w:iCs w:val="0"/>
                <w:color w:val="auto"/>
                <w:kern w:val="0"/>
                <w:sz w:val="20"/>
                <w:szCs w:val="20"/>
                <w:u w:val="none"/>
                <w:lang w:val="en-US" w:eastAsia="zh-CN" w:bidi="ar"/>
              </w:rPr>
              <w:br w:type="textWrapping"/>
            </w:r>
            <w:r>
              <w:rPr>
                <w:rFonts w:hint="eastAsia" w:ascii="楷体_GB2312" w:hAnsi="宋体" w:eastAsia="楷体_GB2312" w:cs="楷体_GB2312"/>
                <w:b/>
                <w:bCs/>
                <w:i w:val="0"/>
                <w:iCs w:val="0"/>
                <w:color w:val="auto"/>
                <w:kern w:val="0"/>
                <w:sz w:val="20"/>
                <w:szCs w:val="20"/>
                <w:u w:val="none"/>
                <w:lang w:val="en-US" w:eastAsia="zh-CN" w:bidi="ar"/>
              </w:rPr>
              <w:t>指标</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二级</w:t>
            </w:r>
            <w:r>
              <w:rPr>
                <w:rFonts w:hint="eastAsia" w:ascii="楷体_GB2312" w:hAnsi="宋体" w:eastAsia="楷体_GB2312" w:cs="楷体_GB2312"/>
                <w:b/>
                <w:bCs/>
                <w:i w:val="0"/>
                <w:iCs w:val="0"/>
                <w:color w:val="auto"/>
                <w:kern w:val="0"/>
                <w:sz w:val="20"/>
                <w:szCs w:val="20"/>
                <w:u w:val="none"/>
                <w:lang w:val="en-US" w:eastAsia="zh-CN" w:bidi="ar"/>
              </w:rPr>
              <w:br w:type="textWrapping"/>
            </w:r>
            <w:r>
              <w:rPr>
                <w:rFonts w:hint="eastAsia" w:ascii="楷体_GB2312" w:hAnsi="宋体" w:eastAsia="楷体_GB2312" w:cs="楷体_GB2312"/>
                <w:b/>
                <w:bCs/>
                <w:i w:val="0"/>
                <w:iCs w:val="0"/>
                <w:color w:val="auto"/>
                <w:kern w:val="0"/>
                <w:sz w:val="20"/>
                <w:szCs w:val="20"/>
                <w:u w:val="none"/>
                <w:lang w:val="en-US" w:eastAsia="zh-CN" w:bidi="ar"/>
              </w:rPr>
              <w:t>指标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三级指标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四级指标</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权重</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指标解释</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标杆值</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评分标准</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得分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得分率</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_GB2312" w:hAnsi="宋体" w:eastAsia="楷体_GB2312" w:cs="楷体_GB2312"/>
                <w:b/>
                <w:bCs/>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扣分或得分情况说明</w:t>
            </w:r>
          </w:p>
        </w:tc>
      </w:tr>
      <w:tr>
        <w:tblPrEx>
          <w:tblCellMar>
            <w:top w:w="0" w:type="dxa"/>
            <w:left w:w="108" w:type="dxa"/>
            <w:bottom w:w="0" w:type="dxa"/>
            <w:right w:w="108" w:type="dxa"/>
          </w:tblCellMar>
        </w:tblPrEx>
        <w:trPr>
          <w:trHeight w:val="1440" w:hRule="atLeast"/>
        </w:trPr>
        <w:tc>
          <w:tcPr>
            <w:tcW w:w="526"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投   入（10分）</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目标</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设定（5）</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绩效目标合理性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部门（单位）所设立的整体绩效目标依据是否充分，是否符合客观实际，用以反映和考核部门（单位）整体绩效目标与部门履职、年度工作任务的相符性情况。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合理</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①是否符合国家法律法规、国民经济和社会发展总体规划；</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②是否符合部门“三定”方案确定的职责；</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③是否符合部门制定的中长期实施规划；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④是否符合市委市政府的决策部署和工作要求。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4项各占1/4权重分，有一项不满足，则扣除相应权重分。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目标合理</w:t>
            </w:r>
          </w:p>
        </w:tc>
      </w:tr>
      <w:tr>
        <w:tblPrEx>
          <w:shd w:val="clear" w:color="auto" w:fill="auto"/>
          <w:tblCellMar>
            <w:top w:w="0" w:type="dxa"/>
            <w:left w:w="108" w:type="dxa"/>
            <w:bottom w:w="0" w:type="dxa"/>
            <w:right w:w="108" w:type="dxa"/>
          </w:tblCellMar>
        </w:tblPrEx>
        <w:trPr>
          <w:trHeight w:val="1460" w:hRule="atLeast"/>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绩效指标明确性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部门（单位）依据整体绩效目标所设定的绩效指标是否清晰、细化、可衡量，用以反映和考核部门（单位）整体绩效目标的明细化情况。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明确</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①是否将部门整体的绩效目标细化分解为具体的工作任务；</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②是否通过清晰、可衡量的指标值予以体现。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③是否与部门年度的任务数或计划数相对应；</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④是否与本年度部门预算资金相匹配。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4项各占1/4权重分，有一项不满足，则扣除相应权重分。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1.5</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75%</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lang w:eastAsia="zh-CN"/>
              </w:rPr>
            </w:pPr>
            <w:r>
              <w:rPr>
                <w:rFonts w:hint="eastAsia" w:ascii="楷体_GB2312" w:hAnsi="宋体" w:eastAsia="楷体_GB2312" w:cs="楷体_GB2312"/>
                <w:i w:val="0"/>
                <w:iCs w:val="0"/>
                <w:color w:val="auto"/>
                <w:kern w:val="0"/>
                <w:sz w:val="20"/>
                <w:szCs w:val="20"/>
                <w:u w:val="none"/>
                <w:lang w:val="en-US" w:eastAsia="zh-CN" w:bidi="ar"/>
              </w:rPr>
              <w:t>③不满足</w:t>
            </w:r>
          </w:p>
        </w:tc>
      </w:tr>
      <w:tr>
        <w:tblPrEx>
          <w:shd w:val="clear" w:color="auto" w:fill="auto"/>
          <w:tblCellMar>
            <w:top w:w="0" w:type="dxa"/>
            <w:left w:w="108" w:type="dxa"/>
            <w:bottom w:w="0" w:type="dxa"/>
            <w:right w:w="108" w:type="dxa"/>
          </w:tblCellMar>
        </w:tblPrEx>
        <w:trPr>
          <w:trHeight w:val="1480" w:hRule="atLeast"/>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编制（5）</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预算编制合理性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部门（单位）所编制部门预算是否合理，是否与部门（单位）绩效目标相匹配，用以反映和考核部门（单位）预算测算过程及编制情况。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合理</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①预算编制经过科学论证；</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②预算内容与部门绩效目标匹配；</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③预算额度测算依据充分，按照标准编制；</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④预算确定的项目投资额或资金量与工作任务相匹配。</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4项各占1/4权重分，每有一项不满足，则扣除相应权重分。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预算编制合理</w:t>
            </w:r>
          </w:p>
        </w:tc>
      </w:tr>
      <w:tr>
        <w:tblPrEx>
          <w:shd w:val="clear" w:color="auto" w:fill="auto"/>
          <w:tblCellMar>
            <w:top w:w="0" w:type="dxa"/>
            <w:left w:w="108" w:type="dxa"/>
            <w:bottom w:w="0" w:type="dxa"/>
            <w:right w:w="108" w:type="dxa"/>
          </w:tblCellMar>
        </w:tblPrEx>
        <w:trPr>
          <w:trHeight w:val="1455" w:hRule="atLeast"/>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决策程序规范性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部门（单位）预算是否按程序进行评审，是否经过部门集体研究后确定，用以反映和考核部门（单位）预算决策程序的规范性。</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规范</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①对需要进行评审的项目，是否按程序组织预算评审；</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②是否经过部门（单位）党组会或局长办公会集体研究决策。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2项各占1/2权重分，有一项不满足，则扣除相应权重分。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决策程序规范</w:t>
            </w:r>
          </w:p>
        </w:tc>
      </w:tr>
      <w:tr>
        <w:tblPrEx>
          <w:shd w:val="clear" w:color="auto" w:fill="auto"/>
          <w:tblCellMar>
            <w:top w:w="0" w:type="dxa"/>
            <w:left w:w="108" w:type="dxa"/>
            <w:bottom w:w="0" w:type="dxa"/>
            <w:right w:w="108" w:type="dxa"/>
          </w:tblCellMar>
        </w:tblPrEx>
        <w:trPr>
          <w:trHeight w:val="1444" w:hRule="atLeast"/>
        </w:trPr>
        <w:tc>
          <w:tcPr>
            <w:tcW w:w="526"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过   程（30分）</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执行（15）</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预算执行率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04"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部门（单位）本年度预算执行数与预算数的比率，用以反映和考核部门（单位）预算执行程度。                                         预算执行率=（预算执行数/调整后预算数）×100%。</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预算执行数：部门（单位）本年度实际执行的预算数。</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调整后预算数：年初预算批复数+预算调整数。</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预算执行率达100%，则得满分。每降低1%扣5%权重分，扣完为止。</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2.61</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87%</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2020年决算金额299053.12万元，调整预算金额307054.67万元，预算执行率97.39%</w:t>
            </w:r>
          </w:p>
        </w:tc>
      </w:tr>
      <w:tr>
        <w:tblPrEx>
          <w:shd w:val="clear" w:color="auto" w:fill="auto"/>
          <w:tblCellMar>
            <w:top w:w="0" w:type="dxa"/>
            <w:left w:w="108" w:type="dxa"/>
            <w:bottom w:w="0" w:type="dxa"/>
            <w:right w:w="108" w:type="dxa"/>
          </w:tblCellMar>
        </w:tblPrEx>
        <w:trPr>
          <w:trHeight w:val="900" w:hRule="atLeast"/>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预算调整情况</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04"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部门（单位）本年度预算执行过程中，是否存在未经批准擅自调整预算支出内容的情况。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04"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无擅自调整</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04"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不存在擅自调整支出内容情况的，得满分，否则不得分。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无擅自调整</w:t>
            </w:r>
          </w:p>
        </w:tc>
      </w:tr>
      <w:tr>
        <w:tblPrEx>
          <w:shd w:val="clear" w:color="auto" w:fill="auto"/>
          <w:tblCellMar>
            <w:top w:w="0" w:type="dxa"/>
            <w:left w:w="108" w:type="dxa"/>
            <w:bottom w:w="0" w:type="dxa"/>
            <w:right w:w="108" w:type="dxa"/>
          </w:tblCellMar>
        </w:tblPrEx>
        <w:trPr>
          <w:trHeight w:val="3984" w:hRule="atLeast"/>
        </w:trPr>
        <w:tc>
          <w:tcPr>
            <w:tcW w:w="526" w:type="dxa"/>
            <w:vMerge w:val="continue"/>
            <w:tcBorders>
              <w:top w:val="single" w:color="000000"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689"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支付进度率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04"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 xml:space="preserve">重点评价部门（单位）专项资金实际支付进度与既定支付进度的比率，用以反映和考核部门（单位）预算执行的及时性和均衡性程度。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支付进度率=（实际支付进度/既定支付进度）×100%。</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实际支付进度：部门（单位）在3月底、6月底、9月底和12月底的专项资金支出预算执行总数与年度支出预算数的比率。</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既定支付进度：3月底、6月底、9月底和12月底，专项资金应分别达到33%、70%、85%和100%的执行进度。支付进度率取三个月份的平均值。 </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支付进度率达100%，则得满分。每降低1%扣5%权重分，扣完为止。</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2.94</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98%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2020年市财政批复教育专项资金年初预算数208440.5万元，调整后预算数207724.1万元，实际执行206867.16万元，支付进度率99.59%。</w:t>
            </w:r>
          </w:p>
        </w:tc>
      </w:tr>
      <w:tr>
        <w:tblPrEx>
          <w:shd w:val="clear" w:color="auto" w:fill="auto"/>
          <w:tblCellMar>
            <w:top w:w="0" w:type="dxa"/>
            <w:left w:w="108" w:type="dxa"/>
            <w:bottom w:w="0" w:type="dxa"/>
            <w:right w:w="108" w:type="dxa"/>
          </w:tblCellMar>
        </w:tblPrEx>
        <w:trPr>
          <w:trHeight w:val="1460" w:hRule="atLeast"/>
        </w:trPr>
        <w:tc>
          <w:tcPr>
            <w:tcW w:w="526" w:type="dxa"/>
            <w:vMerge w:val="restart"/>
            <w:tcBorders>
              <w:top w:val="single" w:color="auto" w:sz="4" w:space="0"/>
              <w:left w:val="single" w:color="000000"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过   程（30分）</w:t>
            </w:r>
          </w:p>
        </w:tc>
        <w:tc>
          <w:tcPr>
            <w:tcW w:w="689"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执行（15）</w:t>
            </w:r>
          </w:p>
        </w:tc>
        <w:tc>
          <w:tcPr>
            <w:tcW w:w="74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上年结转资金执行率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 xml:space="preserve">部门（单位）上年度结转资金实际执行数与结转总额的比率，用以反映和考核部门（单位）对上年度结转资金的实际执行情况。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上年结转资金执行率=结转执行数/结转总额×100%。</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结转总额：部门（单位）本年度的结转资金总额。</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上年结转资金执行率达100%，则得满分。每降低1%扣5%权重分，扣完为止。</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结转资金执行率=（6079.29-6153.46）/6079.29=-1.22%</w:t>
            </w:r>
          </w:p>
        </w:tc>
      </w:tr>
      <w:tr>
        <w:tblPrEx>
          <w:shd w:val="clear" w:color="auto" w:fill="auto"/>
          <w:tblCellMar>
            <w:top w:w="0" w:type="dxa"/>
            <w:left w:w="108" w:type="dxa"/>
            <w:bottom w:w="0" w:type="dxa"/>
            <w:right w:w="108" w:type="dxa"/>
          </w:tblCellMar>
        </w:tblPrEx>
        <w:trPr>
          <w:trHeight w:val="960"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“三公经费”变动情况</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部门（单位）本年度“三公经费”决算数与上年度“三公经费”决算数对比情况，用以反映和考核部门（单位）对控制重点行政成本的努力程度。</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无变动</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本年度“三公经费”总额＜上年度“三公经费”总额，得2分；等于得1分；大于不得分。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2020年度“三公经费”决算数70.28万元＜2019年度“三公经费”决算数538.57万元</w:t>
            </w:r>
          </w:p>
        </w:tc>
      </w:tr>
      <w:tr>
        <w:tblPrEx>
          <w:shd w:val="clear" w:color="auto" w:fill="auto"/>
          <w:tblCellMar>
            <w:top w:w="0" w:type="dxa"/>
            <w:left w:w="108" w:type="dxa"/>
            <w:bottom w:w="0" w:type="dxa"/>
            <w:right w:w="108" w:type="dxa"/>
          </w:tblCellMar>
        </w:tblPrEx>
        <w:trPr>
          <w:trHeight w:val="1840"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政府采购执行率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 xml:space="preserve">部门（单位）本年度实际政府采购金额与年初政府采购预算的比率，用以反映和考核部门（单位）政府采购预算执行情况。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政府采购执行率=（实际政府采购金额/政府采购预算数）×100%；</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政府采购预算：采购机关根据事业发展计划和行政任务编制的、并经过规定程序批准的年度政府采购计划。 </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政府采购执行率达95%以上，则得满分。每降低1%扣5%权重分，扣完为止。</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_GB2312" w:hAnsi="宋体" w:eastAsia="楷体_GB2312" w:cs="楷体_GB2312"/>
                <w:i w:val="0"/>
                <w:iCs w:val="0"/>
                <w:color w:val="auto"/>
                <w:sz w:val="18"/>
                <w:szCs w:val="18"/>
                <w:highlight w:val="yellow"/>
                <w:u w:val="none"/>
              </w:rPr>
            </w:pPr>
            <w:r>
              <w:rPr>
                <w:rFonts w:hint="eastAsia" w:ascii="楷体_GB2312" w:hAnsi="宋体" w:eastAsia="楷体_GB2312" w:cs="楷体_GB2312"/>
                <w:i w:val="0"/>
                <w:iCs w:val="0"/>
                <w:color w:val="auto"/>
                <w:kern w:val="0"/>
                <w:sz w:val="20"/>
                <w:szCs w:val="20"/>
                <w:u w:val="none"/>
                <w:lang w:val="en-US" w:eastAsia="zh-CN" w:bidi="ar"/>
              </w:rPr>
              <w:t>2.61</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_GB2312" w:hAnsi="宋体" w:eastAsia="楷体_GB2312" w:cs="楷体_GB2312"/>
                <w:i w:val="0"/>
                <w:iCs w:val="0"/>
                <w:color w:val="auto"/>
                <w:sz w:val="18"/>
                <w:szCs w:val="18"/>
                <w:highlight w:val="yellow"/>
                <w:u w:val="none"/>
              </w:rPr>
            </w:pPr>
            <w:r>
              <w:rPr>
                <w:rFonts w:hint="eastAsia" w:ascii="楷体_GB2312" w:hAnsi="宋体" w:eastAsia="楷体_GB2312" w:cs="楷体_GB2312"/>
                <w:i w:val="0"/>
                <w:iCs w:val="0"/>
                <w:color w:val="auto"/>
                <w:kern w:val="0"/>
                <w:sz w:val="20"/>
                <w:szCs w:val="20"/>
                <w:u w:val="none"/>
                <w:lang w:val="en-US" w:eastAsia="zh-CN" w:bidi="ar"/>
              </w:rPr>
              <w:t>87%</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192" w:lineRule="auto"/>
              <w:jc w:val="left"/>
              <w:textAlignment w:val="center"/>
              <w:rPr>
                <w:rFonts w:hint="eastAsia" w:ascii="楷体_GB2312" w:hAnsi="宋体" w:eastAsia="楷体_GB2312" w:cs="楷体_GB2312"/>
                <w:i w:val="0"/>
                <w:iCs w:val="0"/>
                <w:color w:val="auto"/>
                <w:sz w:val="18"/>
                <w:szCs w:val="18"/>
                <w:highlight w:val="yellow"/>
                <w:u w:val="none"/>
              </w:rPr>
            </w:pPr>
            <w:r>
              <w:rPr>
                <w:rFonts w:hint="eastAsia" w:ascii="楷体_GB2312" w:hAnsi="宋体" w:eastAsia="楷体_GB2312" w:cs="楷体_GB2312"/>
                <w:i w:val="0"/>
                <w:iCs w:val="0"/>
                <w:color w:val="auto"/>
                <w:kern w:val="0"/>
                <w:sz w:val="20"/>
                <w:szCs w:val="20"/>
                <w:u w:val="none"/>
                <w:lang w:val="en-US" w:eastAsia="zh-CN" w:bidi="ar"/>
              </w:rPr>
              <w:t>2020年政府采购预算批复数82604.97万元，因基建工程、设备采购项目政府采购需申报总投资，金额与预算批复存在差异，另扣除预算调整、转移执行项目，实际采购预算金额应为36707.82万元，执行金额33906.13万元，执行率92.37%</w:t>
            </w:r>
          </w:p>
        </w:tc>
      </w:tr>
      <w:tr>
        <w:tblPrEx>
          <w:shd w:val="clear" w:color="auto" w:fill="auto"/>
          <w:tblCellMar>
            <w:top w:w="0" w:type="dxa"/>
            <w:left w:w="108" w:type="dxa"/>
            <w:bottom w:w="0" w:type="dxa"/>
            <w:right w:w="108" w:type="dxa"/>
          </w:tblCellMar>
        </w:tblPrEx>
        <w:trPr>
          <w:trHeight w:val="1949" w:hRule="atLeast"/>
        </w:trPr>
        <w:tc>
          <w:tcPr>
            <w:tcW w:w="526" w:type="dxa"/>
            <w:vMerge w:val="restart"/>
            <w:tcBorders>
              <w:top w:val="single" w:color="auto" w:sz="4" w:space="0"/>
              <w:left w:val="single" w:color="000000"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过   程（30分）</w:t>
            </w:r>
          </w:p>
        </w:tc>
        <w:tc>
          <w:tcPr>
            <w:tcW w:w="68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预算</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管理（9）</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管理制度健全性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部门（单位）为加强预算管理、规范财务行为而制定的管理制度是否健全完整，用以反映和考核部门（单位）预算管理制度对完成主要职责或促进事业发展的保障情况。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健全</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①是否已制定或具有预算资金管理办法、内部财务管理制度、会计核算制度等管理制度；</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②相关管理制度是否合法、合规、完整；</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③相关管理制度是否得到有效执行。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3项各占1/3权重分，有一项不满足，则扣除相应权重分。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管理制度健全</w:t>
            </w:r>
          </w:p>
        </w:tc>
      </w:tr>
      <w:tr>
        <w:tblPrEx>
          <w:shd w:val="clear" w:color="auto" w:fill="auto"/>
          <w:tblCellMar>
            <w:top w:w="0" w:type="dxa"/>
            <w:left w:w="108" w:type="dxa"/>
            <w:bottom w:w="0" w:type="dxa"/>
            <w:right w:w="108" w:type="dxa"/>
          </w:tblCellMar>
        </w:tblPrEx>
        <w:trPr>
          <w:trHeight w:val="1960"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资金使用合规性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部门（单位）使用预算资金是否符合相关的预算财务管理制度的规定，用以反映和考核部门（单位）预算资金的规范运行情况。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合规</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①是否符合国家财经法规和财务管理制度规定以及有关专项资金管理办法的规定；</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②资金的拨付是否有完整的审批程序和手续；</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③项目的重大开支是否经过评估论证；</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④是否符合部门预算批复的用途；</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⑤是否存在截留、挤占、挪用、虚列支出等情况。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5项各占1/5权重分，有一项不满足，则扣除相应权重分。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未发现不合规事项</w:t>
            </w:r>
          </w:p>
        </w:tc>
      </w:tr>
      <w:tr>
        <w:tblPrEx>
          <w:shd w:val="clear" w:color="auto" w:fill="auto"/>
          <w:tblCellMar>
            <w:top w:w="0" w:type="dxa"/>
            <w:left w:w="108" w:type="dxa"/>
            <w:bottom w:w="0" w:type="dxa"/>
            <w:right w:w="108" w:type="dxa"/>
          </w:tblCellMar>
        </w:tblPrEx>
        <w:trPr>
          <w:trHeight w:val="1360"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预决算信息公开性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部门（单位）是否按照政府信息公开有关规定公开相关预决算信息，用以反映和考核部门（单位）预决算管理的公开透明情况。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公开</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①是否按规定内容、时限公开预决算信息；</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②是否按规定及时公开青办发〔2016〕24号文件中所规定的与部门政府采购、资产管理、绩效管理等相关的信息。 2项各占1/2权重分，有一项不满足，则扣除相应权重分。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按规定内容、时限统一在“青岛政务网”公开预决算信息</w:t>
            </w:r>
          </w:p>
        </w:tc>
      </w:tr>
      <w:tr>
        <w:tblPrEx>
          <w:shd w:val="clear" w:color="auto" w:fill="auto"/>
          <w:tblCellMar>
            <w:top w:w="0" w:type="dxa"/>
            <w:left w:w="108" w:type="dxa"/>
            <w:bottom w:w="0" w:type="dxa"/>
            <w:right w:w="108" w:type="dxa"/>
          </w:tblCellMar>
        </w:tblPrEx>
        <w:trPr>
          <w:trHeight w:val="1082"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基础信息完善性</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部门（单位）基础信息是否完善，用以反映和考核基础信息对预算管理工作的支撑情况。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完整</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①基础数据信息和会计信息资料是否真实；</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②基础数据信息和会计信息资料是否完整；</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③基础数据信息和会计信息资料是否准确。                          3项各占1/3权重分，有一项不满足，则扣除相应权重分。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基础数据信息和会计信息均通过信息化软件管理，基础数据信息通过财政部门基础信息库统一管理，会计信息通过专业财务软件登记核算管理</w:t>
            </w:r>
          </w:p>
        </w:tc>
      </w:tr>
      <w:tr>
        <w:tblPrEx>
          <w:shd w:val="clear" w:color="auto" w:fill="auto"/>
          <w:tblCellMar>
            <w:top w:w="0" w:type="dxa"/>
            <w:left w:w="108" w:type="dxa"/>
            <w:bottom w:w="0" w:type="dxa"/>
            <w:right w:w="108" w:type="dxa"/>
          </w:tblCellMar>
        </w:tblPrEx>
        <w:trPr>
          <w:trHeight w:val="1200"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资产</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管理（6）</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固定资产利用率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 xml:space="preserve">部门（单位）固定资产利用率用以反映固定资产的使用程度，反映资产合理配置的情况。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固定资产利用率=（资产实际利用时间/资产计划利用时间）×100%。</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固定资产利用率达100%，则得满分。每降低1%扣5%权重分，扣完为止。</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sz w:val="20"/>
                <w:szCs w:val="20"/>
                <w:highlight w:val="none"/>
                <w:u w:val="none"/>
              </w:rPr>
              <w:t>固定资产利用率100%</w:t>
            </w:r>
          </w:p>
        </w:tc>
      </w:tr>
      <w:tr>
        <w:tblPrEx>
          <w:shd w:val="clear" w:color="auto" w:fill="auto"/>
          <w:tblCellMar>
            <w:top w:w="0" w:type="dxa"/>
            <w:left w:w="108" w:type="dxa"/>
            <w:bottom w:w="0" w:type="dxa"/>
            <w:right w:w="108" w:type="dxa"/>
          </w:tblCellMar>
        </w:tblPrEx>
        <w:trPr>
          <w:trHeight w:val="2275"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资产管理规范性</w:t>
            </w:r>
          </w:p>
        </w:tc>
        <w:tc>
          <w:tcPr>
            <w:tcW w:w="11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部门（单位）为加强资产管理、规范资产管理行为而制定的管理制度是否健全完整；资产是否使用合规、处置规范、收入及时足额上缴，用以反映和考核部门（单位）资产使用运行情况。</w:t>
            </w:r>
          </w:p>
        </w:tc>
        <w:tc>
          <w:tcPr>
            <w:tcW w:w="4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规范</w:t>
            </w:r>
          </w:p>
        </w:tc>
        <w:tc>
          <w:tcPr>
            <w:tcW w:w="425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 xml:space="preserve">①是否已制定资产管理制度，相关资产管理制度是否合法、合规、完整；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②相关资产管理制度是否得到有效执行。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③资产配置是否合理，是否符合资产配置标准；</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④资产使用、处置是否规范，是否符合相关制度规定；</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⑤资产有偿使用收入和处置收入是否按规定及时足额上缴。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5项各占1/5权重分，有一项不满足，则扣除相应权重分。</w:t>
            </w:r>
          </w:p>
        </w:tc>
        <w:tc>
          <w:tcPr>
            <w:tcW w:w="68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62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80%</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制定《青岛市教育局直属单位固定资产使用管理实施细则（暂行）》</w:t>
            </w:r>
          </w:p>
        </w:tc>
      </w:tr>
      <w:tr>
        <w:tblPrEx>
          <w:shd w:val="clear" w:color="auto" w:fill="auto"/>
          <w:tblCellMar>
            <w:top w:w="0" w:type="dxa"/>
            <w:left w:w="108" w:type="dxa"/>
            <w:bottom w:w="0" w:type="dxa"/>
            <w:right w:w="108" w:type="dxa"/>
          </w:tblCellMar>
        </w:tblPrEx>
        <w:trPr>
          <w:trHeight w:val="2160" w:hRule="atLeast"/>
        </w:trPr>
        <w:tc>
          <w:tcPr>
            <w:tcW w:w="526" w:type="dxa"/>
            <w:tcBorders>
              <w:top w:val="single" w:color="auto" w:sz="4" w:space="0"/>
              <w:left w:val="single" w:color="auto"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产   出（30分）</w:t>
            </w:r>
          </w:p>
        </w:tc>
        <w:tc>
          <w:tcPr>
            <w:tcW w:w="689"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职责履行（30）</w:t>
            </w:r>
          </w:p>
        </w:tc>
        <w:tc>
          <w:tcPr>
            <w:tcW w:w="741"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实际完成率</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（7分）</w:t>
            </w:r>
          </w:p>
        </w:tc>
        <w:tc>
          <w:tcPr>
            <w:tcW w:w="112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“十三五”教育事业发展规划目标实际完成率</w:t>
            </w:r>
          </w:p>
        </w:tc>
        <w:tc>
          <w:tcPr>
            <w:tcW w:w="519"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3</w:t>
            </w:r>
          </w:p>
        </w:tc>
        <w:tc>
          <w:tcPr>
            <w:tcW w:w="268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 xml:space="preserve">部门（单位）履行职责而实际完成工作数与计划工作数的比率，用以反映和考核部门（单位）履职工作任务目标的实际程度。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               </w:t>
            </w:r>
          </w:p>
        </w:tc>
        <w:tc>
          <w:tcPr>
            <w:tcW w:w="49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①到2020年，新建、改扩建学前教育设施500余所；</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②规划建设400所义务学校；</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③建成300所市级足球特色学校和100所全国足球特色学校；</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④“十三期间”，在全市普通高中学校建设60个创新实验室；</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⑤培育1000名以上产学研能力较强的“双师型”教师；</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⑥新建、改扩建8所职业教育学校。</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完成率达100%，则得满分，每降低1%，扣除5%权重分，扣完为止。</w:t>
            </w:r>
          </w:p>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p>
        </w:tc>
        <w:tc>
          <w:tcPr>
            <w:tcW w:w="68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楷体_GB2312" w:hAnsi="宋体" w:eastAsia="楷体_GB2312" w:cs="楷体_GB2312"/>
                <w:i w:val="0"/>
                <w:iCs w:val="0"/>
                <w:color w:val="auto"/>
                <w:sz w:val="18"/>
                <w:szCs w:val="18"/>
                <w:highlight w:val="none"/>
                <w:u w:val="none"/>
                <w:lang w:val="en-US"/>
              </w:rPr>
            </w:pPr>
            <w:r>
              <w:rPr>
                <w:rFonts w:hint="eastAsia" w:ascii="楷体_GB2312" w:hAnsi="宋体" w:eastAsia="楷体_GB2312" w:cs="楷体_GB2312"/>
                <w:i w:val="0"/>
                <w:iCs w:val="0"/>
                <w:color w:val="auto"/>
                <w:kern w:val="0"/>
                <w:sz w:val="20"/>
                <w:szCs w:val="20"/>
                <w:u w:val="none"/>
                <w:lang w:val="en-US" w:eastAsia="zh-CN" w:bidi="ar"/>
              </w:rPr>
              <w:t>3</w:t>
            </w:r>
          </w:p>
        </w:tc>
        <w:tc>
          <w:tcPr>
            <w:tcW w:w="62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完成</w:t>
            </w:r>
          </w:p>
        </w:tc>
      </w:tr>
      <w:tr>
        <w:tblPrEx>
          <w:shd w:val="clear" w:color="auto" w:fill="auto"/>
          <w:tblCellMar>
            <w:top w:w="0" w:type="dxa"/>
            <w:left w:w="108" w:type="dxa"/>
            <w:bottom w:w="0" w:type="dxa"/>
            <w:right w:w="108" w:type="dxa"/>
          </w:tblCellMar>
        </w:tblPrEx>
        <w:trPr>
          <w:trHeight w:val="2266" w:hRule="atLeast"/>
        </w:trPr>
        <w:tc>
          <w:tcPr>
            <w:tcW w:w="526" w:type="dxa"/>
            <w:vMerge w:val="restart"/>
            <w:tcBorders>
              <w:top w:val="single" w:color="auto" w:sz="4" w:space="0"/>
              <w:left w:val="single" w:color="auto"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产   出（30分）</w:t>
            </w:r>
          </w:p>
        </w:tc>
        <w:tc>
          <w:tcPr>
            <w:tcW w:w="689"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职责履行（30）</w:t>
            </w:r>
          </w:p>
        </w:tc>
        <w:tc>
          <w:tcPr>
            <w:tcW w:w="741"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实际完成率</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（7分）</w:t>
            </w:r>
          </w:p>
        </w:tc>
        <w:tc>
          <w:tcPr>
            <w:tcW w:w="11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改善办学条件专项目标完成率</w:t>
            </w:r>
          </w:p>
        </w:tc>
        <w:tc>
          <w:tcPr>
            <w:tcW w:w="51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left"/>
              <w:rPr>
                <w:rFonts w:hint="eastAsia" w:ascii="楷体_GB2312" w:hAnsi="宋体" w:eastAsia="楷体_GB2312" w:cs="楷体_GB2312"/>
                <w:i w:val="0"/>
                <w:iCs w:val="0"/>
                <w:color w:val="auto"/>
                <w:kern w:val="0"/>
                <w:sz w:val="18"/>
                <w:szCs w:val="18"/>
                <w:highlight w:val="none"/>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 xml:space="preserve">部门（单位）履行职责而实际完成工作数与计划工作数的比率，用以反映和考核部门（单位）履职工作任务目标的实际程度。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实际完成率=（实际完成工作数/计划工作数）×100%                                       实际完成工作数：一定时期（年度或规划期）内部（单位）实际完成工作任务数量。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计划工作数：部门（单位）整体绩效目标确定的一定时期（年度或规划）内预计完成工作任务的数量。   </w:t>
            </w:r>
          </w:p>
        </w:tc>
        <w:tc>
          <w:tcPr>
            <w:tcW w:w="49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①局属学校生均保障及定额补助；</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②教育基建维修项目；</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③教育合作交流；</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④教育改革创新；</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⑤教育教学研究；</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⑥促进学生全面发展“十个一”；</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⑦职业教育发展；</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⑧教育装备配合与信息化建设；</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⑨改善办学条件和教学质量提升。</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每项各占1/9权重，完成得满分，未完成得0分。</w:t>
            </w:r>
          </w:p>
        </w:tc>
        <w:tc>
          <w:tcPr>
            <w:tcW w:w="68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default" w:ascii="楷体_GB2312" w:hAnsi="宋体" w:eastAsia="楷体_GB2312" w:cs="楷体_GB2312"/>
                <w:i w:val="0"/>
                <w:iCs w:val="0"/>
                <w:color w:val="auto"/>
                <w:sz w:val="18"/>
                <w:szCs w:val="18"/>
                <w:highlight w:val="none"/>
                <w:u w:val="none"/>
                <w:lang w:val="en-US"/>
              </w:rPr>
            </w:pPr>
            <w:r>
              <w:rPr>
                <w:rFonts w:hint="eastAsia" w:ascii="楷体_GB2312" w:hAnsi="宋体" w:eastAsia="楷体_GB2312" w:cs="楷体_GB2312"/>
                <w:i w:val="0"/>
                <w:iCs w:val="0"/>
                <w:color w:val="auto"/>
                <w:kern w:val="0"/>
                <w:sz w:val="20"/>
                <w:szCs w:val="20"/>
                <w:u w:val="none"/>
                <w:lang w:val="en-US" w:eastAsia="zh-CN" w:bidi="ar"/>
              </w:rPr>
              <w:t>1.33</w:t>
            </w:r>
          </w:p>
        </w:tc>
        <w:tc>
          <w:tcPr>
            <w:tcW w:w="62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67%</w:t>
            </w:r>
          </w:p>
        </w:tc>
        <w:tc>
          <w:tcPr>
            <w:tcW w:w="141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168"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18"/>
                <w:szCs w:val="18"/>
                <w:u w:val="none"/>
                <w:lang w:val="en-US" w:eastAsia="zh-CN" w:bidi="ar"/>
              </w:rPr>
              <w:t>⑤教育教学研究：一师一优课等评奖目标数量5000节，实际完成3829节；⑥李沧区十个一项目未开展；⑧全市中小学实验室危险化学品集中处置、教育信息化专项培训未完成，扣减0.67分</w:t>
            </w:r>
          </w:p>
        </w:tc>
      </w:tr>
      <w:tr>
        <w:tblPrEx>
          <w:shd w:val="clear" w:color="auto" w:fill="auto"/>
          <w:tblCellMar>
            <w:top w:w="0" w:type="dxa"/>
            <w:left w:w="108" w:type="dxa"/>
            <w:bottom w:w="0" w:type="dxa"/>
            <w:right w:w="108" w:type="dxa"/>
          </w:tblCellMar>
        </w:tblPrEx>
        <w:trPr>
          <w:trHeight w:val="1470" w:hRule="atLeast"/>
        </w:trPr>
        <w:tc>
          <w:tcPr>
            <w:tcW w:w="526" w:type="dxa"/>
            <w:vMerge w:val="continue"/>
            <w:tcBorders>
              <w:top w:val="single" w:color="auto" w:sz="4" w:space="0"/>
              <w:left w:val="single" w:color="auto"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支持教育事业发展专项目标完成率</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left"/>
              <w:rPr>
                <w:rFonts w:hint="eastAsia" w:ascii="楷体_GB2312" w:hAnsi="宋体" w:eastAsia="楷体_GB2312" w:cs="楷体_GB2312"/>
                <w:i w:val="0"/>
                <w:iCs w:val="0"/>
                <w:color w:val="auto"/>
                <w:kern w:val="0"/>
                <w:sz w:val="18"/>
                <w:szCs w:val="18"/>
                <w:highlight w:val="none"/>
                <w:u w:val="none"/>
                <w:lang w:val="en-US" w:eastAsia="zh-CN" w:bidi="ar"/>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both"/>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①教育服务保障项目；</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②社会主义学院房产购置项目；</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③第十四届学运会；</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④高等教育发展；</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⑤地方课程和教辅材料补助项目；</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⑥教育招生考试；</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⑦教师队伍建设；</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⑧困难学生资助；</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⑨学前教育发展。</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每项各占1/9权重，完成得满分，未完成得0分。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1.78</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89%</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164" w:lineRule="auto"/>
              <w:jc w:val="left"/>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18"/>
                <w:szCs w:val="18"/>
                <w:u w:val="none"/>
                <w:lang w:val="en-US" w:eastAsia="zh-CN" w:bidi="ar"/>
              </w:rPr>
              <w:t>③第十四届学运会，受疫情影响延期举行，资金调整用于工程学院及五所高中人才公寓PPP项目财政补贴等支出，不扣分；④青岛大学“十三五”共建项目，用于5个研发项目，其中靶向创新药物的品种开发项目：R&amp;D目标项目数4个，实际完成1个；全市技术合同交易目标额200万元，实际完成54万元；专利申请目标数5个，实际完成3个；神经系统药物校企协同创新中心项目：拟发表文章15-20篇，实际发表8篇；全市技术合同目标交易值150-200万无，实际完成0元；专利申请目标数7-10项，实际申请0项，扣减0.22分； ⑥受疫情影响，体育中考未开展，不扣分。</w:t>
            </w:r>
          </w:p>
        </w:tc>
      </w:tr>
      <w:tr>
        <w:tblPrEx>
          <w:shd w:val="clear" w:color="auto" w:fill="auto"/>
          <w:tblCellMar>
            <w:top w:w="0" w:type="dxa"/>
            <w:left w:w="108" w:type="dxa"/>
            <w:bottom w:w="0" w:type="dxa"/>
            <w:right w:w="108" w:type="dxa"/>
          </w:tblCellMar>
        </w:tblPrEx>
        <w:trPr>
          <w:trHeight w:val="2874" w:hRule="atLeast"/>
        </w:trPr>
        <w:tc>
          <w:tcPr>
            <w:tcW w:w="526" w:type="dxa"/>
            <w:vMerge w:val="restart"/>
            <w:tcBorders>
              <w:top w:val="single" w:color="auto" w:sz="4" w:space="0"/>
              <w:left w:val="single" w:color="auto"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20"/>
                <w:szCs w:val="20"/>
                <w:highlight w:val="none"/>
                <w:u w:val="none"/>
                <w:lang w:eastAsia="zh-CN"/>
              </w:rPr>
            </w:pPr>
            <w:r>
              <w:rPr>
                <w:rFonts w:hint="eastAsia" w:ascii="楷体_GB2312" w:hAnsi="宋体" w:eastAsia="楷体_GB2312" w:cs="楷体_GB2312"/>
                <w:i w:val="0"/>
                <w:iCs w:val="0"/>
                <w:color w:val="auto"/>
                <w:kern w:val="0"/>
                <w:sz w:val="20"/>
                <w:szCs w:val="20"/>
                <w:u w:val="none"/>
                <w:lang w:val="en-US" w:eastAsia="zh-CN" w:bidi="ar"/>
              </w:rPr>
              <w:t>产   出（30分）</w:t>
            </w:r>
          </w:p>
        </w:tc>
        <w:tc>
          <w:tcPr>
            <w:tcW w:w="689"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lang w:eastAsia="zh-CN"/>
              </w:rPr>
            </w:pPr>
            <w:r>
              <w:rPr>
                <w:rFonts w:hint="eastAsia" w:ascii="楷体_GB2312" w:hAnsi="宋体" w:eastAsia="楷体_GB2312" w:cs="楷体_GB2312"/>
                <w:i w:val="0"/>
                <w:iCs w:val="0"/>
                <w:color w:val="auto"/>
                <w:kern w:val="0"/>
                <w:sz w:val="20"/>
                <w:szCs w:val="20"/>
                <w:u w:val="none"/>
                <w:lang w:val="en-US" w:eastAsia="zh-CN" w:bidi="ar"/>
              </w:rPr>
              <w:t>职责履行（30）</w:t>
            </w:r>
          </w:p>
        </w:tc>
        <w:tc>
          <w:tcPr>
            <w:tcW w:w="74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完成及时率</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（7分）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 xml:space="preserve">部门（单位）在规定时限内及时完成的实际工作数与计划工作数的比率，用以反映和考核部门履职质量目标的实现程度。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实际及时率=（及时完成实际工作数/计划工作数）×100%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及时完成实际工作数：部门（单位）按照整体绩效目标确定的时限实际完成的工作任务数量。</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①“十三五”教育事业发展规划目标，完成及时率达100%，则得3分。</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②改善办学条件专项下设9个二级专项，支持教育事业发展专项下设9个二级专项，每项专项分值2分，共4分。</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专项资金完成及时率达100%，则得满分，每降低1%，扣除5%权重分，扣完为止。</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lang w:val="en-US" w:eastAsia="zh-CN"/>
              </w:rPr>
            </w:pPr>
            <w:r>
              <w:rPr>
                <w:rFonts w:hint="eastAsia" w:ascii="楷体_GB2312" w:hAnsi="宋体" w:eastAsia="楷体_GB2312" w:cs="楷体_GB2312"/>
                <w:i w:val="0"/>
                <w:iCs w:val="0"/>
                <w:color w:val="auto"/>
                <w:kern w:val="0"/>
                <w:sz w:val="20"/>
                <w:szCs w:val="20"/>
                <w:u w:val="none"/>
                <w:lang w:val="en-US" w:eastAsia="zh-CN" w:bidi="ar"/>
              </w:rPr>
              <w:t>7</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default" w:ascii="楷体_GB2312" w:hAnsi="宋体" w:eastAsia="楷体_GB2312" w:cs="楷体_GB2312"/>
                <w:i w:val="0"/>
                <w:iCs w:val="0"/>
                <w:color w:val="auto"/>
                <w:sz w:val="20"/>
                <w:szCs w:val="20"/>
                <w:highlight w:val="none"/>
                <w:u w:val="none"/>
                <w:lang w:val="en-US"/>
              </w:rPr>
            </w:pPr>
            <w:r>
              <w:rPr>
                <w:rFonts w:hint="eastAsia" w:ascii="楷体_GB2312" w:hAnsi="宋体" w:eastAsia="楷体_GB2312" w:cs="楷体_GB2312"/>
                <w:i w:val="0"/>
                <w:iCs w:val="0"/>
                <w:color w:val="auto"/>
                <w:kern w:val="0"/>
                <w:sz w:val="20"/>
                <w:szCs w:val="20"/>
                <w:u w:val="none"/>
                <w:lang w:val="en-US" w:eastAsia="zh-CN" w:bidi="ar"/>
              </w:rPr>
              <w:t>项目完成及时率100%</w:t>
            </w:r>
          </w:p>
        </w:tc>
      </w:tr>
      <w:tr>
        <w:tblPrEx>
          <w:shd w:val="clear" w:color="auto" w:fill="auto"/>
          <w:tblCellMar>
            <w:top w:w="0" w:type="dxa"/>
            <w:left w:w="108" w:type="dxa"/>
            <w:bottom w:w="0" w:type="dxa"/>
            <w:right w:w="108" w:type="dxa"/>
          </w:tblCellMar>
        </w:tblPrEx>
        <w:trPr>
          <w:trHeight w:val="735"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质量达标率</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（7分）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 xml:space="preserve">达到质量标准（绩效标准值、政策标准）的实际工作数与计划工作数的比率，用以反映和考核部门履职质量目标的实现程度。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 xml:space="preserve">质量达标率=（质量达标实际工作数/计划工作数）×100%                                  </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质量达标实际工作数：一定时期（年度或规划期）内部门（单位）实际完成工作数中达到部门绩效目标要求（绩效标准值）的工作任务数量。</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①“十三五”教育事业发展规划目标，质量达标率达100%，则得3分。</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②改善办学条件专项下设9个二级专项，支持教育事业发展专项下设9个二级专项，每项专项分值2分，共4分。</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3项质量达标率达100%，则得所占权重分，每降低1%，扣除5%权重分，扣完为止。</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_GB2312" w:hAnsi="宋体" w:eastAsia="楷体_GB2312" w:cs="楷体_GB2312"/>
                <w:i w:val="0"/>
                <w:iCs w:val="0"/>
                <w:color w:val="auto"/>
                <w:sz w:val="18"/>
                <w:szCs w:val="18"/>
                <w:highlight w:val="yellow"/>
                <w:u w:val="none"/>
              </w:rPr>
            </w:pPr>
            <w:r>
              <w:rPr>
                <w:rFonts w:hint="eastAsia" w:ascii="楷体_GB2312" w:hAnsi="宋体" w:eastAsia="楷体_GB2312" w:cs="楷体_GB2312"/>
                <w:i w:val="0"/>
                <w:iCs w:val="0"/>
                <w:color w:val="auto"/>
                <w:kern w:val="0"/>
                <w:sz w:val="20"/>
                <w:szCs w:val="20"/>
                <w:u w:val="none"/>
                <w:lang w:val="en-US" w:eastAsia="zh-CN" w:bidi="ar"/>
              </w:rPr>
              <w:t>5.89</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楷体_GB2312" w:hAnsi="宋体" w:eastAsia="楷体_GB2312" w:cs="楷体_GB2312"/>
                <w:i w:val="0"/>
                <w:iCs w:val="0"/>
                <w:color w:val="auto"/>
                <w:sz w:val="18"/>
                <w:szCs w:val="18"/>
                <w:highlight w:val="yellow"/>
                <w:u w:val="none"/>
              </w:rPr>
            </w:pPr>
            <w:r>
              <w:rPr>
                <w:rFonts w:hint="eastAsia" w:ascii="楷体_GB2312" w:hAnsi="宋体" w:eastAsia="楷体_GB2312" w:cs="楷体_GB2312"/>
                <w:i w:val="0"/>
                <w:iCs w:val="0"/>
                <w:color w:val="auto"/>
                <w:kern w:val="0"/>
                <w:sz w:val="20"/>
                <w:szCs w:val="20"/>
                <w:u w:val="none"/>
                <w:lang w:val="en-US" w:eastAsia="zh-CN" w:bidi="ar"/>
              </w:rPr>
              <w:t>84%</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20"/>
                <w:szCs w:val="20"/>
                <w:highlight w:val="yellow"/>
                <w:u w:val="none"/>
              </w:rPr>
            </w:pPr>
            <w:r>
              <w:rPr>
                <w:rFonts w:hint="eastAsia" w:ascii="楷体_GB2312" w:hAnsi="宋体" w:eastAsia="楷体_GB2312" w:cs="楷体_GB2312"/>
                <w:i w:val="0"/>
                <w:iCs w:val="0"/>
                <w:color w:val="auto"/>
                <w:kern w:val="0"/>
                <w:sz w:val="20"/>
                <w:szCs w:val="20"/>
                <w:u w:val="none"/>
                <w:lang w:val="en-US" w:eastAsia="zh-CN" w:bidi="ar"/>
              </w:rPr>
              <w:t>②改善办学条件专项中局属校园安防视频网上巡查率、国家教育考试视频监控网上巡查率未达标目标值，根据评分标准，扣减1.11分</w:t>
            </w:r>
          </w:p>
        </w:tc>
      </w:tr>
      <w:tr>
        <w:tblPrEx>
          <w:shd w:val="clear" w:color="auto" w:fill="auto"/>
          <w:tblCellMar>
            <w:top w:w="0" w:type="dxa"/>
            <w:left w:w="108" w:type="dxa"/>
            <w:bottom w:w="0" w:type="dxa"/>
            <w:right w:w="108" w:type="dxa"/>
          </w:tblCellMar>
        </w:tblPrEx>
        <w:trPr>
          <w:trHeight w:val="735"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重点工作办结率</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（9分）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9</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 xml:space="preserve">部门（单位）年度重点工作实际完成数与交办或下达数的比率，用以反映部门（单位）对重点工作的办理落实程度。重点工作办结率=（重点工作实际完成数/交办或下达数）×100%。重点工作是指：一级预算部门纳入全市综合考核的业务职能目标；其他部门（单位）年初正式印发的年度工作计划确定的重点事项。    </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重点工作办结率达100%，则得满分。每降低1%扣5%权重分，扣完为止。</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9</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根据2020年度市委考核办《目标完成情况申报表》，2020年市教育有重点目标7项，创优目标2项，均已完成，重点任务办结率100%</w:t>
            </w:r>
          </w:p>
        </w:tc>
      </w:tr>
      <w:tr>
        <w:tblPrEx>
          <w:shd w:val="clear" w:color="auto" w:fill="auto"/>
          <w:tblCellMar>
            <w:top w:w="0" w:type="dxa"/>
            <w:left w:w="108" w:type="dxa"/>
            <w:bottom w:w="0" w:type="dxa"/>
            <w:right w:w="108" w:type="dxa"/>
          </w:tblCellMar>
        </w:tblPrEx>
        <w:trPr>
          <w:trHeight w:val="735" w:hRule="atLeast"/>
        </w:trPr>
        <w:tc>
          <w:tcPr>
            <w:tcW w:w="526" w:type="dxa"/>
            <w:vMerge w:val="restart"/>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效   果（30分）</w:t>
            </w:r>
          </w:p>
        </w:tc>
        <w:tc>
          <w:tcPr>
            <w:tcW w:w="68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履职</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效益（30）</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社会效益</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（12分）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扩增学前教育资源总量</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both"/>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部门履行职责对扩增学前教育资源总量所带来的直接或间接影响。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扩增</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①公办园和普惠性民办园在园幼儿不低于90%；②示范类幼儿园占城镇幼儿园总数比例达70%以上。2项各占1/2权重分，有一项不满足，则扣除相应权重分。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50%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①公办园和普惠性民办园在园幼儿90%；②示范类幼儿园占城镇幼儿园总数比例50%，扣减1分。</w:t>
            </w:r>
          </w:p>
        </w:tc>
      </w:tr>
      <w:tr>
        <w:tblPrEx>
          <w:shd w:val="clear" w:color="auto" w:fill="auto"/>
          <w:tblCellMar>
            <w:top w:w="0" w:type="dxa"/>
            <w:left w:w="108" w:type="dxa"/>
            <w:bottom w:w="0" w:type="dxa"/>
            <w:right w:w="108" w:type="dxa"/>
          </w:tblCellMar>
        </w:tblPrEx>
        <w:trPr>
          <w:trHeight w:val="735"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扩大普通高中学位供给</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部门履行职责对扩大普通高中学校供给，提升计划录取比例所带来的直接或间接影响。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≥64%</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①普通高中数量实现同比增长；②普通高中计划录取比例≥64%。2项各占1/2权重分，有一项不满足，则扣除相应权重分。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①普通高中数量实现同比增长；②普通高中计划录取比例≥68%。</w:t>
            </w:r>
          </w:p>
        </w:tc>
      </w:tr>
      <w:tr>
        <w:tblPrEx>
          <w:shd w:val="clear" w:color="auto" w:fill="auto"/>
          <w:tblCellMar>
            <w:top w:w="0" w:type="dxa"/>
            <w:left w:w="108" w:type="dxa"/>
            <w:bottom w:w="0" w:type="dxa"/>
            <w:right w:w="108" w:type="dxa"/>
          </w:tblCellMar>
        </w:tblPrEx>
        <w:trPr>
          <w:trHeight w:val="880"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推动在青高等教育机构增加</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both"/>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部门履行职责对引进高等教育机构所带来的直接或间接影响。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50所</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①至2020年，在青高等教育机构总数增加至50所；②在校生数量和高等教育机构数量位居计划单列市首位。2项各占1/2权重分，有一项不满足，则扣除相应权重分。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kern w:val="0"/>
                <w:sz w:val="20"/>
                <w:szCs w:val="20"/>
                <w:highlight w:val="none"/>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在青高校29所，引进建设21所，在校生数量和高等教育机构数量位居计划单列市首位</w:t>
            </w:r>
          </w:p>
        </w:tc>
      </w:tr>
      <w:tr>
        <w:tblPrEx>
          <w:shd w:val="clear" w:color="auto" w:fill="auto"/>
          <w:tblCellMar>
            <w:top w:w="0" w:type="dxa"/>
            <w:left w:w="108" w:type="dxa"/>
            <w:bottom w:w="0" w:type="dxa"/>
            <w:right w:w="108" w:type="dxa"/>
          </w:tblCellMar>
        </w:tblPrEx>
        <w:trPr>
          <w:trHeight w:val="880"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推动一流大学和一流学科建设</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both"/>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部门履行职责对推动一流大学和一流学科建设所带来的直接或间接影响。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推动</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1-2所高水平大学接近世界一流大学水平；②5个以上学科进入国家“世界一流学科”建设行列；③25个以上的学科进入ESI（世界基本科学指标数据库）国际学科排行前1%或跻身国内学科排名前20%。3项各占1/3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kern w:val="0"/>
                <w:sz w:val="20"/>
                <w:szCs w:val="20"/>
                <w:highlight w:val="none"/>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3项目标均已完成</w:t>
            </w:r>
          </w:p>
        </w:tc>
      </w:tr>
      <w:tr>
        <w:tblPrEx>
          <w:shd w:val="clear" w:color="auto" w:fill="auto"/>
          <w:tblCellMar>
            <w:top w:w="0" w:type="dxa"/>
            <w:left w:w="108" w:type="dxa"/>
            <w:bottom w:w="0" w:type="dxa"/>
            <w:right w:w="108" w:type="dxa"/>
          </w:tblCellMar>
        </w:tblPrEx>
        <w:trPr>
          <w:trHeight w:val="880" w:hRule="atLeast"/>
        </w:trPr>
        <w:tc>
          <w:tcPr>
            <w:tcW w:w="526" w:type="dxa"/>
            <w:vMerge w:val="continue"/>
            <w:tcBorders>
              <w:top w:val="single" w:color="auto" w:sz="4" w:space="0"/>
              <w:left w:val="single" w:color="000000"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“十三五”教育事业发展约束性指标完成率</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both"/>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部门履行职责对完成“十三五”教育事业发展约束性指标所带来的直接或间接影响。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192"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①九年义务教育巩固率99%；②残疾儿童义务教育阶段入学率99%；③义务教育本科及以上学历专任老师比例92%；④职业教育“双师型”教师比例80%。4项各占1/4权重分，有一项不满足，则扣除相应权重分。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约束性指标均已完成</w:t>
            </w:r>
          </w:p>
        </w:tc>
      </w:tr>
      <w:tr>
        <w:tblPrEx>
          <w:shd w:val="clear" w:color="auto" w:fill="auto"/>
          <w:tblCellMar>
            <w:top w:w="0" w:type="dxa"/>
            <w:left w:w="108" w:type="dxa"/>
            <w:bottom w:w="0" w:type="dxa"/>
            <w:right w:w="108" w:type="dxa"/>
          </w:tblCellMar>
        </w:tblPrEx>
        <w:trPr>
          <w:trHeight w:val="735"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生均经费全国排名</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部门履行职责对保障生均经费稳定增长所带来的直接或间接影响。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192" w:lineRule="auto"/>
              <w:jc w:val="center"/>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全国先进行列</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2020年，全市各类学校预算内生均经费处于全国先进行列，则得满分。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生均经费处于全国先进行列</w:t>
            </w:r>
          </w:p>
        </w:tc>
      </w:tr>
      <w:tr>
        <w:tblPrEx>
          <w:shd w:val="clear" w:color="auto" w:fill="auto"/>
          <w:tblCellMar>
            <w:top w:w="0" w:type="dxa"/>
            <w:left w:w="108" w:type="dxa"/>
            <w:bottom w:w="0" w:type="dxa"/>
            <w:right w:w="108" w:type="dxa"/>
          </w:tblCellMar>
        </w:tblPrEx>
        <w:trPr>
          <w:trHeight w:val="1707" w:hRule="atLeast"/>
        </w:trPr>
        <w:tc>
          <w:tcPr>
            <w:tcW w:w="526" w:type="dxa"/>
            <w:vMerge w:val="restart"/>
            <w:tcBorders>
              <w:top w:val="single" w:color="auto" w:sz="4" w:space="0"/>
              <w:left w:val="single" w:color="000000"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效   果（30分）</w:t>
            </w:r>
          </w:p>
        </w:tc>
        <w:tc>
          <w:tcPr>
            <w:tcW w:w="689"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履职</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效益（30）</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行政效能</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（4分）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提升行政办事效率</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部门（单位）履行职责对行政办事效率、降低成本等效果的影响。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①市委市政府交办事项按期办理率100%；②简化办事流程、提升办事效率。2项各占1/2权重分，有一项不满足，则扣除相应权重分。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①市委市政府交办事项按期办理率100%；②简化办事流程、提升办事效率</w:t>
            </w:r>
          </w:p>
        </w:tc>
      </w:tr>
      <w:tr>
        <w:tblPrEx>
          <w:shd w:val="clear" w:color="auto" w:fill="auto"/>
          <w:tblCellMar>
            <w:top w:w="0" w:type="dxa"/>
            <w:left w:w="108" w:type="dxa"/>
            <w:bottom w:w="0" w:type="dxa"/>
            <w:right w:w="108" w:type="dxa"/>
          </w:tblCellMar>
        </w:tblPrEx>
        <w:trPr>
          <w:trHeight w:val="928"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上级部门考核情况</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考察2020年度上级部门考核情况。</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优</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部门考核情况分优、良、中、较差和差，分别可得100%、75%、50%、25%、0的权重分。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2020年上有部门考核结果为优</w:t>
            </w:r>
          </w:p>
        </w:tc>
      </w:tr>
      <w:tr>
        <w:tblPrEx>
          <w:shd w:val="clear" w:color="auto" w:fill="auto"/>
          <w:tblCellMar>
            <w:top w:w="0" w:type="dxa"/>
            <w:left w:w="108" w:type="dxa"/>
            <w:bottom w:w="0" w:type="dxa"/>
            <w:right w:w="108" w:type="dxa"/>
          </w:tblCellMar>
        </w:tblPrEx>
        <w:trPr>
          <w:trHeight w:val="1447"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可持续效益</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（4分）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完善促进学生德智体美劳全面发展的体制机制</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考察促进学生德智体美劳全面发展的体制机制的完善性。</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完善</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促进学生德智体美劳全面发展的体制机制健全、完善，则得满分，其他根据项目实际，分别可得75%、50%、25%、0的权重分。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完善</w:t>
            </w:r>
          </w:p>
        </w:tc>
      </w:tr>
      <w:tr>
        <w:tblPrEx>
          <w:shd w:val="clear" w:color="auto" w:fill="auto"/>
          <w:tblCellMar>
            <w:top w:w="0" w:type="dxa"/>
            <w:left w:w="108" w:type="dxa"/>
            <w:bottom w:w="0" w:type="dxa"/>
            <w:right w:w="108" w:type="dxa"/>
          </w:tblCellMar>
        </w:tblPrEx>
        <w:trPr>
          <w:trHeight w:val="1025"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构建“三张清单”教育治理模式</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考察是否构建“三张清单”教育治理模式。</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构建</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构建“三张清单”教育治理模式，则得满分。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构建</w:t>
            </w:r>
          </w:p>
        </w:tc>
      </w:tr>
      <w:tr>
        <w:tblPrEx>
          <w:shd w:val="clear" w:color="auto" w:fill="auto"/>
          <w:tblCellMar>
            <w:top w:w="0" w:type="dxa"/>
            <w:left w:w="108" w:type="dxa"/>
            <w:bottom w:w="0" w:type="dxa"/>
            <w:right w:w="108" w:type="dxa"/>
          </w:tblCellMar>
        </w:tblPrEx>
        <w:trPr>
          <w:trHeight w:val="1267"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构建职业学校与院校整合发展新模式</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考察是否构建职业学校与院校整合发展新模式。</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构建</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构建职业学校与院校整合发展新模式，则得满分。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kern w:val="0"/>
                <w:sz w:val="20"/>
                <w:szCs w:val="20"/>
                <w:highlight w:val="none"/>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构建</w:t>
            </w:r>
          </w:p>
        </w:tc>
      </w:tr>
      <w:tr>
        <w:tblPrEx>
          <w:shd w:val="clear" w:color="auto" w:fill="auto"/>
          <w:tblCellMar>
            <w:top w:w="0" w:type="dxa"/>
            <w:left w:w="108" w:type="dxa"/>
            <w:bottom w:w="0" w:type="dxa"/>
            <w:right w:w="108" w:type="dxa"/>
          </w:tblCellMar>
        </w:tblPrEx>
        <w:trPr>
          <w:trHeight w:val="2026" w:hRule="atLeast"/>
        </w:trPr>
        <w:tc>
          <w:tcPr>
            <w:tcW w:w="526" w:type="dxa"/>
            <w:vMerge w:val="continue"/>
            <w:tcBorders>
              <w:top w:val="single" w:color="auto" w:sz="4" w:space="0"/>
              <w:left w:val="single" w:color="000000" w:sz="4" w:space="0"/>
              <w:bottom w:val="single" w:color="auto" w:sz="4" w:space="0"/>
              <w:right w:val="single" w:color="000000" w:sz="4" w:space="0"/>
            </w:tcBorders>
            <w:shd w:val="clear" w:color="auto" w:fill="auto"/>
            <w:noWrap/>
            <w:textDirection w:val="tbRlV"/>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20"/>
                <w:szCs w:val="20"/>
                <w:highlight w:val="none"/>
                <w:u w:val="none"/>
              </w:rPr>
            </w:pPr>
          </w:p>
        </w:tc>
        <w:tc>
          <w:tcPr>
            <w:tcW w:w="68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28" w:lineRule="auto"/>
              <w:jc w:val="center"/>
              <w:rPr>
                <w:rFonts w:hint="eastAsia" w:ascii="楷体_GB2312" w:hAnsi="宋体" w:eastAsia="楷体_GB2312" w:cs="楷体_GB2312"/>
                <w:i w:val="0"/>
                <w:iCs w:val="0"/>
                <w:color w:val="auto"/>
                <w:sz w:val="18"/>
                <w:szCs w:val="18"/>
                <w:highlight w:val="none"/>
                <w:u w:val="none"/>
              </w:rPr>
            </w:pPr>
          </w:p>
        </w:tc>
        <w:tc>
          <w:tcPr>
            <w:tcW w:w="74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楷体_GB2312" w:hAnsi="宋体" w:eastAsia="楷体_GB2312" w:cs="楷体_GB2312"/>
                <w:i w:val="0"/>
                <w:iCs w:val="0"/>
                <w:color w:val="auto"/>
                <w:sz w:val="18"/>
                <w:szCs w:val="18"/>
                <w:highlight w:val="none"/>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健全政府发行教育职责督导评价工作机制</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考察政府发行教育职责督导评价工作机制的健全性。</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健全</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机制健全，则得满分，其他根据项目实际，分别可得75%、50%、25%、0的权重分。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6"/>
                <w:szCs w:val="16"/>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kern w:val="0"/>
                <w:sz w:val="20"/>
                <w:szCs w:val="20"/>
                <w:highlight w:val="none"/>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健全</w:t>
            </w:r>
          </w:p>
        </w:tc>
      </w:tr>
      <w:tr>
        <w:tblPrEx>
          <w:shd w:val="clear" w:color="auto" w:fill="auto"/>
          <w:tblCellMar>
            <w:top w:w="0" w:type="dxa"/>
            <w:left w:w="108" w:type="dxa"/>
            <w:bottom w:w="0" w:type="dxa"/>
            <w:right w:w="108" w:type="dxa"/>
          </w:tblCellMar>
        </w:tblPrEx>
        <w:trPr>
          <w:trHeight w:val="900" w:hRule="atLeast"/>
        </w:trPr>
        <w:tc>
          <w:tcPr>
            <w:tcW w:w="526" w:type="dxa"/>
            <w:tcBorders>
              <w:top w:val="single" w:color="auto" w:sz="4" w:space="0"/>
              <w:left w:val="single" w:color="000000" w:sz="4" w:space="0"/>
              <w:right w:val="single" w:color="000000" w:sz="4" w:space="0"/>
            </w:tcBorders>
            <w:shd w:val="clear" w:color="auto" w:fill="auto"/>
            <w:noWrap/>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kern w:val="0"/>
                <w:sz w:val="20"/>
                <w:szCs w:val="20"/>
                <w:u w:val="none"/>
                <w:lang w:val="en-US" w:eastAsia="zh-CN" w:bidi="ar"/>
              </w:rPr>
              <w:t>效   果（30分）</w:t>
            </w:r>
          </w:p>
        </w:tc>
        <w:tc>
          <w:tcPr>
            <w:tcW w:w="689"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28"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履职</w:t>
            </w:r>
            <w:r>
              <w:rPr>
                <w:rFonts w:hint="eastAsia" w:ascii="楷体_GB2312" w:hAnsi="宋体" w:eastAsia="楷体_GB2312" w:cs="楷体_GB2312"/>
                <w:i w:val="0"/>
                <w:iCs w:val="0"/>
                <w:color w:val="auto"/>
                <w:kern w:val="0"/>
                <w:sz w:val="20"/>
                <w:szCs w:val="20"/>
                <w:u w:val="none"/>
                <w:lang w:val="en-US" w:eastAsia="zh-CN" w:bidi="ar"/>
              </w:rPr>
              <w:br w:type="textWrapping"/>
            </w:r>
            <w:r>
              <w:rPr>
                <w:rFonts w:hint="eastAsia" w:ascii="楷体_GB2312" w:hAnsi="宋体" w:eastAsia="楷体_GB2312" w:cs="楷体_GB2312"/>
                <w:i w:val="0"/>
                <w:iCs w:val="0"/>
                <w:color w:val="auto"/>
                <w:kern w:val="0"/>
                <w:sz w:val="20"/>
                <w:szCs w:val="20"/>
                <w:u w:val="none"/>
                <w:lang w:val="en-US" w:eastAsia="zh-CN" w:bidi="ar"/>
              </w:rPr>
              <w:t>效益（30）</w:t>
            </w:r>
          </w:p>
        </w:tc>
        <w:tc>
          <w:tcPr>
            <w:tcW w:w="741"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楷体_GB2312" w:hAnsi="宋体" w:eastAsia="楷体_GB2312" w:cs="楷体_GB2312"/>
                <w:i w:val="0"/>
                <w:iCs w:val="0"/>
                <w:color w:val="auto"/>
                <w:sz w:val="18"/>
                <w:szCs w:val="18"/>
                <w:highlight w:val="none"/>
                <w:u w:val="none"/>
                <w:lang w:val="en-US"/>
              </w:rPr>
            </w:pPr>
            <w:r>
              <w:rPr>
                <w:rFonts w:hint="eastAsia" w:ascii="楷体_GB2312" w:hAnsi="宋体" w:eastAsia="楷体_GB2312" w:cs="楷体_GB2312"/>
                <w:i w:val="0"/>
                <w:iCs w:val="0"/>
                <w:color w:val="auto"/>
                <w:kern w:val="0"/>
                <w:sz w:val="20"/>
                <w:szCs w:val="20"/>
                <w:u w:val="none"/>
                <w:lang w:val="en-US" w:eastAsia="zh-CN" w:bidi="ar"/>
              </w:rPr>
              <w:t>社会公众、其他部门（单位）或服务对象满意度</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kern w:val="0"/>
                <w:sz w:val="20"/>
                <w:szCs w:val="20"/>
                <w:u w:val="none"/>
                <w:lang w:val="en-US" w:eastAsia="zh-CN" w:bidi="ar"/>
              </w:rPr>
            </w:pPr>
            <w:r>
              <w:rPr>
                <w:rFonts w:hint="eastAsia" w:ascii="楷体_GB2312" w:hAnsi="宋体" w:eastAsia="楷体_GB2312" w:cs="楷体_GB2312"/>
                <w:i w:val="0"/>
                <w:iCs w:val="0"/>
                <w:color w:val="auto"/>
                <w:kern w:val="0"/>
                <w:sz w:val="20"/>
                <w:szCs w:val="20"/>
                <w:u w:val="none"/>
                <w:lang w:val="en-US" w:eastAsia="zh-CN" w:bidi="ar"/>
              </w:rPr>
              <w:t>服务对象对部门履职的满意度</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职业院校、普通高中、中小学教职工及学生（家长）等服务对象对部门履职效果的满意程度。</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≥90%</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服务对象满意度达90%,则得满分，每降低1%，扣5%权重分。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i w:val="0"/>
                <w:iCs w:val="0"/>
                <w:color w:val="auto"/>
                <w:kern w:val="0"/>
                <w:sz w:val="20"/>
                <w:szCs w:val="20"/>
                <w:u w:val="none"/>
                <w:lang w:val="en-US" w:eastAsia="zh-CN" w:bidi="ar"/>
              </w:rPr>
              <w:t>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楷体_GB2312" w:hAnsi="宋体" w:eastAsia="楷体_GB2312" w:cs="楷体_GB2312"/>
                <w:i w:val="0"/>
                <w:iCs w:val="0"/>
                <w:color w:val="auto"/>
                <w:sz w:val="20"/>
                <w:szCs w:val="20"/>
                <w:highlight w:val="none"/>
                <w:u w:val="none"/>
              </w:rPr>
            </w:pPr>
            <w:r>
              <w:rPr>
                <w:rFonts w:hint="eastAsia" w:ascii="楷体_GB2312" w:hAnsi="宋体" w:eastAsia="楷体_GB2312" w:cs="楷体_GB2312"/>
                <w:i w:val="0"/>
                <w:iCs w:val="0"/>
                <w:color w:val="auto"/>
                <w:sz w:val="20"/>
                <w:szCs w:val="20"/>
                <w:highlight w:val="none"/>
                <w:u w:val="none"/>
              </w:rPr>
              <w:t>满意度90.97%</w:t>
            </w:r>
          </w:p>
        </w:tc>
      </w:tr>
      <w:tr>
        <w:tblPrEx>
          <w:shd w:val="clear" w:color="auto" w:fill="auto"/>
          <w:tblCellMar>
            <w:top w:w="0" w:type="dxa"/>
            <w:left w:w="108" w:type="dxa"/>
            <w:bottom w:w="0" w:type="dxa"/>
            <w:right w:w="108" w:type="dxa"/>
          </w:tblCellMar>
        </w:tblPrEx>
        <w:trPr>
          <w:trHeight w:val="735" w:hRule="atLeast"/>
        </w:trPr>
        <w:tc>
          <w:tcPr>
            <w:tcW w:w="3076" w:type="dxa"/>
            <w:gridSpan w:val="4"/>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合计</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8"/>
                <w:szCs w:val="18"/>
                <w:highlight w:val="none"/>
                <w:u w:val="none"/>
              </w:rPr>
            </w:pPr>
            <w:r>
              <w:rPr>
                <w:rFonts w:hint="eastAsia" w:ascii="楷体_GB2312" w:hAnsi="宋体" w:eastAsia="楷体_GB2312" w:cs="楷体_GB2312"/>
                <w:b/>
                <w:bCs/>
                <w:i w:val="0"/>
                <w:iCs w:val="0"/>
                <w:color w:val="auto"/>
                <w:kern w:val="0"/>
                <w:sz w:val="20"/>
                <w:szCs w:val="20"/>
                <w:u w:val="none"/>
                <w:lang w:val="en-US" w:eastAsia="zh-CN" w:bidi="ar"/>
              </w:rPr>
              <w:t>100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rPr>
                <w:rFonts w:hint="eastAsia" w:ascii="楷体_GB2312" w:hAnsi="宋体" w:eastAsia="楷体_GB2312" w:cs="楷体_GB2312"/>
                <w:i w:val="0"/>
                <w:iCs w:val="0"/>
                <w:color w:val="auto"/>
                <w:sz w:val="18"/>
                <w:szCs w:val="18"/>
                <w:highlight w:val="none"/>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rPr>
                <w:rFonts w:hint="eastAsia" w:ascii="楷体_GB2312" w:hAnsi="宋体" w:eastAsia="楷体_GB2312" w:cs="楷体_GB2312"/>
                <w:i w:val="0"/>
                <w:iCs w:val="0"/>
                <w:color w:val="auto"/>
                <w:sz w:val="18"/>
                <w:szCs w:val="18"/>
                <w:highlight w:val="none"/>
                <w:u w:val="none"/>
              </w:rPr>
            </w:pP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rPr>
                <w:rFonts w:hint="eastAsia" w:ascii="楷体_GB2312" w:hAnsi="宋体" w:eastAsia="楷体_GB2312" w:cs="楷体_GB2312"/>
                <w:i w:val="0"/>
                <w:iCs w:val="0"/>
                <w:color w:val="auto"/>
                <w:sz w:val="18"/>
                <w:szCs w:val="18"/>
                <w:highlight w:val="none"/>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6"/>
                <w:szCs w:val="16"/>
                <w:highlight w:val="none"/>
                <w:u w:val="none"/>
              </w:rPr>
            </w:pPr>
            <w:r>
              <w:rPr>
                <w:rFonts w:hint="eastAsia" w:ascii="楷体_GB2312" w:hAnsi="宋体" w:eastAsia="楷体_GB2312" w:cs="楷体_GB2312"/>
                <w:b/>
                <w:bCs/>
                <w:i w:val="0"/>
                <w:iCs w:val="0"/>
                <w:color w:val="auto"/>
                <w:kern w:val="0"/>
                <w:sz w:val="18"/>
                <w:szCs w:val="18"/>
                <w:u w:val="none"/>
                <w:lang w:val="en-US" w:eastAsia="zh-CN" w:bidi="ar"/>
              </w:rPr>
              <w:t>93.66</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宋体" w:eastAsia="楷体_GB2312" w:cs="楷体_GB2312"/>
                <w:i w:val="0"/>
                <w:iCs w:val="0"/>
                <w:color w:val="auto"/>
                <w:sz w:val="16"/>
                <w:szCs w:val="16"/>
                <w:highlight w:val="none"/>
                <w:u w:val="none"/>
              </w:rPr>
            </w:pPr>
            <w:r>
              <w:rPr>
                <w:rFonts w:hint="eastAsia" w:ascii="楷体_GB2312" w:hAnsi="宋体" w:eastAsia="楷体_GB2312" w:cs="楷体_GB2312"/>
                <w:b/>
                <w:bCs/>
                <w:i w:val="0"/>
                <w:iCs w:val="0"/>
                <w:color w:val="auto"/>
                <w:kern w:val="0"/>
                <w:sz w:val="18"/>
                <w:szCs w:val="18"/>
                <w:u w:val="none"/>
                <w:lang w:val="en-US" w:eastAsia="zh-CN" w:bidi="ar"/>
              </w:rPr>
              <w:t>93.66%</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rPr>
                <w:rFonts w:hint="eastAsia" w:ascii="楷体_GB2312" w:hAnsi="宋体" w:eastAsia="楷体_GB2312" w:cs="楷体_GB2312"/>
                <w:i w:val="0"/>
                <w:iCs w:val="0"/>
                <w:color w:val="auto"/>
                <w:sz w:val="18"/>
                <w:szCs w:val="18"/>
                <w:highlight w:val="none"/>
                <w:u w:val="none"/>
              </w:rPr>
            </w:pPr>
          </w:p>
        </w:tc>
      </w:tr>
    </w:tbl>
    <w:p>
      <w:pPr>
        <w:pStyle w:val="7"/>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outlineLvl w:val="9"/>
        <w:rPr>
          <w:rFonts w:hint="default" w:ascii="仿宋_GB2312" w:hAnsi="仿宋_GB2312" w:eastAsia="仿宋_GB2312" w:cs="仿宋_GB2312"/>
          <w:color w:val="auto"/>
          <w:sz w:val="32"/>
          <w:szCs w:val="32"/>
          <w:highlight w:val="none"/>
        </w:rPr>
        <w:sectPr>
          <w:footerReference r:id="rId6" w:type="default"/>
          <w:footnotePr>
            <w:numRestart w:val="eachPage"/>
          </w:footnotePr>
          <w:pgSz w:w="16838" w:h="11906" w:orient="landscape"/>
          <w:pgMar w:top="1587" w:right="1701" w:bottom="1474" w:left="1701" w:header="851" w:footer="992" w:gutter="0"/>
          <w:pgNumType w:fmt="decimal" w:start="21"/>
          <w:cols w:space="425" w:num="1"/>
          <w:docGrid w:type="lines" w:linePitch="312" w:charSpace="0"/>
        </w:sectPr>
      </w:pPr>
    </w:p>
    <w:bookmarkEnd w:id="47"/>
    <w:tbl>
      <w:tblPr>
        <w:tblStyle w:val="23"/>
        <w:tblW w:w="8060" w:type="dxa"/>
        <w:tblInd w:w="93" w:type="dxa"/>
        <w:shd w:val="clear" w:color="auto" w:fill="auto"/>
        <w:tblLayout w:type="autofit"/>
        <w:tblCellMar>
          <w:top w:w="0" w:type="dxa"/>
          <w:left w:w="108" w:type="dxa"/>
          <w:bottom w:w="0" w:type="dxa"/>
          <w:right w:w="108" w:type="dxa"/>
        </w:tblCellMar>
      </w:tblPr>
      <w:tblGrid>
        <w:gridCol w:w="1586"/>
        <w:gridCol w:w="1249"/>
        <w:gridCol w:w="3131"/>
        <w:gridCol w:w="1759"/>
        <w:gridCol w:w="902"/>
      </w:tblGrid>
      <w:tr>
        <w:trPr>
          <w:trHeight w:val="433" w:hRule="atLeast"/>
        </w:trPr>
        <w:tc>
          <w:tcPr>
            <w:tcW w:w="8060" w:type="dxa"/>
            <w:gridSpan w:val="5"/>
            <w:tcBorders>
              <w:top w:val="nil"/>
              <w:left w:val="nil"/>
              <w:bottom w:val="nil"/>
              <w:right w:val="nil"/>
            </w:tcBorders>
            <w:shd w:val="clear" w:color="auto" w:fill="auto"/>
            <w:noWrap/>
            <w:vAlign w:val="center"/>
          </w:tcPr>
          <w:p>
            <w:pPr>
              <w:keepNext/>
              <w:keepLines/>
              <w:pageBreakBefore w:val="0"/>
              <w:widowControl w:val="0"/>
              <w:numPr>
                <w:ilvl w:val="1"/>
                <w:numId w:val="0"/>
              </w:numPr>
              <w:kinsoku/>
              <w:wordWrap/>
              <w:overflowPunct/>
              <w:topLinePunct w:val="0"/>
              <w:autoSpaceDE/>
              <w:autoSpaceDN/>
              <w:bidi w:val="0"/>
              <w:adjustRightInd/>
              <w:snapToGrid/>
              <w:spacing w:before="120" w:after="120" w:line="240" w:lineRule="auto"/>
              <w:textAlignment w:val="auto"/>
              <w:outlineLvl w:val="9"/>
              <w:rPr>
                <w:rFonts w:hint="eastAsia" w:ascii="仿宋_GB2312" w:hAnsi="仿宋_GB2312" w:eastAsia="仿宋_GB2312" w:cs="仿宋_GB2312"/>
                <w:b w:val="0"/>
                <w:bCs w:val="0"/>
                <w:color w:val="auto"/>
                <w:kern w:val="0"/>
                <w:sz w:val="24"/>
                <w:szCs w:val="24"/>
                <w:highlight w:val="none"/>
                <w:lang w:val="en-US" w:eastAsia="zh-CN" w:bidi="ar-SA"/>
              </w:rPr>
            </w:pPr>
            <w:bookmarkStart w:id="70" w:name="_Toc8240"/>
            <w:r>
              <w:rPr>
                <w:rFonts w:hint="eastAsia" w:ascii="仿宋_GB2312" w:hAnsi="仿宋_GB2312" w:eastAsia="仿宋_GB2312" w:cs="仿宋_GB2312"/>
                <w:b w:val="0"/>
                <w:bCs w:val="0"/>
                <w:color w:val="auto"/>
                <w:kern w:val="0"/>
                <w:sz w:val="24"/>
                <w:szCs w:val="24"/>
                <w:highlight w:val="none"/>
                <w:lang w:val="zh-CN" w:eastAsia="zh-CN" w:bidi="ar-SA"/>
              </w:rPr>
              <w:t>附件</w:t>
            </w:r>
            <w:r>
              <w:rPr>
                <w:rFonts w:hint="eastAsia" w:ascii="仿宋_GB2312" w:hAnsi="仿宋_GB2312" w:eastAsia="仿宋_GB2312" w:cs="仿宋_GB2312"/>
                <w:b w:val="0"/>
                <w:bCs w:val="0"/>
                <w:color w:val="auto"/>
                <w:kern w:val="0"/>
                <w:sz w:val="24"/>
                <w:szCs w:val="24"/>
                <w:highlight w:val="none"/>
                <w:lang w:val="en-US" w:eastAsia="zh-CN" w:bidi="ar-SA"/>
              </w:rPr>
              <w:t>2.</w:t>
            </w:r>
          </w:p>
          <w:p>
            <w:pPr>
              <w:keepNext w:val="0"/>
              <w:keepLines w:val="0"/>
              <w:widowControl/>
              <w:suppressLineNumbers w:val="0"/>
              <w:jc w:val="center"/>
              <w:textAlignment w:val="center"/>
              <w:rPr>
                <w:rFonts w:hint="eastAsia" w:ascii="宋体" w:hAnsi="宋体" w:eastAsia="宋体" w:cs="宋体"/>
                <w:b/>
                <w:bCs/>
                <w:i w:val="0"/>
                <w:iCs w:val="0"/>
                <w:color w:val="auto"/>
                <w:sz w:val="32"/>
                <w:szCs w:val="32"/>
                <w:u w:val="none"/>
              </w:rPr>
            </w:pPr>
            <w:r>
              <w:rPr>
                <w:rFonts w:hint="eastAsia" w:ascii="宋体" w:hAnsi="宋体" w:eastAsia="宋体" w:cs="宋体"/>
                <w:b/>
                <w:bCs/>
                <w:i w:val="0"/>
                <w:iCs w:val="0"/>
                <w:color w:val="auto"/>
                <w:kern w:val="0"/>
                <w:sz w:val="32"/>
                <w:szCs w:val="32"/>
                <w:u w:val="none"/>
                <w:lang w:val="en-US" w:eastAsia="zh-CN" w:bidi="ar"/>
              </w:rPr>
              <w:t>部门整体支出绩效目标申报表</w:t>
            </w:r>
          </w:p>
        </w:tc>
      </w:tr>
      <w:tr>
        <w:tblPrEx>
          <w:tblCellMar>
            <w:top w:w="0" w:type="dxa"/>
            <w:left w:w="108" w:type="dxa"/>
            <w:bottom w:w="0" w:type="dxa"/>
            <w:right w:w="108" w:type="dxa"/>
          </w:tblCellMar>
        </w:tblPrEx>
        <w:trPr>
          <w:trHeight w:val="329" w:hRule="atLeast"/>
        </w:trPr>
        <w:tc>
          <w:tcPr>
            <w:tcW w:w="0" w:type="auto"/>
            <w:gridSpan w:val="5"/>
            <w:tcBorders>
              <w:top w:val="nil"/>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（2020 年度）</w:t>
            </w:r>
          </w:p>
        </w:tc>
      </w:tr>
      <w:tr>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部门名称</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青岛市教育局</w:t>
            </w:r>
          </w:p>
        </w:tc>
      </w:tr>
      <w:tr>
        <w:trPr>
          <w:trHeight w:val="7744"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部门职责</w:t>
            </w:r>
          </w:p>
        </w:tc>
        <w:tc>
          <w:tcPr>
            <w:tcW w:w="6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(一)研究制定教育系统党的建设规划并指导实施。负责对教育系统党的建设重大问题进行调查研究 , 向市委提出意见和建议, 在职权范围内对有关问题作出决定。(二)负责指导教育系统党的基层组织建设和党员队 伍建设工作。指导教育系统思想政治建设以及学校德育工作和精神文明建设。指导教育系统工会、团委、妇委会等 群团的有关工作。(三)负责市属高校党的理论宣传、新闻宣传、思想政治、意识形态、维护稳定、统一战线和群众工作。配合做好省属、部属高校党建及相关工作。协助市委组织部做好高等学校领导班子管理工作。(四)贯彻执行教育工作法律法规和方针政策, 起草有关地方性法规、政府规章草案。拟订教育改革与发展的政策、规划并组织实施。负责教育基本信息的统计、分析、发布工作。(五)负责基础教育(含学前教育、高等教育、职业教育、继续教育、民办教育、少数民 族教育 和 特殊教育 的 统筹规划和协调管理工作。负责教育领域人才队伍建设。负责教育督导与评估工作。(六)负责推动全市义务教育均衡发展, 促进教育公平。制定全域义务教育均衡发展规划,合理规划义务教育 学校布局, 均衡配置资源, 缩小城乡间、区(市) 间、校际 间义务教育差距。(七)负责市级教育经费的统筹管理, 参与拟订教育经费筹措、教育拨款、教育基建投资和学生资助等政策,监测中等及以下学校教育 经费筹措和使用。管理权限内教育援助和教育贷款。承担义务教育经费保障机制改革有关工作。(八)组织制定中等及以下学历教育招生政策并组织 实施。承办市属高校、民办学历高校、中等专业学校等有关招生工作。(九)主管中等及以下学校教师工作, 指导学校教师队伍建设和学校内部管理制度改革。 负责师范类毕业生就业 相关工作。(十)指导中等及以下学校的教育教学改革、教育科研、教学研究、德育、体育、卫生健康、艺术教育和国防教育等工作, 指导学校参与创新体系建设,开展创新创业教育。 (十一) 督查、指导、协调教育系统安全稳定工作和 防范、处理突发应急事件, 负责所属单位安全稳定工作。(十二)负责与国外、港澳台地区的教育交流与合作。承担推进教育领域招商引资、招才引智等相关工作。负责 推动政府向社会力量购买服务。培育、引导、扶持教育行业协会发展, 推进行业协会自律, 发挥服务国家、服务社会、服务群众、服务行业的作用 。(十三)组织拟订语言文字工作中长期规划, 负责语言文字工作, 承担市语言文字工作指导委员会的日常工作。(十四)完成市委、市政府交办的其他任务。</w:t>
            </w:r>
          </w:p>
        </w:tc>
      </w:tr>
      <w:tr>
        <w:trPr>
          <w:trHeight w:val="4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预算情况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其他情况</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部门整体预算总额（万元）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370458.12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下属单位个数</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r>
      <w:tr>
        <w:tblPrEx>
          <w:tblCellMar>
            <w:top w:w="0" w:type="dxa"/>
            <w:left w:w="108" w:type="dxa"/>
            <w:bottom w:w="0" w:type="dxa"/>
            <w:right w:w="108" w:type="dxa"/>
          </w:tblCellMar>
        </w:tblPrEx>
        <w:trPr>
          <w:trHeight w:val="4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1.资金来源：（1）财政拨款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344171.11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部门本级内设机构数</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r>
      <w:tr>
        <w:trPr>
          <w:trHeight w:val="4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（2）单位资金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26287.01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年末编制人数</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97</w:t>
            </w:r>
          </w:p>
        </w:tc>
      </w:tr>
      <w:tr>
        <w:trPr>
          <w:trHeight w:val="4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2.资金结构：（1）基本支出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196264.4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年末在职人数</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95</w:t>
            </w:r>
          </w:p>
        </w:tc>
      </w:tr>
      <w:tr>
        <w:tblPrEx>
          <w:tblCellMar>
            <w:top w:w="0" w:type="dxa"/>
            <w:left w:w="108" w:type="dxa"/>
            <w:bottom w:w="0" w:type="dxa"/>
            <w:right w:w="108" w:type="dxa"/>
          </w:tblCellMar>
        </w:tblPrEx>
        <w:trPr>
          <w:trHeight w:val="4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其中：三公经费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329.27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auto"/>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（2）项目支出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174193.72</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auto"/>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1524"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年度总体目标</w:t>
            </w:r>
          </w:p>
        </w:tc>
        <w:tc>
          <w:tcPr>
            <w:tcW w:w="6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1.创新教育资源配置模式，全面提升优质教育资源供给能力：教育供给结构进一步优化，人才培养质量进一步提升，依法治教能力进一步增强，教育品牌内涵进一步丰富。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2.实施校地融合攻坚，提升教育服务能力：高校引进建设取得新进展，项目落地产出实现新突破，校地融合发展取得新成效，技术技能人才培养提升新水平，国际交流合作转入新常态。</w:t>
            </w:r>
          </w:p>
        </w:tc>
      </w:tr>
      <w:tr>
        <w:trPr>
          <w:trHeight w:val="44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绩效指标</w:t>
            </w:r>
          </w:p>
        </w:tc>
      </w:tr>
      <w:tr>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指标解释</w:t>
            </w:r>
          </w:p>
        </w:tc>
      </w:tr>
      <w:tr>
        <w:tblPrEx>
          <w:tblCellMar>
            <w:top w:w="0" w:type="dxa"/>
            <w:left w:w="108" w:type="dxa"/>
            <w:bottom w:w="0" w:type="dxa"/>
            <w:right w:w="108" w:type="dxa"/>
          </w:tblCellMar>
        </w:tblPrEx>
        <w:trPr>
          <w:trHeight w:val="440"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职责履行</w:t>
            </w:r>
          </w:p>
        </w:tc>
        <w:tc>
          <w:tcPr>
            <w:tcW w:w="1273" w:type="dxa"/>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全面提升优质教育资源供给能力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新建、改扩建幼儿园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新建、改扩建中小学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≥200所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职业教育“双师型”教师占比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齐鲁名师名校长数量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居全省前三名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建成拥有国家级特殊学校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180所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建成特色幼儿园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建成海洋教育特色学校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职业教育入选省品牌专业建设项目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引进高水平大学项目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440"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履职效能</w:t>
            </w:r>
          </w:p>
        </w:tc>
        <w:tc>
          <w:tcPr>
            <w:tcW w:w="127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公办园和普惠性民办园在园幼儿占比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普通高中计划录取比例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普通高中数量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实现同比增长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在校生数量和高等教育机构数量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位居计划单列市首位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44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义务教育本科及以上学历专任老师占比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4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教师满意度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学生满意度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家长满意度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r>
      <w:tr>
        <w:trPr>
          <w:trHeight w:val="318"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填表人：</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auto"/>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联系电话：</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auto"/>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auto"/>
                <w:sz w:val="22"/>
                <w:szCs w:val="22"/>
                <w:u w:val="none"/>
              </w:rPr>
            </w:pPr>
          </w:p>
        </w:tc>
      </w:tr>
    </w:tbl>
    <w:p>
      <w:pPr>
        <w:keepNext/>
        <w:keepLines/>
        <w:pageBreakBefore w:val="0"/>
        <w:widowControl w:val="0"/>
        <w:numPr>
          <w:ilvl w:val="1"/>
          <w:numId w:val="0"/>
        </w:numPr>
        <w:kinsoku/>
        <w:wordWrap/>
        <w:overflowPunct/>
        <w:topLinePunct w:val="0"/>
        <w:autoSpaceDE/>
        <w:autoSpaceDN/>
        <w:bidi w:val="0"/>
        <w:adjustRightInd/>
        <w:snapToGrid/>
        <w:spacing w:before="120" w:after="120" w:line="216" w:lineRule="auto"/>
        <w:textAlignment w:val="auto"/>
        <w:outlineLvl w:val="9"/>
        <w:rPr>
          <w:rFonts w:hint="eastAsia" w:ascii="仿宋_GB2312" w:hAnsi="仿宋_GB2312" w:eastAsia="仿宋_GB2312" w:cs="仿宋_GB2312"/>
          <w:color w:val="auto"/>
          <w:sz w:val="24"/>
          <w:szCs w:val="40"/>
          <w:highlight w:val="none"/>
        </w:rPr>
      </w:pPr>
    </w:p>
    <w:p>
      <w:pPr>
        <w:pStyle w:val="2"/>
        <w:rPr>
          <w:rFonts w:hint="eastAsia" w:ascii="仿宋_GB2312" w:hAnsi="仿宋_GB2312" w:eastAsia="仿宋_GB2312" w:cs="仿宋_GB2312"/>
          <w:color w:val="auto"/>
          <w:sz w:val="24"/>
          <w:szCs w:val="40"/>
          <w:highlight w:val="none"/>
        </w:rPr>
      </w:pPr>
    </w:p>
    <w:p>
      <w:pPr>
        <w:pStyle w:val="2"/>
        <w:rPr>
          <w:rFonts w:hint="eastAsia" w:ascii="仿宋_GB2312" w:hAnsi="仿宋_GB2312" w:eastAsia="仿宋_GB2312" w:cs="仿宋_GB2312"/>
          <w:color w:val="auto"/>
          <w:sz w:val="24"/>
          <w:szCs w:val="40"/>
          <w:highlight w:val="none"/>
        </w:rPr>
      </w:pPr>
    </w:p>
    <w:p>
      <w:pPr>
        <w:pStyle w:val="2"/>
        <w:rPr>
          <w:rFonts w:hint="eastAsia" w:ascii="仿宋_GB2312" w:hAnsi="仿宋_GB2312" w:eastAsia="仿宋_GB2312" w:cs="仿宋_GB2312"/>
          <w:color w:val="auto"/>
          <w:sz w:val="24"/>
          <w:szCs w:val="40"/>
          <w:highlight w:val="none"/>
        </w:rPr>
      </w:pPr>
    </w:p>
    <w:p>
      <w:pPr>
        <w:pStyle w:val="2"/>
        <w:rPr>
          <w:rFonts w:hint="eastAsia" w:ascii="仿宋_GB2312" w:hAnsi="仿宋_GB2312" w:eastAsia="仿宋_GB2312" w:cs="仿宋_GB2312"/>
          <w:color w:val="auto"/>
          <w:sz w:val="24"/>
          <w:szCs w:val="40"/>
          <w:highlight w:val="none"/>
        </w:rPr>
      </w:pPr>
    </w:p>
    <w:p>
      <w:pPr>
        <w:pStyle w:val="2"/>
        <w:rPr>
          <w:rFonts w:hint="eastAsia" w:ascii="仿宋_GB2312" w:hAnsi="仿宋_GB2312" w:eastAsia="仿宋_GB2312" w:cs="仿宋_GB2312"/>
          <w:color w:val="auto"/>
          <w:sz w:val="24"/>
          <w:szCs w:val="40"/>
          <w:highlight w:val="none"/>
        </w:rPr>
      </w:pPr>
    </w:p>
    <w:p>
      <w:pPr>
        <w:pStyle w:val="2"/>
        <w:rPr>
          <w:rFonts w:hint="eastAsia" w:ascii="仿宋_GB2312" w:hAnsi="仿宋_GB2312" w:eastAsia="仿宋_GB2312" w:cs="仿宋_GB2312"/>
          <w:color w:val="auto"/>
          <w:sz w:val="24"/>
          <w:szCs w:val="40"/>
          <w:highlight w:val="none"/>
        </w:rPr>
      </w:pPr>
    </w:p>
    <w:p>
      <w:pPr>
        <w:rPr>
          <w:rFonts w:hint="eastAsia" w:ascii="仿宋_GB2312" w:hAnsi="仿宋_GB2312" w:eastAsia="仿宋_GB2312" w:cs="仿宋_GB2312"/>
          <w:color w:val="auto"/>
          <w:sz w:val="24"/>
          <w:szCs w:val="40"/>
          <w:highlight w:val="none"/>
        </w:rPr>
        <w:sectPr>
          <w:headerReference r:id="rId7" w:type="default"/>
          <w:footerReference r:id="rId8" w:type="default"/>
          <w:type w:val="continuous"/>
          <w:pgSz w:w="11906" w:h="16838"/>
          <w:pgMar w:top="907" w:right="1701" w:bottom="1304" w:left="1701" w:header="851" w:footer="992" w:gutter="0"/>
          <w:cols w:space="720" w:num="1"/>
          <w:docGrid w:linePitch="312" w:charSpace="0"/>
        </w:sectPr>
      </w:pPr>
    </w:p>
    <w:p>
      <w:pPr>
        <w:keepNext/>
        <w:keepLines/>
        <w:pageBreakBefore w:val="0"/>
        <w:widowControl w:val="0"/>
        <w:numPr>
          <w:ilvl w:val="1"/>
          <w:numId w:val="0"/>
        </w:numPr>
        <w:kinsoku/>
        <w:wordWrap/>
        <w:overflowPunct/>
        <w:topLinePunct w:val="0"/>
        <w:autoSpaceDE/>
        <w:autoSpaceDN/>
        <w:bidi w:val="0"/>
        <w:adjustRightInd/>
        <w:snapToGrid/>
        <w:spacing w:before="120" w:after="120" w:line="216" w:lineRule="auto"/>
        <w:textAlignment w:val="auto"/>
        <w:outlineLvl w:val="9"/>
        <w:rPr>
          <w:rFonts w:hint="eastAsia" w:ascii="仿宋_GB2312" w:hAnsi="仿宋_GB2312" w:eastAsia="仿宋_GB2312" w:cs="仿宋_GB2312"/>
          <w:color w:val="auto"/>
          <w:sz w:val="24"/>
          <w:szCs w:val="40"/>
          <w:highlight w:val="none"/>
          <w:lang w:val="en-US" w:eastAsia="zh-CN"/>
        </w:rPr>
      </w:pPr>
      <w:r>
        <w:rPr>
          <w:rFonts w:hint="eastAsia" w:ascii="仿宋_GB2312" w:hAnsi="仿宋_GB2312" w:eastAsia="仿宋_GB2312" w:cs="仿宋_GB2312"/>
          <w:color w:val="auto"/>
          <w:sz w:val="24"/>
          <w:szCs w:val="40"/>
          <w:highlight w:val="none"/>
        </w:rPr>
        <w:t>附件</w:t>
      </w:r>
      <w:r>
        <w:rPr>
          <w:rFonts w:hint="eastAsia" w:ascii="仿宋_GB2312" w:hAnsi="仿宋_GB2312" w:eastAsia="仿宋_GB2312" w:cs="仿宋_GB2312"/>
          <w:color w:val="auto"/>
          <w:sz w:val="24"/>
          <w:szCs w:val="40"/>
          <w:highlight w:val="none"/>
          <w:lang w:val="en-US" w:eastAsia="zh-CN"/>
        </w:rPr>
        <w:t>3.</w:t>
      </w:r>
    </w:p>
    <w:bookmarkEnd w:id="70"/>
    <w:p>
      <w:pPr>
        <w:pStyle w:val="20"/>
        <w:rPr>
          <w:rFonts w:hint="eastAsia" w:ascii="宋体" w:hAnsi="宋体" w:eastAsia="宋体" w:cs="宋体"/>
          <w:b/>
          <w:bCs/>
          <w:color w:val="auto"/>
          <w:kern w:val="0"/>
          <w:sz w:val="32"/>
          <w:szCs w:val="32"/>
          <w:highlight w:val="none"/>
          <w:lang w:val="zh-CN" w:eastAsia="zh-CN" w:bidi="ar-SA"/>
        </w:rPr>
      </w:pPr>
      <w:r>
        <w:rPr>
          <w:rFonts w:hint="eastAsia" w:ascii="宋体" w:hAnsi="宋体" w:eastAsia="宋体" w:cs="宋体"/>
          <w:b/>
          <w:bCs/>
          <w:color w:val="auto"/>
          <w:kern w:val="0"/>
          <w:sz w:val="32"/>
          <w:szCs w:val="32"/>
          <w:highlight w:val="none"/>
          <w:lang w:val="zh-CN" w:eastAsia="zh-CN" w:bidi="ar-SA"/>
        </w:rPr>
        <w:t>2020年度市直单位业务目标完成情况申报表</w:t>
      </w:r>
    </w:p>
    <w:tbl>
      <w:tblPr>
        <w:tblStyle w:val="23"/>
        <w:tblW w:w="140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0"/>
        <w:gridCol w:w="835"/>
        <w:gridCol w:w="1624"/>
        <w:gridCol w:w="8216"/>
        <w:gridCol w:w="2450"/>
        <w:gridCol w:w="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115" w:hRule="atLeast"/>
          <w:jc w:val="center"/>
        </w:trPr>
        <w:tc>
          <w:tcPr>
            <w:tcW w:w="880" w:type="dxa"/>
            <w:tcBorders>
              <w:bottom w:val="single" w:color="auto" w:sz="6" w:space="0"/>
            </w:tcBorders>
            <w:noWrap w:val="0"/>
            <w:vAlign w:val="center"/>
          </w:tcPr>
          <w:p>
            <w:pPr>
              <w:adjustRightInd w:val="0"/>
              <w:snapToGrid w:val="0"/>
              <w:spacing w:line="240" w:lineRule="auto"/>
              <w:ind w:firstLine="0" w:firstLineChars="0"/>
              <w:jc w:val="center"/>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类别</w:t>
            </w:r>
          </w:p>
        </w:tc>
        <w:tc>
          <w:tcPr>
            <w:tcW w:w="835" w:type="dxa"/>
            <w:tcBorders>
              <w:bottom w:val="single" w:color="auto" w:sz="6" w:space="0"/>
            </w:tcBorders>
            <w:noWrap w:val="0"/>
            <w:vAlign w:val="center"/>
          </w:tcPr>
          <w:p>
            <w:pPr>
              <w:adjustRightInd w:val="0"/>
              <w:snapToGrid w:val="0"/>
              <w:spacing w:line="240" w:lineRule="auto"/>
              <w:ind w:firstLine="0" w:firstLineChars="0"/>
              <w:jc w:val="center"/>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序号</w:t>
            </w:r>
          </w:p>
        </w:tc>
        <w:tc>
          <w:tcPr>
            <w:tcW w:w="1624" w:type="dxa"/>
            <w:tcBorders>
              <w:bottom w:val="single" w:color="auto" w:sz="6" w:space="0"/>
            </w:tcBorders>
            <w:noWrap w:val="0"/>
            <w:vAlign w:val="center"/>
          </w:tcPr>
          <w:p>
            <w:pPr>
              <w:adjustRightInd w:val="0"/>
              <w:snapToGrid w:val="0"/>
              <w:spacing w:line="240" w:lineRule="auto"/>
              <w:ind w:firstLine="0" w:firstLineChars="0"/>
              <w:jc w:val="center"/>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目标名称</w:t>
            </w:r>
          </w:p>
        </w:tc>
        <w:tc>
          <w:tcPr>
            <w:tcW w:w="8216" w:type="dxa"/>
            <w:tcBorders>
              <w:bottom w:val="single" w:color="auto" w:sz="6" w:space="0"/>
            </w:tcBorders>
            <w:noWrap w:val="0"/>
            <w:vAlign w:val="center"/>
          </w:tcPr>
          <w:p>
            <w:pPr>
              <w:adjustRightInd w:val="0"/>
              <w:snapToGrid w:val="0"/>
              <w:spacing w:line="240" w:lineRule="auto"/>
              <w:ind w:firstLine="0" w:firstLineChars="0"/>
              <w:jc w:val="center"/>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完成情况及取得实效</w:t>
            </w:r>
          </w:p>
        </w:tc>
        <w:tc>
          <w:tcPr>
            <w:tcW w:w="2450" w:type="dxa"/>
            <w:tcBorders>
              <w:bottom w:val="single" w:color="auto" w:sz="6" w:space="0"/>
            </w:tcBorders>
            <w:noWrap w:val="0"/>
            <w:vAlign w:val="center"/>
          </w:tcPr>
          <w:p>
            <w:pPr>
              <w:adjustRightInd w:val="0"/>
              <w:snapToGrid w:val="0"/>
              <w:spacing w:line="240" w:lineRule="auto"/>
              <w:ind w:firstLine="0" w:firstLineChars="0"/>
              <w:jc w:val="center"/>
              <w:rPr>
                <w:rFonts w:hint="eastAsia"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证明材料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880" w:type="dxa"/>
            <w:vMerge w:val="restart"/>
            <w:tcBorders>
              <w:top w:val="single" w:color="auto" w:sz="6" w:space="0"/>
              <w:bottom w:val="single" w:color="auto" w:sz="6" w:space="0"/>
            </w:tcBorders>
            <w:noWrap w:val="0"/>
            <w:vAlign w:val="center"/>
          </w:tcPr>
          <w:p>
            <w:pPr>
              <w:spacing w:line="0" w:lineRule="atLeas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重点目标</w:t>
            </w:r>
          </w:p>
        </w:tc>
        <w:tc>
          <w:tcPr>
            <w:tcW w:w="835" w:type="dxa"/>
            <w:tcBorders>
              <w:top w:val="single" w:color="auto" w:sz="6" w:space="0"/>
              <w:bottom w:val="single" w:color="auto" w:sz="6" w:space="0"/>
            </w:tcBorders>
            <w:noWrap w:val="0"/>
            <w:vAlign w:val="center"/>
          </w:tcPr>
          <w:p>
            <w:pPr>
              <w:spacing w:line="0" w:lineRule="atLeas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1624" w:type="dxa"/>
            <w:tcBorders>
              <w:top w:val="single" w:color="auto" w:sz="6" w:space="0"/>
              <w:bottom w:val="single" w:color="auto" w:sz="6" w:space="0"/>
            </w:tcBorders>
            <w:noWrap w:val="0"/>
            <w:vAlign w:val="center"/>
          </w:tcPr>
          <w:p>
            <w:pPr>
              <w:spacing w:line="300" w:lineRule="exact"/>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推进基础教育优质均衡发展</w:t>
            </w:r>
          </w:p>
        </w:tc>
        <w:tc>
          <w:tcPr>
            <w:tcW w:w="8216" w:type="dxa"/>
            <w:tcBorders>
              <w:top w:val="single" w:color="auto" w:sz="6" w:space="0"/>
              <w:bottom w:val="single" w:color="auto" w:sz="6" w:space="0"/>
            </w:tcBorders>
            <w:noWrap w:val="0"/>
            <w:vAlign w:val="center"/>
          </w:tcPr>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目标内容：实施公办民办中小学校同步招生，规范招生行为，促进教育公平。继续推进高水平现代化学校建设，以捆绑式评估方式，提高农村薄弱学校教育教学水平，力争全市90%普通中小学达到高水平现代化学校建设标准。加强义务教育优质均衡评估监测，推动区市争创国家义务教育优质均衡发展县（市、区）。优化小学生课后校内托管服务。组织中小学生海洋节，举办小学生海洋科普讲解大赛、海洋科普论坛，开展海洋科普网络直播活动。推进海洋教育地方课程建设，组织海洋课程优质课评选。重点建设20所高水平海洋教育特色校。教育业从业人员工资总额完成市委、市政府确定的年度增长目标。</w:t>
            </w:r>
          </w:p>
          <w:p>
            <w:pPr>
              <w:spacing w:line="300" w:lineRule="exact"/>
              <w:ind w:firstLine="480"/>
              <w:rPr>
                <w:rFonts w:hint="eastAsia" w:ascii="黑体" w:hAnsi="黑体" w:eastAsia="黑体" w:cs="Times New Roman"/>
                <w:color w:val="auto"/>
                <w:sz w:val="22"/>
                <w:szCs w:val="22"/>
              </w:rPr>
            </w:pPr>
            <w:r>
              <w:rPr>
                <w:rFonts w:ascii="黑体" w:hAnsi="黑体" w:eastAsia="黑体" w:cs="Times New Roman"/>
                <w:color w:val="auto"/>
                <w:sz w:val="22"/>
                <w:szCs w:val="22"/>
              </w:rPr>
              <w:t>完成情况综述</w:t>
            </w:r>
            <w:r>
              <w:rPr>
                <w:rFonts w:hint="eastAsia" w:ascii="黑体" w:hAnsi="黑体" w:eastAsia="黑体" w:cs="Times New Roman"/>
                <w:color w:val="auto"/>
                <w:sz w:val="22"/>
                <w:szCs w:val="22"/>
              </w:rPr>
              <w:t>：已完成。</w:t>
            </w:r>
          </w:p>
          <w:p>
            <w:pPr>
              <w:spacing w:line="300" w:lineRule="exact"/>
              <w:ind w:left="560" w:firstLine="0" w:firstLineChars="0"/>
              <w:rPr>
                <w:rFonts w:hint="eastAsia" w:ascii="黑体" w:hAnsi="黑体" w:eastAsia="黑体"/>
                <w:color w:val="auto"/>
                <w:sz w:val="22"/>
                <w:szCs w:val="22"/>
              </w:rPr>
            </w:pPr>
            <w:r>
              <w:rPr>
                <w:rFonts w:hint="eastAsia" w:ascii="黑体" w:hAnsi="黑体" w:eastAsia="黑体"/>
                <w:color w:val="auto"/>
                <w:sz w:val="22"/>
                <w:szCs w:val="22"/>
              </w:rPr>
              <w:t>一、实施公办民办中小学校同步招生</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印发《青岛市义务教育段公办学校民办学校同步招生工作方案》，建设中小学招生平台，全面实施公民办学校同步登记报名、同步招生录取、同步注册学籍。对报名人数超过招生计划的民办义务教育学校实施电脑派位。中小学招生工作得到市委主要领导肯定批示。</w:t>
            </w:r>
          </w:p>
          <w:p>
            <w:pPr>
              <w:spacing w:line="300" w:lineRule="exact"/>
              <w:ind w:firstLine="480"/>
              <w:rPr>
                <w:rFonts w:ascii="黑体" w:hAnsi="黑体" w:eastAsia="黑体"/>
                <w:color w:val="auto"/>
                <w:sz w:val="22"/>
                <w:szCs w:val="22"/>
              </w:rPr>
            </w:pPr>
            <w:r>
              <w:rPr>
                <w:rFonts w:hint="eastAsia" w:ascii="黑体" w:hAnsi="黑体" w:eastAsia="黑体"/>
                <w:color w:val="auto"/>
                <w:sz w:val="22"/>
                <w:szCs w:val="22"/>
              </w:rPr>
              <w:t>二、推进高水平现代化学校建设</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2020年共有270所学校通过高水平现代化学校评估。至此，全市共有941所学校通过验收，达到普通中小学比例的90%。</w:t>
            </w:r>
          </w:p>
          <w:p>
            <w:pPr>
              <w:spacing w:line="300" w:lineRule="exact"/>
              <w:ind w:firstLine="480"/>
              <w:rPr>
                <w:rFonts w:ascii="黑体" w:hAnsi="黑体" w:eastAsia="黑体"/>
                <w:color w:val="auto"/>
                <w:sz w:val="22"/>
                <w:szCs w:val="22"/>
              </w:rPr>
            </w:pPr>
            <w:r>
              <w:rPr>
                <w:rFonts w:hint="eastAsia" w:ascii="黑体" w:hAnsi="黑体" w:eastAsia="黑体"/>
                <w:color w:val="auto"/>
                <w:sz w:val="22"/>
                <w:szCs w:val="22"/>
              </w:rPr>
              <w:t>三、加强义务教育优质均衡评估监测</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研究开发青岛市义务教育优质均衡发展评估监测系统，将其纳入对区市政府履行教育职责评价进行实地评估，形成10份监测报告。目前已向省政府教育督导委员会办公室提报市南区、市北区、李沧区申报材料，提请省和国家验收。</w:t>
            </w:r>
          </w:p>
          <w:p>
            <w:pPr>
              <w:spacing w:line="300" w:lineRule="exact"/>
              <w:ind w:firstLine="480"/>
              <w:rPr>
                <w:rFonts w:ascii="黑体" w:hAnsi="黑体" w:eastAsia="黑体"/>
                <w:color w:val="auto"/>
                <w:sz w:val="22"/>
                <w:szCs w:val="22"/>
              </w:rPr>
            </w:pPr>
            <w:r>
              <w:rPr>
                <w:rFonts w:hint="eastAsia" w:ascii="黑体" w:hAnsi="黑体" w:eastAsia="黑体"/>
                <w:color w:val="auto"/>
                <w:sz w:val="22"/>
                <w:szCs w:val="22"/>
              </w:rPr>
              <w:t>四、优化小学生课后校内托管</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今年春季复课和秋季开学第一天，同步恢复小学生课后托管服务。截止到11月底，参加人数为26.3万人，占全市小学生总数的45%。正式出版发行《小学生三点半实践教育丛书》，在E平台开设“青岛市学生课后服务”模块，小学生按需托管率达到100%。</w:t>
            </w:r>
          </w:p>
          <w:p>
            <w:pPr>
              <w:spacing w:line="300" w:lineRule="exact"/>
              <w:ind w:firstLine="480"/>
              <w:rPr>
                <w:rFonts w:ascii="黑体" w:hAnsi="黑体" w:eastAsia="黑体"/>
                <w:color w:val="auto"/>
                <w:sz w:val="22"/>
                <w:szCs w:val="22"/>
              </w:rPr>
            </w:pPr>
            <w:r>
              <w:rPr>
                <w:rFonts w:hint="eastAsia" w:ascii="黑体" w:hAnsi="黑体" w:eastAsia="黑体"/>
                <w:color w:val="auto"/>
                <w:sz w:val="22"/>
                <w:szCs w:val="22"/>
              </w:rPr>
              <w:t>五、开展海洋教育</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印发第六届中小学海洋节、推进高水平海洋教育特色校建设等文件，组织海洋知识竞赛、海洋科普讲解大赛、海洋科普论坛等，开展海洋科普网络直播活动4期，组织海洋教育优质课评选20节，加快海洋教育STEM课程、VR课程探索，海洋教育走在全省前列。</w:t>
            </w:r>
          </w:p>
          <w:p>
            <w:pPr>
              <w:spacing w:line="300" w:lineRule="exact"/>
              <w:ind w:firstLine="480"/>
              <w:rPr>
                <w:rFonts w:hint="eastAsia" w:ascii="黑体" w:hAnsi="黑体" w:eastAsia="黑体" w:cs="Times New Roman"/>
                <w:color w:val="auto"/>
                <w:sz w:val="22"/>
                <w:szCs w:val="22"/>
              </w:rPr>
            </w:pPr>
            <w:r>
              <w:rPr>
                <w:rFonts w:hint="eastAsia" w:ascii="黑体" w:hAnsi="黑体" w:eastAsia="黑体"/>
                <w:color w:val="auto"/>
                <w:sz w:val="22"/>
                <w:szCs w:val="22"/>
              </w:rPr>
              <w:t>六、教育从业人员工资总额完成市委、市政府确定的年度增长目标</w:t>
            </w:r>
          </w:p>
          <w:p>
            <w:pPr>
              <w:spacing w:line="300" w:lineRule="exact"/>
              <w:ind w:firstLine="480"/>
              <w:rPr>
                <w:rFonts w:hint="eastAsia" w:ascii="黑体" w:hAnsi="黑体" w:eastAsia="黑体" w:cs="Times New Roman"/>
                <w:color w:val="auto"/>
                <w:sz w:val="22"/>
                <w:szCs w:val="22"/>
              </w:rPr>
            </w:pPr>
            <w:r>
              <w:rPr>
                <w:rFonts w:hint="eastAsia" w:ascii="仿宋_GB2312" w:hAnsi="仿宋_GB2312" w:eastAsia="仿宋_GB2312" w:cs="仿宋_GB2312"/>
                <w:color w:val="auto"/>
                <w:sz w:val="22"/>
                <w:szCs w:val="22"/>
              </w:rPr>
              <w:t>全力做好教育从业人员工资总额保增长工作，预计教育工资总额指标全年增长11%，其中：规上非营利性服务业教育工资总额指标全年增长10 %，规下非营利性服务业教育工资总额指标全年增长17%。</w:t>
            </w:r>
          </w:p>
        </w:tc>
        <w:tc>
          <w:tcPr>
            <w:tcW w:w="2456" w:type="dxa"/>
            <w:gridSpan w:val="2"/>
            <w:tcBorders>
              <w:top w:val="single" w:color="auto" w:sz="6" w:space="0"/>
              <w:bottom w:val="single" w:color="auto" w:sz="6" w:space="0"/>
            </w:tcBorders>
            <w:noWrap w:val="0"/>
            <w:vAlign w:val="center"/>
          </w:tcPr>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1.《青岛市义务教育段公办学校民办学校同步招生工作方案》</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2.市委主要领导批示</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3.《青岛市人民政府教育督导委员会办公室关于开展对区市人民政府履行教育职责督导评价工作的通知》</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4.青岛市县域义务教育优质均衡发展监测平台</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操作手册</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5.青岛市优质均衡发展监测分析报告及各区市监测报告（白皮书）</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6.市南区、市北区、李沧区国家义务教育优质均衡发展县（市、区）申报表</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7.关于做好全市中小学幼儿园复学复课工作的通知</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8.《小学生三点半实践教育丛书》</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9.E平台“青岛市学生课后服务”模块截屏</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10.关于举办青岛市第六届中小学海洋节的通知</w:t>
            </w:r>
            <w:bookmarkStart w:id="71" w:name="_Hlk58254031"/>
          </w:p>
          <w:bookmarkEnd w:id="71"/>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11.关于举行2020年市级优质课评选的通知</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12．2020年青岛市优质课评选获奖名单公示</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13.青岛市教育局关于</w:t>
            </w:r>
            <w:bookmarkStart w:id="72" w:name="_Hlk51688279"/>
            <w:bookmarkStart w:id="73" w:name="_Hlk50541340"/>
            <w:r>
              <w:rPr>
                <w:rFonts w:hint="eastAsia" w:ascii="仿宋_GB2312" w:hAnsi="仿宋_GB2312" w:eastAsia="仿宋_GB2312" w:cs="仿宋_GB2312"/>
                <w:color w:val="auto"/>
                <w:sz w:val="21"/>
                <w:szCs w:val="21"/>
              </w:rPr>
              <w:t>推进高水平海洋教育特色校建设</w:t>
            </w:r>
            <w:bookmarkEnd w:id="72"/>
            <w:r>
              <w:rPr>
                <w:rFonts w:hint="eastAsia" w:ascii="仿宋_GB2312" w:hAnsi="仿宋_GB2312" w:eastAsia="仿宋_GB2312" w:cs="仿宋_GB2312"/>
                <w:color w:val="auto"/>
                <w:sz w:val="21"/>
                <w:szCs w:val="21"/>
              </w:rPr>
              <w:t>的通知</w:t>
            </w:r>
            <w:bookmarkEnd w:id="73"/>
          </w:p>
          <w:p>
            <w:pPr>
              <w:spacing w:line="240" w:lineRule="exact"/>
              <w:ind w:firstLine="0" w:firstLineChars="0"/>
              <w:rPr>
                <w:rFonts w:hint="eastAsia" w:hAnsi="黑体" w:cs="Times New Roman"/>
                <w:color w:val="auto"/>
                <w:sz w:val="21"/>
                <w:szCs w:val="24"/>
              </w:rPr>
            </w:pPr>
            <w:r>
              <w:rPr>
                <w:rFonts w:hint="eastAsia" w:ascii="仿宋_GB2312" w:hAnsi="仿宋_GB2312" w:eastAsia="仿宋_GB2312" w:cs="仿宋_GB2312"/>
                <w:color w:val="auto"/>
                <w:sz w:val="21"/>
                <w:szCs w:val="21"/>
              </w:rPr>
              <w:t>14.教育从业人员工资总额指标运行情况汇报（在市经济运行专题会上汇报稿）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880" w:type="dxa"/>
            <w:vMerge w:val="continue"/>
            <w:tcBorders>
              <w:top w:val="single" w:color="auto" w:sz="6" w:space="0"/>
              <w:bottom w:val="single" w:color="auto" w:sz="6" w:space="0"/>
            </w:tcBorders>
            <w:noWrap w:val="0"/>
            <w:vAlign w:val="center"/>
          </w:tcPr>
          <w:p>
            <w:pPr>
              <w:spacing w:line="0" w:lineRule="atLeast"/>
              <w:ind w:firstLine="0" w:firstLineChars="0"/>
              <w:jc w:val="center"/>
              <w:rPr>
                <w:rFonts w:hint="eastAsia" w:hAnsi="宋体" w:cs="Times New Roman"/>
                <w:color w:val="auto"/>
                <w:sz w:val="24"/>
                <w:szCs w:val="24"/>
              </w:rPr>
            </w:pPr>
          </w:p>
        </w:tc>
        <w:tc>
          <w:tcPr>
            <w:tcW w:w="835" w:type="dxa"/>
            <w:tcBorders>
              <w:top w:val="single" w:color="auto" w:sz="6" w:space="0"/>
              <w:bottom w:val="single" w:color="auto" w:sz="6" w:space="0"/>
            </w:tcBorders>
            <w:noWrap w:val="0"/>
            <w:vAlign w:val="center"/>
          </w:tcPr>
          <w:p>
            <w:pPr>
              <w:spacing w:line="300" w:lineRule="exac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1624" w:type="dxa"/>
            <w:tcBorders>
              <w:top w:val="single" w:color="auto" w:sz="6" w:space="0"/>
              <w:bottom w:val="single" w:color="auto" w:sz="6" w:space="0"/>
            </w:tcBorders>
            <w:noWrap w:val="0"/>
            <w:vAlign w:val="center"/>
          </w:tcPr>
          <w:p>
            <w:pPr>
              <w:spacing w:line="300" w:lineRule="exact"/>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坚持立德树人，完善家校共育机制</w:t>
            </w:r>
          </w:p>
        </w:tc>
        <w:tc>
          <w:tcPr>
            <w:tcW w:w="8216" w:type="dxa"/>
            <w:tcBorders>
              <w:top w:val="single" w:color="auto" w:sz="6" w:space="0"/>
              <w:bottom w:val="single" w:color="auto" w:sz="6" w:space="0"/>
            </w:tcBorders>
            <w:noWrap w:val="0"/>
            <w:vAlign w:val="center"/>
          </w:tcPr>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目标内容：加强和改进学校思想政治教育，推进大中小学思政课一体化建设。加强中小学（幼儿园）学生习惯养成教育，制定学生“十个好习惯”建议。发挥同城大课堂、立德树人大讲堂等高校思政工作平台作用，加强高校意识形态工作体系建设和工作责任制落实。丰富“阳光校园”内涵，加大“阳光校园”创建力度。提升校园文化品质，创建100所“校园文化建设示范学校”。办好“家长大课堂”“家长面对面”活动和“家校合作网”，研究制订中小学幼儿园家庭教育指导纲要，提升家庭教育质量。培育40个家庭教育校（园）本精品课程、100个家庭教育服务站、50所心理健康教育示范学校。</w:t>
            </w:r>
          </w:p>
          <w:p>
            <w:pPr>
              <w:spacing w:line="300" w:lineRule="exact"/>
              <w:ind w:firstLine="480"/>
              <w:rPr>
                <w:color w:val="auto"/>
                <w:sz w:val="22"/>
                <w:szCs w:val="22"/>
              </w:rPr>
            </w:pPr>
            <w:r>
              <w:rPr>
                <w:rFonts w:hint="eastAsia" w:ascii="黑体" w:hAnsi="黑体" w:eastAsia="黑体" w:cs="Times New Roman"/>
                <w:color w:val="auto"/>
                <w:sz w:val="22"/>
                <w:szCs w:val="22"/>
              </w:rPr>
              <w:t>完成情况综述：</w:t>
            </w:r>
            <w:r>
              <w:rPr>
                <w:rFonts w:hint="eastAsia"/>
                <w:color w:val="auto"/>
                <w:sz w:val="22"/>
                <w:szCs w:val="22"/>
              </w:rPr>
              <w:t>目标已完成，立德树人成效显著，完善了家校共育工作机制。</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1.推进思政课一体化建设。依托“新时代大中小思政课一体化建设联盟”开展专题研讨、座谈并形成调研报告。开展“高校思政名师送课中小学”活动，筹备成立新时代大中小学思想政治教育联盟，推进资源共享、联合育人。</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2.分学段制定“十个好习惯”。分7个学段制定了《中小学（幼儿园）学生“十个好习惯”》，形成了具有青岛特色的螺旋上升、梯度发展的行为习惯养成教育体系。</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3.丰富高校思政工作平台。开展“同城大课堂”“立德树人大讲堂”“阳光心理”系列教育活动，以“在战‘疫’中我们一起成长”为主题制定思政课专题教育方案，组织各类宣讲20场次，受众50000余人。通过制定责任清单、建立信息员制度、召开推进会、开展国家安全日宣传等措施保障意识形态安全。</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4.加大阳光校园创建力度。</w:t>
            </w:r>
            <w:r>
              <w:rPr>
                <w:rFonts w:hint="eastAsia" w:ascii="仿宋_GB2312" w:hAnsi="仿宋_GB2312" w:eastAsia="仿宋_GB2312" w:cs="仿宋_GB2312"/>
                <w:color w:val="auto"/>
                <w:sz w:val="22"/>
                <w:szCs w:val="22"/>
                <w:lang w:val="zh-CN"/>
              </w:rPr>
              <w:t>将12项</w:t>
            </w:r>
            <w:r>
              <w:rPr>
                <w:rFonts w:hint="eastAsia" w:ascii="仿宋_GB2312" w:hAnsi="仿宋_GB2312" w:eastAsia="仿宋_GB2312" w:cs="仿宋_GB2312"/>
                <w:color w:val="auto"/>
                <w:sz w:val="22"/>
                <w:szCs w:val="22"/>
              </w:rPr>
              <w:t>市局</w:t>
            </w:r>
            <w:r>
              <w:rPr>
                <w:rFonts w:hint="eastAsia" w:ascii="仿宋_GB2312" w:hAnsi="仿宋_GB2312" w:eastAsia="仿宋_GB2312" w:cs="仿宋_GB2312"/>
                <w:color w:val="auto"/>
                <w:sz w:val="22"/>
                <w:szCs w:val="22"/>
                <w:lang w:val="zh-CN"/>
              </w:rPr>
              <w:t>重点工作纳入创建</w:t>
            </w:r>
            <w:r>
              <w:rPr>
                <w:rFonts w:hint="eastAsia" w:ascii="仿宋_GB2312" w:hAnsi="仿宋_GB2312" w:eastAsia="仿宋_GB2312" w:cs="仿宋_GB2312"/>
                <w:color w:val="auto"/>
                <w:sz w:val="22"/>
                <w:szCs w:val="22"/>
              </w:rPr>
              <w:t>评价指标体系</w:t>
            </w:r>
            <w:r>
              <w:rPr>
                <w:rFonts w:hint="eastAsia" w:ascii="仿宋_GB2312" w:hAnsi="仿宋_GB2312" w:eastAsia="仿宋_GB2312" w:cs="仿宋_GB2312"/>
                <w:color w:val="auto"/>
                <w:sz w:val="22"/>
                <w:szCs w:val="22"/>
                <w:lang w:val="zh-CN"/>
              </w:rPr>
              <w:t>，全面</w:t>
            </w:r>
            <w:r>
              <w:rPr>
                <w:rFonts w:hint="eastAsia" w:ascii="仿宋_GB2312" w:hAnsi="仿宋_GB2312" w:eastAsia="仿宋_GB2312" w:cs="仿宋_GB2312"/>
                <w:color w:val="auto"/>
                <w:sz w:val="22"/>
                <w:szCs w:val="22"/>
              </w:rPr>
              <w:t>引领</w:t>
            </w:r>
            <w:r>
              <w:rPr>
                <w:rFonts w:hint="eastAsia" w:ascii="仿宋_GB2312" w:hAnsi="仿宋_GB2312" w:eastAsia="仿宋_GB2312" w:cs="仿宋_GB2312"/>
                <w:color w:val="auto"/>
                <w:sz w:val="22"/>
                <w:szCs w:val="22"/>
                <w:lang w:val="zh-CN"/>
              </w:rPr>
              <w:t>办学质量和育人水平。启用中小学阳光校园评审管理系统，</w:t>
            </w:r>
            <w:r>
              <w:rPr>
                <w:rFonts w:hint="eastAsia" w:ascii="仿宋_GB2312" w:hAnsi="仿宋_GB2312" w:eastAsia="仿宋_GB2312" w:cs="仿宋_GB2312"/>
                <w:color w:val="auto"/>
                <w:sz w:val="22"/>
                <w:szCs w:val="22"/>
              </w:rPr>
              <w:t>完成989所学校的申报审查工作</w:t>
            </w:r>
            <w:r>
              <w:rPr>
                <w:rFonts w:hint="eastAsia" w:ascii="仿宋_GB2312" w:hAnsi="仿宋_GB2312" w:eastAsia="仿宋_GB2312" w:cs="仿宋_GB2312"/>
                <w:color w:val="auto"/>
                <w:sz w:val="22"/>
                <w:szCs w:val="22"/>
                <w:lang w:val="zh-CN"/>
              </w:rPr>
              <w:t>，</w:t>
            </w:r>
            <w:r>
              <w:rPr>
                <w:rFonts w:hint="eastAsia" w:ascii="仿宋_GB2312" w:hAnsi="仿宋_GB2312" w:eastAsia="仿宋_GB2312" w:cs="仿宋_GB2312"/>
                <w:color w:val="auto"/>
                <w:sz w:val="22"/>
                <w:szCs w:val="22"/>
              </w:rPr>
              <w:t>创建工作受市政府主要领导肯定，并被省委教育工作领导小组办公室推广。培育100个家庭教育服务站、50所心理健康教育示范学校。</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5.创建百所校园文化建设示范学校。</w:t>
            </w:r>
            <w:r>
              <w:rPr>
                <w:rFonts w:hint="eastAsia" w:ascii="仿宋_GB2312" w:hAnsi="仿宋_GB2312" w:eastAsia="仿宋_GB2312" w:cs="仿宋_GB2312"/>
                <w:color w:val="auto"/>
                <w:sz w:val="22"/>
                <w:szCs w:val="22"/>
                <w:lang w:val="zh-CN"/>
              </w:rPr>
              <w:t>印发《关于开展中小学校园文化建设示范学校评选工作的通知》，</w:t>
            </w:r>
            <w:r>
              <w:rPr>
                <w:rFonts w:hint="eastAsia" w:ascii="仿宋_GB2312" w:hAnsi="仿宋_GB2312" w:eastAsia="仿宋_GB2312" w:cs="仿宋_GB2312"/>
                <w:color w:val="auto"/>
                <w:sz w:val="22"/>
                <w:szCs w:val="22"/>
              </w:rPr>
              <w:t>制定《全市中小学校园文化建设工作优化提升行动方案》，</w:t>
            </w:r>
            <w:r>
              <w:rPr>
                <w:rFonts w:hint="eastAsia" w:ascii="仿宋_GB2312" w:hAnsi="仿宋_GB2312" w:eastAsia="仿宋_GB2312" w:cs="仿宋_GB2312"/>
                <w:color w:val="auto"/>
                <w:sz w:val="22"/>
                <w:szCs w:val="22"/>
                <w:lang w:val="zh-CN"/>
              </w:rPr>
              <w:t>推进中小学</w:t>
            </w:r>
            <w:r>
              <w:rPr>
                <w:rFonts w:hint="eastAsia" w:ascii="仿宋_GB2312" w:hAnsi="仿宋_GB2312" w:eastAsia="仿宋_GB2312" w:cs="仿宋_GB2312"/>
                <w:color w:val="auto"/>
                <w:sz w:val="22"/>
                <w:szCs w:val="22"/>
              </w:rPr>
              <w:t>落实</w:t>
            </w:r>
            <w:r>
              <w:rPr>
                <w:rFonts w:hint="eastAsia" w:ascii="仿宋_GB2312" w:hAnsi="仿宋_GB2312" w:eastAsia="仿宋_GB2312" w:cs="仿宋_GB2312"/>
                <w:color w:val="auto"/>
                <w:sz w:val="22"/>
                <w:szCs w:val="22"/>
                <w:lang w:val="zh-CN"/>
              </w:rPr>
              <w:t>校园文化建设</w:t>
            </w:r>
            <w:r>
              <w:rPr>
                <w:rFonts w:hint="eastAsia" w:ascii="仿宋_GB2312" w:hAnsi="仿宋_GB2312" w:eastAsia="仿宋_GB2312" w:cs="仿宋_GB2312"/>
                <w:color w:val="auto"/>
                <w:sz w:val="22"/>
                <w:szCs w:val="22"/>
              </w:rPr>
              <w:t>的</w:t>
            </w:r>
            <w:r>
              <w:rPr>
                <w:rFonts w:hint="eastAsia" w:ascii="仿宋_GB2312" w:hAnsi="仿宋_GB2312" w:eastAsia="仿宋_GB2312" w:cs="仿宋_GB2312"/>
                <w:color w:val="auto"/>
                <w:sz w:val="22"/>
                <w:szCs w:val="22"/>
                <w:lang w:val="zh-CN"/>
              </w:rPr>
              <w:t>“一校一案”，形成“规范+特色”的校园环境文化</w:t>
            </w:r>
            <w:r>
              <w:rPr>
                <w:rFonts w:hint="eastAsia" w:ascii="仿宋_GB2312" w:hAnsi="仿宋_GB2312" w:eastAsia="仿宋_GB2312" w:cs="仿宋_GB2312"/>
                <w:color w:val="auto"/>
                <w:sz w:val="22"/>
                <w:szCs w:val="22"/>
              </w:rPr>
              <w:t>，评审102家示范学校。</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6.提升家庭教育质量。举办家长大课堂8讲、家长面对面30讲，浏览量累计262万，家校合作网发文量3266篇，浏览量162.4万。制定《青岛市中小学（幼儿园）家庭教育指导纲要（试行）》，对全市中小学的家庭教育工作提供规范指导，被《中国教育报》《山东教育报》《青岛日报》等国家省市级媒体予以报道。</w:t>
            </w:r>
          </w:p>
          <w:p>
            <w:pPr>
              <w:spacing w:line="300" w:lineRule="exact"/>
              <w:ind w:firstLine="396" w:firstLineChars="180"/>
              <w:rPr>
                <w:rFonts w:hint="eastAsia" w:hAnsi="宋体" w:cs="Times New Roman"/>
                <w:color w:val="auto"/>
                <w:sz w:val="22"/>
                <w:szCs w:val="22"/>
              </w:rPr>
            </w:pPr>
            <w:r>
              <w:rPr>
                <w:rFonts w:hint="eastAsia" w:ascii="仿宋_GB2312" w:hAnsi="仿宋_GB2312" w:eastAsia="仿宋_GB2312" w:cs="仿宋_GB2312"/>
                <w:color w:val="auto"/>
                <w:sz w:val="22"/>
                <w:szCs w:val="22"/>
              </w:rPr>
              <w:t>7.培育家庭教育校（园）本精品课程。组织开展第二届家庭教育指导精品校（园）本课程评选活动，评选出40门家庭教育指导精品校（园）本课程。</w:t>
            </w:r>
          </w:p>
        </w:tc>
        <w:tc>
          <w:tcPr>
            <w:tcW w:w="2456" w:type="dxa"/>
            <w:gridSpan w:val="2"/>
            <w:tcBorders>
              <w:top w:val="single" w:color="auto" w:sz="6" w:space="0"/>
              <w:bottom w:val="single" w:color="auto" w:sz="6" w:space="0"/>
            </w:tcBorders>
            <w:noWrap w:val="0"/>
            <w:vAlign w:val="center"/>
          </w:tcPr>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1.青岛市大中小一体化建设调查报告</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2.青岛市新时代大中小一体化建设联盟方案</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3. 关于征集评选青岛市中小学（幼儿园）学生“十个好习惯”的通知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4. 关于公布青岛市中小学学生“十个好习惯”建议评选结果的通知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5. 关于开展“同城大课堂”“立德树人大讲堂”“阳光心理”系列教育活动的通知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6. 关于做好2020年青岛市中小学阳光校园创建工作的通知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7. 关于2020年“家庭教育示范幼儿园”“优秀家庭教育服务站”“中小学心理健康教育示范学校”的情况</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8. 《青岛市创建“阳光校园” 推动减负提质增效》（山东教育工作情况〔2020〕第 4 期）</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9. 关于开展青岛市中小学校园文化建设示范学校评选工作的通知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10.《全市中小学校园文化建设工作优化提升行动方案》的通知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11. 关于印发《青岛市中小学（幼儿园）家庭教育指导纲要（试行）》的通知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12. 青岛家校合作网后台数据统计</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13. 关于公布青岛市中小学幼儿园家庭教育指导精品校（园）本课程名单的通知（青教办字〔2020〕97号）</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14. 相关媒体报道</w:t>
            </w:r>
          </w:p>
          <w:p>
            <w:pPr>
              <w:spacing w:line="240" w:lineRule="exact"/>
              <w:ind w:firstLine="0" w:firstLineChars="0"/>
              <w:rPr>
                <w:rFonts w:hint="eastAsia" w:hAnsi="宋体" w:cs="Times New Roman"/>
                <w:color w:val="auto"/>
                <w:sz w:val="24"/>
                <w:szCs w:val="24"/>
              </w:rPr>
            </w:pPr>
            <w:r>
              <w:rPr>
                <w:rFonts w:hint="eastAsia" w:ascii="仿宋_GB2312" w:hAnsi="仿宋_GB2312" w:eastAsia="仿宋_GB2312" w:cs="仿宋_GB2312"/>
                <w:color w:val="auto"/>
                <w:sz w:val="24"/>
                <w:szCs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880" w:type="dxa"/>
            <w:tcBorders>
              <w:top w:val="single" w:color="auto" w:sz="6" w:space="0"/>
              <w:bottom w:val="single" w:color="auto" w:sz="6" w:space="0"/>
            </w:tcBorders>
            <w:noWrap w:val="0"/>
            <w:vAlign w:val="center"/>
          </w:tcPr>
          <w:p>
            <w:pPr>
              <w:spacing w:line="0" w:lineRule="atLeast"/>
              <w:ind w:firstLine="0" w:firstLineChars="0"/>
              <w:jc w:val="center"/>
              <w:rPr>
                <w:rFonts w:hint="eastAsia" w:hAnsi="宋体" w:cs="Times New Roman"/>
                <w:color w:val="auto"/>
                <w:sz w:val="24"/>
                <w:szCs w:val="24"/>
              </w:rPr>
            </w:pPr>
          </w:p>
        </w:tc>
        <w:tc>
          <w:tcPr>
            <w:tcW w:w="835" w:type="dxa"/>
            <w:tcBorders>
              <w:top w:val="single" w:color="auto" w:sz="6" w:space="0"/>
              <w:bottom w:val="single" w:color="auto" w:sz="6" w:space="0"/>
            </w:tcBorders>
            <w:noWrap w:val="0"/>
            <w:vAlign w:val="center"/>
          </w:tcPr>
          <w:p>
            <w:pPr>
              <w:spacing w:line="300" w:lineRule="exac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p>
        </w:tc>
        <w:tc>
          <w:tcPr>
            <w:tcW w:w="1624" w:type="dxa"/>
            <w:tcBorders>
              <w:top w:val="single" w:color="auto" w:sz="6" w:space="0"/>
              <w:bottom w:val="single" w:color="auto" w:sz="6" w:space="0"/>
            </w:tcBorders>
            <w:noWrap w:val="0"/>
            <w:vAlign w:val="center"/>
          </w:tcPr>
          <w:p>
            <w:pPr>
              <w:spacing w:line="300" w:lineRule="exact"/>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完善促进学生德智体美劳全面发展的体制机制</w:t>
            </w:r>
          </w:p>
        </w:tc>
        <w:tc>
          <w:tcPr>
            <w:tcW w:w="8216" w:type="dxa"/>
            <w:tcBorders>
              <w:top w:val="single" w:color="auto" w:sz="6" w:space="0"/>
              <w:bottom w:val="single" w:color="auto" w:sz="6" w:space="0"/>
            </w:tcBorders>
            <w:noWrap w:val="0"/>
            <w:vAlign w:val="center"/>
          </w:tcPr>
          <w:p>
            <w:pPr>
              <w:spacing w:line="300" w:lineRule="exact"/>
              <w:ind w:firstLine="482"/>
              <w:rPr>
                <w:color w:val="auto"/>
                <w:sz w:val="22"/>
                <w:szCs w:val="22"/>
              </w:rPr>
            </w:pPr>
            <w:r>
              <w:rPr>
                <w:rFonts w:hint="eastAsia" w:ascii="仿宋_GB2312" w:hAnsi="仿宋_GB2312" w:eastAsia="仿宋_GB2312" w:cs="仿宋_GB2312"/>
                <w:b/>
                <w:color w:val="auto"/>
                <w:sz w:val="22"/>
                <w:szCs w:val="22"/>
              </w:rPr>
              <w:t>目标内容：</w:t>
            </w:r>
            <w:r>
              <w:rPr>
                <w:rFonts w:hint="eastAsia" w:ascii="仿宋_GB2312" w:hAnsi="仿宋_GB2312" w:eastAsia="仿宋_GB2312" w:cs="仿宋_GB2312"/>
                <w:color w:val="auto"/>
                <w:sz w:val="22"/>
                <w:szCs w:val="22"/>
              </w:rPr>
              <w:t>完善“十个一”项目信息平台建设和评价体系，初步实现教师、学生、家长可随时查询，教师、学生可时时进行评价的平台功能，完成“十个一”项目书库、专家库、研学基地库等资源库的一期建设，涉及三大类百小项资源。引导区市和学校加强内涵建设，提高全市促进学生全面发展“十个一”项目行动计划的落实质量。推进国家青少年校园足球改革试验区建设，研究制订校园足球特色学校评估标准。推进学校体育美育课程改革，推广“一天一节体育课”、艺术课长短课、分层走班等模式，全面推行艺术学科初中学业水平考试，关注学生心理健康。</w:t>
            </w:r>
          </w:p>
          <w:p>
            <w:pPr>
              <w:spacing w:line="300" w:lineRule="exact"/>
              <w:ind w:firstLine="510" w:firstLineChars="232"/>
              <w:rPr>
                <w:rFonts w:hint="eastAsia" w:ascii="黑体" w:hAnsi="黑体" w:eastAsia="黑体"/>
                <w:color w:val="auto"/>
                <w:sz w:val="22"/>
                <w:szCs w:val="22"/>
              </w:rPr>
            </w:pPr>
            <w:r>
              <w:rPr>
                <w:rFonts w:hint="eastAsia" w:ascii="黑体" w:hAnsi="黑体" w:eastAsia="黑体" w:cs="Times New Roman"/>
                <w:color w:val="auto"/>
                <w:sz w:val="22"/>
                <w:szCs w:val="22"/>
              </w:rPr>
              <w:t>完成情况综述：</w:t>
            </w:r>
            <w:r>
              <w:rPr>
                <w:rFonts w:hint="eastAsia" w:ascii="黑体" w:hAnsi="黑体" w:eastAsia="黑体"/>
                <w:color w:val="auto"/>
                <w:sz w:val="22"/>
                <w:szCs w:val="22"/>
              </w:rPr>
              <w:t>已完成。</w:t>
            </w:r>
          </w:p>
          <w:p>
            <w:pPr>
              <w:spacing w:line="300" w:lineRule="exact"/>
              <w:ind w:firstLine="480"/>
              <w:rPr>
                <w:rFonts w:hint="eastAsia" w:ascii="黑体" w:hAnsi="黑体" w:eastAsia="黑体"/>
                <w:color w:val="auto"/>
                <w:sz w:val="22"/>
                <w:szCs w:val="22"/>
              </w:rPr>
            </w:pPr>
            <w:r>
              <w:rPr>
                <w:rFonts w:hint="eastAsia" w:ascii="黑体" w:hAnsi="黑体" w:eastAsia="黑体"/>
                <w:color w:val="auto"/>
                <w:sz w:val="22"/>
                <w:szCs w:val="22"/>
              </w:rPr>
              <w:t>一、完善“十个一”项目信息平台建设</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组织全市145所学校进行“十个一”平台试点运行，初步实现学生信息上传、自评、互评、家长和教师评价功能。建设市级资源库5个，其中，书库1770项、志愿服务基地库130项、研学基地库210项、项目库11大项，45小项、专家库370项，上述资源已全部上传平台，为各学校提供资源支撑和保障。</w:t>
            </w:r>
          </w:p>
          <w:p>
            <w:pPr>
              <w:spacing w:line="300" w:lineRule="exact"/>
              <w:ind w:firstLine="480"/>
              <w:rPr>
                <w:rFonts w:ascii="黑体" w:hAnsi="黑体" w:eastAsia="黑体"/>
                <w:color w:val="auto"/>
                <w:sz w:val="22"/>
                <w:szCs w:val="22"/>
              </w:rPr>
            </w:pPr>
            <w:r>
              <w:rPr>
                <w:rFonts w:hint="eastAsia" w:ascii="黑体" w:hAnsi="黑体" w:eastAsia="黑体"/>
                <w:color w:val="auto"/>
                <w:sz w:val="22"/>
                <w:szCs w:val="22"/>
              </w:rPr>
              <w:t>二、提高全市促进学生发展“十个一”项目落实质量</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出台《青岛市中小学研学旅行工作管理办法》等文件，评选首批学生研学旅行基地等，建立健全“多位一体”的联合育人模式。组织开展市第十届中小学读书节系列活动、中学生社团文化节等，促进学生全面发展。</w:t>
            </w:r>
          </w:p>
          <w:p>
            <w:pPr>
              <w:spacing w:line="300" w:lineRule="exact"/>
              <w:ind w:firstLine="0" w:firstLineChars="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印发青岛市第六届中小学海洋节、市中学综合实践教育中心、市中学生学农实践基地教学安排等通知，将海洋教育、劳动教育、科技教育等与落实“十个一”项目紧密结合，促进学生全面发展。在青岛二中举办全市“十个一”项目现场推进经验交流会，推广典型做法，引导各单位深度精进实施。</w:t>
            </w:r>
          </w:p>
          <w:p>
            <w:pPr>
              <w:spacing w:line="300" w:lineRule="exact"/>
              <w:ind w:firstLine="480"/>
              <w:rPr>
                <w:rFonts w:ascii="黑体" w:hAnsi="黑体" w:eastAsia="黑体"/>
                <w:color w:val="auto"/>
                <w:sz w:val="22"/>
                <w:szCs w:val="22"/>
              </w:rPr>
            </w:pPr>
            <w:r>
              <w:rPr>
                <w:rFonts w:hint="eastAsia" w:ascii="黑体" w:hAnsi="黑体" w:eastAsia="黑体"/>
                <w:color w:val="auto"/>
                <w:sz w:val="22"/>
                <w:szCs w:val="22"/>
              </w:rPr>
              <w:t xml:space="preserve">三、加强体育工作，推进国家校园足球改革试验区建设 </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加快国家校园足球改革试验区建设，年内完成校园足球特色学校创建、建立联赛体系、开展“市长杯”校园足球赛等工作。现有400所市级校园足球特色学校，占学校总数的1/3，构建起小、初、高、大四级联赛体系。制订青岛市中小学（幼儿园）青少年校园足球特色学校建设工作评估办法（试行）等文件。促成市教育局、市体育局、西海岸新区管委、德国拜仁慕尼黑足球俱乐部四方签署合作谅解备忘录，目前已开展线上培训教练员活动。</w:t>
            </w:r>
          </w:p>
          <w:p>
            <w:pPr>
              <w:spacing w:line="300" w:lineRule="exact"/>
              <w:ind w:firstLine="550" w:firstLineChars="250"/>
              <w:rPr>
                <w:rFonts w:ascii="黑体" w:hAnsi="黑体" w:eastAsia="黑体"/>
                <w:color w:val="auto"/>
                <w:sz w:val="22"/>
                <w:szCs w:val="22"/>
              </w:rPr>
            </w:pPr>
            <w:r>
              <w:rPr>
                <w:rFonts w:hint="eastAsia" w:ascii="黑体" w:hAnsi="黑体" w:eastAsia="黑体"/>
                <w:color w:val="auto"/>
                <w:sz w:val="22"/>
                <w:szCs w:val="22"/>
              </w:rPr>
              <w:t>四、深化体育美育改革</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今年正式实施体育中考分数纳入分数带，促进学校开足开齐开好体育课，实施学生体质健康固本行动，支持各区市各学段推广“一天一节体育课”。6月28日，青岛正式实施艺术科目中考，全市9.2万余名初中毕业生参加,是我省首个实施艺术中考的城市，该工作被中国教育报、教育部官网报道，在全省学校体育美育工作研讨会上进行典型发言。根据艺术中考实施的具体情况，引导各区市和学校积极推进艺术课长短课教学、分层走班教学等改革实践，不断提升全市美育工作水平。</w:t>
            </w:r>
          </w:p>
          <w:p>
            <w:pPr>
              <w:spacing w:line="300" w:lineRule="exact"/>
              <w:ind w:firstLine="480"/>
              <w:rPr>
                <w:rFonts w:ascii="黑体" w:hAnsi="黑体" w:eastAsia="黑体"/>
                <w:color w:val="auto"/>
                <w:sz w:val="22"/>
                <w:szCs w:val="22"/>
              </w:rPr>
            </w:pPr>
            <w:r>
              <w:rPr>
                <w:rFonts w:hint="eastAsia" w:ascii="黑体" w:hAnsi="黑体" w:eastAsia="黑体"/>
                <w:color w:val="auto"/>
                <w:sz w:val="22"/>
                <w:szCs w:val="22"/>
              </w:rPr>
              <w:t>五、加强学生心理健康教育</w:t>
            </w:r>
          </w:p>
          <w:p>
            <w:pPr>
              <w:spacing w:line="300" w:lineRule="exact"/>
              <w:ind w:firstLine="480"/>
              <w:rPr>
                <w:rFonts w:hint="eastAsia"/>
                <w:color w:val="auto"/>
                <w:sz w:val="22"/>
                <w:szCs w:val="22"/>
              </w:rPr>
            </w:pPr>
            <w:r>
              <w:rPr>
                <w:rFonts w:hint="eastAsia" w:ascii="仿宋_GB2312" w:hAnsi="仿宋_GB2312" w:eastAsia="仿宋_GB2312" w:cs="仿宋_GB2312"/>
                <w:color w:val="auto"/>
                <w:sz w:val="22"/>
                <w:szCs w:val="22"/>
              </w:rPr>
              <w:t>印发《关于扎实推进中小学心理健康教育工作的意见（试行）》，开展“心理健康教育活动月”和“打开心窗—说说你的心里话”系列复学心理健康教育活动。</w:t>
            </w:r>
          </w:p>
        </w:tc>
        <w:tc>
          <w:tcPr>
            <w:tcW w:w="2456" w:type="dxa"/>
            <w:gridSpan w:val="2"/>
            <w:tcBorders>
              <w:top w:val="single" w:color="auto" w:sz="6" w:space="0"/>
              <w:bottom w:val="single" w:color="auto" w:sz="6" w:space="0"/>
            </w:tcBorders>
            <w:noWrap w:val="0"/>
            <w:vAlign w:val="center"/>
          </w:tcPr>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1.“十个一”项目管理系统平台截图</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2.市中小学生 “十个一”项目管理信息平台二期建设</w:t>
            </w:r>
            <w:r>
              <w:rPr>
                <w:rFonts w:hint="eastAsia" w:ascii="仿宋_GB2312" w:hAnsi="仿宋_GB2312" w:eastAsia="仿宋_GB2312" w:cs="仿宋_GB2312"/>
                <w:color w:val="auto"/>
                <w:sz w:val="21"/>
                <w:szCs w:val="24"/>
                <w:lang w:val="zh-CN"/>
              </w:rPr>
              <w:t>项目服务合同</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3.关于印发《青岛市中小学生社会课堂管理办法（试行）》的通知    4.关于命名青岛市第五批未成年人“社会课堂”场馆（场所）的通报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5.关于印发《青岛市中小学研学旅行工作管理办法》的通知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6.关于命名青岛市首批中小学生研学旅行基地的通报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7.举办中小学读书节、中学生社团文化节、中小学海洋节活动通知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8.</w:t>
            </w:r>
            <w:bookmarkStart w:id="74" w:name="_Hlk58340572"/>
            <w:r>
              <w:rPr>
                <w:rFonts w:hint="eastAsia" w:ascii="仿宋_GB2312" w:hAnsi="仿宋_GB2312" w:eastAsia="仿宋_GB2312" w:cs="仿宋_GB2312"/>
                <w:color w:val="auto"/>
                <w:sz w:val="21"/>
                <w:szCs w:val="24"/>
              </w:rPr>
              <w:t>青岛市中学综合实践教育中心</w:t>
            </w:r>
            <w:bookmarkEnd w:id="74"/>
            <w:r>
              <w:rPr>
                <w:rFonts w:hint="eastAsia" w:ascii="仿宋_GB2312" w:hAnsi="仿宋_GB2312" w:eastAsia="仿宋_GB2312" w:cs="仿宋_GB2312"/>
                <w:color w:val="auto"/>
                <w:sz w:val="21"/>
                <w:szCs w:val="24"/>
              </w:rPr>
              <w:t>、青岛市中学生学农实践基地教学安排的通知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9.关于开展2020年青岛市中小学师生科技与信息技术素养提升工程的通知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10.青岛市促进中小学生全面发展“十个一”项目工作推进现场会议程及会议照片</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11.中德合作谅解备忘录的函</w:t>
            </w:r>
          </w:p>
          <w:p>
            <w:pPr>
              <w:spacing w:line="22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12.青岛市校园足球协会裁判员、运动员管理办法(试行)</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13.关于印发青岛市中小学（幼儿园）青少年校园足球特色学校建设工作评估办法（试行）的通知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14.关于开展 2020 年青少年校园足球夏令营活动的通知等三个文件</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15.2020年全市中考通知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16.关于做好2020年青岛市初中学业水平考试艺术学科考试工作的通知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17.健康青岛行动（2020-2022年）</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18.关于印发《关于扎实推进中小学心理健康教育工作的意见（试行）》的通知</w:t>
            </w:r>
          </w:p>
          <w:p>
            <w:pPr>
              <w:spacing w:line="22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19.相关媒体报道：人民日报、新华网、中国教育报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880" w:type="dxa"/>
            <w:tcBorders>
              <w:top w:val="single" w:color="auto" w:sz="6" w:space="0"/>
              <w:bottom w:val="single" w:color="auto" w:sz="6" w:space="0"/>
            </w:tcBorders>
            <w:noWrap w:val="0"/>
            <w:vAlign w:val="center"/>
          </w:tcPr>
          <w:p>
            <w:pPr>
              <w:spacing w:line="0" w:lineRule="atLeast"/>
              <w:ind w:firstLine="0" w:firstLineChars="0"/>
              <w:jc w:val="center"/>
              <w:rPr>
                <w:rFonts w:hint="eastAsia" w:hAnsi="宋体" w:cs="Times New Roman"/>
                <w:color w:val="auto"/>
                <w:sz w:val="24"/>
                <w:szCs w:val="24"/>
              </w:rPr>
            </w:pPr>
          </w:p>
        </w:tc>
        <w:tc>
          <w:tcPr>
            <w:tcW w:w="835" w:type="dxa"/>
            <w:tcBorders>
              <w:top w:val="single" w:color="auto" w:sz="6" w:space="0"/>
              <w:bottom w:val="single" w:color="auto" w:sz="6" w:space="0"/>
            </w:tcBorders>
            <w:noWrap w:val="0"/>
            <w:vAlign w:val="center"/>
          </w:tcPr>
          <w:p>
            <w:pPr>
              <w:spacing w:line="300" w:lineRule="exac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p>
        </w:tc>
        <w:tc>
          <w:tcPr>
            <w:tcW w:w="1624" w:type="dxa"/>
            <w:tcBorders>
              <w:top w:val="single" w:color="auto" w:sz="6" w:space="0"/>
              <w:bottom w:val="single" w:color="auto" w:sz="6" w:space="0"/>
            </w:tcBorders>
            <w:noWrap w:val="0"/>
            <w:vAlign w:val="center"/>
          </w:tcPr>
          <w:p>
            <w:pPr>
              <w:spacing w:line="300" w:lineRule="exact"/>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全面加强新时代干部教师队伍建设</w:t>
            </w:r>
          </w:p>
        </w:tc>
        <w:tc>
          <w:tcPr>
            <w:tcW w:w="8216" w:type="dxa"/>
            <w:tcBorders>
              <w:top w:val="single" w:color="auto" w:sz="6" w:space="0"/>
              <w:bottom w:val="single" w:color="auto" w:sz="6" w:space="0"/>
            </w:tcBorders>
            <w:noWrap w:val="0"/>
            <w:vAlign w:val="center"/>
          </w:tcPr>
          <w:p>
            <w:pPr>
              <w:spacing w:line="300" w:lineRule="exact"/>
              <w:ind w:firstLine="480"/>
              <w:rPr>
                <w:rFonts w:hint="eastAsia" w:ascii="仿宋_GB2312" w:hAnsi="仿宋_GB2312" w:eastAsia="仿宋_GB2312" w:cs="仿宋_GB2312"/>
                <w:b/>
                <w:color w:val="auto"/>
                <w:sz w:val="22"/>
                <w:szCs w:val="22"/>
              </w:rPr>
            </w:pPr>
            <w:r>
              <w:rPr>
                <w:rFonts w:hint="eastAsia" w:ascii="仿宋_GB2312" w:hAnsi="仿宋_GB2312" w:eastAsia="仿宋_GB2312" w:cs="仿宋_GB2312"/>
                <w:color w:val="auto"/>
                <w:sz w:val="22"/>
                <w:szCs w:val="22"/>
              </w:rPr>
              <w:t>目标内容：深入开展以“争做四有好老师”为主题的师德教育月活动，大力宣传“最美教师”典型。印发青岛市关于加强新时代中小学教师师德师风建设的实施意见，创新师德师风建设工作机制，强化师德考核，组织开展“力戒浮躁、力戒形式、力戒虚假、力行朴实、力行扎实、力行真实”大讨论大改进活动，切实增强对教育和学生的“爱心、耐心、细心、专心、诚心”。强化“规律、规则、规矩”意识，印发在职教师有偿补课收受礼品礼金专项治理处置办法，重点整治教师有偿补课、收受礼品礼金等问题。建立健全名师、名校长、名班主任“三名工程”遴选培养、梯队建设、考核评价及奖惩退出制度。组织开展第三期青岛名校长评选、第五届在青高校教学名师评选、第四期青岛名师培养工程评选，评选首批教育名家。研究制定关于加强新时代教育干部队伍建设的意见，围绕提升“能想、能写、能说、能跑、能干”素质开展岗位练兵，常态化开展“述理论、述政策、述典型”，建设“三化一型”高素质干部队伍。加强人才培养，负责的省级以上重点人才工程人选入选数量保持全省领先。</w:t>
            </w:r>
          </w:p>
          <w:p>
            <w:pPr>
              <w:spacing w:line="300" w:lineRule="exact"/>
              <w:ind w:firstLine="431" w:firstLineChars="196"/>
              <w:rPr>
                <w:rFonts w:hint="eastAsia" w:ascii="黑体" w:hAnsi="黑体" w:eastAsia="黑体" w:cs="Times New Roman"/>
                <w:color w:val="auto"/>
                <w:sz w:val="22"/>
                <w:szCs w:val="22"/>
              </w:rPr>
            </w:pPr>
            <w:r>
              <w:rPr>
                <w:rFonts w:ascii="黑体" w:hAnsi="黑体" w:eastAsia="黑体" w:cs="Times New Roman"/>
                <w:color w:val="auto"/>
                <w:sz w:val="22"/>
                <w:szCs w:val="22"/>
              </w:rPr>
              <w:t>完成情况综述</w:t>
            </w:r>
            <w:r>
              <w:rPr>
                <w:rFonts w:hint="eastAsia" w:ascii="黑体" w:hAnsi="黑体" w:eastAsia="黑体" w:cs="Times New Roman"/>
                <w:color w:val="auto"/>
                <w:sz w:val="22"/>
                <w:szCs w:val="22"/>
              </w:rPr>
              <w:t>：已完成。</w:t>
            </w:r>
          </w:p>
          <w:p>
            <w:pPr>
              <w:numPr>
                <w:ilvl w:val="0"/>
                <w:numId w:val="2"/>
              </w:numPr>
              <w:spacing w:line="300" w:lineRule="atLeas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开展师德教育月活动，宣传最美教师典型</w:t>
            </w:r>
          </w:p>
          <w:p>
            <w:pPr>
              <w:spacing w:line="300" w:lineRule="atLeast"/>
              <w:ind w:firstLineChars="0"/>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 xml:space="preserve">  </w:t>
            </w:r>
            <w:r>
              <w:rPr>
                <w:rFonts w:hint="eastAsia" w:ascii="仿宋_GB2312" w:hAnsi="仿宋_GB2312" w:eastAsia="仿宋_GB2312" w:cs="仿宋_GB2312"/>
                <w:color w:val="auto"/>
                <w:sz w:val="22"/>
                <w:szCs w:val="22"/>
              </w:rPr>
              <w:t>举行“立德树人，为人师表，清廉从教”主题教育活动，强化师德师风建设；评选出40名青岛市“最美教师”和30名青岛市“教书育人楷模”，其中3人被评为“山东省教书育人楷模”，广泛宣传优秀事迹；举行2020年新教师宣誓仪式暨最美教师事迹报告会。</w:t>
            </w:r>
          </w:p>
          <w:p>
            <w:pPr>
              <w:pStyle w:val="98"/>
              <w:numPr>
                <w:ilvl w:val="0"/>
                <w:numId w:val="2"/>
              </w:numPr>
              <w:spacing w:line="300" w:lineRule="atLeast"/>
              <w:ind w:left="0" w:firstLine="480"/>
              <w:jc w:val="left"/>
              <w:rPr>
                <w:rFonts w:hint="eastAsia" w:ascii="黑体" w:hAnsi="黑体" w:eastAsia="黑体" w:cs="仿宋_GB2312"/>
                <w:color w:val="auto"/>
                <w:kern w:val="2"/>
                <w:sz w:val="22"/>
                <w:szCs w:val="22"/>
              </w:rPr>
            </w:pPr>
            <w:r>
              <w:rPr>
                <w:rFonts w:hint="eastAsia" w:ascii="黑体" w:hAnsi="黑体" w:eastAsia="黑体" w:cs="仿宋_GB2312"/>
                <w:color w:val="auto"/>
                <w:kern w:val="2"/>
                <w:sz w:val="22"/>
                <w:szCs w:val="22"/>
              </w:rPr>
              <w:t>创新师德师风建设工作机制</w:t>
            </w:r>
          </w:p>
          <w:p>
            <w:pPr>
              <w:pStyle w:val="98"/>
              <w:spacing w:line="300" w:lineRule="atLeast"/>
              <w:ind w:left="0" w:firstLine="480"/>
              <w:jc w:val="left"/>
              <w:rPr>
                <w:rFonts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rPr>
              <w:t>出台《关于加强新时代中小学幼儿园教师师德师风建设的实施意见》（青教通字〔2020〕70号），明确5个方面17项具体措施，推进师德师风建设的制度化、常态化；出台《青岛市中小学幼儿园教师有偿补课及收受礼品礼金等师德失范行为处理办法（试行）》（青教规〔2020〕2号），规范教师从教行为，多家媒体报道。</w:t>
            </w:r>
          </w:p>
          <w:p>
            <w:pPr>
              <w:pStyle w:val="98"/>
              <w:numPr>
                <w:ilvl w:val="0"/>
                <w:numId w:val="2"/>
              </w:numPr>
              <w:spacing w:line="300" w:lineRule="atLeast"/>
              <w:ind w:left="0" w:firstLine="480"/>
              <w:jc w:val="left"/>
              <w:rPr>
                <w:rFonts w:hint="eastAsia" w:ascii="黑体" w:hAnsi="黑体" w:eastAsia="黑体" w:cs="仿宋_GB2312"/>
                <w:color w:val="auto"/>
                <w:kern w:val="2"/>
                <w:sz w:val="22"/>
                <w:szCs w:val="22"/>
              </w:rPr>
            </w:pPr>
            <w:r>
              <w:rPr>
                <w:rFonts w:hint="eastAsia" w:ascii="黑体" w:hAnsi="黑体" w:eastAsia="黑体" w:cs="仿宋_GB2312"/>
                <w:color w:val="auto"/>
                <w:kern w:val="2"/>
                <w:sz w:val="22"/>
                <w:szCs w:val="22"/>
              </w:rPr>
              <w:t>开展“六个力”大讨论大改进活动</w:t>
            </w:r>
          </w:p>
          <w:p>
            <w:pPr>
              <w:pStyle w:val="98"/>
              <w:spacing w:line="300" w:lineRule="atLeast"/>
              <w:ind w:left="0" w:firstLine="480"/>
              <w:jc w:val="left"/>
              <w:rPr>
                <w:rFonts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rPr>
              <w:t>印发《关于开展“六个力”大讨论大改进工作的通知》，全市共查摆出</w:t>
            </w:r>
            <w:r>
              <w:rPr>
                <w:rFonts w:ascii="仿宋_GB2312" w:hAnsi="仿宋_GB2312" w:eastAsia="仿宋_GB2312" w:cs="仿宋_GB2312"/>
                <w:color w:val="auto"/>
                <w:kern w:val="2"/>
                <w:sz w:val="22"/>
                <w:szCs w:val="22"/>
              </w:rPr>
              <w:t>551个问题并进行整改，</w:t>
            </w:r>
            <w:r>
              <w:rPr>
                <w:rFonts w:hint="eastAsia" w:ascii="仿宋_GB2312" w:hAnsi="仿宋_GB2312" w:eastAsia="仿宋_GB2312" w:cs="仿宋_GB2312"/>
                <w:color w:val="auto"/>
                <w:kern w:val="2"/>
                <w:sz w:val="22"/>
                <w:szCs w:val="22"/>
              </w:rPr>
              <w:t>12345转办件比上半年减少52.2%。</w:t>
            </w:r>
          </w:p>
          <w:p>
            <w:pPr>
              <w:pStyle w:val="98"/>
              <w:spacing w:line="300" w:lineRule="atLeast"/>
              <w:ind w:left="0" w:firstLine="480"/>
              <w:jc w:val="left"/>
              <w:rPr>
                <w:rFonts w:hint="eastAsia" w:ascii="黑体" w:hAnsi="黑体" w:eastAsia="黑体" w:cs="仿宋_GB2312"/>
                <w:color w:val="auto"/>
                <w:kern w:val="2"/>
                <w:sz w:val="22"/>
                <w:szCs w:val="22"/>
              </w:rPr>
            </w:pPr>
            <w:r>
              <w:rPr>
                <w:rFonts w:hint="eastAsia" w:ascii="黑体" w:hAnsi="黑体" w:eastAsia="黑体" w:cs="仿宋_GB2312"/>
                <w:color w:val="auto"/>
                <w:kern w:val="2"/>
                <w:sz w:val="22"/>
                <w:szCs w:val="22"/>
              </w:rPr>
              <w:t>四、加强人才培养</w:t>
            </w:r>
          </w:p>
          <w:p>
            <w:pPr>
              <w:pStyle w:val="98"/>
              <w:spacing w:line="300" w:lineRule="atLeast"/>
              <w:ind w:left="0" w:firstLine="480"/>
              <w:jc w:val="left"/>
              <w:rPr>
                <w:rFonts w:hint="eastAsia" w:ascii="仿宋_GB2312" w:hAnsi="仿宋_GB2312" w:eastAsia="仿宋_GB2312" w:cs="仿宋_GB2312"/>
                <w:color w:val="auto"/>
                <w:kern w:val="2"/>
                <w:sz w:val="22"/>
                <w:szCs w:val="22"/>
              </w:rPr>
            </w:pPr>
            <w:r>
              <w:rPr>
                <w:rFonts w:hint="eastAsia" w:ascii="仿宋_GB2312" w:hAnsi="仿宋_GB2312" w:eastAsia="仿宋_GB2312" w:cs="仿宋_GB2312"/>
                <w:color w:val="auto"/>
                <w:kern w:val="2"/>
                <w:sz w:val="22"/>
                <w:szCs w:val="22"/>
              </w:rPr>
              <w:t>研究制定加强青岛名师、名校长、名班主任管理的意见，2人入选青岛未来之星，8人人选齐鲁名师名校长领航工作室主持人，300人入选第四期青岛名师工程，35人入选青岛名校长，遴选建设第三期青岛名师工作室60个。评选出50名第五届“青岛高校教学名师”，评选表彰第二届在青高校“十佳思政名师”“十佳辅导员”。遴选20个市名班主任工作室， 5名班主任入围全国中职班主任能力比赛决赛，4人在省中职学校班主任能力比赛中获奖。</w:t>
            </w:r>
          </w:p>
          <w:p>
            <w:pPr>
              <w:pStyle w:val="98"/>
              <w:spacing w:line="300" w:lineRule="atLeast"/>
              <w:ind w:left="0" w:firstLine="480"/>
              <w:jc w:val="left"/>
              <w:rPr>
                <w:rFonts w:ascii="黑体" w:hAnsi="黑体" w:eastAsia="黑体" w:cs="仿宋_GB2312"/>
                <w:color w:val="auto"/>
                <w:kern w:val="2"/>
                <w:sz w:val="22"/>
                <w:szCs w:val="22"/>
              </w:rPr>
            </w:pPr>
            <w:r>
              <w:rPr>
                <w:rFonts w:hint="eastAsia" w:ascii="黑体" w:hAnsi="黑体" w:eastAsia="黑体" w:cs="仿宋_GB2312"/>
                <w:color w:val="auto"/>
                <w:kern w:val="2"/>
                <w:sz w:val="22"/>
                <w:szCs w:val="22"/>
              </w:rPr>
              <w:t>五、加强新时代干部队伍建设</w:t>
            </w:r>
          </w:p>
          <w:p>
            <w:pPr>
              <w:pStyle w:val="2"/>
              <w:topLinePunct/>
              <w:autoSpaceDE w:val="0"/>
              <w:autoSpaceDN w:val="0"/>
              <w:spacing w:line="300" w:lineRule="exact"/>
              <w:ind w:firstLine="440" w:firstLineChars="200"/>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研究制定关于加强新时代教育干部队伍建设的意见，锻造提升“五能”素质，举办“先锋杯”机关业务大赛，先后组织了“七一征文”、“党在我心中”主题三述演讲比赛、机关依法行政知识竞赛、机关公文比赛四个专项业务赛事，营造机关业务比武、比学赶超的热烈氛围。组织教育系统各级党组织常态化开展三述工作。</w:t>
            </w:r>
          </w:p>
        </w:tc>
        <w:tc>
          <w:tcPr>
            <w:tcW w:w="2456" w:type="dxa"/>
            <w:gridSpan w:val="2"/>
            <w:tcBorders>
              <w:top w:val="single" w:color="auto" w:sz="6" w:space="0"/>
              <w:bottom w:val="single" w:color="auto" w:sz="6" w:space="0"/>
            </w:tcBorders>
            <w:noWrap w:val="0"/>
            <w:vAlign w:val="center"/>
          </w:tcPr>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1.教育工作情况〔2020〕298期青岛市中小学举行教师“立德树人为人师表清廉从教”教育活动</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2.关于公布2020年青岛市“最美教师”和“教书育人楷模”评选结果的通知</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3.关于公布“2020 年度齐鲁最美教师”和山东省教书育人楷模评选结果的通知</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4.教育工作情况〔2020〕296期 青岛市教育局举行2020年新教师宣誓仪式暨最美教师事迹报告会</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5.青岛市教育局关于加强新时代中小学幼儿园教师师德师风建设的实施意见</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6.青岛市中小学幼儿园教师有偿补课及收受礼品礼金等师德失范行为处理办法（试行）</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7.《关于开展“六个力”大讨论大改进工作的通知》及工作平台截图</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8.关于加强“三名工程人才”管理工作的意见；</w:t>
            </w:r>
          </w:p>
          <w:p>
            <w:pPr>
              <w:spacing w:line="240" w:lineRule="exact"/>
              <w:ind w:firstLine="0" w:firstLineChars="0"/>
              <w:jc w:val="left"/>
              <w:rPr>
                <w:rFonts w:hint="eastAsia" w:ascii="仿宋_GB2312" w:hAnsi="仿宋_GB2312" w:eastAsia="仿宋_GB2312" w:cs="仿宋_GB2312"/>
                <w:color w:val="auto"/>
                <w:sz w:val="21"/>
                <w:szCs w:val="24"/>
              </w:rPr>
            </w:pPr>
            <w:r>
              <w:rPr>
                <w:rFonts w:hint="default" w:ascii="仿宋_GB2312" w:hAnsi="仿宋_GB2312" w:eastAsia="仿宋_GB2312" w:cs="仿宋_GB2312"/>
                <w:color w:val="auto"/>
                <w:sz w:val="21"/>
                <w:szCs w:val="24"/>
                <w:lang w:val="en-US"/>
              </w:rPr>
              <w:t>9</w:t>
            </w:r>
            <w:r>
              <w:rPr>
                <w:rFonts w:hint="eastAsia" w:ascii="仿宋_GB2312" w:hAnsi="仿宋_GB2312" w:eastAsia="仿宋_GB2312" w:cs="仿宋_GB2312"/>
                <w:color w:val="auto"/>
                <w:sz w:val="21"/>
                <w:szCs w:val="24"/>
              </w:rPr>
              <w:t>.入选未来之星文件；</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w:t>
            </w:r>
            <w:r>
              <w:rPr>
                <w:rFonts w:hint="default" w:ascii="仿宋_GB2312" w:hAnsi="仿宋_GB2312" w:eastAsia="仿宋_GB2312" w:cs="仿宋_GB2312"/>
                <w:color w:val="auto"/>
                <w:sz w:val="21"/>
                <w:szCs w:val="24"/>
                <w:lang w:val="en-US"/>
              </w:rPr>
              <w:t>0</w:t>
            </w:r>
            <w:r>
              <w:rPr>
                <w:rFonts w:hint="eastAsia" w:ascii="仿宋_GB2312" w:hAnsi="仿宋_GB2312" w:eastAsia="仿宋_GB2312" w:cs="仿宋_GB2312"/>
                <w:color w:val="auto"/>
                <w:sz w:val="21"/>
                <w:szCs w:val="24"/>
              </w:rPr>
              <w:t>.第四期青岛名师工程、第三期青岛名校长、第五届“青岛高校教学名师”评选相关材料；</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w:t>
            </w:r>
            <w:r>
              <w:rPr>
                <w:rFonts w:hint="default" w:ascii="仿宋_GB2312" w:hAnsi="仿宋_GB2312" w:eastAsia="仿宋_GB2312" w:cs="仿宋_GB2312"/>
                <w:color w:val="auto"/>
                <w:sz w:val="21"/>
                <w:szCs w:val="24"/>
                <w:lang w:val="en-US"/>
              </w:rPr>
              <w:t>1</w:t>
            </w:r>
            <w:r>
              <w:rPr>
                <w:rFonts w:hint="eastAsia" w:ascii="仿宋_GB2312" w:hAnsi="仿宋_GB2312" w:eastAsia="仿宋_GB2312" w:cs="仿宋_GB2312"/>
                <w:color w:val="auto"/>
                <w:sz w:val="21"/>
                <w:szCs w:val="24"/>
              </w:rPr>
              <w:t>. 关于加强新时代教育干部队伍建设的意见</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w:t>
            </w:r>
            <w:r>
              <w:rPr>
                <w:rFonts w:hint="default" w:ascii="仿宋_GB2312" w:hAnsi="仿宋_GB2312" w:eastAsia="仿宋_GB2312" w:cs="仿宋_GB2312"/>
                <w:color w:val="auto"/>
                <w:sz w:val="21"/>
                <w:szCs w:val="24"/>
                <w:lang w:val="en-US"/>
              </w:rPr>
              <w:t>2</w:t>
            </w:r>
            <w:r>
              <w:rPr>
                <w:rFonts w:hint="eastAsia" w:ascii="仿宋_GB2312" w:hAnsi="仿宋_GB2312" w:eastAsia="仿宋_GB2312" w:cs="仿宋_GB2312"/>
                <w:color w:val="auto"/>
                <w:sz w:val="21"/>
                <w:szCs w:val="24"/>
              </w:rPr>
              <w:t>.“先锋杯”机关业务大赛有关照片和材料</w:t>
            </w:r>
          </w:p>
          <w:p>
            <w:pPr>
              <w:spacing w:line="240" w:lineRule="exact"/>
              <w:ind w:firstLine="0" w:firstLineChars="0"/>
              <w:jc w:val="left"/>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13.全市教育系统“述理论、述政策、述典型”实施方案</w:t>
            </w:r>
          </w:p>
          <w:p>
            <w:pPr>
              <w:spacing w:line="240" w:lineRule="exact"/>
              <w:ind w:firstLine="0" w:firstLineChars="0"/>
              <w:jc w:val="left"/>
              <w:rPr>
                <w:rFonts w:hint="eastAsia" w:hAnsi="宋体" w:cs="Times New Roman"/>
                <w:color w:val="auto"/>
                <w:sz w:val="24"/>
                <w:szCs w:val="24"/>
              </w:rPr>
            </w:pPr>
            <w:r>
              <w:rPr>
                <w:rFonts w:hint="eastAsia" w:ascii="仿宋_GB2312" w:hAnsi="仿宋_GB2312" w:eastAsia="仿宋_GB2312" w:cs="仿宋_GB2312"/>
                <w:color w:val="auto"/>
                <w:sz w:val="21"/>
                <w:szCs w:val="24"/>
              </w:rPr>
              <w:t>14.相关媒体报道：中国教育新闻网、青岛电视台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880" w:type="dxa"/>
            <w:tcBorders>
              <w:top w:val="single" w:color="auto" w:sz="6" w:space="0"/>
              <w:bottom w:val="single" w:color="auto" w:sz="6" w:space="0"/>
            </w:tcBorders>
            <w:noWrap w:val="0"/>
            <w:vAlign w:val="center"/>
          </w:tcPr>
          <w:p>
            <w:pPr>
              <w:spacing w:line="0" w:lineRule="atLeast"/>
              <w:ind w:firstLine="0" w:firstLineChars="0"/>
              <w:jc w:val="center"/>
              <w:rPr>
                <w:rFonts w:hint="eastAsia" w:hAnsi="宋体" w:cs="Times New Roman"/>
                <w:color w:val="auto"/>
                <w:sz w:val="24"/>
                <w:szCs w:val="24"/>
              </w:rPr>
            </w:pPr>
          </w:p>
        </w:tc>
        <w:tc>
          <w:tcPr>
            <w:tcW w:w="835" w:type="dxa"/>
            <w:tcBorders>
              <w:top w:val="single" w:color="auto" w:sz="6" w:space="0"/>
              <w:bottom w:val="single" w:color="auto" w:sz="6" w:space="0"/>
            </w:tcBorders>
            <w:noWrap w:val="0"/>
            <w:vAlign w:val="center"/>
          </w:tcPr>
          <w:p>
            <w:pPr>
              <w:spacing w:line="30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624" w:type="dxa"/>
            <w:tcBorders>
              <w:top w:val="single" w:color="auto" w:sz="6" w:space="0"/>
              <w:bottom w:val="single" w:color="auto" w:sz="6" w:space="0"/>
            </w:tcBorders>
            <w:noWrap w:val="0"/>
            <w:vAlign w:val="center"/>
          </w:tcPr>
          <w:p>
            <w:pPr>
              <w:spacing w:line="30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推动人工智能与教育融合发展</w:t>
            </w:r>
          </w:p>
        </w:tc>
        <w:tc>
          <w:tcPr>
            <w:tcW w:w="8216" w:type="dxa"/>
            <w:tcBorders>
              <w:top w:val="single" w:color="auto" w:sz="6" w:space="0"/>
              <w:bottom w:val="single" w:color="auto" w:sz="6" w:space="0"/>
            </w:tcBorders>
            <w:noWrap w:val="0"/>
            <w:vAlign w:val="center"/>
          </w:tcPr>
          <w:p>
            <w:pPr>
              <w:spacing w:line="300" w:lineRule="exact"/>
              <w:ind w:firstLine="480"/>
              <w:rPr>
                <w:rFonts w:hint="eastAsia" w:ascii="仿宋_GB2312" w:hAnsi="仿宋_GB2312" w:eastAsia="仿宋_GB2312" w:cs="仿宋_GB2312"/>
                <w:b/>
                <w:color w:val="auto"/>
                <w:sz w:val="22"/>
                <w:szCs w:val="22"/>
              </w:rPr>
            </w:pPr>
            <w:r>
              <w:rPr>
                <w:rFonts w:hint="eastAsia" w:ascii="仿宋_GB2312" w:hAnsi="仿宋_GB2312" w:eastAsia="仿宋_GB2312" w:cs="仿宋_GB2312"/>
                <w:color w:val="auto"/>
                <w:sz w:val="22"/>
                <w:szCs w:val="22"/>
              </w:rPr>
              <w:t>目标内容：加大人工智能教育工作力度，举办人工智能教育研讨会。实施青岛教育e平台深化应用项目，年内整合接入5个业务信息系统。完成智慧校园三期19所学校建设。推进《青岛市教育装备配备标准》落实，制定实施意见，搭建专题网站，开展普查形成台账。</w:t>
            </w:r>
          </w:p>
          <w:p>
            <w:pPr>
              <w:spacing w:line="300" w:lineRule="exact"/>
              <w:ind w:firstLine="431" w:firstLineChars="196"/>
              <w:rPr>
                <w:rFonts w:hint="eastAsia" w:ascii="黑体" w:hAnsi="黑体" w:eastAsia="黑体" w:cs="Times New Roman"/>
                <w:color w:val="auto"/>
                <w:sz w:val="22"/>
                <w:szCs w:val="22"/>
              </w:rPr>
            </w:pPr>
            <w:r>
              <w:rPr>
                <w:rFonts w:ascii="黑体" w:hAnsi="黑体" w:eastAsia="黑体" w:cs="Times New Roman"/>
                <w:color w:val="auto"/>
                <w:sz w:val="22"/>
                <w:szCs w:val="22"/>
              </w:rPr>
              <w:t>完成情况综述</w:t>
            </w:r>
            <w:r>
              <w:rPr>
                <w:rFonts w:hint="eastAsia" w:ascii="黑体" w:hAnsi="黑体" w:eastAsia="黑体" w:cs="Times New Roman"/>
                <w:color w:val="auto"/>
                <w:sz w:val="22"/>
                <w:szCs w:val="22"/>
              </w:rPr>
              <w:t>：已完成。</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一、加大人工智能教育工作力度</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印发《青岛市人工智能教育实施意见》，召开人工智能教育联盟大会。我市《人工智能教育课程教学及应用实践研究共同体》入选教育部教育信息化教学应用实践共同体名单。全市659所小学开设人工智能启蒙课程。</w:t>
            </w:r>
          </w:p>
          <w:p>
            <w:pPr>
              <w:spacing w:line="320" w:lineRule="exact"/>
              <w:ind w:firstLine="480"/>
              <w:jc w:val="lef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二、实施青岛教育e平台深化应用项目，完成智慧校园三期学校建设青岛教育e平台接入山东省政务服务网、青岛市政务办理APP“青e办”。推动青岛教育e平台视频监控整合系统在局日常值班等工作中常态化应用，整合接入17个业务信息系统。智慧校园三期19所学校均已完成建设。</w:t>
            </w:r>
          </w:p>
          <w:p>
            <w:pPr>
              <w:spacing w:line="300" w:lineRule="exact"/>
              <w:ind w:firstLine="431" w:firstLineChars="196"/>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三、推进《青岛市教育装备配备标准》落实</w:t>
            </w:r>
          </w:p>
          <w:p>
            <w:pPr>
              <w:spacing w:line="300" w:lineRule="exact"/>
              <w:ind w:firstLine="431" w:firstLineChars="196"/>
              <w:rPr>
                <w:rFonts w:hint="eastAsia" w:hAnsi="宋体" w:cs="Times New Roman"/>
                <w:color w:val="auto"/>
                <w:sz w:val="22"/>
                <w:szCs w:val="22"/>
              </w:rPr>
            </w:pPr>
            <w:r>
              <w:rPr>
                <w:rFonts w:hint="eastAsia" w:ascii="仿宋_GB2312" w:hAnsi="仿宋_GB2312" w:eastAsia="仿宋_GB2312" w:cs="仿宋_GB2312"/>
                <w:color w:val="auto"/>
                <w:sz w:val="22"/>
                <w:szCs w:val="22"/>
              </w:rPr>
              <w:t>制定《青岛市教育装备配备标准》实施意见，标准入选青岛市2020年度市级地方标准项目。搭建青岛市教育装备配备标准展示网站，形成78个标准案例应用视频。开发教育装备数据统计分析系统，开展装备普查，共1121所学校参与，汇集学校现有的294种类型功能室和4100种装备原始数据，形成装备台账。</w:t>
            </w:r>
          </w:p>
        </w:tc>
        <w:tc>
          <w:tcPr>
            <w:tcW w:w="2456" w:type="dxa"/>
            <w:gridSpan w:val="2"/>
            <w:tcBorders>
              <w:top w:val="single" w:color="auto" w:sz="6" w:space="0"/>
              <w:bottom w:val="single" w:color="auto" w:sz="6" w:space="0"/>
            </w:tcBorders>
            <w:noWrap w:val="0"/>
            <w:vAlign w:val="center"/>
          </w:tcPr>
          <w:p>
            <w:pPr>
              <w:spacing w:line="240" w:lineRule="exact"/>
              <w:ind w:firstLine="0" w:firstLineChars="0"/>
              <w:rPr>
                <w:rStyle w:val="28"/>
                <w:rFonts w:hint="eastAsia" w:ascii="仿宋_GB2312" w:hAnsi="仿宋_GB2312" w:eastAsia="仿宋_GB2312" w:cs="仿宋_GB2312"/>
                <w:color w:val="auto"/>
                <w:sz w:val="21"/>
                <w:szCs w:val="21"/>
              </w:rPr>
            </w:pPr>
            <w:r>
              <w:rPr>
                <w:rStyle w:val="28"/>
                <w:rFonts w:hint="eastAsia" w:ascii="仿宋_GB2312" w:hAnsi="仿宋_GB2312" w:eastAsia="仿宋_GB2312" w:cs="仿宋_GB2312"/>
                <w:color w:val="auto"/>
                <w:sz w:val="21"/>
                <w:szCs w:val="21"/>
              </w:rPr>
              <w:t>1.青岛市人工智能教育实施意见</w:t>
            </w:r>
          </w:p>
          <w:p>
            <w:pPr>
              <w:spacing w:line="240" w:lineRule="exact"/>
              <w:ind w:firstLine="0" w:firstLineChars="0"/>
              <w:rPr>
                <w:rStyle w:val="28"/>
                <w:rFonts w:hint="eastAsia" w:ascii="仿宋_GB2312" w:hAnsi="仿宋_GB2312" w:eastAsia="仿宋_GB2312" w:cs="仿宋_GB2312"/>
                <w:color w:val="auto"/>
                <w:sz w:val="21"/>
                <w:szCs w:val="21"/>
              </w:rPr>
            </w:pPr>
            <w:r>
              <w:rPr>
                <w:rStyle w:val="28"/>
                <w:rFonts w:hint="eastAsia" w:ascii="仿宋_GB2312" w:hAnsi="仿宋_GB2312" w:eastAsia="仿宋_GB2312" w:cs="仿宋_GB2312"/>
                <w:color w:val="auto"/>
                <w:sz w:val="21"/>
                <w:szCs w:val="21"/>
              </w:rPr>
              <w:t>2.关于组织参加人工智能教育联盟大会相关活动的通知及照片、报道</w:t>
            </w:r>
          </w:p>
          <w:p>
            <w:pPr>
              <w:spacing w:line="240" w:lineRule="exact"/>
              <w:ind w:firstLine="0" w:firstLineChars="0"/>
              <w:rPr>
                <w:rStyle w:val="28"/>
                <w:rFonts w:hint="eastAsia" w:ascii="仿宋_GB2312" w:hAnsi="仿宋_GB2312" w:eastAsia="仿宋_GB2312" w:cs="仿宋_GB2312"/>
                <w:color w:val="auto"/>
                <w:sz w:val="21"/>
                <w:szCs w:val="21"/>
              </w:rPr>
            </w:pPr>
            <w:r>
              <w:rPr>
                <w:rStyle w:val="28"/>
                <w:rFonts w:hint="eastAsia" w:ascii="仿宋_GB2312" w:hAnsi="仿宋_GB2312" w:eastAsia="仿宋_GB2312" w:cs="仿宋_GB2312"/>
                <w:color w:val="auto"/>
                <w:sz w:val="21"/>
                <w:szCs w:val="21"/>
              </w:rPr>
              <w:t>3.市委书记王清宪批示</w:t>
            </w:r>
          </w:p>
          <w:p>
            <w:pPr>
              <w:spacing w:line="240" w:lineRule="exact"/>
              <w:ind w:firstLine="0" w:firstLineChars="0"/>
              <w:rPr>
                <w:rStyle w:val="28"/>
                <w:rFonts w:hint="eastAsia" w:ascii="仿宋_GB2312" w:hAnsi="仿宋_GB2312" w:eastAsia="仿宋_GB2312" w:cs="仿宋_GB2312"/>
                <w:color w:val="auto"/>
                <w:sz w:val="21"/>
                <w:szCs w:val="21"/>
              </w:rPr>
            </w:pPr>
            <w:r>
              <w:rPr>
                <w:rStyle w:val="28"/>
                <w:rFonts w:hint="eastAsia" w:ascii="仿宋_GB2312" w:hAnsi="仿宋_GB2312" w:eastAsia="仿宋_GB2312" w:cs="仿宋_GB2312"/>
                <w:color w:val="auto"/>
                <w:sz w:val="21"/>
                <w:szCs w:val="21"/>
              </w:rPr>
              <w:t>4.教育部科技司关于公布2019年度教育信息化教学应用实践共同体项目名单的通知</w:t>
            </w:r>
          </w:p>
          <w:p>
            <w:pPr>
              <w:spacing w:line="240" w:lineRule="exact"/>
              <w:ind w:firstLine="0" w:firstLineChars="0"/>
              <w:rPr>
                <w:rFonts w:hint="eastAsia" w:ascii="仿宋_GB2312" w:hAnsi="仿宋_GB2312" w:eastAsia="仿宋_GB2312" w:cs="仿宋_GB2312"/>
                <w:color w:val="auto"/>
                <w:sz w:val="21"/>
                <w:szCs w:val="21"/>
              </w:rPr>
            </w:pPr>
            <w:r>
              <w:rPr>
                <w:rStyle w:val="28"/>
                <w:rFonts w:hint="eastAsia" w:ascii="仿宋_GB2312" w:hAnsi="仿宋_GB2312" w:eastAsia="仿宋_GB2312" w:cs="仿宋_GB2312"/>
                <w:color w:val="auto"/>
                <w:sz w:val="21"/>
                <w:szCs w:val="21"/>
              </w:rPr>
              <w:t>5.人工智能启蒙课程开课数量汇总表</w:t>
            </w:r>
          </w:p>
          <w:p>
            <w:pPr>
              <w:spacing w:line="240" w:lineRule="exact"/>
              <w:ind w:firstLine="0" w:firstLineChars="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6.e平台接入省政务服务网和青e办截图</w:t>
            </w:r>
          </w:p>
          <w:p>
            <w:pPr>
              <w:spacing w:line="240" w:lineRule="exact"/>
              <w:ind w:firstLine="0" w:firstLineChars="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7.局值班室监控大屏、记录表照片及相关报道</w:t>
            </w:r>
          </w:p>
          <w:p>
            <w:pPr>
              <w:spacing w:line="240" w:lineRule="exact"/>
              <w:ind w:firstLine="0" w:firstLineChars="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8.2020年e平台新建和接入系统截图</w:t>
            </w:r>
          </w:p>
          <w:p>
            <w:pPr>
              <w:spacing w:line="240" w:lineRule="exact"/>
              <w:ind w:firstLine="0" w:firstLineChars="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9.智慧校园三期19所学校验收单</w:t>
            </w:r>
          </w:p>
          <w:p>
            <w:pPr>
              <w:spacing w:line="240" w:lineRule="exact"/>
              <w:ind w:firstLine="0" w:firstLineChars="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10.部分学校智慧校园完工照片</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11.《青岛市教育装备配备标准》实施意见</w:t>
            </w:r>
          </w:p>
          <w:p>
            <w:pPr>
              <w:spacing w:line="240" w:lineRule="exact"/>
              <w:ind w:firstLine="0" w:firstLineChars="0"/>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12.关于公布2020年度市级地方标准项目计划的函</w:t>
            </w:r>
          </w:p>
          <w:p>
            <w:pPr>
              <w:pStyle w:val="95"/>
              <w:pBdr>
                <w:top w:val="none" w:color="auto" w:sz="0" w:space="0"/>
                <w:left w:val="none" w:color="auto" w:sz="0" w:space="0"/>
                <w:bottom w:val="none" w:color="auto" w:sz="0" w:space="0"/>
                <w:right w:val="none" w:color="auto" w:sz="0" w:space="0"/>
              </w:pBdr>
              <w:spacing w:line="240" w:lineRule="exact"/>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13.青岛市教育装备配备标准展示和介绍网站及标准应用案例视频截图</w:t>
            </w:r>
          </w:p>
          <w:p>
            <w:pPr>
              <w:pStyle w:val="95"/>
              <w:pBdr>
                <w:top w:val="none" w:color="auto" w:sz="0" w:space="0"/>
                <w:left w:val="none" w:color="auto" w:sz="0" w:space="0"/>
                <w:bottom w:val="none" w:color="auto" w:sz="0" w:space="0"/>
                <w:right w:val="none" w:color="auto" w:sz="0" w:space="0"/>
              </w:pBdr>
              <w:spacing w:line="240" w:lineRule="exact"/>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14.教育装备数据统计分析系统截图</w:t>
            </w:r>
          </w:p>
          <w:p>
            <w:pPr>
              <w:spacing w:line="240" w:lineRule="exact"/>
              <w:ind w:firstLine="0" w:firstLineChars="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1"/>
                <w:szCs w:val="21"/>
              </w:rPr>
              <w:t>15.关于开展全市教育装备配备普查和《青岛市教育装备配备标准（2020版）》宣传贯彻工作的通知、普查相关数据截图及普查台账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880" w:type="dxa"/>
            <w:tcBorders>
              <w:top w:val="single" w:color="auto" w:sz="6" w:space="0"/>
              <w:bottom w:val="single" w:color="auto" w:sz="6" w:space="0"/>
            </w:tcBorders>
            <w:noWrap w:val="0"/>
            <w:vAlign w:val="center"/>
          </w:tcPr>
          <w:p>
            <w:pPr>
              <w:spacing w:line="0" w:lineRule="atLeast"/>
              <w:ind w:firstLine="0" w:firstLineChars="0"/>
              <w:jc w:val="center"/>
              <w:rPr>
                <w:rFonts w:hint="eastAsia" w:hAnsi="宋体" w:cs="Times New Roman"/>
                <w:color w:val="auto"/>
                <w:sz w:val="24"/>
                <w:szCs w:val="24"/>
              </w:rPr>
            </w:pPr>
          </w:p>
        </w:tc>
        <w:tc>
          <w:tcPr>
            <w:tcW w:w="835" w:type="dxa"/>
            <w:tcBorders>
              <w:top w:val="single" w:color="auto" w:sz="6" w:space="0"/>
              <w:bottom w:val="single" w:color="auto" w:sz="6" w:space="0"/>
            </w:tcBorders>
            <w:noWrap w:val="0"/>
            <w:vAlign w:val="center"/>
          </w:tcPr>
          <w:p>
            <w:pPr>
              <w:spacing w:line="300" w:lineRule="exac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p>
        </w:tc>
        <w:tc>
          <w:tcPr>
            <w:tcW w:w="1624" w:type="dxa"/>
            <w:tcBorders>
              <w:top w:val="single" w:color="auto" w:sz="6" w:space="0"/>
              <w:bottom w:val="single" w:color="auto" w:sz="6" w:space="0"/>
            </w:tcBorders>
            <w:noWrap w:val="0"/>
            <w:vAlign w:val="center"/>
          </w:tcPr>
          <w:p>
            <w:pPr>
              <w:spacing w:line="300" w:lineRule="exact"/>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惠民项目</w:t>
            </w:r>
          </w:p>
        </w:tc>
        <w:tc>
          <w:tcPr>
            <w:tcW w:w="8216" w:type="dxa"/>
            <w:tcBorders>
              <w:top w:val="single" w:color="auto" w:sz="6" w:space="0"/>
              <w:bottom w:val="single" w:color="auto" w:sz="6" w:space="0"/>
            </w:tcBorders>
            <w:noWrap w:val="0"/>
            <w:vAlign w:val="center"/>
          </w:tcPr>
          <w:p>
            <w:pPr>
              <w:spacing w:line="300" w:lineRule="exact"/>
              <w:ind w:firstLine="541" w:firstLineChars="245"/>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目标内容：</w:t>
            </w:r>
            <w:r>
              <w:rPr>
                <w:rFonts w:hint="eastAsia" w:ascii="仿宋_GB2312" w:hAnsi="仿宋_GB2312" w:eastAsia="仿宋_GB2312" w:cs="仿宋_GB2312"/>
                <w:color w:val="auto"/>
                <w:sz w:val="22"/>
                <w:szCs w:val="22"/>
              </w:rPr>
              <w:t>开工新建、改扩建中小学30所、幼儿园50所，完成209所城区配套幼儿园专项整治工作。建立完善从学前教育到高等教育各个学段的学生资助体系。实施民办教育规范管理、质量提升工程，开展民办学校分类登记改革。建立健全政府履行教育职责督导评价工作机制，督促区市政府切实履行教育职责。进一步优化完善教育经费分类保障机制，会同市财政局制定《教育领域市与区市财政事权和支出责任划分改革实施方案》。深入开展“倾听民意·回应关切·办好教育”主题活动，顶格协调、推进群众诉求办理，提升群众的教育获得感和满意度。省民生工作群众满意度义务教育领域我市得分超过全省平均分。</w:t>
            </w:r>
          </w:p>
          <w:p>
            <w:pPr>
              <w:spacing w:line="300" w:lineRule="exact"/>
              <w:ind w:firstLine="331" w:firstLineChars="150"/>
              <w:rPr>
                <w:rFonts w:ascii="黑体" w:hAnsi="黑体" w:eastAsia="黑体"/>
                <w:color w:val="auto"/>
                <w:sz w:val="22"/>
                <w:szCs w:val="22"/>
              </w:rPr>
            </w:pPr>
            <w:r>
              <w:rPr>
                <w:rFonts w:hAnsi="黑体" w:cs="Times New Roman"/>
                <w:b/>
                <w:color w:val="auto"/>
                <w:sz w:val="22"/>
                <w:szCs w:val="22"/>
              </w:rPr>
              <w:t>完成情况综述</w:t>
            </w:r>
            <w:r>
              <w:rPr>
                <w:rFonts w:hint="eastAsia" w:hAnsi="黑体" w:cs="Times New Roman"/>
                <w:b/>
                <w:color w:val="auto"/>
                <w:sz w:val="22"/>
                <w:szCs w:val="22"/>
              </w:rPr>
              <w:t>：</w:t>
            </w:r>
            <w:r>
              <w:rPr>
                <w:rFonts w:hint="eastAsia" w:ascii="黑体" w:hAnsi="黑体" w:eastAsia="黑体"/>
                <w:color w:val="auto"/>
                <w:sz w:val="22"/>
                <w:szCs w:val="22"/>
              </w:rPr>
              <w:t>完成情况综述：已完成。</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一、按计划完成有关项目建设和幼儿园整治工作。80所中小学和幼儿园已全部开工建设。整治完成209所配套幼儿园，增加约4.7万个普惠性学前学位，全面解决配套幼儿园建设不到位、规划不到位、移交不到位、使用不到位等问题，进一步满足群众就近入普惠园、优质园需求。</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二、完善各个学段的学生资助体系。新增五项资助政策，覆盖学前教育至高等教育学段，进一步健全完善了我市学生资助政策体系，共有32086人次家庭经济困难学生受益，财政增加投入1334.45万元。</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三、加强民办教育管理。启动青岛市民办教育智能管理服务平台，采取“互联网+民办学校综合服务+资金监管”的模式，利用信息化手段加强对民办学校的管理。印发《青岛市民办学校分类登记工作实施方案》，以分类管理为突破口，促进民办教育健康发展。</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四、健全政府履行教育职责督导评价工作机制。印发《对区市人民政府履行教育职责开展评价工作实施方案》，建立健全政府评价机制，开发信息化系统，开展迎接省对市级和区市政府教育履职评价工作。2020年督促有关区市政府及时拨付生均公用经费约6385万元，义务教育教师奖励性工资收入近18亿元，特教学校编制增加241人。</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五、完善教育经费分类保障机制。进一步优化完善教育经费分类保障机制，合理划分市本级与区市政府间的财政事权和支出责任，会同市财政局研究制定改革方案，11月9日经市政府常务会议研究通过。</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六、提升群众的教育获得感和满意度。深入开展“倾听民意·回应关切·办好教育”主题活动，本年度开通分管市长、教育局长“直通车”，依托青岛教育“e平台”，优化民声倾听模块，截至11月20日，共受理教育社情民意办理件47338件，市本级办理8000多件，通过顶格倾听、顶格办理，进一步拉近了与人民群众的距离，提高了群众的教育满意度。</w:t>
            </w:r>
          </w:p>
          <w:p>
            <w:pPr>
              <w:spacing w:line="300" w:lineRule="exact"/>
              <w:ind w:firstLine="480"/>
              <w:rPr>
                <w:rFonts w:hint="eastAsia" w:hAnsi="仿宋"/>
                <w:color w:val="auto"/>
                <w:sz w:val="22"/>
                <w:szCs w:val="22"/>
              </w:rPr>
            </w:pPr>
            <w:r>
              <w:rPr>
                <w:rFonts w:hint="eastAsia" w:ascii="仿宋_GB2312" w:hAnsi="仿宋_GB2312" w:eastAsia="仿宋_GB2312" w:cs="仿宋_GB2312"/>
                <w:color w:val="auto"/>
                <w:sz w:val="22"/>
                <w:szCs w:val="22"/>
              </w:rPr>
              <w:t>七.完成省考核目标。</w:t>
            </w:r>
          </w:p>
        </w:tc>
        <w:tc>
          <w:tcPr>
            <w:tcW w:w="2456" w:type="dxa"/>
            <w:gridSpan w:val="2"/>
            <w:tcBorders>
              <w:top w:val="single" w:color="auto" w:sz="6" w:space="0"/>
              <w:bottom w:val="single" w:color="auto" w:sz="6" w:space="0"/>
            </w:tcBorders>
            <w:noWrap w:val="0"/>
            <w:vAlign w:val="center"/>
          </w:tcPr>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1.开工新建、改扩建中小学30所、幼儿园50所证明材料(督查专报第47期)</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2.全国学前教育管理信息系统截图</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3.关于调整完善学生资助政策的通知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4.青岛市民办学校分类登记工作实施方案</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5.《青岛市人民政府办公厅关于印发&lt;对区市人民政府履行教育职责开展评价工作实施方案&gt;的通知》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6.市委领导同志批示事项办理通知单</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7.青岛市第十六届人民政府第109次常务会议纪要</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8.青岛市教育领域市与区（市）财政事权和支出责任划分改革实施方案（汇报稿）</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9.省委教育工委常务副书记、省教育厅党组书记、厅长邓云峰同志批示</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10.“e平台”汇起民声“直通车”通到心中”民声倾听主题活动专刊</w:t>
            </w:r>
          </w:p>
          <w:p>
            <w:pPr>
              <w:spacing w:line="240" w:lineRule="exact"/>
              <w:ind w:firstLine="0" w:firstLineChars="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1"/>
                <w:szCs w:val="24"/>
              </w:rPr>
              <w:t>11.有关媒体报道：中国教育报、大众日报等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880" w:type="dxa"/>
            <w:tcBorders>
              <w:top w:val="single" w:color="auto" w:sz="6" w:space="0"/>
              <w:bottom w:val="single" w:color="auto" w:sz="6" w:space="0"/>
            </w:tcBorders>
            <w:noWrap w:val="0"/>
            <w:vAlign w:val="center"/>
          </w:tcPr>
          <w:p>
            <w:pPr>
              <w:spacing w:line="0" w:lineRule="atLeast"/>
              <w:ind w:firstLine="0" w:firstLineChars="0"/>
              <w:jc w:val="center"/>
              <w:rPr>
                <w:rFonts w:hint="eastAsia" w:ascii="仿宋" w:hAnsi="仿宋" w:eastAsia="仿宋" w:cs="仿宋"/>
                <w:color w:val="auto"/>
                <w:sz w:val="24"/>
                <w:szCs w:val="24"/>
              </w:rPr>
            </w:pPr>
          </w:p>
        </w:tc>
        <w:tc>
          <w:tcPr>
            <w:tcW w:w="835" w:type="dxa"/>
            <w:tcBorders>
              <w:top w:val="single" w:color="auto" w:sz="6" w:space="0"/>
              <w:bottom w:val="single" w:color="auto" w:sz="6" w:space="0"/>
            </w:tcBorders>
            <w:noWrap w:val="0"/>
            <w:vAlign w:val="center"/>
          </w:tcPr>
          <w:p>
            <w:pPr>
              <w:spacing w:line="30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624" w:type="dxa"/>
            <w:tcBorders>
              <w:top w:val="single" w:color="auto" w:sz="6" w:space="0"/>
              <w:bottom w:val="single" w:color="auto" w:sz="6" w:space="0"/>
            </w:tcBorders>
            <w:noWrap w:val="0"/>
            <w:vAlign w:val="center"/>
          </w:tcPr>
          <w:p>
            <w:pPr>
              <w:spacing w:line="30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提升全市中小学校幼儿园安全治理水平</w:t>
            </w:r>
          </w:p>
        </w:tc>
        <w:tc>
          <w:tcPr>
            <w:tcW w:w="8216" w:type="dxa"/>
            <w:tcBorders>
              <w:top w:val="single" w:color="auto" w:sz="6" w:space="0"/>
              <w:bottom w:val="single" w:color="auto" w:sz="6" w:space="0"/>
            </w:tcBorders>
            <w:noWrap w:val="0"/>
            <w:vAlign w:val="center"/>
          </w:tcPr>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目标内容：</w:t>
            </w:r>
            <w:r>
              <w:rPr>
                <w:rFonts w:hint="eastAsia" w:ascii="仿宋_GB2312" w:hAnsi="仿宋_GB2312" w:eastAsia="仿宋_GB2312" w:cs="仿宋_GB2312"/>
                <w:color w:val="auto"/>
                <w:sz w:val="22"/>
                <w:szCs w:val="22"/>
              </w:rPr>
              <w:t>研究制订进一步加强新时代学校安全工作的指导性意见，修订《青岛市校车安全管理办法》，健全学校安全管理体制机制。强化安全教育制度落实，继续开展中小学生应急安全体验活动。精简归类学校各种应急预案，通过海恩法则排解学校各种安全隐患，加快推进生存教育课题研究。进一步健全校园安全人防、物防、技防“三防体系”，加强中小学幼儿园专职保安队伍、护学岗队伍和护校队伍“三支队伍”建设，实施中小学幼儿园一键式紧急报警系统配备工程，完善3434所中小学幼儿园校园门口视频监控设备，实现与公安机关联网。建立青岛市校园及周边安全综合治理联防联动工作机制，保障在校中小学生、幼儿的合法权益。</w:t>
            </w:r>
          </w:p>
          <w:p>
            <w:pPr>
              <w:spacing w:line="300" w:lineRule="exact"/>
              <w:ind w:firstLine="480"/>
              <w:rPr>
                <w:rFonts w:hAnsi="黑体" w:cs="Times New Roman"/>
                <w:b/>
                <w:color w:val="auto"/>
                <w:sz w:val="22"/>
                <w:szCs w:val="22"/>
              </w:rPr>
            </w:pPr>
            <w:r>
              <w:rPr>
                <w:rFonts w:hint="eastAsia" w:ascii="黑体" w:hAnsi="黑体" w:eastAsia="黑体" w:cs="黑体"/>
                <w:bCs/>
                <w:color w:val="auto"/>
                <w:sz w:val="22"/>
                <w:szCs w:val="22"/>
              </w:rPr>
              <w:t>完成情况综述：已完成。</w:t>
            </w:r>
          </w:p>
          <w:p>
            <w:pPr>
              <w:spacing w:line="300" w:lineRule="exact"/>
              <w:ind w:firstLine="480"/>
              <w:rPr>
                <w:rFonts w:ascii="黑体" w:hAnsi="黑体" w:eastAsia="黑体" w:cs="黑体"/>
                <w:bCs/>
                <w:color w:val="auto"/>
                <w:sz w:val="22"/>
                <w:szCs w:val="22"/>
              </w:rPr>
            </w:pPr>
            <w:r>
              <w:rPr>
                <w:rFonts w:hint="eastAsia" w:ascii="黑体" w:hAnsi="黑体" w:eastAsia="黑体" w:cs="黑体"/>
                <w:bCs/>
                <w:color w:val="auto"/>
                <w:sz w:val="22"/>
                <w:szCs w:val="22"/>
              </w:rPr>
              <w:t>一、健全学校安全管理体制机制</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联合7部门研究制定《关于进一步加强新时代学校安全工作的意见》，推进实施学校安全“十项工程”；修订《青岛市校车安全管理办法》，规范审批权限，简化办事程序，细化部门职责。</w:t>
            </w:r>
          </w:p>
          <w:p>
            <w:pPr>
              <w:spacing w:line="300" w:lineRule="exact"/>
              <w:ind w:firstLine="480"/>
              <w:rPr>
                <w:rFonts w:ascii="黑体" w:hAnsi="黑体" w:eastAsia="黑体" w:cs="黑体"/>
                <w:bCs/>
                <w:color w:val="auto"/>
                <w:sz w:val="22"/>
                <w:szCs w:val="22"/>
              </w:rPr>
            </w:pPr>
            <w:r>
              <w:rPr>
                <w:rFonts w:hint="eastAsia" w:ascii="黑体" w:hAnsi="黑体" w:eastAsia="黑体" w:cs="黑体"/>
                <w:bCs/>
                <w:color w:val="auto"/>
                <w:sz w:val="22"/>
                <w:szCs w:val="22"/>
              </w:rPr>
              <w:t>二、强化安全教育制度落实</w:t>
            </w:r>
          </w:p>
          <w:p>
            <w:pPr>
              <w:spacing w:line="300" w:lineRule="exact"/>
              <w:ind w:firstLine="480"/>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利用“青岛市安全教育平台”，开展“新冠肺炎疫情防控”等专题教育；开展防交通事故、防火灾、防拥挤踩踏、防一氧化碳中毒、防溺水等系列安全教育，组织全市近13万名中小学生参加应急安全体验活动。</w:t>
            </w:r>
          </w:p>
          <w:p>
            <w:pPr>
              <w:spacing w:line="300" w:lineRule="exact"/>
              <w:ind w:firstLine="480"/>
              <w:rPr>
                <w:rFonts w:ascii="黑体" w:hAnsi="黑体" w:eastAsia="黑体" w:cs="黑体"/>
                <w:bCs/>
                <w:color w:val="auto"/>
                <w:sz w:val="22"/>
                <w:szCs w:val="22"/>
              </w:rPr>
            </w:pPr>
            <w:r>
              <w:rPr>
                <w:rFonts w:hint="eastAsia" w:ascii="黑体" w:hAnsi="黑体" w:eastAsia="黑体" w:cs="黑体"/>
                <w:bCs/>
                <w:color w:val="auto"/>
                <w:sz w:val="22"/>
                <w:szCs w:val="22"/>
              </w:rPr>
              <w:t>三、加强应急演练和隐患排查</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指导学校加强突发事件应急处置，邀请专家培训，组织对应急预案、现场处置方案进行修改完善，开展方案预案桌面推演。组织各区市、各学校按照“海恩法则”对安全隐患进行大梳理、大整治，组织开展冬季安全工作交叉检查、交通安全、消防安全、危险化学品管理等集中排查整治、全市校园安全大检查。指导西海岸新区教体局联合海丽安全研究中心开展中小学生生存技能教育研究，联合海丽雅集团探索设立生存教育培训学校。</w:t>
            </w:r>
          </w:p>
          <w:p>
            <w:pPr>
              <w:spacing w:line="300" w:lineRule="exact"/>
              <w:ind w:firstLine="480"/>
              <w:rPr>
                <w:rFonts w:ascii="黑体" w:hAnsi="黑体" w:eastAsia="黑体" w:cs="黑体"/>
                <w:bCs/>
                <w:color w:val="auto"/>
                <w:sz w:val="22"/>
                <w:szCs w:val="22"/>
              </w:rPr>
            </w:pPr>
            <w:r>
              <w:rPr>
                <w:rFonts w:hint="eastAsia" w:ascii="黑体" w:hAnsi="黑体" w:eastAsia="黑体" w:cs="黑体"/>
                <w:bCs/>
                <w:color w:val="auto"/>
                <w:sz w:val="22"/>
                <w:szCs w:val="22"/>
              </w:rPr>
              <w:t>四、健全校园“三防体系”建设</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全面建设学校专职保安队伍、护学岗队伍和护校队伍“三支队伍”，完成全市3434所学校“一键式紧急报警”设备和校园门口视频监控设备安装，实现校园周边安全防控预警平台与市公安局110指挥中心接处警平台、市天网视频图像平台、市教育局E平台的联网对接。</w:t>
            </w:r>
          </w:p>
          <w:p>
            <w:pPr>
              <w:spacing w:line="300" w:lineRule="exact"/>
              <w:ind w:firstLine="480"/>
              <w:rPr>
                <w:rFonts w:ascii="黑体" w:hAnsi="黑体" w:eastAsia="黑体" w:cs="黑体"/>
                <w:bCs/>
                <w:color w:val="auto"/>
                <w:sz w:val="22"/>
                <w:szCs w:val="22"/>
              </w:rPr>
            </w:pPr>
            <w:r>
              <w:rPr>
                <w:rFonts w:hint="eastAsia" w:ascii="黑体" w:hAnsi="黑体" w:eastAsia="黑体" w:cs="黑体"/>
                <w:bCs/>
                <w:color w:val="auto"/>
                <w:sz w:val="22"/>
                <w:szCs w:val="22"/>
              </w:rPr>
              <w:t>五、建立校园及周边安全综合治理联防联动工作机制</w:t>
            </w:r>
          </w:p>
          <w:p>
            <w:pPr>
              <w:spacing w:line="300" w:lineRule="exact"/>
              <w:ind w:firstLine="431" w:firstLineChars="196"/>
              <w:rPr>
                <w:rFonts w:hint="eastAsia" w:hAnsi="宋体" w:cs="Times New Roman"/>
                <w:color w:val="auto"/>
                <w:sz w:val="22"/>
                <w:szCs w:val="22"/>
              </w:rPr>
            </w:pPr>
            <w:r>
              <w:rPr>
                <w:rFonts w:hint="eastAsia" w:ascii="仿宋_GB2312" w:hAnsi="仿宋_GB2312" w:eastAsia="仿宋_GB2312" w:cs="仿宋_GB2312"/>
                <w:color w:val="auto"/>
                <w:sz w:val="22"/>
                <w:szCs w:val="22"/>
              </w:rPr>
              <w:t>研究制订《关于建立全市校园及周边安全综合治理联防联动工作机制的意见》，开展校园安全周边专项整治行动，召开联席会议联络员工作会议，针对摸排出的校园周边安全隐患，按照部门职责进行任务分解，督促相关部门进行核查、处置，确保校园及周边安全。</w:t>
            </w:r>
          </w:p>
        </w:tc>
        <w:tc>
          <w:tcPr>
            <w:tcW w:w="2456" w:type="dxa"/>
            <w:gridSpan w:val="2"/>
            <w:tcBorders>
              <w:top w:val="single" w:color="auto" w:sz="6" w:space="0"/>
              <w:bottom w:val="single" w:color="auto" w:sz="6" w:space="0"/>
            </w:tcBorders>
            <w:noWrap w:val="0"/>
            <w:vAlign w:val="center"/>
          </w:tcPr>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1.关于进一步加强新时代学校安全工作的意见</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2.青岛市校车安全管理办法</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3.2020年学校安全教育平台管理系统统计情况</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4.关于开展2020年青岛市中小学生应急安全体验培训活动的通知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5.关于做好校园安全方案预案修改演练工作的通知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6.关于开展全市中小学幼儿园冬季安全交叉检查工作的通知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7.关于开展校园安全检查的通知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8.关于进一步加强学校安全工作“三支队伍”建设的意见</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9.关于推进一键式紧急报警系统建设工作的通知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10.2020年市办实事11月份进展情况报告（督查专报第47期）</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11.关于建立全市校园及周边安全综合治理联防联动工作机制的意见；</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12.关于对校园周边安全隐患进行治理的通知</w:t>
            </w:r>
          </w:p>
          <w:p>
            <w:pPr>
              <w:spacing w:line="240" w:lineRule="exact"/>
              <w:ind w:firstLine="0" w:firstLineChars="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1"/>
                <w:szCs w:val="24"/>
              </w:rPr>
              <w:t>13.有关媒体报道：教育部门户网站、中国教育新闻网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5" w:hRule="atLeast"/>
          <w:jc w:val="center"/>
        </w:trPr>
        <w:tc>
          <w:tcPr>
            <w:tcW w:w="880" w:type="dxa"/>
            <w:vMerge w:val="restart"/>
            <w:tcBorders>
              <w:top w:val="double" w:color="auto" w:sz="4" w:space="0"/>
            </w:tcBorders>
            <w:noWrap w:val="0"/>
            <w:vAlign w:val="center"/>
          </w:tcPr>
          <w:p>
            <w:pPr>
              <w:spacing w:line="0" w:lineRule="atLeas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创优目标</w:t>
            </w:r>
          </w:p>
        </w:tc>
        <w:tc>
          <w:tcPr>
            <w:tcW w:w="835" w:type="dxa"/>
            <w:tcBorders>
              <w:top w:val="double" w:color="auto" w:sz="4" w:space="0"/>
            </w:tcBorders>
            <w:noWrap w:val="0"/>
            <w:vAlign w:val="center"/>
          </w:tcPr>
          <w:p>
            <w:pPr>
              <w:spacing w:line="300" w:lineRule="exac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1624" w:type="dxa"/>
            <w:tcBorders>
              <w:top w:val="double" w:color="auto" w:sz="4" w:space="0"/>
            </w:tcBorders>
            <w:noWrap w:val="0"/>
            <w:vAlign w:val="center"/>
          </w:tcPr>
          <w:p>
            <w:pPr>
              <w:spacing w:line="300" w:lineRule="exact"/>
              <w:ind w:firstLine="0" w:firstLineChars="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创新教育资源配置模式，全面提升优质教育资源供给能力</w:t>
            </w:r>
          </w:p>
        </w:tc>
        <w:tc>
          <w:tcPr>
            <w:tcW w:w="8216" w:type="dxa"/>
            <w:tcBorders>
              <w:top w:val="double" w:color="auto" w:sz="4" w:space="0"/>
            </w:tcBorders>
            <w:noWrap w:val="0"/>
            <w:vAlign w:val="center"/>
          </w:tcPr>
          <w:p>
            <w:pPr>
              <w:spacing w:line="320" w:lineRule="exact"/>
              <w:ind w:firstLine="549" w:firstLineChars="249"/>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目标内容：</w:t>
            </w:r>
            <w:r>
              <w:rPr>
                <w:rFonts w:hint="eastAsia" w:ascii="仿宋_GB2312" w:hAnsi="仿宋_GB2312" w:eastAsia="仿宋_GB2312" w:cs="仿宋_GB2312"/>
                <w:color w:val="auto"/>
                <w:sz w:val="22"/>
                <w:szCs w:val="22"/>
              </w:rPr>
              <w:t xml:space="preserve">制定青岛市幼儿园联盟办园指导意见，组建多种类型的幼儿园联盟，薄弱普惠性幼儿园加入联盟比例达到100%，开展城镇居住区配套幼儿园和无证幼儿园专项整治，扩增普惠性学前教育资源。完善“分数带”等录取政策，扩大普通高中学位供给，全面推进优质学校集团化办学改革，探索中小学特色发展、精致管理、品质立校路径。印发在青民办高校规范管理办法和民办校外培训机构管理办法，出台关于深化教育行政执法改革的实施意见，健全民办教育监管、服务机制，建立民办教育管理服务平台，培育高水平民办学校。出台《青岛市学校安全管理办法》，推进学校食堂标准体系建设，创新完善学校学生保险保障体系，建设平安、和谐、阳光校园。开展人才培养模式改革实验，推进国家儿童青少年近视防控改革实验区建设，加快海洋教育示范城特色市建设和人工智能教育实施，争创教育部人工智能教育课程教学及应用实践研究共同体，培育青岛教育特色优势。  </w:t>
            </w:r>
          </w:p>
          <w:p>
            <w:pPr>
              <w:spacing w:line="300" w:lineRule="exact"/>
              <w:ind w:firstLine="549" w:firstLineChars="249"/>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标杆城市及标杆值：</w:t>
            </w:r>
            <w:r>
              <w:rPr>
                <w:rFonts w:hint="eastAsia" w:ascii="仿宋_GB2312" w:hAnsi="仿宋_GB2312" w:eastAsia="仿宋_GB2312" w:cs="仿宋_GB2312"/>
                <w:color w:val="auto"/>
                <w:sz w:val="22"/>
                <w:szCs w:val="22"/>
              </w:rPr>
              <w:t>上海市、北京市、深圳市、杭州市。对标先进城市，重点在资源配置模式改革、办学模式和管理体制创新、热点难点问题破解、提高群众满意度等方面对标赶超，同时在人工智能、海洋教育等领域率先突破，努力形成引领优势。</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完成情况综述：</w:t>
            </w:r>
            <w:r>
              <w:rPr>
                <w:rFonts w:hint="eastAsia" w:ascii="仿宋_GB2312" w:hAnsi="仿宋_GB2312" w:eastAsia="仿宋_GB2312" w:cs="仿宋_GB2312"/>
                <w:color w:val="auto"/>
                <w:sz w:val="22"/>
                <w:szCs w:val="22"/>
              </w:rPr>
              <w:t>已完成。</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bCs/>
                <w:color w:val="auto"/>
                <w:sz w:val="22"/>
                <w:szCs w:val="22"/>
              </w:rPr>
              <w:t>一是教育供给结构进一步优化。</w:t>
            </w:r>
            <w:r>
              <w:rPr>
                <w:rFonts w:hint="eastAsia" w:ascii="仿宋_GB2312" w:hAnsi="仿宋_GB2312" w:eastAsia="仿宋_GB2312" w:cs="仿宋_GB2312"/>
                <w:color w:val="auto"/>
                <w:sz w:val="22"/>
                <w:szCs w:val="22"/>
              </w:rPr>
              <w:t>全年投入16.5亿元，新建改扩建幼儿园50所，新增学位1.3万个，完成209所城镇小区配套幼儿园专项整治。投入64.8亿元，新建改扩建中小学30所，新增学位2.7万个，90%的中小学校达到市定高水平现代化学校标准。开展学前教育联盟办园，推广“优质公办园+分园”“镇街中心园+村办园+民办园”等办园模式，薄弱普惠性幼儿园全部与优质园结对发展。引进25个优质教育项目，吸引社会资金96.6亿元。全面实行义务教育学校公办、民办同步招生政策，有效保障了义务教育优质均衡发展。大力推进集团化办学，全市优质教育集团达到65个，实现了优质教育资源的扩增拓展。</w:t>
            </w:r>
            <w:r>
              <w:rPr>
                <w:rFonts w:hint="eastAsia" w:ascii="仿宋_GB2312" w:hAnsi="仿宋_GB2312" w:eastAsia="仿宋_GB2312" w:cs="仿宋_GB2312"/>
                <w:b/>
                <w:bCs/>
                <w:color w:val="auto"/>
                <w:sz w:val="22"/>
                <w:szCs w:val="22"/>
              </w:rPr>
              <w:t>二是人才培养质量进一步提升。</w:t>
            </w:r>
            <w:r>
              <w:rPr>
                <w:rFonts w:hint="eastAsia" w:ascii="仿宋_GB2312" w:hAnsi="仿宋_GB2312" w:eastAsia="仿宋_GB2312" w:cs="仿宋_GB2312"/>
                <w:color w:val="auto"/>
                <w:sz w:val="22"/>
                <w:szCs w:val="22"/>
              </w:rPr>
              <w:t>落实新中考政策，全面实行“分数+等级”的录取模式，完善“分数带”录取政策，在全省率先开展艺术学业水平测试并纳入中考评价，普通高中计划录取比例提高到68%。探索分层、分类、分流发展的培养模式，综合高中由11所增加到14所，2338名学生通过“分数带”选择适合的高中教育。儿童青少年近视防控改革实验区建设全面启动。深化课程和教学改革，全市推出50个优秀教学法，建成200个学科教研基地。</w:t>
            </w:r>
            <w:r>
              <w:rPr>
                <w:rFonts w:hint="eastAsia" w:ascii="仿宋_GB2312" w:hAnsi="仿宋_GB2312" w:eastAsia="仿宋_GB2312" w:cs="仿宋_GB2312"/>
                <w:b/>
                <w:bCs/>
                <w:color w:val="auto"/>
                <w:sz w:val="22"/>
                <w:szCs w:val="22"/>
              </w:rPr>
              <w:t>三是依法治教能力进一步增强。</w:t>
            </w:r>
            <w:r>
              <w:rPr>
                <w:rFonts w:hint="eastAsia" w:ascii="仿宋_GB2312" w:hAnsi="仿宋_GB2312" w:eastAsia="仿宋_GB2312" w:cs="仿宋_GB2312"/>
                <w:color w:val="auto"/>
                <w:sz w:val="22"/>
                <w:szCs w:val="22"/>
              </w:rPr>
              <w:t>针对群众关注热点问题，出台规范招生入学等制度文件10个。出台《全市普通中小学办学行为负面清单》，保障学校依法自主办学。建成民办教育智能管理服务平台，制定规范民办校外培训机构的政策措施，健全民办教育监管、服务机制。加快推进《青岛市学校安全管理办法》出台，全市中小学幼儿园实现校园封闭管理、一键式报警两个“100%”。</w:t>
            </w:r>
            <w:r>
              <w:rPr>
                <w:rFonts w:hint="eastAsia" w:ascii="仿宋_GB2312" w:hAnsi="仿宋_GB2312" w:eastAsia="仿宋_GB2312" w:cs="仿宋_GB2312"/>
                <w:b/>
                <w:bCs/>
                <w:color w:val="auto"/>
                <w:sz w:val="22"/>
                <w:szCs w:val="22"/>
              </w:rPr>
              <w:t>四是教育品牌内涵进一步丰富。</w:t>
            </w:r>
            <w:r>
              <w:rPr>
                <w:rFonts w:hint="eastAsia" w:ascii="仿宋_GB2312" w:hAnsi="仿宋_GB2312" w:eastAsia="仿宋_GB2312" w:cs="仿宋_GB2312"/>
                <w:color w:val="auto"/>
                <w:sz w:val="22"/>
                <w:szCs w:val="22"/>
              </w:rPr>
              <w:t>海洋教育示范城特色市建设迈出新步伐，出台《中小学海洋教育指导纲要》，累计建成全国海洋科普教育基地15个、研学基地16个。印发中小学（幼儿园）家庭教育指导纲要，“家长大课堂”“家长面对面”“家校合作网”等家校协同平台参与400万人次。出台人工智能教育实施意见，发起成立人工智能教育联盟，与海尔、海信、商汤、科大讯飞等头部企业深度合作，教育部全球中文学习平台落户，人工智能课程覆盖两万余名学生，获批教育部人工智能教育课程教学及应用实践研究共同体。</w:t>
            </w:r>
          </w:p>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创优性：</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1.优质教育资源供给走在全省全国前列。</w:t>
            </w:r>
            <w:r>
              <w:rPr>
                <w:rFonts w:hint="eastAsia" w:ascii="仿宋_GB2312" w:hAnsi="仿宋_GB2312" w:eastAsia="仿宋_GB2312" w:cs="仿宋_GB2312"/>
                <w:color w:val="auto"/>
                <w:sz w:val="22"/>
                <w:szCs w:val="22"/>
              </w:rPr>
              <w:t>公办和普惠性民办幼儿园学位占比提高到90%，比国家要求高出10个百分点。一年新增青岛幼儿师范高等专科学校等3所高职院校招生。</w:t>
            </w:r>
            <w:r>
              <w:rPr>
                <w:rFonts w:hint="eastAsia" w:ascii="仿宋_GB2312" w:hAnsi="仿宋_GB2312" w:eastAsia="仿宋_GB2312" w:cs="仿宋_GB2312"/>
                <w:b/>
                <w:color w:val="auto"/>
                <w:sz w:val="22"/>
                <w:szCs w:val="22"/>
              </w:rPr>
              <w:t>2.教育教学质量走在全省全国前列。</w:t>
            </w:r>
            <w:r>
              <w:rPr>
                <w:rFonts w:hint="eastAsia" w:ascii="仿宋_GB2312" w:hAnsi="仿宋_GB2312" w:eastAsia="仿宋_GB2312" w:cs="仿宋_GB2312"/>
                <w:color w:val="auto"/>
                <w:sz w:val="22"/>
                <w:szCs w:val="22"/>
              </w:rPr>
              <w:t>高考本科达线率比去年大幅提升，各项指标居全省前列，清华大学、北京大学等多所名校在我市设立生源基地。我市代表队在全国职业院校技能大赛中金牌数位居第三。</w:t>
            </w:r>
            <w:r>
              <w:rPr>
                <w:rFonts w:hint="eastAsia" w:ascii="仿宋_GB2312" w:hAnsi="仿宋_GB2312" w:eastAsia="仿宋_GB2312" w:cs="仿宋_GB2312"/>
                <w:b/>
                <w:bCs/>
                <w:color w:val="auto"/>
                <w:sz w:val="22"/>
                <w:szCs w:val="22"/>
              </w:rPr>
              <w:t>3.教育治理创新走在全省全国前列。</w:t>
            </w:r>
            <w:r>
              <w:rPr>
                <w:rFonts w:hint="eastAsia" w:ascii="仿宋_GB2312" w:hAnsi="仿宋_GB2312" w:eastAsia="仿宋_GB2312" w:cs="仿宋_GB2312"/>
                <w:color w:val="auto"/>
                <w:sz w:val="22"/>
                <w:szCs w:val="22"/>
              </w:rPr>
              <w:t>教师队伍建设改革经验在全国推广，负面清单制度成为全国试点，校外培训机构资金监管成为全省试点。</w:t>
            </w:r>
          </w:p>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攻坚性：</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1</w:t>
            </w:r>
            <w:r>
              <w:rPr>
                <w:rFonts w:hint="eastAsia" w:ascii="仿宋_GB2312" w:hAnsi="仿宋_GB2312" w:eastAsia="仿宋_GB2312" w:cs="仿宋_GB2312"/>
                <w:b/>
                <w:bCs/>
                <w:color w:val="auto"/>
                <w:sz w:val="22"/>
                <w:szCs w:val="22"/>
              </w:rPr>
              <w:t>.政策和资源投入压力大。</w:t>
            </w:r>
            <w:r>
              <w:rPr>
                <w:rFonts w:hint="eastAsia" w:ascii="仿宋_GB2312" w:hAnsi="仿宋_GB2312" w:eastAsia="仿宋_GB2312" w:cs="仿宋_GB2312"/>
                <w:color w:val="auto"/>
                <w:sz w:val="22"/>
                <w:szCs w:val="22"/>
              </w:rPr>
              <w:t>面对财政支出压力、人口增长压力，要统筹学校建设、学位供给、农村教育发展等工作，保持教育投入持续增长面临困难。</w:t>
            </w:r>
            <w:r>
              <w:rPr>
                <w:rFonts w:hint="eastAsia" w:ascii="仿宋_GB2312" w:hAnsi="仿宋_GB2312" w:eastAsia="仿宋_GB2312" w:cs="仿宋_GB2312"/>
                <w:b/>
                <w:bCs/>
                <w:color w:val="auto"/>
                <w:sz w:val="22"/>
                <w:szCs w:val="22"/>
              </w:rPr>
              <w:t>2.工作导向扭转难度大。</w:t>
            </w:r>
            <w:r>
              <w:rPr>
                <w:rFonts w:hint="eastAsia" w:ascii="仿宋_GB2312" w:hAnsi="仿宋_GB2312" w:eastAsia="仿宋_GB2312" w:cs="仿宋_GB2312"/>
                <w:color w:val="auto"/>
                <w:sz w:val="22"/>
                <w:szCs w:val="22"/>
              </w:rPr>
              <w:t>推进教育评价体系改革、促进学生全面发展，需要引导家庭、学校、社会切实转变观念，难以一蹴而就。</w:t>
            </w:r>
            <w:r>
              <w:rPr>
                <w:rFonts w:hint="eastAsia" w:ascii="仿宋_GB2312" w:hAnsi="仿宋_GB2312" w:eastAsia="仿宋_GB2312" w:cs="仿宋_GB2312"/>
                <w:b/>
                <w:bCs/>
                <w:color w:val="auto"/>
                <w:sz w:val="22"/>
                <w:szCs w:val="22"/>
              </w:rPr>
              <w:t>3.教育改革统筹把握难度大。</w:t>
            </w:r>
            <w:r>
              <w:rPr>
                <w:rFonts w:hint="eastAsia" w:ascii="仿宋_GB2312" w:hAnsi="仿宋_GB2312" w:eastAsia="仿宋_GB2312" w:cs="仿宋_GB2312"/>
                <w:color w:val="auto"/>
                <w:sz w:val="22"/>
                <w:szCs w:val="22"/>
              </w:rPr>
              <w:t>教育改革既要遵守国家教育方针政策，又要遵循教育规律、人才成长规律及社会发展规律，还要满足学生和家长的个体需求，统筹改革力度、速度与可承受度的难度大。</w:t>
            </w:r>
          </w:p>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创新性：</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1.创新体制机制方面，</w:t>
            </w:r>
            <w:r>
              <w:rPr>
                <w:rFonts w:hint="eastAsia" w:ascii="仿宋_GB2312" w:hAnsi="仿宋_GB2312" w:eastAsia="仿宋_GB2312" w:cs="仿宋_GB2312"/>
                <w:color w:val="auto"/>
                <w:sz w:val="22"/>
                <w:szCs w:val="22"/>
              </w:rPr>
              <w:t>实施义务教育实验学校改革，出台义务教育学段实验学校建设方案，确定34所市级实验学校组成3个实验学校集团，发挥实验学校的改革、创新、实践、示范、引领作用。在全国率先构建“三张清单”教育治理模式，保障学校自主办学、特色发展。不断深化国家产教融合城市和“1+X”证书试点，在全国率先构建职业院校与技工院校融合发展新模式。</w:t>
            </w:r>
            <w:r>
              <w:rPr>
                <w:rFonts w:hint="eastAsia" w:ascii="仿宋_GB2312" w:hAnsi="仿宋_GB2312" w:eastAsia="仿宋_GB2312" w:cs="仿宋_GB2312"/>
                <w:b/>
                <w:color w:val="auto"/>
                <w:sz w:val="22"/>
                <w:szCs w:val="22"/>
              </w:rPr>
              <w:t>2.提升职能作用方面，</w:t>
            </w:r>
            <w:r>
              <w:rPr>
                <w:rFonts w:hint="eastAsia" w:ascii="仿宋_GB2312" w:hAnsi="仿宋_GB2312" w:eastAsia="仿宋_GB2312" w:cs="仿宋_GB2312"/>
                <w:color w:val="auto"/>
                <w:sz w:val="22"/>
                <w:szCs w:val="22"/>
              </w:rPr>
              <w:t>主动融入工业互联网之都建设大局，推动设立工业互联网学院、工业互联网联盟和工业互联网专业，开展企业在职人才技能提升培训。助力突破平度莱西和乡村振兴，拨付两市教育专项资金1.98亿元，4所高校落户平度莱西。落实高层次人才随迁子女入学政策，为100余名人才子女解决入学问题，优化了“双招双引”软环境。</w:t>
            </w:r>
          </w:p>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效益性：</w:t>
            </w:r>
          </w:p>
          <w:p>
            <w:pPr>
              <w:spacing w:line="300" w:lineRule="exact"/>
              <w:ind w:firstLine="480"/>
              <w:rPr>
                <w:rFonts w:hint="eastAsia" w:ascii="仿宋_GB2312" w:hAnsi="仿宋_GB2312" w:eastAsia="仿宋_GB2312" w:cs="仿宋_GB2312"/>
                <w:color w:val="auto"/>
                <w:sz w:val="22"/>
                <w:szCs w:val="22"/>
              </w:rPr>
            </w:pPr>
            <w:r>
              <w:rPr>
                <w:rFonts w:hint="eastAsia" w:ascii="仿宋_GB2312" w:hAnsi="仿宋_GB2312" w:eastAsia="仿宋_GB2312" w:cs="仿宋_GB2312"/>
                <w:bCs/>
                <w:color w:val="auto"/>
                <w:sz w:val="22"/>
                <w:szCs w:val="22"/>
              </w:rPr>
              <w:t>通过创新教育资源配置模式，提升了优质教育资源供给能力</w:t>
            </w:r>
            <w:r>
              <w:rPr>
                <w:rFonts w:hint="eastAsia" w:ascii="仿宋_GB2312" w:hAnsi="仿宋_GB2312" w:eastAsia="仿宋_GB2312" w:cs="仿宋_GB2312"/>
                <w:color w:val="auto"/>
                <w:sz w:val="22"/>
                <w:szCs w:val="22"/>
              </w:rPr>
              <w:t>，扩大了优质教育资源覆盖面，有效满足了孩子“上好学”的需求，提升了市民的获得感和满意度。市委书记王清宪同志对集团化办学、职业教育发展、人工智能教育等工作作出9次肯定性批示，并在不同会议上提出表扬。《青岛日报》开辟专栏，《青岛通讯》出版专刊，《青岛改革》《改革专报》登载信息，推广教育改革发展经验20余项。</w:t>
            </w:r>
          </w:p>
        </w:tc>
        <w:tc>
          <w:tcPr>
            <w:tcW w:w="2456" w:type="dxa"/>
            <w:gridSpan w:val="2"/>
            <w:tcBorders>
              <w:top w:val="double" w:color="auto" w:sz="4" w:space="0"/>
            </w:tcBorders>
            <w:noWrap w:val="0"/>
            <w:vAlign w:val="center"/>
          </w:tcPr>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1.关于推进学前教育联盟办园工作的指导意见</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2.关于做好2020年全市初中学业水平考试与普通高中招生工作的通知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3.关于规范校外培训机构发展的实施方案</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4.关于进一步加强教育行政执法工作的实施意见</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5.青岛市学校安全管理办法</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6.关于进一步加强青岛市中小学校食堂管理工作的意见</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7.青岛市中小学生营养餐管理标准</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8.青岛市中小学生营养餐管理规范</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9.青岛市全国儿童青少年近视防控改革试验区实施方案</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10.王清宪同志在《聚力提升普通高中普及率办好人民满意的教育》（《改革专报》第1期）上的批示</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12.王清宪同志在《关于全面融入狠抓落实 为全市15个攻势贡献教育力量的报告》上的批示</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13.教育部关于公布教育信息化教学应用实践共同体项目名单的通知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14.省教育厅关于支持开展校外培训机构资金监管试点工作的通知</w:t>
            </w:r>
          </w:p>
          <w:p>
            <w:pP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15.媒体报道：中央电视台、新华社、光明日报等</w:t>
            </w:r>
          </w:p>
          <w:p>
            <w:pPr>
              <w:spacing w:line="300" w:lineRule="exact"/>
              <w:ind w:firstLine="0" w:firstLineChars="0"/>
              <w:rPr>
                <w:rFonts w:hint="eastAsia" w:hAnsi="宋体" w:cs="Times New Roman"/>
                <w:color w:val="auto"/>
                <w:sz w:val="21"/>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 w:hRule="atLeast"/>
          <w:jc w:val="center"/>
        </w:trPr>
        <w:tc>
          <w:tcPr>
            <w:tcW w:w="880" w:type="dxa"/>
            <w:vMerge w:val="continue"/>
            <w:noWrap w:val="0"/>
            <w:vAlign w:val="center"/>
          </w:tcPr>
          <w:p>
            <w:pPr>
              <w:spacing w:line="300" w:lineRule="exact"/>
              <w:ind w:firstLine="0" w:firstLineChars="0"/>
              <w:jc w:val="center"/>
              <w:rPr>
                <w:rFonts w:hint="eastAsia" w:hAnsi="宋体" w:cs="Times New Roman"/>
                <w:color w:val="auto"/>
                <w:sz w:val="24"/>
                <w:szCs w:val="24"/>
              </w:rPr>
            </w:pPr>
          </w:p>
        </w:tc>
        <w:tc>
          <w:tcPr>
            <w:tcW w:w="835" w:type="dxa"/>
            <w:noWrap w:val="0"/>
            <w:vAlign w:val="center"/>
          </w:tcPr>
          <w:p>
            <w:pPr>
              <w:spacing w:line="300" w:lineRule="exact"/>
              <w:ind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1624" w:type="dxa"/>
            <w:noWrap w:val="0"/>
            <w:vAlign w:val="center"/>
          </w:tcPr>
          <w:p>
            <w:pPr>
              <w:spacing w:line="300" w:lineRule="exact"/>
              <w:ind w:firstLine="0" w:firstLineChars="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8"/>
                <w:szCs w:val="28"/>
              </w:rPr>
              <w:t>实施校地融合攻坚，提升教育服务能力</w:t>
            </w:r>
          </w:p>
        </w:tc>
        <w:tc>
          <w:tcPr>
            <w:tcW w:w="8216" w:type="dxa"/>
            <w:noWrap w:val="0"/>
            <w:vAlign w:val="top"/>
          </w:tcPr>
          <w:p>
            <w:pPr>
              <w:spacing w:line="320" w:lineRule="exact"/>
              <w:ind w:firstLine="432" w:firstLineChars="196"/>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目标内容：</w:t>
            </w:r>
            <w:r>
              <w:rPr>
                <w:rFonts w:hint="eastAsia" w:ascii="仿宋_GB2312" w:hAnsi="仿宋_GB2312" w:eastAsia="仿宋_GB2312" w:cs="仿宋_GB2312"/>
                <w:color w:val="auto"/>
                <w:sz w:val="22"/>
                <w:szCs w:val="22"/>
              </w:rPr>
              <w:t xml:space="preserve">落实“重点工作攻坚年”科教攻坚行动任务，推进康复大学、山东大学青岛校区二期工程建设，深化与北京大学等高水平大学合作，推动北京服装学院青岛时尚研究院、东北财经大学青岛金融研究院正式运行，引进上海海事大学在青岛设立研究院（研究生院），推动在青高校增设海洋类专业，创建重点学科（涉海）产学研合作联盟。探索建立校地融合发展平台机制，推动高等教育提升人才培养、协同创新和产教融合能力。加快推进部省共建职业教育高地，出台职业教育创新发展示范区建设实施方案，开工建设青岛国际职业教育科技产业城一期项目。推进中德（青岛）职教合作示范基地建设，探索不同形式的中德职教合作办学，搭建不同层次、不同专业学生多样化选择、多渠道成才路径，推进“双元制”本土化。推进职业教育与技工教育融合发展，制订产教融合城市实施方案，开展产教融合型企业评选，支持相关高校和职业院校开办工业互联网相关专业，开展工业互联网人才培训。加快国家产教融合试点城市建设，推动职业院校与企业联合开展订单培养，争取新增3所高职院校获批运行，加快打造全国职业教育新样板。推进上合地方经贸合作示范区和中国(山东)自由贸易试验区青岛片区教育年度任务落地，深化中德教育合作，建设中外人文交流教育实验区和人文教育示范区。 </w:t>
            </w:r>
          </w:p>
          <w:p>
            <w:pPr>
              <w:spacing w:line="300" w:lineRule="exact"/>
              <w:ind w:firstLine="541" w:firstLineChars="245"/>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标杆城市及标杆值：</w:t>
            </w:r>
            <w:r>
              <w:rPr>
                <w:rFonts w:hint="eastAsia" w:ascii="仿宋_GB2312" w:hAnsi="仿宋_GB2312" w:eastAsia="仿宋_GB2312" w:cs="仿宋_GB2312"/>
                <w:color w:val="auto"/>
                <w:sz w:val="22"/>
                <w:szCs w:val="22"/>
              </w:rPr>
              <w:t>深圳市、天津市。对标先进城市，重点在激发在青高校及高等教育机构活力，提升高等教育人才培养、科技创新与产业发展的契合度，提高高等教育服务经济社会发展能力。学习天津海河职教园区建设经验，通过产教融合、产城融合、校企合作模式，促进教育链、人才链与产业链、创新链有机衔接，打造国内领先、国际一流的职业教育聚集区、职业技能人才贯通培养示范区、产教融合先行区。</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完成情况综述：</w:t>
            </w:r>
            <w:r>
              <w:rPr>
                <w:rFonts w:hint="eastAsia" w:ascii="仿宋_GB2312" w:hAnsi="仿宋_GB2312" w:eastAsia="仿宋_GB2312" w:cs="仿宋_GB2312"/>
                <w:color w:val="auto"/>
                <w:sz w:val="22"/>
                <w:szCs w:val="22"/>
              </w:rPr>
              <w:t>已完成。</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一是高校引进建设取得新进展。</w:t>
            </w:r>
            <w:r>
              <w:rPr>
                <w:rFonts w:hint="eastAsia" w:ascii="仿宋_GB2312" w:hAnsi="仿宋_GB2312" w:eastAsia="仿宋_GB2312" w:cs="仿宋_GB2312"/>
                <w:color w:val="auto"/>
                <w:sz w:val="22"/>
                <w:szCs w:val="22"/>
              </w:rPr>
              <w:t>推动市政府与上海海事大学、山东第一医科大学签署合作协议，牵头推动与北京大学全面深化合作，协议已分别经市校审议通过。山大青岛校区二期学生公寓交付使用，综合体育馆主体施工进展顺利。委托教育部学校规建中心高质量完成康复大学咨询论证，协同相关部门推动基础施工，康复大学已与山东大学等联合招收研究生26名。</w:t>
            </w:r>
            <w:r>
              <w:rPr>
                <w:rFonts w:hint="eastAsia" w:ascii="仿宋_GB2312" w:hAnsi="仿宋_GB2312" w:eastAsia="仿宋_GB2312" w:cs="仿宋_GB2312"/>
                <w:b/>
                <w:color w:val="auto"/>
                <w:sz w:val="22"/>
                <w:szCs w:val="22"/>
              </w:rPr>
              <w:t>二是项目落地产出实现新突破。</w:t>
            </w:r>
            <w:r>
              <w:rPr>
                <w:rFonts w:hint="eastAsia" w:ascii="仿宋_GB2312" w:hAnsi="仿宋_GB2312" w:eastAsia="仿宋_GB2312" w:cs="仿宋_GB2312"/>
                <w:color w:val="auto"/>
                <w:sz w:val="22"/>
                <w:szCs w:val="22"/>
              </w:rPr>
              <w:t>上海海事大学青岛研究院正式揭牌，同步举行“慧海达航”青岛国际航运贸易金融创新中心高峰论坛。东北财经大学青岛金融研究院开通线上课程95门，完成专项研究报告10篇。北京服装学院青岛时尚研究院完成研究报告2篇，设计青岛元素产品100余件。</w:t>
            </w:r>
            <w:r>
              <w:rPr>
                <w:rFonts w:hint="eastAsia" w:ascii="仿宋_GB2312" w:hAnsi="仿宋_GB2312" w:eastAsia="仿宋_GB2312" w:cs="仿宋_GB2312"/>
                <w:b/>
                <w:color w:val="auto"/>
                <w:sz w:val="22"/>
                <w:szCs w:val="22"/>
              </w:rPr>
              <w:t>三是校地融合发展取得新成效。</w:t>
            </w:r>
            <w:r>
              <w:rPr>
                <w:rFonts w:hint="eastAsia" w:ascii="仿宋_GB2312" w:hAnsi="仿宋_GB2312" w:eastAsia="仿宋_GB2312" w:cs="仿宋_GB2312"/>
                <w:color w:val="auto"/>
                <w:sz w:val="22"/>
                <w:szCs w:val="22"/>
              </w:rPr>
              <w:t>召开在青高校专业设置暨涉海类专业建设座谈会，推动中国海洋大学等3所高校新增设海洋工程类船舶与海洋工程等3个涉海专业。依托重点学科组建青岛市工业互联网产学研合作联盟等6个联盟，同步举办6场高端论坛。举办轨道交通产业科技成果对接会等多场产学研活动，推动第56届中国高等教育博览会落户青岛。</w:t>
            </w:r>
            <w:r>
              <w:rPr>
                <w:rFonts w:hint="eastAsia" w:ascii="仿宋_GB2312" w:hAnsi="仿宋_GB2312" w:eastAsia="仿宋_GB2312" w:cs="仿宋_GB2312"/>
                <w:b/>
                <w:color w:val="auto"/>
                <w:sz w:val="22"/>
                <w:szCs w:val="22"/>
              </w:rPr>
              <w:t>四是技术技能人才培养提升新水平。</w:t>
            </w:r>
            <w:r>
              <w:rPr>
                <w:rFonts w:hint="eastAsia" w:ascii="仿宋_GB2312" w:hAnsi="仿宋_GB2312" w:eastAsia="仿宋_GB2312" w:cs="仿宋_GB2312"/>
                <w:color w:val="auto"/>
                <w:sz w:val="22"/>
                <w:szCs w:val="22"/>
              </w:rPr>
              <w:t>青岛国际职教城一期正式开工建设，青岛幼儿师范高等专科学校等3所高职院校获批并招生运行。承办世界职业技术教育大会暨展览会，举办国际论坛3场、平行论坛23场，达成100余个合作达成协议。</w:t>
            </w:r>
            <w:r>
              <w:rPr>
                <w:rFonts w:hint="eastAsia" w:ascii="仿宋_GB2312" w:hAnsi="仿宋_GB2312" w:eastAsia="仿宋_GB2312" w:cs="仿宋_GB2312"/>
                <w:b/>
                <w:color w:val="auto"/>
                <w:sz w:val="22"/>
                <w:szCs w:val="22"/>
              </w:rPr>
              <w:t>五是国际交流合作转入新常态。</w:t>
            </w:r>
            <w:r>
              <w:rPr>
                <w:rFonts w:hint="eastAsia" w:ascii="仿宋_GB2312" w:hAnsi="仿宋_GB2312" w:eastAsia="仿宋_GB2312" w:cs="仿宋_GB2312"/>
                <w:color w:val="auto"/>
                <w:sz w:val="22"/>
                <w:szCs w:val="22"/>
              </w:rPr>
              <w:t>全球中文学习平台落户青岛。青岛电子学校尼泊尔分校正式成立，中国海洋大学海德学院等3所学校的3个国际学院获得教育部批复，中德工业大学筹建取得积极进展。推进中外人文交流教育实验区建设，125所中小学纳入教育部实验区计划。成功承办2020中外人文交流与基础教育创新发展中小学校长大会，举办“东亚文化之都青少年交流活动”、第二届“山海青缘——我的留学青岛故事”主题活动、中日韩泰高等教育国际研讨会。</w:t>
            </w:r>
          </w:p>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创优性：</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高等教育领域，</w:t>
            </w:r>
            <w:r>
              <w:rPr>
                <w:rFonts w:hint="eastAsia" w:ascii="仿宋_GB2312" w:hAnsi="仿宋_GB2312" w:eastAsia="仿宋_GB2312" w:cs="仿宋_GB2312"/>
                <w:color w:val="auto"/>
                <w:sz w:val="22"/>
                <w:szCs w:val="22"/>
              </w:rPr>
              <w:t>我市深化与国内高水平高校合作、引导在青高校服务城市发展等工作多次得到市委主要领导批示肯定。</w:t>
            </w:r>
            <w:r>
              <w:rPr>
                <w:rFonts w:hint="eastAsia" w:ascii="仿宋_GB2312" w:hAnsi="仿宋_GB2312" w:eastAsia="仿宋_GB2312" w:cs="仿宋_GB2312"/>
                <w:b/>
                <w:color w:val="auto"/>
                <w:sz w:val="22"/>
                <w:szCs w:val="22"/>
              </w:rPr>
              <w:t>职业教育领域，</w:t>
            </w:r>
            <w:r>
              <w:rPr>
                <w:rFonts w:hint="eastAsia" w:ascii="仿宋_GB2312" w:hAnsi="仿宋_GB2312" w:eastAsia="仿宋_GB2312" w:cs="仿宋_GB2312"/>
                <w:color w:val="auto"/>
                <w:sz w:val="22"/>
                <w:szCs w:val="22"/>
              </w:rPr>
              <w:t>我市成为省职业教育创新发展示范区，出台市级实施方案和高中阶段联合育人、职业启蒙和职业体验等专项文件。教育部和省政府共同在青建设“青岛中德职业教育基地”，分管副省长给予高度评价。</w:t>
            </w:r>
            <w:r>
              <w:rPr>
                <w:rFonts w:hint="eastAsia" w:ascii="仿宋_GB2312" w:hAnsi="仿宋_GB2312" w:eastAsia="仿宋_GB2312" w:cs="仿宋_GB2312"/>
                <w:b/>
                <w:color w:val="auto"/>
                <w:sz w:val="22"/>
                <w:szCs w:val="22"/>
              </w:rPr>
              <w:t>对外开放领域，</w:t>
            </w:r>
            <w:r>
              <w:rPr>
                <w:rFonts w:hint="eastAsia" w:ascii="仿宋_GB2312" w:hAnsi="仿宋_GB2312" w:eastAsia="仿宋_GB2312" w:cs="仿宋_GB2312"/>
                <w:color w:val="auto"/>
                <w:sz w:val="22"/>
                <w:szCs w:val="22"/>
              </w:rPr>
              <w:t>走在全省前列，中外人文交流工作得到教育部中外人文交流中心肯定。</w:t>
            </w:r>
          </w:p>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攻坚性：</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一是优质资源引进难。</w:t>
            </w:r>
            <w:r>
              <w:rPr>
                <w:rFonts w:hint="eastAsia" w:ascii="仿宋_GB2312" w:hAnsi="仿宋_GB2312" w:eastAsia="仿宋_GB2312" w:cs="仿宋_GB2312"/>
                <w:color w:val="auto"/>
                <w:sz w:val="22"/>
                <w:szCs w:val="22"/>
              </w:rPr>
              <w:t>各地普遍重视高校引进工作，资源争抢十分激烈，在我市缺乏明显竞争优势情况下，需要在沟通对接、服务保障、环境营造等方面投入更多精力，比如为争取与北大合作，市教育局协调市委、市政协主要领导多次赴北大走访对接，与相关单位反复沟通对接，协议修改20余稿。</w:t>
            </w:r>
            <w:r>
              <w:rPr>
                <w:rFonts w:hint="eastAsia" w:ascii="仿宋_GB2312" w:hAnsi="仿宋_GB2312" w:eastAsia="仿宋_GB2312" w:cs="仿宋_GB2312"/>
                <w:b/>
                <w:color w:val="auto"/>
                <w:sz w:val="22"/>
                <w:szCs w:val="22"/>
              </w:rPr>
              <w:t>二是行业壁垒破除难。</w:t>
            </w:r>
            <w:r>
              <w:rPr>
                <w:rFonts w:hint="eastAsia" w:ascii="仿宋_GB2312" w:hAnsi="仿宋_GB2312" w:eastAsia="仿宋_GB2312" w:cs="仿宋_GB2312"/>
                <w:color w:val="auto"/>
                <w:sz w:val="22"/>
                <w:szCs w:val="22"/>
              </w:rPr>
              <w:t>推动产学研合作，需要充分调动高校、科研院所、企业、协会、政府等各方面资源，反复沟通协调，破除行业壁垒，实现政产学研深度对接。</w:t>
            </w:r>
            <w:r>
              <w:rPr>
                <w:rFonts w:hint="eastAsia" w:ascii="仿宋_GB2312" w:hAnsi="仿宋_GB2312" w:eastAsia="仿宋_GB2312" w:cs="仿宋_GB2312"/>
                <w:b/>
                <w:color w:val="auto"/>
                <w:sz w:val="22"/>
                <w:szCs w:val="22"/>
              </w:rPr>
              <w:t>三是体制改革落地难。</w:t>
            </w:r>
            <w:r>
              <w:rPr>
                <w:rFonts w:hint="eastAsia" w:ascii="仿宋_GB2312" w:hAnsi="仿宋_GB2312" w:eastAsia="仿宋_GB2312" w:cs="仿宋_GB2312"/>
                <w:color w:val="auto"/>
                <w:sz w:val="22"/>
                <w:szCs w:val="22"/>
              </w:rPr>
              <w:t>职业教育领域，中职教育与技工教育分处两个体系，管理体制和运行机制不相对接，推动职业院校与技工院校融合发展，相关政策在国内属于首创。</w:t>
            </w:r>
            <w:r>
              <w:rPr>
                <w:rFonts w:hint="eastAsia" w:ascii="仿宋_GB2312" w:hAnsi="仿宋_GB2312" w:eastAsia="仿宋_GB2312" w:cs="仿宋_GB2312"/>
                <w:b/>
                <w:bCs/>
                <w:color w:val="auto"/>
                <w:sz w:val="22"/>
                <w:szCs w:val="22"/>
              </w:rPr>
              <w:t>四是独立法人中外合作大学审批难。</w:t>
            </w:r>
            <w:r>
              <w:rPr>
                <w:rFonts w:hint="eastAsia" w:ascii="仿宋_GB2312" w:hAnsi="仿宋_GB2312" w:eastAsia="仿宋_GB2312" w:cs="仿宋_GB2312"/>
                <w:color w:val="auto"/>
                <w:sz w:val="22"/>
                <w:szCs w:val="22"/>
              </w:rPr>
              <w:t>2005年从第一所中外合作大学-宁波诺丁汉大学批准成立至今，教育部对此类学校审批非常严格，至今共批复（筹建）10所。</w:t>
            </w:r>
          </w:p>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创新性：</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一是产学研合作联盟开创新模式。</w:t>
            </w:r>
            <w:r>
              <w:rPr>
                <w:rFonts w:hint="eastAsia" w:ascii="仿宋_GB2312" w:hAnsi="仿宋_GB2312" w:eastAsia="仿宋_GB2312" w:cs="仿宋_GB2312"/>
                <w:color w:val="auto"/>
                <w:sz w:val="22"/>
                <w:szCs w:val="22"/>
              </w:rPr>
              <w:t>创新了政产学研深度融合模式和机制，探索了科教融合、产教融合、教教融合的新路子。</w:t>
            </w:r>
            <w:r>
              <w:rPr>
                <w:rFonts w:hint="eastAsia" w:ascii="仿宋_GB2312" w:hAnsi="仿宋_GB2312" w:eastAsia="仿宋_GB2312" w:cs="仿宋_GB2312"/>
                <w:b/>
                <w:color w:val="auto"/>
                <w:sz w:val="22"/>
                <w:szCs w:val="22"/>
              </w:rPr>
              <w:t>二是中外合作办学有望实现重大突破。</w:t>
            </w:r>
            <w:r>
              <w:rPr>
                <w:rFonts w:hint="eastAsia" w:ascii="仿宋_GB2312" w:hAnsi="仿宋_GB2312" w:eastAsia="仿宋_GB2312" w:cs="仿宋_GB2312"/>
                <w:color w:val="auto"/>
                <w:sz w:val="22"/>
                <w:szCs w:val="22"/>
              </w:rPr>
              <w:t>中德工业大学申报成功后，将会成为我国第一所位于自贸试验区内的中德合作大学、第一所中外合作工程技术类应用型大学，以及长江以北和山东省第一家具有独立法人资格的中外合作办学机构。</w:t>
            </w:r>
            <w:r>
              <w:rPr>
                <w:rFonts w:hint="eastAsia" w:ascii="仿宋_GB2312" w:hAnsi="仿宋_GB2312" w:eastAsia="仿宋_GB2312" w:cs="仿宋_GB2312"/>
                <w:b/>
                <w:bCs/>
                <w:color w:val="auto"/>
                <w:sz w:val="22"/>
                <w:szCs w:val="22"/>
              </w:rPr>
              <w:t>三是服务工业互联网之都建设走在</w:t>
            </w:r>
            <w:r>
              <w:rPr>
                <w:rFonts w:hint="eastAsia" w:ascii="仿宋_GB2312" w:hAnsi="仿宋_GB2312" w:eastAsia="仿宋_GB2312" w:cs="仿宋_GB2312"/>
                <w:b/>
                <w:color w:val="auto"/>
                <w:sz w:val="22"/>
                <w:szCs w:val="22"/>
              </w:rPr>
              <w:t>前列。</w:t>
            </w:r>
            <w:r>
              <w:rPr>
                <w:rFonts w:hint="eastAsia" w:ascii="仿宋_GB2312" w:hAnsi="仿宋_GB2312" w:eastAsia="仿宋_GB2312" w:cs="仿宋_GB2312"/>
                <w:color w:val="auto"/>
                <w:sz w:val="22"/>
                <w:szCs w:val="22"/>
              </w:rPr>
              <w:t>与海尔集团签署了工业互联网领域战略合作框架协议，青岛职业技术学院、山东文化产业学院分别成立了工业互联网学院，青岛电子学校首次招收了60名工业互联网专业学生。</w:t>
            </w:r>
            <w:r>
              <w:rPr>
                <w:rFonts w:hint="eastAsia" w:ascii="仿宋_GB2312" w:hAnsi="仿宋_GB2312" w:eastAsia="仿宋_GB2312" w:cs="仿宋_GB2312"/>
                <w:b/>
                <w:bCs/>
                <w:color w:val="auto"/>
                <w:sz w:val="22"/>
                <w:szCs w:val="22"/>
              </w:rPr>
              <w:t>四是教育高</w:t>
            </w:r>
            <w:r>
              <w:rPr>
                <w:rFonts w:hint="eastAsia" w:ascii="仿宋_GB2312" w:hAnsi="仿宋_GB2312" w:eastAsia="仿宋_GB2312" w:cs="仿宋_GB2312"/>
                <w:b/>
                <w:color w:val="auto"/>
                <w:sz w:val="22"/>
                <w:szCs w:val="22"/>
              </w:rPr>
              <w:t>水平对外开放含金量进一步提升。</w:t>
            </w:r>
            <w:r>
              <w:rPr>
                <w:rFonts w:hint="eastAsia" w:ascii="仿宋_GB2312" w:hAnsi="仿宋_GB2312" w:eastAsia="仿宋_GB2312" w:cs="仿宋_GB2312"/>
                <w:color w:val="auto"/>
                <w:sz w:val="22"/>
                <w:szCs w:val="22"/>
              </w:rPr>
              <w:t>青岛电子学校尼泊尔分校是青岛中等职业教育“走出去”境外办学的首次尝试，标志着电子学校的国际化办学取得历史性突破,也标志着青岛职业教育真正练就“引进来”“走出去”的国际范儿。</w:t>
            </w:r>
          </w:p>
          <w:p>
            <w:pPr>
              <w:spacing w:line="300" w:lineRule="exact"/>
              <w:ind w:firstLine="482"/>
              <w:rPr>
                <w:rFonts w:hint="eastAsia" w:ascii="仿宋_GB2312" w:hAnsi="仿宋_GB2312" w:eastAsia="仿宋_GB2312" w:cs="仿宋_GB2312"/>
                <w:b/>
                <w:color w:val="auto"/>
                <w:sz w:val="22"/>
                <w:szCs w:val="22"/>
              </w:rPr>
            </w:pPr>
            <w:r>
              <w:rPr>
                <w:rFonts w:hint="eastAsia" w:ascii="仿宋_GB2312" w:hAnsi="仿宋_GB2312" w:eastAsia="仿宋_GB2312" w:cs="仿宋_GB2312"/>
                <w:b/>
                <w:color w:val="auto"/>
                <w:sz w:val="22"/>
                <w:szCs w:val="22"/>
              </w:rPr>
              <w:t>效益性：</w:t>
            </w:r>
          </w:p>
          <w:p>
            <w:pPr>
              <w:spacing w:line="300" w:lineRule="exact"/>
              <w:ind w:firstLine="482"/>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一是有力推动了校地融合。</w:t>
            </w:r>
            <w:r>
              <w:rPr>
                <w:rFonts w:hint="eastAsia" w:ascii="仿宋_GB2312" w:hAnsi="仿宋_GB2312" w:eastAsia="仿宋_GB2312" w:cs="仿宋_GB2312"/>
                <w:color w:val="auto"/>
                <w:sz w:val="22"/>
                <w:szCs w:val="22"/>
              </w:rPr>
              <w:t>6个产学研合作联盟集聚了政府、高校、重点企业等成员单位300余家，举办的论坛活动参加人数超过500人，打通教育与产业融合“最后</w:t>
            </w:r>
            <w:bookmarkStart w:id="75" w:name="_GoBack"/>
            <w:r>
              <w:rPr>
                <w:rFonts w:hint="eastAsia" w:ascii="仿宋_GB2312" w:hAnsi="仿宋_GB2312" w:eastAsia="仿宋_GB2312" w:cs="仿宋_GB2312"/>
                <w:color w:val="auto"/>
                <w:sz w:val="22"/>
                <w:szCs w:val="22"/>
              </w:rPr>
              <w:t>一公里</w:t>
            </w:r>
            <w:bookmarkEnd w:id="75"/>
            <w:r>
              <w:rPr>
                <w:rFonts w:hint="eastAsia" w:ascii="仿宋_GB2312" w:hAnsi="仿宋_GB2312" w:eastAsia="仿宋_GB2312" w:cs="仿宋_GB2312"/>
                <w:color w:val="auto"/>
                <w:sz w:val="22"/>
                <w:szCs w:val="22"/>
              </w:rPr>
              <w:t>”，搭建了政产学研各方资源融合协同的平台，各级媒体报道200余条，山东电视台新闻联播、青岛电视台青岛新闻等予以重点报道，并成为市委主要领导推介青岛的元素之一。</w:t>
            </w:r>
            <w:r>
              <w:rPr>
                <w:rFonts w:hint="eastAsia" w:ascii="仿宋_GB2312" w:hAnsi="仿宋_GB2312" w:eastAsia="仿宋_GB2312" w:cs="仿宋_GB2312"/>
                <w:b/>
                <w:color w:val="auto"/>
                <w:sz w:val="22"/>
                <w:szCs w:val="22"/>
              </w:rPr>
              <w:t>二是为青岛经济社会发展培养高素质人才。</w:t>
            </w:r>
            <w:r>
              <w:rPr>
                <w:rFonts w:hint="eastAsia" w:ascii="仿宋_GB2312" w:hAnsi="仿宋_GB2312" w:eastAsia="仿宋_GB2312" w:cs="仿宋_GB2312"/>
                <w:color w:val="auto"/>
                <w:sz w:val="22"/>
                <w:szCs w:val="22"/>
              </w:rPr>
              <w:t>上海海事大学青岛研究院37名硕士研究生已正式入学。全市新增3所高职院校招生运行，职业院校在校生将达到近20万人，每年为全市产业发展提高素质技术技能人才近7万人。</w:t>
            </w:r>
            <w:r>
              <w:rPr>
                <w:rFonts w:hint="eastAsia" w:ascii="仿宋_GB2312" w:hAnsi="仿宋_GB2312" w:eastAsia="仿宋_GB2312" w:cs="仿宋_GB2312"/>
                <w:b/>
                <w:color w:val="auto"/>
                <w:sz w:val="22"/>
                <w:szCs w:val="22"/>
              </w:rPr>
              <w:t>三是推动中文学习走向世界。</w:t>
            </w:r>
            <w:r>
              <w:rPr>
                <w:rFonts w:hint="eastAsia" w:ascii="仿宋_GB2312" w:hAnsi="仿宋_GB2312" w:eastAsia="仿宋_GB2312" w:cs="仿宋_GB2312"/>
                <w:color w:val="auto"/>
                <w:sz w:val="22"/>
                <w:szCs w:val="22"/>
              </w:rPr>
              <w:t>全球中文学习平台落户青岛后，将进一步推动产品研发、资源建设和运营推广等方面的合作，加强面向日韩、澳洲、俄罗斯及一带一路国家的中文推广，中国教育新闻网报道</w:t>
            </w:r>
          </w:p>
        </w:tc>
        <w:tc>
          <w:tcPr>
            <w:tcW w:w="2456" w:type="dxa"/>
            <w:gridSpan w:val="2"/>
            <w:noWrap w:val="0"/>
            <w:vAlign w:val="top"/>
          </w:tcPr>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1.市委主要领导、市政协主要领导关于推动与北京大学合作相关工作的批示</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2.青岛市人民政府 上海海事大学战略合作协议；青岛市人民政府 山东第一医科大学共建山东第一医科大学青岛眼科研究院战略合作协议</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3. 市政府第103次常务会议会议纪要</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4. 教育部学校规划建设发展中心《康复大学筹建总体方案》汇报、康复大学咨询论证报告、专家评审意见及评审照片</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5. 山东大学与康复大学联合培养研究生证明材料</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6.东北财经大学青岛金融研究院、北京服装学院青岛时尚研究院相关工作证明材料</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7. 《关于加强在青高校海洋专业设置办理情况的报告》及市委主要领导批示</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8.青岛高校新增专业情况统计表（2020年）</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9.六个产学研合作联盟及高端论坛及交流会、产学研活动相关照片</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10.第56届中国高等教育博览会相关证明材料</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11.青岛市人民政府关于印发青岛市打造职业教育创新发展高地建设职业教育创新发展示范区实施方案的通知》</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12.《青岛国际职教城开工奠基暨签约仪式活动方案》文件、奠基仪式照片</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13.2020年职业技术教育展会议手册及照片</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14.中德合作平度项目第11期合作协议</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15.职业院校与技工院校融合发展的意见</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16.与海尔卡奥斯签订战略合作协议照片</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17.山东省人民政府关于同意设立青岛幼儿师范高等专科学校、青岛航空科技职业学院的批复</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18.教育部办公厅关于公布实施专科教育高等学校备案名单的函</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19. 国家留学基金委关于2020-2021学年度中国政府奖学金-“丝绸之路”省部合作项目新生录取的函</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20.关于报送“共建‘一带一路’教育行动—部省品牌培育项目”的报告</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21.关于成立推进青岛中德工业大学（筹）申办工作专班的通知</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22.教育部中外人文交流中心关于确定中外人文交流特色学校建设计划学校名单的通知</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23.中外人文交流特色学校建设计划项目实施方案</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24.中外人文交流与基础教育创新发展中小学校长大会会议手册</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25.省教育厅主要领导、教育部中外人文交流中心关于青岛教育对外开放工作、实验区工作的批示</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ascii="仿宋_GB2312" w:hAnsi="仿宋_GB2312" w:eastAsia="仿宋_GB2312" w:cs="仿宋_GB2312"/>
                <w:color w:val="auto"/>
                <w:sz w:val="21"/>
                <w:szCs w:val="24"/>
              </w:rPr>
            </w:pPr>
            <w:r>
              <w:rPr>
                <w:rFonts w:hint="eastAsia" w:ascii="仿宋_GB2312" w:hAnsi="仿宋_GB2312" w:eastAsia="仿宋_GB2312" w:cs="仿宋_GB2312"/>
                <w:color w:val="auto"/>
                <w:sz w:val="21"/>
                <w:szCs w:val="24"/>
              </w:rPr>
              <w:t>26. 有关媒体报道：中国教育新闻网、山东电视台等</w:t>
            </w:r>
          </w:p>
          <w:p>
            <w:pPr>
              <w:pBdr>
                <w:top w:val="none" w:color="FFFFFF" w:sz="0" w:space="31"/>
                <w:left w:val="none" w:color="FFFFFF" w:sz="0" w:space="31"/>
                <w:bottom w:val="none" w:color="FFFFFF" w:sz="0" w:space="31"/>
                <w:right w:val="none" w:color="FFFFFF" w:sz="0" w:space="31"/>
              </w:pBdr>
              <w:spacing w:line="240" w:lineRule="exact"/>
              <w:ind w:firstLine="0" w:firstLineChars="0"/>
              <w:rPr>
                <w:rFonts w:hint="eastAsia" w:hAnsi="宋体" w:cs="Times New Roman"/>
                <w:color w:val="auto"/>
                <w:sz w:val="21"/>
                <w:szCs w:val="24"/>
              </w:rPr>
            </w:pPr>
            <w:r>
              <w:rPr>
                <w:rFonts w:hint="eastAsia" w:ascii="仿宋_GB2312" w:hAnsi="仿宋_GB2312" w:eastAsia="仿宋_GB2312" w:cs="仿宋_GB2312"/>
                <w:color w:val="auto"/>
                <w:sz w:val="21"/>
                <w:szCs w:val="24"/>
              </w:rPr>
              <w:t xml:space="preserve"> </w:t>
            </w:r>
          </w:p>
        </w:tc>
      </w:tr>
    </w:tbl>
    <w:p>
      <w:pPr>
        <w:keepNext/>
        <w:keepLines/>
        <w:pageBreakBefore w:val="0"/>
        <w:widowControl w:val="0"/>
        <w:numPr>
          <w:ilvl w:val="1"/>
          <w:numId w:val="0"/>
        </w:numPr>
        <w:kinsoku/>
        <w:wordWrap/>
        <w:overflowPunct/>
        <w:topLinePunct w:val="0"/>
        <w:autoSpaceDE/>
        <w:autoSpaceDN/>
        <w:bidi w:val="0"/>
        <w:adjustRightInd/>
        <w:snapToGrid/>
        <w:spacing w:before="120" w:after="120" w:line="216" w:lineRule="auto"/>
        <w:jc w:val="both"/>
        <w:textAlignment w:val="auto"/>
        <w:outlineLvl w:val="9"/>
        <w:rPr>
          <w:rFonts w:hint="eastAsia" w:ascii="宋体" w:hAnsi="宋体" w:eastAsia="宋体" w:cs="宋体"/>
          <w:color w:val="auto"/>
          <w:sz w:val="32"/>
          <w:szCs w:val="32"/>
          <w:highlight w:val="none"/>
        </w:rPr>
      </w:pPr>
    </w:p>
    <w:p>
      <w:pPr>
        <w:pStyle w:val="2"/>
        <w:rPr>
          <w:rFonts w:hint="eastAsia"/>
          <w:color w:val="auto"/>
          <w:highlight w:val="none"/>
        </w:rPr>
      </w:pPr>
    </w:p>
    <w:p>
      <w:pPr>
        <w:pStyle w:val="2"/>
        <w:rPr>
          <w:rFonts w:hint="eastAsia"/>
          <w:color w:val="auto"/>
          <w:highlight w:val="none"/>
        </w:rPr>
        <w:sectPr>
          <w:pgSz w:w="16838" w:h="11906" w:orient="landscape"/>
          <w:pgMar w:top="1701" w:right="907" w:bottom="1701" w:left="1304" w:header="851" w:footer="992" w:gutter="0"/>
          <w:cols w:space="720" w:num="1"/>
          <w:docGrid w:linePitch="312" w:charSpace="0"/>
        </w:sectPr>
      </w:pPr>
    </w:p>
    <w:p>
      <w:pPr>
        <w:widowControl/>
        <w:adjustRightInd w:val="0"/>
        <w:snapToGrid w:val="0"/>
        <w:textAlignment w:val="center"/>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附</w:t>
      </w:r>
      <w:r>
        <w:rPr>
          <w:rFonts w:hint="eastAsia" w:ascii="仿宋_GB2312" w:hAnsi="仿宋_GB2312" w:eastAsia="仿宋_GB2312" w:cs="仿宋_GB2312"/>
          <w:color w:val="auto"/>
          <w:kern w:val="0"/>
          <w:sz w:val="24"/>
          <w:szCs w:val="24"/>
          <w:highlight w:val="none"/>
          <w:lang w:val="en-US" w:eastAsia="zh-CN"/>
        </w:rPr>
        <w:t>4.</w:t>
      </w:r>
    </w:p>
    <w:p>
      <w:pPr>
        <w:adjustRightInd w:val="0"/>
        <w:snapToGrid w:val="0"/>
        <w:jc w:val="center"/>
        <w:rPr>
          <w:rFonts w:hint="eastAsia" w:ascii="宋体" w:hAnsi="宋体" w:eastAsia="宋体" w:cs="宋体"/>
          <w:b/>
          <w:bCs w:val="0"/>
          <w:color w:val="auto"/>
          <w:kern w:val="44"/>
          <w:sz w:val="36"/>
          <w:szCs w:val="36"/>
          <w:lang w:val="en-US" w:eastAsia="zh-CN"/>
        </w:rPr>
      </w:pPr>
      <w:r>
        <w:rPr>
          <w:rFonts w:hint="eastAsia" w:ascii="宋体" w:hAnsi="宋体" w:eastAsia="宋体" w:cs="宋体"/>
          <w:b/>
          <w:bCs w:val="0"/>
          <w:color w:val="auto"/>
          <w:kern w:val="44"/>
          <w:sz w:val="36"/>
          <w:szCs w:val="36"/>
          <w:lang w:val="en-US" w:eastAsia="zh-CN"/>
        </w:rPr>
        <w:t>2020年度青岛市教育局</w:t>
      </w:r>
    </w:p>
    <w:p>
      <w:pPr>
        <w:adjustRightInd w:val="0"/>
        <w:snapToGrid w:val="0"/>
        <w:jc w:val="center"/>
        <w:rPr>
          <w:rFonts w:hint="eastAsia" w:ascii="宋体" w:hAnsi="宋体" w:eastAsia="宋体" w:cs="宋体"/>
          <w:b/>
          <w:bCs w:val="0"/>
          <w:color w:val="auto"/>
          <w:kern w:val="44"/>
          <w:sz w:val="36"/>
          <w:szCs w:val="36"/>
        </w:rPr>
      </w:pPr>
      <w:r>
        <w:rPr>
          <w:rFonts w:hint="eastAsia" w:ascii="宋体" w:hAnsi="宋体" w:eastAsia="宋体" w:cs="宋体"/>
          <w:b/>
          <w:bCs w:val="0"/>
          <w:color w:val="auto"/>
          <w:kern w:val="44"/>
          <w:sz w:val="36"/>
          <w:szCs w:val="36"/>
        </w:rPr>
        <w:t>满意度调查问卷</w:t>
      </w:r>
    </w:p>
    <w:p>
      <w:pPr>
        <w:widowControl/>
        <w:adjustRightInd w:val="0"/>
        <w:snapToGrid w:val="0"/>
        <w:ind w:firstLine="482"/>
        <w:textAlignment w:val="center"/>
        <w:rPr>
          <w:rFonts w:ascii="仿宋_GB2312" w:hAnsi="仿宋_GB2312" w:eastAsia="仿宋_GB2312" w:cs="仿宋_GB2312"/>
          <w:color w:val="auto"/>
          <w:sz w:val="24"/>
          <w:shd w:val="clear" w:color="auto" w:fill="FFFFFF"/>
        </w:rPr>
      </w:pPr>
    </w:p>
    <w:p>
      <w:pPr>
        <w:keepNext w:val="0"/>
        <w:keepLines w:val="0"/>
        <w:pageBreakBefore w:val="0"/>
        <w:widowControl/>
        <w:kinsoku/>
        <w:wordWrap/>
        <w:overflowPunct/>
        <w:topLinePunct w:val="0"/>
        <w:autoSpaceDE/>
        <w:autoSpaceDN/>
        <w:bidi w:val="0"/>
        <w:adjustRightInd w:val="0"/>
        <w:snapToGrid w:val="0"/>
        <w:spacing w:line="360" w:lineRule="auto"/>
        <w:ind w:firstLine="482"/>
        <w:textAlignment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sz w:val="24"/>
          <w:shd w:val="clear" w:color="auto" w:fill="FFFFFF"/>
        </w:rPr>
        <w:t>您好！为更好的开展</w:t>
      </w:r>
      <w:r>
        <w:rPr>
          <w:rFonts w:hint="eastAsia" w:ascii="仿宋_GB2312" w:hAnsi="仿宋_GB2312" w:eastAsia="仿宋_GB2312" w:cs="仿宋_GB2312"/>
          <w:color w:val="auto"/>
          <w:sz w:val="24"/>
          <w:shd w:val="clear" w:color="auto" w:fill="FFFFFF"/>
          <w:lang w:val="en-US" w:eastAsia="zh-CN"/>
        </w:rPr>
        <w:t>2020年度青岛市教育局整体支出</w:t>
      </w:r>
      <w:r>
        <w:rPr>
          <w:rFonts w:hint="eastAsia" w:ascii="仿宋_GB2312" w:hAnsi="仿宋_GB2312" w:eastAsia="仿宋_GB2312" w:cs="仿宋_GB2312"/>
          <w:color w:val="auto"/>
          <w:sz w:val="24"/>
          <w:shd w:val="clear" w:color="auto" w:fill="FFFFFF"/>
        </w:rPr>
        <w:t>的绩效评价工作。</w:t>
      </w:r>
      <w:r>
        <w:rPr>
          <w:rFonts w:hint="eastAsia" w:ascii="仿宋_GB2312" w:hAnsi="仿宋_GB2312" w:eastAsia="仿宋_GB2312" w:cs="仿宋_GB2312"/>
          <w:color w:val="auto"/>
          <w:kern w:val="0"/>
          <w:sz w:val="24"/>
        </w:rPr>
        <w:t>邀请您在百忙之中完成这份调查问卷，您真实的回答对于我们得到有效的结论非常重要，我们对于您的个人信息予以严格保密，感谢您的支持与配合！</w:t>
      </w:r>
    </w:p>
    <w:p>
      <w:pPr>
        <w:keepNext w:val="0"/>
        <w:keepLines w:val="0"/>
        <w:pageBreakBefore w:val="0"/>
        <w:widowControl/>
        <w:kinsoku/>
        <w:wordWrap/>
        <w:overflowPunct/>
        <w:topLinePunct w:val="0"/>
        <w:autoSpaceDE/>
        <w:autoSpaceDN/>
        <w:bidi w:val="0"/>
        <w:adjustRightInd w:val="0"/>
        <w:snapToGrid w:val="0"/>
        <w:spacing w:line="360" w:lineRule="auto"/>
        <w:textAlignment w:val="center"/>
        <w:rPr>
          <w:rFonts w:asciiTheme="minorEastAsia" w:hAnsiTheme="minorEastAsia" w:cstheme="minorEastAsia"/>
          <w:b/>
          <w:bCs/>
          <w:color w:val="auto"/>
          <w:kern w:val="0"/>
          <w:sz w:val="24"/>
        </w:rPr>
      </w:pPr>
      <w:r>
        <w:rPr>
          <w:rFonts w:hint="eastAsia" w:asciiTheme="minorEastAsia" w:hAnsiTheme="minorEastAsia" w:cstheme="minorEastAsia"/>
          <w:b/>
          <w:bCs/>
          <w:color w:val="auto"/>
          <w:kern w:val="0"/>
          <w:sz w:val="24"/>
        </w:rPr>
        <w:t>一、基础问题</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1</w:t>
      </w:r>
      <w:r>
        <w:rPr>
          <w:rFonts w:hint="eastAsia" w:ascii="仿宋_GB2312" w:hAnsi="仿宋_GB2312" w:eastAsia="仿宋_GB2312" w:cs="仿宋_GB2312"/>
          <w:color w:val="auto"/>
          <w:kern w:val="0"/>
          <w:sz w:val="24"/>
        </w:rPr>
        <w:t>.</w:t>
      </w:r>
      <w:r>
        <w:rPr>
          <w:rFonts w:hint="eastAsia" w:ascii="仿宋_GB2312" w:hAnsi="仿宋_GB2312" w:eastAsia="仿宋_GB2312" w:cs="仿宋_GB2312"/>
          <w:color w:val="auto"/>
          <w:kern w:val="0"/>
          <w:sz w:val="24"/>
          <w:lang w:eastAsia="zh-CN"/>
        </w:rPr>
        <w:t>您的年龄</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rPr>
      </w:pPr>
      <w:r>
        <w:rPr>
          <w:rFonts w:hint="default" w:ascii="仿宋_GB2312" w:hAnsi="仿宋_GB2312" w:eastAsia="仿宋_GB2312" w:cs="仿宋_GB2312"/>
          <w:color w:val="auto"/>
          <w:kern w:val="0"/>
          <w:sz w:val="24"/>
        </w:rPr>
        <w:t>A．18</w:t>
      </w:r>
      <w:r>
        <w:rPr>
          <w:rFonts w:hint="eastAsia" w:ascii="仿宋_GB2312" w:hAnsi="仿宋_GB2312" w:eastAsia="仿宋_GB2312" w:cs="仿宋_GB2312"/>
          <w:color w:val="auto"/>
          <w:kern w:val="0"/>
          <w:sz w:val="24"/>
          <w:lang w:val="en-US" w:eastAsia="zh-CN"/>
        </w:rPr>
        <w:t>-</w:t>
      </w:r>
      <w:r>
        <w:rPr>
          <w:rFonts w:hint="default" w:ascii="仿宋_GB2312" w:hAnsi="仿宋_GB2312" w:eastAsia="仿宋_GB2312" w:cs="仿宋_GB2312"/>
          <w:color w:val="auto"/>
          <w:kern w:val="0"/>
          <w:sz w:val="24"/>
        </w:rPr>
        <w:t>29</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B．30</w:t>
      </w:r>
      <w:r>
        <w:rPr>
          <w:rFonts w:hint="eastAsia" w:ascii="仿宋_GB2312" w:hAnsi="仿宋_GB2312" w:eastAsia="仿宋_GB2312" w:cs="仿宋_GB2312"/>
          <w:color w:val="auto"/>
          <w:kern w:val="0"/>
          <w:sz w:val="24"/>
          <w:lang w:val="en-US" w:eastAsia="zh-CN"/>
        </w:rPr>
        <w:t>-</w:t>
      </w:r>
      <w:r>
        <w:rPr>
          <w:rFonts w:hint="default" w:ascii="仿宋_GB2312" w:hAnsi="仿宋_GB2312" w:eastAsia="仿宋_GB2312" w:cs="仿宋_GB2312"/>
          <w:color w:val="auto"/>
          <w:kern w:val="0"/>
          <w:sz w:val="24"/>
        </w:rPr>
        <w:t>39</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C．40</w:t>
      </w:r>
      <w:r>
        <w:rPr>
          <w:rFonts w:hint="eastAsia" w:ascii="仿宋_GB2312" w:hAnsi="仿宋_GB2312" w:eastAsia="仿宋_GB2312" w:cs="仿宋_GB2312"/>
          <w:color w:val="auto"/>
          <w:kern w:val="0"/>
          <w:sz w:val="24"/>
          <w:lang w:val="en-US" w:eastAsia="zh-CN"/>
        </w:rPr>
        <w:t>-</w:t>
      </w:r>
      <w:r>
        <w:rPr>
          <w:rFonts w:hint="default" w:ascii="仿宋_GB2312" w:hAnsi="仿宋_GB2312" w:eastAsia="仿宋_GB2312" w:cs="仿宋_GB2312"/>
          <w:color w:val="auto"/>
          <w:kern w:val="0"/>
          <w:sz w:val="24"/>
        </w:rPr>
        <w:t>49</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D．50</w:t>
      </w:r>
      <w:r>
        <w:rPr>
          <w:rFonts w:hint="eastAsia" w:ascii="仿宋_GB2312" w:hAnsi="仿宋_GB2312" w:eastAsia="仿宋_GB2312" w:cs="仿宋_GB2312"/>
          <w:color w:val="auto"/>
          <w:kern w:val="0"/>
          <w:sz w:val="24"/>
          <w:lang w:val="en-US" w:eastAsia="zh-CN"/>
        </w:rPr>
        <w:t>-</w:t>
      </w:r>
      <w:r>
        <w:rPr>
          <w:rFonts w:hint="default" w:ascii="仿宋_GB2312" w:hAnsi="仿宋_GB2312" w:eastAsia="仿宋_GB2312" w:cs="仿宋_GB2312"/>
          <w:color w:val="auto"/>
          <w:kern w:val="0"/>
          <w:sz w:val="24"/>
        </w:rPr>
        <w:t>65</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F．18以下，65以上</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2.</w:t>
      </w:r>
      <w:r>
        <w:rPr>
          <w:rFonts w:hint="eastAsia" w:ascii="仿宋_GB2312" w:hAnsi="仿宋_GB2312" w:eastAsia="仿宋_GB2312" w:cs="仿宋_GB2312"/>
          <w:color w:val="auto"/>
          <w:kern w:val="0"/>
          <w:sz w:val="24"/>
        </w:rPr>
        <w:t>您的文化程度</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rPr>
        <w:t>A．小学及以下</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B．初中</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C．高中（中专）</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D．大专</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E．本科及以上</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3.您的职业</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A．机关、事业单位工作人员</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B．企业从业人员</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C．科教文体卫专业人员</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lang w:val="en-US" w:eastAsia="zh-CN"/>
        </w:rPr>
      </w:pPr>
      <w:r>
        <w:rPr>
          <w:rFonts w:hint="default" w:ascii="仿宋_GB2312" w:hAnsi="仿宋_GB2312" w:eastAsia="仿宋_GB2312" w:cs="仿宋_GB2312"/>
          <w:color w:val="auto"/>
          <w:kern w:val="0"/>
          <w:sz w:val="24"/>
        </w:rPr>
        <w:t>D．自由职业者</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E．个体商贩</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F．离退休人员</w:t>
      </w:r>
      <w:r>
        <w:rPr>
          <w:rFonts w:hint="eastAsia" w:ascii="仿宋_GB2312" w:hAnsi="仿宋_GB2312" w:eastAsia="仿宋_GB2312" w:cs="仿宋_GB2312"/>
          <w:color w:val="auto"/>
          <w:kern w:val="0"/>
          <w:sz w:val="24"/>
          <w:lang w:val="en-US" w:eastAsia="zh-CN"/>
        </w:rPr>
        <w:t xml:space="preserve">  </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lang w:val="en-US" w:eastAsia="zh-CN"/>
        </w:rPr>
      </w:pPr>
      <w:r>
        <w:rPr>
          <w:rFonts w:hint="default" w:ascii="仿宋_GB2312" w:hAnsi="仿宋_GB2312" w:eastAsia="仿宋_GB2312" w:cs="仿宋_GB2312"/>
          <w:color w:val="auto"/>
          <w:kern w:val="0"/>
          <w:sz w:val="24"/>
        </w:rPr>
        <w:t>G．农民</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H．学生</w:t>
      </w:r>
      <w:r>
        <w:rPr>
          <w:rFonts w:hint="eastAsia" w:ascii="仿宋_GB2312" w:hAnsi="仿宋_GB2312" w:eastAsia="仿宋_GB2312" w:cs="仿宋_GB2312"/>
          <w:color w:val="auto"/>
          <w:kern w:val="0"/>
          <w:sz w:val="24"/>
          <w:lang w:val="en-US" w:eastAsia="zh-CN"/>
        </w:rPr>
        <w:t xml:space="preserve">          </w:t>
      </w:r>
      <w:r>
        <w:rPr>
          <w:rFonts w:hint="default" w:ascii="仿宋_GB2312" w:hAnsi="仿宋_GB2312" w:eastAsia="仿宋_GB2312" w:cs="仿宋_GB2312"/>
          <w:color w:val="auto"/>
          <w:kern w:val="0"/>
          <w:sz w:val="24"/>
        </w:rPr>
        <w:t>I．失业，无业人员</w:t>
      </w:r>
      <w:r>
        <w:rPr>
          <w:rFonts w:hint="eastAsia" w:ascii="仿宋_GB2312" w:hAnsi="仿宋_GB2312" w:eastAsia="仿宋_GB2312" w:cs="仿宋_GB2312"/>
          <w:color w:val="auto"/>
          <w:kern w:val="0"/>
          <w:sz w:val="24"/>
          <w:lang w:val="en-US" w:eastAsia="zh-CN"/>
        </w:rPr>
        <w:t xml:space="preserve">   </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u w:val="single"/>
          <w:lang w:val="en-US" w:eastAsia="zh-CN"/>
        </w:rPr>
      </w:pPr>
      <w:r>
        <w:rPr>
          <w:rFonts w:hint="default" w:ascii="仿宋_GB2312" w:hAnsi="仿宋_GB2312" w:eastAsia="仿宋_GB2312" w:cs="仿宋_GB2312"/>
          <w:color w:val="auto"/>
          <w:kern w:val="0"/>
          <w:sz w:val="24"/>
        </w:rPr>
        <w:t>J．其它</w:t>
      </w:r>
      <w:r>
        <w:rPr>
          <w:rFonts w:hint="eastAsia" w:ascii="仿宋_GB2312" w:hAnsi="仿宋_GB2312" w:eastAsia="仿宋_GB2312" w:cs="仿宋_GB2312"/>
          <w:color w:val="auto"/>
          <w:kern w:val="0"/>
          <w:sz w:val="24"/>
          <w:u w:val="single"/>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360" w:lineRule="auto"/>
        <w:textAlignment w:val="center"/>
        <w:rPr>
          <w:rFonts w:hint="eastAsia" w:asciiTheme="minorEastAsia" w:hAnsiTheme="minorEastAsia" w:eastAsiaTheme="minorEastAsia" w:cstheme="minorEastAsia"/>
          <w:b w:val="0"/>
          <w:bCs w:val="0"/>
          <w:color w:val="auto"/>
          <w:kern w:val="0"/>
          <w:sz w:val="24"/>
          <w:highlight w:val="none"/>
          <w:lang w:val="en-US" w:eastAsia="zh-CN"/>
        </w:rPr>
      </w:pPr>
      <w:r>
        <w:rPr>
          <w:rFonts w:hint="eastAsia" w:asciiTheme="minorEastAsia" w:hAnsiTheme="minorEastAsia" w:cstheme="minorEastAsia"/>
          <w:b/>
          <w:bCs/>
          <w:color w:val="auto"/>
          <w:kern w:val="0"/>
          <w:sz w:val="24"/>
          <w:highlight w:val="none"/>
          <w:lang w:eastAsia="zh-CN"/>
        </w:rPr>
        <w:t>二、基本问题</w:t>
      </w:r>
      <w:r>
        <w:rPr>
          <w:rFonts w:hint="eastAsia" w:ascii="仿宋_GB2312" w:hAnsi="仿宋_GB2312" w:eastAsia="仿宋_GB2312" w:cs="仿宋_GB2312"/>
          <w:color w:val="auto"/>
          <w:kern w:val="0"/>
          <w:sz w:val="24"/>
          <w:lang w:eastAsia="zh-CN"/>
        </w:rPr>
        <w:t>（每小题以</w:t>
      </w:r>
      <w:r>
        <w:rPr>
          <w:rFonts w:hint="eastAsia" w:ascii="仿宋_GB2312" w:hAnsi="仿宋_GB2312" w:eastAsia="仿宋_GB2312" w:cs="仿宋_GB2312"/>
          <w:color w:val="auto"/>
          <w:kern w:val="0"/>
          <w:sz w:val="24"/>
          <w:lang w:val="en-US" w:eastAsia="zh-CN"/>
        </w:rPr>
        <w:t>5分为满分</w:t>
      </w:r>
      <w:r>
        <w:rPr>
          <w:rFonts w:hint="eastAsia" w:ascii="仿宋_GB2312" w:hAnsi="仿宋_GB2312" w:eastAsia="仿宋_GB2312" w:cs="仿宋_GB2312"/>
          <w:color w:val="auto"/>
          <w:kern w:val="0"/>
          <w:sz w:val="24"/>
          <w:lang w:eastAsia="zh-CN"/>
        </w:rPr>
        <w:t>）</w:t>
      </w:r>
    </w:p>
    <w:p>
      <w:pPr>
        <w:keepNext w:val="0"/>
        <w:keepLines w:val="0"/>
        <w:pageBreakBefore w:val="0"/>
        <w:numPr>
          <w:ilvl w:val="0"/>
          <w:numId w:val="3"/>
        </w:numPr>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您对孩子就读学校（任职学校）的教育教学质量是否满意？</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2.据您了解，您孩子所在学校是否有同学中途辍学的情况发生？</w:t>
      </w:r>
    </w:p>
    <w:p>
      <w:pPr>
        <w:keepNext w:val="0"/>
        <w:keepLines w:val="0"/>
        <w:pageBreakBefore w:val="0"/>
        <w:kinsoku/>
        <w:wordWrap/>
        <w:overflowPunct/>
        <w:topLinePunct w:val="0"/>
        <w:autoSpaceDE/>
        <w:autoSpaceDN/>
        <w:bidi w:val="0"/>
        <w:adjustRightInd w:val="0"/>
        <w:snapToGrid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A.</w:t>
      </w:r>
      <w:r>
        <w:rPr>
          <w:rFonts w:hint="eastAsia" w:ascii="仿宋_GB2312" w:hAnsi="仿宋_GB2312" w:eastAsia="仿宋_GB2312" w:cs="仿宋_GB2312"/>
          <w:color w:val="auto"/>
          <w:kern w:val="0"/>
          <w:sz w:val="24"/>
          <w:highlight w:val="none"/>
          <w:lang w:eastAsia="zh-CN"/>
        </w:rPr>
        <w:t>有</w:t>
      </w:r>
      <w:r>
        <w:rPr>
          <w:rFonts w:hint="eastAsia" w:ascii="仿宋_GB2312" w:hAnsi="仿宋_GB2312" w:eastAsia="仿宋_GB2312" w:cs="仿宋_GB2312"/>
          <w:color w:val="auto"/>
          <w:kern w:val="0"/>
          <w:sz w:val="24"/>
          <w:highlight w:val="none"/>
        </w:rPr>
        <w:t xml:space="preserve">  </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rPr>
        <w:t>B.</w:t>
      </w:r>
      <w:r>
        <w:rPr>
          <w:rFonts w:hint="eastAsia" w:ascii="仿宋_GB2312" w:hAnsi="仿宋_GB2312" w:eastAsia="仿宋_GB2312" w:cs="仿宋_GB2312"/>
          <w:color w:val="auto"/>
          <w:kern w:val="0"/>
          <w:sz w:val="24"/>
          <w:highlight w:val="none"/>
          <w:lang w:eastAsia="zh-CN"/>
        </w:rPr>
        <w:t>没有</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3.</w:t>
      </w:r>
      <w:r>
        <w:rPr>
          <w:rFonts w:hint="eastAsia" w:ascii="仿宋_GB2312" w:hAnsi="仿宋_GB2312" w:eastAsia="仿宋_GB2312" w:cs="仿宋_GB2312"/>
          <w:color w:val="auto"/>
          <w:kern w:val="0"/>
          <w:sz w:val="24"/>
          <w:highlight w:val="none"/>
          <w:lang w:eastAsia="zh-CN"/>
        </w:rPr>
        <w:t>您对孩子学校（任职学校）周边以及上学道路安全工作的满意程度</w:t>
      </w:r>
      <w:r>
        <w:rPr>
          <w:rFonts w:hint="eastAsia" w:ascii="仿宋_GB2312" w:hAnsi="仿宋_GB2312" w:eastAsia="仿宋_GB2312" w:cs="仿宋_GB2312"/>
          <w:color w:val="auto"/>
          <w:kern w:val="0"/>
          <w:sz w:val="24"/>
          <w:highlight w:val="none"/>
        </w:rPr>
        <w:t>。</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4</w:t>
      </w: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eastAsia="zh-CN"/>
        </w:rPr>
        <w:t>根据您的了解，您对青岛市城乡中小学布局的满意程度</w:t>
      </w:r>
      <w:r>
        <w:rPr>
          <w:rFonts w:hint="eastAsia" w:ascii="仿宋_GB2312" w:hAnsi="仿宋_GB2312" w:eastAsia="仿宋_GB2312" w:cs="仿宋_GB2312"/>
          <w:color w:val="auto"/>
          <w:kern w:val="0"/>
          <w:sz w:val="24"/>
          <w:highlight w:val="none"/>
        </w:rPr>
        <w:t>。</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5</w:t>
      </w:r>
      <w:r>
        <w:rPr>
          <w:rFonts w:hint="eastAsia" w:ascii="仿宋_GB2312" w:hAnsi="仿宋_GB2312" w:eastAsia="仿宋_GB2312" w:cs="仿宋_GB2312"/>
          <w:color w:val="auto"/>
          <w:kern w:val="0"/>
          <w:sz w:val="24"/>
          <w:highlight w:val="none"/>
          <w:lang w:eastAsia="zh-CN"/>
        </w:rPr>
        <w:t>.根据您的了解，您认为本市公办幼儿园学位资源状况如何？</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  A.非常充足  B.比较充足  C.一般  D. 比较缺乏 E.非常缺乏</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w:t>
      </w:r>
      <w:r>
        <w:rPr>
          <w:rFonts w:hint="eastAsia" w:ascii="仿宋_GB2312" w:hAnsi="仿宋_GB2312" w:eastAsia="仿宋_GB2312" w:cs="仿宋_GB2312"/>
          <w:color w:val="auto"/>
          <w:kern w:val="0"/>
          <w:sz w:val="24"/>
          <w:highlight w:val="none"/>
          <w:lang w:eastAsia="zh-CN"/>
        </w:rPr>
        <w:t>您对您孩子所在学校（任职学校）的教学环境和教学设施配备方面的满意程度。</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w:t>
      </w:r>
      <w:r>
        <w:rPr>
          <w:rFonts w:hint="eastAsia" w:ascii="仿宋_GB2312" w:hAnsi="仿宋_GB2312" w:eastAsia="仿宋_GB2312" w:cs="仿宋_GB2312"/>
          <w:color w:val="auto"/>
          <w:kern w:val="0"/>
          <w:sz w:val="24"/>
          <w:highlight w:val="none"/>
          <w:lang w:eastAsia="zh-CN"/>
        </w:rPr>
        <w:t>您对学校老师专业能力、业务素质的满意程度。</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8.</w:t>
      </w:r>
      <w:r>
        <w:rPr>
          <w:rFonts w:hint="eastAsia" w:ascii="仿宋_GB2312" w:hAnsi="仿宋_GB2312" w:eastAsia="仿宋_GB2312" w:cs="仿宋_GB2312"/>
          <w:color w:val="auto"/>
          <w:kern w:val="0"/>
          <w:sz w:val="24"/>
          <w:highlight w:val="none"/>
        </w:rPr>
        <w:t>您</w:t>
      </w:r>
      <w:r>
        <w:rPr>
          <w:rFonts w:hint="eastAsia" w:ascii="仿宋_GB2312" w:hAnsi="仿宋_GB2312" w:eastAsia="仿宋_GB2312" w:cs="仿宋_GB2312"/>
          <w:color w:val="auto"/>
          <w:kern w:val="0"/>
          <w:sz w:val="24"/>
          <w:highlight w:val="none"/>
          <w:lang w:eastAsia="zh-CN"/>
        </w:rPr>
        <w:t>对青岛市教学资源引进、图书资料配备等方面的满意程度</w:t>
      </w:r>
      <w:r>
        <w:rPr>
          <w:rFonts w:hint="eastAsia" w:ascii="仿宋_GB2312" w:hAnsi="仿宋_GB2312" w:eastAsia="仿宋_GB2312" w:cs="仿宋_GB2312"/>
          <w:color w:val="auto"/>
          <w:kern w:val="0"/>
          <w:sz w:val="24"/>
          <w:highlight w:val="none"/>
        </w:rPr>
        <w:t>。</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9.</w:t>
      </w:r>
      <w:r>
        <w:rPr>
          <w:rFonts w:hint="eastAsia" w:ascii="仿宋_GB2312" w:hAnsi="仿宋_GB2312" w:eastAsia="仿宋_GB2312" w:cs="仿宋_GB2312"/>
          <w:color w:val="auto"/>
          <w:kern w:val="0"/>
          <w:sz w:val="24"/>
          <w:highlight w:val="none"/>
          <w:lang w:eastAsia="zh-CN"/>
        </w:rPr>
        <w:t>您</w:t>
      </w:r>
      <w:r>
        <w:rPr>
          <w:rFonts w:hint="eastAsia" w:ascii="仿宋_GB2312" w:hAnsi="仿宋_GB2312" w:eastAsia="仿宋_GB2312" w:cs="仿宋_GB2312"/>
          <w:color w:val="auto"/>
          <w:kern w:val="0"/>
          <w:sz w:val="24"/>
          <w:highlight w:val="none"/>
        </w:rPr>
        <w:t>对</w:t>
      </w:r>
      <w:r>
        <w:rPr>
          <w:rFonts w:hint="eastAsia" w:ascii="仿宋_GB2312" w:hAnsi="仿宋_GB2312" w:eastAsia="仿宋_GB2312" w:cs="仿宋_GB2312"/>
          <w:color w:val="auto"/>
          <w:kern w:val="0"/>
          <w:sz w:val="24"/>
          <w:highlight w:val="none"/>
          <w:lang w:eastAsia="zh-CN"/>
        </w:rPr>
        <w:t>学校安全教育和安全措施</w:t>
      </w:r>
      <w:r>
        <w:rPr>
          <w:rFonts w:hint="eastAsia" w:ascii="仿宋_GB2312" w:hAnsi="仿宋_GB2312" w:eastAsia="仿宋_GB2312" w:cs="仿宋_GB2312"/>
          <w:color w:val="auto"/>
          <w:kern w:val="0"/>
          <w:sz w:val="24"/>
          <w:highlight w:val="none"/>
        </w:rPr>
        <w:t>的满意程度。 </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10</w:t>
      </w:r>
      <w:r>
        <w:rPr>
          <w:rFonts w:hint="eastAsia" w:ascii="仿宋_GB2312" w:hAnsi="仿宋_GB2312" w:eastAsia="仿宋_GB2312" w:cs="仿宋_GB2312"/>
          <w:color w:val="auto"/>
          <w:kern w:val="0"/>
          <w:sz w:val="24"/>
          <w:highlight w:val="none"/>
        </w:rPr>
        <w:t>.您</w:t>
      </w:r>
      <w:r>
        <w:rPr>
          <w:rFonts w:hint="eastAsia" w:ascii="仿宋_GB2312" w:hAnsi="仿宋_GB2312" w:eastAsia="仿宋_GB2312" w:cs="仿宋_GB2312"/>
          <w:color w:val="auto"/>
          <w:kern w:val="0"/>
          <w:sz w:val="24"/>
          <w:highlight w:val="none"/>
          <w:lang w:eastAsia="zh-CN"/>
        </w:rPr>
        <w:t>认为</w:t>
      </w:r>
      <w:r>
        <w:rPr>
          <w:rFonts w:hint="eastAsia" w:ascii="仿宋_GB2312" w:hAnsi="仿宋_GB2312" w:eastAsia="仿宋_GB2312" w:cs="仿宋_GB2312"/>
          <w:color w:val="auto"/>
          <w:kern w:val="0"/>
          <w:sz w:val="24"/>
          <w:highlight w:val="none"/>
        </w:rPr>
        <w:t>本</w:t>
      </w:r>
      <w:r>
        <w:rPr>
          <w:rFonts w:hint="eastAsia" w:ascii="仿宋_GB2312" w:hAnsi="仿宋_GB2312" w:eastAsia="仿宋_GB2312" w:cs="仿宋_GB2312"/>
          <w:color w:val="auto"/>
          <w:kern w:val="0"/>
          <w:sz w:val="24"/>
          <w:highlight w:val="none"/>
          <w:lang w:eastAsia="zh-CN"/>
        </w:rPr>
        <w:t>市</w:t>
      </w:r>
      <w:r>
        <w:rPr>
          <w:rFonts w:hint="eastAsia" w:ascii="仿宋_GB2312" w:hAnsi="仿宋_GB2312" w:eastAsia="仿宋_GB2312" w:cs="仿宋_GB2312"/>
          <w:color w:val="auto"/>
          <w:kern w:val="0"/>
          <w:sz w:val="24"/>
          <w:highlight w:val="none"/>
        </w:rPr>
        <w:t>学校德智体美劳全面发展育人机制</w:t>
      </w:r>
      <w:r>
        <w:rPr>
          <w:rFonts w:hint="eastAsia" w:ascii="仿宋_GB2312" w:hAnsi="仿宋_GB2312" w:eastAsia="仿宋_GB2312" w:cs="仿宋_GB2312"/>
          <w:color w:val="auto"/>
          <w:kern w:val="0"/>
          <w:sz w:val="24"/>
          <w:highlight w:val="none"/>
          <w:lang w:eastAsia="zh-CN"/>
        </w:rPr>
        <w:t>的健全性如何？</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 A.非常健全</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eastAsia="zh-CN"/>
        </w:rPr>
        <w:t>比较健全</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w:t>
      </w:r>
      <w:r>
        <w:rPr>
          <w:rFonts w:hint="default" w:ascii="仿宋_GB2312" w:hAnsi="仿宋_GB2312" w:eastAsia="仿宋_GB2312" w:cs="仿宋_GB2312"/>
          <w:color w:val="auto"/>
          <w:kern w:val="0"/>
          <w:sz w:val="24"/>
          <w:highlight w:val="none"/>
          <w:lang w:eastAsia="zh-CN"/>
        </w:rPr>
        <w:t>不健全</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eastAsia="zh-CN"/>
        </w:rPr>
        <w:t>非常不健全</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11.您认为在疫情期间学校“停课不停教、停课不停学”保障如何？</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有效保障</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比较有效</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w:t>
      </w:r>
      <w:r>
        <w:rPr>
          <w:rFonts w:hint="default" w:ascii="仿宋_GB2312" w:hAnsi="仿宋_GB2312" w:eastAsia="仿宋_GB2312" w:cs="仿宋_GB2312"/>
          <w:color w:val="auto"/>
          <w:kern w:val="0"/>
          <w:sz w:val="24"/>
          <w:highlight w:val="none"/>
          <w:lang w:val="en-US" w:eastAsia="zh-CN"/>
        </w:rPr>
        <w:t>基本没有</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完全没有</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12.您认为市中小学幼儿园发展之间的差距如何？</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没差距</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持续缩小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w:t>
      </w:r>
      <w:r>
        <w:rPr>
          <w:rFonts w:hint="default" w:ascii="仿宋_GB2312" w:hAnsi="仿宋_GB2312" w:eastAsia="仿宋_GB2312" w:cs="仿宋_GB2312"/>
          <w:color w:val="auto"/>
          <w:kern w:val="0"/>
          <w:sz w:val="24"/>
          <w:highlight w:val="none"/>
          <w:lang w:val="en-US" w:eastAsia="zh-CN"/>
        </w:rPr>
        <w:t>差距很小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持续扩大</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13.您对本市专业院校引进及发展状况的满意程度。</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14.您对本市特色教育发展状况的满意程度。</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15.您对教育部门教育管理工作的满意程度。</w:t>
      </w:r>
    </w:p>
    <w:p>
      <w:pPr>
        <w:keepNext w:val="0"/>
        <w:keepLines w:val="0"/>
        <w:pageBreakBefore w:val="0"/>
        <w:kinsoku/>
        <w:wordWrap/>
        <w:overflowPunct/>
        <w:topLinePunct w:val="0"/>
        <w:autoSpaceDE/>
        <w:autoSpaceDN/>
        <w:bidi w:val="0"/>
        <w:adjustRightInd w:val="0"/>
        <w:snapToGrid w:val="0"/>
        <w:spacing w:line="360" w:lineRule="auto"/>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rPr>
        <w:t>  A.</w:t>
      </w:r>
      <w:r>
        <w:rPr>
          <w:rFonts w:hint="default" w:ascii="仿宋_GB2312" w:hAnsi="仿宋_GB2312" w:eastAsia="仿宋_GB2312" w:cs="仿宋_GB2312"/>
          <w:color w:val="auto"/>
          <w:kern w:val="0"/>
          <w:sz w:val="24"/>
          <w:highlight w:val="none"/>
          <w:lang w:val="en-US" w:eastAsia="zh-CN"/>
        </w:rPr>
        <w:t>非常满意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B.</w:t>
      </w:r>
      <w:r>
        <w:rPr>
          <w:rFonts w:hint="default" w:ascii="仿宋_GB2312" w:hAnsi="仿宋_GB2312" w:eastAsia="仿宋_GB2312" w:cs="仿宋_GB2312"/>
          <w:color w:val="auto"/>
          <w:kern w:val="0"/>
          <w:sz w:val="24"/>
          <w:highlight w:val="none"/>
          <w:lang w:val="en-US" w:eastAsia="zh-CN"/>
        </w:rPr>
        <w:t>比较满意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C.</w:t>
      </w:r>
      <w:r>
        <w:rPr>
          <w:rFonts w:hint="default" w:ascii="仿宋_GB2312" w:hAnsi="仿宋_GB2312" w:eastAsia="仿宋_GB2312" w:cs="仿宋_GB2312"/>
          <w:color w:val="auto"/>
          <w:kern w:val="0"/>
          <w:sz w:val="24"/>
          <w:highlight w:val="none"/>
          <w:lang w:val="en-US" w:eastAsia="zh-CN"/>
        </w:rPr>
        <w:t>一般</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D. </w:t>
      </w:r>
      <w:r>
        <w:rPr>
          <w:rFonts w:hint="default" w:ascii="仿宋_GB2312" w:hAnsi="仿宋_GB2312" w:eastAsia="仿宋_GB2312" w:cs="仿宋_GB2312"/>
          <w:color w:val="auto"/>
          <w:kern w:val="0"/>
          <w:sz w:val="24"/>
          <w:highlight w:val="none"/>
          <w:lang w:val="en-US" w:eastAsia="zh-CN"/>
        </w:rPr>
        <w:t>不太满意</w:t>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color w:val="auto"/>
          <w:kern w:val="0"/>
          <w:sz w:val="24"/>
          <w:highlight w:val="none"/>
          <w:lang w:eastAsia="zh-CN"/>
        </w:rPr>
        <w:t>E.</w:t>
      </w:r>
      <w:r>
        <w:rPr>
          <w:rFonts w:hint="default" w:ascii="仿宋_GB2312" w:hAnsi="仿宋_GB2312" w:eastAsia="仿宋_GB2312" w:cs="仿宋_GB2312"/>
          <w:color w:val="auto"/>
          <w:kern w:val="0"/>
          <w:sz w:val="24"/>
          <w:highlight w:val="none"/>
          <w:lang w:val="en-US" w:eastAsia="zh-CN"/>
        </w:rPr>
        <w:t>非常不满意</w:t>
      </w:r>
    </w:p>
    <w:p>
      <w:pPr>
        <w:keepNext w:val="0"/>
        <w:keepLines w:val="0"/>
        <w:pageBreakBefore w:val="0"/>
        <w:kinsoku/>
        <w:wordWrap/>
        <w:overflowPunct/>
        <w:topLinePunct w:val="0"/>
        <w:autoSpaceDE/>
        <w:autoSpaceDN/>
        <w:bidi w:val="0"/>
        <w:adjustRightInd w:val="0"/>
        <w:snapToGrid w:val="0"/>
        <w:spacing w:line="360" w:lineRule="auto"/>
        <w:rPr>
          <w:rFonts w:hint="eastAsia" w:ascii="仿宋_GB2312" w:hAnsi="仿宋_GB2312" w:eastAsia="仿宋_GB2312" w:cs="仿宋_GB2312"/>
          <w:color w:val="auto"/>
          <w:kern w:val="0"/>
          <w:sz w:val="24"/>
          <w:highlight w:val="none"/>
        </w:rPr>
      </w:pPr>
      <w:r>
        <w:rPr>
          <w:rFonts w:hint="eastAsia" w:asciiTheme="minorEastAsia" w:hAnsiTheme="minorEastAsia" w:cstheme="minorEastAsia"/>
          <w:b/>
          <w:bCs/>
          <w:color w:val="auto"/>
          <w:kern w:val="0"/>
          <w:sz w:val="24"/>
          <w:highlight w:val="none"/>
          <w:lang w:eastAsia="zh-CN"/>
        </w:rPr>
        <w:t>三、开放性问题</w:t>
      </w:r>
    </w:p>
    <w:p>
      <w:pPr>
        <w:keepNext w:val="0"/>
        <w:keepLines w:val="0"/>
        <w:pageBreakBefore w:val="0"/>
        <w:kinsoku/>
        <w:wordWrap/>
        <w:overflowPunct/>
        <w:topLinePunct w:val="0"/>
        <w:autoSpaceDE/>
        <w:autoSpaceDN/>
        <w:bidi w:val="0"/>
        <w:adjustRightInd w:val="0"/>
        <w:snapToGrid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您认为本市的教育工作还存在什么问题？以及您的建议</w:t>
      </w:r>
    </w:p>
    <w:p>
      <w:pPr>
        <w:keepNext w:val="0"/>
        <w:keepLines w:val="0"/>
        <w:pageBreakBefore w:val="0"/>
        <w:kinsoku/>
        <w:wordWrap/>
        <w:overflowPunct/>
        <w:topLinePunct w:val="0"/>
        <w:autoSpaceDE/>
        <w:autoSpaceDN/>
        <w:bidi w:val="0"/>
        <w:adjustRightInd w:val="0"/>
        <w:snapToGrid w:val="0"/>
        <w:spacing w:line="360" w:lineRule="auto"/>
        <w:rPr>
          <w:rFonts w:ascii="仿宋_GB2312" w:hAnsi="仿宋_GB2312" w:eastAsia="仿宋_GB2312" w:cs="仿宋_GB2312"/>
          <w:color w:val="auto"/>
          <w:sz w:val="28"/>
          <w:szCs w:val="28"/>
          <w:u w:val="single"/>
          <w:shd w:val="clear" w:color="auto" w:fill="FFFFFF"/>
        </w:rPr>
      </w:pPr>
      <w:r>
        <w:rPr>
          <w:rFonts w:hint="eastAsia" w:ascii="仿宋_GB2312" w:hAnsi="仿宋_GB2312" w:eastAsia="仿宋_GB2312" w:cs="仿宋_GB2312"/>
          <w:color w:val="auto"/>
          <w:kern w:val="0"/>
          <w:sz w:val="24"/>
          <w:u w:val="single"/>
        </w:rPr>
        <w:t xml:space="preserve">                                                   </w:t>
      </w:r>
    </w:p>
    <w:p>
      <w:pPr>
        <w:rPr>
          <w:rFonts w:hint="default"/>
          <w:color w:val="auto"/>
          <w:highlight w:val="none"/>
          <w:lang w:val="en-US" w:eastAsia="zh-CN"/>
        </w:rPr>
      </w:pPr>
    </w:p>
    <w:sectPr>
      <w:pgSz w:w="11906" w:h="16838"/>
      <w:pgMar w:top="170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方正小标宋_GBK">
    <w:panose1 w:val="02000000000000000000"/>
    <w:charset w:val="86"/>
    <w:family w:val="script"/>
    <w:pitch w:val="default"/>
    <w:sig w:usb0="00000001" w:usb1="08000000" w:usb2="00000000" w:usb3="00000000" w:csb0="00040000" w:csb1="00000000"/>
  </w:font>
  <w:font w:name="文星简黑体">
    <w:altName w:val="方正黑体_GBK"/>
    <w:panose1 w:val="00000000000000000000"/>
    <w:charset w:val="86"/>
    <w:family w:val="roma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等线">
    <w:altName w:val="仿宋_GB2312"/>
    <w:panose1 w:val="00000000000000000000"/>
    <w:charset w:val="00"/>
    <w:family w:val="auto"/>
    <w:pitch w:val="default"/>
    <w:sig w:usb0="00000000" w:usb1="00000000" w:usb2="00000000" w:usb3="00000000" w:csb0="00000000" w:csb1="00000000"/>
  </w:font>
  <w:font w:name="NanumGothic">
    <w:panose1 w:val="020D0604000000000000"/>
    <w:charset w:val="81"/>
    <w:family w:val="auto"/>
    <w:pitch w:val="default"/>
    <w:sig w:usb0="900002A7" w:usb1="29D7FCFB" w:usb2="00000010" w:usb3="00000000" w:csb0="00080001" w:csb1="00000000"/>
  </w:font>
  <w:font w:name="等线 Light">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tabs>
        <w:tab w:val="center" w:pos="7699"/>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ascii="Times New Roman" w:hAnsi="Times New Roman" w:eastAsiaTheme="minorEastAsia"/>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54</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P8/A0c4AgAAbwQAAA4AAAAAAAAA&#10;AQAgAAAANQEAAGRycy9lMm9Eb2MueG1sUEsFBgAAAAAGAAYAWQEAAN8FAAAAAA==&#10;">
              <v:fill on="f" focussize="0,0"/>
              <v:stroke on="f" weight="0.5pt"/>
              <v:imagedata o:title=""/>
              <o:lock v:ext="edit" aspectratio="f"/>
              <v:textbox inset="0mm,0mm,0mm,0mm" style="mso-fit-shape-to-text:t;">
                <w:txbxContent>
                  <w:p>
                    <w:pPr>
                      <w:pStyle w:val="14"/>
                      <w:rPr>
                        <w:rFonts w:ascii="Times New Roman" w:hAnsi="Times New Roman" w:eastAsiaTheme="minorEastAsia"/>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54</w:t>
                    </w:r>
                    <w:r>
                      <w:rPr>
                        <w:rFonts w:ascii="Times New Roman" w:hAnsi="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tabs>
        <w:tab w:val="center" w:pos="7699"/>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ascii="Times New Roman" w:hAnsi="Times New Roman" w:eastAsiaTheme="minorEastAsia"/>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54</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14"/>
                      <w:rPr>
                        <w:rFonts w:ascii="Times New Roman" w:hAnsi="Times New Roman" w:eastAsiaTheme="minorEastAsia"/>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54</w:t>
                    </w:r>
                    <w:r>
                      <w:rPr>
                        <w:rFonts w:ascii="Times New Roman" w:hAnsi="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ind w:firstLine="360"/>
                            <w:jc w:val="center"/>
                          </w:pPr>
                          <w:r>
                            <w:fldChar w:fldCharType="begin"/>
                          </w:r>
                          <w:r>
                            <w:instrText xml:space="preserve">PAGE   \* MERGEFORMAT</w:instrText>
                          </w:r>
                          <w:r>
                            <w:fldChar w:fldCharType="separate"/>
                          </w:r>
                          <w:r>
                            <w:rPr>
                              <w:lang w:val="zh-CN"/>
                            </w:rPr>
                            <w:t>52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14"/>
                      <w:ind w:firstLine="360"/>
                      <w:jc w:val="center"/>
                    </w:pPr>
                    <w:r>
                      <w:fldChar w:fldCharType="begin"/>
                    </w:r>
                    <w:r>
                      <w:instrText xml:space="preserve">PAGE   \* MERGEFORMAT</w:instrText>
                    </w:r>
                    <w:r>
                      <w:fldChar w:fldCharType="separate"/>
                    </w:r>
                    <w:r>
                      <w:rPr>
                        <w:lang w:val="zh-CN"/>
                      </w:rPr>
                      <w:t>52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F76E67"/>
    <w:multiLevelType w:val="singleLevel"/>
    <w:tmpl w:val="88F76E67"/>
    <w:lvl w:ilvl="0" w:tentative="0">
      <w:start w:val="1"/>
      <w:numFmt w:val="decimal"/>
      <w:lvlText w:val="%1."/>
      <w:lvlJc w:val="left"/>
      <w:pPr>
        <w:tabs>
          <w:tab w:val="left" w:pos="312"/>
        </w:tabs>
      </w:pPr>
    </w:lvl>
  </w:abstractNum>
  <w:abstractNum w:abstractNumId="1">
    <w:nsid w:val="D8F637B3"/>
    <w:multiLevelType w:val="singleLevel"/>
    <w:tmpl w:val="D8F637B3"/>
    <w:lvl w:ilvl="0" w:tentative="0">
      <w:start w:val="1"/>
      <w:numFmt w:val="chineseCounting"/>
      <w:suff w:val="nothing"/>
      <w:lvlText w:val="%1、"/>
      <w:lvlJc w:val="left"/>
      <w:rPr>
        <w:rFonts w:hint="eastAsia"/>
      </w:rPr>
    </w:lvl>
  </w:abstractNum>
  <w:abstractNum w:abstractNumId="2">
    <w:nsid w:val="610671B8"/>
    <w:multiLevelType w:val="multilevel"/>
    <w:tmpl w:val="610671B8"/>
    <w:lvl w:ilvl="0" w:tentative="0">
      <w:start w:val="1"/>
      <w:numFmt w:val="chineseCountingThousand"/>
      <w:pStyle w:val="3"/>
      <w:suff w:val="nothing"/>
      <w:lvlText w:val="%1、"/>
      <w:lvlJc w:val="left"/>
      <w:pPr>
        <w:ind w:left="4253" w:hanging="425"/>
      </w:pPr>
      <w:rPr>
        <w:rFonts w:hint="eastAsia"/>
      </w:rPr>
    </w:lvl>
    <w:lvl w:ilvl="1" w:tentative="0">
      <w:start w:val="1"/>
      <w:numFmt w:val="chineseCountingThousand"/>
      <w:pStyle w:val="4"/>
      <w:suff w:val="nothing"/>
      <w:lvlText w:val="（%2）"/>
      <w:lvlJc w:val="left"/>
      <w:pPr>
        <w:ind w:left="709" w:hanging="567"/>
      </w:pPr>
      <w:rPr>
        <w:rFonts w:hint="eastAsia"/>
      </w:rPr>
    </w:lvl>
    <w:lvl w:ilvl="2" w:tentative="0">
      <w:start w:val="1"/>
      <w:numFmt w:val="decimal"/>
      <w:pStyle w:val="5"/>
      <w:suff w:val="nothing"/>
      <w:lvlText w:val="%3. "/>
      <w:lvlJc w:val="left"/>
      <w:pPr>
        <w:ind w:left="426" w:hanging="567"/>
      </w:pPr>
      <w:rPr>
        <w:rFonts w:hint="eastAsia"/>
      </w:rPr>
    </w:lvl>
    <w:lvl w:ilvl="3" w:tentative="0">
      <w:start w:val="1"/>
      <w:numFmt w:val="decimal"/>
      <w:pStyle w:val="6"/>
      <w:suff w:val="nothing"/>
      <w:lvlText w:val="（%4）"/>
      <w:lvlJc w:val="left"/>
      <w:pPr>
        <w:ind w:left="1134" w:hanging="425"/>
      </w:pPr>
      <w:rPr>
        <w:rFonts w:hint="eastAsia"/>
      </w:rPr>
    </w:lvl>
    <w:lvl w:ilvl="4" w:tentative="0">
      <w:start w:val="1"/>
      <w:numFmt w:val="decimal"/>
      <w:pStyle w:val="8"/>
      <w:suff w:val="nothing"/>
      <w:lvlText w:val="%5）"/>
      <w:lvlJc w:val="left"/>
      <w:pPr>
        <w:ind w:left="709" w:hanging="113"/>
      </w:pPr>
      <w:rPr>
        <w:rFonts w:hint="eastAsia"/>
      </w:rPr>
    </w:lvl>
    <w:lvl w:ilvl="5" w:tentative="0">
      <w:start w:val="1"/>
      <w:numFmt w:val="decimal"/>
      <w:pStyle w:val="56"/>
      <w:suff w:val="nothing"/>
      <w:lvlText w:val="附件%6 "/>
      <w:lvlJc w:val="left"/>
      <w:pPr>
        <w:ind w:left="-283" w:firstLine="0"/>
      </w:pPr>
      <w:rPr>
        <w:rFonts w:hint="eastAsia"/>
      </w:rPr>
    </w:lvl>
    <w:lvl w:ilvl="6" w:tentative="0">
      <w:start w:val="1"/>
      <w:numFmt w:val="chineseCountingThousand"/>
      <w:suff w:val="nothing"/>
      <w:lvlText w:val="%7、"/>
      <w:lvlJc w:val="left"/>
      <w:pPr>
        <w:ind w:left="709" w:hanging="567"/>
      </w:pPr>
      <w:rPr>
        <w:rFonts w:hint="eastAsia"/>
      </w:rPr>
    </w:lvl>
    <w:lvl w:ilvl="7" w:tentative="0">
      <w:start w:val="1"/>
      <w:numFmt w:val="chineseCountingThousand"/>
      <w:suff w:val="nothing"/>
      <w:lvlText w:val="（%8）"/>
      <w:lvlJc w:val="left"/>
      <w:pPr>
        <w:ind w:left="709" w:hanging="567"/>
      </w:pPr>
      <w:rPr>
        <w:rFonts w:hint="eastAsia"/>
      </w:rPr>
    </w:lvl>
    <w:lvl w:ilvl="8" w:tentative="0">
      <w:start w:val="1"/>
      <w:numFmt w:val="decimal"/>
      <w:suff w:val="nothing"/>
      <w:lvlText w:val="%9. "/>
      <w:lvlJc w:val="left"/>
      <w:pPr>
        <w:ind w:left="709" w:hanging="567"/>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24D"/>
    <w:rsid w:val="000103F6"/>
    <w:rsid w:val="00015FD7"/>
    <w:rsid w:val="00017425"/>
    <w:rsid w:val="000177CD"/>
    <w:rsid w:val="000215FD"/>
    <w:rsid w:val="00025E1A"/>
    <w:rsid w:val="00035C58"/>
    <w:rsid w:val="00044534"/>
    <w:rsid w:val="00045368"/>
    <w:rsid w:val="0005304B"/>
    <w:rsid w:val="00053EAD"/>
    <w:rsid w:val="0005634B"/>
    <w:rsid w:val="00065703"/>
    <w:rsid w:val="00066C9A"/>
    <w:rsid w:val="00071965"/>
    <w:rsid w:val="000760DA"/>
    <w:rsid w:val="00083FCC"/>
    <w:rsid w:val="00086675"/>
    <w:rsid w:val="00091146"/>
    <w:rsid w:val="000930F8"/>
    <w:rsid w:val="000962ED"/>
    <w:rsid w:val="000A261F"/>
    <w:rsid w:val="000A612E"/>
    <w:rsid w:val="000C0DDB"/>
    <w:rsid w:val="000C277D"/>
    <w:rsid w:val="000D04E1"/>
    <w:rsid w:val="000E5EFC"/>
    <w:rsid w:val="000E7309"/>
    <w:rsid w:val="000F2B10"/>
    <w:rsid w:val="000F58AF"/>
    <w:rsid w:val="000F73D4"/>
    <w:rsid w:val="000F7747"/>
    <w:rsid w:val="00102E6B"/>
    <w:rsid w:val="00104628"/>
    <w:rsid w:val="00107BD6"/>
    <w:rsid w:val="00110233"/>
    <w:rsid w:val="00110F1D"/>
    <w:rsid w:val="001124FB"/>
    <w:rsid w:val="001130E9"/>
    <w:rsid w:val="00114DEE"/>
    <w:rsid w:val="001171EA"/>
    <w:rsid w:val="00121E22"/>
    <w:rsid w:val="00132A28"/>
    <w:rsid w:val="00147239"/>
    <w:rsid w:val="00147A7E"/>
    <w:rsid w:val="00152D39"/>
    <w:rsid w:val="001555BF"/>
    <w:rsid w:val="00162F82"/>
    <w:rsid w:val="00163A98"/>
    <w:rsid w:val="00172053"/>
    <w:rsid w:val="00173F46"/>
    <w:rsid w:val="001807D4"/>
    <w:rsid w:val="00181230"/>
    <w:rsid w:val="00184ABA"/>
    <w:rsid w:val="00192F0D"/>
    <w:rsid w:val="0019781C"/>
    <w:rsid w:val="00197D2B"/>
    <w:rsid w:val="001A05A0"/>
    <w:rsid w:val="001A7797"/>
    <w:rsid w:val="001B1EA4"/>
    <w:rsid w:val="001B24EE"/>
    <w:rsid w:val="001B486E"/>
    <w:rsid w:val="001C60B0"/>
    <w:rsid w:val="001D2018"/>
    <w:rsid w:val="001E4440"/>
    <w:rsid w:val="00204B59"/>
    <w:rsid w:val="00205309"/>
    <w:rsid w:val="002068C4"/>
    <w:rsid w:val="00216BF3"/>
    <w:rsid w:val="002173D5"/>
    <w:rsid w:val="00221726"/>
    <w:rsid w:val="00222A88"/>
    <w:rsid w:val="0022387E"/>
    <w:rsid w:val="00233597"/>
    <w:rsid w:val="0023442A"/>
    <w:rsid w:val="00237C0D"/>
    <w:rsid w:val="0026269B"/>
    <w:rsid w:val="00270EA4"/>
    <w:rsid w:val="00270F7F"/>
    <w:rsid w:val="00272D30"/>
    <w:rsid w:val="00274941"/>
    <w:rsid w:val="002766D9"/>
    <w:rsid w:val="00277770"/>
    <w:rsid w:val="00281D6F"/>
    <w:rsid w:val="00295624"/>
    <w:rsid w:val="002A429E"/>
    <w:rsid w:val="002A44DB"/>
    <w:rsid w:val="002B01E4"/>
    <w:rsid w:val="002B4447"/>
    <w:rsid w:val="002B54A2"/>
    <w:rsid w:val="002C3232"/>
    <w:rsid w:val="002C46C0"/>
    <w:rsid w:val="002D58DE"/>
    <w:rsid w:val="002E3092"/>
    <w:rsid w:val="002F0BBF"/>
    <w:rsid w:val="00304B83"/>
    <w:rsid w:val="00306A50"/>
    <w:rsid w:val="00306E74"/>
    <w:rsid w:val="0033302E"/>
    <w:rsid w:val="0034355A"/>
    <w:rsid w:val="003453B8"/>
    <w:rsid w:val="00345EF3"/>
    <w:rsid w:val="0035699D"/>
    <w:rsid w:val="00356FCE"/>
    <w:rsid w:val="003727B2"/>
    <w:rsid w:val="00383CBD"/>
    <w:rsid w:val="00390FDC"/>
    <w:rsid w:val="003957CB"/>
    <w:rsid w:val="0039624B"/>
    <w:rsid w:val="00397DBF"/>
    <w:rsid w:val="003A14CB"/>
    <w:rsid w:val="003A6EB1"/>
    <w:rsid w:val="003B427B"/>
    <w:rsid w:val="003D3060"/>
    <w:rsid w:val="003D428A"/>
    <w:rsid w:val="003D61E8"/>
    <w:rsid w:val="003F45CF"/>
    <w:rsid w:val="0041326E"/>
    <w:rsid w:val="00421805"/>
    <w:rsid w:val="00421A3F"/>
    <w:rsid w:val="0043483F"/>
    <w:rsid w:val="004408E8"/>
    <w:rsid w:val="00444700"/>
    <w:rsid w:val="0044724D"/>
    <w:rsid w:val="004531F9"/>
    <w:rsid w:val="004542E0"/>
    <w:rsid w:val="00461869"/>
    <w:rsid w:val="00466115"/>
    <w:rsid w:val="00477F73"/>
    <w:rsid w:val="00481171"/>
    <w:rsid w:val="004876E7"/>
    <w:rsid w:val="00493152"/>
    <w:rsid w:val="00493F68"/>
    <w:rsid w:val="004A3A8E"/>
    <w:rsid w:val="004A5E40"/>
    <w:rsid w:val="004B3569"/>
    <w:rsid w:val="004D40CF"/>
    <w:rsid w:val="004D5BB2"/>
    <w:rsid w:val="004F0717"/>
    <w:rsid w:val="00502945"/>
    <w:rsid w:val="0050520B"/>
    <w:rsid w:val="00514F5C"/>
    <w:rsid w:val="00546D71"/>
    <w:rsid w:val="00550A75"/>
    <w:rsid w:val="005602DA"/>
    <w:rsid w:val="00560DED"/>
    <w:rsid w:val="00584B70"/>
    <w:rsid w:val="005946B1"/>
    <w:rsid w:val="005954FF"/>
    <w:rsid w:val="005B41A4"/>
    <w:rsid w:val="005B429E"/>
    <w:rsid w:val="005B4DBE"/>
    <w:rsid w:val="005B5F1D"/>
    <w:rsid w:val="005C4184"/>
    <w:rsid w:val="005C7243"/>
    <w:rsid w:val="005E16C6"/>
    <w:rsid w:val="005E54C2"/>
    <w:rsid w:val="005E5FE8"/>
    <w:rsid w:val="005F2B0E"/>
    <w:rsid w:val="00604CEA"/>
    <w:rsid w:val="00607F4F"/>
    <w:rsid w:val="00610C44"/>
    <w:rsid w:val="00642A61"/>
    <w:rsid w:val="00653671"/>
    <w:rsid w:val="00656492"/>
    <w:rsid w:val="00670309"/>
    <w:rsid w:val="00671F28"/>
    <w:rsid w:val="00672BF2"/>
    <w:rsid w:val="00676082"/>
    <w:rsid w:val="00681991"/>
    <w:rsid w:val="00684679"/>
    <w:rsid w:val="00690D70"/>
    <w:rsid w:val="00697F95"/>
    <w:rsid w:val="006B25EE"/>
    <w:rsid w:val="006B5747"/>
    <w:rsid w:val="006B6D34"/>
    <w:rsid w:val="006C0552"/>
    <w:rsid w:val="006C56E6"/>
    <w:rsid w:val="006D2AA1"/>
    <w:rsid w:val="006D3289"/>
    <w:rsid w:val="006D38B2"/>
    <w:rsid w:val="006E058D"/>
    <w:rsid w:val="006E3C10"/>
    <w:rsid w:val="006E7F29"/>
    <w:rsid w:val="006F2868"/>
    <w:rsid w:val="0070312D"/>
    <w:rsid w:val="00736B86"/>
    <w:rsid w:val="00741C00"/>
    <w:rsid w:val="00744A5A"/>
    <w:rsid w:val="00744BAE"/>
    <w:rsid w:val="00756CD2"/>
    <w:rsid w:val="00760396"/>
    <w:rsid w:val="00762408"/>
    <w:rsid w:val="00763364"/>
    <w:rsid w:val="007665DB"/>
    <w:rsid w:val="0079506D"/>
    <w:rsid w:val="007B5552"/>
    <w:rsid w:val="007C1028"/>
    <w:rsid w:val="007C5DBA"/>
    <w:rsid w:val="007E6C44"/>
    <w:rsid w:val="007E7712"/>
    <w:rsid w:val="007F6F59"/>
    <w:rsid w:val="00800141"/>
    <w:rsid w:val="00803146"/>
    <w:rsid w:val="008052E9"/>
    <w:rsid w:val="00813462"/>
    <w:rsid w:val="0082340E"/>
    <w:rsid w:val="00825915"/>
    <w:rsid w:val="008362C0"/>
    <w:rsid w:val="00836DC7"/>
    <w:rsid w:val="0084030D"/>
    <w:rsid w:val="00844EAF"/>
    <w:rsid w:val="008461D5"/>
    <w:rsid w:val="008554F8"/>
    <w:rsid w:val="0086271D"/>
    <w:rsid w:val="00864A6F"/>
    <w:rsid w:val="008656D4"/>
    <w:rsid w:val="008719CF"/>
    <w:rsid w:val="00876338"/>
    <w:rsid w:val="00876C42"/>
    <w:rsid w:val="008822AB"/>
    <w:rsid w:val="00887AFB"/>
    <w:rsid w:val="008909AF"/>
    <w:rsid w:val="008A2A9A"/>
    <w:rsid w:val="008A4DAC"/>
    <w:rsid w:val="008A618D"/>
    <w:rsid w:val="008B68F7"/>
    <w:rsid w:val="008F0B0F"/>
    <w:rsid w:val="008F6E48"/>
    <w:rsid w:val="0090373E"/>
    <w:rsid w:val="00910FBE"/>
    <w:rsid w:val="00914E55"/>
    <w:rsid w:val="009204FB"/>
    <w:rsid w:val="0093120B"/>
    <w:rsid w:val="00935273"/>
    <w:rsid w:val="00944FA3"/>
    <w:rsid w:val="009463CC"/>
    <w:rsid w:val="00951537"/>
    <w:rsid w:val="009535A2"/>
    <w:rsid w:val="0096155B"/>
    <w:rsid w:val="009650E2"/>
    <w:rsid w:val="009747AF"/>
    <w:rsid w:val="00996D6E"/>
    <w:rsid w:val="009A3904"/>
    <w:rsid w:val="009A6EC2"/>
    <w:rsid w:val="009B506F"/>
    <w:rsid w:val="009B5C0F"/>
    <w:rsid w:val="009B6902"/>
    <w:rsid w:val="009B6DDE"/>
    <w:rsid w:val="009C7496"/>
    <w:rsid w:val="009E3D55"/>
    <w:rsid w:val="009E5B2A"/>
    <w:rsid w:val="009E7A87"/>
    <w:rsid w:val="009F08D9"/>
    <w:rsid w:val="009F536F"/>
    <w:rsid w:val="00A00F28"/>
    <w:rsid w:val="00A05231"/>
    <w:rsid w:val="00A058BE"/>
    <w:rsid w:val="00A134E9"/>
    <w:rsid w:val="00A251B7"/>
    <w:rsid w:val="00A274CE"/>
    <w:rsid w:val="00A36DCE"/>
    <w:rsid w:val="00A42809"/>
    <w:rsid w:val="00A42ACC"/>
    <w:rsid w:val="00A44B4D"/>
    <w:rsid w:val="00A558DE"/>
    <w:rsid w:val="00A6197A"/>
    <w:rsid w:val="00A72299"/>
    <w:rsid w:val="00A7645B"/>
    <w:rsid w:val="00A76C7F"/>
    <w:rsid w:val="00A81A24"/>
    <w:rsid w:val="00AA1D28"/>
    <w:rsid w:val="00AA2ECD"/>
    <w:rsid w:val="00AA3DE6"/>
    <w:rsid w:val="00AA53AE"/>
    <w:rsid w:val="00AA6DFA"/>
    <w:rsid w:val="00AA7BD8"/>
    <w:rsid w:val="00AB2DA1"/>
    <w:rsid w:val="00AB308A"/>
    <w:rsid w:val="00AC022B"/>
    <w:rsid w:val="00AC41A9"/>
    <w:rsid w:val="00AD214E"/>
    <w:rsid w:val="00AD253A"/>
    <w:rsid w:val="00AD596D"/>
    <w:rsid w:val="00AD6D5C"/>
    <w:rsid w:val="00AE461B"/>
    <w:rsid w:val="00AF6C81"/>
    <w:rsid w:val="00B2173E"/>
    <w:rsid w:val="00B242E6"/>
    <w:rsid w:val="00B274E4"/>
    <w:rsid w:val="00B40888"/>
    <w:rsid w:val="00B4122F"/>
    <w:rsid w:val="00B46BED"/>
    <w:rsid w:val="00B574A4"/>
    <w:rsid w:val="00B66A60"/>
    <w:rsid w:val="00B76B39"/>
    <w:rsid w:val="00B77990"/>
    <w:rsid w:val="00B82711"/>
    <w:rsid w:val="00B87DFC"/>
    <w:rsid w:val="00B9004E"/>
    <w:rsid w:val="00B906E1"/>
    <w:rsid w:val="00B932F3"/>
    <w:rsid w:val="00B934BC"/>
    <w:rsid w:val="00BA0039"/>
    <w:rsid w:val="00BB20D8"/>
    <w:rsid w:val="00BB212B"/>
    <w:rsid w:val="00BB6D6E"/>
    <w:rsid w:val="00BC37D0"/>
    <w:rsid w:val="00BC45D7"/>
    <w:rsid w:val="00BC6E4B"/>
    <w:rsid w:val="00BD7587"/>
    <w:rsid w:val="00BF5B0B"/>
    <w:rsid w:val="00C03D9D"/>
    <w:rsid w:val="00C051ED"/>
    <w:rsid w:val="00C06151"/>
    <w:rsid w:val="00C11F1D"/>
    <w:rsid w:val="00C14179"/>
    <w:rsid w:val="00C149BF"/>
    <w:rsid w:val="00C20481"/>
    <w:rsid w:val="00C233CE"/>
    <w:rsid w:val="00C266B9"/>
    <w:rsid w:val="00C47486"/>
    <w:rsid w:val="00C515BC"/>
    <w:rsid w:val="00C5307E"/>
    <w:rsid w:val="00C54DD6"/>
    <w:rsid w:val="00C6079B"/>
    <w:rsid w:val="00C672D2"/>
    <w:rsid w:val="00C705E2"/>
    <w:rsid w:val="00C71C8D"/>
    <w:rsid w:val="00C7785A"/>
    <w:rsid w:val="00C95D24"/>
    <w:rsid w:val="00CA0E49"/>
    <w:rsid w:val="00CA53E1"/>
    <w:rsid w:val="00CA7294"/>
    <w:rsid w:val="00CB3D5E"/>
    <w:rsid w:val="00CB4DCD"/>
    <w:rsid w:val="00CB636D"/>
    <w:rsid w:val="00CC1849"/>
    <w:rsid w:val="00CC2F11"/>
    <w:rsid w:val="00CC3A35"/>
    <w:rsid w:val="00CD5214"/>
    <w:rsid w:val="00CE7600"/>
    <w:rsid w:val="00D1642C"/>
    <w:rsid w:val="00D2613E"/>
    <w:rsid w:val="00D26C53"/>
    <w:rsid w:val="00D26E14"/>
    <w:rsid w:val="00D3096C"/>
    <w:rsid w:val="00D32DBF"/>
    <w:rsid w:val="00D348EA"/>
    <w:rsid w:val="00D54A94"/>
    <w:rsid w:val="00D54FCF"/>
    <w:rsid w:val="00D612A9"/>
    <w:rsid w:val="00D73E02"/>
    <w:rsid w:val="00D74E79"/>
    <w:rsid w:val="00D8113E"/>
    <w:rsid w:val="00D84754"/>
    <w:rsid w:val="00D91CAD"/>
    <w:rsid w:val="00DA134B"/>
    <w:rsid w:val="00DA2D58"/>
    <w:rsid w:val="00DA79D1"/>
    <w:rsid w:val="00DB521B"/>
    <w:rsid w:val="00DE254C"/>
    <w:rsid w:val="00DF454E"/>
    <w:rsid w:val="00E04113"/>
    <w:rsid w:val="00E041C3"/>
    <w:rsid w:val="00E048E8"/>
    <w:rsid w:val="00E160F7"/>
    <w:rsid w:val="00E20797"/>
    <w:rsid w:val="00E228E6"/>
    <w:rsid w:val="00E34DC0"/>
    <w:rsid w:val="00E427DD"/>
    <w:rsid w:val="00E4320E"/>
    <w:rsid w:val="00E4321C"/>
    <w:rsid w:val="00E449A7"/>
    <w:rsid w:val="00E51164"/>
    <w:rsid w:val="00E51F53"/>
    <w:rsid w:val="00E57492"/>
    <w:rsid w:val="00E61B30"/>
    <w:rsid w:val="00E67B38"/>
    <w:rsid w:val="00E81226"/>
    <w:rsid w:val="00E82DCF"/>
    <w:rsid w:val="00E917E4"/>
    <w:rsid w:val="00E95F7F"/>
    <w:rsid w:val="00EA01BD"/>
    <w:rsid w:val="00EA177C"/>
    <w:rsid w:val="00EB723A"/>
    <w:rsid w:val="00EC1253"/>
    <w:rsid w:val="00EC42B2"/>
    <w:rsid w:val="00EC569D"/>
    <w:rsid w:val="00ED1F81"/>
    <w:rsid w:val="00ED379F"/>
    <w:rsid w:val="00ED5703"/>
    <w:rsid w:val="00ED7C2E"/>
    <w:rsid w:val="00EE244A"/>
    <w:rsid w:val="00EE28C6"/>
    <w:rsid w:val="00EE684D"/>
    <w:rsid w:val="00EF1D4A"/>
    <w:rsid w:val="00EF1FA9"/>
    <w:rsid w:val="00F01138"/>
    <w:rsid w:val="00F117A5"/>
    <w:rsid w:val="00F14EA6"/>
    <w:rsid w:val="00F1584C"/>
    <w:rsid w:val="00F24ACB"/>
    <w:rsid w:val="00F2542E"/>
    <w:rsid w:val="00F270BD"/>
    <w:rsid w:val="00F27FC0"/>
    <w:rsid w:val="00F35308"/>
    <w:rsid w:val="00F36FD9"/>
    <w:rsid w:val="00F6514B"/>
    <w:rsid w:val="00F65ACD"/>
    <w:rsid w:val="00F76F9A"/>
    <w:rsid w:val="00F80EB6"/>
    <w:rsid w:val="00F8405D"/>
    <w:rsid w:val="00F92352"/>
    <w:rsid w:val="00F95D73"/>
    <w:rsid w:val="00FC36AB"/>
    <w:rsid w:val="00FC4671"/>
    <w:rsid w:val="00FE14F7"/>
    <w:rsid w:val="00FE2104"/>
    <w:rsid w:val="00FF2845"/>
    <w:rsid w:val="00FF42FB"/>
    <w:rsid w:val="00FF4B3C"/>
    <w:rsid w:val="018370A5"/>
    <w:rsid w:val="01A44DEE"/>
    <w:rsid w:val="01A967AF"/>
    <w:rsid w:val="02161E52"/>
    <w:rsid w:val="02474E9D"/>
    <w:rsid w:val="03126EC1"/>
    <w:rsid w:val="03453D8E"/>
    <w:rsid w:val="038C1168"/>
    <w:rsid w:val="03940FB9"/>
    <w:rsid w:val="03C45EDE"/>
    <w:rsid w:val="03F11FF4"/>
    <w:rsid w:val="03FD0AE8"/>
    <w:rsid w:val="047C328A"/>
    <w:rsid w:val="04BA1F10"/>
    <w:rsid w:val="04FB75E7"/>
    <w:rsid w:val="051A2066"/>
    <w:rsid w:val="056C2322"/>
    <w:rsid w:val="05DD5D7B"/>
    <w:rsid w:val="062279E7"/>
    <w:rsid w:val="064E0723"/>
    <w:rsid w:val="06776295"/>
    <w:rsid w:val="06CD3BCA"/>
    <w:rsid w:val="0776490D"/>
    <w:rsid w:val="07EB67A1"/>
    <w:rsid w:val="08351C39"/>
    <w:rsid w:val="083C3B56"/>
    <w:rsid w:val="088D0BB9"/>
    <w:rsid w:val="08DA091C"/>
    <w:rsid w:val="097B48C7"/>
    <w:rsid w:val="098E77E1"/>
    <w:rsid w:val="09B73799"/>
    <w:rsid w:val="09D033F7"/>
    <w:rsid w:val="09F22B9A"/>
    <w:rsid w:val="0A801B86"/>
    <w:rsid w:val="0AB37266"/>
    <w:rsid w:val="0AD75A66"/>
    <w:rsid w:val="0AE51120"/>
    <w:rsid w:val="0B171F47"/>
    <w:rsid w:val="0B8251AD"/>
    <w:rsid w:val="0BAD7711"/>
    <w:rsid w:val="0BE409F8"/>
    <w:rsid w:val="0C966FBE"/>
    <w:rsid w:val="0CA30411"/>
    <w:rsid w:val="0CC01E85"/>
    <w:rsid w:val="0CC27659"/>
    <w:rsid w:val="0D0C4B5C"/>
    <w:rsid w:val="0D2D24DA"/>
    <w:rsid w:val="0DAA088A"/>
    <w:rsid w:val="0DC972B1"/>
    <w:rsid w:val="0E654765"/>
    <w:rsid w:val="0E6761B9"/>
    <w:rsid w:val="0EC369E0"/>
    <w:rsid w:val="0EED14B0"/>
    <w:rsid w:val="0EF11E7A"/>
    <w:rsid w:val="0EF8029E"/>
    <w:rsid w:val="0F3B088E"/>
    <w:rsid w:val="1001138B"/>
    <w:rsid w:val="10EA5277"/>
    <w:rsid w:val="11385DD4"/>
    <w:rsid w:val="115656DA"/>
    <w:rsid w:val="11840E93"/>
    <w:rsid w:val="11A2567C"/>
    <w:rsid w:val="11B450EF"/>
    <w:rsid w:val="123B58F9"/>
    <w:rsid w:val="124C467E"/>
    <w:rsid w:val="12CE63A4"/>
    <w:rsid w:val="12D9735A"/>
    <w:rsid w:val="1349772C"/>
    <w:rsid w:val="14202378"/>
    <w:rsid w:val="143F62F6"/>
    <w:rsid w:val="149F719C"/>
    <w:rsid w:val="14AA14D4"/>
    <w:rsid w:val="15696373"/>
    <w:rsid w:val="15F864B9"/>
    <w:rsid w:val="15F95F09"/>
    <w:rsid w:val="163356BD"/>
    <w:rsid w:val="16892BD1"/>
    <w:rsid w:val="17D35F57"/>
    <w:rsid w:val="181434D7"/>
    <w:rsid w:val="18265452"/>
    <w:rsid w:val="18445EF6"/>
    <w:rsid w:val="18530C12"/>
    <w:rsid w:val="185E217B"/>
    <w:rsid w:val="18F732D3"/>
    <w:rsid w:val="1A4542B9"/>
    <w:rsid w:val="1A6C415E"/>
    <w:rsid w:val="1A765319"/>
    <w:rsid w:val="1AC13F4A"/>
    <w:rsid w:val="1B356CDE"/>
    <w:rsid w:val="1B442153"/>
    <w:rsid w:val="1C8B70A3"/>
    <w:rsid w:val="1C9705AD"/>
    <w:rsid w:val="1CD34202"/>
    <w:rsid w:val="1D22358C"/>
    <w:rsid w:val="1D46343E"/>
    <w:rsid w:val="1D5C1EDB"/>
    <w:rsid w:val="1D830853"/>
    <w:rsid w:val="1DDD0162"/>
    <w:rsid w:val="1DDE004C"/>
    <w:rsid w:val="1E472220"/>
    <w:rsid w:val="1E7E1846"/>
    <w:rsid w:val="1E8C618A"/>
    <w:rsid w:val="1EA34E0E"/>
    <w:rsid w:val="1F28078E"/>
    <w:rsid w:val="1FFB498D"/>
    <w:rsid w:val="2031162E"/>
    <w:rsid w:val="207F3852"/>
    <w:rsid w:val="20E67278"/>
    <w:rsid w:val="211902FC"/>
    <w:rsid w:val="212548AD"/>
    <w:rsid w:val="2134219F"/>
    <w:rsid w:val="213627C5"/>
    <w:rsid w:val="21502A48"/>
    <w:rsid w:val="21EC1E8C"/>
    <w:rsid w:val="2218533B"/>
    <w:rsid w:val="225F506B"/>
    <w:rsid w:val="22DB3200"/>
    <w:rsid w:val="22ED75F0"/>
    <w:rsid w:val="23265177"/>
    <w:rsid w:val="23362DE5"/>
    <w:rsid w:val="234F0FEF"/>
    <w:rsid w:val="23F72DDF"/>
    <w:rsid w:val="24076DC4"/>
    <w:rsid w:val="248D3CC6"/>
    <w:rsid w:val="25405C40"/>
    <w:rsid w:val="254D027F"/>
    <w:rsid w:val="25B43E05"/>
    <w:rsid w:val="25B57B2B"/>
    <w:rsid w:val="25E71D35"/>
    <w:rsid w:val="25E761DD"/>
    <w:rsid w:val="25F92596"/>
    <w:rsid w:val="264869CF"/>
    <w:rsid w:val="271622C9"/>
    <w:rsid w:val="271F34E1"/>
    <w:rsid w:val="272810AB"/>
    <w:rsid w:val="27397FE9"/>
    <w:rsid w:val="27D17BCC"/>
    <w:rsid w:val="27F8325E"/>
    <w:rsid w:val="2818719A"/>
    <w:rsid w:val="282268F9"/>
    <w:rsid w:val="2886752A"/>
    <w:rsid w:val="29570B69"/>
    <w:rsid w:val="29E23656"/>
    <w:rsid w:val="29F71F5A"/>
    <w:rsid w:val="2A047A82"/>
    <w:rsid w:val="2A580CF9"/>
    <w:rsid w:val="2B5C209C"/>
    <w:rsid w:val="2B6B4505"/>
    <w:rsid w:val="2BE355E6"/>
    <w:rsid w:val="2C08316E"/>
    <w:rsid w:val="2C40417D"/>
    <w:rsid w:val="2C424F5B"/>
    <w:rsid w:val="2CF72EED"/>
    <w:rsid w:val="2D273A7B"/>
    <w:rsid w:val="2D9773F6"/>
    <w:rsid w:val="2DA52BA3"/>
    <w:rsid w:val="2EA5339A"/>
    <w:rsid w:val="2EF36A7E"/>
    <w:rsid w:val="2F097B0C"/>
    <w:rsid w:val="2F0A3E88"/>
    <w:rsid w:val="2F780ABA"/>
    <w:rsid w:val="2F9752C4"/>
    <w:rsid w:val="2FA05917"/>
    <w:rsid w:val="30FB2C7F"/>
    <w:rsid w:val="31125F8E"/>
    <w:rsid w:val="31216EAC"/>
    <w:rsid w:val="313B420C"/>
    <w:rsid w:val="31451C14"/>
    <w:rsid w:val="314A7CDC"/>
    <w:rsid w:val="314C686B"/>
    <w:rsid w:val="319134C7"/>
    <w:rsid w:val="31B171C6"/>
    <w:rsid w:val="32267DE8"/>
    <w:rsid w:val="32A9519F"/>
    <w:rsid w:val="32D86604"/>
    <w:rsid w:val="32ED3E13"/>
    <w:rsid w:val="33265B8A"/>
    <w:rsid w:val="33427C7A"/>
    <w:rsid w:val="33741648"/>
    <w:rsid w:val="33936E11"/>
    <w:rsid w:val="33D34759"/>
    <w:rsid w:val="33E33A33"/>
    <w:rsid w:val="34BD0964"/>
    <w:rsid w:val="34E85D17"/>
    <w:rsid w:val="34F46E93"/>
    <w:rsid w:val="352D6FAB"/>
    <w:rsid w:val="354C4A39"/>
    <w:rsid w:val="35924EA2"/>
    <w:rsid w:val="35CC3847"/>
    <w:rsid w:val="369304CA"/>
    <w:rsid w:val="36AD5B3F"/>
    <w:rsid w:val="370630C1"/>
    <w:rsid w:val="371E3962"/>
    <w:rsid w:val="377A0B8F"/>
    <w:rsid w:val="37884B99"/>
    <w:rsid w:val="37B57A4D"/>
    <w:rsid w:val="385A7BB7"/>
    <w:rsid w:val="38623084"/>
    <w:rsid w:val="389713CB"/>
    <w:rsid w:val="395057FB"/>
    <w:rsid w:val="39562773"/>
    <w:rsid w:val="39E45643"/>
    <w:rsid w:val="3A5D1B6C"/>
    <w:rsid w:val="3A774CAF"/>
    <w:rsid w:val="3BB31756"/>
    <w:rsid w:val="3BC73111"/>
    <w:rsid w:val="3BFD4B5C"/>
    <w:rsid w:val="3C0F5C6E"/>
    <w:rsid w:val="3C4C613C"/>
    <w:rsid w:val="3CD97B99"/>
    <w:rsid w:val="3CE91045"/>
    <w:rsid w:val="3CF809EB"/>
    <w:rsid w:val="3D444BCB"/>
    <w:rsid w:val="3D5B3C1D"/>
    <w:rsid w:val="3E032505"/>
    <w:rsid w:val="3E6E39BC"/>
    <w:rsid w:val="3EC94F13"/>
    <w:rsid w:val="3F3C7550"/>
    <w:rsid w:val="3F4038F0"/>
    <w:rsid w:val="3F4B4303"/>
    <w:rsid w:val="3FD0402F"/>
    <w:rsid w:val="3FDA42AE"/>
    <w:rsid w:val="3FFF033E"/>
    <w:rsid w:val="4012772C"/>
    <w:rsid w:val="405D0E0C"/>
    <w:rsid w:val="40712A4A"/>
    <w:rsid w:val="40D8246D"/>
    <w:rsid w:val="414430F9"/>
    <w:rsid w:val="419326E4"/>
    <w:rsid w:val="41B346F9"/>
    <w:rsid w:val="41DD5A5B"/>
    <w:rsid w:val="41DD7827"/>
    <w:rsid w:val="4328670A"/>
    <w:rsid w:val="434C33CE"/>
    <w:rsid w:val="43762879"/>
    <w:rsid w:val="44276CD4"/>
    <w:rsid w:val="44304F75"/>
    <w:rsid w:val="448256EE"/>
    <w:rsid w:val="4523586A"/>
    <w:rsid w:val="45927057"/>
    <w:rsid w:val="46080217"/>
    <w:rsid w:val="461817D8"/>
    <w:rsid w:val="4632373C"/>
    <w:rsid w:val="465668EB"/>
    <w:rsid w:val="466B5CBC"/>
    <w:rsid w:val="4684284E"/>
    <w:rsid w:val="469E43E1"/>
    <w:rsid w:val="46DC5DFB"/>
    <w:rsid w:val="47047D72"/>
    <w:rsid w:val="47984AFA"/>
    <w:rsid w:val="47B946A3"/>
    <w:rsid w:val="47C8173C"/>
    <w:rsid w:val="47F27106"/>
    <w:rsid w:val="487774AA"/>
    <w:rsid w:val="487B71EC"/>
    <w:rsid w:val="48B94682"/>
    <w:rsid w:val="494915E2"/>
    <w:rsid w:val="49621948"/>
    <w:rsid w:val="49955E01"/>
    <w:rsid w:val="49DC137C"/>
    <w:rsid w:val="4A322BC0"/>
    <w:rsid w:val="4B08762C"/>
    <w:rsid w:val="4B4F5C1B"/>
    <w:rsid w:val="4BF30E4D"/>
    <w:rsid w:val="4C133FE8"/>
    <w:rsid w:val="4C2C205C"/>
    <w:rsid w:val="4C381339"/>
    <w:rsid w:val="4C5B42A2"/>
    <w:rsid w:val="4C7F0211"/>
    <w:rsid w:val="4C7F566C"/>
    <w:rsid w:val="4CBD2AD2"/>
    <w:rsid w:val="4FBC2CF0"/>
    <w:rsid w:val="50BD6C97"/>
    <w:rsid w:val="50FA0824"/>
    <w:rsid w:val="510136A3"/>
    <w:rsid w:val="513000BF"/>
    <w:rsid w:val="5133595A"/>
    <w:rsid w:val="530C44B6"/>
    <w:rsid w:val="5323553F"/>
    <w:rsid w:val="53A83092"/>
    <w:rsid w:val="53BA19A8"/>
    <w:rsid w:val="541960A5"/>
    <w:rsid w:val="54AA704E"/>
    <w:rsid w:val="552D21CF"/>
    <w:rsid w:val="55451F01"/>
    <w:rsid w:val="55547C08"/>
    <w:rsid w:val="55D75A96"/>
    <w:rsid w:val="563F1934"/>
    <w:rsid w:val="56527584"/>
    <w:rsid w:val="56B76F00"/>
    <w:rsid w:val="57416F8B"/>
    <w:rsid w:val="577A5A61"/>
    <w:rsid w:val="578D289F"/>
    <w:rsid w:val="57B21943"/>
    <w:rsid w:val="5883006B"/>
    <w:rsid w:val="58832967"/>
    <w:rsid w:val="58E0007A"/>
    <w:rsid w:val="590B15F4"/>
    <w:rsid w:val="592E0487"/>
    <w:rsid w:val="59977C49"/>
    <w:rsid w:val="59C77953"/>
    <w:rsid w:val="5A614415"/>
    <w:rsid w:val="5A7D452D"/>
    <w:rsid w:val="5AAC5C94"/>
    <w:rsid w:val="5AEC10A6"/>
    <w:rsid w:val="5B4000FF"/>
    <w:rsid w:val="5B542072"/>
    <w:rsid w:val="5B621FA0"/>
    <w:rsid w:val="5BA6144D"/>
    <w:rsid w:val="5BDF165D"/>
    <w:rsid w:val="5C216246"/>
    <w:rsid w:val="5C3227E0"/>
    <w:rsid w:val="5C413B49"/>
    <w:rsid w:val="5C571797"/>
    <w:rsid w:val="5C766004"/>
    <w:rsid w:val="5CC432B7"/>
    <w:rsid w:val="5D1401CC"/>
    <w:rsid w:val="5D1C064B"/>
    <w:rsid w:val="5DA209A3"/>
    <w:rsid w:val="5DC812FE"/>
    <w:rsid w:val="5E560E07"/>
    <w:rsid w:val="5E661852"/>
    <w:rsid w:val="5E9E0236"/>
    <w:rsid w:val="5F3F4284"/>
    <w:rsid w:val="5FEA0045"/>
    <w:rsid w:val="601109F2"/>
    <w:rsid w:val="611C0025"/>
    <w:rsid w:val="614B65E7"/>
    <w:rsid w:val="61576728"/>
    <w:rsid w:val="618A61D2"/>
    <w:rsid w:val="628B522D"/>
    <w:rsid w:val="628E342C"/>
    <w:rsid w:val="6299295E"/>
    <w:rsid w:val="62E475E4"/>
    <w:rsid w:val="631A2AE5"/>
    <w:rsid w:val="637474FC"/>
    <w:rsid w:val="63833AFA"/>
    <w:rsid w:val="639D7DDE"/>
    <w:rsid w:val="63AE085A"/>
    <w:rsid w:val="63B876B7"/>
    <w:rsid w:val="641A3DD4"/>
    <w:rsid w:val="64AD1F50"/>
    <w:rsid w:val="64CD4FA1"/>
    <w:rsid w:val="64D864AA"/>
    <w:rsid w:val="6523620B"/>
    <w:rsid w:val="65247C18"/>
    <w:rsid w:val="65683A20"/>
    <w:rsid w:val="65A30284"/>
    <w:rsid w:val="65D20A4A"/>
    <w:rsid w:val="65EB5884"/>
    <w:rsid w:val="66004207"/>
    <w:rsid w:val="66297704"/>
    <w:rsid w:val="662F1187"/>
    <w:rsid w:val="67552C6B"/>
    <w:rsid w:val="676A7932"/>
    <w:rsid w:val="67EF7340"/>
    <w:rsid w:val="685D0847"/>
    <w:rsid w:val="68B5350F"/>
    <w:rsid w:val="694711D5"/>
    <w:rsid w:val="697E64DB"/>
    <w:rsid w:val="69A33F4A"/>
    <w:rsid w:val="69B63F57"/>
    <w:rsid w:val="69D51659"/>
    <w:rsid w:val="6B6D009E"/>
    <w:rsid w:val="6BC30073"/>
    <w:rsid w:val="6BD84E41"/>
    <w:rsid w:val="6BEF3EBF"/>
    <w:rsid w:val="6BF5169C"/>
    <w:rsid w:val="6C113FE7"/>
    <w:rsid w:val="6C1C01CB"/>
    <w:rsid w:val="6CF27A15"/>
    <w:rsid w:val="6D2E38A7"/>
    <w:rsid w:val="6D9A0C63"/>
    <w:rsid w:val="6DCB1F85"/>
    <w:rsid w:val="6DD71E2E"/>
    <w:rsid w:val="6E166369"/>
    <w:rsid w:val="6FDC73A0"/>
    <w:rsid w:val="704F132A"/>
    <w:rsid w:val="70EB091E"/>
    <w:rsid w:val="71063B92"/>
    <w:rsid w:val="713B1FDB"/>
    <w:rsid w:val="716036B3"/>
    <w:rsid w:val="71C70329"/>
    <w:rsid w:val="71C7782D"/>
    <w:rsid w:val="71E27DB2"/>
    <w:rsid w:val="720372CD"/>
    <w:rsid w:val="72816225"/>
    <w:rsid w:val="72BF3DAB"/>
    <w:rsid w:val="73135945"/>
    <w:rsid w:val="735C0031"/>
    <w:rsid w:val="738D728E"/>
    <w:rsid w:val="739F01C9"/>
    <w:rsid w:val="73BC7DFA"/>
    <w:rsid w:val="73D3199E"/>
    <w:rsid w:val="73F664E2"/>
    <w:rsid w:val="744F754B"/>
    <w:rsid w:val="74665964"/>
    <w:rsid w:val="74892848"/>
    <w:rsid w:val="74AD2B2E"/>
    <w:rsid w:val="74B04B5B"/>
    <w:rsid w:val="74CA6BF5"/>
    <w:rsid w:val="750221EF"/>
    <w:rsid w:val="7516767D"/>
    <w:rsid w:val="75224A0B"/>
    <w:rsid w:val="75B9132F"/>
    <w:rsid w:val="769D204A"/>
    <w:rsid w:val="77C664C3"/>
    <w:rsid w:val="77F54F72"/>
    <w:rsid w:val="78067E25"/>
    <w:rsid w:val="78862C04"/>
    <w:rsid w:val="78C2322C"/>
    <w:rsid w:val="79555989"/>
    <w:rsid w:val="7A6F3B8A"/>
    <w:rsid w:val="7B495D08"/>
    <w:rsid w:val="7B587545"/>
    <w:rsid w:val="7B6A560A"/>
    <w:rsid w:val="7BEC69B8"/>
    <w:rsid w:val="7C0A53F5"/>
    <w:rsid w:val="7CC737C3"/>
    <w:rsid w:val="7D5517B7"/>
    <w:rsid w:val="7DF37F1B"/>
    <w:rsid w:val="7E560A1D"/>
    <w:rsid w:val="7E74636F"/>
    <w:rsid w:val="7E990045"/>
    <w:rsid w:val="7EA0276D"/>
    <w:rsid w:val="7EC535E2"/>
    <w:rsid w:val="7EDF76B9"/>
    <w:rsid w:val="7F892244"/>
    <w:rsid w:val="7F8A5191"/>
    <w:rsid w:val="7F9B0603"/>
    <w:rsid w:val="7FE226AB"/>
    <w:rsid w:val="9FDC87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2" w:semiHidden="0" w:name="heading 3"/>
    <w:lsdException w:qFormat="1" w:unhideWhenUsed="0" w:uiPriority="3" w:semiHidden="0" w:name="heading 4"/>
    <w:lsdException w:qFormat="1" w:uiPriority="9"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3">
    <w:name w:val="heading 1"/>
    <w:basedOn w:val="1"/>
    <w:next w:val="1"/>
    <w:link w:val="34"/>
    <w:qFormat/>
    <w:uiPriority w:val="0"/>
    <w:pPr>
      <w:numPr>
        <w:ilvl w:val="0"/>
        <w:numId w:val="1"/>
      </w:numPr>
      <w:spacing w:before="120" w:after="60"/>
      <w:ind w:left="0" w:firstLine="200"/>
      <w:jc w:val="left"/>
      <w:outlineLvl w:val="0"/>
    </w:pPr>
    <w:rPr>
      <w:rFonts w:eastAsia="黑体"/>
      <w:bCs/>
      <w:kern w:val="44"/>
      <w:sz w:val="32"/>
      <w:szCs w:val="44"/>
    </w:rPr>
  </w:style>
  <w:style w:type="paragraph" w:styleId="4">
    <w:name w:val="heading 2"/>
    <w:basedOn w:val="1"/>
    <w:next w:val="1"/>
    <w:link w:val="35"/>
    <w:qFormat/>
    <w:uiPriority w:val="1"/>
    <w:pPr>
      <w:keepNext/>
      <w:keepLines/>
      <w:numPr>
        <w:ilvl w:val="1"/>
        <w:numId w:val="1"/>
      </w:numPr>
      <w:spacing w:before="120" w:after="60"/>
      <w:ind w:left="0" w:firstLine="200"/>
      <w:outlineLvl w:val="1"/>
    </w:pPr>
    <w:rPr>
      <w:rFonts w:cstheme="majorBidi"/>
      <w:b/>
      <w:bCs/>
      <w:szCs w:val="32"/>
    </w:rPr>
  </w:style>
  <w:style w:type="paragraph" w:styleId="5">
    <w:name w:val="heading 3"/>
    <w:basedOn w:val="1"/>
    <w:next w:val="1"/>
    <w:link w:val="36"/>
    <w:qFormat/>
    <w:uiPriority w:val="2"/>
    <w:pPr>
      <w:keepNext/>
      <w:keepLines/>
      <w:numPr>
        <w:ilvl w:val="2"/>
        <w:numId w:val="1"/>
      </w:numPr>
      <w:spacing w:before="120" w:after="60"/>
      <w:ind w:left="0" w:firstLine="200"/>
      <w:outlineLvl w:val="2"/>
    </w:pPr>
    <w:rPr>
      <w:b/>
      <w:bCs/>
      <w:szCs w:val="32"/>
    </w:rPr>
  </w:style>
  <w:style w:type="paragraph" w:styleId="6">
    <w:name w:val="heading 4"/>
    <w:basedOn w:val="7"/>
    <w:next w:val="1"/>
    <w:link w:val="37"/>
    <w:qFormat/>
    <w:uiPriority w:val="3"/>
    <w:pPr>
      <w:keepNext/>
      <w:keepLines/>
      <w:numPr>
        <w:ilvl w:val="3"/>
        <w:numId w:val="1"/>
      </w:numPr>
      <w:spacing w:before="120" w:after="60"/>
      <w:ind w:left="0" w:firstLine="200"/>
      <w:outlineLvl w:val="3"/>
    </w:pPr>
    <w:rPr>
      <w:rFonts w:cstheme="majorBidi"/>
      <w:b/>
      <w:bCs/>
    </w:rPr>
  </w:style>
  <w:style w:type="paragraph" w:styleId="8">
    <w:name w:val="heading 5"/>
    <w:basedOn w:val="7"/>
    <w:next w:val="7"/>
    <w:link w:val="38"/>
    <w:unhideWhenUsed/>
    <w:qFormat/>
    <w:uiPriority w:val="9"/>
    <w:pPr>
      <w:keepNext/>
      <w:keepLines/>
      <w:numPr>
        <w:ilvl w:val="4"/>
        <w:numId w:val="1"/>
      </w:numPr>
      <w:spacing w:before="120" w:after="60"/>
      <w:ind w:firstLine="0" w:firstLineChars="0"/>
      <w:outlineLvl w:val="4"/>
    </w:pPr>
    <w:rPr>
      <w:b/>
      <w:bCs/>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2"/>
    <w:unhideWhenUsed/>
    <w:qFormat/>
    <w:uiPriority w:val="99"/>
    <w:pPr>
      <w:tabs>
        <w:tab w:val="left" w:pos="0"/>
      </w:tabs>
    </w:pPr>
    <w:rPr>
      <w:rFonts w:ascii="宋体" w:hAnsi="宋体" w:eastAsia="仿宋_GB2312"/>
      <w:color w:val="000000"/>
      <w:sz w:val="24"/>
    </w:rPr>
  </w:style>
  <w:style w:type="paragraph" w:customStyle="1" w:styleId="7">
    <w:name w:val="闻政正文"/>
    <w:basedOn w:val="1"/>
    <w:link w:val="33"/>
    <w:qFormat/>
    <w:uiPriority w:val="0"/>
    <w:pPr>
      <w:spacing w:line="500" w:lineRule="exact"/>
      <w:ind w:firstLine="200" w:firstLineChars="200"/>
    </w:pPr>
    <w:rPr>
      <w:rFonts w:ascii="Times New Roman" w:hAnsi="Times New Roman" w:eastAsia="仿宋_GB2312" w:cs="Times New Roman"/>
      <w:kern w:val="0"/>
      <w:sz w:val="28"/>
      <w:szCs w:val="28"/>
      <w:lang w:val="zh-CN"/>
    </w:rPr>
  </w:style>
  <w:style w:type="paragraph" w:styleId="9">
    <w:name w:val="caption"/>
    <w:basedOn w:val="1"/>
    <w:next w:val="1"/>
    <w:unhideWhenUsed/>
    <w:qFormat/>
    <w:uiPriority w:val="35"/>
    <w:rPr>
      <w:rFonts w:eastAsia="黑体" w:asciiTheme="majorHAnsi" w:hAnsiTheme="majorHAnsi" w:cstheme="majorBidi"/>
      <w:sz w:val="20"/>
      <w:szCs w:val="20"/>
    </w:rPr>
  </w:style>
  <w:style w:type="paragraph" w:styleId="10">
    <w:name w:val="annotation text"/>
    <w:basedOn w:val="1"/>
    <w:link w:val="39"/>
    <w:unhideWhenUsed/>
    <w:qFormat/>
    <w:uiPriority w:val="99"/>
    <w:pPr>
      <w:jc w:val="left"/>
    </w:pPr>
  </w:style>
  <w:style w:type="paragraph" w:styleId="11">
    <w:name w:val="Body Text Indent"/>
    <w:basedOn w:val="1"/>
    <w:next w:val="1"/>
    <w:qFormat/>
    <w:uiPriority w:val="0"/>
    <w:pPr>
      <w:widowControl/>
      <w:spacing w:before="100" w:beforeAutospacing="1" w:after="100" w:afterAutospacing="1"/>
      <w:jc w:val="left"/>
    </w:pPr>
    <w:rPr>
      <w:rFonts w:ascii="宋体" w:hAnsi="宋体" w:eastAsia="宋体"/>
      <w:kern w:val="0"/>
      <w:sz w:val="24"/>
    </w:rPr>
  </w:style>
  <w:style w:type="paragraph" w:styleId="12">
    <w:name w:val="toc 3"/>
    <w:basedOn w:val="1"/>
    <w:next w:val="1"/>
    <w:unhideWhenUsed/>
    <w:qFormat/>
    <w:uiPriority w:val="39"/>
    <w:pPr>
      <w:ind w:left="840" w:leftChars="400"/>
    </w:pPr>
  </w:style>
  <w:style w:type="paragraph" w:styleId="13">
    <w:name w:val="Balloon Text"/>
    <w:basedOn w:val="1"/>
    <w:link w:val="40"/>
    <w:semiHidden/>
    <w:unhideWhenUsed/>
    <w:qFormat/>
    <w:uiPriority w:val="99"/>
    <w:rPr>
      <w:sz w:val="18"/>
      <w:szCs w:val="18"/>
    </w:rPr>
  </w:style>
  <w:style w:type="paragraph" w:styleId="14">
    <w:name w:val="footer"/>
    <w:basedOn w:val="1"/>
    <w:link w:val="4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15">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8296"/>
      </w:tabs>
      <w:spacing w:line="460" w:lineRule="exact"/>
      <w:ind w:firstLine="0" w:firstLineChars="0"/>
    </w:pPr>
    <w:rPr>
      <w:b/>
    </w:rPr>
  </w:style>
  <w:style w:type="paragraph" w:styleId="17">
    <w:name w:val="footnote text"/>
    <w:basedOn w:val="1"/>
    <w:link w:val="43"/>
    <w:qFormat/>
    <w:uiPriority w:val="0"/>
    <w:pPr>
      <w:snapToGrid w:val="0"/>
      <w:jc w:val="left"/>
    </w:pPr>
    <w:rPr>
      <w:rFonts w:ascii="Times New Roman" w:hAnsi="Times New Roman" w:eastAsia="仿宋_GB2312"/>
      <w:sz w:val="18"/>
      <w:szCs w:val="18"/>
    </w:rPr>
  </w:style>
  <w:style w:type="paragraph" w:styleId="18">
    <w:name w:val="toc 2"/>
    <w:basedOn w:val="7"/>
    <w:next w:val="7"/>
    <w:unhideWhenUsed/>
    <w:qFormat/>
    <w:uiPriority w:val="39"/>
    <w:pPr>
      <w:tabs>
        <w:tab w:val="right" w:leader="dot" w:pos="8296"/>
      </w:tabs>
      <w:spacing w:line="460" w:lineRule="exact"/>
      <w:ind w:left="200" w:leftChars="200" w:firstLine="0" w:firstLineChars="0"/>
    </w:pPr>
  </w:style>
  <w:style w:type="paragraph" w:styleId="19">
    <w:name w:val="Normal (Web)"/>
    <w:basedOn w:val="1"/>
    <w:qFormat/>
    <w:uiPriority w:val="99"/>
    <w:rPr>
      <w:rFonts w:ascii="Calibri" w:hAnsi="Calibri" w:eastAsia="宋体"/>
      <w:sz w:val="24"/>
      <w:szCs w:val="22"/>
    </w:rPr>
  </w:style>
  <w:style w:type="paragraph" w:styleId="20">
    <w:name w:val="Title"/>
    <w:basedOn w:val="1"/>
    <w:next w:val="1"/>
    <w:qFormat/>
    <w:uiPriority w:val="10"/>
    <w:pPr>
      <w:ind w:firstLine="0" w:firstLineChars="0"/>
      <w:jc w:val="center"/>
      <w:outlineLvl w:val="0"/>
    </w:pPr>
    <w:rPr>
      <w:rFonts w:ascii="方正小标宋简体" w:hAnsi="方正小标宋简体" w:eastAsia="方正小标宋简体" w:cs="Times New Roman"/>
      <w:bCs/>
      <w:sz w:val="44"/>
      <w:szCs w:val="44"/>
    </w:rPr>
  </w:style>
  <w:style w:type="paragraph" w:styleId="21">
    <w:name w:val="annotation subject"/>
    <w:basedOn w:val="10"/>
    <w:next w:val="10"/>
    <w:link w:val="44"/>
    <w:semiHidden/>
    <w:unhideWhenUsed/>
    <w:qFormat/>
    <w:uiPriority w:val="99"/>
    <w:rPr>
      <w:b/>
      <w:bCs/>
    </w:rPr>
  </w:style>
  <w:style w:type="paragraph" w:styleId="22">
    <w:name w:val="Body Text First Indent 2"/>
    <w:basedOn w:val="11"/>
    <w:qFormat/>
    <w:uiPriority w:val="0"/>
    <w:pPr>
      <w:spacing w:after="120" w:line="276" w:lineRule="auto"/>
      <w:ind w:left="420" w:leftChars="200" w:firstLine="420" w:firstLineChars="200"/>
    </w:pPr>
    <w:rPr>
      <w:rFonts w:ascii="Calibri" w:hAnsi="Calibri"/>
      <w:sz w:val="22"/>
      <w:szCs w:val="22"/>
      <w:lang w:eastAsia="en-US"/>
    </w:rPr>
  </w:style>
  <w:style w:type="table" w:styleId="24">
    <w:name w:val="Table Grid"/>
    <w:basedOn w:val="23"/>
    <w:qFormat/>
    <w:uiPriority w:val="39"/>
    <w:pPr>
      <w:spacing w:line="300" w:lineRule="exact"/>
      <w:jc w:val="center"/>
    </w:pPr>
    <w:rPr>
      <w:rFonts w:eastAsia="仿宋_GB231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tblHeader/>
    </w:trPr>
    <w:tcPr>
      <w:vAlign w:val="center"/>
    </w:tcPr>
  </w:style>
  <w:style w:type="character" w:styleId="26">
    <w:name w:val="Strong"/>
    <w:basedOn w:val="25"/>
    <w:qFormat/>
    <w:uiPriority w:val="22"/>
    <w:rPr>
      <w:b/>
      <w:bCs/>
    </w:rPr>
  </w:style>
  <w:style w:type="character" w:styleId="27">
    <w:name w:val="page number"/>
    <w:basedOn w:val="25"/>
    <w:qFormat/>
    <w:uiPriority w:val="0"/>
  </w:style>
  <w:style w:type="character" w:styleId="28">
    <w:name w:val="HTML Typewriter"/>
    <w:qFormat/>
    <w:uiPriority w:val="0"/>
    <w:rPr>
      <w:rFonts w:hint="eastAsia" w:ascii="宋体" w:hAnsi="宋体" w:eastAsia="宋体" w:cs="宋体"/>
      <w:sz w:val="24"/>
      <w:szCs w:val="24"/>
    </w:rPr>
  </w:style>
  <w:style w:type="character" w:styleId="29">
    <w:name w:val="Hyperlink"/>
    <w:basedOn w:val="25"/>
    <w:unhideWhenUsed/>
    <w:qFormat/>
    <w:uiPriority w:val="99"/>
    <w:rPr>
      <w:color w:val="0563C1" w:themeColor="hyperlink"/>
      <w:u w:val="single"/>
      <w14:textFill>
        <w14:solidFill>
          <w14:schemeClr w14:val="hlink"/>
        </w14:solidFill>
      </w14:textFill>
    </w:rPr>
  </w:style>
  <w:style w:type="character" w:styleId="30">
    <w:name w:val="annotation reference"/>
    <w:basedOn w:val="25"/>
    <w:semiHidden/>
    <w:unhideWhenUsed/>
    <w:qFormat/>
    <w:uiPriority w:val="99"/>
    <w:rPr>
      <w:sz w:val="21"/>
      <w:szCs w:val="21"/>
    </w:rPr>
  </w:style>
  <w:style w:type="character" w:styleId="31">
    <w:name w:val="footnote reference"/>
    <w:qFormat/>
    <w:uiPriority w:val="0"/>
    <w:rPr>
      <w:vertAlign w:val="superscript"/>
    </w:rPr>
  </w:style>
  <w:style w:type="character" w:customStyle="1" w:styleId="32">
    <w:name w:val="正文文本 Char"/>
    <w:basedOn w:val="25"/>
    <w:link w:val="2"/>
    <w:qFormat/>
    <w:uiPriority w:val="99"/>
    <w:rPr>
      <w:rFonts w:ascii="宋体" w:hAnsi="宋体" w:eastAsia="仿宋_GB2312"/>
      <w:color w:val="000000"/>
      <w:kern w:val="2"/>
      <w:sz w:val="24"/>
      <w:szCs w:val="21"/>
    </w:rPr>
  </w:style>
  <w:style w:type="character" w:customStyle="1" w:styleId="33">
    <w:name w:val="闻政正文 Char"/>
    <w:link w:val="7"/>
    <w:qFormat/>
    <w:uiPriority w:val="0"/>
    <w:rPr>
      <w:rFonts w:ascii="Times New Roman" w:hAnsi="Times New Roman" w:eastAsia="仿宋_GB2312" w:cs="Times New Roman"/>
      <w:kern w:val="0"/>
      <w:sz w:val="28"/>
      <w:szCs w:val="28"/>
      <w:lang w:val="zh-CN" w:eastAsia="zh-CN"/>
    </w:rPr>
  </w:style>
  <w:style w:type="character" w:customStyle="1" w:styleId="34">
    <w:name w:val="标题 1 Char"/>
    <w:basedOn w:val="25"/>
    <w:link w:val="3"/>
    <w:qFormat/>
    <w:uiPriority w:val="0"/>
    <w:rPr>
      <w:rFonts w:ascii="Times New Roman" w:hAnsi="Times New Roman" w:eastAsia="黑体" w:cs="Times New Roman"/>
      <w:bCs/>
      <w:kern w:val="44"/>
      <w:sz w:val="32"/>
      <w:szCs w:val="44"/>
      <w:lang w:val="zh-CN" w:eastAsia="zh-CN"/>
    </w:rPr>
  </w:style>
  <w:style w:type="character" w:customStyle="1" w:styleId="35">
    <w:name w:val="标题 2 Char"/>
    <w:basedOn w:val="25"/>
    <w:link w:val="4"/>
    <w:qFormat/>
    <w:uiPriority w:val="1"/>
    <w:rPr>
      <w:rFonts w:ascii="Times New Roman" w:hAnsi="Times New Roman" w:eastAsia="仿宋_GB2312" w:cstheme="majorBidi"/>
      <w:b/>
      <w:bCs/>
      <w:kern w:val="0"/>
      <w:sz w:val="28"/>
      <w:szCs w:val="32"/>
      <w:lang w:val="zh-CN" w:eastAsia="zh-CN"/>
    </w:rPr>
  </w:style>
  <w:style w:type="character" w:customStyle="1" w:styleId="36">
    <w:name w:val="标题 3 Char"/>
    <w:basedOn w:val="25"/>
    <w:link w:val="5"/>
    <w:qFormat/>
    <w:uiPriority w:val="2"/>
    <w:rPr>
      <w:rFonts w:ascii="Times New Roman" w:hAnsi="Times New Roman" w:eastAsia="仿宋_GB2312" w:cs="Times New Roman"/>
      <w:b/>
      <w:bCs/>
      <w:kern w:val="0"/>
      <w:sz w:val="28"/>
      <w:szCs w:val="32"/>
      <w:lang w:val="zh-CN" w:eastAsia="zh-CN"/>
    </w:rPr>
  </w:style>
  <w:style w:type="character" w:customStyle="1" w:styleId="37">
    <w:name w:val="标题 4 Char"/>
    <w:basedOn w:val="25"/>
    <w:link w:val="6"/>
    <w:qFormat/>
    <w:uiPriority w:val="3"/>
    <w:rPr>
      <w:rFonts w:ascii="Times New Roman" w:hAnsi="Times New Roman" w:eastAsia="仿宋_GB2312" w:cstheme="majorBidi"/>
      <w:b/>
      <w:bCs/>
      <w:kern w:val="0"/>
      <w:sz w:val="28"/>
      <w:szCs w:val="28"/>
      <w:lang w:val="zh-CN" w:eastAsia="zh-CN"/>
    </w:rPr>
  </w:style>
  <w:style w:type="character" w:customStyle="1" w:styleId="38">
    <w:name w:val="标题 5 Char"/>
    <w:basedOn w:val="25"/>
    <w:link w:val="8"/>
    <w:qFormat/>
    <w:uiPriority w:val="9"/>
    <w:rPr>
      <w:rFonts w:ascii="Times New Roman" w:hAnsi="Times New Roman" w:eastAsia="仿宋_GB2312" w:cs="Times New Roman"/>
      <w:b/>
      <w:bCs/>
      <w:kern w:val="0"/>
      <w:sz w:val="28"/>
      <w:szCs w:val="28"/>
      <w:lang w:val="zh-CN" w:eastAsia="zh-CN"/>
    </w:rPr>
  </w:style>
  <w:style w:type="character" w:customStyle="1" w:styleId="39">
    <w:name w:val="批注文字 Char"/>
    <w:basedOn w:val="25"/>
    <w:link w:val="10"/>
    <w:qFormat/>
    <w:uiPriority w:val="99"/>
  </w:style>
  <w:style w:type="character" w:customStyle="1" w:styleId="40">
    <w:name w:val="批注框文本 Char"/>
    <w:basedOn w:val="25"/>
    <w:link w:val="13"/>
    <w:semiHidden/>
    <w:qFormat/>
    <w:uiPriority w:val="99"/>
    <w:rPr>
      <w:sz w:val="18"/>
      <w:szCs w:val="18"/>
    </w:rPr>
  </w:style>
  <w:style w:type="character" w:customStyle="1" w:styleId="41">
    <w:name w:val="页脚 Char"/>
    <w:basedOn w:val="25"/>
    <w:link w:val="14"/>
    <w:qFormat/>
    <w:uiPriority w:val="99"/>
    <w:rPr>
      <w:rFonts w:ascii="Calibri" w:hAnsi="Calibri" w:eastAsia="宋体" w:cs="Times New Roman"/>
      <w:sz w:val="18"/>
      <w:szCs w:val="18"/>
    </w:rPr>
  </w:style>
  <w:style w:type="character" w:customStyle="1" w:styleId="42">
    <w:name w:val="页眉 Char"/>
    <w:basedOn w:val="25"/>
    <w:link w:val="15"/>
    <w:qFormat/>
    <w:uiPriority w:val="99"/>
    <w:rPr>
      <w:sz w:val="18"/>
      <w:szCs w:val="18"/>
    </w:rPr>
  </w:style>
  <w:style w:type="character" w:customStyle="1" w:styleId="43">
    <w:name w:val="脚注文本 Char"/>
    <w:basedOn w:val="25"/>
    <w:link w:val="17"/>
    <w:qFormat/>
    <w:uiPriority w:val="0"/>
    <w:rPr>
      <w:rFonts w:ascii="Times New Roman" w:hAnsi="Times New Roman" w:eastAsia="仿宋_GB2312"/>
      <w:sz w:val="18"/>
      <w:szCs w:val="18"/>
    </w:rPr>
  </w:style>
  <w:style w:type="character" w:customStyle="1" w:styleId="44">
    <w:name w:val="批注主题 Char"/>
    <w:basedOn w:val="39"/>
    <w:link w:val="21"/>
    <w:semiHidden/>
    <w:qFormat/>
    <w:uiPriority w:val="99"/>
    <w:rPr>
      <w:b/>
      <w:bCs/>
    </w:rPr>
  </w:style>
  <w:style w:type="paragraph" w:customStyle="1" w:styleId="45">
    <w:name w:val="TOC 标题1"/>
    <w:basedOn w:val="3"/>
    <w:next w:val="1"/>
    <w:unhideWhenUsed/>
    <w:qFormat/>
    <w:uiPriority w:val="39"/>
    <w:pPr>
      <w:widowControl/>
      <w:numPr>
        <w:numId w:val="0"/>
      </w:numPr>
      <w:spacing w:before="240" w:after="0" w:line="259" w:lineRule="auto"/>
      <w:outlineLvl w:val="9"/>
    </w:pPr>
    <w:rPr>
      <w:rFonts w:asciiTheme="majorHAnsi" w:hAnsiTheme="majorHAnsi" w:eastAsiaTheme="majorEastAsia" w:cstheme="majorBidi"/>
      <w:b/>
      <w:bCs w:val="0"/>
      <w:color w:val="2F5597" w:themeColor="accent1" w:themeShade="BF"/>
      <w:kern w:val="0"/>
      <w:szCs w:val="32"/>
    </w:rPr>
  </w:style>
  <w:style w:type="paragraph" w:customStyle="1" w:styleId="46">
    <w:name w:val="闻政封面标题"/>
    <w:basedOn w:val="1"/>
    <w:next w:val="47"/>
    <w:qFormat/>
    <w:uiPriority w:val="0"/>
    <w:pPr>
      <w:spacing w:before="480" w:after="360"/>
      <w:jc w:val="center"/>
    </w:pPr>
    <w:rPr>
      <w:rFonts w:ascii="Times New Roman" w:hAnsi="Times New Roman" w:eastAsia="黑体" w:cs="Times New Roman"/>
      <w:b/>
      <w:snapToGrid w:val="0"/>
      <w:sz w:val="32"/>
      <w:szCs w:val="24"/>
    </w:rPr>
  </w:style>
  <w:style w:type="paragraph" w:customStyle="1" w:styleId="47">
    <w:name w:val="闻政封面项目信息"/>
    <w:basedOn w:val="1"/>
    <w:next w:val="48"/>
    <w:qFormat/>
    <w:uiPriority w:val="0"/>
    <w:pPr>
      <w:spacing w:before="120"/>
      <w:ind w:left="800" w:leftChars="800"/>
      <w:jc w:val="left"/>
    </w:pPr>
    <w:rPr>
      <w:rFonts w:ascii="Times New Roman" w:hAnsi="Times New Roman" w:eastAsia="黑体" w:cs="Times New Roman"/>
      <w:kern w:val="0"/>
      <w:sz w:val="28"/>
      <w:szCs w:val="28"/>
      <w:lang w:val="zh-CN"/>
    </w:rPr>
  </w:style>
  <w:style w:type="paragraph" w:customStyle="1" w:styleId="48">
    <w:name w:val="闻政封面完成时间"/>
    <w:basedOn w:val="47"/>
    <w:qFormat/>
    <w:uiPriority w:val="0"/>
    <w:pPr>
      <w:ind w:left="0" w:leftChars="0"/>
      <w:jc w:val="center"/>
    </w:pPr>
    <w:rPr>
      <w:b/>
    </w:rPr>
  </w:style>
  <w:style w:type="paragraph" w:customStyle="1" w:styleId="49">
    <w:name w:val="闻政页码"/>
    <w:qFormat/>
    <w:uiPriority w:val="6"/>
    <w:pPr>
      <w:jc w:val="center"/>
    </w:pPr>
    <w:rPr>
      <w:rFonts w:ascii="Times New Roman" w:hAnsi="Times New Roman" w:eastAsia="Times New Roman" w:cs="Times New Roman"/>
      <w:sz w:val="21"/>
      <w:szCs w:val="28"/>
      <w:lang w:val="en-US" w:eastAsia="zh-CN" w:bidi="ar-SA"/>
    </w:rPr>
  </w:style>
  <w:style w:type="paragraph" w:customStyle="1" w:styleId="50">
    <w:name w:val="闻政摘要标题"/>
    <w:basedOn w:val="1"/>
    <w:qFormat/>
    <w:uiPriority w:val="2"/>
    <w:pPr>
      <w:spacing w:before="480" w:after="360"/>
      <w:jc w:val="center"/>
      <w:outlineLvl w:val="0"/>
    </w:pPr>
    <w:rPr>
      <w:rFonts w:ascii="Times New Roman" w:hAnsi="Times New Roman" w:eastAsia="黑体" w:cs="Times New Roman"/>
      <w:b/>
      <w:snapToGrid w:val="0"/>
      <w:sz w:val="32"/>
      <w:szCs w:val="24"/>
    </w:rPr>
  </w:style>
  <w:style w:type="paragraph" w:customStyle="1" w:styleId="51">
    <w:name w:val="闻政图（表）注"/>
    <w:basedOn w:val="1"/>
    <w:link w:val="52"/>
    <w:qFormat/>
    <w:uiPriority w:val="5"/>
    <w:pPr>
      <w:spacing w:before="120"/>
    </w:pPr>
    <w:rPr>
      <w:rFonts w:ascii="Times New Roman" w:hAnsi="Times New Roman" w:eastAsia="仿宋_GB2312" w:cs="Arial"/>
      <w:kern w:val="0"/>
    </w:rPr>
  </w:style>
  <w:style w:type="character" w:customStyle="1" w:styleId="52">
    <w:name w:val="闻政图（表）注 Char"/>
    <w:link w:val="51"/>
    <w:qFormat/>
    <w:uiPriority w:val="5"/>
    <w:rPr>
      <w:rFonts w:ascii="Times New Roman" w:hAnsi="Times New Roman" w:eastAsia="仿宋_GB2312" w:cs="Arial"/>
      <w:kern w:val="0"/>
    </w:rPr>
  </w:style>
  <w:style w:type="paragraph" w:customStyle="1" w:styleId="53">
    <w:name w:val="闻政图表名"/>
    <w:basedOn w:val="1"/>
    <w:link w:val="54"/>
    <w:qFormat/>
    <w:uiPriority w:val="4"/>
    <w:pPr>
      <w:spacing w:before="60" w:after="60"/>
      <w:jc w:val="center"/>
    </w:pPr>
    <w:rPr>
      <w:rFonts w:ascii="Times New Roman" w:hAnsi="Times New Roman" w:eastAsia="仿宋_GB2312" w:cs="Times New Roman"/>
      <w:b/>
      <w:kern w:val="0"/>
      <w:sz w:val="24"/>
      <w:szCs w:val="28"/>
    </w:rPr>
  </w:style>
  <w:style w:type="character" w:customStyle="1" w:styleId="54">
    <w:name w:val="闻政图表名 字符"/>
    <w:link w:val="53"/>
    <w:qFormat/>
    <w:uiPriority w:val="4"/>
    <w:rPr>
      <w:rFonts w:ascii="Times New Roman" w:hAnsi="Times New Roman" w:eastAsia="仿宋_GB2312" w:cs="Times New Roman"/>
      <w:b/>
      <w:kern w:val="0"/>
      <w:sz w:val="24"/>
      <w:szCs w:val="28"/>
    </w:rPr>
  </w:style>
  <w:style w:type="paragraph" w:customStyle="1" w:styleId="55">
    <w:name w:val="闻政备注类"/>
    <w:basedOn w:val="7"/>
    <w:qFormat/>
    <w:uiPriority w:val="5"/>
    <w:pPr>
      <w:spacing w:line="240" w:lineRule="auto"/>
      <w:jc w:val="left"/>
    </w:pPr>
    <w:rPr>
      <w:rFonts w:cs="宋体"/>
      <w:sz w:val="21"/>
    </w:rPr>
  </w:style>
  <w:style w:type="paragraph" w:customStyle="1" w:styleId="56">
    <w:name w:val="闻政附件标题"/>
    <w:basedOn w:val="7"/>
    <w:qFormat/>
    <w:uiPriority w:val="5"/>
    <w:pPr>
      <w:numPr>
        <w:ilvl w:val="5"/>
        <w:numId w:val="1"/>
      </w:numPr>
      <w:spacing w:before="120" w:after="60" w:line="240" w:lineRule="auto"/>
      <w:ind w:firstLineChars="0"/>
      <w:outlineLvl w:val="0"/>
    </w:pPr>
    <w:rPr>
      <w:rFonts w:eastAsia="黑体"/>
      <w:b/>
      <w:sz w:val="32"/>
    </w:rPr>
  </w:style>
  <w:style w:type="paragraph" w:customStyle="1" w:styleId="57">
    <w:name w:val="闻政附件正文"/>
    <w:basedOn w:val="7"/>
    <w:qFormat/>
    <w:uiPriority w:val="99"/>
    <w:rPr>
      <w:sz w:val="24"/>
    </w:rPr>
  </w:style>
  <w:style w:type="paragraph" w:customStyle="1" w:styleId="58">
    <w:name w:val="闻政附件报告名"/>
    <w:basedOn w:val="7"/>
    <w:qFormat/>
    <w:uiPriority w:val="9"/>
    <w:pPr>
      <w:spacing w:before="120" w:after="60"/>
      <w:ind w:firstLine="0" w:firstLineChars="0"/>
      <w:jc w:val="center"/>
    </w:pPr>
    <w:rPr>
      <w:b/>
    </w:rPr>
  </w:style>
  <w:style w:type="paragraph" w:customStyle="1" w:styleId="59">
    <w:name w:val="闻政附件一级标题"/>
    <w:basedOn w:val="58"/>
    <w:next w:val="57"/>
    <w:qFormat/>
    <w:uiPriority w:val="6"/>
    <w:pPr>
      <w:ind w:firstLine="200" w:firstLineChars="200"/>
      <w:jc w:val="left"/>
    </w:pPr>
    <w:rPr>
      <w:rFonts w:cs="宋体"/>
    </w:rPr>
  </w:style>
  <w:style w:type="paragraph" w:customStyle="1" w:styleId="60">
    <w:name w:val="闻政附件二级标题"/>
    <w:basedOn w:val="59"/>
    <w:qFormat/>
    <w:uiPriority w:val="8"/>
    <w:rPr>
      <w:rFonts w:ascii="宋体" w:hAnsi="宋体" w:eastAsia="宋体"/>
    </w:rPr>
  </w:style>
  <w:style w:type="paragraph" w:customStyle="1" w:styleId="61">
    <w:name w:val="闻政附件三级标题"/>
    <w:basedOn w:val="60"/>
    <w:qFormat/>
    <w:uiPriority w:val="8"/>
    <w:rPr>
      <w:rFonts w:ascii="Times New Roman" w:hAnsi="Times New Roman" w:eastAsia="仿宋_GB2312"/>
    </w:rPr>
  </w:style>
  <w:style w:type="paragraph" w:customStyle="1" w:styleId="62">
    <w:name w:val="闻政附件四级标题"/>
    <w:basedOn w:val="61"/>
    <w:qFormat/>
    <w:uiPriority w:val="9"/>
    <w:pPr>
      <w:spacing w:before="0" w:after="0"/>
    </w:pPr>
  </w:style>
  <w:style w:type="paragraph" w:customStyle="1" w:styleId="63">
    <w:name w:val="闻政脚注"/>
    <w:basedOn w:val="7"/>
    <w:qFormat/>
    <w:uiPriority w:val="9"/>
    <w:pPr>
      <w:spacing w:line="400" w:lineRule="exact"/>
      <w:ind w:firstLine="0" w:firstLineChars="0"/>
    </w:pPr>
    <w:rPr>
      <w:sz w:val="18"/>
    </w:rPr>
  </w:style>
  <w:style w:type="paragraph" w:customStyle="1" w:styleId="64">
    <w:name w:val="闻政目录标题"/>
    <w:basedOn w:val="46"/>
    <w:qFormat/>
    <w:uiPriority w:val="1"/>
  </w:style>
  <w:style w:type="table" w:customStyle="1" w:styleId="65">
    <w:name w:val="网格型浅色1"/>
    <w:basedOn w:val="23"/>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table" w:customStyle="1" w:styleId="66">
    <w:name w:val="无格式表格 11"/>
    <w:basedOn w:val="23"/>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67">
    <w:name w:val="闻政表文字"/>
    <w:basedOn w:val="7"/>
    <w:link w:val="68"/>
    <w:qFormat/>
    <w:uiPriority w:val="5"/>
    <w:pPr>
      <w:widowControl/>
      <w:spacing w:line="320" w:lineRule="exact"/>
      <w:ind w:firstLine="0" w:firstLineChars="0"/>
      <w:jc w:val="center"/>
    </w:pPr>
    <w:rPr>
      <w:rFonts w:cs="宋体"/>
      <w:bCs/>
      <w:color w:val="000000"/>
      <w:sz w:val="22"/>
      <w:szCs w:val="22"/>
    </w:rPr>
  </w:style>
  <w:style w:type="character" w:customStyle="1" w:styleId="68">
    <w:name w:val="闻政表文字 字符"/>
    <w:basedOn w:val="33"/>
    <w:link w:val="67"/>
    <w:qFormat/>
    <w:uiPriority w:val="5"/>
    <w:rPr>
      <w:rFonts w:ascii="Times New Roman" w:hAnsi="Times New Roman" w:eastAsia="仿宋_GB2312" w:cs="宋体"/>
      <w:bCs/>
      <w:color w:val="000000"/>
      <w:kern w:val="0"/>
      <w:sz w:val="22"/>
      <w:szCs w:val="22"/>
      <w:lang w:val="zh-CN" w:eastAsia="zh-CN"/>
    </w:rPr>
  </w:style>
  <w:style w:type="paragraph" w:customStyle="1" w:styleId="69">
    <w:name w:val="正文-闻政"/>
    <w:link w:val="70"/>
    <w:qFormat/>
    <w:uiPriority w:val="0"/>
    <w:pPr>
      <w:spacing w:line="500" w:lineRule="exact"/>
      <w:ind w:firstLine="200" w:firstLineChars="200"/>
      <w:jc w:val="both"/>
    </w:pPr>
    <w:rPr>
      <w:rFonts w:ascii="Times New Roman" w:hAnsi="Times New Roman" w:eastAsia="仿宋_GB2312" w:cs="Times New Roman"/>
      <w:kern w:val="2"/>
      <w:sz w:val="28"/>
      <w:szCs w:val="22"/>
      <w:lang w:val="en-US" w:eastAsia="zh-CN" w:bidi="ar-SA"/>
    </w:rPr>
  </w:style>
  <w:style w:type="character" w:customStyle="1" w:styleId="70">
    <w:name w:val="正文-闻政 Char"/>
    <w:link w:val="69"/>
    <w:qFormat/>
    <w:uiPriority w:val="0"/>
    <w:rPr>
      <w:rFonts w:ascii="Times New Roman" w:hAnsi="Times New Roman" w:eastAsia="仿宋_GB2312" w:cs="Times New Roman"/>
      <w:kern w:val="2"/>
      <w:sz w:val="28"/>
      <w:szCs w:val="22"/>
      <w:lang w:val="en-US" w:eastAsia="zh-CN" w:bidi="ar-SA"/>
    </w:rPr>
  </w:style>
  <w:style w:type="paragraph" w:customStyle="1" w:styleId="71">
    <w:name w:val="闻政表"/>
    <w:basedOn w:val="1"/>
    <w:link w:val="72"/>
    <w:qFormat/>
    <w:uiPriority w:val="0"/>
    <w:pPr>
      <w:spacing w:before="60" w:after="60"/>
      <w:jc w:val="center"/>
    </w:pPr>
    <w:rPr>
      <w:rFonts w:eastAsia="仿宋_GB2312"/>
      <w:b/>
      <w:sz w:val="24"/>
      <w:szCs w:val="28"/>
    </w:rPr>
  </w:style>
  <w:style w:type="character" w:customStyle="1" w:styleId="72">
    <w:name w:val="闻政表 Char"/>
    <w:link w:val="71"/>
    <w:qFormat/>
    <w:uiPriority w:val="0"/>
    <w:rPr>
      <w:rFonts w:eastAsia="仿宋_GB2312"/>
      <w:b/>
      <w:kern w:val="2"/>
      <w:sz w:val="24"/>
      <w:szCs w:val="28"/>
    </w:rPr>
  </w:style>
  <w:style w:type="paragraph" w:styleId="73">
    <w:name w:val="List Paragraph"/>
    <w:basedOn w:val="1"/>
    <w:qFormat/>
    <w:uiPriority w:val="99"/>
    <w:pPr>
      <w:ind w:firstLine="420" w:firstLineChars="200"/>
    </w:pPr>
  </w:style>
  <w:style w:type="paragraph" w:customStyle="1" w:styleId="74">
    <w:name w:val="Char1"/>
    <w:basedOn w:val="1"/>
    <w:qFormat/>
    <w:uiPriority w:val="0"/>
    <w:pPr>
      <w:widowControl/>
      <w:spacing w:after="160" w:line="240" w:lineRule="exact"/>
      <w:jc w:val="left"/>
    </w:pPr>
    <w:rPr>
      <w:rFonts w:ascii="Times New Roman" w:hAnsi="Times New Roman" w:eastAsia="宋体" w:cs="Times New Roman"/>
      <w:sz w:val="32"/>
      <w:szCs w:val="20"/>
    </w:rPr>
  </w:style>
  <w:style w:type="paragraph" w:customStyle="1" w:styleId="75">
    <w:name w:val="p0"/>
    <w:basedOn w:val="1"/>
    <w:qFormat/>
    <w:uiPriority w:val="0"/>
    <w:pPr>
      <w:widowControl/>
      <w:overflowPunct w:val="0"/>
      <w:autoSpaceDE w:val="0"/>
      <w:autoSpaceDN w:val="0"/>
    </w:pPr>
    <w:rPr>
      <w:rFonts w:ascii="Calibri" w:hAnsi="Calibri" w:eastAsia="宋体" w:cs="Times New Roman"/>
      <w:kern w:val="0"/>
    </w:rPr>
  </w:style>
  <w:style w:type="character" w:customStyle="1" w:styleId="76">
    <w:name w:val="font21"/>
    <w:qFormat/>
    <w:uiPriority w:val="0"/>
    <w:rPr>
      <w:rFonts w:hint="default" w:ascii="Times New Roman" w:hAnsi="Times New Roman" w:cs="Times New Roman"/>
      <w:color w:val="000000"/>
      <w:sz w:val="20"/>
      <w:szCs w:val="20"/>
      <w:u w:val="none"/>
    </w:rPr>
  </w:style>
  <w:style w:type="paragraph" w:customStyle="1" w:styleId="77">
    <w:name w:val="报告正文"/>
    <w:next w:val="1"/>
    <w:qFormat/>
    <w:uiPriority w:val="0"/>
    <w:pPr>
      <w:widowControl w:val="0"/>
      <w:spacing w:line="560" w:lineRule="exact"/>
      <w:ind w:firstLine="200" w:firstLineChars="200"/>
      <w:jc w:val="both"/>
    </w:pPr>
    <w:rPr>
      <w:rFonts w:ascii="Times New Roman" w:hAnsi="Times New Roman" w:eastAsia="仿宋" w:cs="Times New Roman"/>
      <w:sz w:val="28"/>
      <w:szCs w:val="28"/>
      <w:lang w:val="en-US" w:eastAsia="zh-CN" w:bidi="ar-SA"/>
    </w:rPr>
  </w:style>
  <w:style w:type="paragraph" w:customStyle="1" w:styleId="78">
    <w:name w:val="WPSOffice手动目录 1"/>
    <w:qFormat/>
    <w:uiPriority w:val="0"/>
    <w:rPr>
      <w:rFonts w:ascii="Times New Roman" w:hAnsi="Times New Roman" w:eastAsia="宋体" w:cs="Times New Roman"/>
      <w:lang w:val="en-US" w:eastAsia="zh-CN" w:bidi="ar-SA"/>
    </w:rPr>
  </w:style>
  <w:style w:type="paragraph" w:customStyle="1" w:styleId="7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0">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81">
    <w:name w:val="font61"/>
    <w:basedOn w:val="25"/>
    <w:qFormat/>
    <w:uiPriority w:val="0"/>
    <w:rPr>
      <w:rFonts w:ascii="楷体_GB2312" w:eastAsia="楷体_GB2312" w:cs="楷体_GB2312"/>
      <w:b/>
      <w:color w:val="000000"/>
      <w:sz w:val="20"/>
      <w:szCs w:val="20"/>
      <w:u w:val="none"/>
    </w:rPr>
  </w:style>
  <w:style w:type="character" w:customStyle="1" w:styleId="82">
    <w:name w:val="font31"/>
    <w:basedOn w:val="25"/>
    <w:qFormat/>
    <w:uiPriority w:val="0"/>
    <w:rPr>
      <w:rFonts w:hint="default" w:ascii="Times New Roman" w:hAnsi="Times New Roman" w:cs="Times New Roman"/>
      <w:b/>
      <w:color w:val="000000"/>
      <w:sz w:val="20"/>
      <w:szCs w:val="20"/>
      <w:u w:val="none"/>
    </w:rPr>
  </w:style>
  <w:style w:type="character" w:customStyle="1" w:styleId="83">
    <w:name w:val="font112"/>
    <w:basedOn w:val="25"/>
    <w:qFormat/>
    <w:uiPriority w:val="0"/>
    <w:rPr>
      <w:rFonts w:ascii="仿宋_GB2312" w:eastAsia="仿宋_GB2312" w:cs="仿宋_GB2312"/>
      <w:b/>
      <w:color w:val="000000"/>
      <w:sz w:val="20"/>
      <w:szCs w:val="20"/>
      <w:u w:val="none"/>
    </w:rPr>
  </w:style>
  <w:style w:type="character" w:customStyle="1" w:styleId="84">
    <w:name w:val="font101"/>
    <w:basedOn w:val="25"/>
    <w:qFormat/>
    <w:uiPriority w:val="0"/>
    <w:rPr>
      <w:rFonts w:hint="eastAsia" w:ascii="楷体_GB2312" w:eastAsia="楷体_GB2312" w:cs="楷体_GB2312"/>
      <w:color w:val="000000"/>
      <w:sz w:val="20"/>
      <w:szCs w:val="20"/>
      <w:u w:val="none"/>
    </w:rPr>
  </w:style>
  <w:style w:type="character" w:customStyle="1" w:styleId="85">
    <w:name w:val="font151"/>
    <w:basedOn w:val="25"/>
    <w:qFormat/>
    <w:uiPriority w:val="0"/>
    <w:rPr>
      <w:rFonts w:hint="default" w:ascii="Times New Roman" w:hAnsi="Times New Roman" w:cs="Times New Roman"/>
      <w:color w:val="000000"/>
      <w:sz w:val="20"/>
      <w:szCs w:val="20"/>
      <w:u w:val="none"/>
    </w:rPr>
  </w:style>
  <w:style w:type="character" w:customStyle="1" w:styleId="86">
    <w:name w:val="font11"/>
    <w:basedOn w:val="25"/>
    <w:qFormat/>
    <w:uiPriority w:val="0"/>
    <w:rPr>
      <w:rFonts w:hint="eastAsia" w:ascii="仿宋_GB2312" w:eastAsia="仿宋_GB2312" w:cs="仿宋_GB2312"/>
      <w:color w:val="FF0000"/>
      <w:sz w:val="20"/>
      <w:szCs w:val="20"/>
      <w:u w:val="none"/>
    </w:rPr>
  </w:style>
  <w:style w:type="character" w:customStyle="1" w:styleId="87">
    <w:name w:val="font51"/>
    <w:basedOn w:val="25"/>
    <w:qFormat/>
    <w:uiPriority w:val="0"/>
    <w:rPr>
      <w:rFonts w:hint="default" w:ascii="Times New Roman" w:hAnsi="Times New Roman" w:cs="Times New Roman"/>
      <w:color w:val="FF0000"/>
      <w:sz w:val="20"/>
      <w:szCs w:val="20"/>
      <w:u w:val="none"/>
    </w:rPr>
  </w:style>
  <w:style w:type="character" w:customStyle="1" w:styleId="88">
    <w:name w:val="font161"/>
    <w:basedOn w:val="25"/>
    <w:qFormat/>
    <w:uiPriority w:val="0"/>
    <w:rPr>
      <w:rFonts w:hint="eastAsia" w:ascii="仿宋_GB2312" w:eastAsia="仿宋_GB2312" w:cs="仿宋_GB2312"/>
      <w:color w:val="FF0000"/>
      <w:sz w:val="20"/>
      <w:szCs w:val="20"/>
      <w:u w:val="none"/>
    </w:rPr>
  </w:style>
  <w:style w:type="character" w:customStyle="1" w:styleId="89">
    <w:name w:val="font91"/>
    <w:basedOn w:val="25"/>
    <w:qFormat/>
    <w:uiPriority w:val="0"/>
    <w:rPr>
      <w:rFonts w:hint="eastAsia" w:ascii="楷体_GB2312" w:eastAsia="楷体_GB2312" w:cs="楷体_GB2312"/>
      <w:color w:val="000000"/>
      <w:sz w:val="20"/>
      <w:szCs w:val="20"/>
      <w:u w:val="none"/>
    </w:rPr>
  </w:style>
  <w:style w:type="character" w:customStyle="1" w:styleId="90">
    <w:name w:val="font41"/>
    <w:basedOn w:val="25"/>
    <w:qFormat/>
    <w:uiPriority w:val="0"/>
    <w:rPr>
      <w:rFonts w:hint="default" w:ascii="Times New Roman" w:hAnsi="Times New Roman" w:cs="Times New Roman"/>
      <w:color w:val="000000"/>
      <w:sz w:val="20"/>
      <w:szCs w:val="20"/>
      <w:u w:val="none"/>
    </w:rPr>
  </w:style>
  <w:style w:type="character" w:customStyle="1" w:styleId="91">
    <w:name w:val="font01"/>
    <w:basedOn w:val="25"/>
    <w:qFormat/>
    <w:uiPriority w:val="0"/>
    <w:rPr>
      <w:rFonts w:hint="eastAsia" w:ascii="宋体" w:hAnsi="宋体" w:eastAsia="宋体" w:cs="宋体"/>
      <w:color w:val="000000"/>
      <w:sz w:val="20"/>
      <w:szCs w:val="20"/>
      <w:u w:val="none"/>
    </w:rPr>
  </w:style>
  <w:style w:type="character" w:customStyle="1" w:styleId="92">
    <w:name w:val="font81"/>
    <w:basedOn w:val="25"/>
    <w:qFormat/>
    <w:uiPriority w:val="0"/>
    <w:rPr>
      <w:rFonts w:hint="eastAsia" w:ascii="宋体" w:hAnsi="宋体" w:eastAsia="宋体" w:cs="宋体"/>
      <w:color w:val="FF0000"/>
      <w:sz w:val="20"/>
      <w:szCs w:val="20"/>
      <w:u w:val="none"/>
    </w:rPr>
  </w:style>
  <w:style w:type="character" w:customStyle="1" w:styleId="93">
    <w:name w:val="font71"/>
    <w:basedOn w:val="25"/>
    <w:qFormat/>
    <w:uiPriority w:val="0"/>
    <w:rPr>
      <w:rFonts w:hint="eastAsia" w:ascii="仿宋_GB2312" w:eastAsia="仿宋_GB2312" w:cs="仿宋_GB2312"/>
      <w:color w:val="000000"/>
      <w:sz w:val="20"/>
      <w:szCs w:val="20"/>
      <w:u w:val="none"/>
    </w:rPr>
  </w:style>
  <w:style w:type="paragraph" w:customStyle="1" w:styleId="94">
    <w:name w:val="chy报告正文"/>
    <w:next w:val="1"/>
    <w:qFormat/>
    <w:uiPriority w:val="0"/>
    <w:pPr>
      <w:widowControl w:val="0"/>
      <w:spacing w:line="560" w:lineRule="exact"/>
      <w:ind w:firstLine="200" w:firstLineChars="200"/>
      <w:jc w:val="both"/>
    </w:pPr>
    <w:rPr>
      <w:rFonts w:ascii="宋体" w:hAnsi="宋体" w:eastAsia="仿宋" w:cs="Times New Roman"/>
      <w:sz w:val="28"/>
      <w:szCs w:val="28"/>
      <w:lang w:val="en-US" w:eastAsia="zh-CN" w:bidi="ar-SA"/>
    </w:rPr>
  </w:style>
  <w:style w:type="paragraph" w:customStyle="1" w:styleId="95">
    <w:name w:val="正文 A"/>
    <w:qFormat/>
    <w:uiPriority w:val="0"/>
    <w:pPr>
      <w:widowControl w:val="0"/>
      <w:jc w:val="both"/>
    </w:pPr>
    <w:rPr>
      <w:rFonts w:hint="eastAsia" w:ascii="Arial Unicode MS" w:hAnsi="Arial Unicode MS" w:eastAsia="Arial Unicode MS" w:cs="Arial Unicode MS"/>
      <w:color w:val="000000"/>
      <w:kern w:val="2"/>
      <w:sz w:val="21"/>
      <w:szCs w:val="21"/>
      <w:u w:val="none" w:color="000000"/>
      <w:lang w:val="en-US" w:eastAsia="zh-CN" w:bidi="ar-SA"/>
    </w:rPr>
  </w:style>
  <w:style w:type="character" w:customStyle="1" w:styleId="96">
    <w:name w:val="NormalCharacter"/>
    <w:semiHidden/>
    <w:qFormat/>
    <w:uiPriority w:val="0"/>
  </w:style>
  <w:style w:type="paragraph" w:customStyle="1" w:styleId="97">
    <w:name w:val="Chy报告正文"/>
    <w:basedOn w:val="1"/>
    <w:next w:val="1"/>
    <w:qFormat/>
    <w:uiPriority w:val="0"/>
    <w:pPr>
      <w:spacing w:line="560" w:lineRule="exact"/>
      <w:ind w:firstLine="200" w:firstLineChars="200"/>
    </w:pPr>
    <w:rPr>
      <w:rFonts w:ascii="宋体" w:hAnsi="宋体"/>
      <w:kern w:val="0"/>
      <w:sz w:val="32"/>
      <w:szCs w:val="28"/>
    </w:rPr>
  </w:style>
  <w:style w:type="paragraph" w:customStyle="1" w:styleId="98">
    <w:name w:val="样式 样式 左侧:  2 字符 + 左侧:  0.85 厘米 首行缩进:  2 字符1"/>
    <w:basedOn w:val="1"/>
    <w:qFormat/>
    <w:uiPriority w:val="0"/>
    <w:pPr>
      <w:spacing w:line="240" w:lineRule="auto"/>
      <w:ind w:left="482"/>
    </w:pPr>
    <w:rPr>
      <w:rFonts w:ascii="Calibri" w:hAnsi="Calibri" w:eastAsia="宋体" w:cs="宋体"/>
      <w:kern w:val="0"/>
      <w:sz w:val="21"/>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Users\Administrator\Desktop\04-&#38395;&#25919;-&#26684;&#24335;&#27169;&#26495;-20190219-&#26356;&#26032;-v3.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04-闻政-格式模板-20190219-更新-v3</Template>
  <Pages>71</Pages>
  <Words>5732</Words>
  <Characters>32679</Characters>
  <Lines>272</Lines>
  <Paragraphs>76</Paragraphs>
  <TotalTime>0</TotalTime>
  <ScaleCrop>false</ScaleCrop>
  <LinksUpToDate>false</LinksUpToDate>
  <CharactersWithSpaces>38335</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2019-09-23T13:19:00Z</dcterms:created>
  <dc:creator>张恩华</dc:creator>
  <cp:lastModifiedBy>uos</cp:lastModifiedBy>
  <cp:lastPrinted>2021-07-11T14:19:00Z</cp:lastPrinted>
  <dcterms:modified xsi:type="dcterms:W3CDTF">2023-09-11T17:56:32Z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KSOSaveFontToCloudKey">
    <vt:lpwstr>584113063_btnclosed</vt:lpwstr>
  </property>
  <property fmtid="{D5CDD505-2E9C-101B-9397-08002B2CF9AE}" pid="4" name="ICV">
    <vt:lpwstr>7C4CC9A6CCC54791AAFE908CC0F2F0E3</vt:lpwstr>
  </property>
</Properties>
</file>