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青岛市科技局2022年政府信息公开工作</w:t>
      </w:r>
    </w:p>
    <w:p>
      <w:pPr>
        <w:snapToGrid w:val="0"/>
        <w:spacing w:line="560" w:lineRule="exact"/>
        <w:jc w:val="center"/>
        <w:rPr>
          <w:rFonts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年度报告</w:t>
      </w:r>
    </w:p>
    <w:p>
      <w:pPr>
        <w:snapToGrid w:val="0"/>
        <w:spacing w:line="560" w:lineRule="exact"/>
        <w:ind w:firstLine="640" w:firstLineChars="200"/>
        <w:jc w:val="left"/>
        <w:rPr>
          <w:rFonts w:ascii="仿宋_GB2312" w:hAnsi="黑体" w:eastAsia="仿宋_GB2312"/>
          <w:color w:val="000000"/>
          <w:sz w:val="32"/>
          <w:szCs w:val="32"/>
        </w:rPr>
      </w:pPr>
    </w:p>
    <w:p>
      <w:pPr>
        <w:widowControl/>
        <w:ind w:firstLine="620" w:firstLineChars="200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本报告根据《中华人民共和国政府信息公开条例》（以下简称《条例》）等有关要求编制。本报告由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总体情况、主动公开政府信息的情况、收到和处理政府信息公开申请的情况、因政府信息公开工作被申请行政复议和提起行政诉讼的情况、政府信息公开工作存在的主要问题及改进情况、其他需要报告的事项组成。本年度报告的电子版可在青岛政务网（www.qingdao.gov.cn）下载。如对本报告有任何疑问，请与青岛市科技局联系（地址：青岛市市南区香港中路 11号，邮编：266071，电话：0532-85911345，传真：0532-85911333，电子邮箱：qdstc@qd.shandong.cn）。</w:t>
      </w:r>
    </w:p>
    <w:p>
      <w:pPr>
        <w:snapToGrid w:val="0"/>
        <w:spacing w:line="560" w:lineRule="exac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　　一、总体情况</w:t>
      </w:r>
    </w:p>
    <w:p>
      <w:pPr>
        <w:snapToGrid w:val="0"/>
        <w:spacing w:line="560" w:lineRule="exact"/>
        <w:ind w:firstLine="645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2022年，我局严格按照国家、省、市对政府信息公开有关要求，</w:t>
      </w:r>
      <w:r>
        <w:rPr>
          <w:rFonts w:hint="eastAsia" w:ascii="仿宋_GB2312" w:eastAsia="仿宋_GB2312" w:cs="仿宋_GB2312"/>
          <w:sz w:val="32"/>
          <w:szCs w:val="32"/>
        </w:rPr>
        <w:t>进一步加大公开力度，加强信息主动发布，强化发布解读，注重与公众互动，进一步增加工作透明度，保障公众知情权和监督权。严格信息保密审查，完善政府信息公开机制，推动政府信息公开工作有序开展。</w:t>
      </w:r>
    </w:p>
    <w:p>
      <w:pPr>
        <w:snapToGrid w:val="0"/>
        <w:spacing w:line="560" w:lineRule="exact"/>
        <w:ind w:firstLine="645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 xml:space="preserve">主动公开。 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2022年公开政府信息 197 余条，含规范性文件 5 件、政策解读文件7件，政策解读5件，规章文件 0 件，按期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公开公文法规、财政财务信息、人事任免、工作动态、专题栏目等信息，对失效规范性文件进行及时标注发布。加大政策解读力度，对规范性文件进行常态化解读，部分实现图文形式解读。加强网站管理，在青岛市科技局网站设立政府信息公开专栏，同步公开政务信息。</w:t>
      </w:r>
    </w:p>
    <w:p>
      <w:pPr>
        <w:snapToGrid w:val="0"/>
        <w:spacing w:line="560" w:lineRule="exact"/>
        <w:ind w:firstLine="645"/>
        <w:jc w:val="left"/>
        <w:rPr>
          <w:rFonts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依申请公开。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全年新收到政府信息公开申请7件，比上年增加7倍；办结7件，比上年增加7倍；结转下年办理0件；因政府信息公开申请引发行政复议0件。</w:t>
      </w:r>
    </w:p>
    <w:p>
      <w:pPr>
        <w:snapToGrid w:val="0"/>
        <w:spacing w:line="560" w:lineRule="exact"/>
        <w:ind w:firstLine="645"/>
        <w:jc w:val="left"/>
        <w:rPr>
          <w:rFonts w:ascii="仿宋_GB2312" w:hAnsi="文星仿宋" w:eastAsia="仿宋_GB2312" w:cs="仿宋_GB2312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政府信息管理。</w:t>
      </w:r>
      <w:r>
        <w:rPr>
          <w:rFonts w:hint="eastAsia" w:ascii="仿宋_GB2312" w:hAnsi="文星仿宋" w:eastAsia="仿宋_GB2312" w:cs="仿宋_GB2312"/>
          <w:sz w:val="32"/>
          <w:szCs w:val="32"/>
        </w:rPr>
        <w:t>在局政府信息公开工作领导小组领导下，强化责任落实，由办公室分管领导具体抓，办公室专人负责做好政府信息公开有关工作。制定并印发了《青岛市科学技术局内部运行制度汇编》（试行）的通知（青科办字〔2022〕24号），其中《青岛市科学技术局公文处理工作办法》对公文处理做出规范管理，严格执行规范性文件公开及报送相关程序，明确责任处室和责任人，形成齐抓共管，共同推进的良好局面。</w:t>
      </w:r>
    </w:p>
    <w:p>
      <w:pPr>
        <w:snapToGrid w:val="0"/>
        <w:spacing w:line="560" w:lineRule="exact"/>
        <w:ind w:firstLine="645"/>
        <w:jc w:val="left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平台建设。</w:t>
      </w:r>
    </w:p>
    <w:p>
      <w:pPr>
        <w:snapToGrid w:val="0"/>
        <w:spacing w:line="560" w:lineRule="exact"/>
        <w:ind w:firstLine="645"/>
        <w:jc w:val="left"/>
        <w:rPr>
          <w:rFonts w:ascii="仿宋_GB2312" w:hAnsi="文星仿宋" w:eastAsia="仿宋_GB2312" w:cs="仿宋_GB2312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监督保障。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建立政府信息公开保密审查机制，坚持“先审查，后公开”的原则，对于公开发布信息一律由办公室审核，保密分管领导审签后发布。</w:t>
      </w:r>
      <w:r>
        <w:rPr>
          <w:rFonts w:hint="eastAsia" w:ascii="仿宋_GB2312" w:hAnsi="文星仿宋" w:eastAsia="仿宋_GB2312" w:cs="仿宋_GB2312"/>
          <w:sz w:val="32"/>
          <w:szCs w:val="32"/>
        </w:rPr>
        <w:t>加强工作督查，将政府信息公开工作纳入全局目标绩效考核，扎实推进政府信息公开工作开展。</w:t>
      </w:r>
    </w:p>
    <w:p>
      <w:pPr>
        <w:spacing w:line="560" w:lineRule="exact"/>
        <w:rPr>
          <w:rFonts w:ascii="仿宋_GB2312" w:hAnsi="文星仿宋" w:eastAsia="仿宋_GB2312" w:cs="仿宋_GB2312"/>
          <w:sz w:val="32"/>
          <w:szCs w:val="32"/>
        </w:rPr>
      </w:pPr>
      <w:r>
        <w:rPr>
          <w:rFonts w:hint="eastAsia" w:ascii="仿宋_GB2312" w:hAnsi="文星仿宋" w:eastAsia="仿宋_GB2312" w:cs="仿宋_GB2312"/>
          <w:sz w:val="32"/>
          <w:szCs w:val="32"/>
        </w:rPr>
        <w:br w:type="page"/>
      </w:r>
    </w:p>
    <w:p>
      <w:pPr>
        <w:snapToGrid w:val="0"/>
        <w:spacing w:line="560" w:lineRule="exact"/>
        <w:ind w:firstLine="645"/>
        <w:jc w:val="left"/>
        <w:rPr>
          <w:rFonts w:ascii="仿宋_GB2312" w:hAnsi="文星仿宋" w:eastAsia="仿宋_GB2312" w:cs="仿宋_GB2312"/>
          <w:sz w:val="32"/>
          <w:szCs w:val="32"/>
        </w:rPr>
      </w:pPr>
    </w:p>
    <w:p>
      <w:pPr>
        <w:numPr>
          <w:ilvl w:val="0"/>
          <w:numId w:val="1"/>
        </w:numPr>
        <w:snapToGrid w:val="0"/>
        <w:spacing w:line="560" w:lineRule="exact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主动公开政府信息情况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主动公开政府信息情况统计表</w:t>
      </w:r>
    </w:p>
    <w:tbl>
      <w:tblPr>
        <w:tblStyle w:val="5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2</w:t>
            </w:r>
            <w:r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5595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0</w:t>
            </w:r>
          </w:p>
        </w:tc>
      </w:tr>
    </w:tbl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收到和处理政府信息公开申请情况</w:t>
      </w:r>
      <w:bookmarkStart w:id="0" w:name="_Hlk83814431"/>
      <w:r>
        <w:rPr>
          <w:rFonts w:hint="eastAsia" w:ascii="方正小标宋简体" w:eastAsia="方正小标宋简体"/>
          <w:sz w:val="44"/>
          <w:szCs w:val="44"/>
        </w:rPr>
        <w:t>统计表</w:t>
      </w:r>
      <w:bookmarkEnd w:id="0"/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tbl>
      <w:tblPr>
        <w:tblStyle w:val="5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bookmarkStart w:id="1" w:name="_Hlk124448784"/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2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6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3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3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4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5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6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7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8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9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9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10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1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56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6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</w:t>
            </w:r>
          </w:p>
        </w:tc>
      </w:tr>
      <w:bookmarkEnd w:id="1"/>
    </w:tbl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  <w:sectPr>
          <w:pgSz w:w="11906" w:h="16838"/>
          <w:pgMar w:top="1440" w:right="1474" w:bottom="1440" w:left="1588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因政府信息公开工作被申请行政复议、提起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行政诉讼情况统计表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spacing w:line="560" w:lineRule="exact"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81" w:leftChars="-39" w:right="-96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17" w:leftChars="-56" w:right="-117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spacing w:line="560" w:lineRule="exact"/>
              <w:ind w:left="-117" w:leftChars="-56" w:right="-117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</w:rPr>
            </w:pPr>
            <w:bookmarkStart w:id="11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1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spacing w:line="560" w:lineRule="exact"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63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spacing w:line="560" w:lineRule="exact"/>
              <w:ind w:left="-163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98" w:leftChars="-47" w:right="-77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36" w:leftChars="-65" w:right="-123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spacing w:line="560" w:lineRule="exact"/>
              <w:ind w:left="-136" w:leftChars="-65" w:right="-123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spacing w:line="560" w:lineRule="exact"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>
      <w:pPr>
        <w:snapToGrid w:val="0"/>
        <w:spacing w:line="560" w:lineRule="exact"/>
        <w:jc w:val="left"/>
        <w:rPr>
          <w:rFonts w:ascii="黑体" w:hAnsi="黑体" w:eastAsia="黑体"/>
          <w:color w:val="000000"/>
          <w:sz w:val="16"/>
          <w:szCs w:val="16"/>
        </w:rPr>
      </w:pP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ascii="宋体" w:hAnsi="宋体" w:cs="宋体"/>
          <w:b/>
          <w:color w:val="333333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　</w:t>
      </w:r>
      <w:bookmarkStart w:id="12" w:name="_GoBack"/>
      <w:r>
        <w:rPr>
          <w:rFonts w:hint="eastAsia" w:ascii="黑体" w:hAnsi="黑体" w:eastAsia="黑体"/>
          <w:color w:val="000000"/>
          <w:sz w:val="32"/>
          <w:szCs w:val="32"/>
        </w:rPr>
        <w:t>　五、存在的主要问题及改进情况</w:t>
      </w:r>
    </w:p>
    <w:p>
      <w:pPr>
        <w:snapToGrid w:val="0"/>
        <w:spacing w:line="560" w:lineRule="exact"/>
        <w:ind w:firstLine="627" w:firstLineChars="196"/>
        <w:rPr>
          <w:rFonts w:ascii="仿宋_GB2312" w:hAnsi="仿宋" w:eastAsia="仿宋_GB2312" w:cs="Arial"/>
          <w:kern w:val="0"/>
          <w:sz w:val="32"/>
          <w:szCs w:val="32"/>
        </w:rPr>
      </w:pPr>
      <w:r>
        <w:rPr>
          <w:rFonts w:hint="eastAsia" w:ascii="仿宋_GB2312" w:hAnsi="仿宋" w:eastAsia="仿宋_GB2312" w:cs="Arial"/>
          <w:kern w:val="0"/>
          <w:sz w:val="32"/>
          <w:szCs w:val="32"/>
        </w:rPr>
        <w:t>一年以来，虽然我局政府信息公开工作取得了一定成效，但也存在政策解读解读形式相对单一等问题。下一步，我局将深入贯彻国家、省、市政府信息有关部署，严格把关，强化责任落实，进一步加大公开力度，切实将政府信息公开工作提升到新水平。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hAnsi="黑体" w:eastAsia="仿宋_GB2312"/>
          <w:color w:val="000000"/>
          <w:kern w:val="2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kern w:val="2"/>
          <w:sz w:val="32"/>
          <w:szCs w:val="32"/>
        </w:rPr>
        <w:t>　　</w:t>
      </w:r>
      <w:r>
        <w:rPr>
          <w:rFonts w:hint="eastAsia" w:ascii="黑体" w:hAnsi="黑体" w:eastAsia="黑体"/>
          <w:color w:val="000000"/>
          <w:sz w:val="32"/>
          <w:szCs w:val="32"/>
        </w:rPr>
        <w:t>六、其他需要报告的事项</w:t>
      </w:r>
    </w:p>
    <w:p>
      <w:pPr>
        <w:widowControl/>
        <w:spacing w:line="555" w:lineRule="atLeast"/>
        <w:ind w:firstLine="645"/>
        <w:jc w:val="left"/>
        <w:rPr>
          <w:rFonts w:ascii="微软雅黑" w:hAnsi="微软雅黑" w:eastAsia="微软雅黑" w:cs="宋体"/>
          <w:color w:val="333333"/>
          <w:kern w:val="0"/>
          <w:sz w:val="27"/>
          <w:szCs w:val="27"/>
        </w:rPr>
      </w:pPr>
      <w:r>
        <w:rPr>
          <w:rFonts w:hint="eastAsia" w:ascii="楷体_GB2312" w:hAnsi="微软雅黑" w:eastAsia="楷体_GB2312" w:cs="宋体"/>
          <w:color w:val="333333"/>
          <w:kern w:val="0"/>
          <w:sz w:val="32"/>
          <w:szCs w:val="32"/>
        </w:rPr>
        <w:t>（一）信息处理费收取情况。</w:t>
      </w:r>
    </w:p>
    <w:p>
      <w:pPr>
        <w:snapToGrid w:val="0"/>
        <w:spacing w:line="560" w:lineRule="exact"/>
        <w:ind w:firstLine="627" w:firstLineChars="196"/>
        <w:rPr>
          <w:rFonts w:ascii="仿宋_GB2312" w:hAnsi="仿宋" w:eastAsia="仿宋_GB2312" w:cs="Arial"/>
          <w:kern w:val="0"/>
          <w:sz w:val="32"/>
          <w:szCs w:val="32"/>
        </w:rPr>
      </w:pPr>
      <w:r>
        <w:rPr>
          <w:rFonts w:ascii="仿宋_GB2312" w:hAnsi="仿宋" w:eastAsia="仿宋_GB2312" w:cs="Arial"/>
          <w:kern w:val="0"/>
          <w:sz w:val="32"/>
          <w:szCs w:val="32"/>
        </w:rPr>
        <w:t>2022</w:t>
      </w:r>
      <w:r>
        <w:rPr>
          <w:rFonts w:hint="eastAsia" w:ascii="仿宋_GB2312" w:hAnsi="仿宋" w:eastAsia="仿宋_GB2312" w:cs="Arial"/>
          <w:kern w:val="0"/>
          <w:sz w:val="32"/>
          <w:szCs w:val="32"/>
        </w:rPr>
        <w:t>年实际收取信息处理费金额为</w:t>
      </w:r>
      <w:r>
        <w:rPr>
          <w:rFonts w:ascii="仿宋_GB2312" w:hAnsi="仿宋" w:eastAsia="仿宋_GB2312" w:cs="Arial"/>
          <w:kern w:val="0"/>
          <w:sz w:val="32"/>
          <w:szCs w:val="32"/>
        </w:rPr>
        <w:t>0</w:t>
      </w:r>
      <w:r>
        <w:rPr>
          <w:rFonts w:hint="eastAsia" w:ascii="仿宋_GB2312" w:hAnsi="仿宋" w:eastAsia="仿宋_GB2312" w:cs="Arial"/>
          <w:kern w:val="0"/>
          <w:sz w:val="32"/>
          <w:szCs w:val="32"/>
        </w:rPr>
        <w:t>元。</w:t>
      </w:r>
    </w:p>
    <w:p>
      <w:pPr>
        <w:widowControl/>
        <w:spacing w:line="555" w:lineRule="atLeast"/>
        <w:ind w:firstLine="645"/>
        <w:jc w:val="left"/>
        <w:rPr>
          <w:rFonts w:ascii="微软雅黑" w:hAnsi="微软雅黑" w:eastAsia="微软雅黑" w:cs="宋体"/>
          <w:color w:val="333333"/>
          <w:kern w:val="0"/>
          <w:sz w:val="27"/>
          <w:szCs w:val="27"/>
        </w:rPr>
      </w:pPr>
      <w:r>
        <w:rPr>
          <w:rFonts w:hint="eastAsia" w:ascii="楷体_GB2312" w:hAnsi="微软雅黑" w:eastAsia="楷体_GB2312" w:cs="宋体"/>
          <w:color w:val="333333"/>
          <w:kern w:val="0"/>
          <w:sz w:val="32"/>
          <w:szCs w:val="32"/>
        </w:rPr>
        <w:t>（二）建议提案办理结果公开情况</w:t>
      </w:r>
    </w:p>
    <w:p>
      <w:pPr>
        <w:snapToGrid w:val="0"/>
        <w:spacing w:line="560" w:lineRule="exact"/>
        <w:ind w:firstLine="627" w:firstLineChars="196"/>
        <w:rPr>
          <w:rFonts w:ascii="仿宋_GB2312" w:hAnsi="仿宋" w:eastAsia="仿宋_GB2312" w:cs="Arial"/>
          <w:kern w:val="0"/>
          <w:sz w:val="32"/>
          <w:szCs w:val="32"/>
        </w:rPr>
      </w:pPr>
      <w:r>
        <w:rPr>
          <w:rFonts w:hint="eastAsia" w:ascii="仿宋_GB2312" w:hAnsi="仿宋" w:eastAsia="仿宋_GB2312" w:cs="Arial"/>
          <w:kern w:val="0"/>
          <w:sz w:val="32"/>
          <w:szCs w:val="32"/>
        </w:rPr>
        <w:t>2022年，市科技局共办理人大建议和政协提案共179件，较上年度增加85件。人大建议69件，较上年度增加44件，其中主办件15件，会办件54件；主办市政府领导重点督办建议2件，人大建议所提问题办理结果均为A类。政协提案110件，较上年度增加41件，其中主办件41件，会办件69件；组织提案4件。政协提案主办件所提问题办理结果均为A类。</w:t>
      </w:r>
    </w:p>
    <w:p>
      <w:pPr>
        <w:snapToGrid w:val="0"/>
        <w:spacing w:line="560" w:lineRule="exact"/>
        <w:ind w:firstLine="627" w:firstLineChars="196"/>
        <w:rPr>
          <w:rFonts w:ascii="仿宋_GB2312" w:hAnsi="仿宋" w:eastAsia="仿宋_GB2312" w:cs="Arial"/>
          <w:kern w:val="0"/>
          <w:sz w:val="32"/>
          <w:szCs w:val="32"/>
        </w:rPr>
      </w:pPr>
      <w:r>
        <w:rPr>
          <w:rFonts w:hint="eastAsia" w:ascii="仿宋_GB2312" w:hAnsi="仿宋" w:eastAsia="仿宋_GB2312" w:cs="Arial"/>
          <w:kern w:val="0"/>
          <w:sz w:val="32"/>
          <w:szCs w:val="32"/>
        </w:rPr>
        <w:t>为抓好建议提案办理，市科技局高度重视，认真梳理研究，建立建议提案办理工作台账，明确分管领导和牵头处室（单位），通过层层分解任务，层层压实责任，不断完善办理机制，创新形成“精心、精研、精细、精准”的“四精”办理举措，推动建议提案办理取得新实效。按规定时限圆满完成了全年的办理任务，并及时答复了有关人大代表、政协委员，答复率100%。</w:t>
      </w:r>
    </w:p>
    <w:p>
      <w:pPr>
        <w:widowControl/>
        <w:spacing w:line="555" w:lineRule="atLeast"/>
        <w:ind w:firstLine="645"/>
        <w:jc w:val="left"/>
        <w:rPr>
          <w:rFonts w:ascii="微软雅黑" w:hAnsi="微软雅黑" w:eastAsia="微软雅黑" w:cs="宋体"/>
          <w:color w:val="333333"/>
          <w:kern w:val="0"/>
          <w:sz w:val="27"/>
          <w:szCs w:val="27"/>
        </w:rPr>
      </w:pPr>
      <w:r>
        <w:rPr>
          <w:rFonts w:hint="eastAsia" w:ascii="楷体_GB2312" w:hAnsi="微软雅黑" w:eastAsia="楷体_GB2312" w:cs="宋体"/>
          <w:color w:val="333333"/>
          <w:kern w:val="0"/>
          <w:sz w:val="32"/>
          <w:szCs w:val="32"/>
        </w:rPr>
        <w:t>（三）政务公开工作创新情况</w:t>
      </w:r>
    </w:p>
    <w:p>
      <w:pPr>
        <w:widowControl/>
        <w:spacing w:line="555" w:lineRule="atLeast"/>
        <w:jc w:val="left"/>
        <w:rPr>
          <w:rFonts w:ascii="仿宋_GB2312" w:hAnsi="仿宋" w:eastAsia="仿宋_GB2312" w:cs="Arial"/>
          <w:kern w:val="0"/>
          <w:sz w:val="32"/>
          <w:szCs w:val="32"/>
        </w:rPr>
      </w:pPr>
      <w:r>
        <w:rPr>
          <w:rFonts w:hint="eastAsia" w:ascii="楷体_GB2312" w:hAnsi="微软雅黑" w:eastAsia="楷体_GB2312" w:cs="宋体"/>
          <w:color w:val="333333"/>
          <w:kern w:val="0"/>
          <w:sz w:val="32"/>
          <w:szCs w:val="32"/>
        </w:rPr>
        <w:t>    </w:t>
      </w:r>
      <w:r>
        <w:rPr>
          <w:rFonts w:ascii="仿宋_GB2312" w:hAnsi="仿宋" w:eastAsia="仿宋_GB2312" w:cs="Arial"/>
          <w:kern w:val="0"/>
          <w:sz w:val="32"/>
          <w:szCs w:val="32"/>
        </w:rPr>
        <w:t>2022</w:t>
      </w:r>
      <w:r>
        <w:rPr>
          <w:rFonts w:hint="eastAsia" w:ascii="仿宋_GB2312" w:hAnsi="仿宋" w:eastAsia="仿宋_GB2312" w:cs="Arial"/>
          <w:kern w:val="0"/>
          <w:sz w:val="32"/>
          <w:szCs w:val="32"/>
        </w:rPr>
        <w:t>年青岛市科技局切实加强政府信息公开和政务新媒体建设工作，通过“青岛科技通”微信公众号，采取多形式、全方位、全覆盖方式推动科技信息公开，加强科技政策解读回应，让科技政策更多惠及全市企业，带动我市科技经济高质量发展。</w:t>
      </w:r>
      <w:r>
        <w:rPr>
          <w:rFonts w:hint="eastAsia" w:ascii="仿宋_GB2312" w:hAnsi="Arial" w:eastAsia="仿宋_GB2312" w:cs="Arial"/>
          <w:sz w:val="32"/>
          <w:szCs w:val="32"/>
        </w:rPr>
        <w:t>青岛市科学技术局网站网址为</w:t>
      </w:r>
      <w:r>
        <w:fldChar w:fldCharType="begin"/>
      </w:r>
      <w:r>
        <w:instrText xml:space="preserve"> HYPERLINK "http://qdstc.qingdao.gov.cn/" </w:instrText>
      </w:r>
      <w:r>
        <w:fldChar w:fldCharType="separate"/>
      </w:r>
      <w:r>
        <w:rPr>
          <w:rFonts w:hint="eastAsia" w:ascii="仿宋_GB2312" w:hAnsi="Arial" w:eastAsia="仿宋_GB2312" w:cs="Arial"/>
          <w:sz w:val="32"/>
          <w:szCs w:val="32"/>
        </w:rPr>
        <w:t>http://qdstc.qingdao.gov.cn</w:t>
      </w:r>
      <w:r>
        <w:rPr>
          <w:rFonts w:hint="eastAsia" w:ascii="仿宋_GB2312" w:hAnsi="Arial" w:eastAsia="仿宋_GB2312" w:cs="Arial"/>
          <w:sz w:val="32"/>
          <w:szCs w:val="32"/>
        </w:rPr>
        <w:fldChar w:fldCharType="end"/>
      </w:r>
      <w:r>
        <w:rPr>
          <w:rFonts w:hint="eastAsia" w:ascii="仿宋_GB2312" w:hAnsi="Arial" w:eastAsia="仿宋_GB2312" w:cs="Arial"/>
          <w:sz w:val="32"/>
          <w:szCs w:val="32"/>
        </w:rPr>
        <w:t>,如需要了解更多政府信息，请登录查询。</w:t>
      </w:r>
    </w:p>
    <w:bookmarkEnd w:id="12"/>
    <w:p>
      <w:pPr>
        <w:pStyle w:val="4"/>
        <w:widowControl/>
        <w:shd w:val="clear" w:color="auto" w:fill="FFFFFF"/>
        <w:spacing w:beforeAutospacing="0" w:afterAutospacing="0" w:line="560" w:lineRule="exact"/>
        <w:jc w:val="both"/>
      </w:pP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</w:pP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</w:pP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</w:pP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hAnsi="Arial" w:eastAsia="仿宋_GB2312" w:cs="Arial"/>
          <w:sz w:val="32"/>
          <w:szCs w:val="32"/>
        </w:rPr>
      </w:pPr>
      <w:r>
        <w:rPr>
          <w:rFonts w:hint="eastAsia"/>
        </w:rPr>
        <w:t xml:space="preserve">                                        </w:t>
      </w:r>
      <w:r>
        <w:rPr>
          <w:rFonts w:hint="eastAsia" w:ascii="仿宋_GB2312" w:hAnsi="Arial" w:eastAsia="仿宋_GB2312" w:cs="Arial"/>
          <w:sz w:val="32"/>
          <w:szCs w:val="32"/>
        </w:rPr>
        <w:t xml:space="preserve">      青岛市科学技术局</w:t>
      </w:r>
    </w:p>
    <w:p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 xml:space="preserve">                                    2023年1月18日</w:t>
      </w: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304" w:bottom="1531" w:left="1531" w:header="851" w:footer="1191" w:gutter="0"/>
      <w:pgNumType w:start="1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BC3363"/>
    <w:multiLevelType w:val="singleLevel"/>
    <w:tmpl w:val="7BBC3363"/>
    <w:lvl w:ilvl="0" w:tentative="0">
      <w:start w:val="2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6A"/>
    <w:rsid w:val="0004469D"/>
    <w:rsid w:val="000B0A07"/>
    <w:rsid w:val="000F3313"/>
    <w:rsid w:val="001B7216"/>
    <w:rsid w:val="001E13D4"/>
    <w:rsid w:val="00302B87"/>
    <w:rsid w:val="0034666A"/>
    <w:rsid w:val="00365FB6"/>
    <w:rsid w:val="003F4B51"/>
    <w:rsid w:val="00421392"/>
    <w:rsid w:val="004B1A80"/>
    <w:rsid w:val="00536E1F"/>
    <w:rsid w:val="005439C0"/>
    <w:rsid w:val="005D2B6F"/>
    <w:rsid w:val="00606415"/>
    <w:rsid w:val="00690464"/>
    <w:rsid w:val="006E0A46"/>
    <w:rsid w:val="007116A2"/>
    <w:rsid w:val="0079056A"/>
    <w:rsid w:val="007949DB"/>
    <w:rsid w:val="007C4C28"/>
    <w:rsid w:val="007E6E59"/>
    <w:rsid w:val="007F7BB5"/>
    <w:rsid w:val="008C2F55"/>
    <w:rsid w:val="00994AC6"/>
    <w:rsid w:val="009F0DB0"/>
    <w:rsid w:val="00B47DBC"/>
    <w:rsid w:val="00CC6694"/>
    <w:rsid w:val="00CD2FAF"/>
    <w:rsid w:val="00D658F0"/>
    <w:rsid w:val="00DB608D"/>
    <w:rsid w:val="00E734B8"/>
    <w:rsid w:val="00F13688"/>
    <w:rsid w:val="00F40B5C"/>
    <w:rsid w:val="00F751BB"/>
    <w:rsid w:val="02F47C4F"/>
    <w:rsid w:val="04DD8F97"/>
    <w:rsid w:val="07DD3F2E"/>
    <w:rsid w:val="19FF44DA"/>
    <w:rsid w:val="1DC1395F"/>
    <w:rsid w:val="1EE9EBEF"/>
    <w:rsid w:val="201C5E2E"/>
    <w:rsid w:val="20855A2C"/>
    <w:rsid w:val="2E2F6515"/>
    <w:rsid w:val="2FFFFFA5"/>
    <w:rsid w:val="396F3824"/>
    <w:rsid w:val="3BEFF887"/>
    <w:rsid w:val="3D7F5610"/>
    <w:rsid w:val="3F7EB4B6"/>
    <w:rsid w:val="4CB7D477"/>
    <w:rsid w:val="4FFCC0A3"/>
    <w:rsid w:val="51E33C0A"/>
    <w:rsid w:val="53987432"/>
    <w:rsid w:val="574C1CF8"/>
    <w:rsid w:val="5F7F2D45"/>
    <w:rsid w:val="5F8D9FC2"/>
    <w:rsid w:val="5F9F2C5E"/>
    <w:rsid w:val="5FFDDAF5"/>
    <w:rsid w:val="6BFFF430"/>
    <w:rsid w:val="7364055E"/>
    <w:rsid w:val="73BB6835"/>
    <w:rsid w:val="73F8BD4F"/>
    <w:rsid w:val="73FF920A"/>
    <w:rsid w:val="7B565782"/>
    <w:rsid w:val="7BDD5EDF"/>
    <w:rsid w:val="7BFD1338"/>
    <w:rsid w:val="7CDC717E"/>
    <w:rsid w:val="7CEDBC82"/>
    <w:rsid w:val="7DC01B84"/>
    <w:rsid w:val="7F6D2263"/>
    <w:rsid w:val="7F8E00D4"/>
    <w:rsid w:val="7FEFD81B"/>
    <w:rsid w:val="7FF72A03"/>
    <w:rsid w:val="7FF763F8"/>
    <w:rsid w:val="7FFCD7A7"/>
    <w:rsid w:val="7FFF0B31"/>
    <w:rsid w:val="8EEFE739"/>
    <w:rsid w:val="AB4FFBF4"/>
    <w:rsid w:val="ADFF8C90"/>
    <w:rsid w:val="AF3BD6B7"/>
    <w:rsid w:val="B76F3081"/>
    <w:rsid w:val="BE0FC3A7"/>
    <w:rsid w:val="BFF79A1A"/>
    <w:rsid w:val="C3F77348"/>
    <w:rsid w:val="CBB7CBC9"/>
    <w:rsid w:val="DB74F19C"/>
    <w:rsid w:val="DDFDFB31"/>
    <w:rsid w:val="E76FC4C7"/>
    <w:rsid w:val="E7FE59B9"/>
    <w:rsid w:val="EE6DB55B"/>
    <w:rsid w:val="EED8197E"/>
    <w:rsid w:val="EF7E3AF9"/>
    <w:rsid w:val="F77F4E84"/>
    <w:rsid w:val="F99ED69F"/>
    <w:rsid w:val="FBBF3434"/>
    <w:rsid w:val="FE5B1AE6"/>
    <w:rsid w:val="FE7F3EB6"/>
    <w:rsid w:val="FEFD3EE1"/>
    <w:rsid w:val="FF3FE5A4"/>
    <w:rsid w:val="FF5EAD83"/>
    <w:rsid w:val="FF7E34AC"/>
    <w:rsid w:val="FFF72065"/>
    <w:rsid w:val="FFFD329C"/>
    <w:rsid w:val="FFFF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481</Words>
  <Characters>2745</Characters>
  <Lines>22</Lines>
  <Paragraphs>6</Paragraphs>
  <TotalTime>66</TotalTime>
  <ScaleCrop>false</ScaleCrop>
  <LinksUpToDate>false</LinksUpToDate>
  <CharactersWithSpaces>3220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2023-01-12T20:32:00Z</dcterms:created>
  <dc:creator>Administrator</dc:creator>
  <cp:lastModifiedBy>user</cp:lastModifiedBy>
  <cp:lastPrinted>2021-01-30T19:05:00Z</cp:lastPrinted>
  <dcterms:modified xsi:type="dcterms:W3CDTF">2023-07-20T15:27:46Z</dcterms:modified>
  <dc:title>2020年度市科技局信息公开工作报告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