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60" w:lineRule="atLeast"/>
        <w:jc w:val="center"/>
        <w:textAlignment w:val="auto"/>
        <w:rPr>
          <w:rFonts w:hint="default" w:ascii="Times New Roman" w:hAnsi="Times New Roman" w:eastAsia="方正小标宋简体" w:cs="Times New Roman"/>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lang w:eastAsia="zh-CN"/>
        </w:rPr>
      </w:pPr>
      <w:r>
        <w:rPr>
          <w:rFonts w:hint="default" w:ascii="Times New Roman" w:hAnsi="Times New Roman" w:eastAsia="方正小标宋简体" w:cs="Times New Roman"/>
          <w:sz w:val="44"/>
          <w:szCs w:val="44"/>
          <w:lang w:eastAsia="zh-CN"/>
        </w:rPr>
        <w:t>青岛市农业农村局</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202</w:t>
      </w:r>
      <w:r>
        <w:rPr>
          <w:rFonts w:hint="default" w:ascii="Times New Roman" w:hAnsi="Times New Roman" w:eastAsia="方正小标宋简体" w:cs="Times New Roman"/>
          <w:sz w:val="44"/>
          <w:szCs w:val="44"/>
          <w:lang w:val="en-US" w:eastAsia="zh-CN"/>
        </w:rPr>
        <w:t>4</w:t>
      </w:r>
      <w:r>
        <w:rPr>
          <w:rFonts w:hint="default" w:ascii="Times New Roman" w:hAnsi="Times New Roman" w:eastAsia="方正小标宋简体" w:cs="Times New Roman"/>
          <w:sz w:val="44"/>
          <w:szCs w:val="44"/>
        </w:rPr>
        <w:t>年政府信息公开工作年度报告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本报告由青岛市农业农村局根据《中华人民共和国政府信息公开条例》和省市政府信息公开工作部署要求制定发布。本报告中所列数据的统计期限自202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年1月1日至202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12月31日。本报告全文电子版在青岛政务网（http://www.qingdao.gov.cn）及青岛市农业农村局官网（http://nw.qingdao.gov.cn）公布，欢迎查阅和下载。如对本报告有任何疑问，请与青岛市农业农村局政府信息公开领导小组办公室联系。地址：青岛市市南区燕儿岛路10号，邮编：266071，电话：0532-66015208，电子邮箱：qdnw@qd.shandong.cn。</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val="0"/>
          <w:sz w:val="32"/>
          <w:szCs w:val="32"/>
        </w:rPr>
      </w:pPr>
      <w:r>
        <w:rPr>
          <w:rFonts w:hint="default" w:ascii="Times New Roman" w:hAnsi="Times New Roman" w:eastAsia="黑体" w:cs="Times New Roman"/>
          <w:b w:val="0"/>
          <w:bCs w:val="0"/>
          <w:sz w:val="32"/>
          <w:szCs w:val="32"/>
        </w:rPr>
        <w:t>一、总体情况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2024年市农业农村局全面落实</w:t>
      </w:r>
      <w:r>
        <w:rPr>
          <w:rFonts w:hint="default" w:ascii="Times New Roman" w:hAnsi="Times New Roman" w:eastAsia="仿宋_GB2312" w:cs="Times New Roman"/>
          <w:sz w:val="32"/>
          <w:szCs w:val="32"/>
        </w:rPr>
        <w:t>《中华人民共和国政府信息公开条例》，</w:t>
      </w:r>
      <w:r>
        <w:rPr>
          <w:rFonts w:hint="default" w:ascii="Times New Roman" w:hAnsi="Times New Roman" w:eastAsia="仿宋_GB2312" w:cs="Times New Roman"/>
          <w:sz w:val="32"/>
          <w:szCs w:val="32"/>
          <w:lang w:eastAsia="zh-CN"/>
        </w:rPr>
        <w:t>以信息公开推动“三农”工作高质量发展，取得积极成效。</w:t>
      </w:r>
      <w:r>
        <w:rPr>
          <w:rFonts w:hint="default" w:ascii="Times New Roman" w:hAnsi="Times New Roman" w:eastAsia="仿宋_GB2312" w:cs="Times New Roman"/>
          <w:sz w:val="32"/>
          <w:szCs w:val="32"/>
          <w:lang w:val="en-US" w:eastAsia="zh-CN"/>
        </w:rPr>
        <w:t>完善信息公开制度，规范公开工作流程及内部控制，开展政府信息公开条例专题培训，修订政府信息公开指南，通过青岛政务网</w:t>
      </w:r>
      <w:r>
        <w:rPr>
          <w:rFonts w:hint="default" w:ascii="Times New Roman" w:hAnsi="Times New Roman" w:eastAsia="仿宋_GB2312" w:cs="Times New Roman"/>
          <w:sz w:val="32"/>
          <w:szCs w:val="32"/>
          <w:lang w:eastAsia="zh-CN"/>
        </w:rPr>
        <w:t>主动公开发布信息</w:t>
      </w:r>
      <w:r>
        <w:rPr>
          <w:rFonts w:hint="default" w:ascii="Times New Roman" w:hAnsi="Times New Roman" w:eastAsia="仿宋_GB2312" w:cs="Times New Roman"/>
          <w:sz w:val="32"/>
          <w:szCs w:val="32"/>
          <w:lang w:val="en-US" w:eastAsia="zh-CN"/>
        </w:rPr>
        <w:t>800余条，发布图文视频解读50余篇，推出全市优秀政策解读案例。</w:t>
      </w:r>
      <w:r>
        <w:rPr>
          <w:rFonts w:hint="default" w:ascii="Times New Roman" w:hAnsi="Times New Roman" w:eastAsia="仿宋_GB2312" w:cs="Times New Roman"/>
          <w:sz w:val="32"/>
          <w:szCs w:val="32"/>
          <w:lang w:eastAsia="zh-CN"/>
        </w:rPr>
        <w:t>依法依规办理依申请公开，共办理申请</w:t>
      </w:r>
      <w:r>
        <w:rPr>
          <w:rFonts w:hint="default" w:ascii="Times New Roman" w:hAnsi="Times New Roman" w:eastAsia="仿宋_GB2312" w:cs="Times New Roman"/>
          <w:sz w:val="32"/>
          <w:szCs w:val="32"/>
          <w:lang w:val="en-US" w:eastAsia="zh-CN"/>
        </w:rPr>
        <w:t>19件，相比去年增加2件、增长了11.8%。申</w:t>
      </w:r>
      <w:r>
        <w:rPr>
          <w:rFonts w:hint="default" w:ascii="Times New Roman" w:hAnsi="Times New Roman" w:eastAsia="仿宋_GB2312" w:cs="Times New Roman"/>
          <w:sz w:val="32"/>
          <w:szCs w:val="32"/>
        </w:rPr>
        <w:t>请内容涉及</w:t>
      </w:r>
      <w:r>
        <w:rPr>
          <w:rFonts w:hint="default" w:ascii="Times New Roman" w:hAnsi="Times New Roman" w:eastAsia="仿宋_GB2312" w:cs="Times New Roman"/>
          <w:sz w:val="32"/>
          <w:szCs w:val="32"/>
          <w:lang w:eastAsia="zh-CN"/>
        </w:rPr>
        <w:t>农村集体经济发展</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高标准农田建设、农药监管、机构设置等情况，</w:t>
      </w:r>
      <w:r>
        <w:rPr>
          <w:rFonts w:hint="default" w:ascii="Times New Roman" w:hAnsi="Times New Roman" w:eastAsia="仿宋_GB2312" w:cs="Times New Roman"/>
          <w:sz w:val="32"/>
          <w:szCs w:val="32"/>
        </w:rPr>
        <w:t>申请</w:t>
      </w:r>
      <w:r>
        <w:rPr>
          <w:rFonts w:hint="default" w:ascii="Times New Roman" w:hAnsi="Times New Roman" w:eastAsia="仿宋_GB2312" w:cs="Times New Roman"/>
          <w:sz w:val="32"/>
          <w:szCs w:val="32"/>
          <w:lang w:eastAsia="zh-CN"/>
        </w:rPr>
        <w:t>公开信息均在规定时限内答复，无申请公开收费情况。加强网站和新媒体建设，定期开展全覆盖检查，整体运行良好。及时转发权威信息，动态发布“三农”正能量，发布“胶州大白菜”“绿色增粮”“乡村振兴示范片区”等主题内容</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加强</w:t>
      </w:r>
      <w:r>
        <w:rPr>
          <w:rFonts w:hint="default" w:ascii="Times New Roman" w:hAnsi="Times New Roman" w:eastAsia="仿宋_GB2312" w:cs="Times New Roman"/>
          <w:sz w:val="32"/>
          <w:szCs w:val="32"/>
        </w:rPr>
        <w:t>政府信息管理动态调整</w:t>
      </w:r>
      <w:r>
        <w:rPr>
          <w:rFonts w:hint="default" w:ascii="Times New Roman" w:hAnsi="Times New Roman" w:eastAsia="仿宋_GB2312" w:cs="Times New Roman"/>
          <w:sz w:val="32"/>
          <w:szCs w:val="32"/>
          <w:lang w:eastAsia="zh-CN"/>
        </w:rPr>
        <w:t>，及时清理过期废止文件，发布规范性文件清理结果，新制发规范性文件</w:t>
      </w:r>
      <w:r>
        <w:rPr>
          <w:rFonts w:hint="default" w:ascii="Times New Roman" w:hAnsi="Times New Roman" w:eastAsia="仿宋_GB2312" w:cs="Times New Roman"/>
          <w:sz w:val="32"/>
          <w:szCs w:val="32"/>
          <w:lang w:val="en-US" w:eastAsia="zh-CN"/>
        </w:rPr>
        <w:t>2件，</w:t>
      </w:r>
      <w:r>
        <w:rPr>
          <w:rFonts w:hint="default" w:ascii="Times New Roman" w:hAnsi="Times New Roman" w:eastAsia="仿宋_GB2312" w:cs="Times New Roman"/>
          <w:sz w:val="32"/>
          <w:szCs w:val="32"/>
          <w:lang w:eastAsia="zh-CN"/>
        </w:rPr>
        <w:t>废止失效</w:t>
      </w:r>
      <w:r>
        <w:rPr>
          <w:rFonts w:hint="default" w:ascii="Times New Roman" w:hAnsi="Times New Roman" w:eastAsia="仿宋_GB2312" w:cs="Times New Roman"/>
          <w:sz w:val="32"/>
          <w:szCs w:val="32"/>
          <w:lang w:val="en-US" w:eastAsia="zh-CN"/>
        </w:rPr>
        <w:t>1件，现行有效规范性文件11件</w:t>
      </w:r>
      <w:r>
        <w:rPr>
          <w:rFonts w:hint="default" w:ascii="Times New Roman" w:hAnsi="Times New Roman" w:eastAsia="仿宋_GB2312" w:cs="Times New Roman"/>
          <w:sz w:val="32"/>
          <w:szCs w:val="32"/>
          <w:lang w:eastAsia="zh-CN"/>
        </w:rPr>
        <w:t>。加强</w:t>
      </w:r>
      <w:r>
        <w:rPr>
          <w:rFonts w:hint="default" w:ascii="Times New Roman" w:hAnsi="Times New Roman" w:eastAsia="仿宋_GB2312" w:cs="Times New Roman"/>
          <w:sz w:val="32"/>
          <w:szCs w:val="32"/>
        </w:rPr>
        <w:t>信息公开平台建设</w:t>
      </w:r>
      <w:r>
        <w:rPr>
          <w:rFonts w:hint="default" w:ascii="Times New Roman" w:hAnsi="Times New Roman" w:eastAsia="仿宋_GB2312" w:cs="Times New Roman"/>
          <w:sz w:val="32"/>
          <w:szCs w:val="32"/>
          <w:lang w:eastAsia="zh-CN"/>
        </w:rPr>
        <w:t>，通过青岛政务</w:t>
      </w:r>
      <w:r>
        <w:rPr>
          <w:rFonts w:hint="default" w:ascii="Times New Roman" w:hAnsi="Times New Roman" w:eastAsia="仿宋_GB2312" w:cs="Times New Roman"/>
          <w:sz w:val="32"/>
          <w:szCs w:val="32"/>
        </w:rPr>
        <w:t>网、政府信息公开专栏、</w:t>
      </w:r>
      <w:r>
        <w:rPr>
          <w:rFonts w:hint="default" w:ascii="Times New Roman" w:hAnsi="Times New Roman" w:eastAsia="仿宋_GB2312" w:cs="Times New Roman"/>
          <w:sz w:val="32"/>
          <w:szCs w:val="32"/>
          <w:lang w:eastAsia="zh-CN"/>
        </w:rPr>
        <w:t>市农业农村局官网、</w:t>
      </w:r>
      <w:r>
        <w:rPr>
          <w:rFonts w:hint="default" w:ascii="Times New Roman" w:hAnsi="Times New Roman" w:eastAsia="仿宋_GB2312" w:cs="Times New Roman"/>
          <w:sz w:val="32"/>
          <w:szCs w:val="32"/>
        </w:rPr>
        <w:t>政务新媒体</w:t>
      </w:r>
      <w:r>
        <w:rPr>
          <w:rFonts w:hint="default" w:ascii="Times New Roman" w:hAnsi="Times New Roman" w:eastAsia="仿宋_GB2312" w:cs="Times New Roman"/>
          <w:sz w:val="32"/>
          <w:szCs w:val="32"/>
          <w:lang w:eastAsia="zh-CN"/>
        </w:rPr>
        <w:t>加大信息公开，设置</w:t>
      </w:r>
      <w:r>
        <w:rPr>
          <w:rFonts w:hint="default" w:ascii="Times New Roman" w:hAnsi="Times New Roman" w:eastAsia="仿宋_GB2312" w:cs="Times New Roman"/>
          <w:sz w:val="32"/>
          <w:szCs w:val="32"/>
        </w:rPr>
        <w:t>政府信息公开查阅场所</w:t>
      </w:r>
      <w:r>
        <w:rPr>
          <w:rFonts w:hint="default" w:ascii="Times New Roman" w:hAnsi="Times New Roman" w:eastAsia="仿宋_GB2312" w:cs="Times New Roman"/>
          <w:sz w:val="32"/>
          <w:szCs w:val="32"/>
          <w:lang w:eastAsia="zh-CN"/>
        </w:rPr>
        <w:t>。局办公室牵头负责政府信息公开工作，加强信息发布审查，落实三审三校制度，将政府信息公开纳入局内部考核，压实公开责任链条，确保各项任务落实到位。组织开展业务培训</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eastAsia="zh-CN"/>
        </w:rPr>
        <w:t>期次，开展监督检查2期次，对发现问题及时督导整改。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val="0"/>
          <w:sz w:val="32"/>
          <w:szCs w:val="32"/>
        </w:rPr>
      </w:pPr>
      <w:r>
        <w:rPr>
          <w:rFonts w:hint="default" w:ascii="Times New Roman" w:hAnsi="Times New Roman" w:eastAsia="黑体" w:cs="Times New Roman"/>
          <w:b w:val="0"/>
          <w:bCs w:val="0"/>
          <w:sz w:val="32"/>
          <w:szCs w:val="32"/>
        </w:rPr>
        <w:t>二</w:t>
      </w:r>
      <w:r>
        <w:rPr>
          <w:rFonts w:hint="default" w:ascii="Times New Roman" w:hAnsi="Times New Roman" w:eastAsia="黑体" w:cs="Times New Roman"/>
          <w:b w:val="0"/>
          <w:bCs w:val="0"/>
          <w:sz w:val="32"/>
          <w:szCs w:val="32"/>
          <w:lang w:eastAsia="zh-CN"/>
        </w:rPr>
        <w:t>、</w:t>
      </w:r>
      <w:r>
        <w:rPr>
          <w:rFonts w:hint="default" w:ascii="Times New Roman" w:hAnsi="Times New Roman" w:eastAsia="黑体" w:cs="Times New Roman"/>
          <w:b w:val="0"/>
          <w:bCs w:val="0"/>
          <w:sz w:val="32"/>
          <w:szCs w:val="32"/>
        </w:rPr>
        <w:t>行政机关主动公开政府信息情况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本年制发行政规范性文件</w:t>
      </w:r>
      <w:r>
        <w:rPr>
          <w:rFonts w:hint="default" w:ascii="Times New Roman" w:hAnsi="Times New Roman" w:eastAsia="仿宋_GB2312" w:cs="Times New Roman"/>
          <w:sz w:val="32"/>
          <w:szCs w:val="32"/>
          <w:lang w:val="en-US" w:eastAsia="zh-CN"/>
        </w:rPr>
        <w:t>2件，废止1件，现行有效11件。本年处理决定行政许可1407件、行政处罚57件、行政强制6件。本年行政事业性收费金额6.936万元。</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b/>
          <w:bCs/>
          <w:sz w:val="28"/>
          <w:szCs w:val="28"/>
        </w:rPr>
        <w:t>表1</w:t>
      </w:r>
      <w:r>
        <w:rPr>
          <w:rFonts w:hint="default" w:ascii="Times New Roman" w:hAnsi="Times New Roman" w:eastAsia="仿宋_GB2312" w:cs="Times New Roman"/>
          <w:sz w:val="28"/>
          <w:szCs w:val="28"/>
        </w:rPr>
        <w:t xml:space="preserve"> 主动公开政府信息情况</w:t>
      </w:r>
    </w:p>
    <w:tbl>
      <w:tblPr>
        <w:tblStyle w:val="6"/>
        <w:tblW w:w="5000" w:type="pct"/>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2265"/>
        <w:gridCol w:w="2265"/>
        <w:gridCol w:w="2265"/>
        <w:gridCol w:w="2265"/>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5000" w:type="pct"/>
            <w:gridSpan w:val="4"/>
            <w:tcBorders>
              <w:tl2br w:val="nil"/>
              <w:tr2bl w:val="nil"/>
            </w:tcBorders>
            <w:shd w:val="clear" w:color="000000" w:fill="C6D9F1"/>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第二十条第（一）项</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250"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1250" w:type="pct"/>
            <w:tcBorders>
              <w:left w:val="single" w:color="auto" w:sz="4" w:space="0"/>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本年制发件数</w:t>
            </w:r>
          </w:p>
        </w:tc>
        <w:tc>
          <w:tcPr>
            <w:tcW w:w="1250" w:type="pct"/>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本年废止件数</w:t>
            </w:r>
          </w:p>
        </w:tc>
        <w:tc>
          <w:tcPr>
            <w:tcW w:w="1250" w:type="pct"/>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现行有效件数</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250" w:type="pct"/>
            <w:tcBorders>
              <w:top w:val="single" w:color="auto" w:sz="4" w:space="0"/>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规章</w:t>
            </w:r>
          </w:p>
        </w:tc>
        <w:tc>
          <w:tcPr>
            <w:tcW w:w="1250" w:type="pct"/>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default" w:ascii="Times New Roman" w:hAnsi="Times New Roman" w:eastAsia="仿宋_GB2312" w:cs="Times New Roman"/>
                <w:color w:val="000000"/>
                <w:kern w:val="0"/>
                <w:szCs w:val="21"/>
                <w:lang w:val="en-US" w:eastAsia="zh-CN"/>
              </w:rPr>
              <w:t>0</w:t>
            </w:r>
          </w:p>
        </w:tc>
        <w:tc>
          <w:tcPr>
            <w:tcW w:w="1250" w:type="pct"/>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default" w:ascii="Times New Roman" w:hAnsi="Times New Roman" w:eastAsia="仿宋_GB2312" w:cs="Times New Roman"/>
                <w:color w:val="000000"/>
                <w:kern w:val="0"/>
                <w:szCs w:val="21"/>
                <w:lang w:val="en-US" w:eastAsia="zh-CN"/>
              </w:rPr>
              <w:t>0</w:t>
            </w:r>
          </w:p>
        </w:tc>
        <w:tc>
          <w:tcPr>
            <w:tcW w:w="1250" w:type="pct"/>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default" w:ascii="Times New Roman" w:hAnsi="Times New Roman" w:eastAsia="仿宋_GB2312" w:cs="Times New Roman"/>
                <w:color w:val="000000"/>
                <w:kern w:val="0"/>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250" w:type="pct"/>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行政规范性文件</w:t>
            </w:r>
          </w:p>
        </w:tc>
        <w:tc>
          <w:tcPr>
            <w:tcW w:w="226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　　</w:t>
            </w:r>
            <w:r>
              <w:rPr>
                <w:rFonts w:hint="default" w:ascii="Times New Roman" w:hAnsi="Times New Roman" w:eastAsia="仿宋_GB2312" w:cs="Times New Roman"/>
                <w:color w:val="000000"/>
                <w:kern w:val="0"/>
                <w:szCs w:val="21"/>
                <w:lang w:val="en-US" w:eastAsia="zh-CN"/>
              </w:rPr>
              <w:t>2</w:t>
            </w:r>
          </w:p>
        </w:tc>
        <w:tc>
          <w:tcPr>
            <w:tcW w:w="226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 　</w:t>
            </w:r>
            <w:r>
              <w:rPr>
                <w:rFonts w:hint="default" w:ascii="Times New Roman" w:hAnsi="Times New Roman" w:eastAsia="仿宋_GB2312" w:cs="Times New Roman"/>
                <w:color w:val="000000"/>
                <w:kern w:val="0"/>
                <w:szCs w:val="21"/>
                <w:lang w:val="en-US" w:eastAsia="zh-CN"/>
              </w:rPr>
              <w:t>1</w:t>
            </w:r>
          </w:p>
        </w:tc>
        <w:tc>
          <w:tcPr>
            <w:tcW w:w="226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　</w:t>
            </w:r>
            <w:r>
              <w:rPr>
                <w:rFonts w:hint="default" w:ascii="Times New Roman" w:hAnsi="Times New Roman" w:eastAsia="仿宋_GB2312" w:cs="Times New Roman"/>
                <w:color w:val="000000"/>
                <w:kern w:val="0"/>
                <w:szCs w:val="21"/>
                <w:lang w:val="en-US" w:eastAsia="zh-CN"/>
              </w:rPr>
              <w:t>11</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5000" w:type="pct"/>
            <w:gridSpan w:val="4"/>
            <w:tcBorders>
              <w:tl2br w:val="nil"/>
              <w:tr2bl w:val="nil"/>
            </w:tcBorders>
            <w:shd w:val="clear" w:color="000000" w:fill="C6D9F1"/>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第二十条第（五）项</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250" w:type="pct"/>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3750" w:type="pct"/>
            <w:gridSpan w:val="3"/>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本年处理决定数量</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250" w:type="pct"/>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行政许可</w:t>
            </w:r>
          </w:p>
        </w:tc>
        <w:tc>
          <w:tcPr>
            <w:tcW w:w="3750" w:type="pct"/>
            <w:gridSpan w:val="3"/>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　</w:t>
            </w:r>
            <w:r>
              <w:rPr>
                <w:rFonts w:hint="default" w:ascii="Times New Roman" w:hAnsi="Times New Roman" w:eastAsia="仿宋_GB2312" w:cs="Times New Roman"/>
                <w:color w:val="000000"/>
                <w:kern w:val="0"/>
                <w:szCs w:val="21"/>
                <w:lang w:val="en-US" w:eastAsia="zh-CN"/>
              </w:rPr>
              <w:t>1407</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5000" w:type="pct"/>
            <w:gridSpan w:val="4"/>
            <w:tcBorders>
              <w:tl2br w:val="nil"/>
              <w:tr2bl w:val="nil"/>
            </w:tcBorders>
            <w:shd w:val="clear" w:color="000000" w:fill="C6D9F1"/>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第二十条第（六）项</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250" w:type="pct"/>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3750" w:type="pct"/>
            <w:gridSpan w:val="3"/>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本年处理决定数量</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250" w:type="pct"/>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行政处罚</w:t>
            </w:r>
          </w:p>
        </w:tc>
        <w:tc>
          <w:tcPr>
            <w:tcW w:w="6795" w:type="dxa"/>
            <w:gridSpan w:val="3"/>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　</w:t>
            </w:r>
            <w:r>
              <w:rPr>
                <w:rFonts w:hint="default" w:ascii="Times New Roman" w:hAnsi="Times New Roman" w:eastAsia="仿宋_GB2312" w:cs="Times New Roman"/>
                <w:color w:val="000000"/>
                <w:kern w:val="0"/>
                <w:szCs w:val="21"/>
                <w:lang w:val="en-US" w:eastAsia="zh-CN"/>
              </w:rPr>
              <w:t>57</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250" w:type="pct"/>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行政强制</w:t>
            </w:r>
          </w:p>
        </w:tc>
        <w:tc>
          <w:tcPr>
            <w:tcW w:w="6795" w:type="dxa"/>
            <w:gridSpan w:val="3"/>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　</w:t>
            </w:r>
            <w:r>
              <w:rPr>
                <w:rFonts w:hint="default" w:ascii="Times New Roman" w:hAnsi="Times New Roman" w:eastAsia="仿宋_GB2312" w:cs="Times New Roman"/>
                <w:color w:val="000000"/>
                <w:kern w:val="0"/>
                <w:szCs w:val="21"/>
                <w:lang w:val="en-US" w:eastAsia="zh-CN"/>
              </w:rPr>
              <w:t>6</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5000" w:type="pct"/>
            <w:gridSpan w:val="4"/>
            <w:tcBorders>
              <w:tl2br w:val="nil"/>
              <w:tr2bl w:val="nil"/>
            </w:tcBorders>
            <w:shd w:val="clear" w:color="000000" w:fill="C6D9F1"/>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第二十条第（八）项</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250" w:type="pct"/>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3750" w:type="pct"/>
            <w:gridSpan w:val="3"/>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本年收费金额（单位：万元）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250" w:type="pct"/>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行政事业性收费</w:t>
            </w:r>
          </w:p>
        </w:tc>
        <w:tc>
          <w:tcPr>
            <w:tcW w:w="3750" w:type="pct"/>
            <w:gridSpan w:val="3"/>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　</w:t>
            </w:r>
            <w:r>
              <w:rPr>
                <w:rFonts w:hint="default" w:ascii="Times New Roman" w:hAnsi="Times New Roman" w:eastAsia="仿宋_GB2312" w:cs="Times New Roman"/>
                <w:color w:val="000000"/>
                <w:kern w:val="0"/>
                <w:szCs w:val="21"/>
                <w:lang w:val="en-US" w:eastAsia="zh-CN"/>
              </w:rPr>
              <w:t>6.936</w:t>
            </w:r>
          </w:p>
        </w:tc>
      </w:tr>
    </w:tbl>
    <w:p>
      <w:pPr>
        <w:keepNext w:val="0"/>
        <w:keepLines w:val="0"/>
        <w:pageBreakBefore w:val="0"/>
        <w:widowControl w:val="0"/>
        <w:kinsoku/>
        <w:wordWrap/>
        <w:overflowPunct/>
        <w:topLinePunct w:val="0"/>
        <w:autoSpaceDE/>
        <w:autoSpaceDN/>
        <w:bidi w:val="0"/>
        <w:adjustRightInd/>
        <w:snapToGrid/>
        <w:spacing w:line="560" w:lineRule="atLeast"/>
        <w:ind w:firstLine="640" w:firstLineChars="200"/>
        <w:textAlignment w:val="auto"/>
        <w:rPr>
          <w:rFonts w:hint="default" w:ascii="Times New Roman" w:hAnsi="Times New Roman" w:eastAsia="黑体" w:cs="Times New Roman"/>
          <w:b w:val="0"/>
          <w:bCs w:val="0"/>
          <w:sz w:val="32"/>
          <w:szCs w:val="32"/>
        </w:rPr>
      </w:pPr>
      <w:r>
        <w:rPr>
          <w:rFonts w:hint="default" w:ascii="Times New Roman" w:hAnsi="Times New Roman" w:eastAsia="黑体" w:cs="Times New Roman"/>
          <w:b w:val="0"/>
          <w:bCs w:val="0"/>
          <w:sz w:val="32"/>
          <w:szCs w:val="32"/>
        </w:rPr>
        <w:t>三</w:t>
      </w:r>
      <w:r>
        <w:rPr>
          <w:rFonts w:hint="default" w:ascii="Times New Roman" w:hAnsi="Times New Roman" w:eastAsia="黑体" w:cs="Times New Roman"/>
          <w:b w:val="0"/>
          <w:bCs w:val="0"/>
          <w:sz w:val="32"/>
          <w:szCs w:val="32"/>
          <w:lang w:eastAsia="zh-CN"/>
        </w:rPr>
        <w:t>、</w:t>
      </w:r>
      <w:r>
        <w:rPr>
          <w:rFonts w:hint="default" w:ascii="Times New Roman" w:hAnsi="Times New Roman" w:eastAsia="黑体" w:cs="Times New Roman"/>
          <w:b w:val="0"/>
          <w:bCs w:val="0"/>
          <w:sz w:val="32"/>
          <w:szCs w:val="32"/>
        </w:rPr>
        <w:t>行政机关收到和处理政府信息公开申请情况</w:t>
      </w:r>
    </w:p>
    <w:p>
      <w:pPr>
        <w:keepNext w:val="0"/>
        <w:keepLines w:val="0"/>
        <w:pageBreakBefore w:val="0"/>
        <w:widowControl w:val="0"/>
        <w:kinsoku/>
        <w:wordWrap/>
        <w:overflowPunct/>
        <w:topLinePunct w:val="0"/>
        <w:autoSpaceDE/>
        <w:autoSpaceDN/>
        <w:bidi w:val="0"/>
        <w:adjustRightInd/>
        <w:snapToGrid/>
        <w:spacing w:line="560" w:lineRule="atLeas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收到和处理政府信息公开申请</w:t>
      </w:r>
      <w:r>
        <w:rPr>
          <w:rFonts w:hint="default" w:ascii="Times New Roman" w:hAnsi="Times New Roman" w:eastAsia="仿宋_GB2312" w:cs="Times New Roman"/>
          <w:sz w:val="32"/>
          <w:szCs w:val="32"/>
          <w:lang w:val="en-US" w:eastAsia="zh-CN"/>
        </w:rPr>
        <w:t>19件，均为自然人申请，按期答复19件，其中予以公开6件，不予公开</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lang w:val="en-US" w:eastAsia="zh-CN"/>
        </w:rPr>
        <w:t>件，无法提供1</w:t>
      </w:r>
      <w:r>
        <w:rPr>
          <w:rFonts w:hint="eastAsia" w:ascii="Times New Roman" w:hAnsi="Times New Roman" w:eastAsia="仿宋_GB2312" w:cs="Times New Roman"/>
          <w:sz w:val="32"/>
          <w:szCs w:val="32"/>
          <w:lang w:val="en-US" w:eastAsia="zh-CN"/>
        </w:rPr>
        <w:t>2</w:t>
      </w:r>
      <w:bookmarkStart w:id="10" w:name="_GoBack"/>
      <w:bookmarkEnd w:id="10"/>
      <w:r>
        <w:rPr>
          <w:rFonts w:hint="default" w:ascii="Times New Roman" w:hAnsi="Times New Roman" w:eastAsia="仿宋_GB2312" w:cs="Times New Roman"/>
          <w:sz w:val="32"/>
          <w:szCs w:val="32"/>
          <w:lang w:val="en-US" w:eastAsia="zh-CN"/>
        </w:rPr>
        <w:t>件，不予处理1件。</w:t>
      </w:r>
    </w:p>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b/>
          <w:bCs/>
          <w:sz w:val="28"/>
          <w:szCs w:val="28"/>
        </w:rPr>
        <w:t>表2</w:t>
      </w:r>
      <w:r>
        <w:rPr>
          <w:rFonts w:hint="default" w:ascii="Times New Roman" w:hAnsi="Times New Roman" w:eastAsia="仿宋_GB2312" w:cs="Times New Roman"/>
          <w:sz w:val="28"/>
          <w:szCs w:val="28"/>
        </w:rPr>
        <w:t>收到和处理政府信息公开申请情况</w:t>
      </w:r>
    </w:p>
    <w:tbl>
      <w:tblPr>
        <w:tblStyle w:val="6"/>
        <w:tblW w:w="99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829"/>
        <w:gridCol w:w="567"/>
        <w:gridCol w:w="567"/>
        <w:gridCol w:w="731"/>
        <w:gridCol w:w="708"/>
        <w:gridCol w:w="567"/>
        <w:gridCol w:w="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楷体_GB2312" w:cs="Times New Roman"/>
                <w:kern w:val="0"/>
                <w:szCs w:val="21"/>
              </w:rPr>
            </w:pPr>
            <w:r>
              <w:rPr>
                <w:rFonts w:hint="default" w:ascii="Times New Roman" w:hAnsi="Times New Roman" w:eastAsia="楷体_GB2312" w:cs="Times New Roman"/>
                <w:kern w:val="0"/>
                <w:szCs w:val="21"/>
              </w:rPr>
              <w:t>（本列数据的勾稽关系为：第一项加第二项之和，</w:t>
            </w: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楷体_GB2312" w:cs="Times New Roman"/>
                <w:kern w:val="0"/>
                <w:szCs w:val="21"/>
              </w:rPr>
              <w:t>等于第三项加第四项之和）</w:t>
            </w:r>
          </w:p>
        </w:tc>
        <w:tc>
          <w:tcPr>
            <w:tcW w:w="4820"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黑体" w:cs="Times New Roman"/>
                <w:szCs w:val="21"/>
              </w:rPr>
            </w:pPr>
            <w:r>
              <w:rPr>
                <w:rFonts w:hint="default" w:ascii="Times New Roman" w:hAnsi="Times New Roman" w:eastAsia="黑体" w:cs="Times New Roman"/>
                <w:kern w:val="0"/>
                <w:szCs w:val="21"/>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p>
        </w:tc>
        <w:tc>
          <w:tcPr>
            <w:tcW w:w="829" w:type="dxa"/>
            <w:vMerge w:val="restart"/>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黑体" w:cs="Times New Roman"/>
                <w:szCs w:val="21"/>
              </w:rPr>
            </w:pPr>
            <w:r>
              <w:rPr>
                <w:rFonts w:hint="default" w:ascii="Times New Roman" w:hAnsi="Times New Roman" w:eastAsia="黑体" w:cs="Times New Roman"/>
                <w:kern w:val="0"/>
                <w:szCs w:val="21"/>
              </w:rPr>
              <w:t>自然人</w:t>
            </w:r>
          </w:p>
        </w:tc>
        <w:tc>
          <w:tcPr>
            <w:tcW w:w="3140" w:type="dxa"/>
            <w:gridSpan w:val="5"/>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黑体" w:cs="Times New Roman"/>
                <w:szCs w:val="21"/>
              </w:rPr>
            </w:pPr>
            <w:r>
              <w:rPr>
                <w:rFonts w:hint="default" w:ascii="Times New Roman" w:hAnsi="Times New Roman" w:eastAsia="黑体" w:cs="Times New Roman"/>
                <w:kern w:val="0"/>
                <w:szCs w:val="21"/>
              </w:rPr>
              <w:t>法人或其他组织</w:t>
            </w:r>
          </w:p>
        </w:tc>
        <w:tc>
          <w:tcPr>
            <w:tcW w:w="851" w:type="dxa"/>
            <w:vMerge w:val="restart"/>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黑体" w:cs="Times New Roman"/>
                <w:szCs w:val="21"/>
              </w:rPr>
            </w:pPr>
            <w:r>
              <w:rPr>
                <w:rFonts w:hint="default" w:ascii="Times New Roman" w:hAnsi="Times New Roman" w:eastAsia="黑体" w:cs="Times New Roman"/>
                <w:kern w:val="0"/>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p>
        </w:tc>
        <w:tc>
          <w:tcPr>
            <w:tcW w:w="829"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黑体" w:cs="Times New Roman"/>
                <w:szCs w:val="21"/>
              </w:rPr>
            </w:pP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left="-106" w:leftChars="-51" w:right="-107" w:rightChars="-51" w:hanging="1"/>
              <w:jc w:val="center"/>
              <w:textAlignment w:val="auto"/>
              <w:rPr>
                <w:rFonts w:hint="default" w:ascii="Times New Roman" w:hAnsi="Times New Roman" w:eastAsia="黑体" w:cs="Times New Roman"/>
                <w:szCs w:val="21"/>
              </w:rPr>
            </w:pPr>
            <w:r>
              <w:rPr>
                <w:rFonts w:hint="default" w:ascii="Times New Roman" w:hAnsi="Times New Roman" w:eastAsia="黑体" w:cs="Times New Roman"/>
                <w:kern w:val="0"/>
                <w:szCs w:val="21"/>
              </w:rPr>
              <w:t>商业企业</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left="-107" w:leftChars="-51" w:right="-107" w:rightChars="-51"/>
              <w:jc w:val="center"/>
              <w:textAlignment w:val="auto"/>
              <w:rPr>
                <w:rFonts w:hint="default" w:ascii="Times New Roman" w:hAnsi="Times New Roman" w:eastAsia="黑体" w:cs="Times New Roman"/>
                <w:szCs w:val="21"/>
              </w:rPr>
            </w:pPr>
            <w:r>
              <w:rPr>
                <w:rFonts w:hint="default" w:ascii="Times New Roman" w:hAnsi="Times New Roman" w:eastAsia="黑体" w:cs="Times New Roman"/>
                <w:kern w:val="0"/>
                <w:szCs w:val="21"/>
              </w:rPr>
              <w:t>科研机构</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left="-107" w:leftChars="-51" w:right="-107" w:rightChars="-51"/>
              <w:jc w:val="center"/>
              <w:textAlignment w:val="auto"/>
              <w:rPr>
                <w:rFonts w:hint="default" w:ascii="Times New Roman" w:hAnsi="Times New Roman" w:eastAsia="黑体" w:cs="Times New Roman"/>
                <w:szCs w:val="21"/>
              </w:rPr>
            </w:pPr>
            <w:r>
              <w:rPr>
                <w:rFonts w:hint="default" w:ascii="Times New Roman" w:hAnsi="Times New Roman" w:eastAsia="黑体" w:cs="Times New Roman"/>
                <w:kern w:val="0"/>
                <w:szCs w:val="21"/>
              </w:rPr>
              <w:t>社会公益组织</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left="-106" w:leftChars="-51" w:right="-107" w:rightChars="-51" w:hanging="1"/>
              <w:jc w:val="center"/>
              <w:textAlignment w:val="auto"/>
              <w:rPr>
                <w:rFonts w:hint="default" w:ascii="Times New Roman" w:hAnsi="Times New Roman" w:eastAsia="黑体" w:cs="Times New Roman"/>
                <w:szCs w:val="21"/>
              </w:rPr>
            </w:pPr>
            <w:r>
              <w:rPr>
                <w:rFonts w:hint="default" w:ascii="Times New Roman" w:hAnsi="Times New Roman" w:eastAsia="黑体" w:cs="Times New Roman"/>
                <w:kern w:val="0"/>
                <w:szCs w:val="21"/>
              </w:rPr>
              <w:t>法律服务机构</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left="-63" w:leftChars="-30" w:right="-134" w:rightChars="-64"/>
              <w:jc w:val="center"/>
              <w:textAlignment w:val="auto"/>
              <w:rPr>
                <w:rFonts w:hint="default" w:ascii="Times New Roman" w:hAnsi="Times New Roman" w:eastAsia="黑体" w:cs="Times New Roman"/>
                <w:szCs w:val="21"/>
              </w:rPr>
            </w:pPr>
            <w:r>
              <w:rPr>
                <w:rFonts w:hint="default" w:ascii="Times New Roman" w:hAnsi="Times New Roman" w:eastAsia="黑体" w:cs="Times New Roman"/>
                <w:kern w:val="0"/>
                <w:szCs w:val="21"/>
              </w:rPr>
              <w:t>其他</w:t>
            </w:r>
          </w:p>
        </w:tc>
        <w:tc>
          <w:tcPr>
            <w:tcW w:w="851"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黑体" w:cs="Times New Roman"/>
                <w:szCs w:val="21"/>
              </w:rPr>
            </w:pPr>
            <w:r>
              <w:rPr>
                <w:rFonts w:hint="default" w:ascii="Times New Roman" w:hAnsi="Times New Roman" w:eastAsia="黑体" w:cs="Times New Roman"/>
                <w:kern w:val="0"/>
                <w:szCs w:val="21"/>
              </w:rPr>
              <w:t>一、</w:t>
            </w:r>
            <w:bookmarkStart w:id="0" w:name="_Hlk66973412"/>
            <w:r>
              <w:rPr>
                <w:rFonts w:hint="default" w:ascii="Times New Roman" w:hAnsi="Times New Roman" w:eastAsia="黑体" w:cs="Times New Roman"/>
                <w:kern w:val="0"/>
                <w:szCs w:val="21"/>
              </w:rPr>
              <w:t>本年新收政府信息公开申请数量</w:t>
            </w:r>
            <w:bookmarkEnd w:id="0"/>
          </w:p>
        </w:tc>
        <w:tc>
          <w:tcPr>
            <w:tcW w:w="829" w:type="dxa"/>
            <w:shd w:val="clear" w:color="auto" w:fill="auto"/>
            <w:tcMar>
              <w:left w:w="108" w:type="dxa"/>
              <w:right w:w="108" w:type="dxa"/>
            </w:tcMar>
            <w:vAlign w:val="bottom"/>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19</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5093" w:type="dxa"/>
            <w:gridSpan w:val="3"/>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黑体" w:cs="Times New Roman"/>
                <w:szCs w:val="21"/>
              </w:rPr>
            </w:pPr>
            <w:r>
              <w:rPr>
                <w:rFonts w:hint="default" w:ascii="Times New Roman" w:hAnsi="Times New Roman" w:eastAsia="黑体" w:cs="Times New Roman"/>
                <w:kern w:val="0"/>
                <w:szCs w:val="21"/>
              </w:rPr>
              <w:t>二、上年结转政府信息公开申请数量</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40" w:lineRule="auto"/>
              <w:textAlignment w:val="auto"/>
              <w:rPr>
                <w:rFonts w:hint="default" w:ascii="Times New Roman" w:hAnsi="Times New Roman" w:eastAsia="黑体" w:cs="Times New Roman"/>
                <w:szCs w:val="21"/>
              </w:rPr>
            </w:pPr>
            <w:r>
              <w:rPr>
                <w:rFonts w:hint="default" w:ascii="Times New Roman" w:hAnsi="Times New Roman" w:eastAsia="黑体" w:cs="Times New Roman"/>
                <w:kern w:val="0"/>
                <w:szCs w:val="21"/>
              </w:rPr>
              <w:t>三、本年度办理结果</w:t>
            </w:r>
          </w:p>
        </w:tc>
        <w:tc>
          <w:tcPr>
            <w:tcW w:w="4677"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黑体" w:cs="Times New Roman"/>
                <w:szCs w:val="21"/>
              </w:rPr>
            </w:pPr>
            <w:r>
              <w:rPr>
                <w:rFonts w:hint="default" w:ascii="Times New Roman" w:hAnsi="Times New Roman" w:eastAsia="黑体" w:cs="Times New Roman"/>
                <w:kern w:val="0"/>
                <w:szCs w:val="21"/>
              </w:rPr>
              <w:t>（一）予以公开</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6</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黑体" w:cs="Times New Roman"/>
                <w:szCs w:val="21"/>
              </w:rPr>
            </w:pPr>
          </w:p>
        </w:tc>
        <w:tc>
          <w:tcPr>
            <w:tcW w:w="4677"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黑体" w:cs="Times New Roman"/>
                <w:szCs w:val="21"/>
              </w:rPr>
            </w:pPr>
            <w:r>
              <w:rPr>
                <w:rFonts w:hint="default" w:ascii="Times New Roman" w:hAnsi="Times New Roman" w:eastAsia="黑体" w:cs="Times New Roman"/>
                <w:kern w:val="0"/>
                <w:szCs w:val="21"/>
              </w:rPr>
              <w:t>（二）部分公开（</w:t>
            </w:r>
            <w:bookmarkStart w:id="1" w:name="_Hlk66973981"/>
            <w:r>
              <w:rPr>
                <w:rFonts w:hint="default" w:ascii="Times New Roman" w:hAnsi="Times New Roman" w:eastAsia="黑体" w:cs="Times New Roman"/>
                <w:kern w:val="0"/>
                <w:szCs w:val="21"/>
              </w:rPr>
              <w:t>区分处理的，只计这一情形，不计其他情形</w:t>
            </w:r>
            <w:bookmarkEnd w:id="1"/>
            <w:r>
              <w:rPr>
                <w:rFonts w:hint="default" w:ascii="Times New Roman" w:hAnsi="Times New Roman" w:eastAsia="黑体" w:cs="Times New Roman"/>
                <w:kern w:val="0"/>
                <w:szCs w:val="21"/>
              </w:rPr>
              <w:t>）</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黑体" w:cs="Times New Roman"/>
                <w:szCs w:val="21"/>
              </w:rPr>
            </w:pPr>
          </w:p>
        </w:tc>
        <w:tc>
          <w:tcPr>
            <w:tcW w:w="1701" w:type="dxa"/>
            <w:vMerge w:val="restart"/>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left="-107" w:leftChars="-51"/>
              <w:textAlignment w:val="auto"/>
              <w:rPr>
                <w:rFonts w:hint="default" w:ascii="Times New Roman" w:hAnsi="Times New Roman" w:eastAsia="黑体" w:cs="Times New Roman"/>
                <w:szCs w:val="21"/>
              </w:rPr>
            </w:pPr>
            <w:r>
              <w:rPr>
                <w:rFonts w:hint="default" w:ascii="Times New Roman" w:hAnsi="Times New Roman" w:eastAsia="黑体" w:cs="Times New Roman"/>
                <w:kern w:val="0"/>
                <w:szCs w:val="21"/>
              </w:rPr>
              <w:t>（三）不予公开</w:t>
            </w:r>
          </w:p>
        </w:tc>
        <w:tc>
          <w:tcPr>
            <w:tcW w:w="297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1.属于国家秘密</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w:t>
            </w:r>
            <w:bookmarkStart w:id="2" w:name="_Hlk66974104"/>
            <w:r>
              <w:rPr>
                <w:rFonts w:hint="default" w:ascii="Times New Roman" w:hAnsi="Times New Roman" w:eastAsia="仿宋_GB2312" w:cs="Times New Roman"/>
                <w:kern w:val="0"/>
                <w:szCs w:val="21"/>
              </w:rPr>
              <w:t>其他法律行政法规禁止公开</w:t>
            </w:r>
            <w:bookmarkEnd w:id="2"/>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3.危及“三安全一稳定”</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4.</w:t>
            </w:r>
            <w:bookmarkStart w:id="3" w:name="_Hlk66974290"/>
            <w:r>
              <w:rPr>
                <w:rFonts w:hint="default" w:ascii="Times New Roman" w:hAnsi="Times New Roman" w:eastAsia="仿宋_GB2312" w:cs="Times New Roman"/>
                <w:kern w:val="0"/>
                <w:szCs w:val="21"/>
              </w:rPr>
              <w:t>保护第三方合法权益</w:t>
            </w:r>
            <w:bookmarkEnd w:id="3"/>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5.属于三类内部事务信息</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6.</w:t>
            </w:r>
            <w:bookmarkStart w:id="4" w:name="_Hlk66974555"/>
            <w:r>
              <w:rPr>
                <w:rFonts w:hint="default" w:ascii="Times New Roman" w:hAnsi="Times New Roman" w:eastAsia="仿宋_GB2312" w:cs="Times New Roman"/>
                <w:kern w:val="0"/>
                <w:szCs w:val="21"/>
              </w:rPr>
              <w:t>属于四类过程性信息</w:t>
            </w:r>
            <w:bookmarkEnd w:id="4"/>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lang w:val="en-US" w:eastAsia="zh-CN"/>
              </w:rPr>
            </w:pPr>
            <w:r>
              <w:rPr>
                <w:rFonts w:hint="eastAsia"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lang w:val="en-US" w:eastAsia="zh-CN"/>
              </w:rPr>
            </w:pPr>
            <w:r>
              <w:rPr>
                <w:rFonts w:hint="eastAsia" w:ascii="Times New Roman" w:hAnsi="Times New Roman" w:eastAsia="仿宋_GB2312" w:cs="Times New Roman"/>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7.属于行政执法案卷</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8.</w:t>
            </w:r>
            <w:bookmarkStart w:id="5" w:name="_Hlk66975211"/>
            <w:r>
              <w:rPr>
                <w:rFonts w:hint="default" w:ascii="Times New Roman" w:hAnsi="Times New Roman" w:eastAsia="仿宋_GB2312" w:cs="Times New Roman"/>
                <w:kern w:val="0"/>
                <w:szCs w:val="21"/>
              </w:rPr>
              <w:t>属于行政查询事项</w:t>
            </w:r>
            <w:bookmarkEnd w:id="5"/>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黑体" w:cs="Times New Roman"/>
                <w:szCs w:val="21"/>
              </w:rPr>
            </w:pPr>
          </w:p>
        </w:tc>
        <w:tc>
          <w:tcPr>
            <w:tcW w:w="1701" w:type="dxa"/>
            <w:vMerge w:val="restart"/>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left="-107" w:leftChars="-51"/>
              <w:textAlignment w:val="auto"/>
              <w:rPr>
                <w:rFonts w:hint="default" w:ascii="Times New Roman" w:hAnsi="Times New Roman" w:eastAsia="黑体" w:cs="Times New Roman"/>
                <w:szCs w:val="21"/>
              </w:rPr>
            </w:pPr>
            <w:r>
              <w:rPr>
                <w:rFonts w:hint="default" w:ascii="Times New Roman" w:hAnsi="Times New Roman" w:eastAsia="黑体" w:cs="Times New Roman"/>
                <w:kern w:val="0"/>
                <w:szCs w:val="21"/>
              </w:rPr>
              <w:t>（四）无法提供</w:t>
            </w:r>
          </w:p>
        </w:tc>
        <w:tc>
          <w:tcPr>
            <w:tcW w:w="297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1.本机关不掌握相关政府信息</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10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ind w:left="-107" w:leftChars="-51"/>
              <w:textAlignment w:val="auto"/>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w:t>
            </w:r>
            <w:bookmarkStart w:id="6" w:name="_Hlk66975392"/>
            <w:r>
              <w:rPr>
                <w:rFonts w:hint="default" w:ascii="Times New Roman" w:hAnsi="Times New Roman" w:eastAsia="仿宋_GB2312" w:cs="Times New Roman"/>
                <w:kern w:val="0"/>
                <w:szCs w:val="21"/>
              </w:rPr>
              <w:t>没有现成信息需要另行制作</w:t>
            </w:r>
            <w:bookmarkEnd w:id="6"/>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lang w:val="en-US" w:eastAsia="zh-CN"/>
              </w:rPr>
            </w:pPr>
            <w:r>
              <w:rPr>
                <w:rFonts w:hint="eastAsia" w:ascii="Times New Roman" w:hAnsi="Times New Roman" w:eastAsia="仿宋_GB2312" w:cs="Times New Roman"/>
                <w:szCs w:val="21"/>
                <w:lang w:val="en-US" w:eastAsia="zh-CN"/>
              </w:rPr>
              <w:t>2</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lang w:val="en-US" w:eastAsia="zh-CN"/>
              </w:rPr>
            </w:pPr>
            <w:r>
              <w:rPr>
                <w:rFonts w:hint="eastAsia" w:ascii="Times New Roman" w:hAnsi="Times New Roman" w:eastAsia="仿宋_GB2312" w:cs="Times New Roman"/>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ind w:left="-107" w:leftChars="-51"/>
              <w:textAlignment w:val="auto"/>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3.</w:t>
            </w:r>
            <w:bookmarkStart w:id="7" w:name="_Hlk66975466"/>
            <w:r>
              <w:rPr>
                <w:rFonts w:hint="default" w:ascii="Times New Roman" w:hAnsi="Times New Roman" w:eastAsia="仿宋_GB2312" w:cs="Times New Roman"/>
                <w:kern w:val="0"/>
                <w:szCs w:val="21"/>
              </w:rPr>
              <w:t>补正后申请内容仍不明确</w:t>
            </w:r>
            <w:bookmarkEnd w:id="7"/>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黑体" w:cs="Times New Roman"/>
                <w:szCs w:val="21"/>
              </w:rPr>
            </w:pPr>
          </w:p>
        </w:tc>
        <w:tc>
          <w:tcPr>
            <w:tcW w:w="1701" w:type="dxa"/>
            <w:vMerge w:val="restart"/>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left="-107" w:leftChars="-51"/>
              <w:textAlignment w:val="auto"/>
              <w:rPr>
                <w:rFonts w:hint="default" w:ascii="Times New Roman" w:hAnsi="Times New Roman" w:eastAsia="黑体" w:cs="Times New Roman"/>
                <w:szCs w:val="21"/>
              </w:rPr>
            </w:pPr>
            <w:r>
              <w:rPr>
                <w:rFonts w:hint="default" w:ascii="Times New Roman" w:hAnsi="Times New Roman" w:eastAsia="黑体" w:cs="Times New Roman"/>
                <w:kern w:val="0"/>
                <w:szCs w:val="21"/>
              </w:rPr>
              <w:t>（五）不予处理</w:t>
            </w:r>
          </w:p>
        </w:tc>
        <w:tc>
          <w:tcPr>
            <w:tcW w:w="297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w:t>
            </w:r>
            <w:bookmarkStart w:id="8" w:name="_Hlk66975537"/>
            <w:r>
              <w:rPr>
                <w:rFonts w:hint="default" w:ascii="Times New Roman" w:hAnsi="Times New Roman" w:eastAsia="仿宋_GB2312" w:cs="Times New Roman"/>
                <w:kern w:val="0"/>
                <w:szCs w:val="21"/>
              </w:rPr>
              <w:t>信访举报投诉类申请</w:t>
            </w:r>
            <w:bookmarkEnd w:id="8"/>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1</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2.重复申请</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szCs w:val="21"/>
              </w:rPr>
            </w:pPr>
            <w:r>
              <w:rPr>
                <w:rFonts w:hint="default" w:ascii="Times New Roman" w:hAnsi="Times New Roman" w:eastAsia="仿宋_GB2312" w:cs="Times New Roman"/>
                <w:kern w:val="0"/>
                <w:szCs w:val="21"/>
              </w:rPr>
              <w:t>3.要求提供公开出版物</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szCs w:val="21"/>
              </w:rPr>
            </w:pPr>
            <w:r>
              <w:rPr>
                <w:rFonts w:hint="default" w:ascii="Times New Roman" w:hAnsi="Times New Roman" w:eastAsia="仿宋_GB2312" w:cs="Times New Roman"/>
                <w:kern w:val="0"/>
                <w:szCs w:val="21"/>
              </w:rPr>
              <w:t>4.无正当理由大量反复申请</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5.要求行政机关确认或重新</w:t>
            </w:r>
          </w:p>
          <w:p>
            <w:pPr>
              <w:keepNext w:val="0"/>
              <w:keepLines w:val="0"/>
              <w:pageBreakBefore w:val="0"/>
              <w:widowControl/>
              <w:kinsoku/>
              <w:wordWrap/>
              <w:overflowPunct/>
              <w:topLinePunct w:val="0"/>
              <w:autoSpaceDE/>
              <w:autoSpaceDN/>
              <w:bidi w:val="0"/>
              <w:adjustRightInd/>
              <w:snapToGrid/>
              <w:spacing w:line="240" w:lineRule="auto"/>
              <w:ind w:firstLine="210" w:firstLineChars="100"/>
              <w:textAlignment w:val="auto"/>
              <w:rPr>
                <w:rFonts w:hint="default" w:ascii="Times New Roman" w:hAnsi="Times New Roman" w:eastAsia="仿宋_GB2312" w:cs="Times New Roman"/>
                <w:szCs w:val="21"/>
              </w:rPr>
            </w:pPr>
            <w:r>
              <w:rPr>
                <w:rFonts w:hint="default" w:ascii="Times New Roman" w:hAnsi="Times New Roman" w:eastAsia="仿宋_GB2312" w:cs="Times New Roman"/>
                <w:kern w:val="0"/>
                <w:szCs w:val="21"/>
              </w:rPr>
              <w:t>出具已获取信息</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黑体" w:cs="Times New Roman"/>
                <w:szCs w:val="21"/>
              </w:rPr>
            </w:pPr>
          </w:p>
        </w:tc>
        <w:tc>
          <w:tcPr>
            <w:tcW w:w="1701" w:type="dxa"/>
            <w:vMerge w:val="restart"/>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黑体" w:cs="Times New Roman"/>
                <w:kern w:val="0"/>
                <w:szCs w:val="21"/>
              </w:rPr>
            </w:pPr>
            <w:r>
              <w:rPr>
                <w:rFonts w:hint="default" w:ascii="Times New Roman" w:hAnsi="Times New Roman" w:eastAsia="黑体" w:cs="Times New Roman"/>
                <w:kern w:val="0"/>
                <w:szCs w:val="21"/>
              </w:rPr>
              <w:t>（六）其他处理</w:t>
            </w:r>
          </w:p>
        </w:tc>
        <w:tc>
          <w:tcPr>
            <w:tcW w:w="297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rPr>
            </w:pPr>
            <w:r>
              <w:rPr>
                <w:rFonts w:hint="default" w:ascii="Times New Roman" w:hAnsi="Times New Roman" w:eastAsia="仿宋_GB2312" w:cs="Times New Roman"/>
              </w:rPr>
              <w:t>1.申请人无正当理由逾期不补正、行政机关不再处理其政府信息公开申请</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黑体" w:cs="Times New Roman"/>
                <w:kern w:val="0"/>
                <w:szCs w:val="21"/>
              </w:rPr>
            </w:pPr>
          </w:p>
        </w:tc>
        <w:tc>
          <w:tcPr>
            <w:tcW w:w="297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kern w:val="0"/>
                <w:szCs w:val="21"/>
              </w:rPr>
            </w:pPr>
            <w:r>
              <w:rPr>
                <w:rFonts w:hint="default" w:ascii="Times New Roman" w:hAnsi="Times New Roman" w:eastAsia="仿宋_GB2312" w:cs="Times New Roman"/>
              </w:rPr>
              <w:t>2.申请人逾期未按收费通知要求缴纳费用、行政机关不再处理其政府信息公开申请</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黑体" w:cs="Times New Roman"/>
                <w:kern w:val="0"/>
                <w:szCs w:val="21"/>
              </w:rPr>
            </w:pPr>
          </w:p>
        </w:tc>
        <w:tc>
          <w:tcPr>
            <w:tcW w:w="297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kern w:val="0"/>
                <w:szCs w:val="21"/>
              </w:rPr>
            </w:pPr>
            <w:r>
              <w:rPr>
                <w:rFonts w:hint="default" w:ascii="Times New Roman" w:hAnsi="Times New Roman" w:eastAsia="仿宋_GB2312" w:cs="Times New Roman"/>
              </w:rPr>
              <w:t>3.其他</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黑体" w:cs="Times New Roman"/>
                <w:szCs w:val="21"/>
              </w:rPr>
            </w:pPr>
          </w:p>
        </w:tc>
        <w:tc>
          <w:tcPr>
            <w:tcW w:w="4677"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黑体" w:cs="Times New Roman"/>
                <w:kern w:val="0"/>
                <w:szCs w:val="21"/>
              </w:rPr>
            </w:pPr>
            <w:r>
              <w:rPr>
                <w:rFonts w:hint="default" w:ascii="Times New Roman" w:hAnsi="Times New Roman" w:eastAsia="黑体" w:cs="Times New Roman"/>
                <w:kern w:val="0"/>
                <w:szCs w:val="21"/>
              </w:rPr>
              <w:t>（七）总计</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19</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黑体" w:cs="Times New Roman"/>
                <w:kern w:val="0"/>
                <w:szCs w:val="21"/>
              </w:rPr>
            </w:pPr>
            <w:r>
              <w:rPr>
                <w:rFonts w:hint="default" w:ascii="Times New Roman" w:hAnsi="Times New Roman" w:eastAsia="黑体" w:cs="Times New Roman"/>
                <w:kern w:val="0"/>
                <w:szCs w:val="21"/>
              </w:rPr>
              <w:t>四、结转下年度继续办理</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r>
    </w:tbl>
    <w:p>
      <w:pPr>
        <w:keepNext w:val="0"/>
        <w:keepLines w:val="0"/>
        <w:pageBreakBefore w:val="0"/>
        <w:kinsoku/>
        <w:wordWrap/>
        <w:overflowPunct/>
        <w:topLinePunct w:val="0"/>
        <w:autoSpaceDE/>
        <w:autoSpaceDN/>
        <w:bidi w:val="0"/>
        <w:adjustRightInd/>
        <w:snapToGrid/>
        <w:spacing w:line="560" w:lineRule="atLeast"/>
        <w:ind w:firstLine="640" w:firstLineChars="200"/>
        <w:textAlignment w:val="auto"/>
        <w:rPr>
          <w:rFonts w:hint="default" w:ascii="Times New Roman" w:hAnsi="Times New Roman" w:eastAsia="黑体" w:cs="Times New Roman"/>
          <w:b w:val="0"/>
          <w:bCs w:val="0"/>
          <w:sz w:val="32"/>
          <w:szCs w:val="32"/>
        </w:rPr>
      </w:pPr>
      <w:r>
        <w:rPr>
          <w:rFonts w:hint="default" w:ascii="Times New Roman" w:hAnsi="Times New Roman" w:eastAsia="黑体" w:cs="Times New Roman"/>
          <w:b w:val="0"/>
          <w:bCs w:val="0"/>
          <w:sz w:val="32"/>
          <w:szCs w:val="32"/>
        </w:rPr>
        <w:t>四</w:t>
      </w:r>
      <w:r>
        <w:rPr>
          <w:rFonts w:hint="default" w:ascii="Times New Roman" w:hAnsi="Times New Roman" w:eastAsia="黑体" w:cs="Times New Roman"/>
          <w:b w:val="0"/>
          <w:bCs w:val="0"/>
          <w:sz w:val="32"/>
          <w:szCs w:val="32"/>
          <w:lang w:eastAsia="zh-CN"/>
        </w:rPr>
        <w:t>、</w:t>
      </w:r>
      <w:r>
        <w:rPr>
          <w:rFonts w:hint="default" w:ascii="Times New Roman" w:hAnsi="Times New Roman" w:eastAsia="黑体" w:cs="Times New Roman"/>
          <w:b w:val="0"/>
          <w:bCs w:val="0"/>
          <w:sz w:val="32"/>
          <w:szCs w:val="32"/>
        </w:rPr>
        <w:t>因政府信息公开工作被申请行政复议、提起行政诉讼情况</w:t>
      </w:r>
    </w:p>
    <w:p>
      <w:pPr>
        <w:keepNext w:val="0"/>
        <w:keepLines w:val="0"/>
        <w:pageBreakBefore w:val="0"/>
        <w:kinsoku/>
        <w:wordWrap/>
        <w:overflowPunct/>
        <w:topLinePunct w:val="0"/>
        <w:autoSpaceDE/>
        <w:autoSpaceDN/>
        <w:bidi w:val="0"/>
        <w:adjustRightInd/>
        <w:snapToGrid/>
        <w:spacing w:line="560" w:lineRule="atLeas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因政府信息公开工作被申请行政复议</w:t>
      </w:r>
      <w:r>
        <w:rPr>
          <w:rFonts w:hint="default" w:ascii="Times New Roman" w:hAnsi="Times New Roman" w:eastAsia="仿宋_GB2312" w:cs="Times New Roman"/>
          <w:sz w:val="32"/>
          <w:szCs w:val="32"/>
          <w:lang w:val="en-US" w:eastAsia="zh-CN"/>
        </w:rPr>
        <w:t>1件，结果维持1件。</w:t>
      </w:r>
      <w:r>
        <w:rPr>
          <w:rFonts w:hint="default" w:ascii="Times New Roman" w:hAnsi="Times New Roman" w:eastAsia="仿宋_GB2312" w:cs="Times New Roman"/>
          <w:sz w:val="32"/>
          <w:szCs w:val="32"/>
          <w:lang w:eastAsia="zh-CN"/>
        </w:rPr>
        <w:t>无</w:t>
      </w:r>
      <w:r>
        <w:rPr>
          <w:rFonts w:hint="default" w:ascii="Times New Roman" w:hAnsi="Times New Roman" w:eastAsia="仿宋_GB2312" w:cs="Times New Roman"/>
          <w:sz w:val="32"/>
          <w:szCs w:val="32"/>
        </w:rPr>
        <w:t>政府信息公开行政诉讼情况。</w:t>
      </w:r>
    </w:p>
    <w:p>
      <w:pPr>
        <w:keepNext w:val="0"/>
        <w:keepLines w:val="0"/>
        <w:pageBreakBefore w:val="0"/>
        <w:kinsoku/>
        <w:wordWrap/>
        <w:overflowPunct/>
        <w:topLinePunct w:val="0"/>
        <w:autoSpaceDE/>
        <w:autoSpaceDN/>
        <w:bidi w:val="0"/>
        <w:adjustRightInd/>
        <w:snapToGrid/>
        <w:spacing w:line="560" w:lineRule="atLeas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b/>
          <w:bCs/>
          <w:sz w:val="28"/>
          <w:szCs w:val="28"/>
        </w:rPr>
        <w:t>表3</w:t>
      </w:r>
      <w:r>
        <w:rPr>
          <w:rFonts w:hint="default" w:ascii="Times New Roman" w:hAnsi="Times New Roman" w:eastAsia="仿宋_GB2312" w:cs="Times New Roman"/>
          <w:sz w:val="28"/>
          <w:szCs w:val="28"/>
        </w:rPr>
        <w:t>因政府信息公开工作被申请行政复议、提起行政诉讼情况</w:t>
      </w:r>
    </w:p>
    <w:tbl>
      <w:tblPr>
        <w:tblStyle w:val="6"/>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3074" w:type="dxa"/>
            <w:gridSpan w:val="5"/>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黑体" w:cs="Times New Roman"/>
              </w:rPr>
            </w:pPr>
            <w:r>
              <w:rPr>
                <w:rFonts w:hint="default" w:ascii="Times New Roman" w:hAnsi="Times New Roman" w:eastAsia="黑体" w:cs="Times New Roman"/>
                <w:kern w:val="0"/>
                <w:sz w:val="20"/>
                <w:szCs w:val="20"/>
              </w:rPr>
              <w:t>行政复议</w:t>
            </w:r>
          </w:p>
        </w:tc>
        <w:tc>
          <w:tcPr>
            <w:tcW w:w="5997" w:type="dxa"/>
            <w:gridSpan w:val="10"/>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黑体" w:cs="Times New Roman"/>
              </w:rPr>
            </w:pPr>
            <w:r>
              <w:rPr>
                <w:rFonts w:hint="default" w:ascii="Times New Roman" w:hAnsi="Times New Roman" w:eastAsia="黑体" w:cs="Times New Roman"/>
                <w:kern w:val="0"/>
                <w:sz w:val="20"/>
                <w:szCs w:val="20"/>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7" w:hRule="atLeast"/>
          <w:jc w:val="center"/>
        </w:trPr>
        <w:tc>
          <w:tcPr>
            <w:tcW w:w="604" w:type="dxa"/>
            <w:vMerge w:val="restart"/>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left="-149" w:leftChars="-71" w:right="-170" w:rightChars="-81"/>
              <w:jc w:val="center"/>
              <w:textAlignment w:val="auto"/>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结果</w:t>
            </w:r>
          </w:p>
          <w:p>
            <w:pPr>
              <w:keepNext w:val="0"/>
              <w:keepLines w:val="0"/>
              <w:pageBreakBefore w:val="0"/>
              <w:widowControl/>
              <w:kinsoku/>
              <w:wordWrap/>
              <w:overflowPunct/>
              <w:topLinePunct w:val="0"/>
              <w:autoSpaceDE/>
              <w:autoSpaceDN/>
              <w:bidi w:val="0"/>
              <w:adjustRightInd/>
              <w:snapToGrid/>
              <w:spacing w:line="240" w:lineRule="auto"/>
              <w:ind w:left="-149" w:leftChars="-71" w:right="-170" w:rightChars="-81"/>
              <w:jc w:val="center"/>
              <w:textAlignment w:val="auto"/>
              <w:rPr>
                <w:rFonts w:hint="default" w:ascii="Times New Roman" w:hAnsi="Times New Roman" w:eastAsia="黑体" w:cs="Times New Roman"/>
              </w:rPr>
            </w:pPr>
            <w:r>
              <w:rPr>
                <w:rFonts w:hint="default" w:ascii="Times New Roman" w:hAnsi="Times New Roman" w:eastAsia="黑体" w:cs="Times New Roman"/>
                <w:kern w:val="0"/>
                <w:sz w:val="20"/>
                <w:szCs w:val="20"/>
              </w:rPr>
              <w:t>维持</w:t>
            </w:r>
          </w:p>
        </w:tc>
        <w:tc>
          <w:tcPr>
            <w:tcW w:w="604" w:type="dxa"/>
            <w:vMerge w:val="restart"/>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left="-43" w:leftChars="-21" w:right="-132" w:rightChars="-63" w:hanging="1"/>
              <w:jc w:val="center"/>
              <w:textAlignment w:val="auto"/>
              <w:rPr>
                <w:rFonts w:hint="default" w:ascii="Times New Roman" w:hAnsi="Times New Roman" w:eastAsia="黑体" w:cs="Times New Roman"/>
              </w:rPr>
            </w:pPr>
            <w:r>
              <w:rPr>
                <w:rFonts w:hint="default" w:ascii="Times New Roman" w:hAnsi="Times New Roman" w:eastAsia="黑体" w:cs="Times New Roman"/>
                <w:kern w:val="0"/>
                <w:sz w:val="20"/>
                <w:szCs w:val="20"/>
              </w:rPr>
              <w:t>结果纠正</w:t>
            </w:r>
          </w:p>
        </w:tc>
        <w:tc>
          <w:tcPr>
            <w:tcW w:w="604" w:type="dxa"/>
            <w:vMerge w:val="restart"/>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left="-82" w:leftChars="-39" w:right="-97" w:rightChars="-46"/>
              <w:jc w:val="center"/>
              <w:textAlignment w:val="auto"/>
              <w:rPr>
                <w:rFonts w:hint="default" w:ascii="Times New Roman" w:hAnsi="Times New Roman" w:eastAsia="黑体" w:cs="Times New Roman"/>
              </w:rPr>
            </w:pPr>
            <w:r>
              <w:rPr>
                <w:rFonts w:hint="default" w:ascii="Times New Roman" w:hAnsi="Times New Roman" w:eastAsia="黑体" w:cs="Times New Roman"/>
                <w:kern w:val="0"/>
                <w:sz w:val="20"/>
                <w:szCs w:val="20"/>
              </w:rPr>
              <w:t>其他结果</w:t>
            </w:r>
          </w:p>
        </w:tc>
        <w:tc>
          <w:tcPr>
            <w:tcW w:w="604" w:type="dxa"/>
            <w:vMerge w:val="restart"/>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left="-118" w:leftChars="-56" w:right="-118" w:rightChars="-56"/>
              <w:jc w:val="center"/>
              <w:textAlignment w:val="auto"/>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尚未</w:t>
            </w:r>
          </w:p>
          <w:p>
            <w:pPr>
              <w:keepNext w:val="0"/>
              <w:keepLines w:val="0"/>
              <w:pageBreakBefore w:val="0"/>
              <w:widowControl/>
              <w:kinsoku/>
              <w:wordWrap/>
              <w:overflowPunct/>
              <w:topLinePunct w:val="0"/>
              <w:autoSpaceDE/>
              <w:autoSpaceDN/>
              <w:bidi w:val="0"/>
              <w:adjustRightInd/>
              <w:snapToGrid/>
              <w:spacing w:line="240" w:lineRule="auto"/>
              <w:ind w:left="-118" w:leftChars="-56" w:right="-118" w:rightChars="-56"/>
              <w:jc w:val="center"/>
              <w:textAlignment w:val="auto"/>
              <w:rPr>
                <w:rFonts w:hint="default" w:ascii="Times New Roman" w:hAnsi="Times New Roman" w:eastAsia="黑体" w:cs="Times New Roman"/>
              </w:rPr>
            </w:pPr>
            <w:r>
              <w:rPr>
                <w:rFonts w:hint="default" w:ascii="Times New Roman" w:hAnsi="Times New Roman" w:eastAsia="黑体" w:cs="Times New Roman"/>
                <w:kern w:val="0"/>
                <w:sz w:val="20"/>
                <w:szCs w:val="20"/>
              </w:rPr>
              <w:t>审结</w:t>
            </w:r>
          </w:p>
        </w:tc>
        <w:tc>
          <w:tcPr>
            <w:tcW w:w="658" w:type="dxa"/>
            <w:vMerge w:val="restart"/>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总</w:t>
            </w: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黑体" w:cs="Times New Roman"/>
              </w:rPr>
            </w:pPr>
            <w:r>
              <w:rPr>
                <w:rFonts w:hint="default" w:ascii="Times New Roman" w:hAnsi="Times New Roman" w:eastAsia="黑体" w:cs="Times New Roman"/>
                <w:kern w:val="0"/>
                <w:sz w:val="20"/>
                <w:szCs w:val="20"/>
              </w:rPr>
              <w:t>计</w:t>
            </w:r>
          </w:p>
        </w:tc>
        <w:tc>
          <w:tcPr>
            <w:tcW w:w="2970" w:type="dxa"/>
            <w:gridSpan w:val="5"/>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黑体" w:cs="Times New Roman"/>
              </w:rPr>
            </w:pPr>
            <w:r>
              <w:rPr>
                <w:rFonts w:hint="default" w:ascii="Times New Roman" w:hAnsi="Times New Roman" w:eastAsia="黑体" w:cs="Times New Roman"/>
                <w:kern w:val="0"/>
                <w:sz w:val="20"/>
                <w:szCs w:val="20"/>
              </w:rPr>
              <w:t>未经复议直接起诉</w:t>
            </w:r>
          </w:p>
        </w:tc>
        <w:tc>
          <w:tcPr>
            <w:tcW w:w="3027" w:type="dxa"/>
            <w:gridSpan w:val="5"/>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黑体" w:cs="Times New Roman"/>
              </w:rPr>
            </w:pPr>
            <w:bookmarkStart w:id="9" w:name="_Hlk67039688"/>
            <w:r>
              <w:rPr>
                <w:rFonts w:hint="default" w:ascii="Times New Roman" w:hAnsi="Times New Roman" w:eastAsia="黑体" w:cs="Times New Roman"/>
                <w:kern w:val="0"/>
                <w:sz w:val="20"/>
                <w:szCs w:val="20"/>
              </w:rPr>
              <w:t>复议后起诉</w:t>
            </w:r>
            <w:bookmarkEnd w:id="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6" w:hRule="atLeast"/>
          <w:jc w:val="center"/>
        </w:trPr>
        <w:tc>
          <w:tcPr>
            <w:tcW w:w="604" w:type="dxa"/>
            <w:vMerge w:val="continue"/>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黑体" w:cs="Times New Roman"/>
                <w:sz w:val="24"/>
              </w:rPr>
            </w:pPr>
          </w:p>
        </w:tc>
        <w:tc>
          <w:tcPr>
            <w:tcW w:w="604" w:type="dxa"/>
            <w:vMerge w:val="continue"/>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黑体" w:cs="Times New Roman"/>
                <w:sz w:val="24"/>
              </w:rPr>
            </w:pPr>
          </w:p>
        </w:tc>
        <w:tc>
          <w:tcPr>
            <w:tcW w:w="604" w:type="dxa"/>
            <w:vMerge w:val="continue"/>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黑体" w:cs="Times New Roman"/>
                <w:sz w:val="24"/>
              </w:rPr>
            </w:pPr>
          </w:p>
        </w:tc>
        <w:tc>
          <w:tcPr>
            <w:tcW w:w="604" w:type="dxa"/>
            <w:vMerge w:val="continue"/>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黑体" w:cs="Times New Roman"/>
                <w:sz w:val="24"/>
              </w:rPr>
            </w:pPr>
          </w:p>
        </w:tc>
        <w:tc>
          <w:tcPr>
            <w:tcW w:w="658" w:type="dxa"/>
            <w:vMerge w:val="continue"/>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黑体" w:cs="Times New Roman"/>
                <w:sz w:val="24"/>
              </w:rPr>
            </w:pPr>
          </w:p>
        </w:tc>
        <w:tc>
          <w:tcPr>
            <w:tcW w:w="55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left="-105" w:leftChars="-50" w:right="-126" w:rightChars="-60"/>
              <w:jc w:val="center"/>
              <w:textAlignment w:val="auto"/>
              <w:rPr>
                <w:rFonts w:hint="default" w:ascii="Times New Roman" w:hAnsi="Times New Roman" w:eastAsia="黑体" w:cs="Times New Roman"/>
              </w:rPr>
            </w:pPr>
            <w:r>
              <w:rPr>
                <w:rFonts w:hint="default" w:ascii="Times New Roman" w:hAnsi="Times New Roman" w:eastAsia="黑体" w:cs="Times New Roman"/>
                <w:kern w:val="0"/>
                <w:sz w:val="20"/>
                <w:szCs w:val="20"/>
              </w:rPr>
              <w:t>结果维持</w:t>
            </w:r>
          </w:p>
        </w:tc>
        <w:tc>
          <w:tcPr>
            <w:tcW w:w="60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left="-86" w:leftChars="-41" w:right="-88" w:rightChars="-42"/>
              <w:jc w:val="center"/>
              <w:textAlignment w:val="auto"/>
              <w:rPr>
                <w:rFonts w:hint="default" w:ascii="Times New Roman" w:hAnsi="Times New Roman" w:eastAsia="黑体" w:cs="Times New Roman"/>
              </w:rPr>
            </w:pPr>
            <w:r>
              <w:rPr>
                <w:rFonts w:hint="default" w:ascii="Times New Roman" w:hAnsi="Times New Roman" w:eastAsia="黑体" w:cs="Times New Roman"/>
                <w:kern w:val="0"/>
                <w:sz w:val="20"/>
                <w:szCs w:val="20"/>
              </w:rPr>
              <w:t>结果纠正</w:t>
            </w:r>
          </w:p>
        </w:tc>
        <w:tc>
          <w:tcPr>
            <w:tcW w:w="60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left="-126" w:leftChars="-60" w:right="-136" w:rightChars="-65"/>
              <w:jc w:val="center"/>
              <w:textAlignment w:val="auto"/>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其他</w:t>
            </w:r>
          </w:p>
          <w:p>
            <w:pPr>
              <w:keepNext w:val="0"/>
              <w:keepLines w:val="0"/>
              <w:pageBreakBefore w:val="0"/>
              <w:widowControl/>
              <w:kinsoku/>
              <w:wordWrap/>
              <w:overflowPunct/>
              <w:topLinePunct w:val="0"/>
              <w:autoSpaceDE/>
              <w:autoSpaceDN/>
              <w:bidi w:val="0"/>
              <w:adjustRightInd/>
              <w:snapToGrid/>
              <w:spacing w:line="240" w:lineRule="auto"/>
              <w:ind w:left="-126" w:leftChars="-60" w:right="-136" w:rightChars="-65"/>
              <w:jc w:val="center"/>
              <w:textAlignment w:val="auto"/>
              <w:rPr>
                <w:rFonts w:hint="default" w:ascii="Times New Roman" w:hAnsi="Times New Roman" w:eastAsia="黑体" w:cs="Times New Roman"/>
              </w:rPr>
            </w:pPr>
            <w:r>
              <w:rPr>
                <w:rFonts w:hint="default" w:ascii="Times New Roman" w:hAnsi="Times New Roman" w:eastAsia="黑体" w:cs="Times New Roman"/>
                <w:kern w:val="0"/>
                <w:sz w:val="20"/>
                <w:szCs w:val="20"/>
              </w:rPr>
              <w:t>结果</w:t>
            </w:r>
          </w:p>
        </w:tc>
        <w:tc>
          <w:tcPr>
            <w:tcW w:w="60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left="-164" w:leftChars="-78" w:right="-153" w:rightChars="-73"/>
              <w:jc w:val="center"/>
              <w:textAlignment w:val="auto"/>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尚未</w:t>
            </w:r>
          </w:p>
          <w:p>
            <w:pPr>
              <w:keepNext w:val="0"/>
              <w:keepLines w:val="0"/>
              <w:pageBreakBefore w:val="0"/>
              <w:widowControl/>
              <w:kinsoku/>
              <w:wordWrap/>
              <w:overflowPunct/>
              <w:topLinePunct w:val="0"/>
              <w:autoSpaceDE/>
              <w:autoSpaceDN/>
              <w:bidi w:val="0"/>
              <w:adjustRightInd/>
              <w:snapToGrid/>
              <w:spacing w:line="240" w:lineRule="auto"/>
              <w:ind w:left="-164" w:leftChars="-78" w:right="-153" w:rightChars="-73"/>
              <w:jc w:val="center"/>
              <w:textAlignment w:val="auto"/>
              <w:rPr>
                <w:rFonts w:hint="default" w:ascii="Times New Roman" w:hAnsi="Times New Roman" w:eastAsia="黑体" w:cs="Times New Roman"/>
              </w:rPr>
            </w:pPr>
            <w:r>
              <w:rPr>
                <w:rFonts w:hint="default" w:ascii="Times New Roman" w:hAnsi="Times New Roman" w:eastAsia="黑体" w:cs="Times New Roman"/>
                <w:kern w:val="0"/>
                <w:sz w:val="20"/>
                <w:szCs w:val="20"/>
              </w:rPr>
              <w:t>审结</w:t>
            </w:r>
          </w:p>
        </w:tc>
        <w:tc>
          <w:tcPr>
            <w:tcW w:w="60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黑体" w:cs="Times New Roman"/>
              </w:rPr>
            </w:pPr>
            <w:r>
              <w:rPr>
                <w:rFonts w:hint="default" w:ascii="Times New Roman" w:hAnsi="Times New Roman" w:eastAsia="黑体" w:cs="Times New Roman"/>
                <w:kern w:val="0"/>
                <w:sz w:val="20"/>
                <w:szCs w:val="20"/>
              </w:rPr>
              <w:t>总计</w:t>
            </w:r>
          </w:p>
        </w:tc>
        <w:tc>
          <w:tcPr>
            <w:tcW w:w="60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left="-99" w:leftChars="-47" w:right="-78" w:rightChars="-37"/>
              <w:jc w:val="center"/>
              <w:textAlignment w:val="auto"/>
              <w:rPr>
                <w:rFonts w:hint="default" w:ascii="Times New Roman" w:hAnsi="Times New Roman" w:eastAsia="黑体" w:cs="Times New Roman"/>
              </w:rPr>
            </w:pPr>
            <w:r>
              <w:rPr>
                <w:rFonts w:hint="default" w:ascii="Times New Roman" w:hAnsi="Times New Roman" w:eastAsia="黑体" w:cs="Times New Roman"/>
                <w:kern w:val="0"/>
                <w:sz w:val="20"/>
                <w:szCs w:val="20"/>
              </w:rPr>
              <w:t>结果维持</w:t>
            </w:r>
          </w:p>
        </w:tc>
        <w:tc>
          <w:tcPr>
            <w:tcW w:w="60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left="-136" w:leftChars="-65" w:right="-124" w:rightChars="-59"/>
              <w:jc w:val="center"/>
              <w:textAlignment w:val="auto"/>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结果</w:t>
            </w:r>
          </w:p>
          <w:p>
            <w:pPr>
              <w:keepNext w:val="0"/>
              <w:keepLines w:val="0"/>
              <w:pageBreakBefore w:val="0"/>
              <w:widowControl/>
              <w:kinsoku/>
              <w:wordWrap/>
              <w:overflowPunct/>
              <w:topLinePunct w:val="0"/>
              <w:autoSpaceDE/>
              <w:autoSpaceDN/>
              <w:bidi w:val="0"/>
              <w:adjustRightInd/>
              <w:snapToGrid/>
              <w:spacing w:line="240" w:lineRule="auto"/>
              <w:ind w:left="-136" w:leftChars="-65" w:right="-124" w:rightChars="-59"/>
              <w:jc w:val="center"/>
              <w:textAlignment w:val="auto"/>
              <w:rPr>
                <w:rFonts w:hint="default" w:ascii="Times New Roman" w:hAnsi="Times New Roman" w:eastAsia="黑体" w:cs="Times New Roman"/>
              </w:rPr>
            </w:pPr>
            <w:r>
              <w:rPr>
                <w:rFonts w:hint="default" w:ascii="Times New Roman" w:hAnsi="Times New Roman" w:eastAsia="黑体" w:cs="Times New Roman"/>
                <w:kern w:val="0"/>
                <w:sz w:val="20"/>
                <w:szCs w:val="20"/>
              </w:rPr>
              <w:t>纠正</w:t>
            </w:r>
          </w:p>
        </w:tc>
        <w:tc>
          <w:tcPr>
            <w:tcW w:w="60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left="-173" w:leftChars="-83" w:right="-134" w:rightChars="-64" w:hanging="1"/>
              <w:jc w:val="center"/>
              <w:textAlignment w:val="auto"/>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其他</w:t>
            </w:r>
          </w:p>
          <w:p>
            <w:pPr>
              <w:keepNext w:val="0"/>
              <w:keepLines w:val="0"/>
              <w:pageBreakBefore w:val="0"/>
              <w:widowControl/>
              <w:kinsoku/>
              <w:wordWrap/>
              <w:overflowPunct/>
              <w:topLinePunct w:val="0"/>
              <w:autoSpaceDE/>
              <w:autoSpaceDN/>
              <w:bidi w:val="0"/>
              <w:adjustRightInd/>
              <w:snapToGrid/>
              <w:spacing w:line="240" w:lineRule="auto"/>
              <w:ind w:left="-173" w:leftChars="-83" w:right="-134" w:rightChars="-64" w:hanging="1"/>
              <w:jc w:val="center"/>
              <w:textAlignment w:val="auto"/>
              <w:rPr>
                <w:rFonts w:hint="default" w:ascii="Times New Roman" w:hAnsi="Times New Roman" w:eastAsia="黑体" w:cs="Times New Roman"/>
              </w:rPr>
            </w:pPr>
            <w:r>
              <w:rPr>
                <w:rFonts w:hint="default" w:ascii="Times New Roman" w:hAnsi="Times New Roman" w:eastAsia="黑体" w:cs="Times New Roman"/>
                <w:kern w:val="0"/>
                <w:sz w:val="20"/>
                <w:szCs w:val="20"/>
              </w:rPr>
              <w:t>结果</w:t>
            </w:r>
          </w:p>
        </w:tc>
        <w:tc>
          <w:tcPr>
            <w:tcW w:w="60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left="-67" w:leftChars="-33" w:right="-105" w:rightChars="-50" w:hanging="2" w:hangingChars="1"/>
              <w:jc w:val="center"/>
              <w:textAlignment w:val="auto"/>
              <w:rPr>
                <w:rFonts w:hint="default" w:ascii="Times New Roman" w:hAnsi="Times New Roman" w:eastAsia="黑体" w:cs="Times New Roman"/>
              </w:rPr>
            </w:pPr>
            <w:r>
              <w:rPr>
                <w:rFonts w:hint="default" w:ascii="Times New Roman" w:hAnsi="Times New Roman" w:eastAsia="黑体" w:cs="Times New Roman"/>
                <w:kern w:val="0"/>
                <w:sz w:val="20"/>
                <w:szCs w:val="20"/>
              </w:rPr>
              <w:t>尚未审结</w:t>
            </w:r>
          </w:p>
        </w:tc>
        <w:tc>
          <w:tcPr>
            <w:tcW w:w="60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黑体" w:cs="Times New Roman"/>
              </w:rPr>
            </w:pPr>
            <w:r>
              <w:rPr>
                <w:rFonts w:hint="default" w:ascii="Times New Roman" w:hAnsi="Times New Roman" w:eastAsia="黑体" w:cs="Times New Roman"/>
                <w:kern w:val="0"/>
                <w:sz w:val="20"/>
                <w:szCs w:val="20"/>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04"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1</w:t>
            </w:r>
          </w:p>
        </w:tc>
        <w:tc>
          <w:tcPr>
            <w:tcW w:w="604"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c>
          <w:tcPr>
            <w:tcW w:w="604"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c>
          <w:tcPr>
            <w:tcW w:w="604"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c>
          <w:tcPr>
            <w:tcW w:w="65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1</w:t>
            </w:r>
          </w:p>
        </w:tc>
        <w:tc>
          <w:tcPr>
            <w:tcW w:w="55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c>
          <w:tcPr>
            <w:tcW w:w="60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c>
          <w:tcPr>
            <w:tcW w:w="60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c>
          <w:tcPr>
            <w:tcW w:w="60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c>
          <w:tcPr>
            <w:tcW w:w="60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c>
          <w:tcPr>
            <w:tcW w:w="60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c>
          <w:tcPr>
            <w:tcW w:w="60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c>
          <w:tcPr>
            <w:tcW w:w="60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c>
          <w:tcPr>
            <w:tcW w:w="60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c>
          <w:tcPr>
            <w:tcW w:w="60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r>
    </w:tbl>
    <w:p>
      <w:pPr>
        <w:keepNext w:val="0"/>
        <w:keepLines w:val="0"/>
        <w:pageBreakBefore w:val="0"/>
        <w:kinsoku/>
        <w:wordWrap/>
        <w:overflowPunct/>
        <w:topLinePunct w:val="0"/>
        <w:autoSpaceDE/>
        <w:autoSpaceDN/>
        <w:bidi w:val="0"/>
        <w:adjustRightInd/>
        <w:snapToGrid/>
        <w:spacing w:line="560" w:lineRule="atLeast"/>
        <w:ind w:firstLine="640" w:firstLineChars="200"/>
        <w:textAlignment w:val="auto"/>
        <w:rPr>
          <w:rFonts w:hint="default" w:ascii="Times New Roman" w:hAnsi="Times New Roman" w:eastAsia="黑体" w:cs="Times New Roman"/>
          <w:b w:val="0"/>
          <w:bCs w:val="0"/>
          <w:sz w:val="32"/>
          <w:szCs w:val="32"/>
        </w:rPr>
      </w:pPr>
      <w:r>
        <w:rPr>
          <w:rFonts w:hint="default" w:ascii="Times New Roman" w:hAnsi="Times New Roman" w:eastAsia="黑体" w:cs="Times New Roman"/>
          <w:b w:val="0"/>
          <w:bCs w:val="0"/>
          <w:sz w:val="32"/>
          <w:szCs w:val="32"/>
        </w:rPr>
        <w:t>五</w:t>
      </w:r>
      <w:r>
        <w:rPr>
          <w:rFonts w:hint="default" w:ascii="Times New Roman" w:hAnsi="Times New Roman" w:eastAsia="黑体" w:cs="Times New Roman"/>
          <w:b w:val="0"/>
          <w:bCs w:val="0"/>
          <w:sz w:val="32"/>
          <w:szCs w:val="32"/>
          <w:lang w:eastAsia="zh-CN"/>
        </w:rPr>
        <w:t>、</w:t>
      </w:r>
      <w:r>
        <w:rPr>
          <w:rFonts w:hint="default" w:ascii="Times New Roman" w:hAnsi="Times New Roman" w:eastAsia="黑体" w:cs="Times New Roman"/>
          <w:b w:val="0"/>
          <w:bCs w:val="0"/>
          <w:sz w:val="32"/>
          <w:szCs w:val="32"/>
        </w:rPr>
        <w:t>政府信息公开工作存在的主要问题及改进情况</w:t>
      </w:r>
    </w:p>
    <w:p>
      <w:pPr>
        <w:pStyle w:val="5"/>
        <w:keepNext w:val="0"/>
        <w:keepLines w:val="0"/>
        <w:pageBreakBefore w:val="0"/>
        <w:kinsoku/>
        <w:wordWrap/>
        <w:overflowPunct/>
        <w:topLinePunct w:val="0"/>
        <w:autoSpaceDE/>
        <w:autoSpaceDN/>
        <w:bidi w:val="0"/>
        <w:adjustRightInd/>
        <w:snapToGrid/>
        <w:spacing w:before="0" w:beforeAutospacing="0" w:after="0" w:afterAutospacing="0" w:line="560" w:lineRule="atLeast"/>
        <w:ind w:firstLine="640" w:firstLineChars="200"/>
        <w:jc w:val="both"/>
        <w:textAlignment w:val="auto"/>
        <w:rPr>
          <w:rFonts w:hint="default" w:ascii="Times New Roman" w:hAnsi="Times New Roman" w:cs="Times New Roman"/>
          <w:sz w:val="32"/>
          <w:szCs w:val="32"/>
        </w:rPr>
      </w:pPr>
      <w:r>
        <w:rPr>
          <w:rFonts w:hint="default" w:ascii="Times New Roman" w:hAnsi="Times New Roman" w:eastAsia="楷体_GB2312" w:cs="Times New Roman"/>
          <w:sz w:val="32"/>
          <w:szCs w:val="32"/>
        </w:rPr>
        <w:t>存在问题：</w:t>
      </w:r>
      <w:r>
        <w:rPr>
          <w:rFonts w:hint="default" w:ascii="Times New Roman" w:hAnsi="Times New Roman" w:eastAsia="仿宋_GB2312" w:cs="Times New Roman"/>
          <w:kern w:val="2"/>
          <w:sz w:val="32"/>
          <w:szCs w:val="32"/>
          <w:lang w:val="en-US" w:eastAsia="zh-CN" w:bidi="ar-SA"/>
        </w:rPr>
        <w:t>对政府信息公开条例学习不够深入，依申请公开办理工作水平有待提高。</w:t>
      </w:r>
    </w:p>
    <w:p>
      <w:pPr>
        <w:keepNext w:val="0"/>
        <w:keepLines w:val="0"/>
        <w:pageBreakBefore w:val="0"/>
        <w:kinsoku/>
        <w:wordWrap/>
        <w:overflowPunct/>
        <w:topLinePunct w:val="0"/>
        <w:autoSpaceDE/>
        <w:autoSpaceDN/>
        <w:bidi w:val="0"/>
        <w:adjustRightInd/>
        <w:snapToGrid/>
        <w:spacing w:line="560" w:lineRule="atLeas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改进情况：</w:t>
      </w:r>
      <w:r>
        <w:rPr>
          <w:rFonts w:hint="default" w:ascii="Times New Roman" w:hAnsi="Times New Roman" w:eastAsia="仿宋_GB2312" w:cs="Times New Roman"/>
          <w:sz w:val="32"/>
          <w:szCs w:val="32"/>
        </w:rPr>
        <w:t>举办《</w:t>
      </w:r>
      <w:r>
        <w:rPr>
          <w:rFonts w:hint="eastAsia" w:ascii="Times New Roman" w:hAnsi="Times New Roman" w:eastAsia="仿宋_GB2312" w:cs="Times New Roman"/>
          <w:sz w:val="32"/>
          <w:szCs w:val="32"/>
          <w:lang w:eastAsia="zh-CN"/>
        </w:rPr>
        <w:t>中华人民共和国政府信息公开条例</w:t>
      </w:r>
      <w:r>
        <w:rPr>
          <w:rFonts w:hint="default" w:ascii="Times New Roman" w:hAnsi="Times New Roman" w:eastAsia="仿宋_GB2312" w:cs="Times New Roman"/>
          <w:sz w:val="32"/>
          <w:szCs w:val="32"/>
        </w:rPr>
        <w:t>》专题培训，</w:t>
      </w:r>
      <w:r>
        <w:rPr>
          <w:rFonts w:hint="default" w:ascii="Times New Roman" w:hAnsi="Times New Roman" w:eastAsia="仿宋_GB2312" w:cs="Times New Roman"/>
          <w:sz w:val="32"/>
          <w:szCs w:val="32"/>
          <w:lang w:eastAsia="zh-CN"/>
        </w:rPr>
        <w:t>邀请</w:t>
      </w:r>
      <w:r>
        <w:rPr>
          <w:rFonts w:hint="eastAsia" w:ascii="Times New Roman" w:hAnsi="Times New Roman" w:eastAsia="仿宋_GB2312" w:cs="Times New Roman"/>
          <w:sz w:val="32"/>
          <w:szCs w:val="32"/>
          <w:lang w:eastAsia="zh-CN"/>
        </w:rPr>
        <w:t>专家对全局相关单位进行培训，</w:t>
      </w:r>
      <w:r>
        <w:rPr>
          <w:rFonts w:hint="default" w:ascii="Times New Roman" w:hAnsi="Times New Roman" w:eastAsia="仿宋_GB2312" w:cs="Times New Roman"/>
          <w:sz w:val="32"/>
          <w:szCs w:val="32"/>
        </w:rPr>
        <w:t>围绕《</w:t>
      </w:r>
      <w:r>
        <w:rPr>
          <w:rFonts w:hint="eastAsia" w:ascii="Times New Roman" w:hAnsi="Times New Roman" w:eastAsia="仿宋_GB2312" w:cs="Times New Roman"/>
          <w:sz w:val="32"/>
          <w:szCs w:val="32"/>
          <w:lang w:eastAsia="zh-CN"/>
        </w:rPr>
        <w:t>中华人民共和国政府信息公开条例</w:t>
      </w:r>
      <w:r>
        <w:rPr>
          <w:rFonts w:hint="default" w:ascii="Times New Roman" w:hAnsi="Times New Roman" w:eastAsia="仿宋_GB2312" w:cs="Times New Roman"/>
          <w:sz w:val="32"/>
          <w:szCs w:val="32"/>
        </w:rPr>
        <w:t>》系统阐释了办理政府信息依申请公开工作的程序和步骤，结合相关行政诉讼、行政复议典型案例，深入浅出</w:t>
      </w:r>
      <w:r>
        <w:rPr>
          <w:rFonts w:hint="eastAsia" w:ascii="Times New Roman" w:hAnsi="Times New Roman" w:eastAsia="仿宋_GB2312" w:cs="Times New Roman"/>
          <w:sz w:val="32"/>
          <w:szCs w:val="32"/>
          <w:lang w:eastAsia="zh-CN"/>
        </w:rPr>
        <w:t>地</w:t>
      </w:r>
      <w:r>
        <w:rPr>
          <w:rFonts w:hint="default" w:ascii="Times New Roman" w:hAnsi="Times New Roman" w:eastAsia="仿宋_GB2312" w:cs="Times New Roman"/>
          <w:sz w:val="32"/>
          <w:szCs w:val="32"/>
        </w:rPr>
        <w:t>讲解“十一步工作法”和依申请公开信息答复流程，</w:t>
      </w:r>
      <w:r>
        <w:rPr>
          <w:rFonts w:hint="default" w:ascii="Times New Roman" w:hAnsi="Times New Roman" w:eastAsia="仿宋_GB2312" w:cs="Times New Roman"/>
          <w:sz w:val="32"/>
          <w:szCs w:val="32"/>
          <w:lang w:eastAsia="zh-CN"/>
        </w:rPr>
        <w:t>提升</w:t>
      </w:r>
      <w:r>
        <w:rPr>
          <w:rFonts w:hint="default" w:ascii="Times New Roman" w:hAnsi="Times New Roman" w:eastAsia="仿宋_GB2312" w:cs="Times New Roman"/>
          <w:sz w:val="32"/>
          <w:szCs w:val="32"/>
        </w:rPr>
        <w:t>农业农村系统办理依申请公开相关工作</w:t>
      </w:r>
      <w:r>
        <w:rPr>
          <w:rFonts w:hint="default" w:ascii="Times New Roman" w:hAnsi="Times New Roman" w:eastAsia="仿宋_GB2312" w:cs="Times New Roman"/>
          <w:sz w:val="32"/>
          <w:szCs w:val="32"/>
          <w:lang w:eastAsia="zh-CN"/>
        </w:rPr>
        <w:t>能力</w:t>
      </w:r>
      <w:r>
        <w:rPr>
          <w:rFonts w:hint="default" w:ascii="Times New Roman" w:hAnsi="Times New Roman" w:eastAsia="仿宋_GB2312" w:cs="Times New Roman"/>
          <w:sz w:val="32"/>
          <w:szCs w:val="32"/>
        </w:rPr>
        <w:t>。</w:t>
      </w:r>
    </w:p>
    <w:p>
      <w:pPr>
        <w:keepNext w:val="0"/>
        <w:keepLines w:val="0"/>
        <w:pageBreakBefore w:val="0"/>
        <w:kinsoku/>
        <w:wordWrap/>
        <w:overflowPunct/>
        <w:topLinePunct w:val="0"/>
        <w:autoSpaceDE/>
        <w:autoSpaceDN/>
        <w:bidi w:val="0"/>
        <w:adjustRightInd/>
        <w:snapToGrid/>
        <w:spacing w:line="560" w:lineRule="atLeast"/>
        <w:ind w:firstLine="640" w:firstLineChars="200"/>
        <w:textAlignment w:val="auto"/>
        <w:rPr>
          <w:rFonts w:hint="default" w:ascii="Times New Roman" w:hAnsi="Times New Roman" w:eastAsia="黑体" w:cs="Times New Roman"/>
          <w:b w:val="0"/>
          <w:bCs w:val="0"/>
          <w:sz w:val="32"/>
          <w:szCs w:val="32"/>
        </w:rPr>
      </w:pPr>
      <w:r>
        <w:rPr>
          <w:rFonts w:hint="default" w:ascii="Times New Roman" w:hAnsi="Times New Roman" w:eastAsia="黑体" w:cs="Times New Roman"/>
          <w:b w:val="0"/>
          <w:bCs w:val="0"/>
          <w:sz w:val="32"/>
          <w:szCs w:val="32"/>
        </w:rPr>
        <w:t>六</w:t>
      </w:r>
      <w:r>
        <w:rPr>
          <w:rFonts w:hint="default" w:ascii="Times New Roman" w:hAnsi="Times New Roman" w:eastAsia="黑体" w:cs="Times New Roman"/>
          <w:b w:val="0"/>
          <w:bCs w:val="0"/>
          <w:sz w:val="32"/>
          <w:szCs w:val="32"/>
          <w:lang w:eastAsia="zh-CN"/>
        </w:rPr>
        <w:t>、</w:t>
      </w:r>
      <w:r>
        <w:rPr>
          <w:rFonts w:hint="default" w:ascii="Times New Roman" w:hAnsi="Times New Roman" w:eastAsia="黑体" w:cs="Times New Roman"/>
          <w:b w:val="0"/>
          <w:bCs w:val="0"/>
          <w:sz w:val="32"/>
          <w:szCs w:val="32"/>
        </w:rPr>
        <w:t>其他需要报告的事项</w:t>
      </w:r>
    </w:p>
    <w:p>
      <w:pPr>
        <w:pStyle w:val="5"/>
        <w:keepNext w:val="0"/>
        <w:keepLines w:val="0"/>
        <w:pageBreakBefore w:val="0"/>
        <w:kinsoku/>
        <w:wordWrap/>
        <w:overflowPunct/>
        <w:topLinePunct w:val="0"/>
        <w:autoSpaceDE/>
        <w:autoSpaceDN/>
        <w:bidi w:val="0"/>
        <w:adjustRightInd/>
        <w:snapToGrid/>
        <w:spacing w:before="0" w:beforeAutospacing="0" w:after="0" w:afterAutospacing="0" w:line="560" w:lineRule="atLeast"/>
        <w:ind w:firstLine="640" w:firstLineChars="200"/>
        <w:jc w:val="both"/>
        <w:textAlignment w:val="auto"/>
        <w:rPr>
          <w:rFonts w:hint="default" w:ascii="Times New Roman" w:hAnsi="Times New Roman" w:cs="Times New Roman"/>
          <w:sz w:val="32"/>
          <w:szCs w:val="32"/>
        </w:rPr>
      </w:pPr>
      <w:r>
        <w:rPr>
          <w:rFonts w:hint="default" w:ascii="Times New Roman" w:hAnsi="Times New Roman" w:eastAsia="楷体_GB2312" w:cs="Times New Roman"/>
          <w:sz w:val="32"/>
          <w:szCs w:val="32"/>
        </w:rPr>
        <w:t>（一）收取信息处理费的情况。</w:t>
      </w:r>
      <w:r>
        <w:rPr>
          <w:rFonts w:hint="default" w:ascii="Times New Roman" w:hAnsi="Times New Roman" w:eastAsia="仿宋_GB2312" w:cs="Times New Roman"/>
          <w:sz w:val="32"/>
          <w:szCs w:val="32"/>
        </w:rPr>
        <w:t>本年度本单位</w:t>
      </w:r>
      <w:r>
        <w:rPr>
          <w:rFonts w:hint="default" w:ascii="Times New Roman" w:hAnsi="Times New Roman" w:eastAsia="仿宋_GB2312" w:cs="Times New Roman"/>
          <w:sz w:val="32"/>
          <w:szCs w:val="32"/>
          <w:lang w:eastAsia="zh-CN"/>
        </w:rPr>
        <w:t>无</w:t>
      </w:r>
      <w:r>
        <w:rPr>
          <w:rFonts w:hint="default" w:ascii="Times New Roman" w:hAnsi="Times New Roman" w:eastAsia="仿宋_GB2312" w:cs="Times New Roman"/>
          <w:sz w:val="32"/>
          <w:szCs w:val="32"/>
        </w:rPr>
        <w:t>向政府信息公开申请人收取费用</w:t>
      </w:r>
      <w:r>
        <w:rPr>
          <w:rFonts w:hint="default" w:ascii="Times New Roman" w:hAnsi="Times New Roman" w:eastAsia="仿宋_GB2312" w:cs="Times New Roman"/>
          <w:sz w:val="32"/>
          <w:szCs w:val="32"/>
          <w:lang w:eastAsia="zh-CN"/>
        </w:rPr>
        <w:t>情况</w:t>
      </w:r>
      <w:r>
        <w:rPr>
          <w:rFonts w:hint="default" w:ascii="Times New Roman" w:hAnsi="Times New Roman" w:eastAsia="仿宋_GB2312" w:cs="Times New Roman"/>
          <w:sz w:val="32"/>
          <w:szCs w:val="32"/>
        </w:rPr>
        <w:t>，完全免费提供信息。</w:t>
      </w:r>
    </w:p>
    <w:p>
      <w:pPr>
        <w:pStyle w:val="5"/>
        <w:keepNext w:val="0"/>
        <w:keepLines w:val="0"/>
        <w:pageBreakBefore w:val="0"/>
        <w:kinsoku/>
        <w:wordWrap/>
        <w:overflowPunct/>
        <w:topLinePunct w:val="0"/>
        <w:autoSpaceDE/>
        <w:autoSpaceDN/>
        <w:bidi w:val="0"/>
        <w:adjustRightInd/>
        <w:snapToGrid/>
        <w:spacing w:before="0" w:beforeAutospacing="0" w:after="0" w:afterAutospacing="0" w:line="560" w:lineRule="atLeas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楷体_GB2312" w:cs="Times New Roman"/>
          <w:sz w:val="32"/>
          <w:szCs w:val="32"/>
        </w:rPr>
        <w:t>（二）落实上级年度政务公开工作要点情况。</w:t>
      </w:r>
      <w:r>
        <w:rPr>
          <w:rFonts w:hint="default" w:ascii="Times New Roman" w:hAnsi="Times New Roman" w:eastAsia="仿宋_GB2312" w:cs="Times New Roman"/>
          <w:sz w:val="32"/>
          <w:szCs w:val="32"/>
        </w:rPr>
        <w:t>认真落实</w:t>
      </w:r>
      <w:r>
        <w:rPr>
          <w:rFonts w:hint="default" w:ascii="Times New Roman" w:hAnsi="Times New Roman" w:eastAsia="仿宋_GB2312" w:cs="Times New Roman"/>
          <w:sz w:val="32"/>
          <w:szCs w:val="32"/>
          <w:lang w:eastAsia="zh-CN"/>
        </w:rPr>
        <w:t>省市</w:t>
      </w: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年政务公开工作要点，</w:t>
      </w:r>
      <w:r>
        <w:rPr>
          <w:rFonts w:hint="default" w:ascii="Times New Roman" w:hAnsi="Times New Roman" w:eastAsia="仿宋_GB2312" w:cs="Times New Roman"/>
          <w:sz w:val="32"/>
          <w:szCs w:val="32"/>
          <w:lang w:eastAsia="zh-CN"/>
        </w:rPr>
        <w:t>细化责任分解，压实工作责任，</w:t>
      </w:r>
      <w:r>
        <w:rPr>
          <w:rFonts w:hint="default" w:ascii="Times New Roman" w:hAnsi="Times New Roman" w:eastAsia="仿宋_GB2312" w:cs="Times New Roman"/>
          <w:sz w:val="32"/>
          <w:szCs w:val="32"/>
        </w:rPr>
        <w:t>确保上级工作要点各项要求落地落实</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加强政务公开标准化规范化建设</w:t>
      </w:r>
      <w:r>
        <w:rPr>
          <w:rFonts w:hint="default" w:ascii="Times New Roman" w:hAnsi="Times New Roman" w:eastAsia="仿宋_GB2312" w:cs="Times New Roman"/>
          <w:sz w:val="32"/>
          <w:szCs w:val="32"/>
          <w:lang w:eastAsia="zh-CN"/>
        </w:rPr>
        <w:t>，紧紧</w:t>
      </w:r>
      <w:r>
        <w:rPr>
          <w:rFonts w:hint="default" w:ascii="Times New Roman" w:hAnsi="Times New Roman" w:eastAsia="仿宋_GB2312" w:cs="Times New Roman"/>
          <w:sz w:val="32"/>
          <w:szCs w:val="32"/>
        </w:rPr>
        <w:t>围绕</w:t>
      </w:r>
      <w:r>
        <w:rPr>
          <w:rFonts w:hint="default" w:ascii="Times New Roman" w:hAnsi="Times New Roman" w:eastAsia="仿宋_GB2312" w:cs="Times New Roman"/>
          <w:sz w:val="32"/>
          <w:szCs w:val="32"/>
          <w:lang w:eastAsia="zh-CN"/>
        </w:rPr>
        <w:t>政务公开</w:t>
      </w:r>
      <w:r>
        <w:rPr>
          <w:rFonts w:hint="default" w:ascii="Times New Roman" w:hAnsi="Times New Roman" w:eastAsia="仿宋_GB2312" w:cs="Times New Roman"/>
          <w:sz w:val="32"/>
          <w:szCs w:val="32"/>
        </w:rPr>
        <w:t>推进农业农村高质量发展</w:t>
      </w:r>
      <w:r>
        <w:rPr>
          <w:rFonts w:hint="default" w:ascii="Times New Roman" w:hAnsi="Times New Roman" w:eastAsia="仿宋_GB2312" w:cs="Times New Roman"/>
          <w:sz w:val="32"/>
          <w:szCs w:val="32"/>
          <w:lang w:eastAsia="zh-CN"/>
        </w:rPr>
        <w:t>，在主动公开、依申请公开、网站新媒体平台建设等方面创新突破，在上级检查通报中未发现问题。</w:t>
      </w:r>
      <w:r>
        <w:rPr>
          <w:rFonts w:hint="default" w:ascii="Times New Roman" w:hAnsi="Times New Roman" w:eastAsia="仿宋_GB2312" w:cs="Times New Roman"/>
          <w:sz w:val="32"/>
          <w:szCs w:val="32"/>
        </w:rPr>
        <w:t>优化</w:t>
      </w:r>
      <w:r>
        <w:rPr>
          <w:rFonts w:hint="default" w:ascii="Times New Roman" w:hAnsi="Times New Roman" w:eastAsia="仿宋_GB2312" w:cs="Times New Roman"/>
          <w:sz w:val="32"/>
          <w:szCs w:val="32"/>
          <w:lang w:eastAsia="zh-CN"/>
        </w:rPr>
        <w:t>营商环境</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紧贴群众所需，定时发布农产品市场分析</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eastAsia="zh-CN"/>
        </w:rPr>
        <w:t>、农情信息、农技服务等信息</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加强政策解读，新发布政策配图文视频等解读材料，便利群众深入了解政策。持续加强微信公众号内容把关，注重青岛“三农”工作特色亮点创新点归纳，立体呈现青岛农业农村工作成效、打法路径等。2024年发布微信公众号200余篇，其中，原创文章100余篇。新春第一会、可圈可点的十六项亮点工作、“四下基层”启动等点击量过万。</w:t>
      </w:r>
    </w:p>
    <w:p>
      <w:pPr>
        <w:pStyle w:val="5"/>
        <w:keepNext w:val="0"/>
        <w:keepLines w:val="0"/>
        <w:pageBreakBefore w:val="0"/>
        <w:kinsoku/>
        <w:wordWrap/>
        <w:overflowPunct/>
        <w:topLinePunct w:val="0"/>
        <w:autoSpaceDE/>
        <w:autoSpaceDN/>
        <w:bidi w:val="0"/>
        <w:adjustRightInd/>
        <w:snapToGrid/>
        <w:spacing w:before="0" w:beforeAutospacing="0" w:after="0" w:afterAutospacing="0" w:line="560" w:lineRule="atLeas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（三）建议提案办理结果公开情况。</w:t>
      </w:r>
      <w:r>
        <w:rPr>
          <w:rFonts w:hint="default" w:ascii="Times New Roman" w:hAnsi="Times New Roman" w:eastAsia="仿宋_GB2312" w:cs="Times New Roman"/>
          <w:sz w:val="32"/>
          <w:szCs w:val="32"/>
        </w:rPr>
        <w:t>2024年市农业农村局共办理建议提案91件，其中，人大代表建议62件，政协提案29件，全部办理完毕并答复代表委员，市农业农村局被市人大评为“2024年度代表建议先进承办单位”、被市政协评为“2024 年提案先进承办单位”。通过青岛政务网、青岛农业信息网及时对建议提案原文、答复意见书、工作进展情况、意见建议采纳情况、年度工作总结报告等信息进行了公开发布。</w:t>
      </w:r>
    </w:p>
    <w:p>
      <w:pPr>
        <w:pStyle w:val="5"/>
        <w:keepNext w:val="0"/>
        <w:keepLines w:val="0"/>
        <w:pageBreakBefore w:val="0"/>
        <w:kinsoku/>
        <w:wordWrap/>
        <w:overflowPunct/>
        <w:topLinePunct w:val="0"/>
        <w:autoSpaceDE/>
        <w:autoSpaceDN/>
        <w:bidi w:val="0"/>
        <w:adjustRightInd/>
        <w:snapToGrid/>
        <w:spacing w:before="0" w:beforeAutospacing="0" w:after="0" w:afterAutospacing="0" w:line="560" w:lineRule="atLeast"/>
        <w:ind w:firstLine="640" w:firstLineChars="200"/>
        <w:jc w:val="both"/>
        <w:textAlignment w:val="auto"/>
        <w:rPr>
          <w:rFonts w:hint="default" w:ascii="Times New Roman" w:hAnsi="Times New Roman" w:eastAsia="楷体_GB2312" w:cs="Times New Roman"/>
          <w:sz w:val="32"/>
          <w:szCs w:val="32"/>
          <w:lang w:eastAsia="zh-CN"/>
        </w:rPr>
      </w:pPr>
      <w:r>
        <w:rPr>
          <w:rFonts w:hint="default" w:ascii="Times New Roman" w:hAnsi="Times New Roman" w:eastAsia="楷体_GB2312" w:cs="Times New Roman"/>
          <w:sz w:val="32"/>
          <w:szCs w:val="32"/>
        </w:rPr>
        <w:t>（四）政务公开工作创新情况。</w:t>
      </w:r>
      <w:r>
        <w:rPr>
          <w:rFonts w:hint="default" w:ascii="Times New Roman" w:hAnsi="Times New Roman" w:eastAsia="仿宋_GB2312" w:cs="Times New Roman"/>
          <w:sz w:val="32"/>
          <w:szCs w:val="32"/>
          <w:lang w:eastAsia="zh-CN"/>
        </w:rPr>
        <w:t>加强政策解读，创设了“农小宝”“农小娴”两个政策性农业保险宣传员动漫形象，通过视频的形式生动明快地解读了青岛市鸡蛋目标价格保险试点政策，视频设计了贴近蛋鸡养殖户的生产场景，运用接地气的语言，介绍了投保主体要求、保险金额、保费标准、赔偿处理等养殖户高度关注的信息，引导广大养殖户明明白白投保，切实维护群众利益。</w:t>
      </w:r>
    </w:p>
    <w:p>
      <w:pPr>
        <w:pStyle w:val="5"/>
        <w:keepNext w:val="0"/>
        <w:keepLines w:val="0"/>
        <w:pageBreakBefore w:val="0"/>
        <w:kinsoku/>
        <w:wordWrap/>
        <w:overflowPunct/>
        <w:topLinePunct w:val="0"/>
        <w:autoSpaceDE/>
        <w:autoSpaceDN/>
        <w:bidi w:val="0"/>
        <w:adjustRightInd/>
        <w:snapToGrid/>
        <w:spacing w:before="0" w:beforeAutospacing="0" w:after="0" w:afterAutospacing="0" w:line="560" w:lineRule="atLeas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（五）本行政机关政府信息公开工作年度报告数据统计需要说明的事项。</w:t>
      </w:r>
      <w:r>
        <w:rPr>
          <w:rFonts w:hint="default" w:ascii="Times New Roman" w:hAnsi="Times New Roman" w:eastAsia="仿宋_GB2312" w:cs="Times New Roman"/>
          <w:sz w:val="32"/>
          <w:szCs w:val="32"/>
        </w:rPr>
        <w:t>本报告统计数据来</w:t>
      </w:r>
      <w:r>
        <w:rPr>
          <w:rFonts w:hint="eastAsia" w:ascii="Times New Roman" w:hAnsi="Times New Roman" w:eastAsia="仿宋_GB2312" w:cs="Times New Roman"/>
          <w:sz w:val="32"/>
          <w:szCs w:val="32"/>
          <w:lang w:eastAsia="zh-CN"/>
        </w:rPr>
        <w:t>源于</w:t>
      </w:r>
      <w:r>
        <w:rPr>
          <w:rFonts w:hint="default" w:ascii="Times New Roman" w:hAnsi="Times New Roman" w:eastAsia="仿宋_GB2312" w:cs="Times New Roman"/>
          <w:sz w:val="32"/>
          <w:szCs w:val="32"/>
        </w:rPr>
        <w:t>青岛政务网（青岛市农业农村局板块）、青岛市农业农村局官网、青岛农业农村微信公众号。</w:t>
      </w:r>
    </w:p>
    <w:p>
      <w:pPr>
        <w:ind w:firstLine="640" w:firstLineChars="200"/>
        <w:rPr>
          <w:rFonts w:hint="eastAsia" w:ascii="仿宋_GB2312" w:eastAsia="仿宋_GB2312"/>
          <w:sz w:val="32"/>
          <w:szCs w:val="32"/>
          <w:lang w:eastAsia="zh-CN"/>
        </w:rPr>
      </w:pPr>
      <w:r>
        <w:rPr>
          <w:rFonts w:hint="eastAsia" w:ascii="Times New Roman" w:hAnsi="Times New Roman" w:eastAsia="楷体_GB2312" w:cs="Times New Roman"/>
          <w:kern w:val="0"/>
          <w:sz w:val="32"/>
          <w:szCs w:val="32"/>
          <w:lang w:val="en-US" w:eastAsia="zh-CN" w:bidi="ar-SA"/>
        </w:rPr>
        <w:t>（六）</w:t>
      </w:r>
      <w:r>
        <w:rPr>
          <w:rFonts w:hint="default" w:ascii="Times New Roman" w:hAnsi="Times New Roman" w:eastAsia="楷体_GB2312" w:cs="Times New Roman"/>
          <w:kern w:val="0"/>
          <w:sz w:val="32"/>
          <w:szCs w:val="32"/>
          <w:lang w:val="en-US" w:eastAsia="zh-CN" w:bidi="ar-SA"/>
        </w:rPr>
        <w:t>本行政机关认为需要报告的其他事项</w:t>
      </w:r>
      <w:r>
        <w:rPr>
          <w:rFonts w:hint="eastAsia" w:ascii="Times New Roman" w:hAnsi="Times New Roman" w:eastAsia="楷体_GB2312" w:cs="Times New Roman"/>
          <w:kern w:val="0"/>
          <w:sz w:val="32"/>
          <w:szCs w:val="32"/>
          <w:lang w:val="en-US" w:eastAsia="zh-CN" w:bidi="ar-SA"/>
        </w:rPr>
        <w:t>。</w:t>
      </w:r>
      <w:r>
        <w:rPr>
          <w:rFonts w:hint="eastAsia" w:ascii="仿宋_GB2312" w:eastAsia="仿宋_GB2312"/>
          <w:sz w:val="32"/>
          <w:szCs w:val="32"/>
          <w:lang w:eastAsia="zh-CN"/>
        </w:rPr>
        <w:t>无。</w:t>
      </w:r>
    </w:p>
    <w:p>
      <w:pPr>
        <w:ind w:firstLine="640" w:firstLineChars="200"/>
        <w:rPr>
          <w:rFonts w:hint="eastAsia" w:ascii="仿宋_GB2312" w:eastAsia="仿宋_GB2312"/>
          <w:sz w:val="32"/>
          <w:szCs w:val="32"/>
          <w:lang w:eastAsia="zh-CN"/>
        </w:rPr>
      </w:pPr>
      <w:r>
        <w:rPr>
          <w:rFonts w:hint="eastAsia" w:ascii="Times New Roman" w:hAnsi="Times New Roman" w:eastAsia="楷体_GB2312" w:cs="Times New Roman"/>
          <w:kern w:val="0"/>
          <w:sz w:val="32"/>
          <w:szCs w:val="32"/>
          <w:lang w:val="en-US" w:eastAsia="zh-CN" w:bidi="ar-SA"/>
        </w:rPr>
        <w:t>（七）</w:t>
      </w:r>
      <w:r>
        <w:rPr>
          <w:rFonts w:hint="default" w:ascii="Times New Roman" w:hAnsi="Times New Roman" w:eastAsia="楷体_GB2312" w:cs="Times New Roman"/>
          <w:kern w:val="0"/>
          <w:sz w:val="32"/>
          <w:szCs w:val="32"/>
          <w:lang w:val="en-US" w:eastAsia="zh-CN" w:bidi="ar-SA"/>
        </w:rPr>
        <w:t>其他有关文件专门要求通过政府信息公开工作年度报告予以报告的事项。</w:t>
      </w:r>
      <w:r>
        <w:rPr>
          <w:rFonts w:hint="eastAsia" w:ascii="仿宋_GB2312" w:eastAsia="仿宋_GB2312"/>
          <w:sz w:val="32"/>
          <w:szCs w:val="32"/>
          <w:lang w:eastAsia="zh-CN"/>
        </w:rPr>
        <w:t>无。</w:t>
      </w:r>
    </w:p>
    <w:p>
      <w:pPr>
        <w:pStyle w:val="5"/>
        <w:keepNext w:val="0"/>
        <w:keepLines w:val="0"/>
        <w:pageBreakBefore w:val="0"/>
        <w:kinsoku/>
        <w:wordWrap/>
        <w:overflowPunct/>
        <w:topLinePunct w:val="0"/>
        <w:autoSpaceDE/>
        <w:autoSpaceDN/>
        <w:bidi w:val="0"/>
        <w:adjustRightInd/>
        <w:snapToGrid/>
        <w:spacing w:before="0" w:beforeAutospacing="0" w:after="0" w:afterAutospacing="0" w:line="560" w:lineRule="atLeast"/>
        <w:ind w:firstLine="640" w:firstLineChars="200"/>
        <w:jc w:val="both"/>
        <w:textAlignment w:val="auto"/>
        <w:rPr>
          <w:rFonts w:hint="default" w:ascii="Times New Roman" w:hAnsi="Times New Roman" w:eastAsia="仿宋_GB2312" w:cs="Times New Roman"/>
          <w:sz w:val="32"/>
          <w:szCs w:val="32"/>
        </w:rPr>
      </w:pPr>
    </w:p>
    <w:p>
      <w:pPr>
        <w:keepNext w:val="0"/>
        <w:keepLines w:val="0"/>
        <w:pageBreakBefore w:val="0"/>
        <w:kinsoku/>
        <w:wordWrap/>
        <w:overflowPunct/>
        <w:topLinePunct w:val="0"/>
        <w:autoSpaceDE/>
        <w:autoSpaceDN/>
        <w:bidi w:val="0"/>
        <w:adjustRightInd/>
        <w:snapToGrid/>
        <w:spacing w:line="560" w:lineRule="atLeast"/>
        <w:ind w:firstLine="640" w:firstLineChars="200"/>
        <w:jc w:val="both"/>
        <w:textAlignment w:val="auto"/>
        <w:rPr>
          <w:rFonts w:hint="default" w:ascii="Times New Roman" w:hAnsi="Times New Roman" w:eastAsia="仿宋_GB2312" w:cs="Times New Roman"/>
          <w:sz w:val="32"/>
          <w:szCs w:val="32"/>
        </w:rPr>
      </w:pPr>
    </w:p>
    <w:sectPr>
      <w:footerReference r:id="rId3" w:type="default"/>
      <w:pgSz w:w="11906" w:h="16838"/>
      <w:pgMar w:top="2098" w:right="1474" w:bottom="1985" w:left="1588"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0000000000000000000"/>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rFonts w:ascii="宋体" w:hAnsi="宋体" w:eastAsia="宋体"/>
        <w:sz w:val="28"/>
        <w:szCs w:val="28"/>
      </w:rPr>
    </w:pPr>
    <w:r>
      <w:rPr>
        <w:sz w:val="28"/>
      </w:rPr>
      <w:pict>
        <v:shape id="_x0000_s4097" o:spid="_x0000_s4097"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jM0OTE5MDIyNDQwOWIzMTc3NzA3NDM4OTM5ZjA3ZTQifQ=="/>
  </w:docVars>
  <w:rsids>
    <w:rsidRoot w:val="00CB63D1"/>
    <w:rsid w:val="00022AAA"/>
    <w:rsid w:val="000E1E7C"/>
    <w:rsid w:val="001E1F91"/>
    <w:rsid w:val="00266991"/>
    <w:rsid w:val="0027479F"/>
    <w:rsid w:val="002D7F9F"/>
    <w:rsid w:val="0036007F"/>
    <w:rsid w:val="00397CF8"/>
    <w:rsid w:val="00563328"/>
    <w:rsid w:val="006C78D6"/>
    <w:rsid w:val="008E39CD"/>
    <w:rsid w:val="009554FD"/>
    <w:rsid w:val="009E446A"/>
    <w:rsid w:val="00A90400"/>
    <w:rsid w:val="00B7698A"/>
    <w:rsid w:val="00B83CAB"/>
    <w:rsid w:val="00C654CB"/>
    <w:rsid w:val="00C97F51"/>
    <w:rsid w:val="00CB1DB6"/>
    <w:rsid w:val="00CB63D1"/>
    <w:rsid w:val="00D75516"/>
    <w:rsid w:val="00F00377"/>
    <w:rsid w:val="00F97B01"/>
    <w:rsid w:val="01C31A02"/>
    <w:rsid w:val="021C29C7"/>
    <w:rsid w:val="08D76887"/>
    <w:rsid w:val="0F1E3C65"/>
    <w:rsid w:val="115E7088"/>
    <w:rsid w:val="12E443FE"/>
    <w:rsid w:val="132955BE"/>
    <w:rsid w:val="14246760"/>
    <w:rsid w:val="150D43F1"/>
    <w:rsid w:val="15DE400B"/>
    <w:rsid w:val="16264111"/>
    <w:rsid w:val="19605D9D"/>
    <w:rsid w:val="19A1609C"/>
    <w:rsid w:val="19FB2187"/>
    <w:rsid w:val="1AE91F77"/>
    <w:rsid w:val="1E716874"/>
    <w:rsid w:val="1EB01D32"/>
    <w:rsid w:val="1F0E3240"/>
    <w:rsid w:val="1F367998"/>
    <w:rsid w:val="20887BB6"/>
    <w:rsid w:val="20B42A63"/>
    <w:rsid w:val="20B64B0C"/>
    <w:rsid w:val="216D6944"/>
    <w:rsid w:val="22244B28"/>
    <w:rsid w:val="24284DA4"/>
    <w:rsid w:val="26AB5818"/>
    <w:rsid w:val="27977957"/>
    <w:rsid w:val="27AA795A"/>
    <w:rsid w:val="28C3364D"/>
    <w:rsid w:val="2B934C21"/>
    <w:rsid w:val="2C2B5A47"/>
    <w:rsid w:val="2DA84860"/>
    <w:rsid w:val="307A5A6C"/>
    <w:rsid w:val="309E7AFA"/>
    <w:rsid w:val="33740CD3"/>
    <w:rsid w:val="39215C5D"/>
    <w:rsid w:val="39F44A3B"/>
    <w:rsid w:val="3B8D500F"/>
    <w:rsid w:val="3D0B21FE"/>
    <w:rsid w:val="3F151E96"/>
    <w:rsid w:val="40D86484"/>
    <w:rsid w:val="442C6A4C"/>
    <w:rsid w:val="467B20E5"/>
    <w:rsid w:val="4C621B1B"/>
    <w:rsid w:val="4FC155E1"/>
    <w:rsid w:val="52DC0984"/>
    <w:rsid w:val="562E3A5B"/>
    <w:rsid w:val="58145BAD"/>
    <w:rsid w:val="59B2243E"/>
    <w:rsid w:val="5D8F31C2"/>
    <w:rsid w:val="60003F04"/>
    <w:rsid w:val="603D4424"/>
    <w:rsid w:val="63B82D47"/>
    <w:rsid w:val="63E844CF"/>
    <w:rsid w:val="66121185"/>
    <w:rsid w:val="6621372E"/>
    <w:rsid w:val="666248BA"/>
    <w:rsid w:val="68F60FD6"/>
    <w:rsid w:val="69BD4F96"/>
    <w:rsid w:val="6A1F7AD1"/>
    <w:rsid w:val="6E8C1DFD"/>
    <w:rsid w:val="6EFB0554"/>
    <w:rsid w:val="6F0464B8"/>
    <w:rsid w:val="71AF1CA7"/>
    <w:rsid w:val="7743576B"/>
    <w:rsid w:val="79E96A1C"/>
    <w:rsid w:val="79F00F06"/>
    <w:rsid w:val="7D7539AD"/>
    <w:rsid w:val="7E7E605B"/>
    <w:rsid w:val="7EE1272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1"/>
    <w:semiHidden/>
    <w:unhideWhenUsed/>
    <w:qFormat/>
    <w:uiPriority w:val="99"/>
    <w:pPr>
      <w:ind w:left="100" w:leftChars="2500"/>
    </w:p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paragraph" w:styleId="10">
    <w:name w:val="List Paragraph"/>
    <w:basedOn w:val="1"/>
    <w:qFormat/>
    <w:uiPriority w:val="34"/>
    <w:pPr>
      <w:ind w:firstLine="420" w:firstLineChars="200"/>
    </w:pPr>
  </w:style>
  <w:style w:type="character" w:customStyle="1" w:styleId="11">
    <w:name w:val="日期 Char"/>
    <w:basedOn w:val="7"/>
    <w:link w:val="2"/>
    <w:semiHidden/>
    <w:qFormat/>
    <w:uiPriority w:val="99"/>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Pages>
  <Words>2996</Words>
  <Characters>3175</Characters>
  <Lines>30</Lines>
  <Paragraphs>8</Paragraphs>
  <TotalTime>8</TotalTime>
  <ScaleCrop>false</ScaleCrop>
  <LinksUpToDate>false</LinksUpToDate>
  <CharactersWithSpaces>3192</CharactersWithSpaces>
  <Application>WPS Office_12.1.0.15374_F1E327BC-269C-435d-A152-05C5408002CA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2025-01-07T01:12:00Z</dcterms:created>
  <dc:creator>元华 戚</dc:creator>
  <cp:lastModifiedBy>微信用户</cp:lastModifiedBy>
  <cp:lastPrinted>2024-01-02T08:50:00Z</cp:lastPrinted>
  <dcterms:modified xsi:type="dcterms:W3CDTF">2025-01-21T08:30:43Z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eyJoZGlkIjoiYWVkNDk1NDlmNTFmODIzNTQ3MGNiMzM0NjJiZTg5NTQiLCJ1c2VySWQiOiIxNTgxMjU1NjEwIn0=</vt:lpwstr>
  </property>
  <property fmtid="{D5CDD505-2E9C-101B-9397-08002B2CF9AE}" pid="3" name="KSOProductBuildVer">
    <vt:lpwstr>2052-12.1.0.15374</vt:lpwstr>
  </property>
  <property fmtid="{D5CDD505-2E9C-101B-9397-08002B2CF9AE}" pid="4" name="ICV">
    <vt:lpwstr>C00B22EBB2054F8584C598BBAE7C7B53_12</vt:lpwstr>
  </property>
</Properties>
</file>