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pBdr>
          <w:top w:val="none" w:color="auto" w:sz="0" w:space="0"/>
          <w:left w:val="none" w:color="auto" w:sz="0" w:space="0"/>
          <w:bottom w:val="none" w:color="auto" w:sz="0" w:space="0"/>
          <w:right w:val="none" w:color="auto" w:sz="0" w:space="0"/>
        </w:pBdr>
        <w:shd w:val="clear" w:color="070000" w:fill="auto"/>
        <w:wordWrap/>
        <w:adjustRightInd/>
        <w:snapToGrid/>
        <w:spacing w:before="0" w:beforeAutospacing="0" w:after="0" w:afterAutospacing="0" w:line="560" w:lineRule="exact"/>
        <w:ind w:left="0" w:right="0" w:firstLine="0"/>
        <w:jc w:val="center"/>
        <w:textAlignment w:val="auto"/>
        <w:outlineLvl w:val="9"/>
        <w:rPr>
          <w:rFonts w:hint="eastAsia" w:ascii="方正小标宋_GBK" w:hAnsi="方正小标宋_GBK" w:eastAsia="方正小标宋_GBK" w:cs="方正小标宋_GBK"/>
          <w:b w:val="0"/>
          <w:bCs/>
          <w:i w:val="0"/>
          <w:caps w:val="0"/>
          <w:color w:val="auto"/>
          <w:spacing w:val="0"/>
          <w:sz w:val="44"/>
          <w:szCs w:val="44"/>
          <w:shd w:val="clear" w:color="auto" w:fill="FFFFFF"/>
          <w:lang w:val="en-US" w:eastAsia="zh-CN"/>
        </w:rPr>
      </w:pPr>
      <w:r>
        <w:rPr>
          <w:rFonts w:hint="eastAsia" w:ascii="方正小标宋_GBK" w:hAnsi="方正小标宋_GBK" w:eastAsia="方正小标宋_GBK" w:cs="方正小标宋_GBK"/>
          <w:b w:val="0"/>
          <w:bCs/>
          <w:i w:val="0"/>
          <w:caps w:val="0"/>
          <w:color w:val="auto"/>
          <w:spacing w:val="0"/>
          <w:sz w:val="44"/>
          <w:szCs w:val="44"/>
          <w:shd w:val="clear" w:color="auto" w:fill="FFFFFF"/>
          <w:lang w:val="en-US" w:eastAsia="zh-CN"/>
        </w:rPr>
        <w:t>青岛市人力资源和社会保障局</w:t>
      </w:r>
    </w:p>
    <w:p>
      <w:pPr>
        <w:pStyle w:val="5"/>
        <w:widowControl/>
        <w:pBdr>
          <w:top w:val="none" w:color="auto" w:sz="0" w:space="0"/>
          <w:left w:val="none" w:color="auto" w:sz="0" w:space="0"/>
          <w:bottom w:val="none" w:color="auto" w:sz="0" w:space="0"/>
          <w:right w:val="none" w:color="auto" w:sz="0" w:space="0"/>
        </w:pBdr>
        <w:shd w:val="clear" w:color="070000" w:fill="auto"/>
        <w:wordWrap/>
        <w:adjustRightInd/>
        <w:snapToGrid/>
        <w:spacing w:before="0" w:beforeAutospacing="0" w:after="0" w:afterAutospacing="0" w:line="560" w:lineRule="exact"/>
        <w:ind w:left="0" w:right="0" w:firstLine="0"/>
        <w:jc w:val="center"/>
        <w:textAlignment w:val="auto"/>
        <w:outlineLvl w:val="9"/>
        <w:rPr>
          <w:rFonts w:hint="eastAsia" w:ascii="方正小标宋_GBK" w:hAnsi="方正小标宋_GBK" w:eastAsia="方正小标宋_GBK" w:cs="方正小标宋_GBK"/>
          <w:b w:val="0"/>
          <w:bCs/>
          <w:i w:val="0"/>
          <w:caps w:val="0"/>
          <w:color w:val="auto"/>
          <w:spacing w:val="0"/>
          <w:sz w:val="44"/>
          <w:szCs w:val="44"/>
        </w:rPr>
      </w:pPr>
      <w:r>
        <w:rPr>
          <w:rFonts w:hint="eastAsia" w:ascii="方正小标宋_GBK" w:hAnsi="方正小标宋_GBK" w:eastAsia="方正小标宋_GBK" w:cs="方正小标宋_GBK"/>
          <w:b w:val="0"/>
          <w:bCs/>
          <w:i w:val="0"/>
          <w:caps w:val="0"/>
          <w:color w:val="auto"/>
          <w:spacing w:val="0"/>
          <w:sz w:val="44"/>
          <w:szCs w:val="44"/>
          <w:shd w:val="clear" w:color="auto" w:fill="FFFFFF"/>
          <w:lang w:val="en-US" w:eastAsia="zh-CN"/>
        </w:rPr>
        <w:t>2023年</w:t>
      </w:r>
      <w:r>
        <w:rPr>
          <w:rFonts w:hint="eastAsia" w:ascii="方正小标宋_GBK" w:hAnsi="方正小标宋_GBK" w:eastAsia="方正小标宋_GBK" w:cs="方正小标宋_GBK"/>
          <w:b w:val="0"/>
          <w:bCs/>
          <w:i w:val="0"/>
          <w:caps w:val="0"/>
          <w:color w:val="auto"/>
          <w:spacing w:val="0"/>
          <w:sz w:val="44"/>
          <w:szCs w:val="44"/>
          <w:shd w:val="clear" w:color="auto" w:fill="FFFFFF"/>
        </w:rPr>
        <w:t>政府信息公开工作年度报告</w:t>
      </w:r>
    </w:p>
    <w:p>
      <w:pPr>
        <w:widowControl w:val="0"/>
        <w:wordWrap/>
        <w:adjustRightInd/>
        <w:snapToGrid/>
        <w:spacing w:line="560" w:lineRule="exact"/>
        <w:ind w:firstLine="880" w:firstLineChars="200"/>
        <w:textAlignment w:val="auto"/>
        <w:outlineLvl w:val="9"/>
        <w:rPr>
          <w:rFonts w:hint="eastAsia" w:ascii="方正小标宋_GBK" w:hAnsi="方正小标宋_GBK" w:eastAsia="方正小标宋_GBK" w:cs="方正小标宋_GBK"/>
          <w:i w:val="0"/>
          <w:iCs w:val="0"/>
          <w:caps w:val="0"/>
          <w:color w:val="auto"/>
          <w:spacing w:val="0"/>
          <w:sz w:val="44"/>
          <w:szCs w:val="44"/>
          <w:u w:val="none"/>
        </w:rPr>
      </w:pPr>
    </w:p>
    <w:p>
      <w:pPr>
        <w:widowControl w:val="0"/>
        <w:wordWrap/>
        <w:adjustRightInd/>
        <w:snapToGrid/>
        <w:spacing w:line="560" w:lineRule="exact"/>
        <w:ind w:firstLine="640" w:firstLineChars="200"/>
        <w:jc w:val="both"/>
        <w:textAlignment w:val="auto"/>
        <w:outlineLvl w:val="9"/>
        <w:rPr>
          <w:rFonts w:hint="eastAsia" w:ascii="仿宋_GB2312" w:hAnsi="仿宋_GB2312" w:eastAsia="仿宋_GB2312" w:cs="仿宋_GB2312"/>
          <w:i w:val="0"/>
          <w:iCs w:val="0"/>
          <w:caps w:val="0"/>
          <w:color w:val="auto"/>
          <w:spacing w:val="0"/>
          <w:sz w:val="32"/>
          <w:szCs w:val="32"/>
          <w:u w:val="none"/>
        </w:rPr>
      </w:pPr>
      <w:r>
        <w:rPr>
          <w:rFonts w:hint="eastAsia" w:ascii="仿宋_GB2312" w:hAnsi="仿宋_GB2312" w:eastAsia="仿宋_GB2312" w:cs="仿宋_GB2312"/>
          <w:i w:val="0"/>
          <w:iCs w:val="0"/>
          <w:caps w:val="0"/>
          <w:color w:val="auto"/>
          <w:spacing w:val="0"/>
          <w:sz w:val="32"/>
          <w:szCs w:val="32"/>
          <w:u w:val="none"/>
        </w:rPr>
        <w:t>根据《中华人民共和国政府信息公开条例</w:t>
      </w:r>
      <w:r>
        <w:rPr>
          <w:rFonts w:hint="eastAsia" w:ascii="仿宋_GB2312" w:hAnsi="仿宋_GB2312" w:eastAsia="仿宋_GB2312" w:cs="仿宋_GB2312"/>
          <w:i w:val="0"/>
          <w:iCs w:val="0"/>
          <w:caps w:val="0"/>
          <w:color w:val="auto"/>
          <w:spacing w:val="0"/>
          <w:sz w:val="32"/>
          <w:szCs w:val="32"/>
        </w:rPr>
        <w:t>》要求，结合202</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eastAsia="zh-CN"/>
        </w:rPr>
        <w:t>青岛市</w:t>
      </w:r>
      <w:r>
        <w:rPr>
          <w:rFonts w:hint="eastAsia" w:ascii="仿宋_GB2312" w:hAnsi="仿宋_GB2312" w:eastAsia="仿宋_GB2312" w:cs="仿宋_GB2312"/>
          <w:i w:val="0"/>
          <w:iCs w:val="0"/>
          <w:caps w:val="0"/>
          <w:color w:val="auto"/>
          <w:spacing w:val="0"/>
          <w:sz w:val="32"/>
          <w:szCs w:val="32"/>
        </w:rPr>
        <w:t>人力资源和社会保障</w:t>
      </w:r>
      <w:r>
        <w:rPr>
          <w:rFonts w:hint="eastAsia" w:ascii="仿宋_GB2312" w:hAnsi="仿宋_GB2312" w:eastAsia="仿宋_GB2312" w:cs="仿宋_GB2312"/>
          <w:i w:val="0"/>
          <w:iCs w:val="0"/>
          <w:caps w:val="0"/>
          <w:color w:val="auto"/>
          <w:spacing w:val="0"/>
          <w:sz w:val="32"/>
          <w:szCs w:val="32"/>
          <w:lang w:val="en-US" w:eastAsia="zh-CN"/>
        </w:rPr>
        <w:t>局</w:t>
      </w:r>
      <w:r>
        <w:rPr>
          <w:rFonts w:hint="eastAsia" w:ascii="仿宋_GB2312" w:hAnsi="仿宋_GB2312" w:eastAsia="仿宋_GB2312" w:cs="仿宋_GB2312"/>
          <w:i w:val="0"/>
          <w:iCs w:val="0"/>
          <w:caps w:val="0"/>
          <w:color w:val="auto"/>
          <w:spacing w:val="0"/>
          <w:sz w:val="32"/>
          <w:szCs w:val="32"/>
        </w:rPr>
        <w:t>政府信息公开工作实际，编制发布本报告，内容包括总体情况、主动</w:t>
      </w:r>
      <w:r>
        <w:rPr>
          <w:rFonts w:hint="eastAsia" w:ascii="仿宋_GB2312" w:hAnsi="仿宋_GB2312" w:eastAsia="仿宋_GB2312" w:cs="仿宋_GB2312"/>
          <w:i w:val="0"/>
          <w:iCs w:val="0"/>
          <w:caps w:val="0"/>
          <w:color w:val="auto"/>
          <w:spacing w:val="0"/>
          <w:sz w:val="32"/>
          <w:szCs w:val="32"/>
          <w:u w:val="none"/>
        </w:rPr>
        <w:t>公开政府信息情况、收到和处理政府信息公开申请情况、政府信息公开行政复议和行政诉讼情况、存在的主要问题及改进情况、其他需要报告的事项等六个部分。本年度报告中所列数据统计期限从202</w:t>
      </w:r>
      <w:r>
        <w:rPr>
          <w:rFonts w:hint="eastAsia" w:ascii="仿宋_GB2312" w:hAnsi="仿宋_GB2312" w:eastAsia="仿宋_GB2312" w:cs="仿宋_GB2312"/>
          <w:i w:val="0"/>
          <w:iCs w:val="0"/>
          <w:caps w:val="0"/>
          <w:color w:val="auto"/>
          <w:spacing w:val="0"/>
          <w:sz w:val="32"/>
          <w:szCs w:val="32"/>
          <w:u w:val="none"/>
          <w:lang w:val="en-US" w:eastAsia="zh-CN"/>
        </w:rPr>
        <w:t>3</w:t>
      </w:r>
      <w:r>
        <w:rPr>
          <w:rFonts w:hint="eastAsia" w:ascii="仿宋_GB2312" w:hAnsi="仿宋_GB2312" w:eastAsia="仿宋_GB2312" w:cs="仿宋_GB2312"/>
          <w:i w:val="0"/>
          <w:iCs w:val="0"/>
          <w:caps w:val="0"/>
          <w:color w:val="auto"/>
          <w:spacing w:val="0"/>
          <w:sz w:val="32"/>
          <w:szCs w:val="32"/>
          <w:u w:val="none"/>
        </w:rPr>
        <w:t>年1月1日到202</w:t>
      </w:r>
      <w:r>
        <w:rPr>
          <w:rFonts w:hint="eastAsia" w:ascii="仿宋_GB2312" w:hAnsi="仿宋_GB2312" w:eastAsia="仿宋_GB2312" w:cs="仿宋_GB2312"/>
          <w:i w:val="0"/>
          <w:iCs w:val="0"/>
          <w:caps w:val="0"/>
          <w:color w:val="auto"/>
          <w:spacing w:val="0"/>
          <w:sz w:val="32"/>
          <w:szCs w:val="32"/>
          <w:u w:val="none"/>
          <w:lang w:val="en-US" w:eastAsia="zh-CN"/>
        </w:rPr>
        <w:t>3</w:t>
      </w:r>
      <w:r>
        <w:rPr>
          <w:rFonts w:hint="eastAsia" w:ascii="仿宋_GB2312" w:hAnsi="仿宋_GB2312" w:eastAsia="仿宋_GB2312" w:cs="仿宋_GB2312"/>
          <w:i w:val="0"/>
          <w:iCs w:val="0"/>
          <w:caps w:val="0"/>
          <w:color w:val="auto"/>
          <w:spacing w:val="0"/>
          <w:sz w:val="32"/>
          <w:szCs w:val="32"/>
          <w:u w:val="none"/>
        </w:rPr>
        <w:t>年12月31日。</w:t>
      </w:r>
    </w:p>
    <w:p>
      <w:pPr>
        <w:pStyle w:val="4"/>
        <w:widowControl w:val="0"/>
        <w:numPr>
          <w:ilvl w:val="0"/>
          <w:numId w:val="0"/>
        </w:numPr>
        <w:wordWrap/>
        <w:adjustRightIn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一、总体情况</w:t>
      </w:r>
    </w:p>
    <w:p>
      <w:pPr>
        <w:widowControl w:val="0"/>
        <w:wordWrap/>
        <w:adjustRightInd/>
        <w:snapToGrid/>
        <w:spacing w:line="560" w:lineRule="exact"/>
        <w:ind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2023年，</w:t>
      </w:r>
      <w:r>
        <w:rPr>
          <w:rFonts w:hint="eastAsia" w:ascii="仿宋_GB2312" w:eastAsia="仿宋_GB2312"/>
          <w:color w:val="auto"/>
          <w:sz w:val="32"/>
          <w:szCs w:val="32"/>
        </w:rPr>
        <w:t>青岛市</w:t>
      </w:r>
      <w:r>
        <w:rPr>
          <w:rFonts w:ascii="仿宋_GB2312" w:eastAsia="仿宋_GB2312"/>
          <w:color w:val="auto"/>
          <w:sz w:val="32"/>
          <w:szCs w:val="32"/>
        </w:rPr>
        <w:t>人力资源和社会保障局</w:t>
      </w:r>
      <w:r>
        <w:rPr>
          <w:rFonts w:hint="eastAsia" w:ascii="仿宋_GB2312" w:eastAsia="仿宋_GB2312"/>
          <w:color w:val="auto"/>
          <w:sz w:val="32"/>
          <w:szCs w:val="32"/>
        </w:rPr>
        <w:t>以习近平新时代中国特色社会主义思想为指导,全面深入学习贯彻党的二十大精神，</w:t>
      </w:r>
      <w:r>
        <w:rPr>
          <w:rFonts w:hint="eastAsia" w:ascii="仿宋_GB2312" w:eastAsia="仿宋_GB2312"/>
          <w:color w:val="auto"/>
          <w:sz w:val="32"/>
          <w:szCs w:val="32"/>
          <w:lang w:val="en-US" w:eastAsia="zh-CN"/>
        </w:rPr>
        <w:t>按照国务院、</w:t>
      </w:r>
      <w:r>
        <w:rPr>
          <w:rFonts w:hint="eastAsia" w:ascii="仿宋_GB2312" w:eastAsia="仿宋_GB2312"/>
          <w:color w:val="auto"/>
          <w:sz w:val="32"/>
          <w:szCs w:val="32"/>
          <w:lang w:eastAsia="zh-CN"/>
        </w:rPr>
        <w:t>省、市政府</w:t>
      </w:r>
      <w:r>
        <w:rPr>
          <w:rFonts w:hint="eastAsia" w:ascii="仿宋_GB2312" w:eastAsia="仿宋_GB2312"/>
          <w:color w:val="auto"/>
          <w:sz w:val="32"/>
          <w:szCs w:val="32"/>
        </w:rPr>
        <w:t>政务公开部署安排,坚持以人民为中心</w:t>
      </w:r>
      <w:r>
        <w:rPr>
          <w:rFonts w:hint="eastAsia" w:ascii="仿宋_GB2312" w:eastAsia="仿宋_GB2312" w:cs="Times New Roman"/>
          <w:color w:val="auto"/>
          <w:sz w:val="32"/>
          <w:szCs w:val="32"/>
        </w:rPr>
        <w:t>,</w:t>
      </w:r>
      <w:r>
        <w:rPr>
          <w:rFonts w:hint="eastAsia" w:ascii="仿宋_GB2312" w:eastAsia="仿宋_GB2312" w:cs="Times New Roman"/>
          <w:color w:val="auto"/>
          <w:sz w:val="32"/>
          <w:szCs w:val="32"/>
          <w:lang w:val="en-US" w:eastAsia="zh-CN"/>
        </w:rPr>
        <w:t>深化政务公开内涵、拓展政务公开路径、优化公开服务链条，</w:t>
      </w:r>
      <w:r>
        <w:rPr>
          <w:rFonts w:hint="eastAsia" w:ascii="仿宋_GB2312" w:eastAsia="仿宋_GB2312" w:cs="Times New Roman"/>
          <w:color w:val="auto"/>
          <w:sz w:val="32"/>
          <w:szCs w:val="32"/>
        </w:rPr>
        <w:t>推动</w:t>
      </w:r>
      <w:r>
        <w:rPr>
          <w:rFonts w:ascii="仿宋_GB2312" w:eastAsia="仿宋_GB2312"/>
          <w:color w:val="auto"/>
          <w:sz w:val="32"/>
          <w:szCs w:val="32"/>
        </w:rPr>
        <w:t>政务公开</w:t>
      </w:r>
      <w:r>
        <w:rPr>
          <w:rFonts w:hint="eastAsia" w:ascii="仿宋_GB2312" w:eastAsia="仿宋_GB2312"/>
          <w:color w:val="auto"/>
          <w:sz w:val="32"/>
          <w:szCs w:val="32"/>
        </w:rPr>
        <w:t>全面提标、提质、提速、提效</w:t>
      </w:r>
      <w:r>
        <w:rPr>
          <w:rFonts w:hint="eastAsia" w:ascii="仿宋_GB2312" w:eastAsia="仿宋_GB2312"/>
          <w:color w:val="auto"/>
          <w:sz w:val="32"/>
          <w:szCs w:val="32"/>
          <w:lang w:eastAsia="zh-CN"/>
        </w:rPr>
        <w:t>。</w:t>
      </w:r>
    </w:p>
    <w:p>
      <w:pPr>
        <w:widowControl w:val="0"/>
        <w:wordWrap/>
        <w:adjustRightInd/>
        <w:snapToGrid/>
        <w:spacing w:line="560" w:lineRule="exact"/>
        <w:ind w:firstLine="640" w:firstLineChars="200"/>
        <w:jc w:val="both"/>
        <w:textAlignment w:val="auto"/>
        <w:rPr>
          <w:rFonts w:hint="eastAsia" w:ascii="仿宋_GB2312" w:eastAsia="仿宋_GB2312"/>
          <w:color w:val="auto"/>
          <w:sz w:val="32"/>
          <w:szCs w:val="32"/>
          <w:lang w:val="en-US" w:eastAsia="zh-CN"/>
        </w:rPr>
      </w:pPr>
      <w:r>
        <w:rPr>
          <w:rFonts w:hint="eastAsia" w:ascii="楷体_GB2312" w:hAnsi="楷体_GB2312" w:eastAsia="楷体_GB2312" w:cs="楷体_GB2312"/>
          <w:color w:val="auto"/>
          <w:sz w:val="32"/>
          <w:szCs w:val="32"/>
          <w:lang w:eastAsia="zh-CN"/>
        </w:rPr>
        <w:t>（一）</w:t>
      </w:r>
      <w:r>
        <w:rPr>
          <w:rFonts w:hint="eastAsia" w:ascii="楷体_GB2312" w:hAnsi="楷体_GB2312" w:eastAsia="楷体_GB2312" w:cs="楷体_GB2312"/>
          <w:color w:val="auto"/>
          <w:sz w:val="32"/>
          <w:szCs w:val="32"/>
          <w:lang w:val="en-US" w:eastAsia="zh-CN"/>
        </w:rPr>
        <w:t>主动公开方面</w:t>
      </w:r>
      <w:r>
        <w:rPr>
          <w:rFonts w:hint="eastAsia" w:ascii="仿宋_GB2312" w:eastAsia="仿宋_GB2312"/>
          <w:color w:val="auto"/>
          <w:sz w:val="32"/>
          <w:szCs w:val="32"/>
          <w:lang w:val="en-US" w:eastAsia="zh-CN"/>
        </w:rPr>
        <w:t>。聚焦企业群众关心关注的就业创业、社会保障、人事人才、劳动关系、营商环境等7个重点业务领域深化公开，持续增强公开针对性、提高精准度。对举办活动、开发信息化项目等重要事项，从项目竞争性评审到结果公告，做到全过程公开。今年以来，已累计公开牵头的青岛政务网人社局网页、全市“社会公益事业建设领域”中“就业创业”“社会保险”两个板块以及两项全市年度本职工作和重点任务公开承诺事项政府信息5695条，人社重要政策、会议、活动“一查都有”，有力打通了人社政策与企业群众间的“最后一公里”。</w:t>
      </w:r>
    </w:p>
    <w:p>
      <w:pPr>
        <w:numPr>
          <w:ilvl w:val="0"/>
          <w:numId w:val="0"/>
        </w:numPr>
        <w:spacing w:line="560" w:lineRule="exact"/>
        <w:ind w:firstLine="640" w:firstLineChars="200"/>
        <w:rPr>
          <w:rFonts w:hint="eastAsia" w:ascii="仿宋_GB2312" w:eastAsia="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（二）依申请公开工作方面</w:t>
      </w:r>
      <w:r>
        <w:rPr>
          <w:rFonts w:hint="eastAsia" w:ascii="仿宋_GB2312" w:eastAsia="仿宋_GB2312"/>
          <w:color w:val="auto"/>
          <w:sz w:val="32"/>
          <w:szCs w:val="32"/>
          <w:lang w:val="en-US" w:eastAsia="zh-CN"/>
        </w:rPr>
        <w:t>。坚持公开为民原则，倡导站在申请人角度想问题的工作理念，把“人诚事公、真情相助”品牌文化融入依法依规办理依申请公开全过程，实行“问、转、办、复”和三级审核办理答复制度，让群众既感受到依申请公开规范有序，又体会到人社服务的温度。2023年，受理依申请公开事项46件，无一例被行政复议或诉讼。</w:t>
      </w:r>
    </w:p>
    <w:p>
      <w:pPr>
        <w:numPr>
          <w:ilvl w:val="0"/>
          <w:numId w:val="0"/>
        </w:numPr>
        <w:spacing w:line="56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楷体_GB2312" w:hAnsi="楷体_GB2312" w:eastAsia="楷体_GB2312" w:cs="楷体_GB2312"/>
          <w:color w:val="auto"/>
          <w:sz w:val="32"/>
          <w:szCs w:val="32"/>
          <w:lang w:val="en-US" w:eastAsia="zh-CN"/>
        </w:rPr>
        <w:t>（三）政府信息管理方面</w:t>
      </w:r>
      <w:r>
        <w:rPr>
          <w:rFonts w:hint="eastAsia" w:ascii="仿宋_GB2312" w:eastAsia="仿宋_GB2312"/>
          <w:color w:val="auto"/>
          <w:sz w:val="32"/>
          <w:szCs w:val="32"/>
          <w:lang w:val="en-US" w:eastAsia="zh-CN"/>
        </w:rPr>
        <w:t>。结合省、市政府重要决策和上级业务部门工作部署，坚持以公开为常态、不公开为例外，研究确定局年度政务公开工作重点，逐项分解任务、压实责任，在全局形成分工协作、整体推进的工作机制。动态调整主动公开基本目录，持续完善公开指南，方便企业群众查有可循。</w:t>
      </w:r>
    </w:p>
    <w:p>
      <w:pPr>
        <w:numPr>
          <w:ilvl w:val="0"/>
          <w:numId w:val="0"/>
        </w:numPr>
        <w:spacing w:line="56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楷体_GB2312" w:hAnsi="楷体_GB2312" w:eastAsia="楷体_GB2312" w:cs="楷体_GB2312"/>
          <w:color w:val="auto"/>
          <w:sz w:val="32"/>
          <w:szCs w:val="32"/>
          <w:lang w:val="en-US" w:eastAsia="zh-CN"/>
        </w:rPr>
        <w:t>（四）平台建设方面</w:t>
      </w:r>
      <w:r>
        <w:rPr>
          <w:rFonts w:hint="eastAsia" w:ascii="仿宋_GB2312" w:eastAsia="仿宋_GB2312"/>
          <w:color w:val="auto"/>
          <w:sz w:val="32"/>
          <w:szCs w:val="32"/>
          <w:lang w:val="en-US" w:eastAsia="zh-CN"/>
        </w:rPr>
        <w:t>。强化网站和政务新媒体建设，打造官方网站、官方微信微博为主，12333民生服务热线、“民生在线”等政民互动活动为辅的公开便民大矩阵。坚决落实网络意识形态工作责任制，做到权威信息应发尽发、应转尽转。按照“谁公开、谁负责”“谁审查、谁负责”原则，严格落实政府信息公开审查制度，严把政治关、法律关、政策关、保密关，确保公开内容表述规范、严谨准确。</w:t>
      </w:r>
    </w:p>
    <w:p>
      <w:pPr>
        <w:numPr>
          <w:ilvl w:val="0"/>
          <w:numId w:val="0"/>
        </w:numPr>
        <w:spacing w:line="560" w:lineRule="exact"/>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楷体_GB2312" w:hAnsi="楷体_GB2312" w:eastAsia="楷体_GB2312" w:cs="楷体_GB2312"/>
          <w:color w:val="auto"/>
          <w:sz w:val="32"/>
          <w:szCs w:val="32"/>
          <w:lang w:val="en-US" w:eastAsia="zh-CN"/>
        </w:rPr>
        <w:t xml:space="preserve"> （五）监督保障方面</w:t>
      </w:r>
      <w:r>
        <w:rPr>
          <w:rFonts w:hint="eastAsia" w:ascii="仿宋_GB2312" w:eastAsia="仿宋_GB2312"/>
          <w:color w:val="auto"/>
          <w:sz w:val="32"/>
          <w:szCs w:val="32"/>
          <w:lang w:val="en-US" w:eastAsia="zh-CN"/>
        </w:rPr>
        <w:t>。在局信息公开工作领导小组领导下，领导小组办公室强化政务公开培训，将政务公开工作纳入对新入职人员和政务运行培训内容，组织各处室、单位负责政务公开工作人员参加全省人社系统政务公开培训暨重点工作推进视频会议，提升政务公开意识和能力。</w:t>
      </w:r>
    </w:p>
    <w:p>
      <w:pPr>
        <w:numPr>
          <w:ilvl w:val="0"/>
          <w:numId w:val="1"/>
        </w:numPr>
        <w:spacing w:line="560" w:lineRule="exact"/>
        <w:ind w:left="640" w:leftChars="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主动公开政府信息情况</w:t>
      </w:r>
    </w:p>
    <w:tbl>
      <w:tblPr>
        <w:tblStyle w:val="7"/>
        <w:tblW w:w="88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6"/>
        <w:gridCol w:w="2206"/>
        <w:gridCol w:w="2206"/>
        <w:gridCol w:w="2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eastAsia="仿宋_GB2312" w:cs="Calibri"/>
                <w:color w:val="auto"/>
                <w:kern w:val="0"/>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1</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1</w:t>
            </w:r>
          </w:p>
        </w:tc>
        <w:tc>
          <w:tcPr>
            <w:tcW w:w="2206" w:type="dxa"/>
            <w:tcBorders>
              <w:top w:val="nil"/>
              <w:left w:val="nil"/>
              <w:bottom w:val="single" w:color="auto" w:sz="8" w:space="0"/>
              <w:right w:val="single" w:color="auto" w:sz="8" w:space="0"/>
            </w:tcBorders>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eastAsia="仿宋_GB2312" w:cs="Calibri"/>
                <w:color w:val="auto"/>
                <w:kern w:val="0"/>
                <w:szCs w:val="21"/>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eastAsia="仿宋_GB2312" w:cs="Calibri"/>
                <w:color w:val="auto"/>
                <w:kern w:val="0"/>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81"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eastAsia="仿宋_GB2312" w:cs="Calibri"/>
                <w:color w:val="auto"/>
                <w:kern w:val="0"/>
                <w:szCs w:val="21"/>
                <w:lang w:val="en-US" w:eastAsia="zh-CN"/>
              </w:rPr>
              <w:t>1926.4174</w:t>
            </w:r>
          </w:p>
        </w:tc>
      </w:tr>
    </w:tbl>
    <w:p>
      <w:pPr>
        <w:numPr>
          <w:ilvl w:val="0"/>
          <w:numId w:val="1"/>
        </w:numPr>
        <w:spacing w:line="560" w:lineRule="exact"/>
        <w:ind w:left="640" w:leftChars="0"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收到和处理政府信息公开申请情况</w:t>
      </w:r>
    </w:p>
    <w:tbl>
      <w:tblPr>
        <w:tblStyle w:val="7"/>
        <w:tblW w:w="994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7"/>
        <w:gridCol w:w="1706"/>
        <w:gridCol w:w="2984"/>
        <w:gridCol w:w="928"/>
        <w:gridCol w:w="472"/>
        <w:gridCol w:w="569"/>
        <w:gridCol w:w="733"/>
        <w:gridCol w:w="710"/>
        <w:gridCol w:w="568"/>
        <w:gridCol w:w="8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13" w:hRule="atLeast"/>
          <w:jc w:val="center"/>
        </w:trPr>
        <w:tc>
          <w:tcPr>
            <w:tcW w:w="5107" w:type="dxa"/>
            <w:gridSpan w:val="3"/>
            <w:vMerge w:val="restart"/>
            <w:tcMar>
              <w:left w:w="108" w:type="dxa"/>
              <w:right w:w="108" w:type="dxa"/>
            </w:tcMar>
            <w:vAlign w:val="center"/>
          </w:tcPr>
          <w:p>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833" w:type="dxa"/>
            <w:gridSpan w:val="7"/>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25" w:hRule="atLeast"/>
          <w:jc w:val="center"/>
        </w:trPr>
        <w:tc>
          <w:tcPr>
            <w:tcW w:w="5107" w:type="dxa"/>
            <w:gridSpan w:val="3"/>
            <w:vMerge w:val="continue"/>
            <w:tcMar>
              <w:left w:w="108" w:type="dxa"/>
              <w:right w:w="108" w:type="dxa"/>
            </w:tcMar>
            <w:vAlign w:val="center"/>
          </w:tcPr>
          <w:p>
            <w:pPr>
              <w:jc w:val="center"/>
              <w:rPr>
                <w:rFonts w:ascii="仿宋_GB2312" w:hAnsi="Times New Roman" w:eastAsia="仿宋_GB2312"/>
                <w:color w:val="auto"/>
                <w:szCs w:val="21"/>
              </w:rPr>
            </w:pPr>
          </w:p>
        </w:tc>
        <w:tc>
          <w:tcPr>
            <w:tcW w:w="928" w:type="dxa"/>
            <w:vMerge w:val="restart"/>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052" w:type="dxa"/>
            <w:gridSpan w:val="5"/>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853" w:type="dxa"/>
            <w:vMerge w:val="restart"/>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322" w:hRule="atLeast"/>
          <w:jc w:val="center"/>
        </w:trPr>
        <w:tc>
          <w:tcPr>
            <w:tcW w:w="5107" w:type="dxa"/>
            <w:gridSpan w:val="3"/>
            <w:vMerge w:val="continue"/>
            <w:tcMar>
              <w:left w:w="108" w:type="dxa"/>
              <w:right w:w="108" w:type="dxa"/>
            </w:tcMar>
            <w:vAlign w:val="center"/>
          </w:tcPr>
          <w:p>
            <w:pPr>
              <w:jc w:val="center"/>
              <w:rPr>
                <w:rFonts w:ascii="仿宋_GB2312" w:hAnsi="Times New Roman" w:eastAsia="仿宋_GB2312"/>
                <w:color w:val="auto"/>
                <w:szCs w:val="21"/>
              </w:rPr>
            </w:pPr>
          </w:p>
        </w:tc>
        <w:tc>
          <w:tcPr>
            <w:tcW w:w="928" w:type="dxa"/>
            <w:vMerge w:val="continue"/>
            <w:tcMar>
              <w:left w:w="108" w:type="dxa"/>
              <w:right w:w="108" w:type="dxa"/>
            </w:tcMar>
            <w:vAlign w:val="center"/>
          </w:tcPr>
          <w:p>
            <w:pPr>
              <w:jc w:val="center"/>
              <w:rPr>
                <w:rFonts w:ascii="黑体" w:hAnsi="黑体" w:eastAsia="黑体"/>
                <w:color w:val="auto"/>
                <w:szCs w:val="21"/>
              </w:rPr>
            </w:pPr>
          </w:p>
        </w:tc>
        <w:tc>
          <w:tcPr>
            <w:tcW w:w="472" w:type="dxa"/>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商业企业</w:t>
            </w:r>
          </w:p>
        </w:tc>
        <w:tc>
          <w:tcPr>
            <w:tcW w:w="569" w:type="dxa"/>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33" w:type="dxa"/>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710" w:type="dxa"/>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68" w:type="dxa"/>
            <w:tcMar>
              <w:left w:w="108" w:type="dxa"/>
              <w:right w:w="108" w:type="dxa"/>
            </w:tcMar>
            <w:vAlign w:val="center"/>
          </w:tcPr>
          <w:p>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853" w:type="dxa"/>
            <w:vMerge w:val="continue"/>
            <w:tcMar>
              <w:left w:w="108" w:type="dxa"/>
              <w:right w:w="108" w:type="dxa"/>
            </w:tcMar>
            <w:vAlign w:val="center"/>
          </w:tcPr>
          <w:p>
            <w:pPr>
              <w:jc w:val="center"/>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14" w:hRule="atLeast"/>
          <w:jc w:val="center"/>
        </w:trPr>
        <w:tc>
          <w:tcPr>
            <w:tcW w:w="5107" w:type="dxa"/>
            <w:gridSpan w:val="3"/>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41</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20" w:hRule="atLeast"/>
          <w:jc w:val="center"/>
        </w:trPr>
        <w:tc>
          <w:tcPr>
            <w:tcW w:w="5107" w:type="dxa"/>
            <w:gridSpan w:val="3"/>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restart"/>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90" w:type="dxa"/>
            <w:gridSpan w:val="2"/>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26</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4690" w:type="dxa"/>
            <w:gridSpan w:val="2"/>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restart"/>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1</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restart"/>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13</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ind w:left="-107" w:leftChars="-51"/>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2</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ind w:left="-107" w:leftChars="-51"/>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restart"/>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454"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397" w:hRule="exact"/>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spacing w:line="200" w:lineRule="exact"/>
              <w:rPr>
                <w:rFonts w:ascii="黑体" w:hAnsi="黑体" w:eastAsia="黑体"/>
                <w:color w:val="auto"/>
                <w:szCs w:val="21"/>
              </w:rPr>
            </w:pPr>
          </w:p>
        </w:tc>
        <w:tc>
          <w:tcPr>
            <w:tcW w:w="2984" w:type="dxa"/>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restart"/>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84" w:type="dxa"/>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widowControl/>
              <w:spacing w:line="300" w:lineRule="exact"/>
              <w:rPr>
                <w:rFonts w:ascii="黑体" w:hAnsi="黑体" w:eastAsia="黑体"/>
                <w:color w:val="auto"/>
                <w:kern w:val="0"/>
                <w:szCs w:val="21"/>
              </w:rPr>
            </w:pPr>
          </w:p>
        </w:tc>
        <w:tc>
          <w:tcPr>
            <w:tcW w:w="2984" w:type="dxa"/>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1706" w:type="dxa"/>
            <w:vMerge w:val="continue"/>
            <w:tcMar>
              <w:left w:w="108" w:type="dxa"/>
              <w:right w:w="108" w:type="dxa"/>
            </w:tcMar>
            <w:vAlign w:val="center"/>
          </w:tcPr>
          <w:p>
            <w:pPr>
              <w:widowControl/>
              <w:spacing w:line="300" w:lineRule="exact"/>
              <w:rPr>
                <w:rFonts w:ascii="黑体" w:hAnsi="黑体" w:eastAsia="黑体"/>
                <w:color w:val="auto"/>
                <w:kern w:val="0"/>
                <w:szCs w:val="21"/>
              </w:rPr>
            </w:pPr>
          </w:p>
        </w:tc>
        <w:tc>
          <w:tcPr>
            <w:tcW w:w="2984" w:type="dxa"/>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417" w:type="dxa"/>
            <w:vMerge w:val="continue"/>
            <w:tcMar>
              <w:left w:w="108" w:type="dxa"/>
              <w:right w:w="108" w:type="dxa"/>
            </w:tcMar>
            <w:vAlign w:val="center"/>
          </w:tcPr>
          <w:p>
            <w:pPr>
              <w:rPr>
                <w:rFonts w:ascii="黑体" w:hAnsi="黑体" w:eastAsia="黑体"/>
                <w:color w:val="auto"/>
                <w:szCs w:val="21"/>
              </w:rPr>
            </w:pPr>
          </w:p>
        </w:tc>
        <w:tc>
          <w:tcPr>
            <w:tcW w:w="4690" w:type="dxa"/>
            <w:gridSpan w:val="2"/>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43</w:t>
            </w:r>
            <w:bookmarkStart w:id="10" w:name="_GoBack"/>
            <w:bookmarkEnd w:id="10"/>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3</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46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jc w:val="center"/>
        </w:trPr>
        <w:tc>
          <w:tcPr>
            <w:tcW w:w="5107" w:type="dxa"/>
            <w:gridSpan w:val="3"/>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92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72"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1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8"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3"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bl>
    <w:p>
      <w:pPr>
        <w:numPr>
          <w:ilvl w:val="0"/>
          <w:numId w:val="1"/>
        </w:numPr>
        <w:spacing w:line="560" w:lineRule="exact"/>
        <w:ind w:left="640" w:leftChars="0" w:firstLine="0" w:firstLineChars="0"/>
        <w:rPr>
          <w:rFonts w:hint="eastAsia" w:ascii="黑体" w:hAnsi="黑体" w:eastAsia="黑体" w:cs="黑体"/>
          <w:color w:val="auto"/>
          <w:sz w:val="32"/>
          <w:szCs w:val="32"/>
        </w:rPr>
      </w:pPr>
      <w:r>
        <w:rPr>
          <w:rFonts w:hint="eastAsia" w:ascii="黑体" w:hAnsi="黑体" w:eastAsia="黑体" w:cs="黑体"/>
          <w:color w:val="auto"/>
          <w:sz w:val="32"/>
          <w:szCs w:val="32"/>
        </w:rPr>
        <w:t>因政府信息公开工作被申请行政复议、提起行政诉讼情况</w:t>
      </w:r>
    </w:p>
    <w:tbl>
      <w:tblPr>
        <w:tblStyle w:val="7"/>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4" w:leftChars="-21" w:right="-132" w:rightChars="-63"/>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olor w:val="auto"/>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74" w:leftChars="-83" w:right="-134" w:rightChars="-64"/>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74" w:leftChars="-83" w:right="-134" w:rightChars="-64"/>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58"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50"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bl>
    <w:p>
      <w:pPr>
        <w:numPr>
          <w:ilvl w:val="0"/>
          <w:numId w:val="0"/>
        </w:numPr>
        <w:spacing w:line="560" w:lineRule="exact"/>
        <w:rPr>
          <w:rFonts w:hint="eastAsia" w:ascii="仿宋_GB2312" w:eastAsia="仿宋_GB2312"/>
          <w:color w:val="auto"/>
          <w:sz w:val="32"/>
          <w:szCs w:val="32"/>
          <w:lang w:val="en-US" w:eastAsia="zh-CN"/>
        </w:rPr>
      </w:pPr>
      <w:r>
        <w:rPr>
          <w:rFonts w:hint="eastAsia" w:ascii="黑体" w:hAnsi="黑体" w:eastAsia="黑体" w:cs="黑体"/>
          <w:color w:val="auto"/>
          <w:sz w:val="32"/>
          <w:szCs w:val="32"/>
          <w:lang w:val="en-US" w:eastAsia="zh-CN"/>
        </w:rPr>
        <w:t xml:space="preserve">    五、存在的主要问题及改进情况</w:t>
      </w:r>
    </w:p>
    <w:p>
      <w:pPr>
        <w:numPr>
          <w:ilvl w:val="0"/>
          <w:numId w:val="0"/>
        </w:numPr>
        <w:spacing w:line="560" w:lineRule="exact"/>
        <w:ind w:firstLine="64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针对2022年度政府信息公开工作存在的工作动态存在更新不及时的问题，部分政策解读与政策原文内容重复，解读针对性不高问题，2023年，我们建立人工定期检查检测工作机制，对发现未在更新时限内动态更新的问题，及时提醒责任处室、单位，并跟踪整改直到完成更新。为解决政策解读针对性不高问题，升级人社发布“热点月月讲、政策周周问”宣传解读机制，创新将直播间搬进工厂车间、企业办事大厅、居民委员会等场景，机关工作人员、基层经办人员现身说法，用群众听得懂的语言，就企业群众关心关注的毕业生档案转递、退休业务办理、调整退休人员基本养老金等人社政策进行在线访谈、现场答疑。目前已播出41期，观看量突破867.2万人次。</w:t>
      </w:r>
    </w:p>
    <w:p>
      <w:pPr>
        <w:numPr>
          <w:ilvl w:val="0"/>
          <w:numId w:val="0"/>
        </w:numPr>
        <w:spacing w:line="560" w:lineRule="exact"/>
        <w:ind w:firstLine="64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整体上看，2023年度政府信息公开工作虽然取得了一些成绩，但与全面深化政务公开工作要求和群众的期待相比，政民互动交流的方式和渠道有待进一步拓展。下一步，我们将充分利用“政务公开日”等政民互动平台，推动政务公开走进企业、走进校园、走进社区。</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六、其他需要报告的事项</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一）收取信息处理费情况。</w:t>
      </w:r>
      <w:r>
        <w:rPr>
          <w:rFonts w:hint="eastAsia" w:ascii="仿宋_GB2312" w:hAnsi="仿宋_GB2312" w:eastAsia="仿宋_GB2312" w:cs="仿宋_GB2312"/>
          <w:sz w:val="32"/>
          <w:szCs w:val="32"/>
        </w:rPr>
        <w:t>市人力资源社会保障局2023年度未收取政府信息公开费用。</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（二）落实上级年度政务公开工作要点情况。</w:t>
      </w:r>
      <w:r>
        <w:rPr>
          <w:rFonts w:hint="eastAsia" w:ascii="仿宋_GB2312" w:hAnsi="仿宋_GB2312" w:eastAsia="仿宋_GB2312" w:cs="仿宋_GB2312"/>
          <w:sz w:val="32"/>
          <w:szCs w:val="32"/>
        </w:rPr>
        <w:t>印发青岛市人力资源和社会保障局关于贯彻落实《2023年青岛市政务公开工作要点》任务清单的通知，聚焦人社领域7个重点任务30条工作措施，紧扣“深化作风能力优化营商环境”推动信息公开。</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（三）人大代表建议和政协委员提案办理结果公开情况。</w:t>
      </w:r>
      <w:r>
        <w:rPr>
          <w:rFonts w:hint="eastAsia" w:ascii="仿宋_GB2312" w:hAnsi="仿宋_GB2312" w:eastAsia="仿宋_GB2312" w:cs="仿宋_GB2312"/>
          <w:sz w:val="32"/>
          <w:szCs w:val="32"/>
        </w:rPr>
        <w:t>2023年，市人力资源社会保障局承办人大代表建议63件，政协委员提案49件，已全部办结，办结率100%，被评为2023年度市人大代表建议先进承办单位，在2023年度政协提案工作双向民主评议中获得优秀等次。除涉及国家秘密、工作秘密的，办理结果均在局门户网站政府信息公开专栏法定主动公开内容“工作动态”中进行公开，并发布2023年度人大代表建议和政协委员提案办理工作总结。</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（四）政务公开工作创新情况。</w:t>
      </w:r>
      <w:r>
        <w:rPr>
          <w:rFonts w:hint="eastAsia" w:ascii="仿宋_GB2312" w:hAnsi="仿宋_GB2312" w:eastAsia="仿宋_GB2312" w:cs="仿宋_GB2312"/>
          <w:sz w:val="32"/>
          <w:szCs w:val="32"/>
        </w:rPr>
        <w:t>优化政策解读形式、提高可读性。出台局规范政务公开政策解读工作的意见，对新增和现行有效的存量政策解读，实现以图文或视频形式替代纯文字解读，达到“一图读懂”效果。</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（五）政府信息公开工作年度报告数据统计需要说明的事项。</w:t>
      </w:r>
      <w:r>
        <w:rPr>
          <w:rFonts w:hint="eastAsia" w:ascii="仿宋_GB2312" w:hAnsi="仿宋_GB2312" w:eastAsia="仿宋_GB2312" w:cs="仿宋_GB2312"/>
          <w:sz w:val="32"/>
          <w:szCs w:val="32"/>
        </w:rPr>
        <w:t>本年度报告中所列数据统计期限从2023年1月1日到2023年12月31日。</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（六）本行政机关认为需要报告的其他事项。</w:t>
      </w:r>
      <w:r>
        <w:rPr>
          <w:rFonts w:hint="eastAsia" w:ascii="仿宋_GB2312" w:hAnsi="仿宋_GB2312" w:eastAsia="仿宋_GB2312" w:cs="仿宋_GB2312"/>
          <w:sz w:val="32"/>
          <w:szCs w:val="32"/>
        </w:rPr>
        <w:t>无。</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（七）其他有关文件专门要求通过政府信息公开工作年度报告予以报告的事项。</w:t>
      </w:r>
      <w:r>
        <w:rPr>
          <w:rFonts w:hint="eastAsia" w:ascii="仿宋_GB2312" w:hAnsi="仿宋_GB2312" w:eastAsia="仿宋_GB2312" w:cs="仿宋_GB2312"/>
          <w:sz w:val="32"/>
          <w:szCs w:val="32"/>
        </w:rPr>
        <w:t>无。</w:t>
      </w:r>
    </w:p>
    <w:p>
      <w:pPr>
        <w:spacing w:line="560" w:lineRule="exact"/>
        <w:ind w:firstLine="640"/>
        <w:rPr>
          <w:rFonts w:hint="default" w:ascii="仿宋_GB2312" w:eastAsia="仿宋_GB2312"/>
          <w:color w:val="auto"/>
          <w:sz w:val="32"/>
          <w:szCs w:val="32"/>
          <w:lang w:val="en-US" w:eastAsia="zh-CN"/>
        </w:rPr>
      </w:pPr>
    </w:p>
    <w:p>
      <w:pPr>
        <w:pStyle w:val="4"/>
        <w:rPr>
          <w:rFonts w:hint="eastAsia"/>
          <w:color w:val="auto"/>
          <w:lang w:val="en-US" w:eastAsia="zh-CN"/>
        </w:rPr>
      </w:pPr>
    </w:p>
    <w:sectPr>
      <w:headerReference r:id="rId3" w:type="default"/>
      <w:footerReference r:id="rId4" w:type="default"/>
      <w:pgSz w:w="11906" w:h="16838"/>
      <w:pgMar w:top="2098" w:right="1079"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-478155</wp:posOffset>
              </wp:positionV>
              <wp:extent cx="622300"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2300" cy="230505"/>
                      </a:xfrm>
                      <a:prstGeom prst="rect">
                        <a:avLst/>
                      </a:prstGeom>
                      <a:noFill/>
                      <a:ln>
                        <a:noFill/>
                      </a:ln>
                    </wps:spPr>
                    <wps:txbx>
                      <w:txbxContent>
                        <w:p>
                          <w:pPr>
                            <w:snapToGrid w:val="0"/>
                            <w:rPr>
                              <w:rFonts w:hint="eastAsia" w:eastAsia="宋体"/>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37.65pt;height:18.15pt;width:49pt;mso-position-horizontal:outside;mso-position-horizontal-relative:margin;mso-wrap-style:none;z-index:251658240;mso-width-relative:page;mso-height-relative:page;" filled="f" stroked="f" coordsize="21600,21600" o:gfxdata="UEsFBgAAAAAAAAAAAAAAAAAAAAAAAFBLAwQKAAAAAACHTuJAAAAAAAAAAAAAAAAABAAAAGRycy9Q&#10;SwMEFAAAAAgAh07iQAQx6YPUAAAABwEAAA8AAABkcnMvZG93bnJldi54bWxNj8FOwzAQRO9I/IO1&#10;SNxap1TQNI3TQyUu3CgIiZsbb+Oo9jqy3TT5e5YTHGdmNfO23k/eiRFj6gMpWC0LEEhtMD11Cj4/&#10;XhcliJQ1Ge0CoYIZE+yb+7taVybc6B3HY+4El1CqtAKb81BJmVqLXqdlGJA4O4fodWYZO2mivnG5&#10;d/KpKF6k1z3xgtUDHiy2l+PVK9hMXwGHhAf8Po9ttP1curdZqceHVbEDkXHKf8fwi8/o0DDTKVzJ&#10;JOEU8CNZwWLzvAbB8bZk48TGeluAbGr5n7/5AVBLAwQUAAAACACHTuJAGrO3QbEBAABJAwAADgAA&#10;AGRycy9lMm9Eb2MueG1srVPBbtswDL0X2D8Iui9yMrQYjDhFi6LDgGEb0O4DFFmKBUiiICmx8wPb&#10;H+zUS+/9rnxHKcVJtvZW9CJTJP34HknNLwdryEaGqME1dDqpKJFOQKvdqqG/7m8/fqYkJu5absDJ&#10;hm5lpJeLD2fz3tdyBh2YVgaCIC7WvW9ol5KvGYuik5bHCXjpMKggWJ7wGlasDbxHdGvYrKouWA+h&#10;9QGEjBG9N/sgXRR8paRIP5SKMhHTUOSWyhnKucwnW8x5vQrcd1qMNPgbWFiuHRY9Qt3wxMk66FdQ&#10;VosAEVSaCLAMlNJCFg2oZlq9UHPXcS+LFmxO9Mc2xfeDFd83PwPRLc6OEsctjmj398/u4Wn3+JtM&#10;c3t6H2vMuvOYl4ZrGHLq6I/ozKoHFWz+oh6CcWz09thcOSQi0Hkxm32qMCIwhNZ5dZ5R2OlnH2L6&#10;IsGSbDQ04OxKS/nmW0z71ENKruXgVhuDfl4b958DMbOHZeZ7htlKw3IYaS+h3aKaHsfeUId7SYn5&#10;6rCreUMORjgYy4Ox9kGvurJCuV70V+uEJAq3XGEPOxbGeRV1427lhfj3XrJOL2DxD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AQx6YPUAAAABwEAAA8AAAAAAAAAAQAgAAAAOAAAAGRycy9kb3ducmV2&#10;LnhtbFBLAQIUABQAAAAIAIdO4kAas7dBsQEAAEkDAAAOAAAAAAAAAAEAIAAAADkBAABkcnMvZTJv&#10;RG9jLnhtbFBLBQYAAAAABgAGAFkBAABc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7F5676"/>
    <w:multiLevelType w:val="singleLevel"/>
    <w:tmpl w:val="7E7F567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jNTcxMWMyYjYzNDIyOTQ4OTcyODdhNjk5OGMyNzIifQ=="/>
  </w:docVars>
  <w:rsids>
    <w:rsidRoot w:val="41116135"/>
    <w:rsid w:val="1AF2C043"/>
    <w:rsid w:val="3F5F1DBE"/>
    <w:rsid w:val="3FAF08F8"/>
    <w:rsid w:val="41116135"/>
    <w:rsid w:val="54082F69"/>
    <w:rsid w:val="573B6BF1"/>
    <w:rsid w:val="5D7551E4"/>
    <w:rsid w:val="5FD7D835"/>
    <w:rsid w:val="6FEF3A43"/>
    <w:rsid w:val="7CFA6BC4"/>
    <w:rsid w:val="7CFE009D"/>
    <w:rsid w:val="7FFF724D"/>
    <w:rsid w:val="9FEB3A1C"/>
    <w:rsid w:val="BF6F25FF"/>
    <w:rsid w:val="CEFF4AB9"/>
    <w:rsid w:val="D89F7613"/>
    <w:rsid w:val="F1F7F2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footnote text"/>
    <w:basedOn w:val="1"/>
    <w:qFormat/>
    <w:uiPriority w:val="0"/>
    <w:pPr>
      <w:snapToGrid w:val="0"/>
      <w:jc w:val="left"/>
    </w:pPr>
    <w:rPr>
      <w:rFonts w:ascii="Calibri" w:hAnsi="Calibri" w:eastAsia="宋体" w:cs="Times New Roman"/>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2023-12-25T20:53:00Z</dcterms:created>
  <dc:creator>DELL</dc:creator>
  <cp:lastModifiedBy>user</cp:lastModifiedBy>
  <cp:lastPrinted>2024-01-12T00:12:00Z</cp:lastPrinted>
  <dcterms:modified xsi:type="dcterms:W3CDTF">2024-01-24T16:32:24Z</dcterms:modified>
  <dc:title>青岛市人力资源和社会保障局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y fmtid="{D5CDD505-2E9C-101B-9397-08002B2CF9AE}" pid="3" name="ICV">
    <vt:lpwstr>6DEAE542E3414127B95D1224A83435FF_11</vt:lpwstr>
  </property>
</Properties>
</file>