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30"/>
        <w:spacing w:line="580" w:lineRule="exact"/>
        <w:rPr>
          <w:rStyle w:val="35"/>
          <w:rFonts w:ascii="黑体" w:hAnsi="宋体" w:eastAsia="黑体"/>
          <w:color w:val="000000"/>
          <w:sz w:val="32"/>
          <w:szCs w:val="32"/>
        </w:rPr>
      </w:pPr>
    </w:p>
    <w:p>
      <w:pPr>
        <w:pStyle w:val="230"/>
        <w:spacing w:line="580" w:lineRule="exact"/>
        <w:rPr>
          <w:rStyle w:val="35"/>
          <w:rFonts w:ascii="宋体"/>
          <w:color w:val="000000"/>
        </w:rPr>
      </w:pPr>
    </w:p>
    <w:p>
      <w:pPr>
        <w:pStyle w:val="230"/>
        <w:spacing w:line="580" w:lineRule="exact"/>
        <w:rPr>
          <w:rStyle w:val="35"/>
          <w:rFonts w:ascii="宋体"/>
          <w:color w:val="000000"/>
        </w:rPr>
      </w:pPr>
    </w:p>
    <w:p>
      <w:pPr>
        <w:pStyle w:val="230"/>
        <w:spacing w:line="580" w:lineRule="exact"/>
        <w:jc w:val="both"/>
        <w:rPr>
          <w:rStyle w:val="35"/>
          <w:rFonts w:ascii="宋体"/>
          <w:color w:val="000000"/>
        </w:rPr>
      </w:pPr>
    </w:p>
    <w:p>
      <w:pPr>
        <w:pStyle w:val="230"/>
        <w:spacing w:line="580" w:lineRule="exact"/>
        <w:rPr>
          <w:rStyle w:val="35"/>
          <w:rFonts w:ascii="宋体"/>
          <w:color w:val="000000"/>
        </w:rPr>
      </w:pPr>
    </w:p>
    <w:p>
      <w:pPr>
        <w:pStyle w:val="230"/>
        <w:spacing w:line="580" w:lineRule="exact"/>
        <w:rPr>
          <w:rStyle w:val="35"/>
          <w:rFonts w:ascii="宋体"/>
          <w:color w:val="000000"/>
        </w:rPr>
      </w:pPr>
    </w:p>
    <w:p>
      <w:pPr>
        <w:spacing w:line="580" w:lineRule="exact"/>
        <w:ind w:left="880" w:hanging="880"/>
        <w:jc w:val="center"/>
        <w:rPr>
          <w:rStyle w:val="35"/>
          <w:rFonts w:ascii="方正小标宋_GBK" w:eastAsia="方正小标宋_GBK"/>
          <w:color w:val="000000"/>
          <w:sz w:val="44"/>
          <w:szCs w:val="44"/>
        </w:rPr>
      </w:pPr>
      <w:r>
        <w:rPr>
          <w:rStyle w:val="35"/>
          <w:rFonts w:hint="eastAsia" w:ascii="方正小标宋_GBK" w:eastAsia="方正小标宋_GBK"/>
          <w:b/>
          <w:color w:val="000000"/>
          <w:sz w:val="44"/>
          <w:szCs w:val="44"/>
        </w:rPr>
        <w:t>2020</w:t>
      </w:r>
      <w:r>
        <w:rPr>
          <w:rStyle w:val="35"/>
          <w:rFonts w:hint="eastAsia" w:ascii="方正小标宋_GBK" w:eastAsia="方正小标宋_GBK"/>
          <w:color w:val="000000"/>
          <w:sz w:val="44"/>
          <w:szCs w:val="44"/>
        </w:rPr>
        <w:t>年度食品药品专项资金</w:t>
      </w:r>
    </w:p>
    <w:p>
      <w:pPr>
        <w:spacing w:line="580" w:lineRule="exact"/>
        <w:ind w:left="880" w:hanging="880"/>
        <w:jc w:val="center"/>
        <w:rPr>
          <w:rStyle w:val="35"/>
          <w:rFonts w:ascii="方正小标宋_GBK" w:eastAsia="方正小标宋_GBK"/>
          <w:color w:val="000000"/>
          <w:sz w:val="44"/>
          <w:szCs w:val="44"/>
        </w:rPr>
      </w:pPr>
      <w:r>
        <w:rPr>
          <w:rStyle w:val="35"/>
          <w:rFonts w:hint="eastAsia" w:ascii="方正小标宋_GBK" w:eastAsia="方正小标宋_GBK"/>
          <w:color w:val="000000"/>
          <w:sz w:val="44"/>
          <w:szCs w:val="44"/>
        </w:rPr>
        <w:t>绩效评价报告</w:t>
      </w:r>
    </w:p>
    <w:p>
      <w:pPr>
        <w:spacing w:line="580" w:lineRule="exact"/>
        <w:ind w:left="880" w:hanging="880"/>
        <w:jc w:val="center"/>
        <w:rPr>
          <w:rStyle w:val="35"/>
          <w:rFonts w:ascii="方正小标宋_GBK" w:eastAsia="方正小标宋_GBK"/>
          <w:color w:val="000000"/>
          <w:sz w:val="44"/>
          <w:szCs w:val="44"/>
        </w:rPr>
      </w:pPr>
    </w:p>
    <w:p>
      <w:pPr>
        <w:spacing w:line="580" w:lineRule="exact"/>
        <w:ind w:left="1040" w:hanging="1040"/>
        <w:jc w:val="right"/>
        <w:rPr>
          <w:rStyle w:val="35"/>
          <w:rFonts w:ascii="文星简黑体" w:eastAsia="文星简黑体"/>
          <w:color w:val="000000"/>
          <w:sz w:val="52"/>
          <w:szCs w:val="52"/>
        </w:rPr>
      </w:pPr>
    </w:p>
    <w:p>
      <w:pPr>
        <w:spacing w:line="580" w:lineRule="exact"/>
        <w:ind w:left="1040" w:hanging="1040"/>
        <w:jc w:val="center"/>
        <w:rPr>
          <w:rStyle w:val="35"/>
          <w:rFonts w:ascii="文星简黑体" w:eastAsia="文星简黑体"/>
          <w:color w:val="000000"/>
          <w:sz w:val="52"/>
          <w:szCs w:val="52"/>
        </w:rPr>
      </w:pPr>
    </w:p>
    <w:p>
      <w:pPr>
        <w:spacing w:line="580" w:lineRule="exact"/>
        <w:ind w:left="1040" w:hanging="1040"/>
        <w:jc w:val="center"/>
        <w:rPr>
          <w:rStyle w:val="35"/>
          <w:rFonts w:ascii="文星简黑体" w:eastAsia="文星简黑体"/>
          <w:color w:val="000000"/>
          <w:sz w:val="52"/>
          <w:szCs w:val="52"/>
        </w:rPr>
      </w:pPr>
    </w:p>
    <w:p>
      <w:pPr>
        <w:spacing w:line="580" w:lineRule="exact"/>
        <w:ind w:left="1040" w:hanging="1040"/>
        <w:jc w:val="center"/>
        <w:rPr>
          <w:rStyle w:val="35"/>
          <w:rFonts w:ascii="文星简黑体" w:eastAsia="文星简黑体"/>
          <w:color w:val="000000"/>
          <w:sz w:val="52"/>
          <w:szCs w:val="52"/>
        </w:rPr>
      </w:pPr>
    </w:p>
    <w:p>
      <w:pPr>
        <w:spacing w:line="580" w:lineRule="exact"/>
        <w:ind w:left="1040" w:hanging="1040"/>
        <w:jc w:val="center"/>
        <w:rPr>
          <w:rStyle w:val="35"/>
          <w:rFonts w:ascii="文星简黑体" w:eastAsia="文星简黑体"/>
          <w:color w:val="000000"/>
          <w:sz w:val="52"/>
          <w:szCs w:val="52"/>
        </w:rPr>
      </w:pPr>
    </w:p>
    <w:p>
      <w:pPr>
        <w:spacing w:line="580" w:lineRule="exact"/>
        <w:jc w:val="both"/>
        <w:rPr>
          <w:rStyle w:val="35"/>
          <w:rFonts w:ascii="文星简黑体" w:eastAsia="文星简黑体"/>
          <w:color w:val="000000"/>
          <w:sz w:val="52"/>
          <w:szCs w:val="52"/>
        </w:rPr>
      </w:pPr>
    </w:p>
    <w:p>
      <w:pPr>
        <w:spacing w:before="120" w:after="120" w:line="520" w:lineRule="exact"/>
        <w:ind w:left="640" w:hanging="640"/>
        <w:rPr>
          <w:rFonts w:ascii="黑体" w:hAnsi="黑体" w:eastAsia="黑体" w:cs="文星简黑体"/>
          <w:color w:val="000000"/>
          <w:sz w:val="32"/>
          <w:szCs w:val="32"/>
        </w:rPr>
      </w:pPr>
    </w:p>
    <w:p>
      <w:pPr>
        <w:spacing w:before="120" w:after="120" w:line="520" w:lineRule="exact"/>
        <w:ind w:left="640" w:hanging="640"/>
        <w:rPr>
          <w:rFonts w:ascii="黑体" w:hAnsi="黑体" w:eastAsia="黑体" w:cs="文星简黑体"/>
          <w:color w:val="000000"/>
          <w:sz w:val="32"/>
          <w:szCs w:val="32"/>
        </w:rPr>
      </w:pPr>
    </w:p>
    <w:p>
      <w:pPr>
        <w:spacing w:before="120" w:after="120" w:line="580" w:lineRule="exact"/>
        <w:ind w:left="640" w:hanging="640"/>
        <w:jc w:val="center"/>
        <w:rPr>
          <w:rStyle w:val="35"/>
          <w:rFonts w:hint="eastAsia" w:ascii="黑体" w:hAnsi="黑体" w:eastAsia="黑体" w:cs="黑体"/>
          <w:color w:val="000000"/>
          <w:sz w:val="32"/>
          <w:szCs w:val="32"/>
        </w:rPr>
      </w:pPr>
      <w:r>
        <w:rPr>
          <w:rFonts w:hint="eastAsia" w:ascii="黑体" w:hAnsi="黑体" w:eastAsia="黑体" w:cs="黑体"/>
          <w:color w:val="000000"/>
          <w:sz w:val="32"/>
          <w:szCs w:val="32"/>
        </w:rPr>
        <w:t>评价单位（盖章）：</w:t>
      </w:r>
      <w:r>
        <w:rPr>
          <w:rStyle w:val="35"/>
          <w:rFonts w:hint="eastAsia" w:ascii="黑体" w:hAnsi="黑体" w:eastAsia="黑体" w:cs="黑体"/>
          <w:color w:val="000000"/>
          <w:sz w:val="32"/>
          <w:szCs w:val="32"/>
        </w:rPr>
        <w:t>青岛市市场监督管理局</w:t>
      </w:r>
    </w:p>
    <w:p>
      <w:pPr>
        <w:spacing w:before="120" w:after="120" w:line="580" w:lineRule="exact"/>
        <w:jc w:val="center"/>
        <w:rPr>
          <w:rStyle w:val="35"/>
          <w:rFonts w:hint="eastAsia" w:ascii="楷体_GB2312" w:hAnsi="黑体" w:eastAsia="楷体_GB2312"/>
          <w:color w:val="000000"/>
          <w:sz w:val="32"/>
          <w:szCs w:val="32"/>
        </w:rPr>
      </w:pPr>
    </w:p>
    <w:p>
      <w:pPr>
        <w:spacing w:before="120" w:after="120" w:line="580" w:lineRule="exact"/>
        <w:jc w:val="center"/>
        <w:rPr>
          <w:rStyle w:val="35"/>
          <w:rFonts w:hint="eastAsia" w:ascii="楷体_GB2312" w:hAnsi="黑体" w:eastAsia="楷体_GB2312"/>
          <w:color w:val="000000"/>
          <w:sz w:val="32"/>
          <w:szCs w:val="32"/>
        </w:rPr>
      </w:pPr>
    </w:p>
    <w:p>
      <w:pPr>
        <w:spacing w:before="120" w:after="120" w:line="580" w:lineRule="exact"/>
        <w:jc w:val="center"/>
        <w:rPr>
          <w:rStyle w:val="35"/>
          <w:rFonts w:hint="eastAsia" w:ascii="黑体" w:hAnsi="黑体" w:eastAsia="黑体" w:cs="黑体"/>
          <w:color w:val="000000"/>
          <w:sz w:val="32"/>
          <w:szCs w:val="32"/>
        </w:rPr>
      </w:pPr>
      <w:r>
        <w:rPr>
          <w:rStyle w:val="35"/>
          <w:rFonts w:hint="eastAsia" w:ascii="黑体" w:hAnsi="黑体" w:eastAsia="黑体" w:cs="黑体"/>
          <w:color w:val="000000"/>
          <w:sz w:val="32"/>
          <w:szCs w:val="32"/>
        </w:rPr>
        <w:t>2021年05月</w:t>
      </w:r>
    </w:p>
    <w:p>
      <w:pPr>
        <w:spacing w:line="700" w:lineRule="exact"/>
        <w:rPr>
          <w:rStyle w:val="35"/>
          <w:rFonts w:ascii="楷体_GB2312" w:eastAsia="楷体_GB2312"/>
          <w:color w:val="000000"/>
        </w:rPr>
      </w:pPr>
    </w:p>
    <w:p>
      <w:pPr>
        <w:pStyle w:val="229"/>
        <w:spacing w:line="580" w:lineRule="exact"/>
        <w:rPr>
          <w:rStyle w:val="35"/>
          <w:b/>
          <w:color w:val="000000"/>
          <w:lang w:val="en-US"/>
        </w:rPr>
        <w:sectPr>
          <w:footerReference r:id="rId3" w:type="default"/>
          <w:footnotePr>
            <w:numRestart w:val="eachPage"/>
          </w:footnotePr>
          <w:pgSz w:w="11906" w:h="16838"/>
          <w:pgMar w:top="1440" w:right="1800" w:bottom="1440" w:left="1800" w:header="851" w:footer="992" w:gutter="0"/>
          <w:cols w:space="720" w:num="1"/>
          <w:docGrid w:linePitch="312" w:charSpace="0"/>
        </w:sectPr>
      </w:pPr>
    </w:p>
    <w:p>
      <w:pPr>
        <w:pStyle w:val="229"/>
        <w:spacing w:line="580" w:lineRule="exact"/>
        <w:rPr>
          <w:rStyle w:val="35"/>
          <w:rFonts w:ascii="方正小标宋简体" w:eastAsia="方正小标宋简体"/>
          <w:color w:val="000000"/>
          <w:sz w:val="44"/>
          <w:szCs w:val="44"/>
          <w:lang w:val="en-US"/>
        </w:rPr>
      </w:pPr>
      <w:r>
        <w:rPr>
          <w:rStyle w:val="35"/>
          <w:rFonts w:ascii="方正小标宋简体" w:eastAsia="方正小标宋简体"/>
          <w:color w:val="000000"/>
          <w:sz w:val="44"/>
          <w:szCs w:val="44"/>
          <w:lang w:val="en-US"/>
        </w:rPr>
        <w:t>2020</w:t>
      </w:r>
      <w:r>
        <w:rPr>
          <w:rStyle w:val="35"/>
          <w:rFonts w:hint="eastAsia" w:ascii="方正小标宋简体" w:eastAsia="方正小标宋简体"/>
          <w:color w:val="000000"/>
          <w:sz w:val="44"/>
          <w:szCs w:val="44"/>
          <w:lang w:val="en-US"/>
        </w:rPr>
        <w:t>年度食品药品专项资金绩效评价报告</w:t>
      </w:r>
    </w:p>
    <w:p>
      <w:pPr>
        <w:pStyle w:val="219"/>
        <w:spacing w:line="580" w:lineRule="exact"/>
        <w:ind w:firstLineChars="0"/>
        <w:jc w:val="center"/>
        <w:rPr>
          <w:rStyle w:val="35"/>
          <w:rFonts w:eastAsia="方正小标宋_GBK"/>
          <w:color w:val="000000"/>
          <w:sz w:val="44"/>
          <w:szCs w:val="44"/>
          <w:lang w:val="en-US"/>
        </w:rPr>
      </w:pPr>
    </w:p>
    <w:p>
      <w:pPr>
        <w:pStyle w:val="237"/>
        <w:spacing w:line="560" w:lineRule="exact"/>
        <w:rPr>
          <w:rStyle w:val="35"/>
          <w:color w:val="000000"/>
          <w:szCs w:val="32"/>
        </w:rPr>
      </w:pPr>
      <w:bookmarkStart w:id="0" w:name="_Toc52359420"/>
      <w:r>
        <w:rPr>
          <w:rStyle w:val="35"/>
          <w:rFonts w:hint="eastAsia"/>
          <w:color w:val="000000"/>
          <w:szCs w:val="32"/>
        </w:rPr>
        <w:t>一、</w:t>
      </w:r>
      <w:bookmarkEnd w:id="0"/>
      <w:r>
        <w:rPr>
          <w:rStyle w:val="35"/>
          <w:rFonts w:hint="eastAsia"/>
          <w:color w:val="000000"/>
          <w:szCs w:val="32"/>
        </w:rPr>
        <w:t>基本情况</w:t>
      </w:r>
    </w:p>
    <w:p>
      <w:pPr>
        <w:pStyle w:val="238"/>
        <w:spacing w:line="560" w:lineRule="exact"/>
        <w:rPr>
          <w:rStyle w:val="35"/>
          <w:color w:val="000000"/>
          <w:szCs w:val="32"/>
        </w:rPr>
      </w:pPr>
      <w:bookmarkStart w:id="1" w:name="_Toc52359421"/>
      <w:r>
        <w:rPr>
          <w:rStyle w:val="35"/>
          <w:rFonts w:hint="eastAsia"/>
          <w:color w:val="000000"/>
          <w:szCs w:val="32"/>
        </w:rPr>
        <w:t>（一）项目</w:t>
      </w:r>
      <w:bookmarkEnd w:id="1"/>
      <w:r>
        <w:rPr>
          <w:rStyle w:val="35"/>
          <w:rFonts w:hint="eastAsia"/>
          <w:color w:val="000000"/>
          <w:szCs w:val="32"/>
        </w:rPr>
        <w:t>概况</w:t>
      </w:r>
    </w:p>
    <w:p>
      <w:pPr>
        <w:spacing w:line="560" w:lineRule="exact"/>
        <w:ind w:firstLine="640" w:firstLineChars="200"/>
        <w:rPr>
          <w:rStyle w:val="35"/>
          <w:rFonts w:ascii="仿宋_GB2312" w:hAnsi="Times New Roman" w:eastAsia="仿宋_GB2312"/>
          <w:bCs/>
          <w:color w:val="000000"/>
          <w:sz w:val="32"/>
          <w:szCs w:val="32"/>
        </w:rPr>
      </w:pPr>
      <w:r>
        <w:rPr>
          <w:rStyle w:val="35"/>
          <w:rFonts w:hint="eastAsia" w:ascii="仿宋_GB2312" w:hAnsi="Times New Roman" w:eastAsia="仿宋_GB2312"/>
          <w:bCs/>
          <w:color w:val="000000"/>
          <w:sz w:val="32"/>
          <w:szCs w:val="32"/>
        </w:rPr>
        <w:t>食品药品安全事关市民百姓身体健康、生命安全，事关城市高质量发展、高品质生活。食品药品安全不仅仅是民生工程，更是民心工程。为保障食品安全，我国政府制定了《中华人民共和国食品安全法》并根据市场需求不断建立、完善法律、法规、标准、管理办法等。目前已制定超一千项食品国家标准，食品行业标准和近万项食品地方标准和几十万项食品企业标准。每年有上百万的人员从事食品卫生监督、管理、检测工作。</w:t>
      </w:r>
    </w:p>
    <w:p>
      <w:pPr>
        <w:spacing w:line="560" w:lineRule="exact"/>
        <w:ind w:firstLine="640" w:firstLineChars="200"/>
        <w:rPr>
          <w:rStyle w:val="35"/>
          <w:rFonts w:ascii="仿宋_GB2312" w:hAnsi="Times New Roman" w:eastAsia="仿宋_GB2312"/>
          <w:bCs/>
          <w:color w:val="000000"/>
          <w:sz w:val="32"/>
          <w:szCs w:val="32"/>
        </w:rPr>
      </w:pPr>
      <w:r>
        <w:rPr>
          <w:rStyle w:val="35"/>
          <w:rFonts w:hint="eastAsia" w:ascii="仿宋_GB2312" w:hAnsi="Times New Roman" w:eastAsia="仿宋_GB2312"/>
          <w:bCs/>
          <w:color w:val="000000"/>
          <w:sz w:val="32"/>
          <w:szCs w:val="32"/>
        </w:rPr>
        <w:t>一直以来，我市高度重视食品药品安全问题，2010年设立食品药品安全专项，旨在通过加强食品药品安全监管，提升食品检测能力，提高食品药品合格率，降低食品药品安全风险。2016年市政府将食品药品安全列入市经济社会发展规划，在《青岛市国民经济和社会发展第十三个五年规划纲要》中提出建设“食安青岛”，创建国家食品药品最安全城市。2017年青岛成为首批国家食品安全示范城市，食品药品安全专项资金的效益逐步体现。</w:t>
      </w:r>
    </w:p>
    <w:p>
      <w:pPr>
        <w:spacing w:line="560" w:lineRule="exact"/>
        <w:ind w:firstLine="640" w:firstLineChars="200"/>
        <w:jc w:val="both"/>
        <w:rPr>
          <w:rStyle w:val="35"/>
          <w:rFonts w:ascii="仿宋_GB2312" w:hAnsi="仿宋_GB2312" w:eastAsia="仿宋_GB2312" w:cs="仿宋_GB2312"/>
          <w:bCs/>
          <w:color w:val="000000"/>
          <w:sz w:val="32"/>
          <w:szCs w:val="32"/>
        </w:rPr>
      </w:pPr>
      <w:r>
        <w:rPr>
          <w:rStyle w:val="35"/>
          <w:rFonts w:hint="eastAsia" w:ascii="仿宋_GB2312" w:hAnsi="仿宋_GB2312" w:eastAsia="仿宋_GB2312" w:cs="仿宋_GB2312"/>
          <w:bCs/>
          <w:color w:val="000000"/>
          <w:sz w:val="32"/>
          <w:szCs w:val="32"/>
        </w:rPr>
        <w:t>2020年食品药品安全资金预算为2787万元，主要用于开展食品药品检测及食品药品监管。</w:t>
      </w:r>
    </w:p>
    <w:p>
      <w:pPr>
        <w:spacing w:line="560" w:lineRule="exact"/>
        <w:ind w:firstLine="640"/>
        <w:jc w:val="both"/>
        <w:rPr>
          <w:rStyle w:val="35"/>
          <w:rFonts w:ascii="楷体_GB2312" w:hAnsi="楷体_GB2312" w:eastAsia="楷体_GB2312" w:cs="楷体_GB2312"/>
          <w:bCs/>
          <w:color w:val="000000"/>
          <w:sz w:val="32"/>
          <w:szCs w:val="32"/>
        </w:rPr>
      </w:pPr>
      <w:r>
        <w:rPr>
          <w:rStyle w:val="35"/>
          <w:rFonts w:hint="eastAsia" w:ascii="楷体_GB2312" w:hAnsi="楷体_GB2312" w:eastAsia="楷体_GB2312" w:cs="楷体_GB2312"/>
          <w:bCs/>
          <w:color w:val="000000"/>
          <w:sz w:val="32"/>
          <w:szCs w:val="32"/>
        </w:rPr>
        <w:t>（二）绩效目标</w:t>
      </w:r>
    </w:p>
    <w:p>
      <w:pPr>
        <w:spacing w:line="560" w:lineRule="exact"/>
        <w:ind w:firstLine="640"/>
        <w:jc w:val="both"/>
        <w:rPr>
          <w:rStyle w:val="35"/>
          <w:rFonts w:ascii="楷体_GB2312" w:hAnsi="楷体_GB2312" w:eastAsia="楷体_GB2312" w:cs="楷体_GB2312"/>
          <w:bCs/>
          <w:color w:val="000000"/>
          <w:sz w:val="32"/>
          <w:szCs w:val="32"/>
        </w:rPr>
      </w:pPr>
      <w:r>
        <w:rPr>
          <w:rStyle w:val="35"/>
          <w:rFonts w:hint="eastAsia" w:ascii="仿宋_GB2312" w:hAnsi="仿宋_GB2312" w:eastAsia="仿宋_GB2312" w:cs="仿宋_GB2312"/>
          <w:bCs/>
          <w:color w:val="000000"/>
          <w:sz w:val="32"/>
          <w:szCs w:val="32"/>
        </w:rPr>
        <w:t>该项目年度目标是：全面落实双随机一公开要求，开展食品、药品、化妆品的抽检工作，不断创新监管手段和监管模式，充分发挥大数据在食品药品安全监管中的作用，严厉打击食品药品生产经营使用违法违规行为，推动全市食品药品安全形势持续稳定向好。强化食品药品科普宣传和教育培训工作，打造过硬的行政执法队伍，提升执法监管人员的能力和水平；积极做好舆论引导和政务舆情回应，深入开展科普宣传，增强人民群众的自我保护能力，促进社会共治。</w:t>
      </w:r>
    </w:p>
    <w:p>
      <w:pPr>
        <w:spacing w:line="560" w:lineRule="exact"/>
        <w:ind w:firstLine="640"/>
        <w:jc w:val="both"/>
        <w:rPr>
          <w:rFonts w:ascii="仿宋_GB2312" w:hAnsi="仿宋" w:eastAsia="仿宋_GB2312"/>
          <w:sz w:val="32"/>
          <w:szCs w:val="32"/>
        </w:rPr>
      </w:pPr>
      <w:r>
        <w:rPr>
          <w:rStyle w:val="35"/>
          <w:rFonts w:hint="eastAsia" w:ascii="仿宋_GB2312" w:hAnsi="仿宋_GB2312" w:eastAsia="仿宋_GB2312" w:cs="仿宋_GB2312"/>
          <w:bCs/>
          <w:color w:val="000000"/>
          <w:sz w:val="32"/>
          <w:szCs w:val="32"/>
        </w:rPr>
        <w:t>年度绩效目标已全部完成</w:t>
      </w:r>
      <w:r>
        <w:rPr>
          <w:rFonts w:hint="eastAsia" w:ascii="仿宋_GB2312" w:hAnsi="仿宋" w:eastAsia="仿宋_GB2312"/>
          <w:sz w:val="32"/>
          <w:szCs w:val="32"/>
        </w:rPr>
        <w:t>。</w:t>
      </w:r>
    </w:p>
    <w:p>
      <w:pPr>
        <w:spacing w:line="560" w:lineRule="exact"/>
        <w:ind w:firstLine="640"/>
        <w:jc w:val="both"/>
        <w:rPr>
          <w:rStyle w:val="35"/>
          <w:rFonts w:ascii="黑体" w:hAnsi="黑体" w:eastAsia="黑体" w:cs="黑体"/>
          <w:bCs/>
          <w:color w:val="000000"/>
          <w:sz w:val="32"/>
          <w:szCs w:val="32"/>
        </w:rPr>
      </w:pPr>
      <w:r>
        <w:rPr>
          <w:rStyle w:val="35"/>
          <w:rFonts w:hint="eastAsia" w:ascii="黑体" w:hAnsi="黑体" w:eastAsia="黑体" w:cs="黑体"/>
          <w:bCs/>
          <w:color w:val="000000"/>
          <w:sz w:val="32"/>
          <w:szCs w:val="32"/>
        </w:rPr>
        <w:t>二、绩效评价工作开展情况</w:t>
      </w:r>
    </w:p>
    <w:p>
      <w:pPr>
        <w:pStyle w:val="238"/>
        <w:spacing w:line="560" w:lineRule="exact"/>
        <w:rPr>
          <w:rStyle w:val="35"/>
          <w:color w:val="000000"/>
          <w:szCs w:val="32"/>
        </w:rPr>
      </w:pPr>
      <w:bookmarkStart w:id="2" w:name="_Toc52359428"/>
      <w:r>
        <w:rPr>
          <w:rStyle w:val="35"/>
          <w:rFonts w:hint="eastAsia"/>
          <w:color w:val="000000"/>
          <w:szCs w:val="32"/>
        </w:rPr>
        <w:t>（一）绩效评价的目的、对象和范围</w:t>
      </w:r>
      <w:bookmarkEnd w:id="2"/>
    </w:p>
    <w:p>
      <w:pPr>
        <w:pStyle w:val="240"/>
        <w:spacing w:line="560" w:lineRule="exact"/>
        <w:ind w:firstLine="643"/>
        <w:rPr>
          <w:rFonts w:ascii="仿宋_GB2312" w:hAnsi="仿宋" w:eastAsia="仿宋_GB2312"/>
          <w:sz w:val="32"/>
          <w:szCs w:val="32"/>
        </w:rPr>
      </w:pPr>
      <w:bookmarkStart w:id="3" w:name="_Toc52359429"/>
      <w:r>
        <w:rPr>
          <w:rStyle w:val="35"/>
          <w:rFonts w:hint="eastAsia" w:ascii="仿宋_GB2312" w:eastAsia="仿宋_GB2312"/>
          <w:b/>
          <w:color w:val="000000"/>
          <w:sz w:val="32"/>
          <w:szCs w:val="32"/>
        </w:rPr>
        <w:t>1.评价目的</w:t>
      </w:r>
      <w:bookmarkEnd w:id="3"/>
      <w:r>
        <w:rPr>
          <w:rStyle w:val="35"/>
          <w:rFonts w:hint="eastAsia" w:ascii="仿宋_GB2312" w:eastAsia="仿宋_GB2312"/>
          <w:b/>
          <w:color w:val="000000"/>
          <w:sz w:val="32"/>
          <w:szCs w:val="32"/>
        </w:rPr>
        <w:t>。</w:t>
      </w:r>
      <w:r>
        <w:rPr>
          <w:rFonts w:hint="eastAsia" w:ascii="仿宋_GB2312" w:hAnsi="仿宋" w:eastAsia="仿宋_GB2312"/>
          <w:sz w:val="32"/>
          <w:szCs w:val="32"/>
        </w:rPr>
        <w:t>围绕年初确定的工作目标，以预算资金为主线，从预算管理、职责履行、履职效能等方面，对预算资金的投入、使用过程、产出与效果进行系统和客观的评价，评价结果作为改进管理和编制以后年度预算依据。</w:t>
      </w:r>
    </w:p>
    <w:p>
      <w:pPr>
        <w:pStyle w:val="240"/>
        <w:spacing w:line="560" w:lineRule="exact"/>
        <w:ind w:firstLine="643"/>
        <w:rPr>
          <w:rFonts w:ascii="仿宋_GB2312" w:hAnsi="仿宋" w:eastAsia="仿宋_GB2312"/>
          <w:sz w:val="32"/>
          <w:szCs w:val="32"/>
        </w:rPr>
      </w:pPr>
      <w:r>
        <w:rPr>
          <w:rStyle w:val="35"/>
          <w:rFonts w:hint="eastAsia"/>
          <w:b/>
          <w:color w:val="000000"/>
          <w:sz w:val="32"/>
          <w:szCs w:val="32"/>
        </w:rPr>
        <w:t>2.评价对象和范围。</w:t>
      </w:r>
      <w:r>
        <w:rPr>
          <w:rFonts w:hint="eastAsia" w:ascii="仿宋_GB2312" w:hAnsi="仿宋" w:eastAsia="仿宋_GB2312"/>
          <w:sz w:val="32"/>
          <w:szCs w:val="32"/>
        </w:rPr>
        <w:t>食品药品安全专项资金项目2020年度执行情况及实施效果。</w:t>
      </w:r>
    </w:p>
    <w:p>
      <w:pPr>
        <w:spacing w:line="560" w:lineRule="exact"/>
        <w:ind w:firstLine="640" w:firstLineChars="200"/>
        <w:rPr>
          <w:rStyle w:val="35"/>
          <w:rFonts w:ascii="楷体_GB2312" w:hAnsi="楷体_GB2312" w:eastAsia="楷体_GB2312" w:cs="楷体_GB2312"/>
          <w:bCs/>
          <w:color w:val="000000"/>
          <w:sz w:val="32"/>
          <w:szCs w:val="32"/>
        </w:rPr>
      </w:pPr>
      <w:r>
        <w:rPr>
          <w:rStyle w:val="35"/>
          <w:rFonts w:hint="eastAsia" w:ascii="楷体_GB2312" w:hAnsi="楷体_GB2312" w:eastAsia="楷体_GB2312" w:cs="楷体_GB2312"/>
          <w:bCs/>
          <w:color w:val="000000"/>
          <w:sz w:val="32"/>
          <w:szCs w:val="32"/>
        </w:rPr>
        <w:t>（二）绩效评价原则</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bCs/>
          <w:sz w:val="32"/>
          <w:szCs w:val="32"/>
        </w:rPr>
        <w:t>1.客观公正。</w:t>
      </w:r>
      <w:r>
        <w:rPr>
          <w:rFonts w:hint="eastAsia" w:ascii="仿宋_GB2312" w:hAnsi="仿宋" w:eastAsia="仿宋_GB2312"/>
          <w:sz w:val="32"/>
          <w:szCs w:val="32"/>
        </w:rPr>
        <w:t>评价内容客观、公正，标准统一、资料可靠，评价过程与结果依法公开并接受监督。</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bCs/>
          <w:sz w:val="32"/>
          <w:szCs w:val="32"/>
        </w:rPr>
        <w:t>2.科学规范。</w:t>
      </w:r>
      <w:r>
        <w:rPr>
          <w:rFonts w:hint="eastAsia" w:ascii="仿宋_GB2312" w:hAnsi="仿宋" w:eastAsia="仿宋_GB2312"/>
          <w:sz w:val="32"/>
          <w:szCs w:val="32"/>
        </w:rPr>
        <w:t>严格执行规定的评价程序，采用定量为主定性为辅的综合分析方法，科学合理地对专项资金项目的必要性、合规性和效益进行评价。</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bCs/>
          <w:sz w:val="32"/>
          <w:szCs w:val="32"/>
        </w:rPr>
        <w:t>3.绩效相关。</w:t>
      </w:r>
      <w:r>
        <w:rPr>
          <w:rFonts w:hint="eastAsia" w:ascii="仿宋_GB2312" w:hAnsi="仿宋" w:eastAsia="仿宋_GB2312"/>
          <w:sz w:val="32"/>
          <w:szCs w:val="32"/>
        </w:rPr>
        <w:t>针对专项资金及其产出绩效进行评价，评价结果清晰反映项目实施和产出绩效之间的紧密对应关系。</w:t>
      </w:r>
    </w:p>
    <w:p>
      <w:pPr>
        <w:spacing w:line="560" w:lineRule="exact"/>
        <w:ind w:firstLine="640" w:firstLineChars="200"/>
        <w:rPr>
          <w:rStyle w:val="35"/>
          <w:rFonts w:ascii="楷体_GB2312" w:hAnsi="楷体_GB2312" w:eastAsia="楷体_GB2312" w:cs="楷体_GB2312"/>
          <w:bCs/>
          <w:color w:val="000000"/>
          <w:sz w:val="32"/>
          <w:szCs w:val="32"/>
        </w:rPr>
      </w:pPr>
      <w:r>
        <w:rPr>
          <w:rStyle w:val="35"/>
          <w:rFonts w:hint="eastAsia" w:ascii="楷体_GB2312" w:hAnsi="楷体_GB2312" w:eastAsia="楷体_GB2312" w:cs="楷体_GB2312"/>
          <w:bCs/>
          <w:color w:val="000000"/>
          <w:sz w:val="32"/>
          <w:szCs w:val="32"/>
        </w:rPr>
        <w:t>（三）绩效评价指标体系</w:t>
      </w:r>
    </w:p>
    <w:p>
      <w:pPr>
        <w:spacing w:line="560" w:lineRule="exact"/>
        <w:ind w:firstLine="640"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color w:val="000000"/>
          <w:sz w:val="32"/>
          <w:szCs w:val="32"/>
        </w:rPr>
        <w:t>本次评价依据《关于印发&lt;市级项目支出部门绩效评价操作规程&gt;的通知》（青财绩〔2020〕8号）的要求，从决策、过程、产出、效益四个方面，对专项资金的实施情况开展评价。</w:t>
      </w:r>
    </w:p>
    <w:p>
      <w:pPr>
        <w:spacing w:line="560" w:lineRule="exact"/>
        <w:ind w:firstLine="640"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color w:val="000000"/>
          <w:sz w:val="32"/>
          <w:szCs w:val="32"/>
        </w:rPr>
        <w:t>决策方面包括项目立项、绩效目标和资金投入3个二级指标。项目立项方面下设2个三级指标，其中“立项依据充分性”考察项目立项是否符合法律法规、相关政策、发展规划以及部门职责，用以反映和考核项目立项依据情况；“ 立项程序规范性”考察项目的申请、设立过程是否符合相关要求，用以反映和考核项目立项的规范情况。绩效目标方面下设2个三级指标，其中“绩效目标合理性”考察项目所设定的绩效目标是否依据充分，是否符合客观实际，用以反映和考核项目绩效目标与项目实施的相符情况；“绩效指标明确性”考察依据绩效目标设定的绩效指标是否清晰、细化、可衡量等，用以反映和考核项目绩效目标的明细化情况。资金投入方面下设2个三级指标，其中“预算编制科学性”考察项目预算编制是否经过科学论证、有明确标准，资金额度与年度目标是否相适应，用以反映和考核项目预算编制的科学性、合理性情况；“资金分配合理性” 考察项目资金分配是否有测算依据，预算安排内容与专项资金的设立目的及年度工作重点是否一致，用以反映和考核项目预算资金分配的科学性、合理性。</w:t>
      </w:r>
    </w:p>
    <w:p>
      <w:pPr>
        <w:spacing w:line="560" w:lineRule="exact"/>
        <w:ind w:firstLine="640"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color w:val="000000"/>
          <w:sz w:val="32"/>
          <w:szCs w:val="32"/>
        </w:rPr>
        <w:t>过程方面包括资金管理和组织实施2个二级指标。资金管理方面包括3个三级指标，其中“资金到位率”考察实际到位资金与预算资金的比率，用以反映和考核资金落实情况对项目实施的总体保障程度；“预算执行率”考察项目预算资金是否按照计划执行，用以反映或考核项目预算执行情况；“资金使用合规性”考察项目资金使用是否符合相关的财务管理制度规定，用以反映和考核项目资金的规范运行情况。组织实施方面包括2个三级指标，其中“管理制度健全性”考察项目实施单位的管理制度是否健全，是否已制定或具有相应的财务和业务管理制度，财务和业务管理制度是否合法、合规、完整。用以反映和考核财务和业务管理制度对项目顺利实施的保障情况；“制度执行有效性”考察项目实施是否符合相关管理规定，用以反映和考核相关管理制度的有效执行情况。</w:t>
      </w:r>
    </w:p>
    <w:p>
      <w:pPr>
        <w:spacing w:line="560" w:lineRule="exact"/>
        <w:ind w:firstLine="640"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color w:val="000000"/>
          <w:sz w:val="32"/>
          <w:szCs w:val="32"/>
        </w:rPr>
        <w:t>产出方面包括产出数量、产出质量、产出时效和产出成本4个二级指标。产出数量方面包括2个三级指标，其中“实际完成率”考察项目实施的实际产出数与计划产出数的比率，用以反映和考核项目产出数量目标的实现程度；“数量变动率”考察项目实际增减变动完成情况。产出质量方面二级指标为“质量达标率”，考察项目完成的质量达标产出数与实际产出数的比率，用以反映和考核项目产出质量目标的实现程度。产出时效方面二级指标为“完成及时率”，考察各项目是否均按照计划、文件批复等相关规定及时完成，用以反映和考核项目产出时效目标的实现程度。产出成本方面二级指标为“成本节约率”，考察完成项目计划工作目标的实际节约成本与计划成本的比率，用以反映和考核项目的成本节约程度。</w:t>
      </w:r>
    </w:p>
    <w:p>
      <w:pPr>
        <w:spacing w:line="560" w:lineRule="exact"/>
        <w:ind w:firstLine="640"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color w:val="000000"/>
          <w:sz w:val="32"/>
          <w:szCs w:val="32"/>
        </w:rPr>
        <w:t>效益方面包括项目效益、可持续影响效益和满意度3个二级指标。项目效益方面设置社会效益1个三级指标及4个四级指标。其中，“青岛本地食品生产企业在产食品抽检覆盖率”考察青岛本地食品生产企业在产食品抽检全覆盖情况；“食品抽检千人批次数”考察食品抽检千人批次数情况；“重大食品及药品安全事故发生数”考察重大食品及药品安全事故发生情况；“药品检测能力水平”考察药品检测能力水平提升情况。可持续影响方面设置2个三级指标，其中“政策可持续性”考察项目后续运行及成效发挥的可持续影响情况；“项目发展机制可持续性”考察项目运转是否形成了可持续发展的机制。满意度方面设置“社会公众满意度”三级指标，考察社会公众对项目实施效果的满意程度。</w:t>
      </w:r>
    </w:p>
    <w:p>
      <w:pPr>
        <w:spacing w:line="560" w:lineRule="exact"/>
        <w:ind w:firstLine="640" w:firstLineChars="200"/>
        <w:rPr>
          <w:rStyle w:val="35"/>
          <w:rFonts w:ascii="楷体_GB2312" w:hAnsi="楷体_GB2312" w:eastAsia="楷体_GB2312" w:cs="楷体_GB2312"/>
          <w:bCs/>
          <w:color w:val="000000"/>
          <w:sz w:val="32"/>
          <w:szCs w:val="32"/>
        </w:rPr>
      </w:pPr>
      <w:r>
        <w:rPr>
          <w:rStyle w:val="35"/>
          <w:rFonts w:hint="eastAsia" w:ascii="楷体_GB2312" w:hAnsi="楷体_GB2312" w:eastAsia="楷体_GB2312" w:cs="楷体_GB2312"/>
          <w:bCs/>
          <w:color w:val="000000"/>
          <w:sz w:val="32"/>
          <w:szCs w:val="32"/>
        </w:rPr>
        <w:t>（四）绩效评价方法及评价标准</w:t>
      </w:r>
    </w:p>
    <w:p>
      <w:pPr>
        <w:spacing w:line="560" w:lineRule="exact"/>
        <w:ind w:firstLine="640"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color w:val="000000"/>
          <w:sz w:val="32"/>
          <w:szCs w:val="32"/>
        </w:rPr>
        <w:t>本次绩效评价主要以资料审查、现场核查作为主要数据来源及取数方式。通过获取项目实施背景及食品药品安全近三年申报及评定情况等全过程管理资料，对项目立项、项目管理等重要信息要素进行分析，初步确定评价核心。通过核查存档资料、财务数据等，为资金管理、项目产出、项目效益等评价提供支撑。</w:t>
      </w:r>
    </w:p>
    <w:p>
      <w:pPr>
        <w:spacing w:line="560" w:lineRule="exact"/>
        <w:ind w:firstLine="640" w:firstLineChars="200"/>
        <w:rPr>
          <w:rStyle w:val="35"/>
          <w:rFonts w:ascii="仿宋_GB2312" w:hAnsi="Times New Roman" w:eastAsia="仿宋"/>
          <w:bCs/>
          <w:color w:val="000000"/>
          <w:sz w:val="32"/>
          <w:szCs w:val="32"/>
        </w:rPr>
      </w:pPr>
      <w:r>
        <w:rPr>
          <w:rStyle w:val="35"/>
          <w:rFonts w:hint="eastAsia" w:ascii="楷体_GB2312" w:hAnsi="楷体_GB2312" w:eastAsia="楷体_GB2312" w:cs="楷体_GB2312"/>
          <w:bCs/>
          <w:color w:val="000000"/>
          <w:sz w:val="32"/>
          <w:szCs w:val="32"/>
        </w:rPr>
        <w:t>（五）绩效评价工作过程</w:t>
      </w:r>
    </w:p>
    <w:p>
      <w:pPr>
        <w:spacing w:line="560" w:lineRule="exact"/>
        <w:ind w:firstLine="640" w:firstLineChars="200"/>
        <w:rPr>
          <w:rFonts w:ascii="仿宋_GB2312" w:hAnsi="仿宋_GB2312" w:eastAsia="仿宋_GB2312" w:cs="仿宋_GB2312"/>
          <w:sz w:val="32"/>
          <w:szCs w:val="32"/>
        </w:rPr>
      </w:pPr>
      <w:r>
        <w:rPr>
          <w:rStyle w:val="35"/>
          <w:rFonts w:hint="eastAsia" w:ascii="仿宋_GB2312" w:hAnsi="仿宋_GB2312" w:eastAsia="仿宋_GB2312" w:cs="仿宋_GB2312"/>
          <w:color w:val="000000"/>
          <w:sz w:val="32"/>
          <w:szCs w:val="32"/>
        </w:rPr>
        <w:t>本次项目评价周期为2021年4月15日到2021年5月12日。按照评价要求，对整个评价周期进行阶段性划分，明确每个阶段的任务、工作内容及节点成果。绩效评价实施过程分为三个阶段。</w:t>
      </w:r>
      <w:r>
        <w:rPr>
          <w:rFonts w:hint="eastAsia" w:ascii="仿宋_GB2312" w:hAnsi="仿宋_GB2312" w:eastAsia="仿宋_GB2312" w:cs="仿宋_GB2312"/>
          <w:sz w:val="32"/>
          <w:szCs w:val="32"/>
        </w:rPr>
        <w:t>第一阶段为基础工作准备阶段，主要内容是组建绩效评价小组，确定评价工作思路、制定评价指标体系，收集和整理与项目相关的文件资料，了解项目基本情况；第二阶段为收集资料，采集评价数据阶段，主要内容是对照指标体系和绩效目标申报表，有针对性的收集相关证明材料，开展评分评价。第三阶段为绩效评价报告编制阶段，主要内容是撰写项目绩效评价报告，在工作组内进行讨论修改，并向被评价单位征求意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价工作具体从项目立项、项目实施、项目绩效、项目效益四个方面来开展。项目制定方面主要评价包括对项目立项合理、合规情况；项目实施主要评价包括对实施过程中的管理落实情况、资金使用情况的考察，项目绩效方面主要评价包括对项目的产出、项目的效果的考察，项目影响方面主要评价包括项目实施后的满意度。在整个评价过程中，重点关注以下内容：一是通过项目实施关注项目目标是否按时保质完成；二是专项资金是否专款专用有效使用；三是在项目实施过程中的管理落实情况；四是项目实施的实际效果和社会评价如何，对食品药品安全保障的社会效益是否显著。</w:t>
      </w:r>
    </w:p>
    <w:p>
      <w:pPr>
        <w:spacing w:line="560" w:lineRule="exact"/>
        <w:ind w:firstLine="640" w:firstLineChars="200"/>
        <w:rPr>
          <w:rStyle w:val="35"/>
          <w:rFonts w:ascii="黑体" w:hAnsi="黑体" w:eastAsia="黑体" w:cs="黑体"/>
          <w:color w:val="000000"/>
          <w:sz w:val="32"/>
          <w:szCs w:val="32"/>
        </w:rPr>
      </w:pPr>
      <w:r>
        <w:rPr>
          <w:rStyle w:val="35"/>
          <w:rFonts w:hint="eastAsia" w:ascii="黑体" w:hAnsi="黑体" w:eastAsia="黑体" w:cs="黑体"/>
          <w:color w:val="000000"/>
          <w:sz w:val="32"/>
          <w:szCs w:val="32"/>
        </w:rPr>
        <w:t>三、综合评价情况及评价结论</w:t>
      </w:r>
    </w:p>
    <w:p>
      <w:pPr>
        <w:pStyle w:val="238"/>
        <w:spacing w:line="560" w:lineRule="exact"/>
        <w:rPr>
          <w:rStyle w:val="35"/>
          <w:color w:val="000000"/>
          <w:szCs w:val="32"/>
        </w:rPr>
      </w:pPr>
      <w:bookmarkStart w:id="4" w:name="_Toc52359435"/>
      <w:r>
        <w:rPr>
          <w:rStyle w:val="35"/>
          <w:rFonts w:hint="eastAsia"/>
          <w:color w:val="000000"/>
          <w:szCs w:val="32"/>
        </w:rPr>
        <w:t>（一）资金总体评价结论</w:t>
      </w:r>
      <w:bookmarkEnd w:id="4"/>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2020年度食品药品安全项目总体得分为9</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5分，绩效评价等级为：优。其中“决策”权重20分，得18</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分，得分率9</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%；“过程”权重20分，得18.8分，得分率94%；“产出”权重25分，得25分，得分率100%；“效益”权重35分，得32.75分，得分率93.6%。建议继续保留该项目。</w:t>
      </w:r>
    </w:p>
    <w:p>
      <w:pPr>
        <w:spacing w:line="560" w:lineRule="exact"/>
        <w:ind w:firstLine="640" w:firstLineChars="200"/>
        <w:rPr>
          <w:rStyle w:val="35"/>
          <w:rFonts w:ascii="楷体_GB2312" w:hAnsi="楷体_GB2312" w:eastAsia="楷体_GB2312" w:cs="楷体_GB2312"/>
          <w:color w:val="000000"/>
          <w:sz w:val="32"/>
          <w:szCs w:val="32"/>
        </w:rPr>
      </w:pPr>
      <w:r>
        <w:rPr>
          <w:rStyle w:val="35"/>
          <w:rFonts w:hint="eastAsia" w:ascii="楷体_GB2312" w:hAnsi="楷体_GB2312" w:eastAsia="楷体_GB2312" w:cs="楷体_GB2312"/>
          <w:color w:val="000000"/>
          <w:sz w:val="32"/>
          <w:szCs w:val="32"/>
        </w:rPr>
        <w:t>（二）各明细项目预算执行情况</w:t>
      </w:r>
    </w:p>
    <w:p>
      <w:pPr>
        <w:spacing w:line="560" w:lineRule="exact"/>
        <w:ind w:firstLine="640" w:firstLineChars="200"/>
        <w:rPr>
          <w:rStyle w:val="35"/>
          <w:rFonts w:ascii="仿宋_GB2312" w:eastAsia="仿宋_GB2312"/>
          <w:color w:val="000000"/>
          <w:sz w:val="32"/>
          <w:szCs w:val="32"/>
        </w:rPr>
      </w:pPr>
      <w:r>
        <w:rPr>
          <w:rStyle w:val="35"/>
          <w:rFonts w:hint="eastAsia" w:ascii="仿宋_GB2312" w:eastAsia="仿宋_GB2312"/>
          <w:color w:val="000000"/>
          <w:sz w:val="32"/>
          <w:szCs w:val="32"/>
        </w:rPr>
        <w:t>年初批复预算2787万元。年度预算执行中无追加预算、无调整预算。各项目预算执行率为100%。</w:t>
      </w:r>
    </w:p>
    <w:p>
      <w:pPr>
        <w:spacing w:line="560" w:lineRule="exact"/>
        <w:ind w:firstLine="560"/>
        <w:rPr>
          <w:rStyle w:val="35"/>
          <w:rFonts w:ascii="黑体" w:hAnsi="黑体" w:eastAsia="黑体" w:cs="黑体"/>
          <w:color w:val="000000"/>
          <w:sz w:val="32"/>
          <w:szCs w:val="32"/>
        </w:rPr>
      </w:pPr>
      <w:r>
        <w:rPr>
          <w:rStyle w:val="35"/>
          <w:rFonts w:hint="eastAsia" w:ascii="黑体" w:hAnsi="黑体" w:eastAsia="黑体" w:cs="黑体"/>
          <w:color w:val="000000"/>
          <w:sz w:val="32"/>
          <w:szCs w:val="32"/>
        </w:rPr>
        <w:t>四、绩效评价指标分析</w:t>
      </w:r>
    </w:p>
    <w:p>
      <w:pPr>
        <w:spacing w:line="560" w:lineRule="exact"/>
        <w:ind w:firstLine="560"/>
        <w:rPr>
          <w:rStyle w:val="35"/>
          <w:rFonts w:ascii="楷体_GB2312" w:hAnsi="楷体_GB2312" w:eastAsia="楷体_GB2312" w:cs="楷体_GB2312"/>
          <w:color w:val="000000"/>
          <w:sz w:val="32"/>
          <w:szCs w:val="32"/>
        </w:rPr>
      </w:pPr>
      <w:r>
        <w:rPr>
          <w:rStyle w:val="35"/>
          <w:rFonts w:hint="eastAsia" w:ascii="楷体_GB2312" w:hAnsi="楷体_GB2312" w:eastAsia="楷体_GB2312" w:cs="楷体_GB2312"/>
          <w:color w:val="000000"/>
          <w:sz w:val="32"/>
          <w:szCs w:val="32"/>
        </w:rPr>
        <w:t>（一）项目决策情况</w:t>
      </w:r>
    </w:p>
    <w:p>
      <w:pPr>
        <w:pStyle w:val="240"/>
        <w:spacing w:line="560" w:lineRule="exact"/>
        <w:ind w:firstLine="643"/>
        <w:rPr>
          <w:rStyle w:val="35"/>
          <w:rFonts w:ascii="仿宋_GB2312" w:eastAsia="仿宋_GB2312"/>
          <w:color w:val="000000"/>
          <w:sz w:val="32"/>
          <w:szCs w:val="32"/>
        </w:rPr>
      </w:pPr>
      <w:r>
        <w:rPr>
          <w:rStyle w:val="35"/>
          <w:rFonts w:hint="eastAsia" w:ascii="仿宋_GB2312" w:hAnsi="仿宋_GB2312" w:eastAsia="仿宋_GB2312" w:cs="仿宋_GB2312"/>
          <w:b/>
          <w:bCs/>
          <w:color w:val="000000"/>
          <w:sz w:val="32"/>
          <w:szCs w:val="32"/>
        </w:rPr>
        <w:t>1.立项依据充分性</w:t>
      </w:r>
      <w:r>
        <w:rPr>
          <w:rStyle w:val="35"/>
          <w:rFonts w:hint="eastAsia" w:eastAsia="仿宋"/>
          <w:color w:val="000000"/>
          <w:sz w:val="32"/>
          <w:szCs w:val="32"/>
        </w:rPr>
        <w:t>。</w:t>
      </w:r>
      <w:r>
        <w:rPr>
          <w:rStyle w:val="35"/>
          <w:rFonts w:hint="eastAsia" w:ascii="仿宋_GB2312" w:eastAsia="仿宋_GB2312"/>
          <w:color w:val="000000"/>
          <w:sz w:val="32"/>
          <w:szCs w:val="32"/>
        </w:rPr>
        <w:t>2016年青岛市政府将食品药品安全列入市经济社会发展规划，在《青岛市国民经济和社会发展第十三个五年规划纲要》中提出建设“食安青岛”。同时市市场监管局在三定方案中明确制定了食品药品安全相关职责，设立了食品抽检和特殊食品监督管理处、食品生产安全监督管理处、</w:t>
      </w:r>
      <w:r>
        <w:rPr>
          <w:rFonts w:hint="eastAsia" w:ascii="仿宋_GB2312" w:hAnsi="仿宋" w:eastAsia="仿宋_GB2312" w:cs="仿宋_GB2312"/>
          <w:sz w:val="32"/>
          <w:szCs w:val="32"/>
        </w:rPr>
        <w:t>药品市场和化妆品监督管理处</w:t>
      </w:r>
      <w:r>
        <w:rPr>
          <w:rStyle w:val="35"/>
          <w:rFonts w:hint="eastAsia" w:ascii="仿宋_GB2312" w:eastAsia="仿宋_GB2312"/>
          <w:color w:val="000000"/>
          <w:sz w:val="32"/>
          <w:szCs w:val="32"/>
        </w:rPr>
        <w:t>等多个与食品药品监管相关处室，组建市场监管综合行政执法支队承担食品药品执法办案职责，下设食品药品检验研究院承担部分食品及药品、化妆品、医疗器械等检验检测任务。项目立项符合国家法律法规、国民经济发展规划和相关政策，符合行业发展规划和政策要求，与部门职责范围相符，属于部门履职所需，属于公共财政支持范围，符合中央、地方事权支出责任划分原则，项目与相关部门同类项目或部门内部相关项目不重复。该项指标得满分3分。</w:t>
      </w:r>
    </w:p>
    <w:p>
      <w:pPr>
        <w:spacing w:line="560" w:lineRule="exact"/>
        <w:ind w:firstLine="643" w:firstLineChars="200"/>
        <w:rPr>
          <w:rStyle w:val="35"/>
          <w:rFonts w:ascii="仿宋_GB2312" w:eastAsia="仿宋_GB2312"/>
          <w:color w:val="000000"/>
          <w:sz w:val="32"/>
          <w:szCs w:val="32"/>
        </w:rPr>
      </w:pPr>
      <w:r>
        <w:rPr>
          <w:rStyle w:val="35"/>
          <w:rFonts w:hint="eastAsia" w:ascii="仿宋_GB2312" w:hAnsi="仿宋_GB2312" w:eastAsia="仿宋_GB2312" w:cs="仿宋_GB2312"/>
          <w:b/>
          <w:bCs/>
          <w:color w:val="000000"/>
          <w:sz w:val="32"/>
          <w:szCs w:val="32"/>
        </w:rPr>
        <w:t>2.立项程序规范性。</w:t>
      </w:r>
      <w:r>
        <w:rPr>
          <w:rStyle w:val="35"/>
          <w:rFonts w:hint="eastAsia" w:ascii="仿宋_GB2312" w:hAnsi="Times New Roman" w:eastAsia="仿宋_GB2312"/>
          <w:color w:val="000000"/>
          <w:sz w:val="32"/>
          <w:szCs w:val="32"/>
        </w:rPr>
        <w:t>食品药品安全专项资金设立于2010年，项目按照规定的程序申请设立，所提交的文件、材料符合相关要求，事前已经过必要的可行性研究、专家论证、集体决策等程序。</w:t>
      </w:r>
      <w:r>
        <w:rPr>
          <w:rStyle w:val="35"/>
          <w:rFonts w:hint="eastAsia" w:ascii="仿宋_GB2312" w:eastAsia="仿宋_GB2312"/>
          <w:color w:val="000000"/>
          <w:sz w:val="32"/>
          <w:szCs w:val="32"/>
        </w:rPr>
        <w:t>该项指标得满分3分。</w:t>
      </w:r>
    </w:p>
    <w:p>
      <w:pPr>
        <w:spacing w:line="560" w:lineRule="exact"/>
        <w:ind w:firstLine="643" w:firstLineChars="200"/>
        <w:rPr>
          <w:rStyle w:val="35"/>
          <w:rFonts w:ascii="仿宋_GB2312" w:eastAsia="仿宋_GB2312"/>
          <w:color w:val="000000"/>
          <w:sz w:val="32"/>
          <w:szCs w:val="32"/>
        </w:rPr>
      </w:pPr>
      <w:r>
        <w:rPr>
          <w:rStyle w:val="35"/>
          <w:rFonts w:hint="eastAsia" w:ascii="仿宋_GB2312" w:hAnsi="仿宋_GB2312" w:eastAsia="仿宋_GB2312" w:cs="仿宋_GB2312"/>
          <w:b/>
          <w:bCs/>
          <w:color w:val="000000"/>
          <w:sz w:val="32"/>
          <w:szCs w:val="32"/>
        </w:rPr>
        <w:t>3.绩效目标合理性</w:t>
      </w:r>
      <w:r>
        <w:rPr>
          <w:rStyle w:val="35"/>
          <w:rFonts w:hint="eastAsia" w:ascii="Times New Roman" w:hAnsi="Times New Roman" w:eastAsia="仿宋"/>
          <w:color w:val="000000"/>
          <w:sz w:val="32"/>
          <w:szCs w:val="32"/>
        </w:rPr>
        <w:t>。</w:t>
      </w:r>
      <w:r>
        <w:rPr>
          <w:rStyle w:val="35"/>
          <w:rFonts w:hint="eastAsia" w:ascii="仿宋_GB2312" w:hAnsi="Times New Roman" w:eastAsia="仿宋_GB2312"/>
          <w:color w:val="000000"/>
          <w:sz w:val="32"/>
          <w:szCs w:val="32"/>
        </w:rPr>
        <w:t>该项目有绩效目标，且绩效目标与实际工作内容相关，项目预期产出效益和效果符合正常的业绩水平，绩效目标与预算确定的项目资金量相匹配。</w:t>
      </w:r>
      <w:r>
        <w:rPr>
          <w:rStyle w:val="35"/>
          <w:rFonts w:hint="eastAsia" w:ascii="仿宋_GB2312" w:eastAsia="仿宋_GB2312"/>
          <w:color w:val="000000"/>
          <w:sz w:val="32"/>
          <w:szCs w:val="32"/>
        </w:rPr>
        <w:t>该项指标得满分3分。</w:t>
      </w:r>
    </w:p>
    <w:p>
      <w:pPr>
        <w:spacing w:line="560" w:lineRule="exact"/>
        <w:ind w:firstLine="643" w:firstLineChars="200"/>
        <w:rPr>
          <w:rStyle w:val="35"/>
          <w:rFonts w:eastAsia="仿宋"/>
          <w:color w:val="000000"/>
          <w:sz w:val="32"/>
          <w:szCs w:val="32"/>
        </w:rPr>
      </w:pPr>
      <w:r>
        <w:rPr>
          <w:rStyle w:val="35"/>
          <w:rFonts w:hint="eastAsia" w:ascii="仿宋_GB2312" w:hAnsi="仿宋_GB2312" w:eastAsia="仿宋_GB2312" w:cs="仿宋_GB2312"/>
          <w:b/>
          <w:bCs/>
          <w:color w:val="000000"/>
          <w:sz w:val="32"/>
          <w:szCs w:val="32"/>
        </w:rPr>
        <w:t>4.绩效指标明确性。</w:t>
      </w:r>
      <w:r>
        <w:rPr>
          <w:rStyle w:val="35"/>
          <w:rFonts w:hint="eastAsia" w:ascii="仿宋_GB2312" w:hAnsi="仿宋_GB2312" w:eastAsia="仿宋_GB2312" w:cs="仿宋_GB2312"/>
          <w:color w:val="000000"/>
          <w:sz w:val="32"/>
          <w:szCs w:val="32"/>
        </w:rPr>
        <w:t>该项目已将绩效目标细化分解为具体的绩效指标，细化指标值清晰、可衡量并与项目年度任务数相对应。该项指标得满分3分</w:t>
      </w:r>
      <w:r>
        <w:rPr>
          <w:rStyle w:val="35"/>
          <w:rFonts w:hint="eastAsia" w:eastAsia="仿宋"/>
          <w:color w:val="000000"/>
          <w:sz w:val="32"/>
          <w:szCs w:val="32"/>
        </w:rPr>
        <w:t>。</w:t>
      </w:r>
    </w:p>
    <w:p>
      <w:pPr>
        <w:spacing w:line="560" w:lineRule="exact"/>
        <w:ind w:firstLine="643"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b/>
          <w:bCs/>
          <w:color w:val="000000"/>
          <w:sz w:val="32"/>
          <w:szCs w:val="32"/>
        </w:rPr>
        <w:t>5.预算编制科学性</w:t>
      </w:r>
      <w:r>
        <w:rPr>
          <w:rStyle w:val="35"/>
          <w:rFonts w:hint="eastAsia" w:ascii="仿宋_GB2312" w:hAnsi="仿宋_GB2312" w:eastAsia="仿宋_GB2312" w:cs="仿宋_GB2312"/>
          <w:color w:val="000000"/>
          <w:sz w:val="32"/>
          <w:szCs w:val="32"/>
        </w:rPr>
        <w:t>。该项目预算编制经过科学论证，预算内容与项目内容匹配，预算额度测算依据充分，预算确定的资金量与工作任务基本匹配，因根据上级要求及疫情防控等影响，强化食品药品执法办案力度，该项经费在预算编制时没有充分考虑，预算执行中存在一定的经费缺口。该项指标得3</w:t>
      </w:r>
      <w:r>
        <w:rPr>
          <w:rStyle w:val="35"/>
          <w:rFonts w:hint="eastAsia" w:ascii="仿宋_GB2312" w:hAnsi="仿宋_GB2312" w:eastAsia="仿宋_GB2312" w:cs="仿宋_GB2312"/>
          <w:color w:val="000000"/>
          <w:sz w:val="32"/>
          <w:szCs w:val="32"/>
          <w:lang w:val="en-US" w:eastAsia="zh-CN"/>
        </w:rPr>
        <w:t>.5</w:t>
      </w:r>
      <w:r>
        <w:rPr>
          <w:rStyle w:val="35"/>
          <w:rFonts w:hint="eastAsia" w:ascii="仿宋_GB2312" w:hAnsi="仿宋_GB2312" w:eastAsia="仿宋_GB2312" w:cs="仿宋_GB2312"/>
          <w:color w:val="000000"/>
          <w:sz w:val="32"/>
          <w:szCs w:val="32"/>
        </w:rPr>
        <w:t>分。</w:t>
      </w:r>
      <w:bookmarkStart w:id="10" w:name="_GoBack"/>
      <w:bookmarkEnd w:id="10"/>
    </w:p>
    <w:p>
      <w:pPr>
        <w:pStyle w:val="240"/>
        <w:spacing w:line="560" w:lineRule="exact"/>
        <w:ind w:firstLine="643"/>
        <w:rPr>
          <w:rStyle w:val="35"/>
          <w:rFonts w:ascii="仿宋_GB2312" w:hAnsi="仿宋_GB2312" w:eastAsia="仿宋_GB2312" w:cs="仿宋_GB2312"/>
          <w:sz w:val="32"/>
          <w:szCs w:val="32"/>
        </w:rPr>
      </w:pPr>
      <w:r>
        <w:rPr>
          <w:rStyle w:val="35"/>
          <w:rFonts w:hint="eastAsia" w:ascii="仿宋_GB2312" w:hAnsi="仿宋_GB2312" w:eastAsia="仿宋_GB2312" w:cs="仿宋_GB2312"/>
          <w:b/>
          <w:bCs/>
          <w:color w:val="000000"/>
          <w:sz w:val="32"/>
          <w:szCs w:val="32"/>
        </w:rPr>
        <w:t>6.资金分配合理性。</w:t>
      </w:r>
      <w:bookmarkStart w:id="5" w:name="_Toc52359438"/>
      <w:r>
        <w:rPr>
          <w:rStyle w:val="35"/>
          <w:rFonts w:hint="eastAsia" w:ascii="仿宋_GB2312" w:hAnsi="仿宋_GB2312" w:eastAsia="仿宋_GB2312" w:cs="仿宋_GB2312"/>
          <w:color w:val="000000"/>
          <w:sz w:val="32"/>
          <w:szCs w:val="32"/>
        </w:rPr>
        <w:t>项目</w:t>
      </w:r>
      <w:r>
        <w:rPr>
          <w:rStyle w:val="35"/>
          <w:rFonts w:hint="eastAsia" w:ascii="仿宋_GB2312" w:hAnsi="仿宋_GB2312" w:eastAsia="仿宋_GB2312" w:cs="仿宋_GB2312"/>
          <w:sz w:val="32"/>
          <w:szCs w:val="32"/>
        </w:rPr>
        <w:t>资金分配有测算依据，预算安排内容与专项资金的设立目的及年度工作重点的匹配程度判断，该项指标得3分。</w:t>
      </w:r>
    </w:p>
    <w:p>
      <w:pPr>
        <w:pStyle w:val="240"/>
        <w:spacing w:line="560" w:lineRule="exact"/>
        <w:ind w:firstLine="640"/>
        <w:rPr>
          <w:rStyle w:val="35"/>
          <w:color w:val="000000"/>
          <w:sz w:val="32"/>
          <w:szCs w:val="32"/>
        </w:rPr>
      </w:pPr>
      <w:r>
        <w:rPr>
          <w:rStyle w:val="35"/>
          <w:rFonts w:hint="eastAsia"/>
          <w:color w:val="000000"/>
          <w:sz w:val="32"/>
          <w:szCs w:val="32"/>
        </w:rPr>
        <w:t>（二）项目过程情况</w:t>
      </w:r>
    </w:p>
    <w:p>
      <w:pPr>
        <w:spacing w:line="560" w:lineRule="exact"/>
        <w:ind w:firstLine="643" w:firstLineChars="200"/>
        <w:rPr>
          <w:rStyle w:val="35"/>
          <w:rFonts w:ascii="仿宋_GB2312" w:hAnsi="仿宋_GB2312" w:eastAsia="仿宋_GB2312" w:cs="仿宋_GB2312"/>
          <w:sz w:val="32"/>
          <w:szCs w:val="32"/>
        </w:rPr>
      </w:pPr>
      <w:r>
        <w:rPr>
          <w:rStyle w:val="35"/>
          <w:rFonts w:hint="eastAsia" w:ascii="仿宋_GB2312" w:hAnsi="仿宋_GB2312" w:eastAsia="仿宋_GB2312" w:cs="仿宋_GB2312"/>
          <w:b/>
          <w:bCs/>
          <w:sz w:val="32"/>
          <w:szCs w:val="32"/>
        </w:rPr>
        <w:t>1.</w:t>
      </w:r>
      <w:bookmarkEnd w:id="5"/>
      <w:r>
        <w:rPr>
          <w:rStyle w:val="35"/>
          <w:rFonts w:hint="eastAsia" w:ascii="仿宋_GB2312" w:hAnsi="仿宋_GB2312" w:eastAsia="仿宋_GB2312" w:cs="仿宋_GB2312"/>
          <w:b/>
          <w:bCs/>
          <w:sz w:val="32"/>
          <w:szCs w:val="32"/>
        </w:rPr>
        <w:t>资金到位率。</w:t>
      </w:r>
      <w:r>
        <w:rPr>
          <w:rStyle w:val="35"/>
          <w:rFonts w:hint="eastAsia" w:ascii="仿宋_GB2312" w:hAnsi="仿宋_GB2312" w:eastAsia="仿宋_GB2312" w:cs="仿宋_GB2312"/>
          <w:sz w:val="32"/>
          <w:szCs w:val="32"/>
        </w:rPr>
        <w:t>2020年食品药品专项资金预算2787万元，实际到位2787万元，资金到位率100%。该项指标得满分2分。</w:t>
      </w:r>
    </w:p>
    <w:p>
      <w:pPr>
        <w:spacing w:line="560" w:lineRule="exact"/>
        <w:ind w:firstLine="643" w:firstLineChars="200"/>
        <w:rPr>
          <w:rStyle w:val="35"/>
          <w:rFonts w:ascii="仿宋_GB2312" w:hAnsi="仿宋_GB2312" w:eastAsia="仿宋_GB2312" w:cs="仿宋_GB2312"/>
          <w:sz w:val="32"/>
          <w:szCs w:val="32"/>
        </w:rPr>
      </w:pPr>
      <w:r>
        <w:rPr>
          <w:rStyle w:val="35"/>
          <w:rFonts w:hint="eastAsia" w:ascii="仿宋_GB2312" w:hAnsi="仿宋_GB2312" w:eastAsia="仿宋_GB2312" w:cs="仿宋_GB2312"/>
          <w:b/>
          <w:bCs/>
          <w:sz w:val="32"/>
          <w:szCs w:val="32"/>
        </w:rPr>
        <w:t>2.预算执行率</w:t>
      </w:r>
      <w:r>
        <w:rPr>
          <w:rStyle w:val="35"/>
          <w:rFonts w:hint="eastAsia" w:ascii="仿宋_GB2312" w:hAnsi="仿宋_GB2312" w:eastAsia="仿宋_GB2312" w:cs="仿宋_GB2312"/>
          <w:sz w:val="32"/>
          <w:szCs w:val="32"/>
        </w:rPr>
        <w:t>。2020年食品药品专项资金年度预算2787万元，实际使用2787万元，预算执行率为100%。该项指标得满分2分。</w:t>
      </w:r>
    </w:p>
    <w:p>
      <w:pPr>
        <w:spacing w:line="560" w:lineRule="exact"/>
        <w:ind w:firstLine="643" w:firstLineChars="200"/>
        <w:rPr>
          <w:rStyle w:val="35"/>
          <w:rFonts w:ascii="仿宋_GB2312" w:hAnsi="仿宋_GB2312" w:eastAsia="仿宋_GB2312" w:cs="仿宋_GB2312"/>
          <w:sz w:val="32"/>
          <w:szCs w:val="32"/>
        </w:rPr>
      </w:pPr>
      <w:r>
        <w:rPr>
          <w:rStyle w:val="35"/>
          <w:rFonts w:hint="eastAsia" w:ascii="仿宋_GB2312" w:hAnsi="仿宋_GB2312" w:eastAsia="仿宋_GB2312" w:cs="仿宋_GB2312"/>
          <w:b/>
          <w:bCs/>
          <w:sz w:val="32"/>
          <w:szCs w:val="32"/>
        </w:rPr>
        <w:t>3.资金使用合规性</w:t>
      </w:r>
      <w:r>
        <w:rPr>
          <w:rStyle w:val="35"/>
          <w:rFonts w:hint="eastAsia" w:ascii="仿宋_GB2312" w:hAnsi="仿宋_GB2312" w:eastAsia="仿宋_GB2312" w:cs="仿宋_GB2312"/>
          <w:sz w:val="32"/>
          <w:szCs w:val="32"/>
        </w:rPr>
        <w:t>。该项资金在使用过程中符合国家财经法规和财务管理制度以及有关专项资金管理办法的规定，资金的拨付有完整的审批程序和手续，符合项目预算批复或合同规定的用途，不存在截留、挤占、挪用、虚列支出等情况。该项指标得满分4分。</w:t>
      </w:r>
    </w:p>
    <w:p>
      <w:pPr>
        <w:spacing w:line="560" w:lineRule="exact"/>
        <w:ind w:firstLine="643" w:firstLineChars="200"/>
        <w:rPr>
          <w:rStyle w:val="35"/>
          <w:rFonts w:ascii="仿宋_GB2312" w:hAnsi="仿宋_GB2312" w:eastAsia="仿宋_GB2312" w:cs="仿宋_GB2312"/>
          <w:sz w:val="32"/>
          <w:szCs w:val="32"/>
        </w:rPr>
      </w:pPr>
      <w:r>
        <w:rPr>
          <w:rStyle w:val="35"/>
          <w:rFonts w:hint="eastAsia" w:ascii="仿宋_GB2312" w:hAnsi="仿宋_GB2312" w:eastAsia="仿宋_GB2312" w:cs="仿宋_GB2312"/>
          <w:b/>
          <w:bCs/>
          <w:sz w:val="32"/>
          <w:szCs w:val="32"/>
        </w:rPr>
        <w:t>4.管理制度健全性。</w:t>
      </w:r>
      <w:r>
        <w:rPr>
          <w:rStyle w:val="35"/>
          <w:rFonts w:hint="eastAsia" w:ascii="仿宋_GB2312" w:hAnsi="仿宋_GB2312" w:eastAsia="仿宋_GB2312" w:cs="仿宋_GB2312"/>
          <w:sz w:val="32"/>
          <w:szCs w:val="32"/>
        </w:rPr>
        <w:t>该项目已建立基本的业务管理制度，业务管理制度合法、合规。执行中按照局财务管理制度要求，财务管理制度合法、合规、完整。没有建立跨部门资金的组织协调推进等相关机制。该项指标得4.8分。</w:t>
      </w:r>
    </w:p>
    <w:p>
      <w:pPr>
        <w:spacing w:line="560" w:lineRule="exact"/>
        <w:ind w:firstLine="643"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b/>
          <w:bCs/>
          <w:color w:val="000000"/>
          <w:sz w:val="32"/>
          <w:szCs w:val="32"/>
        </w:rPr>
        <w:t>5.制度执行有效性</w:t>
      </w:r>
      <w:r>
        <w:rPr>
          <w:rStyle w:val="35"/>
          <w:rFonts w:hint="eastAsia" w:ascii="仿宋_GB2312" w:hAnsi="仿宋_GB2312" w:eastAsia="仿宋_GB2312" w:cs="仿宋_GB2312"/>
          <w:color w:val="000000"/>
          <w:sz w:val="32"/>
          <w:szCs w:val="32"/>
        </w:rPr>
        <w:t>。该项目遵守相关法律法规和相关管理规定，项目调整及支出调整手续完备，项目合同书、验收报告、技术鉴定等资料齐全并及时归档，项目实施的人员条件、场地设备、信息支撑等落实到位，组织调度、协同推进等相关机制落实到位。该项指标得满分6分。</w:t>
      </w:r>
    </w:p>
    <w:p>
      <w:pPr>
        <w:pStyle w:val="240"/>
        <w:spacing w:line="560" w:lineRule="exact"/>
        <w:ind w:firstLine="640"/>
        <w:rPr>
          <w:rStyle w:val="35"/>
          <w:color w:val="000000"/>
          <w:sz w:val="32"/>
          <w:szCs w:val="32"/>
        </w:rPr>
      </w:pPr>
      <w:bookmarkStart w:id="6" w:name="_Toc52359439"/>
      <w:r>
        <w:rPr>
          <w:rStyle w:val="35"/>
          <w:rFonts w:hint="eastAsia"/>
          <w:color w:val="000000"/>
          <w:sz w:val="32"/>
          <w:szCs w:val="32"/>
        </w:rPr>
        <w:t>（三）产出方面</w:t>
      </w:r>
      <w:bookmarkEnd w:id="6"/>
    </w:p>
    <w:p>
      <w:pPr>
        <w:spacing w:line="560" w:lineRule="exact"/>
        <w:ind w:firstLine="643"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b/>
          <w:bCs/>
          <w:color w:val="000000"/>
          <w:sz w:val="32"/>
          <w:szCs w:val="32"/>
        </w:rPr>
        <w:t>1.实际完成率。</w:t>
      </w:r>
      <w:r>
        <w:rPr>
          <w:rStyle w:val="35"/>
          <w:rFonts w:hint="eastAsia" w:ascii="仿宋_GB2312" w:hAnsi="仿宋_GB2312" w:eastAsia="仿宋_GB2312" w:cs="仿宋_GB2312"/>
          <w:color w:val="000000"/>
          <w:sz w:val="32"/>
          <w:szCs w:val="32"/>
        </w:rPr>
        <w:t>项目完成率100%。该项指标得满分5分。</w:t>
      </w:r>
    </w:p>
    <w:p>
      <w:pPr>
        <w:spacing w:line="560" w:lineRule="exact"/>
        <w:ind w:firstLine="643"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b/>
          <w:bCs/>
          <w:color w:val="000000"/>
          <w:sz w:val="32"/>
          <w:szCs w:val="32"/>
        </w:rPr>
        <w:t>2.数量变动率。</w:t>
      </w:r>
      <w:r>
        <w:rPr>
          <w:rStyle w:val="35"/>
          <w:rFonts w:hint="eastAsia" w:ascii="仿宋_GB2312" w:hAnsi="仿宋_GB2312" w:eastAsia="仿宋_GB2312" w:cs="仿宋_GB2312"/>
          <w:color w:val="000000"/>
          <w:sz w:val="32"/>
          <w:szCs w:val="32"/>
        </w:rPr>
        <w:t>数量变动率为0。该项指标得满分5分。</w:t>
      </w:r>
    </w:p>
    <w:p>
      <w:pPr>
        <w:spacing w:line="560" w:lineRule="exact"/>
        <w:ind w:firstLine="643"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b/>
          <w:bCs/>
          <w:color w:val="000000"/>
          <w:sz w:val="32"/>
          <w:szCs w:val="32"/>
        </w:rPr>
        <w:t>3.质量达标率</w:t>
      </w:r>
      <w:r>
        <w:rPr>
          <w:rStyle w:val="35"/>
          <w:rFonts w:hint="eastAsia" w:ascii="仿宋_GB2312" w:hAnsi="仿宋_GB2312" w:eastAsia="仿宋_GB2312" w:cs="仿宋_GB2312"/>
          <w:color w:val="000000"/>
          <w:sz w:val="32"/>
          <w:szCs w:val="32"/>
        </w:rPr>
        <w:t>。质量达标率100%。该项指标得满分5分。</w:t>
      </w:r>
    </w:p>
    <w:p>
      <w:pPr>
        <w:spacing w:line="560" w:lineRule="exact"/>
        <w:ind w:firstLine="643"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b/>
          <w:bCs/>
          <w:color w:val="000000"/>
          <w:sz w:val="32"/>
          <w:szCs w:val="32"/>
        </w:rPr>
        <w:t>4.完成及时率</w:t>
      </w:r>
      <w:r>
        <w:rPr>
          <w:rStyle w:val="35"/>
          <w:rFonts w:hint="eastAsia" w:ascii="仿宋_GB2312" w:hAnsi="仿宋_GB2312" w:eastAsia="仿宋_GB2312" w:cs="仿宋_GB2312"/>
          <w:color w:val="000000"/>
          <w:sz w:val="32"/>
          <w:szCs w:val="32"/>
        </w:rPr>
        <w:t>。完成及时率100%</w:t>
      </w:r>
      <w:bookmarkStart w:id="7" w:name="_Toc52359440"/>
      <w:r>
        <w:rPr>
          <w:rStyle w:val="35"/>
          <w:rFonts w:hint="eastAsia" w:ascii="仿宋_GB2312" w:hAnsi="仿宋_GB2312" w:eastAsia="仿宋_GB2312" w:cs="仿宋_GB2312"/>
          <w:color w:val="000000"/>
          <w:sz w:val="32"/>
          <w:szCs w:val="32"/>
        </w:rPr>
        <w:t>。该项指标得满分5分。</w:t>
      </w:r>
    </w:p>
    <w:p>
      <w:pPr>
        <w:spacing w:line="560" w:lineRule="exact"/>
        <w:ind w:firstLine="643"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b/>
          <w:bCs/>
          <w:color w:val="000000"/>
          <w:sz w:val="32"/>
          <w:szCs w:val="32"/>
        </w:rPr>
        <w:t>5.成本节约率</w:t>
      </w:r>
      <w:r>
        <w:rPr>
          <w:rStyle w:val="35"/>
          <w:rFonts w:hint="eastAsia" w:ascii="仿宋_GB2312" w:hAnsi="仿宋_GB2312" w:eastAsia="仿宋_GB2312" w:cs="仿宋_GB2312"/>
          <w:color w:val="000000"/>
          <w:sz w:val="32"/>
          <w:szCs w:val="32"/>
        </w:rPr>
        <w:t>。成本节约率0。该项指标得满分5分。</w:t>
      </w:r>
    </w:p>
    <w:p>
      <w:pPr>
        <w:spacing w:line="560" w:lineRule="exact"/>
        <w:ind w:firstLine="640" w:firstLineChars="200"/>
        <w:rPr>
          <w:rStyle w:val="35"/>
          <w:rFonts w:ascii="楷体_GB2312" w:hAnsi="仿宋_GB2312" w:eastAsia="楷体_GB2312" w:cs="仿宋_GB2312"/>
          <w:color w:val="000000"/>
          <w:sz w:val="32"/>
          <w:szCs w:val="32"/>
        </w:rPr>
      </w:pPr>
      <w:r>
        <w:rPr>
          <w:rStyle w:val="35"/>
          <w:rFonts w:hint="eastAsia" w:ascii="楷体_GB2312" w:hAnsi="仿宋_GB2312" w:eastAsia="楷体_GB2312" w:cs="仿宋_GB2312"/>
          <w:color w:val="000000"/>
          <w:sz w:val="32"/>
          <w:szCs w:val="32"/>
        </w:rPr>
        <w:t>（四）效益方面</w:t>
      </w:r>
    </w:p>
    <w:p>
      <w:pPr>
        <w:spacing w:line="560" w:lineRule="exact"/>
        <w:ind w:firstLine="643"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b/>
          <w:bCs/>
          <w:color w:val="000000"/>
          <w:sz w:val="32"/>
          <w:szCs w:val="32"/>
        </w:rPr>
        <w:t>1.青岛本地食品生产企业在产食品抽检覆盖率</w:t>
      </w:r>
      <w:r>
        <w:rPr>
          <w:rStyle w:val="35"/>
          <w:rFonts w:hint="eastAsia" w:ascii="仿宋_GB2312" w:hAnsi="仿宋_GB2312" w:eastAsia="仿宋_GB2312" w:cs="仿宋_GB2312"/>
          <w:color w:val="000000"/>
          <w:sz w:val="32"/>
          <w:szCs w:val="32"/>
        </w:rPr>
        <w:t>。2020年市场监管局下达的食品安全监督抽检任务覆盖全市获证在产食品生产企业，本地食品生产企业在产食品抽检覆盖率达到85%以上，该项指标得满分7分。</w:t>
      </w:r>
    </w:p>
    <w:p>
      <w:pPr>
        <w:spacing w:line="560" w:lineRule="exact"/>
        <w:ind w:firstLine="643"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b/>
          <w:bCs/>
          <w:color w:val="000000"/>
          <w:sz w:val="32"/>
          <w:szCs w:val="32"/>
        </w:rPr>
        <w:t>2.食品抽检千人批次数</w:t>
      </w:r>
      <w:r>
        <w:rPr>
          <w:rStyle w:val="35"/>
          <w:rFonts w:hint="eastAsia" w:ascii="仿宋_GB2312" w:hAnsi="仿宋_GB2312" w:eastAsia="仿宋_GB2312" w:cs="仿宋_GB2312"/>
          <w:color w:val="000000"/>
          <w:sz w:val="32"/>
          <w:szCs w:val="32"/>
        </w:rPr>
        <w:t>。2020年市市场监管局食品抽检量达到8.6批次/千人，高于5批次/千人标准，该项指标得满分7分。</w:t>
      </w:r>
    </w:p>
    <w:p>
      <w:pPr>
        <w:spacing w:line="560" w:lineRule="exact"/>
        <w:ind w:firstLine="643"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b/>
          <w:bCs/>
          <w:color w:val="000000"/>
          <w:sz w:val="32"/>
          <w:szCs w:val="32"/>
        </w:rPr>
        <w:t>3.重大食品及药品安全事故发生数</w:t>
      </w:r>
      <w:r>
        <w:rPr>
          <w:rStyle w:val="35"/>
          <w:rFonts w:hint="eastAsia" w:ascii="仿宋_GB2312" w:hAnsi="仿宋_GB2312" w:eastAsia="仿宋_GB2312" w:cs="仿宋_GB2312"/>
          <w:color w:val="000000"/>
          <w:sz w:val="32"/>
          <w:szCs w:val="32"/>
        </w:rPr>
        <w:t>。2020年青岛市无重大食品及药品安全事故该项指标得满分2分。</w:t>
      </w:r>
    </w:p>
    <w:p>
      <w:pPr>
        <w:spacing w:line="560" w:lineRule="exact"/>
        <w:ind w:firstLine="643"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b/>
          <w:bCs/>
          <w:color w:val="000000"/>
          <w:sz w:val="32"/>
          <w:szCs w:val="32"/>
        </w:rPr>
        <w:t>4.药品检测能力水平</w:t>
      </w:r>
      <w:r>
        <w:rPr>
          <w:rStyle w:val="35"/>
          <w:rFonts w:hint="eastAsia" w:ascii="仿宋_GB2312" w:hAnsi="仿宋_GB2312" w:eastAsia="仿宋_GB2312" w:cs="仿宋_GB2312"/>
          <w:color w:val="000000"/>
          <w:sz w:val="32"/>
          <w:szCs w:val="32"/>
        </w:rPr>
        <w:t>。药品检验能力提升效果一般，该项指标得6.75分。</w:t>
      </w:r>
    </w:p>
    <w:p>
      <w:pPr>
        <w:spacing w:line="560" w:lineRule="exact"/>
        <w:ind w:firstLine="643"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b/>
          <w:bCs/>
          <w:color w:val="000000"/>
          <w:sz w:val="32"/>
          <w:szCs w:val="32"/>
        </w:rPr>
        <w:t>5.政策可持续性。</w:t>
      </w:r>
      <w:r>
        <w:rPr>
          <w:rStyle w:val="35"/>
          <w:rFonts w:hint="eastAsia" w:ascii="仿宋_GB2312" w:hAnsi="仿宋_GB2312" w:eastAsia="仿宋_GB2312" w:cs="仿宋_GB2312"/>
          <w:color w:val="000000"/>
          <w:sz w:val="32"/>
          <w:szCs w:val="32"/>
        </w:rPr>
        <w:t>项目政策能够使项目后续运行及成效发挥得到可持续发展，该项目得满分1分。</w:t>
      </w:r>
    </w:p>
    <w:p>
      <w:pPr>
        <w:spacing w:line="560" w:lineRule="exact"/>
        <w:ind w:firstLine="643"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b/>
          <w:bCs/>
          <w:color w:val="000000"/>
          <w:sz w:val="32"/>
          <w:szCs w:val="32"/>
        </w:rPr>
        <w:t>6.项目发展机制可持续性。</w:t>
      </w:r>
      <w:r>
        <w:rPr>
          <w:rStyle w:val="35"/>
          <w:rFonts w:hint="eastAsia" w:ascii="仿宋_GB2312" w:hAnsi="仿宋_GB2312" w:eastAsia="仿宋_GB2312" w:cs="仿宋_GB2312"/>
          <w:color w:val="000000"/>
          <w:sz w:val="32"/>
          <w:szCs w:val="32"/>
        </w:rPr>
        <w:t>项目运转形成了可持续发展的机制。该项目得满分1分。</w:t>
      </w:r>
    </w:p>
    <w:p>
      <w:pPr>
        <w:spacing w:line="560" w:lineRule="exact"/>
        <w:ind w:firstLine="643"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b/>
          <w:bCs/>
          <w:color w:val="000000"/>
          <w:sz w:val="32"/>
          <w:szCs w:val="32"/>
        </w:rPr>
        <w:t>7.社会公众满意度。</w:t>
      </w:r>
      <w:r>
        <w:rPr>
          <w:rStyle w:val="35"/>
          <w:rFonts w:hint="eastAsia" w:ascii="仿宋_GB2312" w:hAnsi="仿宋_GB2312" w:eastAsia="仿宋_GB2312" w:cs="仿宋_GB2312"/>
          <w:color w:val="000000"/>
          <w:sz w:val="32"/>
          <w:szCs w:val="32"/>
        </w:rPr>
        <w:t>2020年“三民”活动中食品安全群众满意度为9</w:t>
      </w:r>
      <w:r>
        <w:rPr>
          <w:rStyle w:val="35"/>
          <w:rFonts w:hint="eastAsia" w:ascii="仿宋_GB2312" w:hAnsi="仿宋_GB2312" w:eastAsia="仿宋_GB2312" w:cs="仿宋_GB2312"/>
          <w:color w:val="000000"/>
          <w:sz w:val="32"/>
          <w:szCs w:val="32"/>
          <w:lang w:val="en-US" w:eastAsia="zh-CN"/>
        </w:rPr>
        <w:t>7</w:t>
      </w:r>
      <w:r>
        <w:rPr>
          <w:rStyle w:val="35"/>
          <w:rFonts w:hint="eastAsia" w:ascii="仿宋_GB2312" w:hAnsi="仿宋_GB2312" w:eastAsia="仿宋_GB2312" w:cs="仿宋_GB2312"/>
          <w:color w:val="000000"/>
          <w:sz w:val="32"/>
          <w:szCs w:val="32"/>
        </w:rPr>
        <w:t>.</w:t>
      </w:r>
      <w:r>
        <w:rPr>
          <w:rStyle w:val="35"/>
          <w:rFonts w:hint="eastAsia" w:ascii="仿宋_GB2312" w:hAnsi="仿宋_GB2312" w:eastAsia="仿宋_GB2312" w:cs="仿宋_GB2312"/>
          <w:color w:val="000000"/>
          <w:sz w:val="32"/>
          <w:szCs w:val="32"/>
          <w:lang w:val="en-US" w:eastAsia="zh-CN"/>
        </w:rPr>
        <w:t>22</w:t>
      </w:r>
      <w:r>
        <w:rPr>
          <w:rStyle w:val="35"/>
          <w:rFonts w:hint="eastAsia" w:ascii="仿宋_GB2312" w:hAnsi="仿宋_GB2312" w:eastAsia="仿宋_GB2312" w:cs="仿宋_GB2312"/>
          <w:color w:val="000000"/>
          <w:sz w:val="32"/>
          <w:szCs w:val="32"/>
        </w:rPr>
        <w:t>%，高于目标值。该项目指标得满分8分。</w:t>
      </w:r>
    </w:p>
    <w:bookmarkEnd w:id="7"/>
    <w:p>
      <w:pPr>
        <w:pStyle w:val="237"/>
        <w:spacing w:line="560" w:lineRule="exact"/>
        <w:rPr>
          <w:rStyle w:val="35"/>
          <w:bCs/>
          <w:color w:val="000000"/>
          <w:szCs w:val="32"/>
        </w:rPr>
      </w:pPr>
      <w:bookmarkStart w:id="8" w:name="_Toc52359434"/>
      <w:r>
        <w:rPr>
          <w:rStyle w:val="35"/>
          <w:rFonts w:hint="eastAsia"/>
          <w:color w:val="000000"/>
          <w:szCs w:val="32"/>
        </w:rPr>
        <w:t>五、主要经验及做法</w:t>
      </w:r>
      <w:bookmarkEnd w:id="8"/>
    </w:p>
    <w:p>
      <w:pPr>
        <w:spacing w:line="560" w:lineRule="exact"/>
        <w:ind w:firstLine="640"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color w:val="000000"/>
          <w:sz w:val="32"/>
          <w:szCs w:val="32"/>
        </w:rPr>
        <w:t>为管好用好资金，充分发挥食品药品安全资金绩效，2020年，市市场监管局在食品药品监管方面主要了以下工作：</w:t>
      </w:r>
      <w:r>
        <w:rPr>
          <w:rStyle w:val="35"/>
          <w:rFonts w:hint="eastAsia" w:ascii="Times New Roman" w:hAnsi="Times New Roman" w:eastAsia="楷体_GB2312"/>
          <w:color w:val="000000"/>
          <w:sz w:val="32"/>
          <w:szCs w:val="32"/>
        </w:rPr>
        <w:t>一是强化舆论宣传，充分展示监管成效。</w:t>
      </w:r>
      <w:r>
        <w:rPr>
          <w:rStyle w:val="35"/>
          <w:rFonts w:hint="eastAsia" w:ascii="仿宋_GB2312" w:hAnsi="仿宋_GB2312" w:eastAsia="仿宋_GB2312" w:cs="仿宋_GB2312"/>
          <w:color w:val="000000"/>
          <w:sz w:val="32"/>
          <w:szCs w:val="32"/>
        </w:rPr>
        <w:t>开展</w:t>
      </w:r>
      <w:r>
        <w:rPr>
          <w:rStyle w:val="35"/>
          <w:rFonts w:hint="eastAsia" w:ascii="仿宋_GB2312" w:hAnsi="仿宋_GB2312" w:eastAsia="仿宋_GB2312" w:cs="仿宋_GB2312"/>
          <w:color w:val="000000"/>
          <w:sz w:val="32"/>
          <w:szCs w:val="32"/>
          <w:lang w:eastAsia="zh-CN"/>
        </w:rPr>
        <w:t>多</w:t>
      </w:r>
      <w:r>
        <w:rPr>
          <w:rStyle w:val="35"/>
          <w:rFonts w:hint="eastAsia" w:ascii="仿宋_GB2312" w:hAnsi="仿宋_GB2312" w:eastAsia="仿宋_GB2312" w:cs="仿宋_GB2312"/>
          <w:color w:val="000000"/>
          <w:sz w:val="32"/>
          <w:szCs w:val="32"/>
        </w:rPr>
        <w:t>项食品药品安全宣传活动，全年组织在市级以上主流媒体发稿2100余篇，在中央级媒体发稿200余篇。在《青岛日报》、青岛电视台开辟《市场监管在身边》专栏宣传工作成效，开辟“市场监管新知速递”专栏，推广食品药品科普知识，通过《走进后厨 眼见为“食”》专栏主动曝光食品安全问题，展示执法成效，不断扩大市场监管影响力。以“走进市办实事、见证食品安全检测”为主题，邀请市民参与体验食品安全检验检测，征求意见建议。在全市范围内开展2020年“市民关注的十大食品”专项监督抽检活动，通过问卷调查向市民征集需求，宣传了政府食品安全监管工作实绩，进一步提高相关工作的透明度、知晓度和满意度，积极营造“共建、共治、共享”的食品安全良好格局；在本市全民铺开家庭过期药品回收，普及家庭安全用药知识，市辖区内设立过期药品回收点由去年的220个增加至1500个，年销毁回收家庭过期药品34吨。首次运用抖音号开展线上食品安全生产业务培训，直播点赞量达1万余次；强化视频宣传，定期面向200万市民发送科普短信和警示信息，2020年发送短信1114万条，覆盖3000万人次，食药科普覆盖率明显提高。对全区域、全媒体进行24小时实时监测，共编发舆情月报13期。</w:t>
      </w:r>
      <w:r>
        <w:rPr>
          <w:rStyle w:val="35"/>
          <w:rFonts w:hint="eastAsia" w:ascii="楷体_GB2312" w:hAnsi="仿宋_GB2312" w:eastAsia="楷体_GB2312" w:cs="仿宋_GB2312"/>
          <w:color w:val="000000"/>
          <w:sz w:val="32"/>
          <w:szCs w:val="32"/>
        </w:rPr>
        <w:t>二是强化制度保障，保障饮食用药安全。</w:t>
      </w:r>
      <w:r>
        <w:rPr>
          <w:rStyle w:val="35"/>
          <w:rFonts w:hint="eastAsia" w:ascii="仿宋_GB2312" w:hAnsi="仿宋_GB2312" w:eastAsia="仿宋_GB2312" w:cs="仿宋_GB2312"/>
          <w:color w:val="000000"/>
          <w:sz w:val="32"/>
          <w:szCs w:val="32"/>
        </w:rPr>
        <w:t>强化食品药品检测工作统筹，按照统一计划编制、统一检测资源使用、统一制度规范的要求，进一步完善工作机制，建立食品安全风险动态监测与预警体系，每季度组织专家对食品安全检测信息进行分析，及时开展风险监测工作。加强对备选库中食品安全检验机构的管理。采取飞行监测、日常检查、日常考核等形式加大对了承检机构的监管力度，保证了食品安全检测的质量和效果，力求检测工作公开、公平、公正。</w:t>
      </w:r>
    </w:p>
    <w:p>
      <w:pPr>
        <w:pStyle w:val="237"/>
        <w:spacing w:line="560" w:lineRule="exact"/>
        <w:rPr>
          <w:rStyle w:val="35"/>
          <w:bCs/>
          <w:color w:val="000000"/>
          <w:szCs w:val="32"/>
        </w:rPr>
      </w:pPr>
      <w:bookmarkStart w:id="9" w:name="_Toc52359442"/>
      <w:r>
        <w:rPr>
          <w:rStyle w:val="35"/>
          <w:rFonts w:hint="eastAsia"/>
          <w:color w:val="000000"/>
          <w:szCs w:val="32"/>
        </w:rPr>
        <w:t>六、存在的问题</w:t>
      </w:r>
      <w:bookmarkEnd w:id="9"/>
      <w:r>
        <w:rPr>
          <w:rStyle w:val="35"/>
          <w:rFonts w:hint="eastAsia"/>
          <w:color w:val="000000"/>
          <w:szCs w:val="32"/>
        </w:rPr>
        <w:t>及有关建议</w:t>
      </w:r>
    </w:p>
    <w:p>
      <w:pPr>
        <w:spacing w:line="560" w:lineRule="exact"/>
        <w:ind w:firstLine="640" w:firstLineChars="200"/>
        <w:rPr>
          <w:rStyle w:val="35"/>
          <w:rFonts w:ascii="Times New Roman" w:hAnsi="Times New Roman" w:eastAsia="楷体_GB2312"/>
          <w:color w:val="000000"/>
          <w:sz w:val="32"/>
          <w:szCs w:val="32"/>
        </w:rPr>
      </w:pPr>
      <w:r>
        <w:rPr>
          <w:rStyle w:val="35"/>
          <w:rFonts w:hint="eastAsia" w:ascii="Times New Roman" w:hAnsi="Times New Roman" w:eastAsia="楷体_GB2312"/>
          <w:color w:val="000000"/>
          <w:sz w:val="32"/>
          <w:szCs w:val="32"/>
        </w:rPr>
        <w:t>（一）决策方面</w:t>
      </w:r>
    </w:p>
    <w:p>
      <w:pPr>
        <w:spacing w:line="560" w:lineRule="exact"/>
        <w:ind w:firstLine="643"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b/>
          <w:bCs/>
          <w:color w:val="000000"/>
          <w:sz w:val="32"/>
          <w:szCs w:val="32"/>
        </w:rPr>
        <w:t>1.绩效目标设置需进一步优化。</w:t>
      </w:r>
      <w:r>
        <w:rPr>
          <w:rStyle w:val="35"/>
          <w:rFonts w:hint="eastAsia" w:ascii="仿宋_GB2312" w:hAnsi="仿宋_GB2312" w:eastAsia="仿宋_GB2312" w:cs="仿宋_GB2312"/>
          <w:color w:val="000000"/>
          <w:sz w:val="32"/>
          <w:szCs w:val="32"/>
        </w:rPr>
        <w:t>绩效目标填报情况整体较好，绩效指标基本准确、可考核。但仍有部分指标合理性可提高。如“食品评价性抽检合格率”指标在绩效目标申报表中为质量指标，但结合项目实际，食品抽检本身为市市场监管局委托专业机构实施，抽检工作的质量考核主体应为市市场监管局或委托机构，而“食品评价性抽检合格率”指标考察的是本市食品安全的程度，反映市市场监管局食品安全工作效果，应作为社会效益指标更为恰当。“药品检测能力水平”指标应考核检验机构能力提升情况，而不是考核“全部完成上级监督抽检任务”。</w:t>
      </w:r>
    </w:p>
    <w:p>
      <w:pPr>
        <w:spacing w:line="560" w:lineRule="exact"/>
        <w:ind w:firstLine="643"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b/>
          <w:bCs/>
          <w:color w:val="000000"/>
          <w:sz w:val="32"/>
          <w:szCs w:val="32"/>
        </w:rPr>
        <w:t>2.预算编制科学性需进一步加强。</w:t>
      </w:r>
      <w:r>
        <w:rPr>
          <w:rStyle w:val="35"/>
          <w:rFonts w:hint="eastAsia" w:ascii="仿宋_GB2312" w:hAnsi="仿宋_GB2312" w:eastAsia="仿宋_GB2312" w:cs="仿宋_GB2312"/>
          <w:color w:val="000000"/>
          <w:sz w:val="32"/>
          <w:szCs w:val="32"/>
        </w:rPr>
        <w:t>部分项目在预算编制环节，没有做好充分的资金需求测算，测算依据不充分，导致部分项目后期在执行中存在压减工作量的现象。如药品检测中，药品买样费预算提报依据不充分，没有在预算中做好资金预留，因此，影响部分检测项目的开展。因根据上级要求及疫情防控等影响，强化食品药品执法办案力度，该项经费在预算编制时没有充分考虑，预算执行中存在一定的经费缺口。</w:t>
      </w:r>
    </w:p>
    <w:p>
      <w:pPr>
        <w:spacing w:line="560" w:lineRule="exact"/>
        <w:ind w:firstLine="610"/>
        <w:rPr>
          <w:rStyle w:val="35"/>
          <w:rFonts w:ascii="楷体_GB2312" w:hAnsi="楷体_GB2312" w:eastAsia="楷体_GB2312" w:cs="楷体_GB2312"/>
          <w:color w:val="000000"/>
          <w:sz w:val="32"/>
          <w:szCs w:val="32"/>
        </w:rPr>
      </w:pPr>
      <w:r>
        <w:rPr>
          <w:rStyle w:val="35"/>
          <w:rFonts w:hint="eastAsia" w:ascii="楷体_GB2312" w:hAnsi="楷体_GB2312" w:eastAsia="楷体_GB2312" w:cs="楷体_GB2312"/>
          <w:color w:val="000000"/>
          <w:sz w:val="32"/>
          <w:szCs w:val="32"/>
        </w:rPr>
        <w:t>（二）过程方面</w:t>
      </w:r>
    </w:p>
    <w:p>
      <w:pPr>
        <w:spacing w:line="560" w:lineRule="exact"/>
        <w:ind w:firstLine="643"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b/>
          <w:bCs/>
          <w:color w:val="000000"/>
          <w:sz w:val="32"/>
          <w:szCs w:val="32"/>
        </w:rPr>
        <w:t>1.预算执行进度没有达到规定的进度要求。</w:t>
      </w:r>
      <w:r>
        <w:rPr>
          <w:rStyle w:val="35"/>
          <w:rFonts w:hint="eastAsia" w:ascii="仿宋_GB2312" w:hAnsi="仿宋_GB2312" w:eastAsia="仿宋_GB2312" w:cs="仿宋_GB2312"/>
          <w:color w:val="000000"/>
          <w:sz w:val="32"/>
          <w:szCs w:val="32"/>
        </w:rPr>
        <w:t>在实际执行过程中，除过期药品回收等一次性支付的项目外，其他项目预算执行率没有达到市财政规定的各季度执行率。分析问题产生的原因，主要是新冠肺炎疫情影响，工作开展时间较晚，影响整体工作进度。</w:t>
      </w:r>
    </w:p>
    <w:p>
      <w:pPr>
        <w:spacing w:line="560" w:lineRule="exact"/>
        <w:ind w:firstLine="643"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b/>
          <w:bCs/>
          <w:color w:val="000000"/>
          <w:sz w:val="32"/>
          <w:szCs w:val="32"/>
        </w:rPr>
        <w:t>2.管理制度需进一步完善。</w:t>
      </w:r>
      <w:r>
        <w:rPr>
          <w:rStyle w:val="35"/>
          <w:rFonts w:hint="eastAsia" w:ascii="仿宋_GB2312" w:hAnsi="仿宋_GB2312" w:eastAsia="仿宋_GB2312" w:cs="仿宋_GB2312"/>
          <w:color w:val="000000"/>
          <w:sz w:val="32"/>
          <w:szCs w:val="32"/>
        </w:rPr>
        <w:t>随着工作要求和工作标准的进一步提高，部分工作制度需进一步修订完善，另外，虽然目前没有跨部门资金，建议应根据资金项目设立情况，做好工作调研，提早入手制定相应管理制度。</w:t>
      </w:r>
    </w:p>
    <w:p>
      <w:pPr>
        <w:spacing w:line="560" w:lineRule="exact"/>
        <w:ind w:firstLine="640" w:firstLineChars="200"/>
        <w:rPr>
          <w:rStyle w:val="35"/>
          <w:rFonts w:ascii="黑体" w:hAnsi="黑体" w:eastAsia="黑体" w:cs="黑体"/>
          <w:color w:val="000000"/>
          <w:sz w:val="32"/>
          <w:szCs w:val="32"/>
        </w:rPr>
      </w:pPr>
      <w:r>
        <w:rPr>
          <w:rStyle w:val="35"/>
          <w:rFonts w:hint="eastAsia" w:ascii="黑体" w:hAnsi="黑体" w:eastAsia="黑体" w:cs="黑体"/>
          <w:color w:val="000000"/>
          <w:sz w:val="32"/>
          <w:szCs w:val="32"/>
        </w:rPr>
        <w:t>七、无其他说明事项</w:t>
      </w:r>
    </w:p>
    <w:p>
      <w:pPr>
        <w:tabs>
          <w:tab w:val="left" w:pos="1652"/>
        </w:tabs>
        <w:spacing w:line="600" w:lineRule="exact"/>
        <w:rPr>
          <w:rStyle w:val="35"/>
          <w:rFonts w:hint="eastAsia" w:ascii="Times New Roman" w:hAnsi="Times New Roman" w:eastAsia="楷体_GB2312"/>
          <w:color w:val="000000"/>
          <w:sz w:val="30"/>
          <w:szCs w:val="30"/>
          <w:lang w:eastAsia="zh-CN"/>
        </w:rPr>
      </w:pPr>
    </w:p>
    <w:p>
      <w:pPr>
        <w:tabs>
          <w:tab w:val="left" w:pos="1652"/>
        </w:tabs>
        <w:spacing w:line="600" w:lineRule="exact"/>
        <w:ind w:firstLine="600" w:firstLineChars="200"/>
        <w:rPr>
          <w:rStyle w:val="35"/>
          <w:rFonts w:hint="eastAsia" w:ascii="Times New Roman" w:hAnsi="Times New Roman" w:eastAsia="楷体_GB2312"/>
          <w:color w:val="000000"/>
          <w:sz w:val="30"/>
          <w:szCs w:val="30"/>
          <w:lang w:eastAsia="zh-CN"/>
        </w:rPr>
      </w:pPr>
    </w:p>
    <w:p>
      <w:pPr>
        <w:spacing w:line="600" w:lineRule="exact"/>
        <w:ind w:firstLine="640" w:firstLineChars="2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color w:val="000000"/>
          <w:sz w:val="32"/>
          <w:szCs w:val="32"/>
        </w:rPr>
        <w:t>附件：1.专项资金（一级）指标体系</w:t>
      </w:r>
    </w:p>
    <w:p>
      <w:pPr>
        <w:spacing w:line="600" w:lineRule="exact"/>
        <w:ind w:firstLine="1600" w:firstLineChars="500"/>
        <w:rPr>
          <w:rStyle w:val="35"/>
          <w:rFonts w:ascii="仿宋_GB2312" w:hAnsi="仿宋_GB2312" w:eastAsia="仿宋_GB2312" w:cs="仿宋_GB2312"/>
          <w:color w:val="000000"/>
          <w:sz w:val="32"/>
          <w:szCs w:val="32"/>
        </w:rPr>
      </w:pPr>
      <w:r>
        <w:rPr>
          <w:rStyle w:val="35"/>
          <w:rFonts w:hint="eastAsia" w:ascii="仿宋_GB2312" w:hAnsi="仿宋_GB2312" w:eastAsia="仿宋_GB2312" w:cs="仿宋_GB2312"/>
          <w:color w:val="000000"/>
          <w:sz w:val="32"/>
          <w:szCs w:val="32"/>
        </w:rPr>
        <w:t>2.三民活动通报</w:t>
      </w:r>
    </w:p>
    <w:p>
      <w:pPr>
        <w:spacing w:line="600" w:lineRule="exact"/>
        <w:ind w:firstLine="1500" w:firstLineChars="500"/>
        <w:rPr>
          <w:rStyle w:val="35"/>
          <w:rFonts w:ascii="Times New Roman" w:hAnsi="Times New Roman" w:eastAsia="楷体_GB2312"/>
          <w:color w:val="000000"/>
          <w:sz w:val="30"/>
          <w:szCs w:val="30"/>
        </w:rPr>
      </w:pPr>
    </w:p>
    <w:p>
      <w:pPr>
        <w:spacing w:line="600" w:lineRule="exact"/>
        <w:ind w:firstLine="1500" w:firstLineChars="500"/>
        <w:rPr>
          <w:rStyle w:val="35"/>
          <w:rFonts w:ascii="Times New Roman" w:hAnsi="Times New Roman" w:eastAsia="楷体_GB2312"/>
          <w:color w:val="000000"/>
          <w:sz w:val="30"/>
          <w:szCs w:val="30"/>
        </w:rPr>
      </w:pPr>
    </w:p>
    <w:p>
      <w:pPr>
        <w:spacing w:line="600" w:lineRule="exact"/>
        <w:ind w:firstLine="1500" w:firstLineChars="500"/>
        <w:rPr>
          <w:rStyle w:val="35"/>
          <w:rFonts w:ascii="Times New Roman" w:hAnsi="Times New Roman" w:eastAsia="楷体_GB2312"/>
          <w:color w:val="000000"/>
          <w:sz w:val="30"/>
          <w:szCs w:val="30"/>
        </w:rPr>
      </w:pPr>
    </w:p>
    <w:p>
      <w:pPr>
        <w:spacing w:line="600" w:lineRule="exact"/>
        <w:ind w:firstLine="1500" w:firstLineChars="500"/>
        <w:rPr>
          <w:rStyle w:val="35"/>
          <w:rFonts w:ascii="Times New Roman" w:hAnsi="Times New Roman" w:eastAsia="楷体_GB2312"/>
          <w:color w:val="000000"/>
          <w:sz w:val="30"/>
          <w:szCs w:val="30"/>
        </w:rPr>
      </w:pPr>
    </w:p>
    <w:p>
      <w:pPr>
        <w:spacing w:line="600" w:lineRule="exact"/>
        <w:ind w:firstLine="1500" w:firstLineChars="500"/>
        <w:rPr>
          <w:rStyle w:val="35"/>
          <w:rFonts w:ascii="Times New Roman" w:hAnsi="Times New Roman" w:eastAsia="楷体_GB2312"/>
          <w:color w:val="000000"/>
          <w:sz w:val="30"/>
          <w:szCs w:val="30"/>
        </w:rPr>
      </w:pPr>
    </w:p>
    <w:p>
      <w:pPr>
        <w:spacing w:line="600" w:lineRule="exact"/>
        <w:ind w:firstLine="560" w:firstLineChars="200"/>
        <w:rPr>
          <w:rStyle w:val="35"/>
          <w:rFonts w:ascii="Times New Roman" w:hAnsi="Times New Roman" w:eastAsia="仿宋"/>
          <w:color w:val="000000"/>
          <w:sz w:val="28"/>
          <w:szCs w:val="28"/>
        </w:rPr>
      </w:pPr>
    </w:p>
    <w:p>
      <w:pPr>
        <w:spacing w:line="600" w:lineRule="exact"/>
        <w:ind w:firstLine="560" w:firstLineChars="200"/>
        <w:rPr>
          <w:rStyle w:val="35"/>
          <w:rFonts w:ascii="Times New Roman" w:hAnsi="Times New Roman" w:eastAsia="仿宋"/>
          <w:color w:val="000000"/>
          <w:sz w:val="28"/>
          <w:szCs w:val="28"/>
        </w:rPr>
      </w:pPr>
    </w:p>
    <w:p>
      <w:pPr>
        <w:tabs>
          <w:tab w:val="left" w:pos="816"/>
        </w:tabs>
        <w:spacing w:line="600" w:lineRule="exact"/>
        <w:outlineLvl w:val="0"/>
        <w:rPr>
          <w:rStyle w:val="35"/>
          <w:rFonts w:ascii="Times New Roman" w:hAnsi="Times New Roman" w:eastAsia="仿宋"/>
          <w:color w:val="000000"/>
          <w:sz w:val="28"/>
          <w:szCs w:val="28"/>
        </w:rPr>
      </w:pPr>
    </w:p>
    <w:sectPr>
      <w:footerReference r:id="rId4" w:type="default"/>
      <w:footnotePr>
        <w:numRestart w:val="eachPage"/>
      </w:footnotePr>
      <w:pgSz w:w="11906" w:h="16838"/>
      <w:pgMar w:top="2098" w:right="1474" w:bottom="1985" w:left="1588" w:header="851" w:footer="992"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altName w:val="宋体"/>
    <w:panose1 w:val="020B0503020204020204"/>
    <w:charset w:val="86"/>
    <w:family w:val="auto"/>
    <w:pitch w:val="default"/>
    <w:sig w:usb0="00000000" w:usb1="00000000" w:usb2="00000016" w:usb3="00000000" w:csb0="0004001F" w:csb1="00000000"/>
  </w:font>
  <w:font w:name="Calibri Light">
    <w:panose1 w:val="020F0302020204030204"/>
    <w:charset w:val="00"/>
    <w:family w:val="auto"/>
    <w:pitch w:val="default"/>
    <w:sig w:usb0="A00002EF" w:usb1="4000207B" w:usb2="00000000" w:usb3="00000000" w:csb0="2000019F"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Agilent TT CondLight">
    <w:altName w:val="Arial"/>
    <w:panose1 w:val="00000000000000000000"/>
    <w:charset w:val="00"/>
    <w:family w:val="auto"/>
    <w:pitch w:val="default"/>
    <w:sig w:usb0="00000000" w:usb1="00000000" w:usb2="00000000" w:usb3="00000000" w:csb0="00000001" w:csb1="00000000"/>
  </w:font>
  <w:font w:name="DFKai-SB">
    <w:panose1 w:val="03000509000000000000"/>
    <w:charset w:val="88"/>
    <w:family w:val="script"/>
    <w:pitch w:val="default"/>
    <w:sig w:usb0="00000003" w:usb1="082E0000" w:usb2="00000016" w:usb3="00000000" w:csb0="00100001" w:csb1="00000000"/>
  </w:font>
  <w:font w:name="Agilent TT Cond">
    <w:altName w:val="Arial"/>
    <w:panose1 w:val="00000000000000000000"/>
    <w:charset w:val="00"/>
    <w:family w:val="auto"/>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文星简黑体">
    <w:altName w:val="黑体"/>
    <w:panose1 w:val="00000000000000000000"/>
    <w:charset w:val="86"/>
    <w:family w:val="roman"/>
    <w:pitch w:val="default"/>
    <w:sig w:usb0="00000000" w:usb1="00000000" w:usb2="00000010" w:usb3="00000000" w:csb0="00040000" w:csb1="00000000"/>
  </w:font>
  <w:font w:name="方正小标宋简体">
    <w:altName w:val="Arial Unicode MS"/>
    <w:panose1 w:val="02010601030101010101"/>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Style w:val="35"/>
      </w:rPr>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pPr>
                  <w:pStyle w:val="7"/>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Style w:val="35"/>
      </w:rPr>
    </w:pPr>
    <w: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path/>
          <v:fill on="f" focussize="0,0"/>
          <v:stroke on="f" weight="0.5pt" joinstyle="miter"/>
          <v:imagedata o:title=""/>
          <o:lock v:ext="edit"/>
          <v:textbox inset="0mm,0mm,0mm,0mm" style="mso-fit-shape-to-text:t;">
            <w:txbxContent>
              <w:p>
                <w:pPr>
                  <w:pStyle w:val="7"/>
                </w:pPr>
                <w:r>
                  <w:rPr>
                    <w:rFonts w:hint="eastAsia"/>
                    <w:sz w:val="20"/>
                    <w:szCs w:val="20"/>
                  </w:rPr>
                  <w:fldChar w:fldCharType="begin"/>
                </w:r>
                <w:r>
                  <w:rPr>
                    <w:rFonts w:hint="eastAsia"/>
                    <w:sz w:val="20"/>
                    <w:szCs w:val="20"/>
                  </w:rPr>
                  <w:instrText xml:space="preserve"> PAGE  \* MERGEFORMAT </w:instrText>
                </w:r>
                <w:r>
                  <w:rPr>
                    <w:rFonts w:hint="eastAsia"/>
                    <w:sz w:val="20"/>
                    <w:szCs w:val="20"/>
                  </w:rPr>
                  <w:fldChar w:fldCharType="separate"/>
                </w:r>
                <w:r>
                  <w:rPr>
                    <w:sz w:val="20"/>
                    <w:szCs w:val="20"/>
                  </w:rPr>
                  <w:t>16</w:t>
                </w:r>
                <w:r>
                  <w:rPr>
                    <w:rFonts w:hint="eastAsia"/>
                    <w:sz w:val="20"/>
                    <w:szCs w:val="20"/>
                  </w:rPr>
                  <w:fldChar w:fldCharType="end"/>
                </w:r>
              </w:p>
            </w:txbxContent>
          </v:textbox>
        </v:shape>
      </w:pict>
    </w:r>
  </w:p>
  <w:p>
    <w:pPr>
      <w:pStyle w:val="7"/>
      <w:rPr>
        <w:rStyle w:val="35"/>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228"/>
  <w:doNotDisplayPageBoundaries w:val="1"/>
  <w:embedSystemFonts/>
  <w:bordersDoNotSurroundHeader w:val="1"/>
  <w:bordersDoNotSurroundFooter w:val="1"/>
  <w:doNotTrackMoves/>
  <w:documentProtection w:enforcement="0"/>
  <w:defaultTabStop w:val="420"/>
  <w:drawingGridHorizontalSpacing w:val="120"/>
  <w:drawingGridVerticalSpacing w:val="290"/>
  <w:displayHorizontalDrawingGridEvery w:val="2"/>
  <w:displayVerticalDrawingGridEvery w:val="2"/>
  <w:characterSpacingControl w:val="doNotCompress"/>
  <w:noLineBreaksAfter w:lang="zh-CN" w:val="$([{£¥·‘“〈《「『【〔〖〝﹙﹛﹝＄（．［｛￡￥"/>
  <w:noLineBreaksBefore w:lang="zh-CN" w:val="!%),.:;&gt;?]}¢¨°·ˇˉ―‖’”…‰′″›℃∶、。〃〉》」』】〕〗〞︶︺︾﹀﹄﹚﹜﹞！＂％＇），．：；？］｀｜｝～￠"/>
  <w:hdrShapeDefaults>
    <o:shapelayout v:ext="edit">
      <o:idmap v:ext="edit" data="3,4"/>
    </o:shapelayout>
  </w:hdrShapeDefaults>
  <w:footnotePr>
    <w:numRestart w:val="eachPage"/>
  </w:footnotePr>
  <w:compat>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D7ECF"/>
    <w:rsid w:val="00003E07"/>
    <w:rsid w:val="00015E8B"/>
    <w:rsid w:val="00034D6E"/>
    <w:rsid w:val="0009762A"/>
    <w:rsid w:val="000E6EBC"/>
    <w:rsid w:val="000E763A"/>
    <w:rsid w:val="00103DA0"/>
    <w:rsid w:val="00124749"/>
    <w:rsid w:val="00125B4E"/>
    <w:rsid w:val="001618CA"/>
    <w:rsid w:val="00187D31"/>
    <w:rsid w:val="00195023"/>
    <w:rsid w:val="00216905"/>
    <w:rsid w:val="00236C2C"/>
    <w:rsid w:val="00255A5B"/>
    <w:rsid w:val="00256EFE"/>
    <w:rsid w:val="002700DD"/>
    <w:rsid w:val="002B65BF"/>
    <w:rsid w:val="002C1927"/>
    <w:rsid w:val="002E1C0E"/>
    <w:rsid w:val="002F05B4"/>
    <w:rsid w:val="002F0E1A"/>
    <w:rsid w:val="00306DF0"/>
    <w:rsid w:val="0030771B"/>
    <w:rsid w:val="0036009F"/>
    <w:rsid w:val="0036195F"/>
    <w:rsid w:val="0039224E"/>
    <w:rsid w:val="003A39F5"/>
    <w:rsid w:val="003F2883"/>
    <w:rsid w:val="00401768"/>
    <w:rsid w:val="00427F92"/>
    <w:rsid w:val="00452BAC"/>
    <w:rsid w:val="00452C51"/>
    <w:rsid w:val="00461D10"/>
    <w:rsid w:val="00467289"/>
    <w:rsid w:val="004D2FC2"/>
    <w:rsid w:val="004D7488"/>
    <w:rsid w:val="004E5DB8"/>
    <w:rsid w:val="004F2154"/>
    <w:rsid w:val="004F2467"/>
    <w:rsid w:val="00534E1A"/>
    <w:rsid w:val="00584200"/>
    <w:rsid w:val="005B6944"/>
    <w:rsid w:val="005D0209"/>
    <w:rsid w:val="005F4350"/>
    <w:rsid w:val="00604409"/>
    <w:rsid w:val="00614B67"/>
    <w:rsid w:val="00621A42"/>
    <w:rsid w:val="00641F55"/>
    <w:rsid w:val="0068563B"/>
    <w:rsid w:val="006903BB"/>
    <w:rsid w:val="006A505C"/>
    <w:rsid w:val="006D4E1C"/>
    <w:rsid w:val="006F778C"/>
    <w:rsid w:val="007145A4"/>
    <w:rsid w:val="00733C19"/>
    <w:rsid w:val="00772434"/>
    <w:rsid w:val="007A373C"/>
    <w:rsid w:val="007B6A3B"/>
    <w:rsid w:val="007C776D"/>
    <w:rsid w:val="007E4DE9"/>
    <w:rsid w:val="00806ED1"/>
    <w:rsid w:val="00810041"/>
    <w:rsid w:val="00813A44"/>
    <w:rsid w:val="00834C29"/>
    <w:rsid w:val="00895B24"/>
    <w:rsid w:val="008E0819"/>
    <w:rsid w:val="008F2785"/>
    <w:rsid w:val="00914A90"/>
    <w:rsid w:val="0096047F"/>
    <w:rsid w:val="00987A1A"/>
    <w:rsid w:val="00995381"/>
    <w:rsid w:val="00996F20"/>
    <w:rsid w:val="009D7E73"/>
    <w:rsid w:val="00A036E0"/>
    <w:rsid w:val="00A04587"/>
    <w:rsid w:val="00A0582B"/>
    <w:rsid w:val="00A43CF7"/>
    <w:rsid w:val="00AB6E0A"/>
    <w:rsid w:val="00AD5885"/>
    <w:rsid w:val="00AF3068"/>
    <w:rsid w:val="00AF3F2E"/>
    <w:rsid w:val="00B00E55"/>
    <w:rsid w:val="00B0369E"/>
    <w:rsid w:val="00B07C6D"/>
    <w:rsid w:val="00B139E3"/>
    <w:rsid w:val="00B55922"/>
    <w:rsid w:val="00B659DE"/>
    <w:rsid w:val="00B6777B"/>
    <w:rsid w:val="00B837B9"/>
    <w:rsid w:val="00B92753"/>
    <w:rsid w:val="00BE4919"/>
    <w:rsid w:val="00C17F67"/>
    <w:rsid w:val="00C73CE4"/>
    <w:rsid w:val="00C74C4A"/>
    <w:rsid w:val="00C86871"/>
    <w:rsid w:val="00CD697A"/>
    <w:rsid w:val="00CE7D20"/>
    <w:rsid w:val="00D3002A"/>
    <w:rsid w:val="00D555D9"/>
    <w:rsid w:val="00D63C38"/>
    <w:rsid w:val="00D87F6A"/>
    <w:rsid w:val="00D91CF3"/>
    <w:rsid w:val="00D9579B"/>
    <w:rsid w:val="00DD77B7"/>
    <w:rsid w:val="00DD7ECF"/>
    <w:rsid w:val="00DE124F"/>
    <w:rsid w:val="00E30F62"/>
    <w:rsid w:val="00EA6180"/>
    <w:rsid w:val="00EF44C9"/>
    <w:rsid w:val="00F146E2"/>
    <w:rsid w:val="00F27F49"/>
    <w:rsid w:val="00F44AF1"/>
    <w:rsid w:val="00F634B2"/>
    <w:rsid w:val="00F95C4F"/>
    <w:rsid w:val="00FB0BE8"/>
    <w:rsid w:val="00FB4C0C"/>
    <w:rsid w:val="00FC6A06"/>
    <w:rsid w:val="00FC776F"/>
    <w:rsid w:val="0682031E"/>
    <w:rsid w:val="122A19CB"/>
    <w:rsid w:val="13174143"/>
    <w:rsid w:val="16851B61"/>
    <w:rsid w:val="16F305CC"/>
    <w:rsid w:val="18614906"/>
    <w:rsid w:val="1EF26CA7"/>
    <w:rsid w:val="26AD783C"/>
    <w:rsid w:val="285002B8"/>
    <w:rsid w:val="2A7A24FC"/>
    <w:rsid w:val="2D677867"/>
    <w:rsid w:val="32D0298D"/>
    <w:rsid w:val="38BD738D"/>
    <w:rsid w:val="41A46881"/>
    <w:rsid w:val="4BCD4D5B"/>
    <w:rsid w:val="58890EBC"/>
    <w:rsid w:val="59637262"/>
    <w:rsid w:val="5AB72817"/>
    <w:rsid w:val="5B5674F3"/>
    <w:rsid w:val="5D2106BA"/>
    <w:rsid w:val="5DA30FDE"/>
    <w:rsid w:val="5F506B45"/>
    <w:rsid w:val="64F66986"/>
    <w:rsid w:val="6672196F"/>
    <w:rsid w:val="668719E8"/>
    <w:rsid w:val="6D161F0F"/>
    <w:rsid w:val="720C5C57"/>
    <w:rsid w:val="7841339C"/>
    <w:rsid w:val="78A659E9"/>
    <w:rsid w:val="7BF732AB"/>
    <w:rsid w:val="7C312C9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ocked="1"/>
    <w:lsdException w:qFormat="1" w:unhideWhenUsed="0" w:uiPriority="99" w:semiHidden="0" w:name="toc 2" w:locked="1"/>
    <w:lsdException w:qFormat="1" w:unhideWhenUsed="0" w:uiPriority="9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99" w:semiHidden="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textAlignment w:val="baseline"/>
    </w:pPr>
    <w:rPr>
      <w:rFonts w:ascii="宋体" w:hAnsi="宋体" w:eastAsia="宋体" w:cs="Times New Roman"/>
      <w:sz w:val="24"/>
      <w:szCs w:val="24"/>
      <w:lang w:val="en-US" w:eastAsia="zh-CN" w:bidi="ar-SA"/>
    </w:rPr>
  </w:style>
  <w:style w:type="paragraph" w:styleId="2">
    <w:name w:val="heading 1"/>
    <w:basedOn w:val="1"/>
    <w:next w:val="1"/>
    <w:link w:val="19"/>
    <w:qFormat/>
    <w:locked/>
    <w:uiPriority w:val="99"/>
    <w:pPr>
      <w:keepNext/>
      <w:keepLines/>
      <w:spacing w:before="340" w:after="330" w:line="578" w:lineRule="auto"/>
      <w:outlineLvl w:val="0"/>
    </w:pPr>
    <w:rPr>
      <w:b/>
      <w:bCs/>
      <w:kern w:val="44"/>
      <w:sz w:val="44"/>
      <w:szCs w:val="44"/>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3">
    <w:name w:val="caption"/>
    <w:basedOn w:val="1"/>
    <w:next w:val="1"/>
    <w:qFormat/>
    <w:locked/>
    <w:uiPriority w:val="99"/>
    <w:rPr>
      <w:rFonts w:cs="宋体"/>
      <w:color w:val="4F81BD"/>
      <w:sz w:val="18"/>
      <w:szCs w:val="18"/>
    </w:rPr>
  </w:style>
  <w:style w:type="paragraph" w:styleId="4">
    <w:name w:val="toc 3"/>
    <w:basedOn w:val="1"/>
    <w:next w:val="1"/>
    <w:qFormat/>
    <w:locked/>
    <w:uiPriority w:val="99"/>
    <w:pPr>
      <w:ind w:left="840" w:leftChars="400"/>
    </w:pPr>
  </w:style>
  <w:style w:type="paragraph" w:styleId="5">
    <w:name w:val="Date"/>
    <w:basedOn w:val="1"/>
    <w:next w:val="1"/>
    <w:link w:val="20"/>
    <w:qFormat/>
    <w:uiPriority w:val="99"/>
    <w:pPr>
      <w:ind w:left="100" w:leftChars="2500"/>
      <w:jc w:val="both"/>
    </w:pPr>
  </w:style>
  <w:style w:type="paragraph" w:styleId="6">
    <w:name w:val="Balloon Text"/>
    <w:basedOn w:val="1"/>
    <w:link w:val="21"/>
    <w:semiHidden/>
    <w:qFormat/>
    <w:uiPriority w:val="99"/>
    <w:rPr>
      <w:sz w:val="18"/>
      <w:szCs w:val="18"/>
    </w:rPr>
  </w:style>
  <w:style w:type="paragraph" w:styleId="7">
    <w:name w:val="footer"/>
    <w:basedOn w:val="1"/>
    <w:link w:val="22"/>
    <w:qFormat/>
    <w:uiPriority w:val="99"/>
    <w:pPr>
      <w:snapToGrid w:val="0"/>
    </w:pPr>
    <w:rPr>
      <w:sz w:val="18"/>
      <w:szCs w:val="18"/>
    </w:rPr>
  </w:style>
  <w:style w:type="paragraph" w:styleId="8">
    <w:name w:val="header"/>
    <w:basedOn w:val="1"/>
    <w:link w:val="23"/>
    <w:qFormat/>
    <w:uiPriority w:val="99"/>
    <w:pPr>
      <w:pBdr>
        <w:bottom w:val="single" w:color="000000" w:sz="6" w:space="0"/>
      </w:pBdr>
      <w:snapToGrid w:val="0"/>
      <w:jc w:val="center"/>
    </w:pPr>
    <w:rPr>
      <w:sz w:val="18"/>
      <w:szCs w:val="18"/>
    </w:rPr>
  </w:style>
  <w:style w:type="paragraph" w:styleId="9">
    <w:name w:val="toc 1"/>
    <w:basedOn w:val="1"/>
    <w:next w:val="1"/>
    <w:qFormat/>
    <w:locked/>
    <w:uiPriority w:val="99"/>
    <w:pPr>
      <w:tabs>
        <w:tab w:val="right" w:leader="dot" w:pos="8296"/>
      </w:tabs>
      <w:spacing w:line="360" w:lineRule="auto"/>
    </w:pPr>
    <w:rPr>
      <w:sz w:val="32"/>
    </w:rPr>
  </w:style>
  <w:style w:type="paragraph" w:styleId="10">
    <w:name w:val="Subtitle"/>
    <w:basedOn w:val="1"/>
    <w:next w:val="1"/>
    <w:link w:val="24"/>
    <w:qFormat/>
    <w:uiPriority w:val="99"/>
    <w:rPr>
      <w:rFonts w:ascii="Cambria" w:hAnsi="Cambria"/>
      <w:b/>
      <w:bCs/>
      <w:kern w:val="28"/>
      <w:sz w:val="32"/>
      <w:szCs w:val="32"/>
    </w:rPr>
  </w:style>
  <w:style w:type="paragraph" w:styleId="11">
    <w:name w:val="toc 2"/>
    <w:basedOn w:val="1"/>
    <w:next w:val="1"/>
    <w:qFormat/>
    <w:locked/>
    <w:uiPriority w:val="99"/>
    <w:pPr>
      <w:ind w:left="420" w:leftChars="200"/>
    </w:pPr>
  </w:style>
  <w:style w:type="paragraph" w:styleId="12">
    <w:name w:val="Title"/>
    <w:basedOn w:val="1"/>
    <w:next w:val="1"/>
    <w:link w:val="25"/>
    <w:qFormat/>
    <w:uiPriority w:val="99"/>
    <w:pPr>
      <w:pBdr>
        <w:bottom w:val="single" w:color="4F81BD" w:sz="8" w:space="0"/>
      </w:pBdr>
      <w:spacing w:after="300"/>
      <w:contextualSpacing/>
    </w:pPr>
    <w:rPr>
      <w:rFonts w:ascii="Times New Roman" w:hAnsi="Times New Roman" w:eastAsia="仿宋_GB2312"/>
      <w:b/>
      <w:color w:val="000000"/>
      <w:sz w:val="28"/>
      <w:szCs w:val="20"/>
    </w:rPr>
  </w:style>
  <w:style w:type="character" w:styleId="15">
    <w:name w:val="Strong"/>
    <w:qFormat/>
    <w:uiPriority w:val="99"/>
    <w:rPr>
      <w:rFonts w:cs="Times New Roman"/>
      <w:b/>
    </w:rPr>
  </w:style>
  <w:style w:type="character" w:styleId="16">
    <w:name w:val="FollowedHyperlink"/>
    <w:qFormat/>
    <w:uiPriority w:val="99"/>
    <w:rPr>
      <w:rFonts w:cs="Times New Roman"/>
      <w:color w:val="954F72"/>
      <w:u w:val="single"/>
    </w:rPr>
  </w:style>
  <w:style w:type="character" w:styleId="17">
    <w:name w:val="Emphasis"/>
    <w:qFormat/>
    <w:locked/>
    <w:uiPriority w:val="99"/>
    <w:rPr>
      <w:rFonts w:cs="Times New Roman"/>
      <w:i/>
    </w:rPr>
  </w:style>
  <w:style w:type="character" w:styleId="18">
    <w:name w:val="Hyperlink"/>
    <w:qFormat/>
    <w:uiPriority w:val="99"/>
    <w:rPr>
      <w:rFonts w:cs="Times New Roman"/>
      <w:color w:val="0000FF"/>
      <w:u w:val="single"/>
    </w:rPr>
  </w:style>
  <w:style w:type="character" w:customStyle="1" w:styleId="19">
    <w:name w:val="标题 1 Char"/>
    <w:link w:val="2"/>
    <w:qFormat/>
    <w:locked/>
    <w:uiPriority w:val="99"/>
    <w:rPr>
      <w:rFonts w:ascii="宋体" w:eastAsia="宋体"/>
      <w:b/>
      <w:kern w:val="44"/>
      <w:sz w:val="44"/>
    </w:rPr>
  </w:style>
  <w:style w:type="character" w:customStyle="1" w:styleId="20">
    <w:name w:val="日期 Char"/>
    <w:link w:val="5"/>
    <w:semiHidden/>
    <w:qFormat/>
    <w:locked/>
    <w:uiPriority w:val="99"/>
    <w:rPr>
      <w:rFonts w:ascii="宋体" w:eastAsia="宋体"/>
      <w:kern w:val="0"/>
      <w:sz w:val="24"/>
    </w:rPr>
  </w:style>
  <w:style w:type="character" w:customStyle="1" w:styleId="21">
    <w:name w:val="批注框文本 Char"/>
    <w:link w:val="6"/>
    <w:semiHidden/>
    <w:qFormat/>
    <w:locked/>
    <w:uiPriority w:val="99"/>
    <w:rPr>
      <w:rFonts w:ascii="宋体" w:eastAsia="宋体" w:cs="Times New Roman"/>
      <w:sz w:val="18"/>
      <w:szCs w:val="18"/>
    </w:rPr>
  </w:style>
  <w:style w:type="character" w:customStyle="1" w:styleId="22">
    <w:name w:val="页脚 Char"/>
    <w:link w:val="7"/>
    <w:semiHidden/>
    <w:qFormat/>
    <w:locked/>
    <w:uiPriority w:val="99"/>
    <w:rPr>
      <w:rFonts w:ascii="宋体" w:eastAsia="宋体"/>
      <w:kern w:val="0"/>
      <w:sz w:val="18"/>
    </w:rPr>
  </w:style>
  <w:style w:type="character" w:customStyle="1" w:styleId="23">
    <w:name w:val="页眉 Char"/>
    <w:link w:val="8"/>
    <w:semiHidden/>
    <w:qFormat/>
    <w:locked/>
    <w:uiPriority w:val="99"/>
    <w:rPr>
      <w:rFonts w:ascii="宋体" w:eastAsia="宋体"/>
      <w:kern w:val="0"/>
      <w:sz w:val="18"/>
    </w:rPr>
  </w:style>
  <w:style w:type="character" w:customStyle="1" w:styleId="24">
    <w:name w:val="副标题 Char"/>
    <w:link w:val="10"/>
    <w:qFormat/>
    <w:locked/>
    <w:uiPriority w:val="99"/>
    <w:rPr>
      <w:rFonts w:ascii="Cambria" w:hAnsi="Cambria"/>
      <w:b/>
      <w:kern w:val="28"/>
      <w:sz w:val="32"/>
    </w:rPr>
  </w:style>
  <w:style w:type="character" w:customStyle="1" w:styleId="25">
    <w:name w:val="标题 Char"/>
    <w:link w:val="12"/>
    <w:qFormat/>
    <w:locked/>
    <w:uiPriority w:val="99"/>
    <w:rPr>
      <w:rFonts w:ascii="Times New Roman" w:hAnsi="Times New Roman" w:eastAsia="仿宋_GB2312"/>
      <w:b/>
      <w:color w:val="000000"/>
      <w:sz w:val="28"/>
    </w:rPr>
  </w:style>
  <w:style w:type="paragraph" w:customStyle="1" w:styleId="26">
    <w:name w:val="Heading1"/>
    <w:basedOn w:val="1"/>
    <w:next w:val="1"/>
    <w:qFormat/>
    <w:uiPriority w:val="99"/>
    <w:pPr>
      <w:keepNext/>
      <w:keepLines/>
      <w:spacing w:before="120" w:after="60" w:line="500" w:lineRule="exact"/>
      <w:ind w:firstLine="800" w:firstLineChars="200"/>
    </w:pPr>
    <w:rPr>
      <w:rFonts w:ascii="Times New Roman" w:hAnsi="Times New Roman" w:eastAsia="仿宋_GB2312"/>
      <w:color w:val="000000"/>
      <w:sz w:val="32"/>
      <w:szCs w:val="28"/>
    </w:rPr>
  </w:style>
  <w:style w:type="paragraph" w:customStyle="1" w:styleId="27">
    <w:name w:val="Heading2"/>
    <w:basedOn w:val="1"/>
    <w:next w:val="1"/>
    <w:qFormat/>
    <w:uiPriority w:val="99"/>
    <w:pPr>
      <w:keepNext/>
      <w:keepLines/>
      <w:spacing w:before="120" w:after="60" w:line="500" w:lineRule="exact"/>
      <w:ind w:firstLine="800" w:firstLineChars="200"/>
    </w:pPr>
    <w:rPr>
      <w:rFonts w:ascii="Times New Roman" w:hAnsi="Times New Roman" w:eastAsia="仿宋_GB2312"/>
      <w:color w:val="000000"/>
      <w:sz w:val="30"/>
      <w:szCs w:val="26"/>
    </w:rPr>
  </w:style>
  <w:style w:type="paragraph" w:customStyle="1" w:styleId="28">
    <w:name w:val="Heading3"/>
    <w:basedOn w:val="1"/>
    <w:next w:val="1"/>
    <w:qFormat/>
    <w:uiPriority w:val="99"/>
    <w:pPr>
      <w:keepNext/>
      <w:keepLines/>
      <w:spacing w:before="120" w:after="60" w:line="500" w:lineRule="exact"/>
      <w:ind w:firstLine="800" w:firstLineChars="200"/>
    </w:pPr>
    <w:rPr>
      <w:rFonts w:ascii="Times New Roman" w:hAnsi="Times New Roman" w:eastAsia="仿宋_GB2312"/>
      <w:color w:val="000000"/>
      <w:sz w:val="28"/>
      <w:szCs w:val="20"/>
    </w:rPr>
  </w:style>
  <w:style w:type="paragraph" w:customStyle="1" w:styleId="29">
    <w:name w:val="Heading4"/>
    <w:basedOn w:val="1"/>
    <w:next w:val="1"/>
    <w:qFormat/>
    <w:locked/>
    <w:uiPriority w:val="99"/>
    <w:pPr>
      <w:keepNext/>
      <w:keepLines/>
      <w:spacing w:before="200"/>
    </w:pPr>
    <w:rPr>
      <w:rFonts w:ascii="Cambria" w:hAnsi="Cambria"/>
      <w:color w:val="4F81BD"/>
      <w:sz w:val="20"/>
      <w:szCs w:val="20"/>
    </w:rPr>
  </w:style>
  <w:style w:type="paragraph" w:customStyle="1" w:styleId="30">
    <w:name w:val="Heading5"/>
    <w:basedOn w:val="1"/>
    <w:next w:val="1"/>
    <w:qFormat/>
    <w:locked/>
    <w:uiPriority w:val="99"/>
    <w:pPr>
      <w:keepNext/>
      <w:keepLines/>
      <w:spacing w:before="200"/>
    </w:pPr>
    <w:rPr>
      <w:rFonts w:ascii="Cambria" w:hAnsi="Cambria"/>
      <w:color w:val="244061"/>
      <w:sz w:val="20"/>
      <w:szCs w:val="20"/>
    </w:rPr>
  </w:style>
  <w:style w:type="paragraph" w:customStyle="1" w:styleId="31">
    <w:name w:val="Heading6"/>
    <w:basedOn w:val="1"/>
    <w:next w:val="1"/>
    <w:qFormat/>
    <w:locked/>
    <w:uiPriority w:val="99"/>
    <w:pPr>
      <w:keepNext/>
      <w:keepLines/>
      <w:spacing w:before="200"/>
    </w:pPr>
    <w:rPr>
      <w:rFonts w:ascii="Cambria" w:hAnsi="Cambria"/>
      <w:color w:val="244061"/>
      <w:sz w:val="20"/>
      <w:szCs w:val="20"/>
    </w:rPr>
  </w:style>
  <w:style w:type="paragraph" w:customStyle="1" w:styleId="32">
    <w:name w:val="Heading7"/>
    <w:basedOn w:val="1"/>
    <w:next w:val="1"/>
    <w:qFormat/>
    <w:locked/>
    <w:uiPriority w:val="99"/>
    <w:pPr>
      <w:keepNext/>
      <w:keepLines/>
      <w:spacing w:before="200"/>
    </w:pPr>
    <w:rPr>
      <w:rFonts w:ascii="Cambria" w:hAnsi="Cambria"/>
      <w:color w:val="404040"/>
      <w:sz w:val="20"/>
      <w:szCs w:val="20"/>
    </w:rPr>
  </w:style>
  <w:style w:type="paragraph" w:customStyle="1" w:styleId="33">
    <w:name w:val="Heading8"/>
    <w:basedOn w:val="1"/>
    <w:next w:val="1"/>
    <w:qFormat/>
    <w:locked/>
    <w:uiPriority w:val="99"/>
    <w:pPr>
      <w:keepNext/>
      <w:keepLines/>
      <w:spacing w:before="200"/>
    </w:pPr>
    <w:rPr>
      <w:rFonts w:ascii="Cambria" w:hAnsi="Cambria"/>
      <w:color w:val="4F81BD"/>
      <w:sz w:val="20"/>
      <w:szCs w:val="20"/>
    </w:rPr>
  </w:style>
  <w:style w:type="paragraph" w:customStyle="1" w:styleId="34">
    <w:name w:val="Heading9"/>
    <w:basedOn w:val="1"/>
    <w:next w:val="1"/>
    <w:qFormat/>
    <w:locked/>
    <w:uiPriority w:val="99"/>
    <w:pPr>
      <w:keepNext/>
      <w:keepLines/>
      <w:spacing w:before="200"/>
    </w:pPr>
    <w:rPr>
      <w:rFonts w:ascii="Cambria" w:hAnsi="Cambria"/>
      <w:color w:val="404040"/>
      <w:sz w:val="20"/>
      <w:szCs w:val="20"/>
    </w:rPr>
  </w:style>
  <w:style w:type="character" w:customStyle="1" w:styleId="35">
    <w:name w:val="NormalCharacter"/>
    <w:qFormat/>
    <w:uiPriority w:val="99"/>
  </w:style>
  <w:style w:type="table" w:customStyle="1" w:styleId="36">
    <w:name w:val="TableNormal"/>
    <w:semiHidden/>
    <w:qFormat/>
    <w:uiPriority w:val="99"/>
    <w:tblPr>
      <w:tblCellMar>
        <w:top w:w="0" w:type="dxa"/>
        <w:left w:w="0" w:type="dxa"/>
        <w:bottom w:w="0" w:type="dxa"/>
        <w:right w:w="0" w:type="dxa"/>
      </w:tblCellMar>
    </w:tblPr>
  </w:style>
  <w:style w:type="paragraph" w:customStyle="1" w:styleId="37">
    <w:name w:val="AnnotationSubject"/>
    <w:basedOn w:val="38"/>
    <w:next w:val="38"/>
    <w:qFormat/>
    <w:uiPriority w:val="99"/>
  </w:style>
  <w:style w:type="paragraph" w:customStyle="1" w:styleId="38">
    <w:name w:val="AnnotationText"/>
    <w:basedOn w:val="1"/>
    <w:qFormat/>
    <w:uiPriority w:val="99"/>
    <w:rPr>
      <w:rFonts w:ascii="Times New Roman" w:hAnsi="Times New Roman"/>
      <w:sz w:val="20"/>
      <w:szCs w:val="20"/>
    </w:rPr>
  </w:style>
  <w:style w:type="paragraph" w:customStyle="1" w:styleId="39">
    <w:name w:val="TOC7"/>
    <w:basedOn w:val="1"/>
    <w:next w:val="1"/>
    <w:qFormat/>
    <w:locked/>
    <w:uiPriority w:val="99"/>
    <w:pPr>
      <w:spacing w:line="560" w:lineRule="exact"/>
      <w:ind w:left="1920" w:firstLine="200" w:firstLineChars="200"/>
    </w:pPr>
    <w:rPr>
      <w:rFonts w:ascii="Calibri" w:hAnsi="Calibri" w:eastAsia="仿宋"/>
      <w:kern w:val="2"/>
      <w:sz w:val="18"/>
      <w:szCs w:val="18"/>
    </w:rPr>
  </w:style>
  <w:style w:type="paragraph" w:customStyle="1" w:styleId="40">
    <w:name w:val="NavPane"/>
    <w:basedOn w:val="1"/>
    <w:qFormat/>
    <w:uiPriority w:val="99"/>
    <w:rPr>
      <w:rFonts w:ascii="Microsoft YaHei UI" w:hAnsi="Times New Roman" w:eastAsia="Microsoft YaHei UI"/>
      <w:sz w:val="18"/>
      <w:szCs w:val="18"/>
    </w:rPr>
  </w:style>
  <w:style w:type="paragraph" w:customStyle="1" w:styleId="41">
    <w:name w:val="TOAHeading"/>
    <w:basedOn w:val="1"/>
    <w:next w:val="1"/>
    <w:semiHidden/>
    <w:qFormat/>
    <w:uiPriority w:val="99"/>
    <w:pPr>
      <w:spacing w:before="120"/>
      <w:jc w:val="both"/>
    </w:pPr>
    <w:rPr>
      <w:rFonts w:ascii="Arial" w:hAnsi="Arial"/>
      <w:kern w:val="2"/>
    </w:rPr>
  </w:style>
  <w:style w:type="paragraph" w:customStyle="1" w:styleId="42">
    <w:name w:val="BodyText"/>
    <w:basedOn w:val="1"/>
    <w:qFormat/>
    <w:uiPriority w:val="99"/>
    <w:pPr>
      <w:spacing w:after="120"/>
      <w:jc w:val="both"/>
    </w:pPr>
    <w:rPr>
      <w:rFonts w:ascii="Times New Roman" w:hAnsi="Times New Roman"/>
      <w:kern w:val="2"/>
      <w:sz w:val="21"/>
      <w:szCs w:val="22"/>
    </w:rPr>
  </w:style>
  <w:style w:type="paragraph" w:customStyle="1" w:styleId="43">
    <w:name w:val="BodyTextIndent"/>
    <w:basedOn w:val="1"/>
    <w:qFormat/>
    <w:uiPriority w:val="99"/>
    <w:pPr>
      <w:spacing w:after="120"/>
      <w:ind w:left="420" w:leftChars="200"/>
      <w:jc w:val="both"/>
    </w:pPr>
    <w:rPr>
      <w:rFonts w:ascii="Times New Roman" w:hAnsi="Times New Roman"/>
      <w:sz w:val="20"/>
      <w:szCs w:val="21"/>
    </w:rPr>
  </w:style>
  <w:style w:type="paragraph" w:customStyle="1" w:styleId="44">
    <w:name w:val="TOC5"/>
    <w:basedOn w:val="1"/>
    <w:next w:val="1"/>
    <w:qFormat/>
    <w:locked/>
    <w:uiPriority w:val="99"/>
    <w:pPr>
      <w:spacing w:line="560" w:lineRule="exact"/>
      <w:ind w:left="1280" w:firstLine="200" w:firstLineChars="200"/>
    </w:pPr>
    <w:rPr>
      <w:rFonts w:ascii="Calibri" w:hAnsi="Calibri" w:eastAsia="仿宋"/>
      <w:kern w:val="2"/>
      <w:sz w:val="18"/>
      <w:szCs w:val="18"/>
    </w:rPr>
  </w:style>
  <w:style w:type="paragraph" w:customStyle="1" w:styleId="45">
    <w:name w:val="TOC3"/>
    <w:basedOn w:val="1"/>
    <w:next w:val="1"/>
    <w:qFormat/>
    <w:uiPriority w:val="99"/>
    <w:pPr>
      <w:spacing w:after="100" w:line="259" w:lineRule="auto"/>
      <w:ind w:left="440"/>
    </w:pPr>
  </w:style>
  <w:style w:type="paragraph" w:customStyle="1" w:styleId="46">
    <w:name w:val="PlainText"/>
    <w:basedOn w:val="1"/>
    <w:qFormat/>
    <w:uiPriority w:val="99"/>
    <w:pPr>
      <w:jc w:val="both"/>
    </w:pPr>
    <w:rPr>
      <w:rFonts w:hAnsi="Courier New"/>
      <w:kern w:val="2"/>
      <w:sz w:val="21"/>
      <w:szCs w:val="21"/>
    </w:rPr>
  </w:style>
  <w:style w:type="paragraph" w:customStyle="1" w:styleId="47">
    <w:name w:val="TOC8"/>
    <w:basedOn w:val="1"/>
    <w:next w:val="1"/>
    <w:qFormat/>
    <w:locked/>
    <w:uiPriority w:val="99"/>
    <w:pPr>
      <w:spacing w:line="560" w:lineRule="exact"/>
      <w:ind w:left="2240" w:firstLine="200" w:firstLineChars="200"/>
    </w:pPr>
    <w:rPr>
      <w:rFonts w:ascii="Calibri" w:hAnsi="Calibri" w:eastAsia="仿宋"/>
      <w:kern w:val="2"/>
      <w:sz w:val="18"/>
      <w:szCs w:val="18"/>
    </w:rPr>
  </w:style>
  <w:style w:type="paragraph" w:customStyle="1" w:styleId="48">
    <w:name w:val="Acetate"/>
    <w:basedOn w:val="1"/>
    <w:qFormat/>
    <w:uiPriority w:val="99"/>
    <w:rPr>
      <w:rFonts w:ascii="Times New Roman" w:hAnsi="Times New Roman"/>
      <w:sz w:val="18"/>
      <w:szCs w:val="20"/>
    </w:rPr>
  </w:style>
  <w:style w:type="paragraph" w:customStyle="1" w:styleId="49">
    <w:name w:val="TOC1"/>
    <w:basedOn w:val="1"/>
    <w:next w:val="1"/>
    <w:qFormat/>
    <w:uiPriority w:val="99"/>
    <w:pPr>
      <w:spacing w:line="500" w:lineRule="exact"/>
    </w:pPr>
    <w:rPr>
      <w:sz w:val="30"/>
      <w:szCs w:val="30"/>
    </w:rPr>
  </w:style>
  <w:style w:type="paragraph" w:customStyle="1" w:styleId="50">
    <w:name w:val="TOC4"/>
    <w:basedOn w:val="1"/>
    <w:next w:val="1"/>
    <w:qFormat/>
    <w:locked/>
    <w:uiPriority w:val="99"/>
    <w:pPr>
      <w:spacing w:line="560" w:lineRule="exact"/>
      <w:ind w:left="960" w:firstLine="200" w:firstLineChars="200"/>
    </w:pPr>
    <w:rPr>
      <w:rFonts w:ascii="Calibri" w:hAnsi="Calibri" w:eastAsia="仿宋"/>
      <w:kern w:val="2"/>
      <w:sz w:val="18"/>
      <w:szCs w:val="18"/>
    </w:rPr>
  </w:style>
  <w:style w:type="paragraph" w:customStyle="1" w:styleId="51">
    <w:name w:val="FootnoteText"/>
    <w:basedOn w:val="1"/>
    <w:qFormat/>
    <w:uiPriority w:val="99"/>
    <w:pPr>
      <w:snapToGrid w:val="0"/>
      <w:ind w:firstLine="600" w:firstLineChars="200"/>
    </w:pPr>
    <w:rPr>
      <w:rFonts w:ascii="Calibri" w:hAnsi="Calibri" w:eastAsia="仿宋_GB2312"/>
      <w:sz w:val="18"/>
      <w:szCs w:val="20"/>
    </w:rPr>
  </w:style>
  <w:style w:type="paragraph" w:customStyle="1" w:styleId="52">
    <w:name w:val="TOC6"/>
    <w:basedOn w:val="1"/>
    <w:next w:val="1"/>
    <w:qFormat/>
    <w:locked/>
    <w:uiPriority w:val="99"/>
    <w:pPr>
      <w:spacing w:line="560" w:lineRule="exact"/>
      <w:ind w:left="1600" w:firstLine="200" w:firstLineChars="200"/>
    </w:pPr>
    <w:rPr>
      <w:rFonts w:ascii="Calibri" w:hAnsi="Calibri" w:eastAsia="仿宋"/>
      <w:kern w:val="2"/>
      <w:sz w:val="18"/>
      <w:szCs w:val="18"/>
    </w:rPr>
  </w:style>
  <w:style w:type="paragraph" w:customStyle="1" w:styleId="53">
    <w:name w:val="TOC2"/>
    <w:basedOn w:val="1"/>
    <w:next w:val="1"/>
    <w:qFormat/>
    <w:uiPriority w:val="99"/>
    <w:pPr>
      <w:spacing w:after="100" w:line="259" w:lineRule="auto"/>
      <w:ind w:left="220"/>
    </w:pPr>
  </w:style>
  <w:style w:type="paragraph" w:customStyle="1" w:styleId="54">
    <w:name w:val="TOC9"/>
    <w:basedOn w:val="1"/>
    <w:next w:val="1"/>
    <w:qFormat/>
    <w:locked/>
    <w:uiPriority w:val="99"/>
    <w:pPr>
      <w:spacing w:line="560" w:lineRule="exact"/>
      <w:ind w:left="2560" w:firstLine="200" w:firstLineChars="200"/>
    </w:pPr>
    <w:rPr>
      <w:rFonts w:ascii="Calibri" w:hAnsi="Calibri" w:eastAsia="仿宋"/>
      <w:kern w:val="2"/>
      <w:sz w:val="18"/>
      <w:szCs w:val="18"/>
    </w:rPr>
  </w:style>
  <w:style w:type="paragraph" w:customStyle="1" w:styleId="55">
    <w:name w:val="BodyText2"/>
    <w:basedOn w:val="1"/>
    <w:qFormat/>
    <w:uiPriority w:val="99"/>
    <w:pPr>
      <w:spacing w:after="120" w:line="480" w:lineRule="auto"/>
      <w:jc w:val="both"/>
    </w:pPr>
    <w:rPr>
      <w:rFonts w:ascii="Times New Roman" w:hAnsi="Times New Roman"/>
      <w:kern w:val="2"/>
      <w:sz w:val="21"/>
    </w:rPr>
  </w:style>
  <w:style w:type="paragraph" w:customStyle="1" w:styleId="56">
    <w:name w:val="HtmlNormal"/>
    <w:basedOn w:val="1"/>
    <w:qFormat/>
    <w:uiPriority w:val="99"/>
    <w:pPr>
      <w:spacing w:before="100" w:beforeAutospacing="1" w:after="100" w:afterAutospacing="1"/>
    </w:pPr>
  </w:style>
  <w:style w:type="character" w:customStyle="1" w:styleId="57">
    <w:name w:val="PageNumber"/>
    <w:qFormat/>
    <w:uiPriority w:val="99"/>
  </w:style>
  <w:style w:type="character" w:customStyle="1" w:styleId="58">
    <w:name w:val="AnnotationReference"/>
    <w:qFormat/>
    <w:uiPriority w:val="99"/>
    <w:rPr>
      <w:sz w:val="21"/>
    </w:rPr>
  </w:style>
  <w:style w:type="character" w:customStyle="1" w:styleId="59">
    <w:name w:val="FootnoteReference"/>
    <w:qFormat/>
    <w:uiPriority w:val="99"/>
    <w:rPr>
      <w:vertAlign w:val="superscript"/>
    </w:rPr>
  </w:style>
  <w:style w:type="table" w:customStyle="1" w:styleId="60">
    <w:name w:val="TableGrid"/>
    <w:basedOn w:val="36"/>
    <w:qFormat/>
    <w:uiPriority w:val="99"/>
    <w:tblPr>
      <w:tblCellMar>
        <w:top w:w="0" w:type="dxa"/>
        <w:left w:w="0" w:type="dxa"/>
        <w:bottom w:w="0" w:type="dxa"/>
        <w:right w:w="0" w:type="dxa"/>
      </w:tblCellMar>
    </w:tblPr>
  </w:style>
  <w:style w:type="character" w:customStyle="1" w:styleId="61">
    <w:name w:val="UserStyle_1"/>
    <w:qFormat/>
    <w:locked/>
    <w:uiPriority w:val="99"/>
    <w:rPr>
      <w:rFonts w:ascii="Times New Roman" w:hAnsi="Times New Roman" w:eastAsia="仿宋_GB2312"/>
      <w:b/>
      <w:color w:val="000000"/>
      <w:sz w:val="26"/>
    </w:rPr>
  </w:style>
  <w:style w:type="character" w:customStyle="1" w:styleId="62">
    <w:name w:val="UserStyle_2"/>
    <w:qFormat/>
    <w:locked/>
    <w:uiPriority w:val="99"/>
    <w:rPr>
      <w:rFonts w:ascii="Times New Roman" w:hAnsi="Times New Roman" w:eastAsia="仿宋_GB2312"/>
      <w:b/>
      <w:color w:val="000000"/>
      <w:sz w:val="28"/>
    </w:rPr>
  </w:style>
  <w:style w:type="character" w:customStyle="1" w:styleId="63">
    <w:name w:val="UserStyle_3"/>
    <w:semiHidden/>
    <w:qFormat/>
    <w:uiPriority w:val="99"/>
    <w:rPr>
      <w:rFonts w:ascii="Cambria" w:hAnsi="Cambria" w:eastAsia="宋体"/>
      <w:b/>
      <w:i/>
      <w:color w:val="4F81BD"/>
    </w:rPr>
  </w:style>
  <w:style w:type="character" w:customStyle="1" w:styleId="64">
    <w:name w:val="UserStyle_4"/>
    <w:semiHidden/>
    <w:qFormat/>
    <w:uiPriority w:val="99"/>
    <w:rPr>
      <w:rFonts w:ascii="Cambria" w:hAnsi="Cambria" w:eastAsia="宋体"/>
      <w:color w:val="244061"/>
    </w:rPr>
  </w:style>
  <w:style w:type="character" w:customStyle="1" w:styleId="65">
    <w:name w:val="UserStyle_5"/>
    <w:semiHidden/>
    <w:qFormat/>
    <w:uiPriority w:val="99"/>
    <w:rPr>
      <w:rFonts w:ascii="Cambria" w:hAnsi="Cambria" w:eastAsia="宋体"/>
      <w:i/>
      <w:color w:val="244061"/>
    </w:rPr>
  </w:style>
  <w:style w:type="character" w:customStyle="1" w:styleId="66">
    <w:name w:val="UserStyle_6"/>
    <w:semiHidden/>
    <w:qFormat/>
    <w:uiPriority w:val="99"/>
    <w:rPr>
      <w:rFonts w:ascii="Cambria" w:hAnsi="Cambria" w:eastAsia="宋体"/>
      <w:i/>
      <w:color w:val="404040"/>
    </w:rPr>
  </w:style>
  <w:style w:type="character" w:customStyle="1" w:styleId="67">
    <w:name w:val="UserStyle_7"/>
    <w:semiHidden/>
    <w:qFormat/>
    <w:uiPriority w:val="99"/>
    <w:rPr>
      <w:rFonts w:ascii="Cambria" w:hAnsi="Cambria" w:eastAsia="宋体"/>
      <w:color w:val="4F81BD"/>
      <w:sz w:val="20"/>
    </w:rPr>
  </w:style>
  <w:style w:type="character" w:customStyle="1" w:styleId="68">
    <w:name w:val="UserStyle_8"/>
    <w:semiHidden/>
    <w:qFormat/>
    <w:uiPriority w:val="99"/>
    <w:rPr>
      <w:rFonts w:ascii="Cambria" w:hAnsi="Cambria" w:eastAsia="宋体"/>
      <w:i/>
      <w:color w:val="404040"/>
      <w:sz w:val="20"/>
    </w:rPr>
  </w:style>
  <w:style w:type="character" w:customStyle="1" w:styleId="69">
    <w:name w:val="UserStyle_9"/>
    <w:qFormat/>
    <w:locked/>
    <w:uiPriority w:val="99"/>
  </w:style>
  <w:style w:type="character" w:customStyle="1" w:styleId="70">
    <w:name w:val="UserStyle_10"/>
    <w:semiHidden/>
    <w:qFormat/>
    <w:locked/>
    <w:uiPriority w:val="99"/>
    <w:rPr>
      <w:b/>
    </w:rPr>
  </w:style>
  <w:style w:type="character" w:customStyle="1" w:styleId="71">
    <w:name w:val="UserStyle_11"/>
    <w:semiHidden/>
    <w:qFormat/>
    <w:uiPriority w:val="99"/>
    <w:rPr>
      <w:rFonts w:ascii="Microsoft YaHei UI" w:eastAsia="Microsoft YaHei UI"/>
      <w:sz w:val="18"/>
    </w:rPr>
  </w:style>
  <w:style w:type="character" w:customStyle="1" w:styleId="72">
    <w:name w:val="UserStyle_12"/>
    <w:semiHidden/>
    <w:qFormat/>
    <w:locked/>
    <w:uiPriority w:val="99"/>
    <w:rPr>
      <w:sz w:val="18"/>
    </w:rPr>
  </w:style>
  <w:style w:type="character" w:customStyle="1" w:styleId="73">
    <w:name w:val="UserStyle_13"/>
    <w:qFormat/>
    <w:locked/>
    <w:uiPriority w:val="99"/>
    <w:rPr>
      <w:sz w:val="18"/>
    </w:rPr>
  </w:style>
  <w:style w:type="character" w:customStyle="1" w:styleId="74">
    <w:name w:val="UserStyle_14"/>
    <w:qFormat/>
    <w:locked/>
    <w:uiPriority w:val="99"/>
    <w:rPr>
      <w:sz w:val="18"/>
    </w:rPr>
  </w:style>
  <w:style w:type="character" w:customStyle="1" w:styleId="75">
    <w:name w:val="UserStyle_15"/>
    <w:qFormat/>
    <w:uiPriority w:val="99"/>
    <w:rPr>
      <w:rFonts w:ascii="Cambria" w:hAnsi="Cambria" w:eastAsia="宋体"/>
      <w:i/>
      <w:color w:val="4F81BD"/>
      <w:spacing w:val="15"/>
      <w:sz w:val="24"/>
    </w:rPr>
  </w:style>
  <w:style w:type="character" w:customStyle="1" w:styleId="76">
    <w:name w:val="UserStyle_16"/>
    <w:qFormat/>
    <w:locked/>
    <w:uiPriority w:val="99"/>
    <w:rPr>
      <w:rFonts w:ascii="Calibri" w:hAnsi="Calibri" w:eastAsia="仿宋_GB2312"/>
      <w:kern w:val="0"/>
      <w:sz w:val="18"/>
    </w:rPr>
  </w:style>
  <w:style w:type="character" w:customStyle="1" w:styleId="77">
    <w:name w:val="UserStyle_17"/>
    <w:qFormat/>
    <w:uiPriority w:val="99"/>
    <w:rPr>
      <w:rFonts w:ascii="Cambria" w:hAnsi="Cambria" w:eastAsia="宋体"/>
      <w:color w:val="17365D"/>
      <w:spacing w:val="5"/>
      <w:sz w:val="52"/>
    </w:rPr>
  </w:style>
  <w:style w:type="paragraph" w:customStyle="1" w:styleId="78">
    <w:name w:val="UserStyle_18"/>
    <w:basedOn w:val="1"/>
    <w:qFormat/>
    <w:uiPriority w:val="99"/>
    <w:pPr>
      <w:pBdr>
        <w:top w:val="single" w:color="000000" w:sz="4" w:space="0"/>
        <w:left w:val="single" w:color="000000" w:sz="4" w:space="0"/>
      </w:pBdr>
      <w:spacing w:before="100" w:beforeAutospacing="1" w:after="100" w:afterAutospacing="1"/>
      <w:jc w:val="center"/>
    </w:pPr>
    <w:rPr>
      <w:sz w:val="20"/>
      <w:szCs w:val="20"/>
    </w:rPr>
  </w:style>
  <w:style w:type="paragraph" w:customStyle="1" w:styleId="79">
    <w:name w:val="UserStyle_19"/>
    <w:basedOn w:val="1"/>
    <w:qFormat/>
    <w:uiPriority w:val="99"/>
    <w:pPr>
      <w:pBdr>
        <w:left w:val="single" w:color="000000" w:sz="4" w:space="0"/>
      </w:pBdr>
      <w:spacing w:before="100" w:beforeAutospacing="1" w:after="100" w:afterAutospacing="1"/>
      <w:jc w:val="center"/>
    </w:pPr>
    <w:rPr>
      <w:sz w:val="20"/>
      <w:szCs w:val="20"/>
    </w:rPr>
  </w:style>
  <w:style w:type="paragraph" w:customStyle="1" w:styleId="80">
    <w:name w:val="UserStyle_20"/>
    <w:basedOn w:val="1"/>
    <w:qFormat/>
    <w:uiPriority w:val="99"/>
    <w:pPr>
      <w:pBdr>
        <w:left w:val="single" w:color="000000" w:sz="4" w:space="0"/>
        <w:bottom w:val="single" w:color="000000" w:sz="4" w:space="0"/>
      </w:pBdr>
      <w:spacing w:before="100" w:beforeAutospacing="1" w:after="100" w:afterAutospacing="1"/>
      <w:jc w:val="center"/>
    </w:pPr>
    <w:rPr>
      <w:sz w:val="20"/>
      <w:szCs w:val="20"/>
    </w:rPr>
  </w:style>
  <w:style w:type="paragraph" w:customStyle="1" w:styleId="81">
    <w:name w:val="UserStyle_21"/>
    <w:basedOn w:val="1"/>
    <w:qFormat/>
    <w:uiPriority w:val="99"/>
    <w:pPr>
      <w:pBdr>
        <w:top w:val="single" w:color="000000" w:sz="4" w:space="0"/>
        <w:left w:val="single" w:color="000000" w:sz="4" w:space="0"/>
        <w:right w:val="single" w:color="000000" w:sz="4" w:space="0"/>
      </w:pBdr>
      <w:spacing w:before="100" w:beforeAutospacing="1" w:after="100" w:afterAutospacing="1"/>
      <w:jc w:val="center"/>
    </w:pPr>
    <w:rPr>
      <w:sz w:val="20"/>
      <w:szCs w:val="20"/>
    </w:rPr>
  </w:style>
  <w:style w:type="paragraph" w:customStyle="1" w:styleId="82">
    <w:name w:val="UserStyle_22"/>
    <w:basedOn w:val="1"/>
    <w:qFormat/>
    <w:uiPriority w:val="99"/>
    <w:pPr>
      <w:pBdr>
        <w:left w:val="single" w:color="000000" w:sz="4" w:space="0"/>
        <w:bottom w:val="single" w:color="000000" w:sz="4" w:space="0"/>
        <w:right w:val="single" w:color="000000" w:sz="4" w:space="0"/>
      </w:pBdr>
      <w:spacing w:before="100" w:beforeAutospacing="1" w:after="100" w:afterAutospacing="1"/>
      <w:jc w:val="center"/>
    </w:pPr>
    <w:rPr>
      <w:sz w:val="20"/>
      <w:szCs w:val="20"/>
    </w:rPr>
  </w:style>
  <w:style w:type="paragraph" w:customStyle="1" w:styleId="83">
    <w:name w:val="UserStyle_23"/>
    <w:basedOn w:val="1"/>
    <w:qFormat/>
    <w:uiPriority w:val="99"/>
    <w:pPr>
      <w:pBdr>
        <w:left w:val="single" w:color="000000" w:sz="4" w:space="0"/>
        <w:right w:val="single" w:color="000000" w:sz="4" w:space="0"/>
      </w:pBdr>
      <w:spacing w:before="100" w:beforeAutospacing="1" w:after="100" w:afterAutospacing="1"/>
      <w:jc w:val="center"/>
    </w:pPr>
    <w:rPr>
      <w:sz w:val="20"/>
      <w:szCs w:val="20"/>
    </w:rPr>
  </w:style>
  <w:style w:type="paragraph" w:customStyle="1" w:styleId="84">
    <w:name w:val="UserStyle_24"/>
    <w:basedOn w:val="1"/>
    <w:qFormat/>
    <w:uiPriority w:val="99"/>
    <w:pPr>
      <w:pBdr>
        <w:left w:val="single" w:color="000000" w:sz="4" w:space="0"/>
        <w:bottom w:val="single" w:color="000000" w:sz="4" w:space="0"/>
        <w:right w:val="single" w:color="000000" w:sz="4" w:space="0"/>
      </w:pBdr>
      <w:spacing w:before="100" w:beforeAutospacing="1" w:after="100" w:afterAutospacing="1"/>
      <w:jc w:val="center"/>
    </w:pPr>
    <w:rPr>
      <w:sz w:val="20"/>
      <w:szCs w:val="20"/>
    </w:rPr>
  </w:style>
  <w:style w:type="paragraph" w:customStyle="1" w:styleId="85">
    <w:name w:val="UserStyle_25"/>
    <w:basedOn w:val="1"/>
    <w:qFormat/>
    <w:uiPriority w:val="99"/>
    <w:pPr>
      <w:spacing w:before="100" w:beforeAutospacing="1" w:after="100" w:afterAutospacing="1"/>
      <w:jc w:val="center"/>
    </w:pPr>
  </w:style>
  <w:style w:type="paragraph" w:customStyle="1" w:styleId="86">
    <w:name w:val="UserStyle_26"/>
    <w:basedOn w:val="28"/>
    <w:link w:val="87"/>
    <w:qFormat/>
    <w:uiPriority w:val="99"/>
    <w:rPr>
      <w:rFonts w:ascii="黑体" w:hAnsi="黑体" w:eastAsia="黑体"/>
      <w:color w:val="auto"/>
      <w:sz w:val="32"/>
    </w:rPr>
  </w:style>
  <w:style w:type="character" w:customStyle="1" w:styleId="87">
    <w:name w:val="UserStyle_27"/>
    <w:link w:val="86"/>
    <w:qFormat/>
    <w:locked/>
    <w:uiPriority w:val="99"/>
    <w:rPr>
      <w:rFonts w:ascii="黑体" w:hAnsi="黑体" w:eastAsia="黑体"/>
      <w:sz w:val="32"/>
    </w:rPr>
  </w:style>
  <w:style w:type="paragraph" w:customStyle="1" w:styleId="88">
    <w:name w:val="UserStyle_28"/>
    <w:basedOn w:val="1"/>
    <w:qFormat/>
    <w:uiPriority w:val="99"/>
    <w:pPr>
      <w:spacing w:before="100" w:beforeAutospacing="1" w:after="100" w:afterAutospacing="1"/>
      <w:jc w:val="center"/>
    </w:pPr>
    <w:rPr>
      <w:sz w:val="20"/>
      <w:szCs w:val="20"/>
    </w:rPr>
  </w:style>
  <w:style w:type="paragraph" w:customStyle="1" w:styleId="89">
    <w:name w:val="UserStyle_29"/>
    <w:basedOn w:val="1"/>
    <w:qFormat/>
    <w:uiPriority w:val="99"/>
    <w:pPr>
      <w:spacing w:before="100" w:beforeAutospacing="1" w:after="100" w:afterAutospacing="1"/>
      <w:jc w:val="center"/>
    </w:pPr>
    <w:rPr>
      <w:sz w:val="20"/>
      <w:szCs w:val="20"/>
    </w:rPr>
  </w:style>
  <w:style w:type="paragraph" w:customStyle="1" w:styleId="90">
    <w:name w:val="UserStyle_30"/>
    <w:basedOn w:val="1"/>
    <w:link w:val="91"/>
    <w:qFormat/>
    <w:uiPriority w:val="99"/>
    <w:pPr>
      <w:ind w:firstLine="420" w:firstLineChars="200"/>
    </w:pPr>
    <w:rPr>
      <w:rFonts w:ascii="Times New Roman" w:hAnsi="Times New Roman"/>
      <w:szCs w:val="20"/>
    </w:rPr>
  </w:style>
  <w:style w:type="character" w:customStyle="1" w:styleId="91">
    <w:name w:val="UserStyle_31"/>
    <w:link w:val="90"/>
    <w:qFormat/>
    <w:locked/>
    <w:uiPriority w:val="99"/>
    <w:rPr>
      <w:rFonts w:ascii="Times New Roman" w:hAnsi="Times New Roman" w:eastAsia="宋体"/>
      <w:sz w:val="24"/>
    </w:rPr>
  </w:style>
  <w:style w:type="paragraph" w:customStyle="1" w:styleId="92">
    <w:name w:val="UserStyle_32"/>
    <w:basedOn w:val="1"/>
    <w:qFormat/>
    <w:uiPriority w:val="99"/>
    <w:pPr>
      <w:pBdr>
        <w:bottom w:val="single" w:color="000000" w:sz="4" w:space="0"/>
      </w:pBdr>
      <w:spacing w:before="100" w:beforeAutospacing="1" w:after="100" w:afterAutospacing="1"/>
      <w:jc w:val="center"/>
    </w:pPr>
    <w:rPr>
      <w:sz w:val="20"/>
      <w:szCs w:val="20"/>
    </w:rPr>
  </w:style>
  <w:style w:type="paragraph" w:customStyle="1" w:styleId="93">
    <w:name w:val="UserStyle_33"/>
    <w:basedOn w:val="1"/>
    <w:qFormat/>
    <w:uiPriority w:val="99"/>
    <w:pPr>
      <w:pBdr>
        <w:top w:val="single" w:color="000000" w:sz="4" w:space="0"/>
      </w:pBdr>
      <w:spacing w:before="100" w:beforeAutospacing="1" w:after="100" w:afterAutospacing="1"/>
      <w:jc w:val="center"/>
    </w:pPr>
    <w:rPr>
      <w:sz w:val="20"/>
      <w:szCs w:val="20"/>
    </w:rPr>
  </w:style>
  <w:style w:type="paragraph" w:customStyle="1" w:styleId="94">
    <w:name w:val="UserStyle_34"/>
    <w:semiHidden/>
    <w:qFormat/>
    <w:uiPriority w:val="99"/>
    <w:pPr>
      <w:spacing w:after="200" w:line="276" w:lineRule="auto"/>
      <w:textAlignment w:val="baseline"/>
    </w:pPr>
    <w:rPr>
      <w:rFonts w:ascii="Calibri" w:hAnsi="Calibri" w:eastAsia="宋体" w:cs="Times New Roman"/>
      <w:kern w:val="2"/>
      <w:sz w:val="21"/>
      <w:szCs w:val="22"/>
      <w:lang w:val="en-US" w:eastAsia="zh-CN" w:bidi="ar-SA"/>
    </w:rPr>
  </w:style>
  <w:style w:type="paragraph" w:customStyle="1" w:styleId="95">
    <w:name w:val="UserStyle_35"/>
    <w:basedOn w:val="1"/>
    <w:qFormat/>
    <w:uiPriority w:val="99"/>
    <w:pPr>
      <w:spacing w:before="100" w:beforeAutospacing="1" w:after="100" w:afterAutospacing="1"/>
      <w:jc w:val="center"/>
    </w:pPr>
    <w:rPr>
      <w:color w:val="FF0000"/>
    </w:rPr>
  </w:style>
  <w:style w:type="paragraph" w:customStyle="1" w:styleId="96">
    <w:name w:val="UserStyle_36"/>
    <w:basedOn w:val="1"/>
    <w:qFormat/>
    <w:uiPriority w:val="99"/>
    <w:pPr>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sz w:val="20"/>
      <w:szCs w:val="20"/>
    </w:rPr>
  </w:style>
  <w:style w:type="paragraph" w:customStyle="1" w:styleId="97">
    <w:name w:val="UserStyle_37"/>
    <w:basedOn w:val="1"/>
    <w:qFormat/>
    <w:uiPriority w:val="99"/>
    <w:pPr>
      <w:pBdr>
        <w:top w:val="single" w:color="000000" w:sz="4" w:space="0"/>
        <w:left w:val="single" w:color="000000" w:sz="4" w:space="0"/>
        <w:right w:val="single" w:color="000000" w:sz="4" w:space="0"/>
      </w:pBdr>
      <w:shd w:val="clear" w:color="auto" w:fill="A6A6A6"/>
      <w:spacing w:before="100" w:beforeAutospacing="1" w:after="100" w:afterAutospacing="1"/>
      <w:jc w:val="center"/>
    </w:pPr>
    <w:rPr>
      <w:rFonts w:cs="宋体"/>
      <w:sz w:val="20"/>
      <w:szCs w:val="20"/>
    </w:rPr>
  </w:style>
  <w:style w:type="paragraph" w:customStyle="1" w:styleId="98">
    <w:name w:val="UserStyle_38"/>
    <w:basedOn w:val="1"/>
    <w:qFormat/>
    <w:uiPriority w:val="99"/>
    <w:pPr>
      <w:pBdr>
        <w:top w:val="single" w:color="000000" w:sz="4" w:space="0"/>
        <w:left w:val="single" w:color="000000" w:sz="4" w:space="0"/>
        <w:right w:val="single" w:color="000000" w:sz="4" w:space="0"/>
      </w:pBdr>
      <w:spacing w:before="100" w:beforeAutospacing="1" w:after="100" w:afterAutospacing="1"/>
      <w:jc w:val="center"/>
    </w:pPr>
    <w:rPr>
      <w:sz w:val="20"/>
      <w:szCs w:val="20"/>
    </w:rPr>
  </w:style>
  <w:style w:type="paragraph" w:customStyle="1" w:styleId="99">
    <w:name w:val="UserStyle_39"/>
    <w:basedOn w:val="27"/>
    <w:link w:val="100"/>
    <w:qFormat/>
    <w:uiPriority w:val="99"/>
    <w:pPr>
      <w:ind w:firstLine="200"/>
    </w:pPr>
    <w:rPr>
      <w:b/>
      <w:color w:val="auto"/>
      <w:sz w:val="32"/>
      <w:szCs w:val="20"/>
    </w:rPr>
  </w:style>
  <w:style w:type="character" w:customStyle="1" w:styleId="100">
    <w:name w:val="UserStyle_40"/>
    <w:link w:val="99"/>
    <w:qFormat/>
    <w:locked/>
    <w:uiPriority w:val="99"/>
    <w:rPr>
      <w:rFonts w:ascii="Times New Roman" w:hAnsi="Times New Roman" w:eastAsia="仿宋_GB2312"/>
      <w:b/>
      <w:kern w:val="0"/>
      <w:sz w:val="32"/>
    </w:rPr>
  </w:style>
  <w:style w:type="paragraph" w:customStyle="1" w:styleId="101">
    <w:name w:val="UserStyle_41"/>
    <w:basedOn w:val="26"/>
    <w:next w:val="1"/>
    <w:qFormat/>
    <w:uiPriority w:val="99"/>
    <w:pPr>
      <w:spacing w:before="240" w:line="259" w:lineRule="auto"/>
    </w:pPr>
    <w:rPr>
      <w:rFonts w:ascii="Calibri Light" w:hAnsi="Calibri Light"/>
      <w:color w:val="2E74B5"/>
      <w:szCs w:val="32"/>
    </w:rPr>
  </w:style>
  <w:style w:type="paragraph" w:customStyle="1" w:styleId="102">
    <w:name w:val="UserStyle_42"/>
    <w:basedOn w:val="1"/>
    <w:qFormat/>
    <w:uiPriority w:val="99"/>
    <w:pPr>
      <w:pBdr>
        <w:left w:val="single" w:color="000000" w:sz="4" w:space="0"/>
      </w:pBdr>
      <w:spacing w:before="100" w:beforeAutospacing="1" w:after="100" w:afterAutospacing="1"/>
      <w:jc w:val="center"/>
    </w:pPr>
    <w:rPr>
      <w:sz w:val="20"/>
      <w:szCs w:val="20"/>
    </w:rPr>
  </w:style>
  <w:style w:type="paragraph" w:customStyle="1" w:styleId="103">
    <w:name w:val="UserStyle_43"/>
    <w:basedOn w:val="1"/>
    <w:qFormat/>
    <w:uiPriority w:val="99"/>
    <w:pPr>
      <w:pBdr>
        <w:right w:val="single" w:color="000000" w:sz="4" w:space="0"/>
      </w:pBdr>
      <w:spacing w:before="100" w:beforeAutospacing="1" w:after="100" w:afterAutospacing="1"/>
      <w:jc w:val="center"/>
    </w:pPr>
    <w:rPr>
      <w:sz w:val="20"/>
      <w:szCs w:val="20"/>
    </w:rPr>
  </w:style>
  <w:style w:type="paragraph" w:customStyle="1" w:styleId="104">
    <w:name w:val="UserStyle_44"/>
    <w:basedOn w:val="1"/>
    <w:qFormat/>
    <w:uiPriority w:val="99"/>
    <w:pPr>
      <w:pBdr>
        <w:bottom w:val="single" w:color="000000" w:sz="4" w:space="0"/>
        <w:right w:val="single" w:color="000000" w:sz="4" w:space="0"/>
      </w:pBdr>
      <w:spacing w:before="100" w:beforeAutospacing="1" w:after="100" w:afterAutospacing="1"/>
      <w:jc w:val="center"/>
    </w:pPr>
    <w:rPr>
      <w:sz w:val="20"/>
      <w:szCs w:val="20"/>
    </w:rPr>
  </w:style>
  <w:style w:type="paragraph" w:customStyle="1" w:styleId="105">
    <w:name w:val="UserStyle_45"/>
    <w:basedOn w:val="1"/>
    <w:next w:val="1"/>
    <w:link w:val="106"/>
    <w:qFormat/>
    <w:uiPriority w:val="99"/>
    <w:pPr>
      <w:spacing w:line="360" w:lineRule="auto"/>
      <w:jc w:val="center"/>
    </w:pPr>
    <w:rPr>
      <w:rFonts w:ascii="Times New Roman" w:hAnsi="Times New Roman" w:eastAsia="黑体"/>
      <w:sz w:val="28"/>
      <w:szCs w:val="20"/>
    </w:rPr>
  </w:style>
  <w:style w:type="character" w:customStyle="1" w:styleId="106">
    <w:name w:val="UserStyle_46"/>
    <w:link w:val="105"/>
    <w:qFormat/>
    <w:locked/>
    <w:uiPriority w:val="99"/>
    <w:rPr>
      <w:rFonts w:eastAsia="黑体"/>
      <w:sz w:val="28"/>
    </w:rPr>
  </w:style>
  <w:style w:type="paragraph" w:customStyle="1" w:styleId="107">
    <w:name w:val="UserStyle_47"/>
    <w:basedOn w:val="1"/>
    <w:qFormat/>
    <w:uiPriority w:val="99"/>
    <w:pPr>
      <w:pBdr>
        <w:left w:val="single" w:color="000000" w:sz="4" w:space="0"/>
        <w:right w:val="single" w:color="000000" w:sz="4" w:space="0"/>
      </w:pBdr>
      <w:spacing w:before="100" w:beforeAutospacing="1" w:after="100" w:afterAutospacing="1"/>
      <w:jc w:val="center"/>
    </w:pPr>
    <w:rPr>
      <w:sz w:val="20"/>
      <w:szCs w:val="20"/>
    </w:rPr>
  </w:style>
  <w:style w:type="paragraph" w:customStyle="1" w:styleId="108">
    <w:name w:val="UserStyle_48"/>
    <w:basedOn w:val="1"/>
    <w:qFormat/>
    <w:uiPriority w:val="99"/>
    <w:pPr>
      <w:pBdr>
        <w:top w:val="single" w:color="000000" w:sz="4" w:space="0"/>
        <w:left w:val="single" w:color="000000" w:sz="4" w:space="0"/>
      </w:pBdr>
      <w:spacing w:before="100" w:beforeAutospacing="1" w:after="100" w:afterAutospacing="1"/>
      <w:jc w:val="center"/>
    </w:pPr>
    <w:rPr>
      <w:sz w:val="20"/>
      <w:szCs w:val="20"/>
    </w:rPr>
  </w:style>
  <w:style w:type="paragraph" w:customStyle="1" w:styleId="109">
    <w:name w:val="UserStyle_49"/>
    <w:basedOn w:val="1"/>
    <w:qFormat/>
    <w:uiPriority w:val="99"/>
    <w:pPr>
      <w:pBdr>
        <w:left w:val="single" w:color="000000" w:sz="4" w:space="0"/>
        <w:bottom w:val="single" w:color="000000" w:sz="4" w:space="0"/>
        <w:right w:val="single" w:color="000000" w:sz="4" w:space="0"/>
      </w:pBdr>
      <w:spacing w:before="100" w:beforeAutospacing="1" w:after="100" w:afterAutospacing="1"/>
      <w:jc w:val="center"/>
    </w:pPr>
    <w:rPr>
      <w:sz w:val="20"/>
      <w:szCs w:val="20"/>
    </w:rPr>
  </w:style>
  <w:style w:type="paragraph" w:customStyle="1" w:styleId="110">
    <w:name w:val="UserStyle_50"/>
    <w:basedOn w:val="1"/>
    <w:qFormat/>
    <w:uiPriority w:val="99"/>
    <w:pPr>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sz w:val="20"/>
      <w:szCs w:val="20"/>
    </w:rPr>
  </w:style>
  <w:style w:type="paragraph" w:customStyle="1" w:styleId="111">
    <w:name w:val="UserStyle_51"/>
    <w:basedOn w:val="1"/>
    <w:qFormat/>
    <w:uiPriority w:val="99"/>
    <w:pPr>
      <w:pBdr>
        <w:top w:val="single" w:color="000000" w:sz="4" w:space="0"/>
        <w:right w:val="single" w:color="000000" w:sz="4" w:space="0"/>
      </w:pBdr>
      <w:spacing w:before="100" w:beforeAutospacing="1" w:after="100" w:afterAutospacing="1"/>
      <w:jc w:val="center"/>
    </w:pPr>
    <w:rPr>
      <w:sz w:val="20"/>
      <w:szCs w:val="20"/>
    </w:rPr>
  </w:style>
  <w:style w:type="paragraph" w:customStyle="1" w:styleId="112">
    <w:name w:val="UserStyle_52"/>
    <w:basedOn w:val="1"/>
    <w:qFormat/>
    <w:uiPriority w:val="99"/>
    <w:pPr>
      <w:pBdr>
        <w:top w:val="single" w:color="000000" w:sz="4" w:space="0"/>
        <w:left w:val="single" w:color="000000" w:sz="4" w:space="0"/>
        <w:right w:val="single" w:color="000000" w:sz="4" w:space="0"/>
      </w:pBdr>
      <w:spacing w:before="100" w:beforeAutospacing="1" w:after="100" w:afterAutospacing="1"/>
      <w:jc w:val="center"/>
    </w:pPr>
    <w:rPr>
      <w:sz w:val="20"/>
      <w:szCs w:val="20"/>
    </w:rPr>
  </w:style>
  <w:style w:type="paragraph" w:customStyle="1" w:styleId="113">
    <w:name w:val="UserStyle_53"/>
    <w:link w:val="114"/>
    <w:qFormat/>
    <w:uiPriority w:val="99"/>
    <w:pPr>
      <w:spacing w:after="200" w:line="500" w:lineRule="exact"/>
      <w:ind w:firstLine="200" w:firstLineChars="200"/>
      <w:jc w:val="both"/>
      <w:textAlignment w:val="baseline"/>
    </w:pPr>
    <w:rPr>
      <w:rFonts w:ascii="Times New Roman" w:hAnsi="Times New Roman" w:eastAsia="仿宋_GB2312" w:cs="Times New Roman"/>
      <w:kern w:val="2"/>
      <w:sz w:val="22"/>
      <w:lang w:val="en-US" w:eastAsia="zh-CN" w:bidi="ar-SA"/>
    </w:rPr>
  </w:style>
  <w:style w:type="character" w:customStyle="1" w:styleId="114">
    <w:name w:val="UserStyle_54"/>
    <w:link w:val="113"/>
    <w:qFormat/>
    <w:locked/>
    <w:uiPriority w:val="99"/>
    <w:rPr>
      <w:rFonts w:eastAsia="仿宋_GB2312"/>
      <w:kern w:val="2"/>
      <w:sz w:val="22"/>
      <w:lang w:val="en-US" w:eastAsia="zh-CN"/>
    </w:rPr>
  </w:style>
  <w:style w:type="paragraph" w:customStyle="1" w:styleId="115">
    <w:name w:val="UserStyle_55"/>
    <w:basedOn w:val="1"/>
    <w:qFormat/>
    <w:uiPriority w:val="99"/>
    <w:pPr>
      <w:pBdr>
        <w:left w:val="single" w:color="000000" w:sz="4" w:space="0"/>
        <w:right w:val="single" w:color="000000" w:sz="4" w:space="0"/>
      </w:pBdr>
      <w:spacing w:before="100" w:beforeAutospacing="1" w:after="100" w:afterAutospacing="1"/>
      <w:jc w:val="center"/>
    </w:pPr>
    <w:rPr>
      <w:sz w:val="20"/>
      <w:szCs w:val="20"/>
    </w:rPr>
  </w:style>
  <w:style w:type="paragraph" w:customStyle="1" w:styleId="116">
    <w:name w:val="UserStyle_56"/>
    <w:basedOn w:val="1"/>
    <w:link w:val="117"/>
    <w:qFormat/>
    <w:uiPriority w:val="99"/>
    <w:pPr>
      <w:spacing w:line="500" w:lineRule="exact"/>
      <w:ind w:firstLine="800" w:firstLineChars="200"/>
      <w:jc w:val="both"/>
    </w:pPr>
    <w:rPr>
      <w:rFonts w:ascii="Times New Roman" w:hAnsi="Times New Roman" w:eastAsia="仿宋_GB2312"/>
      <w:sz w:val="28"/>
      <w:szCs w:val="20"/>
    </w:rPr>
  </w:style>
  <w:style w:type="character" w:customStyle="1" w:styleId="117">
    <w:name w:val="UserStyle_57"/>
    <w:link w:val="116"/>
    <w:qFormat/>
    <w:locked/>
    <w:uiPriority w:val="99"/>
    <w:rPr>
      <w:rFonts w:ascii="Times New Roman" w:hAnsi="Times New Roman" w:eastAsia="仿宋_GB2312"/>
      <w:kern w:val="0"/>
      <w:sz w:val="28"/>
    </w:rPr>
  </w:style>
  <w:style w:type="paragraph" w:customStyle="1" w:styleId="118">
    <w:name w:val="UserStyle_58"/>
    <w:basedOn w:val="1"/>
    <w:qFormat/>
    <w:uiPriority w:val="99"/>
    <w:pPr>
      <w:spacing w:before="100" w:beforeAutospacing="1" w:after="100" w:afterAutospacing="1"/>
    </w:pPr>
    <w:rPr>
      <w:sz w:val="18"/>
      <w:szCs w:val="18"/>
    </w:rPr>
  </w:style>
  <w:style w:type="paragraph" w:customStyle="1" w:styleId="119">
    <w:name w:val="UserStyle_59"/>
    <w:basedOn w:val="1"/>
    <w:qFormat/>
    <w:uiPriority w:val="99"/>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sz w:val="20"/>
      <w:szCs w:val="20"/>
    </w:rPr>
  </w:style>
  <w:style w:type="paragraph" w:customStyle="1" w:styleId="120">
    <w:name w:val="UserStyle_60"/>
    <w:basedOn w:val="1"/>
    <w:qFormat/>
    <w:uiPriority w:val="99"/>
    <w:pPr>
      <w:pBdr>
        <w:top w:val="single" w:color="000000" w:sz="4" w:space="0"/>
        <w:left w:val="single" w:color="000000" w:sz="4" w:space="0"/>
        <w:bottom w:val="single" w:color="000000" w:sz="4" w:space="0"/>
        <w:right w:val="single" w:color="000000" w:sz="4" w:space="0"/>
      </w:pBdr>
      <w:shd w:val="clear" w:color="auto" w:fill="A6A6A6"/>
      <w:spacing w:before="100" w:beforeAutospacing="1" w:after="100" w:afterAutospacing="1"/>
      <w:jc w:val="center"/>
    </w:pPr>
    <w:rPr>
      <w:rFonts w:cs="宋体"/>
      <w:sz w:val="20"/>
      <w:szCs w:val="20"/>
    </w:rPr>
  </w:style>
  <w:style w:type="paragraph" w:customStyle="1" w:styleId="121">
    <w:name w:val="UserStyle_61"/>
    <w:basedOn w:val="1"/>
    <w:qFormat/>
    <w:uiPriority w:val="99"/>
    <w:pPr>
      <w:pBdr>
        <w:left w:val="single" w:color="000000" w:sz="4" w:space="0"/>
        <w:bottom w:val="single" w:color="000000" w:sz="4" w:space="0"/>
      </w:pBdr>
      <w:spacing w:before="100" w:beforeAutospacing="1" w:after="100" w:afterAutospacing="1"/>
      <w:jc w:val="center"/>
    </w:pPr>
    <w:rPr>
      <w:sz w:val="20"/>
      <w:szCs w:val="20"/>
    </w:rPr>
  </w:style>
  <w:style w:type="paragraph" w:customStyle="1" w:styleId="122">
    <w:name w:val="UserStyle_62"/>
    <w:basedOn w:val="1"/>
    <w:qFormat/>
    <w:uiPriority w:val="99"/>
    <w:pPr>
      <w:spacing w:before="100" w:beforeAutospacing="1" w:after="100" w:afterAutospacing="1"/>
      <w:jc w:val="center"/>
    </w:pPr>
  </w:style>
  <w:style w:type="paragraph" w:customStyle="1" w:styleId="123">
    <w:name w:val="UserStyle_63"/>
    <w:basedOn w:val="1"/>
    <w:qFormat/>
    <w:uiPriority w:val="99"/>
    <w:pPr>
      <w:spacing w:line="360" w:lineRule="auto"/>
      <w:ind w:firstLine="420" w:firstLineChars="200"/>
    </w:pPr>
  </w:style>
  <w:style w:type="character" w:customStyle="1" w:styleId="124">
    <w:name w:val="UserStyle_64"/>
    <w:qFormat/>
    <w:uiPriority w:val="99"/>
  </w:style>
  <w:style w:type="character" w:customStyle="1" w:styleId="125">
    <w:name w:val="UserStyle_65"/>
    <w:qFormat/>
    <w:uiPriority w:val="99"/>
  </w:style>
  <w:style w:type="character" w:customStyle="1" w:styleId="126">
    <w:name w:val="UserStyle_66"/>
    <w:qFormat/>
    <w:uiPriority w:val="99"/>
  </w:style>
  <w:style w:type="character" w:customStyle="1" w:styleId="127">
    <w:name w:val="UserStyle_67"/>
    <w:semiHidden/>
    <w:qFormat/>
    <w:uiPriority w:val="99"/>
    <w:rPr>
      <w:rFonts w:ascii="Times New Roman" w:hAnsi="Times New Roman" w:eastAsia="宋体"/>
      <w:sz w:val="24"/>
    </w:rPr>
  </w:style>
  <w:style w:type="paragraph" w:customStyle="1" w:styleId="128">
    <w:name w:val="UserStyle_68"/>
    <w:basedOn w:val="1"/>
    <w:qFormat/>
    <w:uiPriority w:val="99"/>
    <w:pPr>
      <w:ind w:firstLine="420" w:firstLineChars="200"/>
    </w:pPr>
  </w:style>
  <w:style w:type="character" w:customStyle="1" w:styleId="129">
    <w:name w:val="UserStyle_69"/>
    <w:qFormat/>
    <w:uiPriority w:val="99"/>
    <w:rPr>
      <w:rFonts w:ascii="仿宋_GB2312" w:eastAsia="仿宋_GB2312"/>
      <w:b/>
      <w:color w:val="000000"/>
      <w:sz w:val="22"/>
    </w:rPr>
  </w:style>
  <w:style w:type="character" w:customStyle="1" w:styleId="130">
    <w:name w:val="UserStyle_70"/>
    <w:qFormat/>
    <w:uiPriority w:val="99"/>
    <w:rPr>
      <w:rFonts w:ascii="仿宋_GB2312" w:eastAsia="仿宋_GB2312"/>
      <w:color w:val="000000"/>
      <w:sz w:val="22"/>
    </w:rPr>
  </w:style>
  <w:style w:type="character" w:customStyle="1" w:styleId="131">
    <w:name w:val="UserStyle_71"/>
    <w:qFormat/>
    <w:uiPriority w:val="99"/>
    <w:rPr>
      <w:rFonts w:ascii="Times New Roman" w:hAnsi="Times New Roman"/>
      <w:color w:val="000000"/>
      <w:sz w:val="22"/>
    </w:rPr>
  </w:style>
  <w:style w:type="character" w:customStyle="1" w:styleId="132">
    <w:name w:val="UserStyle_72"/>
    <w:qFormat/>
    <w:uiPriority w:val="99"/>
    <w:rPr>
      <w:rFonts w:ascii="仿宋_GB2312" w:eastAsia="仿宋_GB2312"/>
      <w:color w:val="000000"/>
      <w:sz w:val="24"/>
    </w:rPr>
  </w:style>
  <w:style w:type="character" w:customStyle="1" w:styleId="133">
    <w:name w:val="UserStyle_73"/>
    <w:qFormat/>
    <w:uiPriority w:val="99"/>
    <w:rPr>
      <w:rFonts w:ascii="Times New Roman" w:hAnsi="Times New Roman"/>
      <w:color w:val="000000"/>
      <w:sz w:val="24"/>
    </w:rPr>
  </w:style>
  <w:style w:type="character" w:customStyle="1" w:styleId="134">
    <w:name w:val="UserStyle_74"/>
    <w:qFormat/>
    <w:uiPriority w:val="99"/>
    <w:rPr>
      <w:rFonts w:ascii="仿宋_GB2312" w:eastAsia="仿宋_GB2312"/>
      <w:color w:val="000000"/>
      <w:sz w:val="22"/>
    </w:rPr>
  </w:style>
  <w:style w:type="character" w:customStyle="1" w:styleId="135">
    <w:name w:val="UserStyle_75"/>
    <w:qFormat/>
    <w:uiPriority w:val="99"/>
    <w:rPr>
      <w:rFonts w:ascii="Times New Roman" w:hAnsi="Times New Roman"/>
      <w:color w:val="000000"/>
      <w:sz w:val="22"/>
    </w:rPr>
  </w:style>
  <w:style w:type="character" w:customStyle="1" w:styleId="136">
    <w:name w:val="UserStyle_76"/>
    <w:qFormat/>
    <w:uiPriority w:val="99"/>
    <w:rPr>
      <w:rFonts w:ascii="Times New Roman" w:hAnsi="Times New Roman"/>
      <w:color w:val="000000"/>
      <w:sz w:val="22"/>
      <w:vertAlign w:val="subscript"/>
    </w:rPr>
  </w:style>
  <w:style w:type="character" w:customStyle="1" w:styleId="137">
    <w:name w:val="UserStyle_77"/>
    <w:qFormat/>
    <w:uiPriority w:val="99"/>
    <w:rPr>
      <w:rFonts w:ascii="宋体" w:hAnsi="宋体" w:eastAsia="宋体"/>
      <w:color w:val="000000"/>
      <w:sz w:val="22"/>
    </w:rPr>
  </w:style>
  <w:style w:type="character" w:customStyle="1" w:styleId="138">
    <w:name w:val="UserStyle_78"/>
    <w:qFormat/>
    <w:uiPriority w:val="99"/>
    <w:rPr>
      <w:rFonts w:ascii="宋体" w:hAnsi="宋体" w:eastAsia="宋体"/>
      <w:color w:val="000000"/>
      <w:sz w:val="22"/>
    </w:rPr>
  </w:style>
  <w:style w:type="character" w:customStyle="1" w:styleId="139">
    <w:name w:val="UserStyle_79"/>
    <w:qFormat/>
    <w:uiPriority w:val="99"/>
    <w:rPr>
      <w:rFonts w:ascii="Times New Roman" w:hAnsi="Times New Roman"/>
      <w:color w:val="000000"/>
      <w:sz w:val="22"/>
    </w:rPr>
  </w:style>
  <w:style w:type="character" w:customStyle="1" w:styleId="140">
    <w:name w:val="UserStyle_80"/>
    <w:qFormat/>
    <w:uiPriority w:val="99"/>
    <w:rPr>
      <w:rFonts w:ascii="仿宋_GB2312" w:eastAsia="仿宋_GB2312"/>
      <w:b/>
      <w:color w:val="000000"/>
      <w:sz w:val="20"/>
    </w:rPr>
  </w:style>
  <w:style w:type="character" w:customStyle="1" w:styleId="141">
    <w:name w:val="UserStyle_81"/>
    <w:qFormat/>
    <w:uiPriority w:val="99"/>
    <w:rPr>
      <w:rFonts w:ascii="Times New Roman" w:hAnsi="Times New Roman"/>
      <w:color w:val="000000"/>
      <w:sz w:val="20"/>
    </w:rPr>
  </w:style>
  <w:style w:type="character" w:customStyle="1" w:styleId="142">
    <w:name w:val="UserStyle_82"/>
    <w:qFormat/>
    <w:uiPriority w:val="99"/>
    <w:rPr>
      <w:rFonts w:ascii="仿宋_GB2312" w:eastAsia="仿宋_GB2312"/>
      <w:color w:val="000000"/>
      <w:sz w:val="20"/>
    </w:rPr>
  </w:style>
  <w:style w:type="character" w:customStyle="1" w:styleId="143">
    <w:name w:val="UserStyle_83"/>
    <w:qFormat/>
    <w:uiPriority w:val="99"/>
    <w:rPr>
      <w:rFonts w:ascii="仿宋_GB2312" w:eastAsia="仿宋_GB2312"/>
      <w:color w:val="000000"/>
      <w:sz w:val="20"/>
    </w:rPr>
  </w:style>
  <w:style w:type="paragraph" w:customStyle="1" w:styleId="144">
    <w:name w:val="UserStyle_84"/>
    <w:basedOn w:val="1"/>
    <w:qFormat/>
    <w:uiPriority w:val="99"/>
    <w:pPr>
      <w:spacing w:before="100" w:beforeAutospacing="1" w:after="100" w:afterAutospacing="1"/>
    </w:pPr>
  </w:style>
  <w:style w:type="paragraph" w:customStyle="1" w:styleId="145">
    <w:name w:val="UserStyle_85"/>
    <w:basedOn w:val="1"/>
    <w:qFormat/>
    <w:uiPriority w:val="99"/>
    <w:pPr>
      <w:ind w:firstLine="420"/>
    </w:pPr>
  </w:style>
  <w:style w:type="paragraph" w:customStyle="1" w:styleId="146">
    <w:name w:val="UserStyle_86"/>
    <w:qFormat/>
    <w:uiPriority w:val="99"/>
    <w:pPr>
      <w:textAlignment w:val="baseline"/>
    </w:pPr>
    <w:rPr>
      <w:rFonts w:ascii="Calibri" w:hAnsi="Calibri" w:eastAsia="宋体" w:cs="Times New Roman"/>
      <w:sz w:val="22"/>
      <w:szCs w:val="22"/>
      <w:lang w:val="en-US" w:eastAsia="zh-CN" w:bidi="ar-SA"/>
    </w:rPr>
  </w:style>
  <w:style w:type="paragraph" w:customStyle="1" w:styleId="147">
    <w:name w:val="UserStyle_87"/>
    <w:basedOn w:val="1"/>
    <w:next w:val="1"/>
    <w:link w:val="148"/>
    <w:qFormat/>
    <w:uiPriority w:val="99"/>
    <w:rPr>
      <w:rFonts w:ascii="Times New Roman" w:hAnsi="Times New Roman"/>
      <w:i/>
      <w:color w:val="000000"/>
      <w:sz w:val="20"/>
      <w:szCs w:val="20"/>
    </w:rPr>
  </w:style>
  <w:style w:type="character" w:customStyle="1" w:styleId="148">
    <w:name w:val="UserStyle_88"/>
    <w:link w:val="147"/>
    <w:qFormat/>
    <w:locked/>
    <w:uiPriority w:val="99"/>
    <w:rPr>
      <w:i/>
      <w:color w:val="000000"/>
    </w:rPr>
  </w:style>
  <w:style w:type="paragraph" w:customStyle="1" w:styleId="149">
    <w:name w:val="UserStyle_89"/>
    <w:basedOn w:val="1"/>
    <w:next w:val="1"/>
    <w:link w:val="150"/>
    <w:qFormat/>
    <w:uiPriority w:val="99"/>
    <w:pPr>
      <w:pBdr>
        <w:bottom w:val="single" w:color="4F81BD" w:sz="4" w:space="0"/>
      </w:pBdr>
      <w:spacing w:before="200" w:after="280"/>
      <w:ind w:left="936" w:right="936"/>
    </w:pPr>
    <w:rPr>
      <w:rFonts w:ascii="Times New Roman" w:hAnsi="Times New Roman"/>
      <w:b/>
      <w:i/>
      <w:color w:val="4F81BD"/>
      <w:sz w:val="20"/>
      <w:szCs w:val="20"/>
    </w:rPr>
  </w:style>
  <w:style w:type="character" w:customStyle="1" w:styleId="150">
    <w:name w:val="UserStyle_90"/>
    <w:link w:val="149"/>
    <w:qFormat/>
    <w:locked/>
    <w:uiPriority w:val="99"/>
    <w:rPr>
      <w:b/>
      <w:i/>
      <w:color w:val="4F81BD"/>
    </w:rPr>
  </w:style>
  <w:style w:type="character" w:customStyle="1" w:styleId="151">
    <w:name w:val="UserStyle_91"/>
    <w:qFormat/>
    <w:uiPriority w:val="99"/>
    <w:rPr>
      <w:i/>
      <w:color w:val="7F7F7F"/>
    </w:rPr>
  </w:style>
  <w:style w:type="character" w:customStyle="1" w:styleId="152">
    <w:name w:val="UserStyle_92"/>
    <w:qFormat/>
    <w:uiPriority w:val="99"/>
    <w:rPr>
      <w:b/>
      <w:i/>
      <w:color w:val="4F81BD"/>
    </w:rPr>
  </w:style>
  <w:style w:type="character" w:customStyle="1" w:styleId="153">
    <w:name w:val="UserStyle_93"/>
    <w:qFormat/>
    <w:uiPriority w:val="99"/>
    <w:rPr>
      <w:smallCaps/>
      <w:color w:val="C0504D"/>
      <w:u w:val="single"/>
    </w:rPr>
  </w:style>
  <w:style w:type="character" w:customStyle="1" w:styleId="154">
    <w:name w:val="UserStyle_94"/>
    <w:qFormat/>
    <w:uiPriority w:val="99"/>
    <w:rPr>
      <w:b/>
      <w:smallCaps/>
      <w:color w:val="C0504D"/>
      <w:spacing w:val="5"/>
      <w:u w:val="single"/>
    </w:rPr>
  </w:style>
  <w:style w:type="character" w:customStyle="1" w:styleId="155">
    <w:name w:val="UserStyle_95"/>
    <w:qFormat/>
    <w:uiPriority w:val="99"/>
    <w:rPr>
      <w:b/>
      <w:smallCaps/>
      <w:spacing w:val="5"/>
    </w:rPr>
  </w:style>
  <w:style w:type="paragraph" w:customStyle="1" w:styleId="156">
    <w:name w:val="UserStyle_96"/>
    <w:basedOn w:val="26"/>
    <w:next w:val="1"/>
    <w:qFormat/>
    <w:uiPriority w:val="99"/>
  </w:style>
  <w:style w:type="paragraph" w:customStyle="1" w:styleId="157">
    <w:name w:val="UserStyle_97"/>
    <w:basedOn w:val="1"/>
    <w:qFormat/>
    <w:uiPriority w:val="99"/>
    <w:pPr>
      <w:spacing w:after="160" w:line="240" w:lineRule="exact"/>
    </w:pPr>
    <w:rPr>
      <w:rFonts w:ascii="Verdana" w:hAnsi="Verdana"/>
      <w:sz w:val="20"/>
      <w:szCs w:val="20"/>
      <w:lang w:eastAsia="en-US"/>
    </w:rPr>
  </w:style>
  <w:style w:type="character" w:customStyle="1" w:styleId="158">
    <w:name w:val="UserStyle_98"/>
    <w:qFormat/>
    <w:uiPriority w:val="99"/>
    <w:rPr>
      <w:rFonts w:ascii="仿宋_GB2312" w:eastAsia="仿宋_GB2312"/>
      <w:b/>
      <w:color w:val="000000"/>
      <w:sz w:val="22"/>
    </w:rPr>
  </w:style>
  <w:style w:type="character" w:customStyle="1" w:styleId="159">
    <w:name w:val="UserStyle_99"/>
    <w:qFormat/>
    <w:uiPriority w:val="99"/>
    <w:rPr>
      <w:rFonts w:ascii="宋体" w:hAnsi="宋体" w:eastAsia="宋体"/>
      <w:color w:val="000000"/>
      <w:sz w:val="22"/>
    </w:rPr>
  </w:style>
  <w:style w:type="character" w:customStyle="1" w:styleId="160">
    <w:name w:val="UserStyle_100"/>
    <w:qFormat/>
    <w:uiPriority w:val="99"/>
    <w:rPr>
      <w:rFonts w:ascii="仿宋_GB2312" w:eastAsia="仿宋_GB2312"/>
      <w:color w:val="000000"/>
      <w:sz w:val="22"/>
    </w:rPr>
  </w:style>
  <w:style w:type="character" w:customStyle="1" w:styleId="161">
    <w:name w:val="UserStyle_101"/>
    <w:qFormat/>
    <w:uiPriority w:val="99"/>
    <w:rPr>
      <w:rFonts w:ascii="仿宋_GB2312" w:eastAsia="仿宋_GB2312"/>
      <w:color w:val="000000"/>
      <w:sz w:val="22"/>
    </w:rPr>
  </w:style>
  <w:style w:type="paragraph" w:customStyle="1" w:styleId="162">
    <w:name w:val="UserStyle_102"/>
    <w:basedOn w:val="40"/>
    <w:qFormat/>
    <w:uiPriority w:val="99"/>
    <w:pPr>
      <w:shd w:val="clear" w:color="auto" w:fill="000080"/>
      <w:spacing w:line="436" w:lineRule="exact"/>
      <w:ind w:left="357"/>
    </w:pPr>
    <w:rPr>
      <w:rFonts w:ascii="Tahoma" w:hAnsi="Tahoma" w:eastAsia="宋体"/>
      <w:kern w:val="2"/>
      <w:sz w:val="24"/>
      <w:szCs w:val="24"/>
    </w:rPr>
  </w:style>
  <w:style w:type="paragraph" w:customStyle="1" w:styleId="163">
    <w:name w:val="UserStyle_103"/>
    <w:basedOn w:val="1"/>
    <w:qFormat/>
    <w:uiPriority w:val="99"/>
    <w:pPr>
      <w:ind w:firstLine="420" w:firstLineChars="200"/>
    </w:pPr>
  </w:style>
  <w:style w:type="paragraph" w:customStyle="1" w:styleId="164">
    <w:name w:val="UserStyle_104"/>
    <w:qFormat/>
    <w:uiPriority w:val="99"/>
    <w:pPr>
      <w:snapToGrid w:val="0"/>
      <w:textAlignment w:val="baseline"/>
    </w:pPr>
    <w:rPr>
      <w:rFonts w:ascii="Tahoma" w:hAnsi="Tahoma" w:eastAsia="微软雅黑" w:cs="Times New Roman"/>
      <w:sz w:val="22"/>
      <w:szCs w:val="22"/>
      <w:lang w:val="en-US" w:eastAsia="zh-CN" w:bidi="ar-SA"/>
    </w:rPr>
  </w:style>
  <w:style w:type="paragraph" w:customStyle="1" w:styleId="165">
    <w:name w:val="UserStyle_105"/>
    <w:basedOn w:val="1"/>
    <w:next w:val="1"/>
    <w:link w:val="166"/>
    <w:qFormat/>
    <w:uiPriority w:val="99"/>
    <w:pPr>
      <w:spacing w:line="560" w:lineRule="exact"/>
      <w:ind w:firstLine="200" w:firstLineChars="200"/>
      <w:jc w:val="both"/>
    </w:pPr>
    <w:rPr>
      <w:rFonts w:eastAsia="仿宋"/>
      <w:sz w:val="28"/>
      <w:szCs w:val="20"/>
    </w:rPr>
  </w:style>
  <w:style w:type="character" w:customStyle="1" w:styleId="166">
    <w:name w:val="UserStyle_106"/>
    <w:link w:val="165"/>
    <w:qFormat/>
    <w:locked/>
    <w:uiPriority w:val="99"/>
    <w:rPr>
      <w:rFonts w:ascii="宋体" w:hAnsi="宋体" w:eastAsia="仿宋"/>
      <w:sz w:val="28"/>
    </w:rPr>
  </w:style>
  <w:style w:type="paragraph" w:customStyle="1" w:styleId="167">
    <w:name w:val="UserStyle_107"/>
    <w:basedOn w:val="51"/>
    <w:link w:val="168"/>
    <w:qFormat/>
    <w:uiPriority w:val="99"/>
    <w:pPr>
      <w:ind w:firstLine="200"/>
    </w:pPr>
    <w:rPr>
      <w:rFonts w:ascii="Times New Roman" w:hAnsi="Times New Roman"/>
      <w:color w:val="000000"/>
      <w:kern w:val="2"/>
      <w:sz w:val="21"/>
    </w:rPr>
  </w:style>
  <w:style w:type="character" w:customStyle="1" w:styleId="168">
    <w:name w:val="UserStyle_108"/>
    <w:link w:val="167"/>
    <w:qFormat/>
    <w:locked/>
    <w:uiPriority w:val="99"/>
    <w:rPr>
      <w:rFonts w:eastAsia="仿宋_GB2312"/>
      <w:color w:val="000000"/>
      <w:kern w:val="2"/>
      <w:sz w:val="21"/>
    </w:rPr>
  </w:style>
  <w:style w:type="paragraph" w:customStyle="1" w:styleId="169">
    <w:name w:val="UserStyle_109"/>
    <w:basedOn w:val="1"/>
    <w:link w:val="170"/>
    <w:qFormat/>
    <w:uiPriority w:val="99"/>
    <w:pPr>
      <w:spacing w:before="60" w:after="60"/>
      <w:jc w:val="center"/>
    </w:pPr>
    <w:rPr>
      <w:rFonts w:ascii="Times New Roman" w:hAnsi="Times New Roman" w:eastAsia="仿宋_GB2312"/>
      <w:b/>
      <w:sz w:val="28"/>
      <w:szCs w:val="20"/>
      <w:lang w:val="zh-CN"/>
    </w:rPr>
  </w:style>
  <w:style w:type="character" w:customStyle="1" w:styleId="170">
    <w:name w:val="UserStyle_110"/>
    <w:link w:val="169"/>
    <w:qFormat/>
    <w:locked/>
    <w:uiPriority w:val="99"/>
    <w:rPr>
      <w:rFonts w:eastAsia="仿宋_GB2312"/>
      <w:b/>
      <w:sz w:val="28"/>
      <w:lang w:val="zh-CN" w:eastAsia="zh-CN"/>
    </w:rPr>
  </w:style>
  <w:style w:type="character" w:customStyle="1" w:styleId="171">
    <w:name w:val="UserStyle_111"/>
    <w:qFormat/>
    <w:uiPriority w:val="99"/>
  </w:style>
  <w:style w:type="paragraph" w:customStyle="1" w:styleId="172">
    <w:name w:val="197"/>
    <w:basedOn w:val="1"/>
    <w:qFormat/>
    <w:uiPriority w:val="99"/>
    <w:pPr>
      <w:ind w:firstLine="420"/>
    </w:pPr>
    <w:rPr>
      <w:rFonts w:ascii="Calibri" w:hAnsi="Calibri"/>
      <w:sz w:val="21"/>
      <w:lang w:val="zh-CN"/>
    </w:rPr>
  </w:style>
  <w:style w:type="paragraph" w:customStyle="1" w:styleId="173">
    <w:name w:val="UserStyle_112"/>
    <w:basedOn w:val="1"/>
    <w:link w:val="174"/>
    <w:qFormat/>
    <w:uiPriority w:val="99"/>
    <w:pPr>
      <w:spacing w:line="500" w:lineRule="exact"/>
      <w:ind w:firstLine="560" w:firstLineChars="200"/>
      <w:jc w:val="both"/>
    </w:pPr>
    <w:rPr>
      <w:rFonts w:ascii="Times New Roman" w:hAnsi="Times New Roman" w:eastAsia="仿宋_GB2312"/>
      <w:sz w:val="28"/>
      <w:szCs w:val="20"/>
    </w:rPr>
  </w:style>
  <w:style w:type="character" w:customStyle="1" w:styleId="174">
    <w:name w:val="UserStyle_113"/>
    <w:link w:val="173"/>
    <w:qFormat/>
    <w:locked/>
    <w:uiPriority w:val="99"/>
    <w:rPr>
      <w:rFonts w:eastAsia="仿宋_GB2312"/>
      <w:sz w:val="28"/>
    </w:rPr>
  </w:style>
  <w:style w:type="character" w:customStyle="1" w:styleId="175">
    <w:name w:val="UserStyle_114"/>
    <w:qFormat/>
    <w:uiPriority w:val="99"/>
    <w:rPr>
      <w:rFonts w:ascii="仿宋" w:hAnsi="仿宋" w:eastAsia="仿宋"/>
      <w:kern w:val="1"/>
    </w:rPr>
  </w:style>
  <w:style w:type="character" w:customStyle="1" w:styleId="176">
    <w:name w:val="UserStyle_115"/>
    <w:semiHidden/>
    <w:qFormat/>
    <w:uiPriority w:val="99"/>
    <w:rPr>
      <w:rFonts w:ascii="Times New Roman" w:hAnsi="Times New Roman" w:eastAsia="仿宋"/>
      <w:kern w:val="2"/>
      <w:sz w:val="22"/>
    </w:rPr>
  </w:style>
  <w:style w:type="character" w:customStyle="1" w:styleId="177">
    <w:name w:val="UserStyle_116"/>
    <w:semiHidden/>
    <w:qFormat/>
    <w:uiPriority w:val="99"/>
    <w:rPr>
      <w:rFonts w:ascii="Times New Roman" w:hAnsi="Times New Roman" w:eastAsia="仿宋"/>
      <w:kern w:val="2"/>
      <w:sz w:val="22"/>
    </w:rPr>
  </w:style>
  <w:style w:type="character" w:customStyle="1" w:styleId="178">
    <w:name w:val="UserStyle_117"/>
    <w:link w:val="179"/>
    <w:qFormat/>
    <w:locked/>
    <w:uiPriority w:val="99"/>
    <w:rPr>
      <w:rFonts w:ascii="黑体" w:hAnsi="黑体" w:eastAsia="仿宋"/>
      <w:b/>
      <w:sz w:val="32"/>
    </w:rPr>
  </w:style>
  <w:style w:type="paragraph" w:customStyle="1" w:styleId="179">
    <w:name w:val="UserStyle_118"/>
    <w:basedOn w:val="28"/>
    <w:link w:val="178"/>
    <w:qFormat/>
    <w:uiPriority w:val="99"/>
    <w:pPr>
      <w:ind w:firstLine="0" w:firstLineChars="0"/>
      <w:jc w:val="center"/>
    </w:pPr>
    <w:rPr>
      <w:rFonts w:ascii="黑体" w:hAnsi="黑体" w:eastAsia="仿宋"/>
      <w:b/>
      <w:color w:val="auto"/>
      <w:sz w:val="32"/>
    </w:rPr>
  </w:style>
  <w:style w:type="character" w:customStyle="1" w:styleId="180">
    <w:name w:val="UserStyle_119"/>
    <w:link w:val="181"/>
    <w:qFormat/>
    <w:locked/>
    <w:uiPriority w:val="99"/>
    <w:rPr>
      <w:rFonts w:eastAsia="仿宋_GB2312"/>
      <w:b/>
      <w:sz w:val="32"/>
    </w:rPr>
  </w:style>
  <w:style w:type="paragraph" w:customStyle="1" w:styleId="181">
    <w:name w:val="UserStyle_120"/>
    <w:basedOn w:val="27"/>
    <w:link w:val="180"/>
    <w:qFormat/>
    <w:uiPriority w:val="99"/>
    <w:pPr>
      <w:spacing w:before="0" w:line="240" w:lineRule="auto"/>
      <w:ind w:firstLine="0" w:firstLineChars="0"/>
    </w:pPr>
    <w:rPr>
      <w:b/>
      <w:color w:val="auto"/>
      <w:sz w:val="32"/>
      <w:szCs w:val="20"/>
    </w:rPr>
  </w:style>
  <w:style w:type="character" w:customStyle="1" w:styleId="182">
    <w:name w:val="UserStyle_121"/>
    <w:qFormat/>
    <w:uiPriority w:val="99"/>
    <w:rPr>
      <w:kern w:val="2"/>
      <w:sz w:val="22"/>
    </w:rPr>
  </w:style>
  <w:style w:type="character" w:customStyle="1" w:styleId="183">
    <w:name w:val="UserStyle_122"/>
    <w:qFormat/>
    <w:uiPriority w:val="99"/>
    <w:rPr>
      <w:rFonts w:ascii="楷体" w:hAnsi="楷体" w:eastAsia="楷体"/>
      <w:kern w:val="1"/>
      <w:sz w:val="28"/>
    </w:rPr>
  </w:style>
  <w:style w:type="character" w:customStyle="1" w:styleId="184">
    <w:name w:val="UserStyle_123"/>
    <w:qFormat/>
    <w:uiPriority w:val="99"/>
    <w:rPr>
      <w:rFonts w:ascii="Cambria" w:hAnsi="Cambria"/>
      <w:kern w:val="2"/>
      <w:sz w:val="24"/>
    </w:rPr>
  </w:style>
  <w:style w:type="character" w:customStyle="1" w:styleId="185">
    <w:name w:val="UserStyle_124"/>
    <w:qFormat/>
    <w:uiPriority w:val="99"/>
    <w:rPr>
      <w:kern w:val="2"/>
      <w:sz w:val="24"/>
    </w:rPr>
  </w:style>
  <w:style w:type="character" w:customStyle="1" w:styleId="186">
    <w:name w:val="UserStyle_125"/>
    <w:qFormat/>
    <w:uiPriority w:val="99"/>
    <w:rPr>
      <w:kern w:val="2"/>
      <w:sz w:val="22"/>
    </w:rPr>
  </w:style>
  <w:style w:type="character" w:customStyle="1" w:styleId="187">
    <w:name w:val="UserStyle_126"/>
    <w:qFormat/>
    <w:uiPriority w:val="99"/>
    <w:rPr>
      <w:rFonts w:eastAsia="Times New Roman"/>
      <w:sz w:val="21"/>
      <w:lang w:val="en-US" w:eastAsia="zh-CN"/>
    </w:rPr>
  </w:style>
  <w:style w:type="character" w:customStyle="1" w:styleId="188">
    <w:name w:val="UserStyle_127"/>
    <w:semiHidden/>
    <w:qFormat/>
    <w:uiPriority w:val="99"/>
    <w:rPr>
      <w:rFonts w:ascii="Times New Roman" w:hAnsi="Times New Roman" w:eastAsia="仿宋"/>
      <w:kern w:val="2"/>
      <w:sz w:val="22"/>
    </w:rPr>
  </w:style>
  <w:style w:type="character" w:customStyle="1" w:styleId="189">
    <w:name w:val="UserStyle_128"/>
    <w:semiHidden/>
    <w:qFormat/>
    <w:uiPriority w:val="99"/>
    <w:rPr>
      <w:rFonts w:ascii="宋体" w:eastAsia="宋体"/>
      <w:sz w:val="24"/>
    </w:rPr>
  </w:style>
  <w:style w:type="character" w:customStyle="1" w:styleId="190">
    <w:name w:val="UserStyle_129"/>
    <w:semiHidden/>
    <w:qFormat/>
    <w:uiPriority w:val="99"/>
    <w:rPr>
      <w:rFonts w:ascii="宋体" w:eastAsia="宋体"/>
      <w:sz w:val="24"/>
    </w:rPr>
  </w:style>
  <w:style w:type="character" w:customStyle="1" w:styleId="191">
    <w:name w:val="UserStyle_130"/>
    <w:semiHidden/>
    <w:qFormat/>
    <w:uiPriority w:val="99"/>
    <w:rPr>
      <w:rFonts w:ascii="宋体" w:eastAsia="宋体"/>
      <w:sz w:val="24"/>
    </w:rPr>
  </w:style>
  <w:style w:type="character" w:customStyle="1" w:styleId="192">
    <w:name w:val="UserStyle_131"/>
    <w:semiHidden/>
    <w:qFormat/>
    <w:uiPriority w:val="99"/>
    <w:rPr>
      <w:rFonts w:ascii="宋体" w:eastAsia="宋体"/>
      <w:sz w:val="24"/>
    </w:rPr>
  </w:style>
  <w:style w:type="paragraph" w:customStyle="1" w:styleId="193">
    <w:name w:val="UserStyle_132"/>
    <w:basedOn w:val="1"/>
    <w:qFormat/>
    <w:uiPriority w:val="99"/>
    <w:pPr>
      <w:spacing w:line="240" w:lineRule="atLeast"/>
      <w:ind w:left="420" w:firstLine="420"/>
      <w:jc w:val="both"/>
    </w:pPr>
    <w:rPr>
      <w:rFonts w:ascii="Times New Roman" w:hAnsi="Times New Roman"/>
      <w:sz w:val="21"/>
      <w:szCs w:val="21"/>
    </w:rPr>
  </w:style>
  <w:style w:type="paragraph" w:customStyle="1" w:styleId="194">
    <w:name w:val="UserStyle_133"/>
    <w:basedOn w:val="1"/>
    <w:qFormat/>
    <w:uiPriority w:val="99"/>
    <w:pPr>
      <w:spacing w:line="360" w:lineRule="auto"/>
      <w:jc w:val="center"/>
    </w:pPr>
    <w:rPr>
      <w:rFonts w:hAnsi="Cambria"/>
      <w:kern w:val="2"/>
      <w:sz w:val="28"/>
      <w:szCs w:val="20"/>
    </w:rPr>
  </w:style>
  <w:style w:type="paragraph" w:customStyle="1" w:styleId="195">
    <w:name w:val="UserStyle_134"/>
    <w:next w:val="1"/>
    <w:qFormat/>
    <w:uiPriority w:val="99"/>
    <w:pPr>
      <w:spacing w:after="210" w:line="400" w:lineRule="exact"/>
      <w:jc w:val="center"/>
      <w:textAlignment w:val="baseline"/>
    </w:pPr>
    <w:rPr>
      <w:rFonts w:ascii="Agilent TT CondLight" w:hAnsi="Agilent TT CondLight" w:eastAsia="宋体" w:cs="Times New Roman"/>
      <w:sz w:val="36"/>
      <w:lang w:val="en-US" w:eastAsia="en-US" w:bidi="ar-SA"/>
    </w:rPr>
  </w:style>
  <w:style w:type="paragraph" w:customStyle="1" w:styleId="196">
    <w:name w:val="UserStyle_135"/>
    <w:basedOn w:val="1"/>
    <w:qFormat/>
    <w:uiPriority w:val="99"/>
  </w:style>
  <w:style w:type="paragraph" w:customStyle="1" w:styleId="197">
    <w:name w:val="UserStyle_136"/>
    <w:basedOn w:val="26"/>
    <w:next w:val="1"/>
    <w:qFormat/>
    <w:uiPriority w:val="99"/>
    <w:pPr>
      <w:spacing w:before="480" w:after="0" w:line="276" w:lineRule="auto"/>
      <w:ind w:firstLine="0" w:firstLineChars="0"/>
    </w:pPr>
    <w:rPr>
      <w:rFonts w:ascii="Cambria" w:hAnsi="Cambria"/>
      <w:color w:val="365F91"/>
      <w:sz w:val="28"/>
    </w:rPr>
  </w:style>
  <w:style w:type="paragraph" w:customStyle="1" w:styleId="198">
    <w:name w:val="UserStyle_137"/>
    <w:basedOn w:val="1"/>
    <w:qFormat/>
    <w:uiPriority w:val="99"/>
    <w:pPr>
      <w:spacing w:line="360" w:lineRule="auto"/>
      <w:ind w:firstLine="480"/>
      <w:jc w:val="both"/>
    </w:pPr>
    <w:rPr>
      <w:rFonts w:ascii="Cambria" w:hAnsi="Cambria"/>
      <w:kern w:val="2"/>
    </w:rPr>
  </w:style>
  <w:style w:type="paragraph" w:customStyle="1" w:styleId="199">
    <w:name w:val="UserStyle_138"/>
    <w:basedOn w:val="1"/>
    <w:qFormat/>
    <w:uiPriority w:val="99"/>
    <w:pPr>
      <w:ind w:firstLine="420" w:firstLineChars="200"/>
      <w:jc w:val="both"/>
    </w:pPr>
    <w:rPr>
      <w:rFonts w:ascii="Times New Roman" w:hAnsi="Times New Roman"/>
      <w:kern w:val="2"/>
      <w:sz w:val="21"/>
      <w:szCs w:val="21"/>
    </w:rPr>
  </w:style>
  <w:style w:type="paragraph" w:customStyle="1" w:styleId="200">
    <w:name w:val="UserStyle_139"/>
    <w:basedOn w:val="1"/>
    <w:qFormat/>
    <w:uiPriority w:val="99"/>
    <w:pPr>
      <w:spacing w:line="360" w:lineRule="auto"/>
      <w:jc w:val="both"/>
    </w:pPr>
    <w:rPr>
      <w:rFonts w:ascii="仿宋" w:hAnsi="仿宋" w:eastAsia="仿宋"/>
      <w:kern w:val="2"/>
      <w:szCs w:val="20"/>
    </w:rPr>
  </w:style>
  <w:style w:type="paragraph" w:customStyle="1" w:styleId="201">
    <w:name w:val="UserStyle_140"/>
    <w:basedOn w:val="1"/>
    <w:qFormat/>
    <w:uiPriority w:val="99"/>
    <w:pPr>
      <w:spacing w:line="360" w:lineRule="auto"/>
      <w:ind w:firstLine="200" w:firstLineChars="200"/>
      <w:jc w:val="both"/>
    </w:pPr>
    <w:rPr>
      <w:kern w:val="2"/>
    </w:rPr>
  </w:style>
  <w:style w:type="paragraph" w:customStyle="1" w:styleId="202">
    <w:name w:val="UserStyle_141"/>
    <w:basedOn w:val="1"/>
    <w:qFormat/>
    <w:uiPriority w:val="99"/>
    <w:pPr>
      <w:jc w:val="both"/>
    </w:pPr>
    <w:rPr>
      <w:rFonts w:ascii="Times New Roman" w:hAnsi="Times New Roman"/>
      <w:kern w:val="2"/>
      <w:sz w:val="21"/>
    </w:rPr>
  </w:style>
  <w:style w:type="paragraph" w:customStyle="1" w:styleId="203">
    <w:name w:val="UserStyle_142"/>
    <w:basedOn w:val="1"/>
    <w:qFormat/>
    <w:uiPriority w:val="99"/>
    <w:pPr>
      <w:spacing w:line="360" w:lineRule="auto"/>
      <w:jc w:val="center"/>
    </w:pPr>
    <w:rPr>
      <w:rFonts w:ascii="黑体" w:hAnsi="Times New Roman" w:eastAsia="黑体"/>
      <w:sz w:val="30"/>
      <w:szCs w:val="30"/>
    </w:rPr>
  </w:style>
  <w:style w:type="paragraph" w:customStyle="1" w:styleId="204">
    <w:name w:val="UserStyle_143"/>
    <w:basedOn w:val="26"/>
    <w:qFormat/>
    <w:uiPriority w:val="99"/>
    <w:pPr>
      <w:spacing w:before="340" w:after="330" w:line="578" w:lineRule="auto"/>
      <w:ind w:firstLine="0" w:firstLineChars="0"/>
      <w:jc w:val="both"/>
    </w:pPr>
    <w:rPr>
      <w:rFonts w:ascii="黑体" w:hAnsi="黑体" w:eastAsia="黑体" w:cs="Arial"/>
      <w:kern w:val="44"/>
      <w:sz w:val="30"/>
      <w:szCs w:val="44"/>
    </w:rPr>
  </w:style>
  <w:style w:type="paragraph" w:customStyle="1" w:styleId="205">
    <w:name w:val="UserStyle_144"/>
    <w:basedOn w:val="1"/>
    <w:qFormat/>
    <w:uiPriority w:val="99"/>
    <w:pPr>
      <w:spacing w:line="360" w:lineRule="auto"/>
      <w:ind w:firstLine="480"/>
      <w:jc w:val="both"/>
    </w:pPr>
    <w:rPr>
      <w:rFonts w:ascii="Cambria" w:hAnsi="Cambria"/>
      <w:kern w:val="2"/>
    </w:rPr>
  </w:style>
  <w:style w:type="paragraph" w:customStyle="1" w:styleId="206">
    <w:name w:val="UserStyle_145"/>
    <w:basedOn w:val="204"/>
    <w:qFormat/>
    <w:uiPriority w:val="99"/>
    <w:pPr>
      <w:jc w:val="center"/>
    </w:pPr>
    <w:rPr>
      <w:szCs w:val="20"/>
    </w:rPr>
  </w:style>
  <w:style w:type="paragraph" w:customStyle="1" w:styleId="207">
    <w:name w:val="UserStyle_146"/>
    <w:basedOn w:val="1"/>
    <w:qFormat/>
    <w:uiPriority w:val="99"/>
    <w:pPr>
      <w:spacing w:after="160" w:line="240" w:lineRule="exact"/>
    </w:pPr>
    <w:rPr>
      <w:rFonts w:ascii="Times New Roman" w:hAnsi="Times New Roman" w:eastAsia="DFKai-SB"/>
      <w:kern w:val="2"/>
      <w:sz w:val="28"/>
      <w:szCs w:val="20"/>
      <w:lang w:eastAsia="zh-TW"/>
    </w:rPr>
  </w:style>
  <w:style w:type="paragraph" w:customStyle="1" w:styleId="208">
    <w:name w:val="UserStyle_147"/>
    <w:qFormat/>
    <w:uiPriority w:val="99"/>
    <w:pPr>
      <w:textAlignment w:val="baseline"/>
    </w:pPr>
    <w:rPr>
      <w:rFonts w:ascii="仿宋_GB2312" w:hAnsi="Calibri" w:eastAsia="仿宋_GB2312" w:cs="Times New Roman"/>
      <w:color w:val="000000"/>
      <w:sz w:val="24"/>
      <w:szCs w:val="24"/>
      <w:lang w:val="en-US" w:eastAsia="zh-CN" w:bidi="ar-SA"/>
    </w:rPr>
  </w:style>
  <w:style w:type="paragraph" w:customStyle="1" w:styleId="209">
    <w:name w:val="UserStyle_148"/>
    <w:basedOn w:val="1"/>
    <w:qFormat/>
    <w:uiPriority w:val="99"/>
    <w:pPr>
      <w:jc w:val="both"/>
    </w:pPr>
    <w:rPr>
      <w:rFonts w:ascii="Times New Roman" w:hAnsi="Times New Roman"/>
      <w:kern w:val="2"/>
    </w:rPr>
  </w:style>
  <w:style w:type="paragraph" w:customStyle="1" w:styleId="210">
    <w:name w:val="UserStyle_149"/>
    <w:basedOn w:val="1"/>
    <w:qFormat/>
    <w:uiPriority w:val="99"/>
    <w:pPr>
      <w:spacing w:line="260" w:lineRule="exact"/>
    </w:pPr>
    <w:rPr>
      <w:rFonts w:ascii="Agilent TT Cond" w:hAnsi="Agilent TT Cond"/>
      <w:sz w:val="19"/>
      <w:szCs w:val="20"/>
      <w:lang w:eastAsia="en-US"/>
    </w:rPr>
  </w:style>
  <w:style w:type="paragraph" w:customStyle="1" w:styleId="211">
    <w:name w:val="UserStyle_150"/>
    <w:basedOn w:val="1"/>
    <w:qFormat/>
    <w:uiPriority w:val="99"/>
    <w:pPr>
      <w:ind w:firstLine="420" w:firstLineChars="200"/>
      <w:jc w:val="both"/>
    </w:pPr>
    <w:rPr>
      <w:rFonts w:ascii="Times New Roman" w:hAnsi="Times New Roman"/>
      <w:kern w:val="2"/>
      <w:sz w:val="21"/>
      <w:szCs w:val="22"/>
    </w:rPr>
  </w:style>
  <w:style w:type="paragraph" w:customStyle="1" w:styleId="212">
    <w:name w:val="UserStyle_151"/>
    <w:basedOn w:val="1"/>
    <w:qFormat/>
    <w:uiPriority w:val="99"/>
    <w:pPr>
      <w:spacing w:before="100" w:beforeAutospacing="1" w:after="100" w:afterAutospacing="1"/>
    </w:pPr>
  </w:style>
  <w:style w:type="paragraph" w:customStyle="1" w:styleId="213">
    <w:name w:val="UserStyle_152"/>
    <w:basedOn w:val="1"/>
    <w:qFormat/>
    <w:uiPriority w:val="99"/>
    <w:pPr>
      <w:jc w:val="both"/>
    </w:pPr>
    <w:rPr>
      <w:rFonts w:ascii="Times New Roman" w:hAnsi="Times New Roman"/>
      <w:kern w:val="2"/>
      <w:sz w:val="21"/>
      <w:szCs w:val="20"/>
    </w:rPr>
  </w:style>
  <w:style w:type="paragraph" w:customStyle="1" w:styleId="214">
    <w:name w:val="UserStyle_153"/>
    <w:basedOn w:val="26"/>
    <w:qFormat/>
    <w:uiPriority w:val="99"/>
    <w:pPr>
      <w:spacing w:before="340" w:after="330" w:line="578" w:lineRule="auto"/>
      <w:ind w:firstLine="0" w:firstLineChars="0"/>
      <w:jc w:val="both"/>
    </w:pPr>
    <w:rPr>
      <w:rFonts w:ascii="Arial" w:hAnsi="Arial" w:cs="Arial"/>
      <w:kern w:val="1"/>
      <w:sz w:val="30"/>
      <w:szCs w:val="44"/>
    </w:rPr>
  </w:style>
  <w:style w:type="paragraph" w:customStyle="1" w:styleId="215">
    <w:name w:val="UserStyle_154"/>
    <w:qFormat/>
    <w:uiPriority w:val="99"/>
    <w:pPr>
      <w:jc w:val="both"/>
      <w:textAlignment w:val="baseline"/>
    </w:pPr>
    <w:rPr>
      <w:rFonts w:ascii="Times New Roman" w:hAnsi="Times New Roman" w:eastAsia="宋体" w:cs="Times New Roman"/>
      <w:kern w:val="2"/>
      <w:sz w:val="18"/>
      <w:szCs w:val="24"/>
      <w:lang w:val="en-US" w:eastAsia="zh-CN" w:bidi="ar-SA"/>
    </w:rPr>
  </w:style>
  <w:style w:type="paragraph" w:customStyle="1" w:styleId="216">
    <w:name w:val="UserStyle_155"/>
    <w:basedOn w:val="26"/>
    <w:qFormat/>
    <w:uiPriority w:val="99"/>
    <w:pPr>
      <w:spacing w:before="340" w:after="330" w:line="578" w:lineRule="auto"/>
      <w:ind w:firstLine="0" w:firstLineChars="0"/>
      <w:jc w:val="center"/>
    </w:pPr>
    <w:rPr>
      <w:rFonts w:ascii="Arial" w:hAnsi="Arial" w:cs="Arial"/>
      <w:kern w:val="1"/>
      <w:sz w:val="30"/>
      <w:szCs w:val="44"/>
    </w:rPr>
  </w:style>
  <w:style w:type="paragraph" w:customStyle="1" w:styleId="217">
    <w:name w:val="UserStyle_156"/>
    <w:basedOn w:val="1"/>
    <w:qFormat/>
    <w:uiPriority w:val="99"/>
    <w:pPr>
      <w:spacing w:before="100" w:beforeAutospacing="1" w:after="100" w:afterAutospacing="1"/>
    </w:pPr>
    <w:rPr>
      <w:sz w:val="18"/>
      <w:szCs w:val="18"/>
    </w:rPr>
  </w:style>
  <w:style w:type="character" w:customStyle="1" w:styleId="218">
    <w:name w:val="UserStyle_157"/>
    <w:qFormat/>
    <w:uiPriority w:val="99"/>
    <w:rPr>
      <w:rFonts w:ascii="宋体" w:hAnsi="Courier New"/>
      <w:kern w:val="2"/>
      <w:sz w:val="21"/>
    </w:rPr>
  </w:style>
  <w:style w:type="paragraph" w:customStyle="1" w:styleId="219">
    <w:name w:val="UserStyle_158"/>
    <w:basedOn w:val="1"/>
    <w:link w:val="220"/>
    <w:qFormat/>
    <w:uiPriority w:val="99"/>
    <w:pPr>
      <w:spacing w:line="500" w:lineRule="exact"/>
      <w:ind w:firstLine="200" w:firstLineChars="200"/>
      <w:jc w:val="both"/>
    </w:pPr>
    <w:rPr>
      <w:rFonts w:ascii="Times New Roman" w:hAnsi="Times New Roman" w:eastAsia="仿宋_GB2312"/>
      <w:sz w:val="28"/>
      <w:szCs w:val="20"/>
      <w:lang w:val="zh-CN"/>
    </w:rPr>
  </w:style>
  <w:style w:type="character" w:customStyle="1" w:styleId="220">
    <w:name w:val="UserStyle_159"/>
    <w:link w:val="219"/>
    <w:qFormat/>
    <w:locked/>
    <w:uiPriority w:val="99"/>
    <w:rPr>
      <w:rFonts w:eastAsia="仿宋_GB2312"/>
      <w:sz w:val="28"/>
      <w:lang w:val="zh-CN"/>
    </w:rPr>
  </w:style>
  <w:style w:type="paragraph" w:customStyle="1" w:styleId="221">
    <w:name w:val="UserStyle_160"/>
    <w:basedOn w:val="1"/>
    <w:link w:val="222"/>
    <w:qFormat/>
    <w:uiPriority w:val="99"/>
    <w:pPr>
      <w:spacing w:before="60" w:after="60"/>
      <w:jc w:val="center"/>
    </w:pPr>
    <w:rPr>
      <w:rFonts w:ascii="Times New Roman" w:hAnsi="Times New Roman" w:eastAsia="仿宋_GB2312"/>
      <w:b/>
      <w:sz w:val="28"/>
      <w:szCs w:val="20"/>
    </w:rPr>
  </w:style>
  <w:style w:type="character" w:customStyle="1" w:styleId="222">
    <w:name w:val="UserStyle_161"/>
    <w:link w:val="221"/>
    <w:qFormat/>
    <w:locked/>
    <w:uiPriority w:val="99"/>
    <w:rPr>
      <w:rFonts w:eastAsia="仿宋_GB2312"/>
      <w:b/>
      <w:sz w:val="28"/>
    </w:rPr>
  </w:style>
  <w:style w:type="paragraph" w:customStyle="1" w:styleId="223">
    <w:name w:val="UserStyle_162"/>
    <w:basedOn w:val="219"/>
    <w:link w:val="224"/>
    <w:qFormat/>
    <w:uiPriority w:val="99"/>
    <w:pPr>
      <w:spacing w:line="320" w:lineRule="exact"/>
      <w:ind w:firstLine="0" w:firstLineChars="0"/>
      <w:jc w:val="center"/>
    </w:pPr>
    <w:rPr>
      <w:color w:val="000000"/>
    </w:rPr>
  </w:style>
  <w:style w:type="character" w:customStyle="1" w:styleId="224">
    <w:name w:val="UserStyle_163"/>
    <w:link w:val="223"/>
    <w:qFormat/>
    <w:locked/>
    <w:uiPriority w:val="99"/>
    <w:rPr>
      <w:rFonts w:eastAsia="仿宋_GB2312"/>
      <w:color w:val="000000"/>
      <w:sz w:val="28"/>
      <w:lang w:val="zh-CN"/>
    </w:rPr>
  </w:style>
  <w:style w:type="paragraph" w:customStyle="1" w:styleId="225">
    <w:name w:val="UserStyle_164"/>
    <w:link w:val="226"/>
    <w:qFormat/>
    <w:uiPriority w:val="99"/>
    <w:pPr>
      <w:spacing w:line="500" w:lineRule="exact"/>
      <w:ind w:firstLine="200" w:firstLineChars="200"/>
      <w:jc w:val="both"/>
      <w:textAlignment w:val="baseline"/>
    </w:pPr>
    <w:rPr>
      <w:rFonts w:ascii="Times New Roman" w:hAnsi="Times New Roman" w:eastAsia="仿宋_GB2312" w:cs="Times New Roman"/>
      <w:kern w:val="2"/>
      <w:sz w:val="22"/>
      <w:lang w:val="en-US" w:eastAsia="zh-CN" w:bidi="ar-SA"/>
    </w:rPr>
  </w:style>
  <w:style w:type="character" w:customStyle="1" w:styleId="226">
    <w:name w:val="UserStyle_165"/>
    <w:link w:val="225"/>
    <w:qFormat/>
    <w:locked/>
    <w:uiPriority w:val="99"/>
    <w:rPr>
      <w:rFonts w:eastAsia="仿宋_GB2312"/>
      <w:kern w:val="2"/>
      <w:sz w:val="22"/>
    </w:rPr>
  </w:style>
  <w:style w:type="character" w:customStyle="1" w:styleId="227">
    <w:name w:val="UserStyle_166"/>
    <w:qFormat/>
    <w:uiPriority w:val="99"/>
    <w:rPr>
      <w:rFonts w:ascii="Times New Roman" w:hAnsi="Times New Roman" w:eastAsia="仿宋_GB2312"/>
      <w:sz w:val="18"/>
    </w:rPr>
  </w:style>
  <w:style w:type="character" w:customStyle="1" w:styleId="228">
    <w:name w:val="UserStyle_167"/>
    <w:qFormat/>
    <w:uiPriority w:val="99"/>
    <w:rPr>
      <w:rFonts w:ascii="Times New Roman" w:hAnsi="Times New Roman" w:eastAsia="仿宋_GB2312"/>
      <w:b/>
      <w:kern w:val="0"/>
      <w:sz w:val="32"/>
      <w:lang w:val="zh-CN"/>
    </w:rPr>
  </w:style>
  <w:style w:type="paragraph" w:customStyle="1" w:styleId="229">
    <w:name w:val="UserStyle_168"/>
    <w:basedOn w:val="1"/>
    <w:qFormat/>
    <w:uiPriority w:val="99"/>
    <w:pPr>
      <w:spacing w:before="120"/>
      <w:jc w:val="center"/>
    </w:pPr>
    <w:rPr>
      <w:rFonts w:ascii="Times New Roman" w:hAnsi="Times New Roman" w:eastAsia="黑体"/>
      <w:sz w:val="28"/>
      <w:szCs w:val="28"/>
      <w:lang w:val="zh-CN"/>
    </w:rPr>
  </w:style>
  <w:style w:type="paragraph" w:customStyle="1" w:styleId="230">
    <w:name w:val="UserStyle_169"/>
    <w:qFormat/>
    <w:uiPriority w:val="99"/>
    <w:pPr>
      <w:jc w:val="center"/>
      <w:textAlignment w:val="baseline"/>
    </w:pPr>
    <w:rPr>
      <w:rFonts w:ascii="Times New Roman" w:hAnsi="Times New Roman" w:eastAsia="宋体" w:cs="Times New Roman"/>
      <w:sz w:val="21"/>
      <w:szCs w:val="28"/>
      <w:lang w:val="en-US" w:eastAsia="zh-CN" w:bidi="ar-SA"/>
    </w:rPr>
  </w:style>
  <w:style w:type="paragraph" w:customStyle="1" w:styleId="231">
    <w:name w:val="UserStyle_170"/>
    <w:basedOn w:val="1"/>
    <w:link w:val="233"/>
    <w:qFormat/>
    <w:uiPriority w:val="99"/>
    <w:pPr>
      <w:spacing w:line="580" w:lineRule="exact"/>
      <w:ind w:firstLine="640" w:firstLineChars="200"/>
    </w:pPr>
    <w:rPr>
      <w:rFonts w:ascii="Times New Roman" w:hAnsi="Times New Roman" w:eastAsia="黑体"/>
      <w:sz w:val="32"/>
      <w:szCs w:val="20"/>
    </w:rPr>
  </w:style>
  <w:style w:type="paragraph" w:customStyle="1" w:styleId="232">
    <w:name w:val="UserStyle_172"/>
    <w:basedOn w:val="1"/>
    <w:link w:val="235"/>
    <w:qFormat/>
    <w:uiPriority w:val="99"/>
    <w:pPr>
      <w:spacing w:line="580" w:lineRule="exact"/>
      <w:ind w:firstLine="640" w:firstLineChars="200"/>
    </w:pPr>
    <w:rPr>
      <w:rFonts w:ascii="Times New Roman" w:hAnsi="Times New Roman" w:eastAsia="楷体_GB2312"/>
      <w:sz w:val="32"/>
      <w:szCs w:val="20"/>
    </w:rPr>
  </w:style>
  <w:style w:type="character" w:customStyle="1" w:styleId="233">
    <w:name w:val="UserStyle_171"/>
    <w:link w:val="231"/>
    <w:qFormat/>
    <w:locked/>
    <w:uiPriority w:val="99"/>
    <w:rPr>
      <w:rFonts w:eastAsia="黑体"/>
      <w:sz w:val="32"/>
    </w:rPr>
  </w:style>
  <w:style w:type="paragraph" w:customStyle="1" w:styleId="234">
    <w:name w:val="266"/>
    <w:basedOn w:val="26"/>
    <w:next w:val="1"/>
    <w:qFormat/>
    <w:uiPriority w:val="99"/>
    <w:pPr>
      <w:spacing w:before="240" w:after="0" w:line="259" w:lineRule="auto"/>
      <w:ind w:firstLine="0" w:firstLineChars="0"/>
    </w:pPr>
    <w:rPr>
      <w:rFonts w:ascii="等线 Light" w:hAnsi="等线 Light" w:eastAsia="等线 Light"/>
      <w:color w:val="2F5496"/>
      <w:szCs w:val="32"/>
    </w:rPr>
  </w:style>
  <w:style w:type="character" w:customStyle="1" w:styleId="235">
    <w:name w:val="UserStyle_173"/>
    <w:link w:val="232"/>
    <w:qFormat/>
    <w:locked/>
    <w:uiPriority w:val="99"/>
    <w:rPr>
      <w:rFonts w:eastAsia="楷体_GB2312"/>
      <w:sz w:val="32"/>
    </w:rPr>
  </w:style>
  <w:style w:type="paragraph" w:customStyle="1" w:styleId="236">
    <w:name w:val="TOC 标题1"/>
    <w:basedOn w:val="2"/>
    <w:next w:val="1"/>
    <w:qFormat/>
    <w:uiPriority w:val="99"/>
    <w:pPr>
      <w:spacing w:before="240" w:after="0" w:line="259" w:lineRule="auto"/>
      <w:textAlignment w:val="auto"/>
      <w:outlineLvl w:val="9"/>
    </w:pPr>
    <w:rPr>
      <w:rFonts w:ascii="等线 Light" w:hAnsi="等线 Light" w:eastAsia="等线 Light"/>
      <w:b w:val="0"/>
      <w:bCs w:val="0"/>
      <w:color w:val="2F5496"/>
      <w:kern w:val="0"/>
      <w:sz w:val="32"/>
      <w:szCs w:val="32"/>
    </w:rPr>
  </w:style>
  <w:style w:type="paragraph" w:customStyle="1" w:styleId="237">
    <w:name w:val="一级"/>
    <w:basedOn w:val="231"/>
    <w:link w:val="239"/>
    <w:qFormat/>
    <w:uiPriority w:val="99"/>
    <w:pPr>
      <w:outlineLvl w:val="0"/>
    </w:pPr>
  </w:style>
  <w:style w:type="paragraph" w:customStyle="1" w:styleId="238">
    <w:name w:val="二级"/>
    <w:basedOn w:val="232"/>
    <w:link w:val="241"/>
    <w:qFormat/>
    <w:uiPriority w:val="99"/>
    <w:pPr>
      <w:outlineLvl w:val="1"/>
    </w:pPr>
  </w:style>
  <w:style w:type="character" w:customStyle="1" w:styleId="239">
    <w:name w:val="一级 字符"/>
    <w:link w:val="237"/>
    <w:qFormat/>
    <w:locked/>
    <w:uiPriority w:val="99"/>
    <w:rPr>
      <w:rFonts w:eastAsia="黑体" w:cs="Times New Roman"/>
      <w:bCs/>
      <w:sz w:val="32"/>
      <w:szCs w:val="32"/>
    </w:rPr>
  </w:style>
  <w:style w:type="paragraph" w:customStyle="1" w:styleId="240">
    <w:name w:val="三级"/>
    <w:basedOn w:val="1"/>
    <w:link w:val="242"/>
    <w:qFormat/>
    <w:uiPriority w:val="99"/>
    <w:pPr>
      <w:spacing w:line="580" w:lineRule="exact"/>
      <w:ind w:firstLine="600" w:firstLineChars="200"/>
      <w:outlineLvl w:val="2"/>
    </w:pPr>
    <w:rPr>
      <w:rFonts w:ascii="Times New Roman" w:hAnsi="Times New Roman" w:eastAsia="楷体_GB2312"/>
      <w:sz w:val="30"/>
      <w:szCs w:val="30"/>
    </w:rPr>
  </w:style>
  <w:style w:type="character" w:customStyle="1" w:styleId="241">
    <w:name w:val="二级 字符"/>
    <w:link w:val="238"/>
    <w:qFormat/>
    <w:locked/>
    <w:uiPriority w:val="99"/>
    <w:rPr>
      <w:rFonts w:eastAsia="楷体_GB2312" w:cs="Times New Roman"/>
      <w:sz w:val="32"/>
      <w:szCs w:val="32"/>
    </w:rPr>
  </w:style>
  <w:style w:type="character" w:customStyle="1" w:styleId="242">
    <w:name w:val="三级 字符"/>
    <w:link w:val="240"/>
    <w:qFormat/>
    <w:locked/>
    <w:uiPriority w:val="99"/>
    <w:rPr>
      <w:rFonts w:eastAsia="楷体_GB2312" w:cs="Times New Roman"/>
      <w:sz w:val="30"/>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Info spid="_x0000_s409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62AE59-1CF1-4163-95B1-34ABFFDD2BEE}">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1124</Words>
  <Characters>6409</Characters>
  <Lines>53</Lines>
  <Paragraphs>15</Paragraphs>
  <TotalTime>410</TotalTime>
  <ScaleCrop>false</ScaleCrop>
  <LinksUpToDate>false</LinksUpToDate>
  <CharactersWithSpaces>7518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2021-05-10T09:14:00Z</dcterms:created>
  <dc:creator>浦佳悦</dc:creator>
  <cp:lastModifiedBy>小黑</cp:lastModifiedBy>
  <cp:lastPrinted>2021-06-03T01:31:00Z</cp:lastPrinted>
  <dcterms:modified xsi:type="dcterms:W3CDTF">2021-06-03T07:14:28Z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KSOSaveFontToCloudKey">
    <vt:lpwstr>429185813_btnclosed</vt:lpwstr>
  </property>
  <property fmtid="{D5CDD505-2E9C-101B-9397-08002B2CF9AE}" pid="4" name="ICV">
    <vt:lpwstr>0447C9310F1249F0BE322E4BFF3C52F9</vt:lpwstr>
  </property>
</Properties>
</file>