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spacing w:line="520" w:lineRule="exact"/>
        <w:rPr>
          <w:rFonts w:ascii="宋体" w:hAnsi="宋体" w:eastAsia="宋体" w:cs="宋体"/>
        </w:rPr>
      </w:pPr>
    </w:p>
    <w:p>
      <w:pPr>
        <w:pStyle w:val="22"/>
        <w:spacing w:line="520" w:lineRule="exact"/>
        <w:rPr>
          <w:rFonts w:ascii="宋体" w:hAnsi="宋体" w:eastAsia="宋体" w:cs="宋体"/>
        </w:rPr>
      </w:pPr>
    </w:p>
    <w:p>
      <w:pPr>
        <w:pStyle w:val="22"/>
        <w:spacing w:line="520" w:lineRule="exact"/>
        <w:rPr>
          <w:rFonts w:ascii="宋体" w:hAnsi="宋体" w:eastAsia="宋体" w:cs="宋体"/>
        </w:rPr>
      </w:pPr>
    </w:p>
    <w:p>
      <w:pPr>
        <w:pStyle w:val="22"/>
        <w:spacing w:line="520" w:lineRule="exact"/>
        <w:rPr>
          <w:rFonts w:ascii="宋体" w:hAnsi="宋体" w:eastAsia="宋体" w:cs="宋体"/>
        </w:rPr>
      </w:pPr>
    </w:p>
    <w:p>
      <w:pPr>
        <w:pStyle w:val="22"/>
        <w:spacing w:line="520" w:lineRule="exact"/>
        <w:rPr>
          <w:rFonts w:ascii="宋体" w:hAnsi="宋体" w:eastAsia="宋体" w:cs="宋体"/>
        </w:rPr>
      </w:pPr>
    </w:p>
    <w:p>
      <w:pPr>
        <w:spacing w:line="520" w:lineRule="exact"/>
        <w:ind w:left="880" w:hanging="880"/>
        <w:jc w:val="center"/>
        <w:rPr>
          <w:rFonts w:ascii="方正小标宋_GBK" w:eastAsia="方正小标宋_GBK" w:cs="文星简黑体"/>
          <w:sz w:val="44"/>
          <w:szCs w:val="44"/>
        </w:rPr>
      </w:pPr>
      <w:r>
        <w:rPr>
          <w:rFonts w:hint="eastAsia" w:ascii="方正小标宋_GBK" w:eastAsia="方正小标宋_GBK" w:cs="文星简黑体"/>
          <w:sz w:val="44"/>
          <w:szCs w:val="44"/>
        </w:rPr>
        <w:t>2020年度知识产权（专利）专项资金</w:t>
      </w:r>
    </w:p>
    <w:p>
      <w:pPr>
        <w:spacing w:line="520" w:lineRule="exact"/>
        <w:ind w:left="880" w:hanging="880"/>
        <w:jc w:val="center"/>
        <w:rPr>
          <w:rFonts w:ascii="方正小标宋_GBK" w:eastAsia="方正小标宋_GBK" w:cs="文星简黑体"/>
          <w:sz w:val="44"/>
          <w:szCs w:val="44"/>
        </w:rPr>
      </w:pPr>
      <w:r>
        <w:rPr>
          <w:rFonts w:hint="eastAsia" w:ascii="方正小标宋_GBK" w:eastAsia="方正小标宋_GBK" w:cs="文星简黑体"/>
          <w:sz w:val="44"/>
          <w:szCs w:val="44"/>
        </w:rPr>
        <w:t>绩效评价报告</w:t>
      </w:r>
    </w:p>
    <w:p>
      <w:pPr>
        <w:spacing w:line="520" w:lineRule="exact"/>
        <w:ind w:left="1040" w:hanging="1040"/>
        <w:jc w:val="right"/>
        <w:rPr>
          <w:rFonts w:ascii="文星简黑体" w:eastAsia="文星简黑体"/>
          <w:sz w:val="52"/>
          <w:szCs w:val="52"/>
        </w:rPr>
      </w:pPr>
    </w:p>
    <w:p>
      <w:pPr>
        <w:spacing w:line="520" w:lineRule="exact"/>
        <w:ind w:left="1040" w:hanging="1040"/>
        <w:jc w:val="center"/>
        <w:rPr>
          <w:rFonts w:ascii="文星简黑体" w:eastAsia="文星简黑体"/>
          <w:sz w:val="52"/>
          <w:szCs w:val="52"/>
        </w:rPr>
      </w:pPr>
    </w:p>
    <w:p>
      <w:pPr>
        <w:spacing w:line="520" w:lineRule="exact"/>
        <w:ind w:left="1040" w:hanging="1040"/>
        <w:jc w:val="center"/>
        <w:rPr>
          <w:rFonts w:ascii="文星简黑体" w:eastAsia="文星简黑体"/>
          <w:sz w:val="52"/>
          <w:szCs w:val="52"/>
        </w:rPr>
      </w:pPr>
    </w:p>
    <w:p>
      <w:pPr>
        <w:spacing w:before="120" w:after="120" w:line="520" w:lineRule="exact"/>
        <w:ind w:left="640" w:hanging="640"/>
        <w:jc w:val="left"/>
        <w:rPr>
          <w:rFonts w:ascii="黑体" w:hAnsi="黑体" w:eastAsia="黑体" w:cs="文星简黑体"/>
          <w:kern w:val="0"/>
          <w:sz w:val="32"/>
          <w:szCs w:val="32"/>
        </w:rPr>
      </w:pPr>
    </w:p>
    <w:p>
      <w:pPr>
        <w:spacing w:before="120" w:after="120" w:line="520" w:lineRule="exact"/>
        <w:ind w:left="640" w:hanging="640"/>
        <w:jc w:val="left"/>
        <w:rPr>
          <w:rFonts w:ascii="黑体" w:hAnsi="黑体" w:eastAsia="黑体" w:cs="文星简黑体"/>
          <w:kern w:val="0"/>
          <w:sz w:val="32"/>
          <w:szCs w:val="32"/>
        </w:rPr>
      </w:pPr>
    </w:p>
    <w:p>
      <w:pPr>
        <w:spacing w:before="120" w:after="120" w:line="520" w:lineRule="exact"/>
        <w:ind w:left="640" w:hanging="640"/>
        <w:jc w:val="left"/>
        <w:rPr>
          <w:rFonts w:ascii="黑体" w:hAnsi="黑体" w:eastAsia="黑体" w:cs="文星简黑体"/>
          <w:kern w:val="0"/>
          <w:sz w:val="32"/>
          <w:szCs w:val="32"/>
        </w:rPr>
      </w:pPr>
    </w:p>
    <w:p>
      <w:pPr>
        <w:spacing w:before="120" w:after="120" w:line="520" w:lineRule="exact"/>
        <w:ind w:left="640" w:hanging="640"/>
        <w:jc w:val="left"/>
        <w:rPr>
          <w:rFonts w:ascii="黑体" w:hAnsi="黑体" w:eastAsia="黑体" w:cs="文星简黑体"/>
          <w:kern w:val="0"/>
          <w:sz w:val="32"/>
          <w:szCs w:val="32"/>
        </w:rPr>
      </w:pPr>
    </w:p>
    <w:p>
      <w:pPr>
        <w:spacing w:before="120" w:after="120" w:line="520" w:lineRule="exact"/>
        <w:ind w:firstLine="640" w:firstLineChars="200"/>
        <w:jc w:val="left"/>
        <w:rPr>
          <w:rFonts w:ascii="黑体" w:hAnsi="黑体" w:eastAsia="黑体"/>
          <w:sz w:val="32"/>
          <w:szCs w:val="32"/>
        </w:rPr>
      </w:pPr>
      <w:r>
        <w:rPr>
          <w:rFonts w:hint="eastAsia" w:ascii="黑体" w:hAnsi="黑体" w:eastAsia="黑体" w:cs="文星简黑体"/>
          <w:kern w:val="0"/>
          <w:sz w:val="32"/>
          <w:szCs w:val="32"/>
        </w:rPr>
        <w:t>评价单位（盖章）：</w:t>
      </w:r>
      <w:r>
        <w:rPr>
          <w:rFonts w:hint="eastAsia" w:ascii="黑体" w:hAnsi="黑体" w:eastAsia="黑体"/>
          <w:sz w:val="32"/>
          <w:szCs w:val="32"/>
        </w:rPr>
        <w:t>青岛市市场监督管理局</w:t>
      </w:r>
    </w:p>
    <w:p>
      <w:pPr>
        <w:spacing w:before="120" w:after="120" w:line="520" w:lineRule="exact"/>
        <w:ind w:left="640" w:hanging="640"/>
        <w:jc w:val="left"/>
        <w:rPr>
          <w:rFonts w:ascii="黑体" w:hAnsi="黑体" w:eastAsia="黑体"/>
          <w:sz w:val="32"/>
          <w:szCs w:val="32"/>
        </w:rPr>
      </w:pPr>
    </w:p>
    <w:p>
      <w:pPr>
        <w:spacing w:before="120" w:after="120" w:line="520" w:lineRule="exact"/>
        <w:ind w:left="640" w:hanging="640"/>
        <w:jc w:val="center"/>
        <w:rPr>
          <w:rFonts w:ascii="黑体" w:hAnsi="黑体" w:eastAsia="黑体"/>
          <w:sz w:val="32"/>
          <w:szCs w:val="32"/>
        </w:rPr>
      </w:pPr>
    </w:p>
    <w:p>
      <w:pPr>
        <w:spacing w:before="120" w:after="120" w:line="520" w:lineRule="exact"/>
        <w:ind w:left="640" w:hanging="640"/>
        <w:jc w:val="center"/>
        <w:rPr>
          <w:rFonts w:ascii="黑体" w:hAnsi="黑体" w:eastAsia="黑体"/>
          <w:sz w:val="32"/>
          <w:szCs w:val="32"/>
        </w:rPr>
      </w:pPr>
    </w:p>
    <w:p>
      <w:pPr>
        <w:spacing w:before="120" w:after="120" w:line="520" w:lineRule="exact"/>
        <w:rPr>
          <w:rFonts w:ascii="黑体" w:hAnsi="黑体" w:eastAsia="黑体"/>
          <w:sz w:val="32"/>
          <w:szCs w:val="32"/>
        </w:rPr>
      </w:pPr>
    </w:p>
    <w:p>
      <w:pPr>
        <w:spacing w:before="120" w:after="120" w:line="520" w:lineRule="exact"/>
        <w:jc w:val="center"/>
        <w:rPr>
          <w:rFonts w:ascii="黑体" w:hAnsi="黑体" w:eastAsia="黑体" w:cs="文星简黑体"/>
          <w:sz w:val="32"/>
          <w:szCs w:val="32"/>
        </w:rPr>
      </w:pPr>
      <w:r>
        <w:rPr>
          <w:rFonts w:hint="eastAsia" w:ascii="黑体" w:hAnsi="黑体" w:eastAsia="黑体" w:cs="文星简黑体"/>
          <w:sz w:val="32"/>
          <w:szCs w:val="32"/>
        </w:rPr>
        <w:t>2021年05月</w:t>
      </w:r>
    </w:p>
    <w:p>
      <w:pPr>
        <w:spacing w:line="520" w:lineRule="exact"/>
        <w:ind w:left="880" w:hanging="880"/>
        <w:jc w:val="center"/>
        <w:rPr>
          <w:rFonts w:ascii="方正小标宋_GBK" w:hAnsi="宋体" w:eastAsia="方正小标宋_GBK" w:cs="Arial"/>
          <w:bCs/>
          <w:sz w:val="44"/>
          <w:szCs w:val="44"/>
        </w:rPr>
      </w:pPr>
    </w:p>
    <w:p>
      <w:pPr>
        <w:spacing w:line="520" w:lineRule="exact"/>
        <w:ind w:left="880" w:hanging="880"/>
        <w:jc w:val="center"/>
        <w:rPr>
          <w:rFonts w:ascii="方正小标宋_GBK" w:hAnsi="宋体" w:eastAsia="方正小标宋_GBK" w:cs="Arial"/>
          <w:bCs/>
          <w:sz w:val="44"/>
          <w:szCs w:val="44"/>
        </w:rPr>
      </w:pPr>
    </w:p>
    <w:p>
      <w:pPr>
        <w:spacing w:line="520" w:lineRule="exact"/>
        <w:ind w:left="880" w:hanging="880"/>
        <w:jc w:val="center"/>
        <w:rPr>
          <w:rFonts w:ascii="方正小标宋_GBK" w:hAnsi="宋体" w:eastAsia="方正小标宋_GBK" w:cs="Arial"/>
          <w:bCs/>
          <w:sz w:val="44"/>
          <w:szCs w:val="44"/>
        </w:rPr>
      </w:pPr>
      <w:r>
        <w:rPr>
          <w:rFonts w:hint="eastAsia" w:ascii="方正小标宋_GBK" w:hAnsi="宋体" w:eastAsia="方正小标宋_GBK" w:cs="Arial"/>
          <w:bCs/>
          <w:sz w:val="44"/>
          <w:szCs w:val="44"/>
        </w:rPr>
        <w:t>2020年度知识产权（专利）专项资金</w:t>
      </w:r>
    </w:p>
    <w:p>
      <w:pPr>
        <w:jc w:val="center"/>
        <w:rPr>
          <w:rFonts w:ascii="方正小标宋_GBK" w:hAnsi="Arial" w:eastAsia="方正小标宋_GBK" w:cs="Arial"/>
          <w:bCs/>
          <w:sz w:val="44"/>
          <w:szCs w:val="44"/>
        </w:rPr>
      </w:pPr>
      <w:r>
        <w:rPr>
          <w:rFonts w:hint="eastAsia" w:ascii="方正小标宋_GBK" w:hAnsi="宋体" w:eastAsia="方正小标宋_GBK" w:cs="Arial"/>
          <w:bCs/>
          <w:sz w:val="44"/>
          <w:szCs w:val="44"/>
        </w:rPr>
        <w:t>绩效评价报告</w:t>
      </w:r>
    </w:p>
    <w:p>
      <w:pPr>
        <w:jc w:val="center"/>
        <w:rPr>
          <w:rFonts w:ascii="仿宋_GB2312"/>
          <w:szCs w:val="30"/>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一、基本情况</w:t>
      </w:r>
    </w:p>
    <w:p>
      <w:pPr>
        <w:spacing w:line="600" w:lineRule="exact"/>
        <w:ind w:firstLine="640" w:firstLineChars="200"/>
        <w:outlineLvl w:val="0"/>
        <w:rPr>
          <w:rFonts w:ascii="楷体_GB2312" w:eastAsia="楷体_GB2312"/>
          <w:sz w:val="32"/>
          <w:szCs w:val="32"/>
        </w:rPr>
      </w:pPr>
      <w:r>
        <w:rPr>
          <w:rFonts w:hint="eastAsia" w:ascii="楷体_GB2312" w:eastAsia="楷体_GB2312"/>
          <w:sz w:val="32"/>
          <w:szCs w:val="32"/>
        </w:rPr>
        <w:t>（一）项目概况</w:t>
      </w:r>
    </w:p>
    <w:p>
      <w:pPr>
        <w:spacing w:line="600" w:lineRule="exact"/>
        <w:ind w:firstLine="643" w:firstLineChars="200"/>
        <w:outlineLvl w:val="0"/>
        <w:rPr>
          <w:rFonts w:ascii="仿宋_GB2312"/>
          <w:sz w:val="32"/>
          <w:szCs w:val="32"/>
        </w:rPr>
      </w:pPr>
      <w:r>
        <w:rPr>
          <w:rFonts w:hint="eastAsia" w:ascii="仿宋_GB2312"/>
          <w:b/>
          <w:sz w:val="32"/>
          <w:szCs w:val="32"/>
        </w:rPr>
        <w:t>1.项目背景。</w:t>
      </w:r>
      <w:r>
        <w:rPr>
          <w:rFonts w:hint="eastAsia" w:ascii="仿宋_GB2312"/>
          <w:sz w:val="32"/>
          <w:szCs w:val="32"/>
        </w:rPr>
        <w:t>贯彻落实市委、市政府决策部署，以争创国家知识产权强市为目标，以构建知识产权运营服务体系为主线，实施知识产权战略，</w:t>
      </w:r>
      <w:r>
        <w:rPr>
          <w:rFonts w:hint="eastAsia" w:ascii="仿宋_GB2312" w:hAnsi="仿宋_GB2312" w:cs="仿宋_GB2312"/>
          <w:bCs/>
          <w:color w:val="000000"/>
          <w:sz w:val="32"/>
          <w:szCs w:val="32"/>
        </w:rPr>
        <w:t>充分发挥专项资金的激励和政策导向作用，</w:t>
      </w:r>
      <w:r>
        <w:rPr>
          <w:rFonts w:hint="eastAsia" w:ascii="仿宋_GB2312"/>
          <w:sz w:val="32"/>
          <w:szCs w:val="32"/>
        </w:rPr>
        <w:t>强化知识产权保护，促进知识产权运用，为引领经济高质量发展、推动构建双循环新发展格局提供创新支撑。</w:t>
      </w:r>
    </w:p>
    <w:p>
      <w:pPr>
        <w:spacing w:line="600" w:lineRule="exact"/>
        <w:ind w:firstLine="643" w:firstLineChars="200"/>
        <w:outlineLvl w:val="0"/>
        <w:rPr>
          <w:rFonts w:ascii="仿宋_GB2312" w:hAnsi="宋体" w:cs="宋体"/>
          <w:kern w:val="0"/>
          <w:sz w:val="32"/>
          <w:szCs w:val="32"/>
        </w:rPr>
      </w:pPr>
      <w:r>
        <w:rPr>
          <w:rFonts w:hint="eastAsia" w:ascii="仿宋_GB2312"/>
          <w:b/>
          <w:sz w:val="32"/>
          <w:szCs w:val="32"/>
        </w:rPr>
        <w:t>2.主要内容及实施情况。</w:t>
      </w:r>
      <w:r>
        <w:rPr>
          <w:rFonts w:hint="eastAsia" w:ascii="仿宋_GB2312" w:hAnsi="宋体" w:cs="宋体"/>
          <w:kern w:val="0"/>
          <w:sz w:val="32"/>
          <w:szCs w:val="32"/>
        </w:rPr>
        <w:t>2020年度，市级财政安排知识产权（专利）专项资金预算总额9998.00万元，主要支出为专利创造资金8025.30万元、专利运用管理资金1972.7万元。专利运用管理资金包括通过贯标认证的企业奖励636.00万元,专利权质押保险贷款资助196.70万元,青岛市企业运营类专利导航项目300.00万元,2018年山东省专利导航项目奖励60.00万元,第二十届中国专利奖我市获奖专利项目奖励360.00万元,共建青岛大学知识产权学院100.00万元,知识产权公共服务平台运维320.00万元。</w:t>
      </w:r>
    </w:p>
    <w:p>
      <w:pPr>
        <w:spacing w:line="600" w:lineRule="exact"/>
        <w:ind w:firstLine="640" w:firstLineChars="200"/>
        <w:outlineLvl w:val="0"/>
        <w:rPr>
          <w:rFonts w:ascii="仿宋_GB2312" w:hAnsi="宋体" w:cs="宋体"/>
          <w:kern w:val="0"/>
          <w:sz w:val="32"/>
          <w:szCs w:val="32"/>
        </w:rPr>
      </w:pPr>
      <w:r>
        <w:rPr>
          <w:rFonts w:hint="eastAsia" w:ascii="仿宋_GB2312" w:hAnsi="宋体" w:cs="宋体"/>
          <w:kern w:val="0"/>
          <w:sz w:val="32"/>
          <w:szCs w:val="32"/>
        </w:rPr>
        <w:t>2020年度</w:t>
      </w:r>
      <w:r>
        <w:rPr>
          <w:rFonts w:ascii="仿宋_GB2312" w:hAnsi="宋体" w:cs="宋体"/>
          <w:kern w:val="0"/>
          <w:sz w:val="32"/>
          <w:szCs w:val="32"/>
        </w:rPr>
        <w:t>知识产权</w:t>
      </w:r>
      <w:r>
        <w:rPr>
          <w:rFonts w:hint="eastAsia" w:ascii="仿宋_GB2312" w:hAnsi="宋体" w:cs="宋体"/>
          <w:kern w:val="0"/>
          <w:sz w:val="32"/>
          <w:szCs w:val="32"/>
        </w:rPr>
        <w:t>（专利）专项</w:t>
      </w:r>
      <w:r>
        <w:rPr>
          <w:rFonts w:ascii="仿宋_GB2312" w:hAnsi="宋体" w:cs="宋体"/>
          <w:kern w:val="0"/>
          <w:sz w:val="32"/>
          <w:szCs w:val="32"/>
        </w:rPr>
        <w:t>资金项目</w:t>
      </w:r>
      <w:r>
        <w:rPr>
          <w:rFonts w:hint="eastAsia" w:ascii="仿宋_GB2312" w:hAnsi="宋体" w:cs="宋体"/>
          <w:kern w:val="0"/>
          <w:sz w:val="32"/>
          <w:szCs w:val="32"/>
        </w:rPr>
        <w:t>为兑现</w:t>
      </w:r>
      <w:r>
        <w:rPr>
          <w:rFonts w:ascii="仿宋_GB2312" w:hAnsi="宋体" w:cs="宋体"/>
          <w:kern w:val="0"/>
          <w:sz w:val="32"/>
          <w:szCs w:val="32"/>
        </w:rPr>
        <w:t>知识产权专利创造、运用、保护、服务和管理各项政策补助</w:t>
      </w:r>
      <w:r>
        <w:rPr>
          <w:rFonts w:hint="eastAsia" w:ascii="仿宋_GB2312" w:hAnsi="宋体" w:cs="宋体"/>
          <w:kern w:val="0"/>
          <w:sz w:val="32"/>
          <w:szCs w:val="32"/>
        </w:rPr>
        <w:t>，采取后补助方式，</w:t>
      </w:r>
      <w:r>
        <w:rPr>
          <w:rFonts w:ascii="仿宋_GB2312" w:hAnsi="宋体" w:cs="宋体"/>
          <w:kern w:val="0"/>
          <w:sz w:val="32"/>
          <w:szCs w:val="32"/>
        </w:rPr>
        <w:t>根据项目认定结果对项目实施单位进行补助、奖励的兑现，在兑现以前对企业情况开展调查、征信等工作，视必要性情况组织专家评审。</w:t>
      </w:r>
    </w:p>
    <w:p>
      <w:pPr>
        <w:spacing w:line="600" w:lineRule="exact"/>
        <w:ind w:firstLine="640" w:firstLineChars="200"/>
        <w:outlineLvl w:val="0"/>
        <w:rPr>
          <w:rFonts w:ascii="仿宋" w:hAnsi="仿宋" w:eastAsia="仿宋"/>
          <w:sz w:val="32"/>
          <w:szCs w:val="32"/>
        </w:rPr>
      </w:pPr>
      <w:r>
        <w:rPr>
          <w:rFonts w:hint="eastAsia" w:ascii="仿宋_GB2312" w:hAnsi="宋体" w:cs="宋体"/>
          <w:kern w:val="0"/>
          <w:sz w:val="32"/>
          <w:szCs w:val="32"/>
        </w:rPr>
        <w:t>截至2020年11月，知识产权（专利）专项资金预算执行9946.81万元，预算执行率99.49%。</w:t>
      </w:r>
    </w:p>
    <w:p>
      <w:pPr>
        <w:spacing w:line="600" w:lineRule="exact"/>
        <w:ind w:firstLine="643" w:firstLineChars="200"/>
        <w:outlineLvl w:val="0"/>
        <w:rPr>
          <w:rFonts w:ascii="仿宋_GB2312"/>
          <w:sz w:val="32"/>
          <w:szCs w:val="32"/>
        </w:rPr>
      </w:pPr>
      <w:r>
        <w:rPr>
          <w:rFonts w:hint="eastAsia" w:ascii="仿宋_GB2312"/>
          <w:b/>
          <w:sz w:val="32"/>
          <w:szCs w:val="32"/>
        </w:rPr>
        <w:t>3.政策依据。</w:t>
      </w:r>
      <w:r>
        <w:rPr>
          <w:rFonts w:hint="eastAsia" w:ascii="仿宋_GB2312"/>
          <w:bCs/>
          <w:sz w:val="32"/>
          <w:szCs w:val="32"/>
        </w:rPr>
        <w:t>包括</w:t>
      </w:r>
      <w:r>
        <w:rPr>
          <w:rFonts w:hint="eastAsia" w:ascii="仿宋_GB2312" w:hAnsi="宋体" w:cs="宋体"/>
          <w:bCs/>
          <w:color w:val="000000"/>
          <w:kern w:val="0"/>
          <w:sz w:val="32"/>
          <w:szCs w:val="32"/>
        </w:rPr>
        <w:t>《</w:t>
      </w:r>
      <w:r>
        <w:rPr>
          <w:rFonts w:hint="eastAsia" w:ascii="仿宋_GB2312" w:hAnsi="宋体" w:cs="宋体"/>
          <w:color w:val="000000"/>
          <w:kern w:val="0"/>
          <w:sz w:val="32"/>
          <w:szCs w:val="32"/>
        </w:rPr>
        <w:t>青岛市财政局专利专项资金管理办法》（青财规〔2017〕4号）、</w:t>
      </w:r>
      <w:r>
        <w:rPr>
          <w:rFonts w:hint="eastAsia" w:ascii="仿宋_GB2312" w:hAnsi="宋体"/>
          <w:sz w:val="32"/>
          <w:szCs w:val="32"/>
        </w:rPr>
        <w:t>《青岛市知识产权运营服务体系建设实施方案》（青政字〔2017〕70号）、《青岛市科技型中小微企业专利权质押保险贷款和资助管理办法》（青科规〔2017〕6号）、</w:t>
      </w:r>
      <w:r>
        <w:rPr>
          <w:rFonts w:hint="eastAsia" w:ascii="仿宋_GB2312"/>
          <w:sz w:val="32"/>
          <w:szCs w:val="32"/>
        </w:rPr>
        <w:t>《关于落实支持新旧动能转换重大工程财政政策的实施意见》（青办发〔2018〕47号）、青岛市第十五届人民政府第126次常务会议纪要共建青岛大学，青岛市知识产权局与青岛大学2016年12月9日签订的五年共建协议、《青岛市人民政府办公厅关于印发青岛市新旧动能转换重大工程科技创新计划通知》（青政办字[2018]73号）以及《青岛市市场监督管理局青岛市财政局关于印发知识产权扶持政策实施细则的通知》（青市监字〔</w:t>
      </w:r>
      <w:r>
        <w:rPr>
          <w:rFonts w:ascii="仿宋_GB2312"/>
          <w:sz w:val="32"/>
          <w:szCs w:val="32"/>
        </w:rPr>
        <w:t>2019</w:t>
      </w:r>
      <w:r>
        <w:rPr>
          <w:rFonts w:hint="eastAsia" w:ascii="仿宋_GB2312"/>
          <w:sz w:val="32"/>
          <w:szCs w:val="32"/>
        </w:rPr>
        <w:t>〕</w:t>
      </w:r>
      <w:r>
        <w:rPr>
          <w:rFonts w:ascii="仿宋_GB2312"/>
          <w:sz w:val="32"/>
          <w:szCs w:val="32"/>
        </w:rPr>
        <w:t>328</w:t>
      </w:r>
      <w:r>
        <w:rPr>
          <w:rFonts w:hint="eastAsia" w:ascii="仿宋_GB2312"/>
          <w:sz w:val="32"/>
          <w:szCs w:val="32"/>
        </w:rPr>
        <w:t>号）。</w:t>
      </w:r>
    </w:p>
    <w:p>
      <w:pPr>
        <w:spacing w:line="620" w:lineRule="exact"/>
        <w:ind w:firstLine="640" w:firstLineChars="200"/>
        <w:rPr>
          <w:rFonts w:ascii="楷体_GB2312" w:eastAsia="楷体_GB2312"/>
          <w:sz w:val="32"/>
          <w:szCs w:val="32"/>
        </w:rPr>
      </w:pPr>
      <w:r>
        <w:rPr>
          <w:rFonts w:hint="eastAsia" w:ascii="楷体_GB2312" w:eastAsia="楷体_GB2312"/>
          <w:sz w:val="32"/>
          <w:szCs w:val="32"/>
        </w:rPr>
        <w:t>（二）项目绩效目标</w:t>
      </w:r>
    </w:p>
    <w:p>
      <w:pPr>
        <w:spacing w:line="620" w:lineRule="exact"/>
        <w:ind w:firstLine="640" w:firstLineChars="200"/>
        <w:rPr>
          <w:rFonts w:ascii="仿宋_GB2312"/>
          <w:sz w:val="32"/>
          <w:szCs w:val="32"/>
        </w:rPr>
      </w:pPr>
      <w:r>
        <w:rPr>
          <w:rFonts w:ascii="仿宋_GB2312"/>
          <w:sz w:val="32"/>
          <w:szCs w:val="32"/>
        </w:rPr>
        <w:t>知识产权</w:t>
      </w:r>
      <w:r>
        <w:rPr>
          <w:rFonts w:hint="eastAsia" w:ascii="仿宋_GB2312"/>
          <w:sz w:val="32"/>
          <w:szCs w:val="32"/>
        </w:rPr>
        <w:t>（专利）专项</w:t>
      </w:r>
      <w:r>
        <w:rPr>
          <w:rFonts w:ascii="仿宋_GB2312"/>
          <w:sz w:val="32"/>
          <w:szCs w:val="32"/>
        </w:rPr>
        <w:t>资金</w:t>
      </w:r>
      <w:r>
        <w:rPr>
          <w:rFonts w:hint="eastAsia" w:ascii="仿宋_GB2312"/>
          <w:sz w:val="32"/>
          <w:szCs w:val="32"/>
        </w:rPr>
        <w:t>总体绩效目标是</w:t>
      </w:r>
      <w:r>
        <w:rPr>
          <w:rFonts w:ascii="仿宋_GB2312"/>
          <w:sz w:val="32"/>
          <w:szCs w:val="32"/>
        </w:rPr>
        <w:t>强化知识产权创造、保护和运用，推进知识产权强企工程</w:t>
      </w:r>
      <w:r>
        <w:rPr>
          <w:rFonts w:hint="eastAsia" w:ascii="仿宋_GB2312"/>
          <w:sz w:val="32"/>
          <w:szCs w:val="32"/>
        </w:rPr>
        <w:t>。</w:t>
      </w:r>
    </w:p>
    <w:p>
      <w:pPr>
        <w:spacing w:line="620" w:lineRule="exact"/>
        <w:ind w:firstLine="640" w:firstLineChars="200"/>
        <w:rPr>
          <w:rFonts w:ascii="仿宋_GB2312"/>
          <w:bCs/>
          <w:color w:val="000000"/>
          <w:sz w:val="32"/>
          <w:szCs w:val="32"/>
        </w:rPr>
      </w:pPr>
      <w:r>
        <w:rPr>
          <w:rFonts w:hint="eastAsia" w:ascii="仿宋_GB2312"/>
          <w:sz w:val="32"/>
          <w:szCs w:val="32"/>
        </w:rPr>
        <w:t>年度绩效目标是，按照《青岛市财政局专利专项资金管理办法》等文件要求，对2019年度内符合条件的专利项目进行资助，做好知识产权公共服务平台运行维护</w:t>
      </w:r>
      <w:r>
        <w:rPr>
          <w:rFonts w:hint="eastAsia" w:ascii="仿宋_GB2312"/>
          <w:bCs/>
          <w:color w:val="000000"/>
          <w:sz w:val="32"/>
          <w:szCs w:val="32"/>
        </w:rPr>
        <w:t>。</w:t>
      </w:r>
    </w:p>
    <w:p>
      <w:pPr>
        <w:spacing w:line="560" w:lineRule="exact"/>
        <w:ind w:firstLine="640" w:firstLineChars="200"/>
        <w:outlineLvl w:val="2"/>
        <w:rPr>
          <w:rFonts w:ascii="仿宋_GB2312"/>
          <w:sz w:val="32"/>
          <w:szCs w:val="32"/>
        </w:rPr>
      </w:pPr>
      <w:r>
        <w:rPr>
          <w:rFonts w:hint="eastAsia" w:ascii="仿宋_GB2312"/>
          <w:sz w:val="32"/>
          <w:szCs w:val="32"/>
        </w:rPr>
        <w:t>年度目标已全部完成。</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二、绩效评价工作开展情况</w:t>
      </w:r>
    </w:p>
    <w:p>
      <w:pPr>
        <w:spacing w:line="600" w:lineRule="exact"/>
        <w:ind w:firstLine="640" w:firstLineChars="200"/>
        <w:outlineLvl w:val="0"/>
        <w:rPr>
          <w:rFonts w:ascii="楷体_GB2312" w:eastAsia="楷体_GB2312"/>
          <w:sz w:val="32"/>
          <w:szCs w:val="32"/>
        </w:rPr>
      </w:pPr>
      <w:r>
        <w:rPr>
          <w:rFonts w:hint="eastAsia" w:ascii="楷体_GB2312" w:eastAsia="楷体_GB2312"/>
          <w:sz w:val="32"/>
          <w:szCs w:val="32"/>
        </w:rPr>
        <w:t>（一）绩效评价目的、对象和范围</w:t>
      </w:r>
    </w:p>
    <w:p>
      <w:pPr>
        <w:spacing w:line="620" w:lineRule="exact"/>
        <w:ind w:firstLine="640" w:firstLineChars="200"/>
        <w:rPr>
          <w:rFonts w:ascii="仿宋_GB2312"/>
          <w:sz w:val="32"/>
          <w:szCs w:val="32"/>
        </w:rPr>
      </w:pPr>
      <w:r>
        <w:rPr>
          <w:rFonts w:ascii="仿宋_GB2312"/>
          <w:sz w:val="32"/>
          <w:szCs w:val="32"/>
        </w:rPr>
        <w:t>强化知识产权创造、保护和运用，</w:t>
      </w:r>
      <w:r>
        <w:rPr>
          <w:rFonts w:hint="eastAsia" w:ascii="仿宋_GB2312"/>
          <w:sz w:val="32"/>
          <w:szCs w:val="32"/>
        </w:rPr>
        <w:t>大力</w:t>
      </w:r>
      <w:r>
        <w:rPr>
          <w:rFonts w:ascii="仿宋_GB2312"/>
          <w:sz w:val="32"/>
          <w:szCs w:val="32"/>
        </w:rPr>
        <w:t>推进知识产权强</w:t>
      </w:r>
      <w:r>
        <w:rPr>
          <w:rFonts w:hint="eastAsia" w:ascii="仿宋_GB2312"/>
          <w:sz w:val="32"/>
          <w:szCs w:val="32"/>
        </w:rPr>
        <w:t>市</w:t>
      </w:r>
      <w:r>
        <w:rPr>
          <w:rFonts w:ascii="仿宋_GB2312"/>
          <w:sz w:val="32"/>
          <w:szCs w:val="32"/>
        </w:rPr>
        <w:t>战略</w:t>
      </w:r>
      <w:r>
        <w:rPr>
          <w:rFonts w:hint="eastAsia" w:ascii="仿宋_GB2312"/>
          <w:sz w:val="32"/>
          <w:szCs w:val="32"/>
        </w:rPr>
        <w:t>，</w:t>
      </w:r>
      <w:r>
        <w:rPr>
          <w:rFonts w:ascii="仿宋_GB2312"/>
          <w:sz w:val="32"/>
          <w:szCs w:val="32"/>
        </w:rPr>
        <w:t>是20</w:t>
      </w:r>
      <w:r>
        <w:rPr>
          <w:rFonts w:hint="eastAsia" w:ascii="仿宋_GB2312"/>
          <w:sz w:val="32"/>
          <w:szCs w:val="32"/>
        </w:rPr>
        <w:t>20</w:t>
      </w:r>
      <w:r>
        <w:rPr>
          <w:rFonts w:ascii="仿宋_GB2312"/>
          <w:sz w:val="32"/>
          <w:szCs w:val="32"/>
        </w:rPr>
        <w:t>年度青岛市委、市政府</w:t>
      </w:r>
      <w:r>
        <w:rPr>
          <w:rFonts w:hint="eastAsia" w:ascii="仿宋_GB2312"/>
          <w:sz w:val="32"/>
          <w:szCs w:val="32"/>
        </w:rPr>
        <w:t>确定</w:t>
      </w:r>
      <w:r>
        <w:rPr>
          <w:rFonts w:ascii="仿宋_GB2312"/>
          <w:sz w:val="32"/>
          <w:szCs w:val="32"/>
        </w:rPr>
        <w:t>的“15个攻势”重大决策部署的重要组成部分。</w:t>
      </w:r>
      <w:r>
        <w:rPr>
          <w:rFonts w:hint="eastAsia" w:ascii="仿宋_GB2312"/>
          <w:sz w:val="32"/>
          <w:szCs w:val="32"/>
        </w:rPr>
        <w:t>本次评价目的在于全面贯彻落实党中央、国务院提出的“花钱必问效，无效必问责”的政策精神，通过绩效评价工作，从任务流和资金流两方面入手，厘清财政资金投入、管理和使用全过程，凸显政策实施效益、提出切实可行的关于政策内容、管理实施等方面的改进建议，促进财政资金“提质增效”</w:t>
      </w:r>
      <w:r>
        <w:rPr>
          <w:rFonts w:ascii="仿宋_GB2312"/>
          <w:sz w:val="32"/>
          <w:szCs w:val="32"/>
        </w:rPr>
        <w:t>，</w:t>
      </w:r>
      <w:r>
        <w:rPr>
          <w:rFonts w:hint="eastAsia" w:ascii="仿宋_GB2312"/>
          <w:sz w:val="32"/>
          <w:szCs w:val="32"/>
        </w:rPr>
        <w:t>为</w:t>
      </w:r>
      <w:r>
        <w:rPr>
          <w:rFonts w:ascii="仿宋_GB2312"/>
          <w:sz w:val="32"/>
          <w:szCs w:val="32"/>
        </w:rPr>
        <w:t>提高预算管理水平提供参考和依据。</w:t>
      </w:r>
    </w:p>
    <w:p>
      <w:pPr>
        <w:spacing w:line="620" w:lineRule="exact"/>
        <w:ind w:firstLine="640" w:firstLineChars="200"/>
        <w:rPr>
          <w:rFonts w:ascii="仿宋_GB2312"/>
          <w:sz w:val="32"/>
          <w:szCs w:val="32"/>
        </w:rPr>
      </w:pPr>
      <w:r>
        <w:rPr>
          <w:rFonts w:ascii="仿宋_GB2312"/>
          <w:sz w:val="32"/>
          <w:szCs w:val="32"/>
        </w:rPr>
        <w:t>本次评价对象为20</w:t>
      </w:r>
      <w:r>
        <w:rPr>
          <w:rFonts w:hint="eastAsia" w:ascii="仿宋_GB2312"/>
          <w:sz w:val="32"/>
          <w:szCs w:val="32"/>
        </w:rPr>
        <w:t>20</w:t>
      </w:r>
      <w:r>
        <w:rPr>
          <w:rFonts w:ascii="仿宋_GB2312"/>
          <w:sz w:val="32"/>
          <w:szCs w:val="32"/>
        </w:rPr>
        <w:t>年青岛市</w:t>
      </w:r>
      <w:r>
        <w:rPr>
          <w:rFonts w:hint="eastAsia" w:ascii="仿宋_GB2312"/>
          <w:sz w:val="32"/>
          <w:szCs w:val="32"/>
        </w:rPr>
        <w:t>知识产权（专利）</w:t>
      </w:r>
      <w:r>
        <w:rPr>
          <w:rFonts w:ascii="仿宋_GB2312"/>
          <w:sz w:val="32"/>
          <w:szCs w:val="32"/>
        </w:rPr>
        <w:t>专项资金，评价范围为20</w:t>
      </w:r>
      <w:r>
        <w:rPr>
          <w:rFonts w:hint="eastAsia" w:ascii="仿宋_GB2312"/>
          <w:sz w:val="32"/>
          <w:szCs w:val="32"/>
        </w:rPr>
        <w:t>20</w:t>
      </w:r>
      <w:r>
        <w:rPr>
          <w:rFonts w:ascii="仿宋_GB2312"/>
          <w:sz w:val="32"/>
          <w:szCs w:val="32"/>
        </w:rPr>
        <w:t>年青岛市</w:t>
      </w:r>
      <w:r>
        <w:rPr>
          <w:rFonts w:hint="eastAsia" w:ascii="仿宋_GB2312"/>
          <w:sz w:val="32"/>
          <w:szCs w:val="32"/>
        </w:rPr>
        <w:t>知识产权（专利）</w:t>
      </w:r>
      <w:r>
        <w:rPr>
          <w:rFonts w:ascii="仿宋_GB2312"/>
          <w:sz w:val="32"/>
          <w:szCs w:val="32"/>
        </w:rPr>
        <w:t>专项资金项下所有预算资金，预算批复金额合计</w:t>
      </w:r>
      <w:r>
        <w:rPr>
          <w:rFonts w:hint="eastAsia" w:ascii="仿宋_GB2312"/>
          <w:sz w:val="32"/>
          <w:szCs w:val="32"/>
        </w:rPr>
        <w:t>9998.00</w:t>
      </w:r>
      <w:r>
        <w:rPr>
          <w:rFonts w:ascii="仿宋_GB2312"/>
          <w:sz w:val="32"/>
          <w:szCs w:val="32"/>
        </w:rPr>
        <w:t>万元。</w:t>
      </w:r>
    </w:p>
    <w:p>
      <w:pPr>
        <w:numPr>
          <w:ilvl w:val="0"/>
          <w:numId w:val="1"/>
        </w:numPr>
        <w:spacing w:line="600" w:lineRule="exact"/>
        <w:ind w:firstLine="640" w:firstLineChars="200"/>
        <w:outlineLvl w:val="0"/>
        <w:rPr>
          <w:rFonts w:ascii="楷体_GB2312" w:eastAsia="楷体_GB2312"/>
          <w:sz w:val="32"/>
          <w:szCs w:val="32"/>
        </w:rPr>
      </w:pPr>
      <w:bookmarkStart w:id="0" w:name="_bookmark5"/>
      <w:bookmarkEnd w:id="0"/>
      <w:r>
        <w:rPr>
          <w:rFonts w:hint="eastAsia" w:ascii="楷体_GB2312" w:eastAsia="楷体_GB2312"/>
          <w:sz w:val="32"/>
          <w:szCs w:val="32"/>
        </w:rPr>
        <w:t>绩效评价原则</w:t>
      </w:r>
    </w:p>
    <w:p>
      <w:pPr>
        <w:spacing w:line="600" w:lineRule="exact"/>
        <w:ind w:firstLine="640" w:firstLineChars="200"/>
        <w:rPr>
          <w:rFonts w:ascii="仿宋_GB2312" w:hAnsi="仿宋"/>
          <w:kern w:val="0"/>
          <w:sz w:val="32"/>
          <w:szCs w:val="32"/>
        </w:rPr>
      </w:pPr>
      <w:r>
        <w:rPr>
          <w:rFonts w:hint="eastAsia" w:ascii="仿宋_GB2312" w:hAnsi="仿宋"/>
          <w:kern w:val="0"/>
          <w:sz w:val="32"/>
          <w:szCs w:val="32"/>
        </w:rPr>
        <w:t>1.客观公正。评价内容客观、公正，标准统一、资料可靠，评价过程与结果依法公开并接受监督。</w:t>
      </w:r>
    </w:p>
    <w:p>
      <w:pPr>
        <w:spacing w:line="600" w:lineRule="exact"/>
        <w:ind w:firstLine="640" w:firstLineChars="200"/>
        <w:rPr>
          <w:rFonts w:ascii="仿宋_GB2312" w:hAnsi="仿宋"/>
          <w:kern w:val="0"/>
          <w:sz w:val="32"/>
          <w:szCs w:val="32"/>
        </w:rPr>
      </w:pPr>
      <w:r>
        <w:rPr>
          <w:rFonts w:hint="eastAsia" w:ascii="仿宋_GB2312" w:hAnsi="仿宋"/>
          <w:kern w:val="0"/>
          <w:sz w:val="32"/>
          <w:szCs w:val="32"/>
        </w:rPr>
        <w:t>2.科学规范。严格执行规定的评价程序，采用定量为主定性为辅的综合分析方法，科学合理地对专项资金项目的必要性、合规性和效益进行评价。</w:t>
      </w:r>
    </w:p>
    <w:p>
      <w:pPr>
        <w:spacing w:line="600" w:lineRule="exact"/>
        <w:ind w:firstLine="640" w:firstLineChars="200"/>
        <w:rPr>
          <w:rFonts w:ascii="仿宋_GB2312" w:hAnsi="仿宋"/>
          <w:kern w:val="0"/>
          <w:sz w:val="32"/>
          <w:szCs w:val="32"/>
        </w:rPr>
      </w:pPr>
      <w:r>
        <w:rPr>
          <w:rFonts w:hint="eastAsia" w:ascii="仿宋_GB2312" w:hAnsi="仿宋"/>
          <w:kern w:val="0"/>
          <w:sz w:val="32"/>
          <w:szCs w:val="32"/>
        </w:rPr>
        <w:t>3.绩效相关。针对专项资金及其产出绩效进行评价，评价结果清晰反映项目实施和产出绩效之间的紧密对应关系。</w:t>
      </w:r>
    </w:p>
    <w:p>
      <w:pPr>
        <w:numPr>
          <w:ilvl w:val="0"/>
          <w:numId w:val="1"/>
        </w:numPr>
        <w:spacing w:line="600" w:lineRule="exact"/>
        <w:ind w:firstLine="640" w:firstLineChars="200"/>
        <w:outlineLvl w:val="0"/>
        <w:rPr>
          <w:rFonts w:ascii="楷体_GB2312" w:eastAsia="楷体_GB2312"/>
          <w:sz w:val="32"/>
          <w:szCs w:val="32"/>
        </w:rPr>
      </w:pPr>
      <w:r>
        <w:rPr>
          <w:rFonts w:hint="eastAsia" w:ascii="楷体_GB2312" w:eastAsia="楷体_GB2312"/>
          <w:sz w:val="32"/>
          <w:szCs w:val="32"/>
        </w:rPr>
        <w:t>绩效评价指标体系</w:t>
      </w:r>
    </w:p>
    <w:p>
      <w:pPr>
        <w:spacing w:line="600" w:lineRule="exact"/>
        <w:ind w:firstLine="640" w:firstLineChars="200"/>
        <w:outlineLvl w:val="0"/>
        <w:rPr>
          <w:rFonts w:ascii="仿宋_GB2312"/>
          <w:sz w:val="32"/>
          <w:szCs w:val="32"/>
        </w:rPr>
      </w:pPr>
      <w:r>
        <w:rPr>
          <w:rFonts w:hint="eastAsia" w:ascii="仿宋_GB2312"/>
          <w:sz w:val="32"/>
          <w:szCs w:val="32"/>
        </w:rPr>
        <w:t>本次评价依据《关于印发&lt;市级项目支出部门绩效评价操作规程&gt;的通知》(青财绩〔2020〕8 号)的要求，从决策、过程、产出、效益四个方面，对专项资金的实施情况开展评价。</w:t>
      </w:r>
    </w:p>
    <w:p>
      <w:pPr>
        <w:spacing w:line="600" w:lineRule="exact"/>
        <w:ind w:firstLine="640" w:firstLineChars="20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决策方面包括项目立项、绩效目标和资金投入3个二级指标。项目立项方面下设2个三级指标，其中“立项依据充分性”考察项目立项是否符合法律法规、相关政策、发展规划以及部门职责，用以反映和考核项目立项依据情况；“立项程序规范性”考察项目的申请、设立过程是否符合相关要求，用以反映和考核项目立项的规范情况。绩效目标方面下设2个三级指标，其中“绩效目标合理性”考察项目所设定的绩效目标是否依据充分，是否符合客观实际，用以反映和考核项目绩效目标与项目实施的相符情况；“绩效指标明确性”考察依据绩效目标设定的绩效指标是否清晰、细化、可衡量等，用以反映和考核项目绩效目标的明细化情况。资金投入方面下设2个三级指标，其中“预算编制科学性”考察项目预算编制是否经过科学论证、有明确标准，资金额度与年度目标是否相适应，用以反映和考核项目预算编制的科学性、合理性情况；“资金分配合理性” 考察项目资金分配是否有测算依据，预算安排内容与专项资金的设立目的及年度工作重点是否一致，用以反映和考核项目预算资金分配的科学性、合理性。</w:t>
      </w:r>
    </w:p>
    <w:p>
      <w:pPr>
        <w:spacing w:line="600" w:lineRule="exact"/>
        <w:ind w:firstLine="640" w:firstLineChars="20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过程方面包括资金管理和组织实施2个二级指标。资金管理方面包括3个三级指标，其中“资金到位率”考察实际到位资金与预算资金的比率，用以反映和考核资金落实情况对项目实施的总体保障程度；“预算执行率”考察项目预算资金是否按照计划执行，用以反映或考核项目预算执行情况；“资金使用合规性”考察项目资金使用是否符合相关的财务管理制度规定，用以反映和考核项目资金的规范运行情况。组织实施方面包括2个三级指标，其中“管理制度健全性”考察项目实施单位的管理制度是否健全，是否已制定或具有相应的财务和业务管理制度，财务和业务管理制度是否合法、合规、完整。用以反映和考核财务和业务管理制度对项目顺利实施的保障情况；“制度执行有效性”考察项目实施是否符合相关管理规定，用以反映和考核相关管理制度的有效执行情况。</w:t>
      </w:r>
    </w:p>
    <w:p>
      <w:pPr>
        <w:spacing w:line="600" w:lineRule="exact"/>
        <w:ind w:firstLine="640" w:firstLineChars="20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产出方面包括产出数量、产出质量、产出时效和产出成本4个二级指标。产出数量方面包括2个三级指标，其中“实际完成率”考察项目实施的实际产出数与计划产出数的比率，用以反映和考核项目产出数量目标的实现程度；“数量变动率”考察项目实际增减变动完成情况。产出质量方面二级指标为“质量达标率”，考察项目完成的质量达标产出数与实际产出数的比率，用以反映和考核项目产出质量目标的实现程度。产出时效方面二级指标为“完成及时率”，考察各项目是否均按照计划、文件批复等相关规定及时完成，用以反映和考核项目产出时效目标的实现程度。产出成本方面二级指标为“成本节约率”，考察完成项目计划工作目标的实际节约成本与计划成本的比率，用以反映和考核项目的成本节约程度。</w:t>
      </w:r>
    </w:p>
    <w:p>
      <w:pPr>
        <w:spacing w:line="600" w:lineRule="exact"/>
        <w:ind w:firstLine="640" w:firstLineChars="200"/>
        <w:outlineLvl w:val="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效益方面包括社会效益、可持续影响效益和满意度3个二级指标。社会效益方面设置3个三级指标，其中“受补助企业产出高价值专利数量”考察受补助企业涉及高价值专利创造情况；“公众对知识产权为财产权的认知率”考察公众对知识产权为财产权的认知率；“政策知晓度”考察潜在企业政策知晓度。可持续影响方面设置2个三级指标，其中“政策可持续性”考察项目后续运行及成效发挥的可持续影响情况；“项目发展机制可持续性”考察项目运转是否形成了可持续发展的机制。满意度方面设置“社会公众满意度”三级指标，考察受益对象对项目实施效果的满意程度。</w:t>
      </w:r>
    </w:p>
    <w:p>
      <w:pPr>
        <w:spacing w:line="600" w:lineRule="exact"/>
        <w:ind w:firstLine="640" w:firstLineChars="200"/>
        <w:outlineLvl w:val="0"/>
        <w:rPr>
          <w:rFonts w:ascii="仿宋_GB2312" w:eastAsia="楷体_GB2312"/>
          <w:sz w:val="32"/>
          <w:szCs w:val="32"/>
        </w:rPr>
      </w:pPr>
      <w:r>
        <w:rPr>
          <w:rFonts w:hint="eastAsia" w:ascii="楷体_GB2312" w:eastAsia="楷体_GB2312"/>
          <w:sz w:val="32"/>
          <w:szCs w:val="32"/>
        </w:rPr>
        <w:t>（四）绩效评价方法及评价标准</w:t>
      </w:r>
    </w:p>
    <w:p>
      <w:pPr>
        <w:spacing w:line="600" w:lineRule="exact"/>
        <w:ind w:firstLine="640" w:firstLineChars="200"/>
        <w:outlineLvl w:val="0"/>
        <w:rPr>
          <w:rFonts w:ascii="仿宋_GB2312"/>
          <w:sz w:val="32"/>
          <w:szCs w:val="32"/>
        </w:rPr>
      </w:pPr>
      <w:r>
        <w:rPr>
          <w:rFonts w:hint="eastAsia" w:ascii="仿宋_GB2312"/>
          <w:sz w:val="32"/>
          <w:szCs w:val="32"/>
        </w:rPr>
        <w:t>本次评价项目为依据专项政策而实施的项目，需要对政策投入、政策实施过程，以及产出和效果作全面的考察和分析，基于上述评价工作开展的客观需要，结合本次评价工作的实施思路，本次评价主要采用成本效益分析法，具体是指将投入与产出、效益进行关联性分析的方法。方法应用：将本次评价专项政策投入与支持自主创新、强企惠民等社会、经济指标进行比较，以此量化政策实施效益。</w:t>
      </w:r>
    </w:p>
    <w:p>
      <w:pPr>
        <w:spacing w:line="600" w:lineRule="exact"/>
        <w:ind w:firstLine="640" w:firstLineChars="200"/>
        <w:outlineLvl w:val="0"/>
        <w:rPr>
          <w:rFonts w:ascii="楷体_GB2312" w:eastAsia="楷体_GB2312"/>
          <w:sz w:val="32"/>
          <w:szCs w:val="32"/>
        </w:rPr>
      </w:pPr>
      <w:r>
        <w:rPr>
          <w:rFonts w:hint="eastAsia" w:ascii="楷体_GB2312" w:eastAsia="楷体_GB2312"/>
          <w:sz w:val="32"/>
          <w:szCs w:val="32"/>
        </w:rPr>
        <w:t>（五）绩效评价工作过程</w:t>
      </w:r>
    </w:p>
    <w:p>
      <w:pPr>
        <w:spacing w:line="600" w:lineRule="exact"/>
        <w:ind w:firstLine="640" w:firstLineChars="200"/>
        <w:outlineLvl w:val="0"/>
        <w:rPr>
          <w:rFonts w:ascii="仿宋_GB2312"/>
          <w:sz w:val="32"/>
          <w:szCs w:val="32"/>
        </w:rPr>
      </w:pPr>
      <w:r>
        <w:rPr>
          <w:rFonts w:hint="eastAsia" w:ascii="仿宋_GB2312"/>
          <w:sz w:val="32"/>
          <w:szCs w:val="32"/>
        </w:rPr>
        <w:t>基于上述本次评价对象的总体定位和评价目的，本次绩效评价重点具体体现在以下几个方面：</w:t>
      </w:r>
    </w:p>
    <w:p>
      <w:pPr>
        <w:spacing w:line="600" w:lineRule="exact"/>
        <w:ind w:firstLine="640" w:firstLineChars="200"/>
        <w:outlineLvl w:val="0"/>
        <w:rPr>
          <w:rFonts w:ascii="仿宋_GB2312"/>
          <w:sz w:val="32"/>
          <w:szCs w:val="32"/>
        </w:rPr>
      </w:pPr>
      <w:r>
        <w:rPr>
          <w:rFonts w:hint="eastAsia" w:ascii="仿宋_GB2312"/>
          <w:sz w:val="32"/>
          <w:szCs w:val="32"/>
        </w:rPr>
        <w:t>从纵向和横向两个层面对专项政策进行梳理，纵向方面根据政策的制定情况，《青岛市财政局专利专项资金管理办法》《知识产权扶持政策实施细则》等政策依据文件，梳理本次评价的政策目标、考察政策设立依据的充分性、政策内容的恰当性、政策配套等。横向方面一是与省内外可比地区相关政策作比较，分析异同、总结经验；二是梳理同期青岛市本级其他涉及促进专利发展相关政策内容，考察与其他相关政策内容上是否存在重合，与其他部门在相关政策衔接方面是否顺畅，为后续项目的决策提供参考。</w:t>
      </w:r>
    </w:p>
    <w:p>
      <w:pPr>
        <w:spacing w:line="600" w:lineRule="exact"/>
        <w:ind w:firstLine="640" w:firstLineChars="200"/>
        <w:outlineLvl w:val="0"/>
        <w:rPr>
          <w:rFonts w:ascii="楷体_GB2312" w:eastAsia="楷体_GB2312"/>
          <w:sz w:val="32"/>
          <w:szCs w:val="32"/>
        </w:rPr>
      </w:pPr>
      <w:r>
        <w:rPr>
          <w:rFonts w:hint="eastAsia" w:ascii="仿宋_GB2312"/>
          <w:sz w:val="32"/>
          <w:szCs w:val="32"/>
        </w:rPr>
        <w:t>以市市场监管局部门职责、年度工作计划及项目申报绩效目标为抓手，从任务流和资金流两方面考察政策实施的实际产出和效果。任务流方面，一是对照预算申报的绩效目标，从数量、质量、时效三方面考察政策实施的实际产出以及政策实施效果，凸显政策实施的成效，分析存在差异的原因；二是考察项目申请、项目评审、补贴发放等政策实施的主要环节，考察政策实施过程安排的合理性及规范性，总结管理中的亮点和经验，发现不足、提出切实可行的管理建议，进一步推动政策调整提升项目效益；三是根据预算的实际执行情况，依据专项资金管理办法等资金管理文件，考察财政资金的使用的合规性、合理性及资金使用效率，提出管理建议，进一步提高财政资金使用效益。</w:t>
      </w:r>
    </w:p>
    <w:p>
      <w:pPr>
        <w:spacing w:line="600" w:lineRule="exact"/>
        <w:ind w:firstLine="640" w:firstLineChars="200"/>
        <w:rPr>
          <w:rFonts w:ascii="仿宋_GB2312"/>
          <w:sz w:val="32"/>
          <w:szCs w:val="32"/>
        </w:rPr>
      </w:pPr>
      <w:r>
        <w:rPr>
          <w:rFonts w:hint="eastAsia" w:ascii="黑体" w:hAnsi="黑体" w:eastAsia="黑体"/>
          <w:sz w:val="32"/>
          <w:szCs w:val="32"/>
        </w:rPr>
        <w:t>三、综合评价情况及评价结论</w:t>
      </w:r>
    </w:p>
    <w:p>
      <w:pPr>
        <w:spacing w:line="600" w:lineRule="exact"/>
        <w:ind w:firstLine="640" w:firstLineChars="200"/>
        <w:outlineLvl w:val="0"/>
        <w:rPr>
          <w:rFonts w:ascii="仿宋_GB2312"/>
          <w:sz w:val="32"/>
          <w:szCs w:val="32"/>
        </w:rPr>
      </w:pPr>
      <w:r>
        <w:rPr>
          <w:rFonts w:hint="eastAsia" w:ascii="楷体_GB2312" w:eastAsia="楷体_GB2312"/>
          <w:sz w:val="32"/>
          <w:szCs w:val="32"/>
        </w:rPr>
        <w:t>（一）资金总体评价结论</w:t>
      </w:r>
    </w:p>
    <w:p>
      <w:pPr>
        <w:spacing w:line="600" w:lineRule="exact"/>
        <w:ind w:firstLine="640" w:firstLineChars="200"/>
        <w:outlineLvl w:val="0"/>
        <w:rPr>
          <w:rFonts w:ascii="仿宋_GB2312"/>
          <w:sz w:val="32"/>
          <w:szCs w:val="32"/>
        </w:rPr>
      </w:pPr>
      <w:r>
        <w:rPr>
          <w:rFonts w:ascii="仿宋_GB2312"/>
          <w:sz w:val="32"/>
          <w:szCs w:val="32"/>
        </w:rPr>
        <w:t>20</w:t>
      </w:r>
      <w:r>
        <w:rPr>
          <w:rFonts w:hint="eastAsia" w:ascii="仿宋_GB2312"/>
          <w:sz w:val="32"/>
          <w:szCs w:val="32"/>
        </w:rPr>
        <w:t>20</w:t>
      </w:r>
      <w:r>
        <w:rPr>
          <w:rFonts w:ascii="仿宋_GB2312"/>
          <w:sz w:val="32"/>
          <w:szCs w:val="32"/>
        </w:rPr>
        <w:t>年度青岛市</w:t>
      </w:r>
      <w:r>
        <w:rPr>
          <w:rFonts w:hint="eastAsia" w:ascii="仿宋_GB2312"/>
          <w:sz w:val="32"/>
          <w:szCs w:val="32"/>
        </w:rPr>
        <w:t>知识产权（专利）</w:t>
      </w:r>
      <w:r>
        <w:rPr>
          <w:rFonts w:ascii="仿宋_GB2312"/>
          <w:sz w:val="32"/>
          <w:szCs w:val="32"/>
        </w:rPr>
        <w:t>专项资金项目总体得分为9</w:t>
      </w:r>
      <w:r>
        <w:rPr>
          <w:rFonts w:hint="eastAsia" w:ascii="仿宋_GB2312"/>
          <w:sz w:val="32"/>
          <w:szCs w:val="32"/>
        </w:rPr>
        <w:t>0</w:t>
      </w:r>
      <w:r>
        <w:rPr>
          <w:rFonts w:ascii="仿宋_GB2312"/>
          <w:sz w:val="32"/>
          <w:szCs w:val="32"/>
        </w:rPr>
        <w:t>.</w:t>
      </w:r>
      <w:r>
        <w:rPr>
          <w:rFonts w:hint="eastAsia" w:ascii="仿宋_GB2312"/>
          <w:sz w:val="32"/>
          <w:szCs w:val="32"/>
        </w:rPr>
        <w:t>25</w:t>
      </w:r>
      <w:r>
        <w:rPr>
          <w:rFonts w:ascii="仿宋_GB2312"/>
          <w:sz w:val="32"/>
          <w:szCs w:val="32"/>
        </w:rPr>
        <w:t>分，绩效评价等级为：优。其中“决策”权重20分，得17.5分，得分率8</w:t>
      </w:r>
      <w:r>
        <w:rPr>
          <w:rFonts w:hint="eastAsia" w:ascii="仿宋_GB2312"/>
          <w:sz w:val="32"/>
          <w:szCs w:val="32"/>
        </w:rPr>
        <w:t>7</w:t>
      </w:r>
      <w:r>
        <w:rPr>
          <w:rFonts w:ascii="仿宋_GB2312"/>
          <w:sz w:val="32"/>
          <w:szCs w:val="32"/>
        </w:rPr>
        <w:t>.5%；“过程”权重20分，得19.</w:t>
      </w:r>
      <w:r>
        <w:rPr>
          <w:rFonts w:hint="eastAsia" w:ascii="仿宋_GB2312"/>
          <w:sz w:val="32"/>
          <w:szCs w:val="32"/>
        </w:rPr>
        <w:t>35</w:t>
      </w:r>
      <w:r>
        <w:rPr>
          <w:rFonts w:ascii="仿宋_GB2312"/>
          <w:sz w:val="32"/>
          <w:szCs w:val="32"/>
        </w:rPr>
        <w:t>分，得分率9</w:t>
      </w:r>
      <w:r>
        <w:rPr>
          <w:rFonts w:hint="eastAsia" w:ascii="仿宋_GB2312"/>
          <w:sz w:val="32"/>
          <w:szCs w:val="32"/>
        </w:rPr>
        <w:t>6.7</w:t>
      </w:r>
      <w:r>
        <w:rPr>
          <w:rFonts w:ascii="仿宋_GB2312"/>
          <w:sz w:val="32"/>
          <w:szCs w:val="32"/>
        </w:rPr>
        <w:t>%</w:t>
      </w:r>
      <w:r>
        <w:rPr>
          <w:rFonts w:hint="eastAsia" w:ascii="仿宋_GB2312"/>
          <w:sz w:val="32"/>
          <w:szCs w:val="32"/>
        </w:rPr>
        <w:t>；</w:t>
      </w:r>
      <w:r>
        <w:rPr>
          <w:rFonts w:ascii="仿宋_GB2312"/>
          <w:sz w:val="32"/>
          <w:szCs w:val="32"/>
        </w:rPr>
        <w:t>“产出”权重25分，得2</w:t>
      </w:r>
      <w:r>
        <w:rPr>
          <w:rFonts w:hint="eastAsia" w:ascii="仿宋_GB2312"/>
          <w:sz w:val="32"/>
          <w:szCs w:val="32"/>
        </w:rPr>
        <w:t>4</w:t>
      </w:r>
      <w:r>
        <w:rPr>
          <w:rFonts w:ascii="仿宋_GB2312"/>
          <w:sz w:val="32"/>
          <w:szCs w:val="32"/>
        </w:rPr>
        <w:t>.</w:t>
      </w:r>
      <w:r>
        <w:rPr>
          <w:rFonts w:hint="eastAsia" w:ascii="仿宋_GB2312"/>
          <w:sz w:val="32"/>
          <w:szCs w:val="32"/>
        </w:rPr>
        <w:t>3</w:t>
      </w:r>
      <w:r>
        <w:rPr>
          <w:rFonts w:ascii="仿宋_GB2312"/>
          <w:sz w:val="32"/>
          <w:szCs w:val="32"/>
        </w:rPr>
        <w:t>分，得分率9</w:t>
      </w:r>
      <w:r>
        <w:rPr>
          <w:rFonts w:hint="eastAsia" w:ascii="仿宋_GB2312"/>
          <w:sz w:val="32"/>
          <w:szCs w:val="32"/>
        </w:rPr>
        <w:t>7</w:t>
      </w:r>
      <w:r>
        <w:rPr>
          <w:rFonts w:ascii="仿宋_GB2312"/>
          <w:sz w:val="32"/>
          <w:szCs w:val="32"/>
        </w:rPr>
        <w:t>.</w:t>
      </w:r>
      <w:r>
        <w:rPr>
          <w:rFonts w:hint="eastAsia" w:ascii="仿宋_GB2312"/>
          <w:sz w:val="32"/>
          <w:szCs w:val="32"/>
        </w:rPr>
        <w:t>2</w:t>
      </w:r>
      <w:r>
        <w:rPr>
          <w:rFonts w:ascii="仿宋_GB2312"/>
          <w:sz w:val="32"/>
          <w:szCs w:val="32"/>
        </w:rPr>
        <w:t>%；“效益”权重35分，得</w:t>
      </w:r>
      <w:r>
        <w:rPr>
          <w:rFonts w:hint="eastAsia" w:ascii="仿宋_GB2312"/>
          <w:sz w:val="32"/>
          <w:szCs w:val="32"/>
        </w:rPr>
        <w:t>29</w:t>
      </w:r>
      <w:r>
        <w:rPr>
          <w:rFonts w:ascii="仿宋_GB2312"/>
          <w:sz w:val="32"/>
          <w:szCs w:val="32"/>
        </w:rPr>
        <w:t>.</w:t>
      </w:r>
      <w:r>
        <w:rPr>
          <w:rFonts w:hint="eastAsia" w:ascii="仿宋_GB2312"/>
          <w:sz w:val="32"/>
          <w:szCs w:val="32"/>
        </w:rPr>
        <w:t>1</w:t>
      </w:r>
      <w:r>
        <w:rPr>
          <w:rFonts w:ascii="仿宋_GB2312"/>
          <w:sz w:val="32"/>
          <w:szCs w:val="32"/>
        </w:rPr>
        <w:t>分，得分率8</w:t>
      </w:r>
      <w:r>
        <w:rPr>
          <w:rFonts w:hint="eastAsia" w:ascii="仿宋_GB2312"/>
          <w:sz w:val="32"/>
          <w:szCs w:val="32"/>
        </w:rPr>
        <w:t>3</w:t>
      </w:r>
      <w:r>
        <w:rPr>
          <w:rFonts w:ascii="仿宋_GB2312"/>
          <w:sz w:val="32"/>
          <w:szCs w:val="32"/>
        </w:rPr>
        <w:t>.</w:t>
      </w:r>
      <w:r>
        <w:rPr>
          <w:rFonts w:hint="eastAsia" w:ascii="仿宋_GB2312"/>
          <w:sz w:val="32"/>
          <w:szCs w:val="32"/>
        </w:rPr>
        <w:t>2</w:t>
      </w:r>
      <w:r>
        <w:rPr>
          <w:rFonts w:ascii="仿宋_GB2312"/>
          <w:sz w:val="32"/>
          <w:szCs w:val="32"/>
        </w:rPr>
        <w:t>%。</w:t>
      </w:r>
      <w:r>
        <w:rPr>
          <w:rFonts w:hint="eastAsia" w:ascii="仿宋_GB2312"/>
          <w:sz w:val="32"/>
          <w:szCs w:val="32"/>
        </w:rPr>
        <w:t>建议继续保留该项目。</w:t>
      </w:r>
    </w:p>
    <w:p>
      <w:pPr>
        <w:spacing w:line="600" w:lineRule="exact"/>
        <w:ind w:firstLine="640" w:firstLineChars="200"/>
        <w:outlineLvl w:val="0"/>
        <w:rPr>
          <w:rFonts w:ascii="楷体_GB2312" w:hAnsi="楷体_GB2312" w:eastAsia="楷体_GB2312" w:cs="楷体_GB2312"/>
          <w:sz w:val="32"/>
          <w:szCs w:val="32"/>
        </w:rPr>
      </w:pPr>
      <w:r>
        <w:rPr>
          <w:rFonts w:hint="eastAsia" w:ascii="楷体_GB2312" w:hAnsi="楷体_GB2312" w:eastAsia="楷体_GB2312" w:cs="楷体_GB2312"/>
          <w:sz w:val="32"/>
          <w:szCs w:val="32"/>
        </w:rPr>
        <w:t>（二）各明细项目预算执行情况</w:t>
      </w:r>
    </w:p>
    <w:p>
      <w:pPr>
        <w:spacing w:line="600" w:lineRule="exact"/>
        <w:ind w:firstLine="643" w:firstLineChars="200"/>
        <w:outlineLvl w:val="0"/>
        <w:rPr>
          <w:rFonts w:ascii="仿宋_GB2312"/>
          <w:sz w:val="32"/>
          <w:szCs w:val="32"/>
        </w:rPr>
      </w:pPr>
      <w:r>
        <w:rPr>
          <w:rFonts w:hint="eastAsia" w:ascii="仿宋_GB2312"/>
          <w:b/>
          <w:bCs/>
          <w:sz w:val="32"/>
          <w:szCs w:val="32"/>
        </w:rPr>
        <w:t>1.资金到位和执行情况分析</w:t>
      </w:r>
      <w:r>
        <w:rPr>
          <w:rFonts w:hint="eastAsia" w:ascii="仿宋_GB2312"/>
          <w:sz w:val="32"/>
          <w:szCs w:val="32"/>
        </w:rPr>
        <w:t>。预算资金9998.00万元，执行资金9946.81万元，执行率99.49%，预算执行进度与预期相符，结余资金已上缴财政，不存在闲置沉淀浪费现象。</w:t>
      </w:r>
    </w:p>
    <w:p>
      <w:pPr>
        <w:spacing w:line="600" w:lineRule="exact"/>
        <w:ind w:firstLine="643" w:firstLineChars="200"/>
        <w:outlineLvl w:val="0"/>
        <w:rPr>
          <w:rFonts w:ascii="仿宋_GB2312"/>
          <w:sz w:val="32"/>
          <w:szCs w:val="32"/>
        </w:rPr>
      </w:pPr>
      <w:r>
        <w:rPr>
          <w:rFonts w:hint="eastAsia" w:ascii="仿宋_GB2312"/>
          <w:b/>
          <w:bCs/>
          <w:sz w:val="32"/>
          <w:szCs w:val="32"/>
        </w:rPr>
        <w:t>2.资金管理情况分析</w:t>
      </w:r>
      <w:r>
        <w:rPr>
          <w:rFonts w:hint="eastAsia" w:ascii="仿宋_GB2312"/>
          <w:sz w:val="32"/>
          <w:szCs w:val="32"/>
        </w:rPr>
        <w:t>。资金使用符合规定用途，无违法违规使用问题。</w:t>
      </w:r>
    </w:p>
    <w:p>
      <w:pPr>
        <w:spacing w:line="600" w:lineRule="exact"/>
        <w:ind w:firstLine="600" w:firstLineChars="200"/>
        <w:rPr>
          <w:rFonts w:ascii="黑体" w:hAnsi="黑体" w:eastAsia="黑体"/>
          <w:szCs w:val="30"/>
        </w:rPr>
      </w:pPr>
      <w:r>
        <w:rPr>
          <w:rFonts w:hint="eastAsia" w:ascii="黑体" w:hAnsi="黑体" w:eastAsia="黑体"/>
          <w:szCs w:val="30"/>
        </w:rPr>
        <w:t>四、绩效评价指标分析</w:t>
      </w:r>
    </w:p>
    <w:p>
      <w:pPr>
        <w:spacing w:line="600" w:lineRule="exact"/>
        <w:ind w:firstLine="600" w:firstLineChars="200"/>
        <w:outlineLvl w:val="0"/>
        <w:rPr>
          <w:rFonts w:ascii="楷体_GB2312" w:eastAsia="楷体_GB2312"/>
          <w:szCs w:val="30"/>
        </w:rPr>
      </w:pPr>
      <w:r>
        <w:rPr>
          <w:rFonts w:hint="eastAsia" w:ascii="楷体_GB2312" w:eastAsia="楷体_GB2312"/>
          <w:szCs w:val="30"/>
        </w:rPr>
        <w:t>（一）项目决策情况</w:t>
      </w:r>
    </w:p>
    <w:p>
      <w:pPr>
        <w:spacing w:line="600" w:lineRule="exact"/>
        <w:ind w:firstLine="643" w:firstLineChars="200"/>
        <w:outlineLvl w:val="0"/>
        <w:rPr>
          <w:rStyle w:val="29"/>
          <w:rFonts w:ascii="仿宋_GB2312"/>
          <w:color w:val="000000"/>
          <w:sz w:val="32"/>
          <w:szCs w:val="32"/>
        </w:rPr>
      </w:pPr>
      <w:r>
        <w:rPr>
          <w:rStyle w:val="29"/>
          <w:rFonts w:hint="eastAsia" w:ascii="仿宋_GB2312" w:hAnsi="仿宋_GB2312" w:cs="仿宋_GB2312"/>
          <w:b/>
          <w:bCs/>
          <w:color w:val="000000"/>
          <w:sz w:val="32"/>
          <w:szCs w:val="32"/>
        </w:rPr>
        <w:t>1.立项依据充分性</w:t>
      </w:r>
      <w:r>
        <w:rPr>
          <w:rStyle w:val="29"/>
          <w:rFonts w:hint="eastAsia" w:ascii="仿宋_GB2312"/>
          <w:color w:val="000000"/>
          <w:sz w:val="32"/>
          <w:szCs w:val="32"/>
        </w:rPr>
        <w:t>。项目立项符合国家法律法规、国民经济发展规划和相关政策，符合行业发展规划和政策要求，与部门职责范围相符，属于部门履职所需，属于公共财政支持范围，符合中央、地方事权支出责任划分原则，项目与相关部门同类项目或部门内部相关项目不重复。该项指标得满分3分。</w:t>
      </w:r>
    </w:p>
    <w:p>
      <w:pPr>
        <w:spacing w:line="600" w:lineRule="exact"/>
        <w:ind w:firstLine="643" w:firstLineChars="200"/>
        <w:rPr>
          <w:rStyle w:val="29"/>
          <w:rFonts w:ascii="仿宋_GB2312"/>
          <w:color w:val="000000"/>
          <w:sz w:val="32"/>
          <w:szCs w:val="32"/>
        </w:rPr>
      </w:pPr>
      <w:r>
        <w:rPr>
          <w:rStyle w:val="29"/>
          <w:rFonts w:hint="eastAsia" w:ascii="仿宋_GB2312" w:hAnsi="仿宋_GB2312" w:cs="仿宋_GB2312"/>
          <w:b/>
          <w:bCs/>
          <w:color w:val="000000"/>
          <w:sz w:val="32"/>
          <w:szCs w:val="32"/>
        </w:rPr>
        <w:t>2.立项程序规范性。</w:t>
      </w:r>
      <w:r>
        <w:rPr>
          <w:rStyle w:val="29"/>
          <w:rFonts w:hint="eastAsia" w:ascii="仿宋_GB2312"/>
          <w:color w:val="000000"/>
          <w:sz w:val="32"/>
          <w:szCs w:val="32"/>
        </w:rPr>
        <w:t>项目按照规定的程序申请设立，所提交的文件、材料符合相关要求，事前已经过必要的可行性研究、专家论证、集体决策等程序。该项指标得满分3分。</w:t>
      </w:r>
    </w:p>
    <w:p>
      <w:pPr>
        <w:spacing w:line="600" w:lineRule="exact"/>
        <w:ind w:firstLine="643" w:firstLineChars="200"/>
        <w:rPr>
          <w:rStyle w:val="29"/>
          <w:rFonts w:ascii="仿宋_GB2312"/>
          <w:color w:val="000000"/>
          <w:sz w:val="32"/>
          <w:szCs w:val="32"/>
        </w:rPr>
      </w:pPr>
      <w:r>
        <w:rPr>
          <w:rStyle w:val="29"/>
          <w:rFonts w:hint="eastAsia" w:ascii="仿宋_GB2312" w:hAnsi="仿宋_GB2312" w:cs="仿宋_GB2312"/>
          <w:b/>
          <w:bCs/>
          <w:color w:val="000000"/>
          <w:sz w:val="32"/>
          <w:szCs w:val="32"/>
        </w:rPr>
        <w:t>3.绩效目标合理性</w:t>
      </w:r>
      <w:r>
        <w:rPr>
          <w:rStyle w:val="29"/>
          <w:rFonts w:hint="eastAsia" w:ascii="仿宋_GB2312"/>
          <w:color w:val="000000"/>
          <w:sz w:val="32"/>
          <w:szCs w:val="32"/>
        </w:rPr>
        <w:t>。该项目有绩效目标，且绩效目标与实际工作内容相关，项目预期产出效益和效果符合正常的业绩水平，绩效目标与预算确定的项目资金量相匹配。该项指标得满分3分。</w:t>
      </w:r>
    </w:p>
    <w:p>
      <w:pPr>
        <w:spacing w:line="600" w:lineRule="exact"/>
        <w:ind w:firstLine="643" w:firstLineChars="200"/>
        <w:rPr>
          <w:rStyle w:val="29"/>
          <w:rFonts w:ascii="仿宋_GB2312"/>
          <w:color w:val="000000"/>
          <w:sz w:val="32"/>
          <w:szCs w:val="32"/>
        </w:rPr>
      </w:pPr>
      <w:r>
        <w:rPr>
          <w:rStyle w:val="29"/>
          <w:rFonts w:hint="eastAsia" w:ascii="仿宋_GB2312" w:hAnsi="仿宋_GB2312" w:cs="仿宋_GB2312"/>
          <w:b/>
          <w:bCs/>
          <w:color w:val="000000"/>
          <w:sz w:val="32"/>
          <w:szCs w:val="32"/>
        </w:rPr>
        <w:t>4.绩效指标明确性。</w:t>
      </w:r>
      <w:r>
        <w:rPr>
          <w:rStyle w:val="29"/>
          <w:rFonts w:hint="eastAsia" w:ascii="仿宋_GB2312" w:hAnsi="仿宋_GB2312" w:cs="仿宋_GB2312"/>
          <w:color w:val="000000"/>
          <w:sz w:val="32"/>
          <w:szCs w:val="32"/>
        </w:rPr>
        <w:t>该项目已将绩效目标细化分解为具体的绩效指标，细化指标值清晰，个别指标可衡量性较低，基本与项目年度任务数相对应。该项指标得2分</w:t>
      </w:r>
      <w:r>
        <w:rPr>
          <w:rStyle w:val="29"/>
          <w:rFonts w:hint="eastAsia" w:ascii="仿宋_GB2312"/>
          <w:color w:val="000000"/>
          <w:sz w:val="32"/>
          <w:szCs w:val="32"/>
        </w:rPr>
        <w:t>。</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5.预算编制科学性</w:t>
      </w:r>
      <w:r>
        <w:rPr>
          <w:rStyle w:val="29"/>
          <w:rFonts w:hint="eastAsia" w:ascii="仿宋_GB2312" w:hAnsi="仿宋_GB2312" w:cs="仿宋_GB2312"/>
          <w:color w:val="000000"/>
          <w:sz w:val="32"/>
          <w:szCs w:val="32"/>
        </w:rPr>
        <w:t>。该项目预算编制经过论证，预算内容与项目内容匹配，预算额度测算依据充分，预算确定的资金量与工作任务基本匹配，预算编制科学性方面仍可进一步加强。该项指标得3.5分。</w:t>
      </w:r>
    </w:p>
    <w:p>
      <w:pPr>
        <w:pStyle w:val="30"/>
        <w:ind w:firstLine="643"/>
        <w:rPr>
          <w:rStyle w:val="29"/>
          <w:rFonts w:ascii="仿宋_GB2312" w:hAnsi="仿宋_GB2312" w:eastAsia="仿宋_GB2312" w:cs="仿宋_GB2312"/>
          <w:sz w:val="32"/>
          <w:szCs w:val="32"/>
        </w:rPr>
      </w:pPr>
      <w:r>
        <w:rPr>
          <w:rStyle w:val="29"/>
          <w:rFonts w:hint="eastAsia" w:ascii="仿宋_GB2312" w:hAnsi="仿宋_GB2312" w:eastAsia="仿宋_GB2312" w:cs="仿宋_GB2312"/>
          <w:b/>
          <w:bCs/>
          <w:color w:val="000000"/>
          <w:sz w:val="32"/>
          <w:szCs w:val="32"/>
        </w:rPr>
        <w:t>6.资金分配合理性。</w:t>
      </w:r>
      <w:r>
        <w:rPr>
          <w:rStyle w:val="29"/>
          <w:rFonts w:hint="eastAsia" w:ascii="仿宋_GB2312" w:hAnsi="仿宋_GB2312" w:eastAsia="仿宋_GB2312" w:cs="仿宋_GB2312"/>
          <w:color w:val="000000"/>
          <w:sz w:val="32"/>
          <w:szCs w:val="32"/>
        </w:rPr>
        <w:t>项目</w:t>
      </w:r>
      <w:r>
        <w:rPr>
          <w:rStyle w:val="29"/>
          <w:rFonts w:hint="eastAsia" w:ascii="仿宋_GB2312" w:hAnsi="仿宋_GB2312" w:eastAsia="仿宋_GB2312" w:cs="仿宋_GB2312"/>
          <w:sz w:val="32"/>
          <w:szCs w:val="32"/>
        </w:rPr>
        <w:t>资金分配有测算依据，预算安排内容与专项资金的设立目的及年度工作重点的匹配程度判断，该项指标得3分。</w:t>
      </w:r>
    </w:p>
    <w:p>
      <w:pPr>
        <w:spacing w:line="600" w:lineRule="exact"/>
        <w:ind w:firstLine="600" w:firstLineChars="200"/>
        <w:outlineLvl w:val="0"/>
        <w:rPr>
          <w:rFonts w:ascii="楷体_GB2312" w:eastAsia="楷体_GB2312"/>
          <w:szCs w:val="30"/>
        </w:rPr>
      </w:pPr>
      <w:r>
        <w:rPr>
          <w:rFonts w:hint="eastAsia" w:ascii="楷体_GB2312" w:eastAsia="楷体_GB2312"/>
          <w:szCs w:val="30"/>
        </w:rPr>
        <w:t>（二）项目过程情况</w:t>
      </w:r>
    </w:p>
    <w:p>
      <w:pPr>
        <w:spacing w:line="600" w:lineRule="exact"/>
        <w:ind w:firstLine="643" w:firstLineChars="200"/>
        <w:rPr>
          <w:rStyle w:val="29"/>
          <w:rFonts w:ascii="仿宋_GB2312" w:hAnsi="仿宋_GB2312" w:cs="仿宋_GB2312"/>
          <w:kern w:val="0"/>
          <w:sz w:val="32"/>
          <w:szCs w:val="32"/>
        </w:rPr>
      </w:pPr>
      <w:r>
        <w:rPr>
          <w:rStyle w:val="29"/>
          <w:rFonts w:hint="eastAsia" w:ascii="仿宋_GB2312" w:hAnsi="仿宋_GB2312" w:cs="仿宋_GB2312"/>
          <w:b/>
          <w:bCs/>
          <w:kern w:val="0"/>
          <w:sz w:val="32"/>
          <w:szCs w:val="32"/>
        </w:rPr>
        <w:t>1.资金到位率。</w:t>
      </w:r>
      <w:r>
        <w:rPr>
          <w:rStyle w:val="29"/>
          <w:rFonts w:hint="eastAsia" w:ascii="仿宋_GB2312" w:hAnsi="仿宋_GB2312" w:cs="仿宋_GB2312"/>
          <w:kern w:val="0"/>
          <w:sz w:val="32"/>
          <w:szCs w:val="32"/>
        </w:rPr>
        <w:t>2020年专利专项资金预算9998万元，实际到位9998万元，资金到位率100%。该项指标得满分2分。</w:t>
      </w:r>
    </w:p>
    <w:p>
      <w:pPr>
        <w:spacing w:line="600" w:lineRule="exact"/>
        <w:ind w:firstLine="643" w:firstLineChars="200"/>
        <w:rPr>
          <w:rStyle w:val="29"/>
          <w:rFonts w:ascii="仿宋_GB2312" w:hAnsi="仿宋_GB2312" w:cs="仿宋_GB2312"/>
          <w:kern w:val="0"/>
          <w:sz w:val="32"/>
          <w:szCs w:val="32"/>
        </w:rPr>
      </w:pPr>
      <w:r>
        <w:rPr>
          <w:rStyle w:val="29"/>
          <w:rFonts w:hint="eastAsia" w:ascii="仿宋_GB2312" w:hAnsi="仿宋_GB2312" w:cs="仿宋_GB2312"/>
          <w:b/>
          <w:bCs/>
          <w:kern w:val="0"/>
          <w:sz w:val="32"/>
          <w:szCs w:val="32"/>
        </w:rPr>
        <w:t>2.预算执行率</w:t>
      </w:r>
      <w:r>
        <w:rPr>
          <w:rStyle w:val="29"/>
          <w:rFonts w:hint="eastAsia" w:ascii="仿宋_GB2312" w:hAnsi="仿宋_GB2312" w:cs="仿宋_GB2312"/>
          <w:kern w:val="0"/>
          <w:sz w:val="32"/>
          <w:szCs w:val="32"/>
        </w:rPr>
        <w:t>。2020年专利专项资金年度预算9998万元，实际使用9946.81万元，预算执行率为99.49%，未执行部分为政府采购节省资金。该项指标得1.95分。</w:t>
      </w:r>
    </w:p>
    <w:p>
      <w:pPr>
        <w:spacing w:line="600" w:lineRule="exact"/>
        <w:ind w:firstLine="643" w:firstLineChars="200"/>
        <w:rPr>
          <w:rStyle w:val="29"/>
          <w:rFonts w:ascii="仿宋_GB2312" w:hAnsi="仿宋_GB2312" w:cs="仿宋_GB2312"/>
          <w:kern w:val="0"/>
          <w:sz w:val="32"/>
          <w:szCs w:val="32"/>
        </w:rPr>
      </w:pPr>
      <w:r>
        <w:rPr>
          <w:rStyle w:val="29"/>
          <w:rFonts w:hint="eastAsia" w:ascii="仿宋_GB2312" w:hAnsi="仿宋_GB2312" w:cs="仿宋_GB2312"/>
          <w:b/>
          <w:bCs/>
          <w:kern w:val="0"/>
          <w:sz w:val="32"/>
          <w:szCs w:val="32"/>
        </w:rPr>
        <w:t>3.资金使用合规性</w:t>
      </w:r>
      <w:r>
        <w:rPr>
          <w:rStyle w:val="29"/>
          <w:rFonts w:hint="eastAsia" w:ascii="仿宋_GB2312" w:hAnsi="仿宋_GB2312" w:cs="仿宋_GB2312"/>
          <w:kern w:val="0"/>
          <w:sz w:val="32"/>
          <w:szCs w:val="32"/>
        </w:rPr>
        <w:t>。该项资金在使用过程中符合国家财经法规和财务管理制度以及有关专项资金管理办法的规定，资金的拨付有完整的审批程序和手续，符合项目预算批复或合同规定的用途，不存在截留、挤占、挪用、虚列支出等情况。该项指标得满分4分。</w:t>
      </w:r>
    </w:p>
    <w:p>
      <w:pPr>
        <w:spacing w:line="600" w:lineRule="exact"/>
        <w:ind w:firstLine="643" w:firstLineChars="200"/>
        <w:rPr>
          <w:rStyle w:val="29"/>
          <w:rFonts w:hint="eastAsia" w:ascii="仿宋_GB2312"/>
          <w:color w:val="000000"/>
          <w:sz w:val="32"/>
          <w:szCs w:val="32"/>
        </w:rPr>
      </w:pPr>
      <w:r>
        <w:rPr>
          <w:rStyle w:val="29"/>
          <w:rFonts w:hint="eastAsia" w:ascii="仿宋_GB2312" w:hAnsi="仿宋_GB2312" w:cs="仿宋_GB2312"/>
          <w:b/>
          <w:bCs/>
          <w:kern w:val="0"/>
          <w:sz w:val="32"/>
          <w:szCs w:val="32"/>
        </w:rPr>
        <w:t>4.管理制度健全性。</w:t>
      </w:r>
      <w:r>
        <w:rPr>
          <w:rStyle w:val="29"/>
          <w:rFonts w:hint="eastAsia" w:ascii="仿宋_GB2312" w:hAnsi="仿宋_GB2312" w:cs="仿宋_GB2312"/>
          <w:kern w:val="0"/>
          <w:sz w:val="32"/>
          <w:szCs w:val="32"/>
        </w:rPr>
        <w:t>该项目已建立基本的业务管理制度，业务管理制度合法、合规。执行中按照局财务管理制度要求，财务管理制度合法、合规、完整。</w:t>
      </w:r>
      <w:r>
        <w:rPr>
          <w:rStyle w:val="29"/>
          <w:rFonts w:hint="eastAsia" w:ascii="仿宋_GB2312"/>
          <w:color w:val="000000"/>
          <w:sz w:val="32"/>
          <w:szCs w:val="32"/>
        </w:rPr>
        <w:t>该项指标得满分</w:t>
      </w:r>
      <w:r>
        <w:rPr>
          <w:rStyle w:val="29"/>
          <w:rFonts w:hint="eastAsia" w:ascii="仿宋_GB2312"/>
          <w:color w:val="000000"/>
          <w:sz w:val="32"/>
          <w:szCs w:val="32"/>
          <w:lang w:val="en-US" w:eastAsia="zh-CN"/>
        </w:rPr>
        <w:t>6</w:t>
      </w:r>
      <w:r>
        <w:rPr>
          <w:rStyle w:val="29"/>
          <w:rFonts w:hint="eastAsia" w:ascii="仿宋_GB2312"/>
          <w:color w:val="000000"/>
          <w:sz w:val="32"/>
          <w:szCs w:val="32"/>
        </w:rPr>
        <w:t>分。</w:t>
      </w:r>
    </w:p>
    <w:p>
      <w:pPr>
        <w:spacing w:line="600" w:lineRule="exact"/>
        <w:ind w:firstLine="643" w:firstLineChars="200"/>
        <w:rPr>
          <w:rStyle w:val="29"/>
          <w:rFonts w:ascii="仿宋_GB2312" w:hAnsi="仿宋_GB2312" w:cs="仿宋_GB2312"/>
          <w:kern w:val="0"/>
          <w:sz w:val="32"/>
          <w:szCs w:val="32"/>
        </w:rPr>
      </w:pPr>
      <w:r>
        <w:rPr>
          <w:rStyle w:val="29"/>
          <w:rFonts w:hint="eastAsia" w:ascii="仿宋_GB2312" w:hAnsi="仿宋_GB2312" w:cs="仿宋_GB2312"/>
          <w:b/>
          <w:bCs/>
          <w:color w:val="000000"/>
          <w:sz w:val="32"/>
          <w:szCs w:val="32"/>
        </w:rPr>
        <w:t>5.制度执行有效性</w:t>
      </w:r>
      <w:r>
        <w:rPr>
          <w:rStyle w:val="29"/>
          <w:rFonts w:hint="eastAsia" w:ascii="仿宋_GB2312" w:hAnsi="仿宋_GB2312" w:cs="仿宋_GB2312"/>
          <w:color w:val="000000"/>
          <w:sz w:val="32"/>
          <w:szCs w:val="32"/>
        </w:rPr>
        <w:t>。</w:t>
      </w:r>
      <w:r>
        <w:rPr>
          <w:rStyle w:val="29"/>
          <w:rFonts w:hint="eastAsia" w:ascii="仿宋_GB2312" w:hAnsi="仿宋_GB2312" w:cs="仿宋_GB2312"/>
          <w:kern w:val="0"/>
          <w:sz w:val="32"/>
          <w:szCs w:val="32"/>
        </w:rPr>
        <w:t>该项目遵守相关法律法规和相关管理规定，项目调整及支出调整手续完备，项目合同书、验收报告、技术鉴定等资料基本齐全但归档不到位，组织调度、协同推进等相关机制落实到位。该项指标得满分5.4分。</w:t>
      </w:r>
    </w:p>
    <w:p>
      <w:pPr>
        <w:spacing w:line="600" w:lineRule="exact"/>
        <w:ind w:firstLine="600" w:firstLineChars="200"/>
        <w:outlineLvl w:val="0"/>
        <w:rPr>
          <w:rFonts w:ascii="楷体_GB2312" w:eastAsia="楷体_GB2312"/>
          <w:szCs w:val="30"/>
        </w:rPr>
      </w:pPr>
      <w:r>
        <w:rPr>
          <w:rFonts w:hint="eastAsia" w:ascii="楷体_GB2312" w:eastAsia="楷体_GB2312"/>
          <w:szCs w:val="30"/>
        </w:rPr>
        <w:t>（三）项目产出情况</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1.实际完成率。</w:t>
      </w:r>
      <w:r>
        <w:rPr>
          <w:rStyle w:val="29"/>
          <w:rFonts w:hint="eastAsia" w:ascii="仿宋_GB2312" w:hAnsi="仿宋_GB2312" w:cs="仿宋_GB2312"/>
          <w:color w:val="000000"/>
          <w:sz w:val="32"/>
          <w:szCs w:val="32"/>
        </w:rPr>
        <w:t>项目完成率100%。该项指标得满分5分。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2.数量变动率。</w:t>
      </w:r>
      <w:r>
        <w:rPr>
          <w:rStyle w:val="29"/>
          <w:rFonts w:hint="eastAsia" w:ascii="仿宋_GB2312" w:hAnsi="仿宋_GB2312" w:cs="仿宋_GB2312"/>
          <w:color w:val="000000"/>
          <w:sz w:val="32"/>
          <w:szCs w:val="32"/>
        </w:rPr>
        <w:t>数量变动率为0。该项指标得满分5分。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3.质量达标率</w:t>
      </w:r>
      <w:r>
        <w:rPr>
          <w:rStyle w:val="29"/>
          <w:rFonts w:hint="eastAsia" w:ascii="仿宋_GB2312" w:hAnsi="仿宋_GB2312" w:cs="仿宋_GB2312"/>
          <w:color w:val="000000"/>
          <w:sz w:val="32"/>
          <w:szCs w:val="32"/>
        </w:rPr>
        <w:t>。质量达标率100%。该项指标得满分5分。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4.完成及时率</w:t>
      </w:r>
      <w:r>
        <w:rPr>
          <w:rStyle w:val="29"/>
          <w:rFonts w:hint="eastAsia" w:ascii="仿宋_GB2312" w:hAnsi="仿宋_GB2312" w:cs="仿宋_GB2312"/>
          <w:color w:val="000000"/>
          <w:sz w:val="32"/>
          <w:szCs w:val="32"/>
        </w:rPr>
        <w:t>。完成及时率100%。该项指标得满分5分。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5.成本节约率</w:t>
      </w:r>
      <w:r>
        <w:rPr>
          <w:rStyle w:val="29"/>
          <w:rFonts w:hint="eastAsia" w:ascii="仿宋_GB2312" w:hAnsi="仿宋_GB2312" w:cs="仿宋_GB2312"/>
          <w:color w:val="000000"/>
          <w:sz w:val="32"/>
          <w:szCs w:val="32"/>
        </w:rPr>
        <w:t>。成本节约率0.05%。该项指标得满分4.3分。</w:t>
      </w:r>
    </w:p>
    <w:p>
      <w:pPr>
        <w:spacing w:line="600" w:lineRule="exact"/>
        <w:ind w:firstLine="640" w:firstLineChars="200"/>
        <w:outlineLvl w:val="0"/>
        <w:rPr>
          <w:rFonts w:ascii="楷体_GB2312" w:eastAsia="楷体_GB2312"/>
          <w:sz w:val="32"/>
          <w:szCs w:val="32"/>
        </w:rPr>
      </w:pPr>
      <w:r>
        <w:rPr>
          <w:rFonts w:hint="eastAsia" w:ascii="楷体_GB2312" w:eastAsia="楷体_GB2312"/>
          <w:sz w:val="32"/>
          <w:szCs w:val="32"/>
        </w:rPr>
        <w:t>（四）项目效益情况</w:t>
      </w:r>
    </w:p>
    <w:p>
      <w:pPr>
        <w:spacing w:line="600" w:lineRule="exact"/>
        <w:ind w:firstLine="643" w:firstLineChars="200"/>
        <w:outlineLvl w:val="0"/>
        <w:rPr>
          <w:rFonts w:ascii="仿宋_GB2312" w:hAnsi="仿宋_GB2312" w:cs="仿宋_GB2312"/>
          <w:sz w:val="32"/>
          <w:szCs w:val="32"/>
        </w:rPr>
      </w:pPr>
      <w:r>
        <w:rPr>
          <w:rFonts w:hint="eastAsia" w:ascii="仿宋_GB2312" w:hAnsi="仿宋_GB2312" w:cs="仿宋_GB2312"/>
          <w:b/>
          <w:bCs/>
          <w:sz w:val="32"/>
          <w:szCs w:val="32"/>
        </w:rPr>
        <w:t>1.受补助企业产出高价值专利数量。</w:t>
      </w:r>
      <w:r>
        <w:rPr>
          <w:rFonts w:hint="eastAsia" w:ascii="仿宋_GB2312" w:hAnsi="仿宋_GB2312" w:cs="仿宋_GB2312"/>
          <w:sz w:val="32"/>
          <w:szCs w:val="32"/>
        </w:rPr>
        <w:t>受补助企业在战略性新兴产业、中国专利奖获奖、专利运用等领域产出专利情况，该项指标得8.5分。</w:t>
      </w:r>
    </w:p>
    <w:p>
      <w:pPr>
        <w:spacing w:line="600" w:lineRule="exact"/>
        <w:ind w:firstLine="643" w:firstLineChars="200"/>
        <w:outlineLvl w:val="0"/>
        <w:rPr>
          <w:rFonts w:ascii="仿宋_GB2312" w:hAnsi="仿宋_GB2312" w:cs="仿宋_GB2312"/>
          <w:sz w:val="32"/>
          <w:szCs w:val="32"/>
        </w:rPr>
      </w:pPr>
      <w:r>
        <w:rPr>
          <w:rFonts w:hint="eastAsia" w:ascii="仿宋_GB2312" w:hAnsi="仿宋_GB2312" w:cs="仿宋_GB2312"/>
          <w:b/>
          <w:bCs/>
          <w:sz w:val="32"/>
          <w:szCs w:val="32"/>
        </w:rPr>
        <w:t>2.公众对知识产权为财产权的认知率。</w:t>
      </w:r>
      <w:r>
        <w:rPr>
          <w:rFonts w:hint="eastAsia" w:ascii="仿宋_GB2312" w:hAnsi="仿宋_GB2312" w:cs="仿宋_GB2312"/>
          <w:sz w:val="32"/>
          <w:szCs w:val="32"/>
        </w:rPr>
        <w:t>公众对知识产权为财产权的认知率为55%左右，该项指标得6分。</w:t>
      </w:r>
    </w:p>
    <w:p>
      <w:pPr>
        <w:spacing w:line="600" w:lineRule="exact"/>
        <w:ind w:firstLine="643" w:firstLineChars="200"/>
        <w:outlineLvl w:val="0"/>
        <w:rPr>
          <w:rFonts w:ascii="仿宋_GB2312" w:hAnsi="仿宋_GB2312" w:cs="仿宋_GB2312"/>
          <w:sz w:val="32"/>
          <w:szCs w:val="32"/>
          <w:highlight w:val="yellow"/>
        </w:rPr>
      </w:pPr>
      <w:r>
        <w:rPr>
          <w:rFonts w:hint="eastAsia" w:ascii="仿宋_GB2312" w:hAnsi="仿宋_GB2312" w:cs="仿宋_GB2312"/>
          <w:b/>
          <w:bCs/>
          <w:sz w:val="32"/>
          <w:szCs w:val="32"/>
        </w:rPr>
        <w:t>3.政策知晓度。</w:t>
      </w:r>
      <w:r>
        <w:rPr>
          <w:rFonts w:hint="eastAsia" w:ascii="仿宋_GB2312" w:hAnsi="仿宋_GB2312" w:cs="仿宋_GB2312"/>
          <w:sz w:val="32"/>
          <w:szCs w:val="32"/>
        </w:rPr>
        <w:t>政策知晓度高于85%，该项指标得满分4.6分。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4.政策可持续性。</w:t>
      </w:r>
      <w:r>
        <w:rPr>
          <w:rStyle w:val="29"/>
          <w:rFonts w:hint="eastAsia" w:ascii="仿宋_GB2312" w:hAnsi="仿宋_GB2312" w:cs="仿宋_GB2312"/>
          <w:color w:val="000000"/>
          <w:sz w:val="32"/>
          <w:szCs w:val="32"/>
        </w:rPr>
        <w:t>项目政策能够使项目后续运行及成效发挥得到可持续发展，该项目得满分1分。</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5.项目发展机制可持续性。</w:t>
      </w:r>
      <w:r>
        <w:rPr>
          <w:rStyle w:val="29"/>
          <w:rFonts w:hint="eastAsia" w:ascii="仿宋_GB2312" w:hAnsi="仿宋_GB2312" w:cs="仿宋_GB2312"/>
          <w:color w:val="000000"/>
          <w:sz w:val="32"/>
          <w:szCs w:val="32"/>
        </w:rPr>
        <w:t>项目运转形成了可持续发展的机制。该项目得满分1分。</w:t>
      </w:r>
    </w:p>
    <w:p>
      <w:pPr>
        <w:spacing w:line="600" w:lineRule="exact"/>
        <w:ind w:firstLine="643" w:firstLineChars="200"/>
        <w:outlineLvl w:val="0"/>
        <w:rPr>
          <w:rFonts w:ascii="楷体_GB2312" w:eastAsia="楷体_GB2312"/>
          <w:szCs w:val="30"/>
        </w:rPr>
      </w:pPr>
      <w:r>
        <w:rPr>
          <w:rStyle w:val="29"/>
          <w:rFonts w:hint="eastAsia" w:ascii="仿宋_GB2312" w:hAnsi="仿宋_GB2312" w:cs="仿宋_GB2312"/>
          <w:b/>
          <w:bCs/>
          <w:color w:val="000000"/>
          <w:sz w:val="32"/>
          <w:szCs w:val="32"/>
        </w:rPr>
        <w:t>6.受益对象满意度</w:t>
      </w:r>
      <w:r>
        <w:rPr>
          <w:rStyle w:val="29"/>
          <w:rFonts w:hint="eastAsia" w:ascii="仿宋_GB2312" w:hAnsi="仿宋_GB2312" w:cs="仿宋_GB2312"/>
          <w:color w:val="000000"/>
          <w:sz w:val="32"/>
          <w:szCs w:val="32"/>
        </w:rPr>
        <w:t>。受益对象对项目实施效果的满意度达85%。该项目指标得满分8分。</w:t>
      </w:r>
    </w:p>
    <w:p>
      <w:pPr>
        <w:spacing w:line="600" w:lineRule="exact"/>
        <w:ind w:firstLine="600" w:firstLineChars="200"/>
        <w:rPr>
          <w:rFonts w:ascii="黑体" w:hAnsi="黑体" w:eastAsia="黑体"/>
          <w:szCs w:val="30"/>
        </w:rPr>
      </w:pPr>
      <w:r>
        <w:rPr>
          <w:rFonts w:hint="eastAsia" w:ascii="黑体" w:hAnsi="黑体" w:eastAsia="黑体"/>
          <w:szCs w:val="30"/>
        </w:rPr>
        <w:t>五、主要经验及做法</w:t>
      </w:r>
    </w:p>
    <w:p>
      <w:pPr>
        <w:spacing w:line="600" w:lineRule="exact"/>
        <w:ind w:firstLine="640" w:firstLineChars="200"/>
        <w:outlineLvl w:val="0"/>
        <w:rPr>
          <w:rFonts w:ascii="楷体_GB2312" w:eastAsia="楷体_GB2312"/>
          <w:sz w:val="32"/>
          <w:szCs w:val="32"/>
        </w:rPr>
      </w:pPr>
      <w:r>
        <w:rPr>
          <w:rFonts w:hint="eastAsia" w:ascii="仿宋_GB2312" w:hAnsi="仿宋_GB2312" w:cs="仿宋_GB2312"/>
          <w:bCs/>
          <w:color w:val="000000"/>
          <w:sz w:val="32"/>
          <w:szCs w:val="32"/>
        </w:rPr>
        <w:t>“知识产权创造运用保护”一级指标参加全国营商环境评价，在48个参评城市中青岛市位列“优异”等次，被列为标杆城市；在山东省营商环境评价中，知识产权一级指标位列全省首位。围绕营商环境评价知识产权创造质量、知识产权运用效益2个二级指标，发挥政策导向与财政资金支持效应，通过开展专利导航项目培育高价值专利、专利奖获奖项目配套资助等方式，持续提升全市专利申请授权数量，职务发明创造量及比例，PCT国际专利申请量，专利质押融资额度及件数，以及专利奖获奖数量等指标。助力科技引领城建设、经略海洋与高效青岛建设等攻势，服务高质量发展。</w:t>
      </w:r>
    </w:p>
    <w:p>
      <w:pPr>
        <w:pStyle w:val="31"/>
        <w:rPr>
          <w:rStyle w:val="29"/>
          <w:bCs/>
          <w:color w:val="000000"/>
        </w:rPr>
      </w:pPr>
      <w:bookmarkStart w:id="1" w:name="_Toc52359442"/>
      <w:r>
        <w:rPr>
          <w:rStyle w:val="29"/>
          <w:rFonts w:hint="eastAsia"/>
          <w:color w:val="000000"/>
        </w:rPr>
        <w:t>六、存在的问题</w:t>
      </w:r>
      <w:bookmarkEnd w:id="1"/>
      <w:r>
        <w:rPr>
          <w:rStyle w:val="29"/>
          <w:rFonts w:hint="eastAsia"/>
          <w:color w:val="000000"/>
        </w:rPr>
        <w:t>及有关建议</w:t>
      </w:r>
    </w:p>
    <w:p>
      <w:pPr>
        <w:spacing w:line="600" w:lineRule="exact"/>
        <w:ind w:firstLine="600" w:firstLineChars="200"/>
        <w:rPr>
          <w:rStyle w:val="29"/>
          <w:rFonts w:eastAsia="楷体_GB2312"/>
          <w:color w:val="000000"/>
          <w:szCs w:val="30"/>
        </w:rPr>
      </w:pPr>
      <w:r>
        <w:rPr>
          <w:rStyle w:val="29"/>
          <w:rFonts w:hint="eastAsia" w:eastAsia="楷体_GB2312"/>
          <w:color w:val="000000"/>
          <w:szCs w:val="30"/>
        </w:rPr>
        <w:t>（一）决策方面</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1.绩效目标设置需进一步优化。</w:t>
      </w:r>
      <w:r>
        <w:rPr>
          <w:rStyle w:val="29"/>
          <w:rFonts w:hint="eastAsia" w:ascii="仿宋_GB2312" w:hAnsi="仿宋_GB2312" w:cs="仿宋_GB2312"/>
          <w:color w:val="000000"/>
          <w:sz w:val="32"/>
          <w:szCs w:val="32"/>
        </w:rPr>
        <w:t>绩效目标填报情况整体较好，绩效指标基本准确、可考核。但仍有部分指标明确性可提高。如“公众对知识产权为财产权的认知率”指标与本项目关联度不强，不能充分反映项目存在的必要性、合理性，建议不再列入考核指标。</w:t>
      </w:r>
    </w:p>
    <w:p>
      <w:pPr>
        <w:spacing w:line="600" w:lineRule="exact"/>
        <w:ind w:firstLine="610"/>
        <w:rPr>
          <w:rStyle w:val="29"/>
          <w:rFonts w:ascii="楷体_GB2312" w:hAnsi="楷体_GB2312" w:eastAsia="楷体_GB2312" w:cs="楷体_GB2312"/>
          <w:color w:val="000000"/>
          <w:sz w:val="32"/>
          <w:szCs w:val="32"/>
        </w:rPr>
      </w:pPr>
      <w:r>
        <w:rPr>
          <w:rStyle w:val="29"/>
          <w:rFonts w:hint="eastAsia" w:ascii="楷体_GB2312" w:hAnsi="楷体_GB2312" w:eastAsia="楷体_GB2312" w:cs="楷体_GB2312"/>
          <w:color w:val="000000"/>
          <w:sz w:val="32"/>
          <w:szCs w:val="32"/>
        </w:rPr>
        <w:t>（二）过程方面</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1.管理制度需进一步完善。</w:t>
      </w:r>
      <w:r>
        <w:rPr>
          <w:rStyle w:val="29"/>
          <w:rFonts w:hint="eastAsia" w:ascii="仿宋_GB2312" w:hAnsi="仿宋_GB2312" w:cs="仿宋_GB2312"/>
          <w:color w:val="000000"/>
          <w:sz w:val="32"/>
          <w:szCs w:val="32"/>
        </w:rPr>
        <w:t>随着工作要求和工作标准的进一步提高，部分工作制度需进一步修订完善，另外，虽然目前没有跨部门资金，建议应根据资金项目设立情况，做好工作调研，提早入手制定相应管理制度。</w:t>
      </w:r>
    </w:p>
    <w:p>
      <w:pPr>
        <w:spacing w:line="600" w:lineRule="exact"/>
        <w:ind w:firstLine="643" w:firstLineChars="200"/>
        <w:rPr>
          <w:rStyle w:val="29"/>
          <w:rFonts w:ascii="仿宋_GB2312" w:hAnsi="仿宋_GB2312" w:cs="仿宋_GB2312"/>
          <w:color w:val="000000"/>
          <w:sz w:val="32"/>
          <w:szCs w:val="32"/>
        </w:rPr>
      </w:pPr>
      <w:r>
        <w:rPr>
          <w:rStyle w:val="29"/>
          <w:rFonts w:hint="eastAsia" w:ascii="仿宋_GB2312" w:hAnsi="仿宋_GB2312" w:cs="仿宋_GB2312"/>
          <w:b/>
          <w:bCs/>
          <w:color w:val="000000"/>
          <w:sz w:val="32"/>
          <w:szCs w:val="32"/>
        </w:rPr>
        <w:t>2.制度执行有效性需进一步加强</w:t>
      </w:r>
      <w:r>
        <w:rPr>
          <w:rStyle w:val="29"/>
          <w:rFonts w:hint="eastAsia" w:ascii="仿宋_GB2312" w:hAnsi="仿宋_GB2312" w:cs="仿宋_GB2312"/>
          <w:color w:val="000000"/>
          <w:sz w:val="32"/>
          <w:szCs w:val="32"/>
        </w:rPr>
        <w:t>。项目所需各类资料档案要齐全，及时整理归档。</w:t>
      </w:r>
    </w:p>
    <w:p>
      <w:pPr>
        <w:spacing w:line="600" w:lineRule="exact"/>
        <w:ind w:firstLine="600" w:firstLineChars="200"/>
        <w:rPr>
          <w:rStyle w:val="29"/>
          <w:rFonts w:hint="eastAsia" w:ascii="黑体" w:hAnsi="黑体" w:eastAsia="黑体" w:cs="黑体"/>
          <w:color w:val="000000"/>
          <w:sz w:val="32"/>
          <w:szCs w:val="32"/>
          <w:lang w:eastAsia="zh-CN"/>
        </w:rPr>
      </w:pPr>
      <w:r>
        <w:rPr>
          <w:rStyle w:val="29"/>
          <w:rFonts w:hint="eastAsia" w:ascii="黑体" w:hAnsi="黑体" w:eastAsia="黑体" w:cs="黑体"/>
          <w:color w:val="000000"/>
          <w:szCs w:val="30"/>
        </w:rPr>
        <w:t>七、</w:t>
      </w:r>
      <w:r>
        <w:rPr>
          <w:rStyle w:val="29"/>
          <w:rFonts w:hint="eastAsia" w:ascii="黑体" w:hAnsi="黑体" w:eastAsia="黑体" w:cs="黑体"/>
          <w:color w:val="000000"/>
          <w:sz w:val="32"/>
          <w:szCs w:val="32"/>
        </w:rPr>
        <w:t>无</w:t>
      </w:r>
      <w:r>
        <w:rPr>
          <w:rStyle w:val="29"/>
          <w:rFonts w:hint="eastAsia" w:ascii="黑体" w:hAnsi="黑体" w:eastAsia="黑体" w:cs="黑体"/>
          <w:color w:val="000000"/>
          <w:szCs w:val="30"/>
        </w:rPr>
        <w:t>其他说明</w:t>
      </w:r>
      <w:r>
        <w:rPr>
          <w:rStyle w:val="29"/>
          <w:rFonts w:hint="eastAsia" w:ascii="黑体" w:hAnsi="黑体" w:eastAsia="黑体" w:cs="黑体"/>
          <w:color w:val="000000"/>
          <w:szCs w:val="30"/>
          <w:lang w:eastAsia="zh-CN"/>
        </w:rPr>
        <w:t>事项</w:t>
      </w:r>
    </w:p>
    <w:p>
      <w:pPr>
        <w:spacing w:line="600" w:lineRule="exact"/>
        <w:rPr>
          <w:rStyle w:val="29"/>
          <w:rFonts w:hint="eastAsia" w:ascii="黑体" w:hAnsi="黑体" w:eastAsia="黑体" w:cs="黑体"/>
          <w:color w:val="000000"/>
          <w:szCs w:val="30"/>
        </w:rPr>
      </w:pPr>
    </w:p>
    <w:p>
      <w:pPr>
        <w:spacing w:line="600" w:lineRule="exact"/>
        <w:rPr>
          <w:rFonts w:ascii="黑体" w:hAnsi="黑体" w:eastAsia="黑体"/>
        </w:rPr>
      </w:pPr>
      <w:bookmarkStart w:id="2" w:name="_GoBack"/>
      <w:bookmarkEnd w:id="2"/>
    </w:p>
    <w:p>
      <w:pPr>
        <w:spacing w:line="600" w:lineRule="exact"/>
        <w:ind w:firstLine="640" w:firstLineChars="20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附件：1.专项资金（一级）指标体系</w:t>
      </w:r>
    </w:p>
    <w:p>
      <w:pPr>
        <w:spacing w:line="600" w:lineRule="exact"/>
        <w:ind w:firstLine="1600" w:firstLineChars="500"/>
        <w:rPr>
          <w:rStyle w:val="29"/>
          <w:rFonts w:ascii="仿宋_GB2312" w:hAnsi="仿宋_GB2312" w:cs="仿宋_GB2312"/>
          <w:color w:val="000000"/>
          <w:sz w:val="32"/>
          <w:szCs w:val="32"/>
        </w:rPr>
      </w:pPr>
      <w:r>
        <w:rPr>
          <w:rStyle w:val="29"/>
          <w:rFonts w:hint="eastAsia" w:ascii="仿宋_GB2312" w:hAnsi="仿宋_GB2312" w:cs="仿宋_GB2312"/>
          <w:color w:val="000000"/>
          <w:sz w:val="32"/>
          <w:szCs w:val="32"/>
        </w:rPr>
        <w:t>2.三民活动通报</w:t>
      </w:r>
    </w:p>
    <w:p>
      <w:pPr>
        <w:spacing w:beforeLines="50" w:afterLines="50" w:line="600" w:lineRule="exact"/>
        <w:jc w:val="left"/>
        <w:outlineLvl w:val="0"/>
        <w:rPr>
          <w:rFonts w:hint="eastAsia" w:ascii="仿宋_GB2312"/>
          <w:szCs w:val="30"/>
        </w:rPr>
      </w:pPr>
    </w:p>
    <w:p>
      <w:pPr>
        <w:spacing w:line="600" w:lineRule="exact"/>
        <w:ind w:firstLine="600" w:firstLineChars="200"/>
        <w:rPr>
          <w:rFonts w:hint="eastAsia" w:ascii="黑体" w:hAnsi="黑体" w:eastAsia="黑体"/>
          <w:lang w:val="en-US" w:eastAsia="zh-CN"/>
        </w:rPr>
      </w:pPr>
      <w:r>
        <w:rPr>
          <w:rFonts w:hint="eastAsia" w:ascii="仿宋_GB2312" w:eastAsia="黑体"/>
          <w:szCs w:val="30"/>
          <w:lang w:val="en-US" w:eastAsia="zh-CN"/>
        </w:rPr>
        <w:t xml:space="preserve"> </w:t>
      </w:r>
    </w:p>
    <w:sectPr>
      <w:footerReference r:id="rId3" w:type="default"/>
      <w:pgSz w:w="11906" w:h="16838"/>
      <w:pgMar w:top="1928" w:right="1531" w:bottom="1701" w:left="1531" w:header="737" w:footer="851"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9"/>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8010DE"/>
    <w:multiLevelType w:val="singleLevel"/>
    <w:tmpl w:val="838010D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D3013"/>
    <w:rsid w:val="00000C4F"/>
    <w:rsid w:val="000020B0"/>
    <w:rsid w:val="000041BF"/>
    <w:rsid w:val="000044F4"/>
    <w:rsid w:val="00007E32"/>
    <w:rsid w:val="000103D5"/>
    <w:rsid w:val="00010E2A"/>
    <w:rsid w:val="00017936"/>
    <w:rsid w:val="00027369"/>
    <w:rsid w:val="00030A0B"/>
    <w:rsid w:val="00031EC4"/>
    <w:rsid w:val="00032C4A"/>
    <w:rsid w:val="000333D8"/>
    <w:rsid w:val="00036789"/>
    <w:rsid w:val="0003682C"/>
    <w:rsid w:val="00037B24"/>
    <w:rsid w:val="00042CA1"/>
    <w:rsid w:val="00044271"/>
    <w:rsid w:val="00050D10"/>
    <w:rsid w:val="000573DD"/>
    <w:rsid w:val="00057759"/>
    <w:rsid w:val="00061D97"/>
    <w:rsid w:val="000634F0"/>
    <w:rsid w:val="00067563"/>
    <w:rsid w:val="00070FBA"/>
    <w:rsid w:val="00071061"/>
    <w:rsid w:val="000733FF"/>
    <w:rsid w:val="0007390C"/>
    <w:rsid w:val="00075D4A"/>
    <w:rsid w:val="0007739E"/>
    <w:rsid w:val="00085899"/>
    <w:rsid w:val="00086760"/>
    <w:rsid w:val="00087EB1"/>
    <w:rsid w:val="00090446"/>
    <w:rsid w:val="000919E6"/>
    <w:rsid w:val="00091F3E"/>
    <w:rsid w:val="00092DE5"/>
    <w:rsid w:val="000A502C"/>
    <w:rsid w:val="000A5266"/>
    <w:rsid w:val="000B0CEF"/>
    <w:rsid w:val="000B3010"/>
    <w:rsid w:val="000B3659"/>
    <w:rsid w:val="000B710F"/>
    <w:rsid w:val="000C3640"/>
    <w:rsid w:val="000C3DBE"/>
    <w:rsid w:val="000C4198"/>
    <w:rsid w:val="000C4ECE"/>
    <w:rsid w:val="000C6E8A"/>
    <w:rsid w:val="000D2FF8"/>
    <w:rsid w:val="000D3013"/>
    <w:rsid w:val="000D3E8B"/>
    <w:rsid w:val="000D453F"/>
    <w:rsid w:val="000D48A1"/>
    <w:rsid w:val="000D4C37"/>
    <w:rsid w:val="000D5E83"/>
    <w:rsid w:val="000D63F2"/>
    <w:rsid w:val="000D7F9C"/>
    <w:rsid w:val="000E15F4"/>
    <w:rsid w:val="000E275D"/>
    <w:rsid w:val="000E79DA"/>
    <w:rsid w:val="000F090A"/>
    <w:rsid w:val="000F1754"/>
    <w:rsid w:val="000F23EC"/>
    <w:rsid w:val="000F74AF"/>
    <w:rsid w:val="00100AD8"/>
    <w:rsid w:val="00112D41"/>
    <w:rsid w:val="00114388"/>
    <w:rsid w:val="0011454F"/>
    <w:rsid w:val="001149EB"/>
    <w:rsid w:val="00115780"/>
    <w:rsid w:val="00117915"/>
    <w:rsid w:val="001209E4"/>
    <w:rsid w:val="00120FF9"/>
    <w:rsid w:val="0012120D"/>
    <w:rsid w:val="00126214"/>
    <w:rsid w:val="00130088"/>
    <w:rsid w:val="00131EBF"/>
    <w:rsid w:val="00132826"/>
    <w:rsid w:val="00132F18"/>
    <w:rsid w:val="001354D8"/>
    <w:rsid w:val="00137947"/>
    <w:rsid w:val="0014274E"/>
    <w:rsid w:val="00145E8B"/>
    <w:rsid w:val="001478FD"/>
    <w:rsid w:val="00151AA5"/>
    <w:rsid w:val="00153597"/>
    <w:rsid w:val="00153E4F"/>
    <w:rsid w:val="00154B7E"/>
    <w:rsid w:val="00161918"/>
    <w:rsid w:val="001634BE"/>
    <w:rsid w:val="0016678E"/>
    <w:rsid w:val="00171EA9"/>
    <w:rsid w:val="00173CD7"/>
    <w:rsid w:val="00174270"/>
    <w:rsid w:val="00174651"/>
    <w:rsid w:val="00175251"/>
    <w:rsid w:val="00176075"/>
    <w:rsid w:val="00177995"/>
    <w:rsid w:val="00180D04"/>
    <w:rsid w:val="001853DF"/>
    <w:rsid w:val="00185F52"/>
    <w:rsid w:val="00187579"/>
    <w:rsid w:val="0019250D"/>
    <w:rsid w:val="001965AC"/>
    <w:rsid w:val="00196D07"/>
    <w:rsid w:val="00197E8A"/>
    <w:rsid w:val="001A7658"/>
    <w:rsid w:val="001B4BFE"/>
    <w:rsid w:val="001B61D8"/>
    <w:rsid w:val="001B77F3"/>
    <w:rsid w:val="001B7ED1"/>
    <w:rsid w:val="001C5324"/>
    <w:rsid w:val="001D0C26"/>
    <w:rsid w:val="001D27B6"/>
    <w:rsid w:val="001D43BB"/>
    <w:rsid w:val="001D5252"/>
    <w:rsid w:val="001D5CB6"/>
    <w:rsid w:val="001D5CD5"/>
    <w:rsid w:val="001D7CEB"/>
    <w:rsid w:val="001E06D8"/>
    <w:rsid w:val="001E47D2"/>
    <w:rsid w:val="001E6951"/>
    <w:rsid w:val="001F16C2"/>
    <w:rsid w:val="001F23A6"/>
    <w:rsid w:val="001F2FF1"/>
    <w:rsid w:val="001F32CE"/>
    <w:rsid w:val="001F5502"/>
    <w:rsid w:val="001F65FD"/>
    <w:rsid w:val="001F6E16"/>
    <w:rsid w:val="001F7358"/>
    <w:rsid w:val="00201680"/>
    <w:rsid w:val="00202742"/>
    <w:rsid w:val="002031C0"/>
    <w:rsid w:val="00204620"/>
    <w:rsid w:val="00205183"/>
    <w:rsid w:val="002106CC"/>
    <w:rsid w:val="00211DC0"/>
    <w:rsid w:val="00227E4A"/>
    <w:rsid w:val="00233257"/>
    <w:rsid w:val="00233F68"/>
    <w:rsid w:val="002369F3"/>
    <w:rsid w:val="00236C29"/>
    <w:rsid w:val="00237E22"/>
    <w:rsid w:val="00237F15"/>
    <w:rsid w:val="00240287"/>
    <w:rsid w:val="00241C5A"/>
    <w:rsid w:val="00242B43"/>
    <w:rsid w:val="00244E93"/>
    <w:rsid w:val="0024693C"/>
    <w:rsid w:val="00246F8C"/>
    <w:rsid w:val="00247E49"/>
    <w:rsid w:val="00252B67"/>
    <w:rsid w:val="002532CF"/>
    <w:rsid w:val="00253806"/>
    <w:rsid w:val="00255698"/>
    <w:rsid w:val="002559FA"/>
    <w:rsid w:val="00256D07"/>
    <w:rsid w:val="00261E2A"/>
    <w:rsid w:val="00264330"/>
    <w:rsid w:val="00274E4C"/>
    <w:rsid w:val="002751E2"/>
    <w:rsid w:val="0028193B"/>
    <w:rsid w:val="00287D56"/>
    <w:rsid w:val="002915AA"/>
    <w:rsid w:val="00291CA5"/>
    <w:rsid w:val="002935F1"/>
    <w:rsid w:val="00297D84"/>
    <w:rsid w:val="002A2979"/>
    <w:rsid w:val="002A570C"/>
    <w:rsid w:val="002B1C30"/>
    <w:rsid w:val="002B2377"/>
    <w:rsid w:val="002B6A2B"/>
    <w:rsid w:val="002B71CF"/>
    <w:rsid w:val="002C046D"/>
    <w:rsid w:val="002C1909"/>
    <w:rsid w:val="002C2184"/>
    <w:rsid w:val="002D184A"/>
    <w:rsid w:val="002D1AA0"/>
    <w:rsid w:val="002D3CD6"/>
    <w:rsid w:val="002D4D45"/>
    <w:rsid w:val="002D6843"/>
    <w:rsid w:val="002D772B"/>
    <w:rsid w:val="002E0054"/>
    <w:rsid w:val="002E42C5"/>
    <w:rsid w:val="002E4388"/>
    <w:rsid w:val="002E607A"/>
    <w:rsid w:val="002F1336"/>
    <w:rsid w:val="002F1A23"/>
    <w:rsid w:val="002F2869"/>
    <w:rsid w:val="002F690E"/>
    <w:rsid w:val="00302A4B"/>
    <w:rsid w:val="0030306B"/>
    <w:rsid w:val="00303447"/>
    <w:rsid w:val="00306394"/>
    <w:rsid w:val="00306D3B"/>
    <w:rsid w:val="00307603"/>
    <w:rsid w:val="003103E4"/>
    <w:rsid w:val="0031071A"/>
    <w:rsid w:val="00310905"/>
    <w:rsid w:val="00311CCC"/>
    <w:rsid w:val="00315A5A"/>
    <w:rsid w:val="00316281"/>
    <w:rsid w:val="00321909"/>
    <w:rsid w:val="00321AF1"/>
    <w:rsid w:val="00322F73"/>
    <w:rsid w:val="00324FB0"/>
    <w:rsid w:val="0032572C"/>
    <w:rsid w:val="00327FB8"/>
    <w:rsid w:val="00330561"/>
    <w:rsid w:val="00331E31"/>
    <w:rsid w:val="003332E3"/>
    <w:rsid w:val="00333344"/>
    <w:rsid w:val="00345C63"/>
    <w:rsid w:val="00345CCF"/>
    <w:rsid w:val="00351237"/>
    <w:rsid w:val="00351F5E"/>
    <w:rsid w:val="003555F6"/>
    <w:rsid w:val="0035568B"/>
    <w:rsid w:val="00364790"/>
    <w:rsid w:val="003666A3"/>
    <w:rsid w:val="00370613"/>
    <w:rsid w:val="00372854"/>
    <w:rsid w:val="00375AFF"/>
    <w:rsid w:val="003803FA"/>
    <w:rsid w:val="003834D1"/>
    <w:rsid w:val="00383F5D"/>
    <w:rsid w:val="003859A0"/>
    <w:rsid w:val="00386D5B"/>
    <w:rsid w:val="003925F3"/>
    <w:rsid w:val="00394D60"/>
    <w:rsid w:val="0039737D"/>
    <w:rsid w:val="003A2D59"/>
    <w:rsid w:val="003A3422"/>
    <w:rsid w:val="003A5FF3"/>
    <w:rsid w:val="003A759D"/>
    <w:rsid w:val="003B5CF1"/>
    <w:rsid w:val="003B63F3"/>
    <w:rsid w:val="003C0263"/>
    <w:rsid w:val="003C0CDC"/>
    <w:rsid w:val="003C29C3"/>
    <w:rsid w:val="003C2DED"/>
    <w:rsid w:val="003C34DB"/>
    <w:rsid w:val="003D04B3"/>
    <w:rsid w:val="003D1F81"/>
    <w:rsid w:val="003D6B7B"/>
    <w:rsid w:val="003D7301"/>
    <w:rsid w:val="003E3981"/>
    <w:rsid w:val="003E53D2"/>
    <w:rsid w:val="003E5CBA"/>
    <w:rsid w:val="003F4DF5"/>
    <w:rsid w:val="003F59DD"/>
    <w:rsid w:val="004071DA"/>
    <w:rsid w:val="0041194D"/>
    <w:rsid w:val="004134E3"/>
    <w:rsid w:val="00413836"/>
    <w:rsid w:val="004142FB"/>
    <w:rsid w:val="0041432D"/>
    <w:rsid w:val="004161F8"/>
    <w:rsid w:val="00421B24"/>
    <w:rsid w:val="00422C1B"/>
    <w:rsid w:val="004239DF"/>
    <w:rsid w:val="004313B5"/>
    <w:rsid w:val="00432E77"/>
    <w:rsid w:val="004340F8"/>
    <w:rsid w:val="00436BD8"/>
    <w:rsid w:val="00441B2A"/>
    <w:rsid w:val="00446375"/>
    <w:rsid w:val="00446D6E"/>
    <w:rsid w:val="004554DD"/>
    <w:rsid w:val="004600C8"/>
    <w:rsid w:val="00467A03"/>
    <w:rsid w:val="00470B10"/>
    <w:rsid w:val="00471F51"/>
    <w:rsid w:val="00472D49"/>
    <w:rsid w:val="00473FEF"/>
    <w:rsid w:val="004840D6"/>
    <w:rsid w:val="004943B1"/>
    <w:rsid w:val="004952DD"/>
    <w:rsid w:val="00495704"/>
    <w:rsid w:val="00496B43"/>
    <w:rsid w:val="00497671"/>
    <w:rsid w:val="004A5C28"/>
    <w:rsid w:val="004A7460"/>
    <w:rsid w:val="004B0250"/>
    <w:rsid w:val="004B042E"/>
    <w:rsid w:val="004B7060"/>
    <w:rsid w:val="004B7749"/>
    <w:rsid w:val="004B7AAF"/>
    <w:rsid w:val="004C0F89"/>
    <w:rsid w:val="004C7693"/>
    <w:rsid w:val="004D5FE1"/>
    <w:rsid w:val="004E1B28"/>
    <w:rsid w:val="004E4450"/>
    <w:rsid w:val="004F6DF2"/>
    <w:rsid w:val="004F7D86"/>
    <w:rsid w:val="00500773"/>
    <w:rsid w:val="0050257B"/>
    <w:rsid w:val="00507C72"/>
    <w:rsid w:val="00530325"/>
    <w:rsid w:val="005324CA"/>
    <w:rsid w:val="00535B8D"/>
    <w:rsid w:val="00540D77"/>
    <w:rsid w:val="00543499"/>
    <w:rsid w:val="00545B75"/>
    <w:rsid w:val="005467CB"/>
    <w:rsid w:val="00547CC6"/>
    <w:rsid w:val="00550E51"/>
    <w:rsid w:val="0055103A"/>
    <w:rsid w:val="0055267D"/>
    <w:rsid w:val="0055333F"/>
    <w:rsid w:val="00556BC7"/>
    <w:rsid w:val="0056057D"/>
    <w:rsid w:val="00561B00"/>
    <w:rsid w:val="005622AF"/>
    <w:rsid w:val="0056473D"/>
    <w:rsid w:val="00571417"/>
    <w:rsid w:val="00571898"/>
    <w:rsid w:val="00572446"/>
    <w:rsid w:val="005741E0"/>
    <w:rsid w:val="00577CC9"/>
    <w:rsid w:val="0058067C"/>
    <w:rsid w:val="00582FAD"/>
    <w:rsid w:val="005832A4"/>
    <w:rsid w:val="00583918"/>
    <w:rsid w:val="00584117"/>
    <w:rsid w:val="00587665"/>
    <w:rsid w:val="005A0CEB"/>
    <w:rsid w:val="005A49A9"/>
    <w:rsid w:val="005A4F31"/>
    <w:rsid w:val="005A5F6D"/>
    <w:rsid w:val="005A69D2"/>
    <w:rsid w:val="005A6CC3"/>
    <w:rsid w:val="005B2E17"/>
    <w:rsid w:val="005C001C"/>
    <w:rsid w:val="005C081B"/>
    <w:rsid w:val="005C0DBA"/>
    <w:rsid w:val="005C4794"/>
    <w:rsid w:val="005C5AC9"/>
    <w:rsid w:val="005C6B07"/>
    <w:rsid w:val="005D11FE"/>
    <w:rsid w:val="005D628C"/>
    <w:rsid w:val="005D62FF"/>
    <w:rsid w:val="005E2C69"/>
    <w:rsid w:val="005E3A5C"/>
    <w:rsid w:val="005E5BF4"/>
    <w:rsid w:val="005E6DE8"/>
    <w:rsid w:val="005F0587"/>
    <w:rsid w:val="005F1161"/>
    <w:rsid w:val="005F17BD"/>
    <w:rsid w:val="00600156"/>
    <w:rsid w:val="00601966"/>
    <w:rsid w:val="00607995"/>
    <w:rsid w:val="006152C7"/>
    <w:rsid w:val="00615A07"/>
    <w:rsid w:val="006173D8"/>
    <w:rsid w:val="00621F10"/>
    <w:rsid w:val="006269D8"/>
    <w:rsid w:val="0063278E"/>
    <w:rsid w:val="006344DD"/>
    <w:rsid w:val="00642E3C"/>
    <w:rsid w:val="006453BC"/>
    <w:rsid w:val="00645526"/>
    <w:rsid w:val="00645882"/>
    <w:rsid w:val="00651304"/>
    <w:rsid w:val="00651A46"/>
    <w:rsid w:val="00652751"/>
    <w:rsid w:val="00657F26"/>
    <w:rsid w:val="00661E58"/>
    <w:rsid w:val="0066406F"/>
    <w:rsid w:val="00664BA2"/>
    <w:rsid w:val="00664EE1"/>
    <w:rsid w:val="00671876"/>
    <w:rsid w:val="00672068"/>
    <w:rsid w:val="00673ED8"/>
    <w:rsid w:val="00677C32"/>
    <w:rsid w:val="006935F4"/>
    <w:rsid w:val="00694A8A"/>
    <w:rsid w:val="00697B0C"/>
    <w:rsid w:val="006B045D"/>
    <w:rsid w:val="006B05E4"/>
    <w:rsid w:val="006B12C2"/>
    <w:rsid w:val="006B73AC"/>
    <w:rsid w:val="006C5D63"/>
    <w:rsid w:val="006C6F37"/>
    <w:rsid w:val="006C73E8"/>
    <w:rsid w:val="006D6BA6"/>
    <w:rsid w:val="006E1410"/>
    <w:rsid w:val="006E1535"/>
    <w:rsid w:val="006E2266"/>
    <w:rsid w:val="006E3257"/>
    <w:rsid w:val="006F1272"/>
    <w:rsid w:val="006F36C5"/>
    <w:rsid w:val="006F754B"/>
    <w:rsid w:val="00700D40"/>
    <w:rsid w:val="00703BD9"/>
    <w:rsid w:val="00703CC2"/>
    <w:rsid w:val="00707A94"/>
    <w:rsid w:val="00714EAC"/>
    <w:rsid w:val="00716DD6"/>
    <w:rsid w:val="00716DFF"/>
    <w:rsid w:val="007229E8"/>
    <w:rsid w:val="007233A9"/>
    <w:rsid w:val="00730F16"/>
    <w:rsid w:val="00731F5C"/>
    <w:rsid w:val="00732D0E"/>
    <w:rsid w:val="00733847"/>
    <w:rsid w:val="00733F97"/>
    <w:rsid w:val="0073409B"/>
    <w:rsid w:val="00734C5F"/>
    <w:rsid w:val="0073703E"/>
    <w:rsid w:val="00741737"/>
    <w:rsid w:val="007420D8"/>
    <w:rsid w:val="007448F3"/>
    <w:rsid w:val="00744BBB"/>
    <w:rsid w:val="007469D7"/>
    <w:rsid w:val="007475C1"/>
    <w:rsid w:val="007476C5"/>
    <w:rsid w:val="00747E9E"/>
    <w:rsid w:val="00753B98"/>
    <w:rsid w:val="007545C7"/>
    <w:rsid w:val="0075477F"/>
    <w:rsid w:val="00767067"/>
    <w:rsid w:val="007729DB"/>
    <w:rsid w:val="00775D3B"/>
    <w:rsid w:val="007764BB"/>
    <w:rsid w:val="007768A1"/>
    <w:rsid w:val="00776EDE"/>
    <w:rsid w:val="00780906"/>
    <w:rsid w:val="00786401"/>
    <w:rsid w:val="00787F13"/>
    <w:rsid w:val="00793930"/>
    <w:rsid w:val="007947F1"/>
    <w:rsid w:val="00797224"/>
    <w:rsid w:val="007978FA"/>
    <w:rsid w:val="007A09BF"/>
    <w:rsid w:val="007A1274"/>
    <w:rsid w:val="007A3274"/>
    <w:rsid w:val="007A5C98"/>
    <w:rsid w:val="007B1F52"/>
    <w:rsid w:val="007B38E3"/>
    <w:rsid w:val="007C095B"/>
    <w:rsid w:val="007C10CD"/>
    <w:rsid w:val="007C227D"/>
    <w:rsid w:val="007C2443"/>
    <w:rsid w:val="007C3A44"/>
    <w:rsid w:val="007C5D3E"/>
    <w:rsid w:val="007D020A"/>
    <w:rsid w:val="007D1FB2"/>
    <w:rsid w:val="007D3384"/>
    <w:rsid w:val="007D5A5F"/>
    <w:rsid w:val="007D723D"/>
    <w:rsid w:val="007E012E"/>
    <w:rsid w:val="007E04FC"/>
    <w:rsid w:val="007E157C"/>
    <w:rsid w:val="007E166F"/>
    <w:rsid w:val="007E1DEB"/>
    <w:rsid w:val="007E3FDA"/>
    <w:rsid w:val="007E4C4E"/>
    <w:rsid w:val="007E5FE5"/>
    <w:rsid w:val="007E6403"/>
    <w:rsid w:val="007F296F"/>
    <w:rsid w:val="007F2C17"/>
    <w:rsid w:val="007F3AAB"/>
    <w:rsid w:val="007F6BF4"/>
    <w:rsid w:val="007F7B09"/>
    <w:rsid w:val="00802755"/>
    <w:rsid w:val="0080277A"/>
    <w:rsid w:val="00803B7F"/>
    <w:rsid w:val="00804671"/>
    <w:rsid w:val="00807FD3"/>
    <w:rsid w:val="00810E55"/>
    <w:rsid w:val="008134D9"/>
    <w:rsid w:val="00814F9C"/>
    <w:rsid w:val="008154A0"/>
    <w:rsid w:val="00820E2D"/>
    <w:rsid w:val="008223F3"/>
    <w:rsid w:val="00822BBA"/>
    <w:rsid w:val="00823FF6"/>
    <w:rsid w:val="008262D7"/>
    <w:rsid w:val="00826E21"/>
    <w:rsid w:val="00831377"/>
    <w:rsid w:val="00832711"/>
    <w:rsid w:val="00832C1F"/>
    <w:rsid w:val="008358F7"/>
    <w:rsid w:val="00840089"/>
    <w:rsid w:val="0084009B"/>
    <w:rsid w:val="0084073D"/>
    <w:rsid w:val="0084179A"/>
    <w:rsid w:val="0084560F"/>
    <w:rsid w:val="00847A33"/>
    <w:rsid w:val="00851676"/>
    <w:rsid w:val="00855967"/>
    <w:rsid w:val="008568F9"/>
    <w:rsid w:val="00856E84"/>
    <w:rsid w:val="008675C6"/>
    <w:rsid w:val="00867E9C"/>
    <w:rsid w:val="00883200"/>
    <w:rsid w:val="00885DD4"/>
    <w:rsid w:val="00886EE7"/>
    <w:rsid w:val="00887931"/>
    <w:rsid w:val="00891DB3"/>
    <w:rsid w:val="00893AA8"/>
    <w:rsid w:val="00893E39"/>
    <w:rsid w:val="008A1766"/>
    <w:rsid w:val="008A337C"/>
    <w:rsid w:val="008A475D"/>
    <w:rsid w:val="008A77F7"/>
    <w:rsid w:val="008B0889"/>
    <w:rsid w:val="008B2F76"/>
    <w:rsid w:val="008B44FD"/>
    <w:rsid w:val="008B5C9E"/>
    <w:rsid w:val="008C6481"/>
    <w:rsid w:val="008C6974"/>
    <w:rsid w:val="008C7DDA"/>
    <w:rsid w:val="008D2CC7"/>
    <w:rsid w:val="008D5D43"/>
    <w:rsid w:val="008D612E"/>
    <w:rsid w:val="008E1ABD"/>
    <w:rsid w:val="008E534A"/>
    <w:rsid w:val="008E5CC5"/>
    <w:rsid w:val="008E5EB2"/>
    <w:rsid w:val="008F0004"/>
    <w:rsid w:val="008F0F7B"/>
    <w:rsid w:val="008F36D0"/>
    <w:rsid w:val="008F7700"/>
    <w:rsid w:val="009041BD"/>
    <w:rsid w:val="00904716"/>
    <w:rsid w:val="00904FF6"/>
    <w:rsid w:val="00905401"/>
    <w:rsid w:val="00905729"/>
    <w:rsid w:val="00905B70"/>
    <w:rsid w:val="009160CA"/>
    <w:rsid w:val="00920D57"/>
    <w:rsid w:val="00921BCF"/>
    <w:rsid w:val="009235E5"/>
    <w:rsid w:val="00924283"/>
    <w:rsid w:val="00924774"/>
    <w:rsid w:val="009254E2"/>
    <w:rsid w:val="009274EE"/>
    <w:rsid w:val="00927A6D"/>
    <w:rsid w:val="00930AE6"/>
    <w:rsid w:val="009342E2"/>
    <w:rsid w:val="00937D7C"/>
    <w:rsid w:val="00940043"/>
    <w:rsid w:val="00940BC3"/>
    <w:rsid w:val="009420DF"/>
    <w:rsid w:val="00943B0C"/>
    <w:rsid w:val="00943B5E"/>
    <w:rsid w:val="00945587"/>
    <w:rsid w:val="0095082E"/>
    <w:rsid w:val="009545C8"/>
    <w:rsid w:val="00961776"/>
    <w:rsid w:val="00961CAF"/>
    <w:rsid w:val="00962D5C"/>
    <w:rsid w:val="00964107"/>
    <w:rsid w:val="00964B61"/>
    <w:rsid w:val="00967D72"/>
    <w:rsid w:val="0097166D"/>
    <w:rsid w:val="00971852"/>
    <w:rsid w:val="00971C06"/>
    <w:rsid w:val="00976CE9"/>
    <w:rsid w:val="0098142A"/>
    <w:rsid w:val="00982D5B"/>
    <w:rsid w:val="009843EB"/>
    <w:rsid w:val="00993A67"/>
    <w:rsid w:val="00994DB1"/>
    <w:rsid w:val="00994E57"/>
    <w:rsid w:val="009A08BC"/>
    <w:rsid w:val="009A47C4"/>
    <w:rsid w:val="009A53D6"/>
    <w:rsid w:val="009A745F"/>
    <w:rsid w:val="009B6DB4"/>
    <w:rsid w:val="009B7AD9"/>
    <w:rsid w:val="009C0304"/>
    <w:rsid w:val="009C082C"/>
    <w:rsid w:val="009C2EBA"/>
    <w:rsid w:val="009C316A"/>
    <w:rsid w:val="009C449B"/>
    <w:rsid w:val="009C53EA"/>
    <w:rsid w:val="009C733B"/>
    <w:rsid w:val="009D092C"/>
    <w:rsid w:val="009D2B6B"/>
    <w:rsid w:val="009D33AD"/>
    <w:rsid w:val="009D7AC8"/>
    <w:rsid w:val="009D7C08"/>
    <w:rsid w:val="009E03A0"/>
    <w:rsid w:val="009E2D83"/>
    <w:rsid w:val="009E4530"/>
    <w:rsid w:val="009E5684"/>
    <w:rsid w:val="009E5F70"/>
    <w:rsid w:val="009F2513"/>
    <w:rsid w:val="009F3CB4"/>
    <w:rsid w:val="009F59C3"/>
    <w:rsid w:val="009F63DE"/>
    <w:rsid w:val="009F695D"/>
    <w:rsid w:val="009F72B0"/>
    <w:rsid w:val="009F79A6"/>
    <w:rsid w:val="00A002CC"/>
    <w:rsid w:val="00A012D4"/>
    <w:rsid w:val="00A02A6B"/>
    <w:rsid w:val="00A04E6B"/>
    <w:rsid w:val="00A0702C"/>
    <w:rsid w:val="00A139A1"/>
    <w:rsid w:val="00A15ABA"/>
    <w:rsid w:val="00A20D39"/>
    <w:rsid w:val="00A239D6"/>
    <w:rsid w:val="00A254CA"/>
    <w:rsid w:val="00A26172"/>
    <w:rsid w:val="00A26423"/>
    <w:rsid w:val="00A2757E"/>
    <w:rsid w:val="00A33198"/>
    <w:rsid w:val="00A339DA"/>
    <w:rsid w:val="00A341CB"/>
    <w:rsid w:val="00A37098"/>
    <w:rsid w:val="00A4018A"/>
    <w:rsid w:val="00A4162E"/>
    <w:rsid w:val="00A42F78"/>
    <w:rsid w:val="00A51B44"/>
    <w:rsid w:val="00A55EA4"/>
    <w:rsid w:val="00A562A2"/>
    <w:rsid w:val="00A5676D"/>
    <w:rsid w:val="00A63817"/>
    <w:rsid w:val="00A64068"/>
    <w:rsid w:val="00A651E9"/>
    <w:rsid w:val="00A658AD"/>
    <w:rsid w:val="00A659A4"/>
    <w:rsid w:val="00A66891"/>
    <w:rsid w:val="00A66BA7"/>
    <w:rsid w:val="00A67337"/>
    <w:rsid w:val="00A72B3E"/>
    <w:rsid w:val="00A7762E"/>
    <w:rsid w:val="00A85CA1"/>
    <w:rsid w:val="00A86479"/>
    <w:rsid w:val="00A918B9"/>
    <w:rsid w:val="00A93CAC"/>
    <w:rsid w:val="00A940EE"/>
    <w:rsid w:val="00A95398"/>
    <w:rsid w:val="00A96AD6"/>
    <w:rsid w:val="00AA0127"/>
    <w:rsid w:val="00AA4706"/>
    <w:rsid w:val="00AA5928"/>
    <w:rsid w:val="00AA65E9"/>
    <w:rsid w:val="00AA70AC"/>
    <w:rsid w:val="00AA7556"/>
    <w:rsid w:val="00AA7B4D"/>
    <w:rsid w:val="00AB48EF"/>
    <w:rsid w:val="00AC16A4"/>
    <w:rsid w:val="00AC29DE"/>
    <w:rsid w:val="00AD13F7"/>
    <w:rsid w:val="00AD232F"/>
    <w:rsid w:val="00AD404E"/>
    <w:rsid w:val="00AD6CFB"/>
    <w:rsid w:val="00AD6F2B"/>
    <w:rsid w:val="00AE1066"/>
    <w:rsid w:val="00AE11E9"/>
    <w:rsid w:val="00AE28F5"/>
    <w:rsid w:val="00AE3F70"/>
    <w:rsid w:val="00AF1905"/>
    <w:rsid w:val="00AF59AE"/>
    <w:rsid w:val="00AF5B15"/>
    <w:rsid w:val="00B02500"/>
    <w:rsid w:val="00B039CF"/>
    <w:rsid w:val="00B10F3B"/>
    <w:rsid w:val="00B113D1"/>
    <w:rsid w:val="00B16780"/>
    <w:rsid w:val="00B24972"/>
    <w:rsid w:val="00B25315"/>
    <w:rsid w:val="00B27855"/>
    <w:rsid w:val="00B32B05"/>
    <w:rsid w:val="00B3624D"/>
    <w:rsid w:val="00B363C8"/>
    <w:rsid w:val="00B413D5"/>
    <w:rsid w:val="00B4222E"/>
    <w:rsid w:val="00B427B8"/>
    <w:rsid w:val="00B475FA"/>
    <w:rsid w:val="00B5135D"/>
    <w:rsid w:val="00B57D94"/>
    <w:rsid w:val="00B65A48"/>
    <w:rsid w:val="00B72456"/>
    <w:rsid w:val="00B735D0"/>
    <w:rsid w:val="00B73F2C"/>
    <w:rsid w:val="00B74871"/>
    <w:rsid w:val="00B82BC9"/>
    <w:rsid w:val="00B82F8E"/>
    <w:rsid w:val="00B91C17"/>
    <w:rsid w:val="00B91C34"/>
    <w:rsid w:val="00B92C86"/>
    <w:rsid w:val="00B94B26"/>
    <w:rsid w:val="00B9522A"/>
    <w:rsid w:val="00B970E8"/>
    <w:rsid w:val="00B97F03"/>
    <w:rsid w:val="00BA0D41"/>
    <w:rsid w:val="00BB17B3"/>
    <w:rsid w:val="00BB3D4A"/>
    <w:rsid w:val="00BB509C"/>
    <w:rsid w:val="00BB69C3"/>
    <w:rsid w:val="00BB7131"/>
    <w:rsid w:val="00BB748C"/>
    <w:rsid w:val="00BC37DE"/>
    <w:rsid w:val="00BC3BFD"/>
    <w:rsid w:val="00BC7BC4"/>
    <w:rsid w:val="00BD0E97"/>
    <w:rsid w:val="00BD38C6"/>
    <w:rsid w:val="00BD737D"/>
    <w:rsid w:val="00BD75AC"/>
    <w:rsid w:val="00BD77B3"/>
    <w:rsid w:val="00BF20D6"/>
    <w:rsid w:val="00BF28CF"/>
    <w:rsid w:val="00BF45F8"/>
    <w:rsid w:val="00C001C0"/>
    <w:rsid w:val="00C02477"/>
    <w:rsid w:val="00C055F4"/>
    <w:rsid w:val="00C05828"/>
    <w:rsid w:val="00C10063"/>
    <w:rsid w:val="00C10A00"/>
    <w:rsid w:val="00C12AF1"/>
    <w:rsid w:val="00C144DB"/>
    <w:rsid w:val="00C21E08"/>
    <w:rsid w:val="00C247E0"/>
    <w:rsid w:val="00C24A6E"/>
    <w:rsid w:val="00C24C31"/>
    <w:rsid w:val="00C265E4"/>
    <w:rsid w:val="00C27DE9"/>
    <w:rsid w:val="00C32D61"/>
    <w:rsid w:val="00C33CD0"/>
    <w:rsid w:val="00C34BE7"/>
    <w:rsid w:val="00C35021"/>
    <w:rsid w:val="00C4006A"/>
    <w:rsid w:val="00C4339E"/>
    <w:rsid w:val="00C454C2"/>
    <w:rsid w:val="00C469AD"/>
    <w:rsid w:val="00C46CEC"/>
    <w:rsid w:val="00C4779E"/>
    <w:rsid w:val="00C47D97"/>
    <w:rsid w:val="00C55543"/>
    <w:rsid w:val="00C56080"/>
    <w:rsid w:val="00C62D6D"/>
    <w:rsid w:val="00C6323D"/>
    <w:rsid w:val="00C64903"/>
    <w:rsid w:val="00C74592"/>
    <w:rsid w:val="00C75941"/>
    <w:rsid w:val="00C76129"/>
    <w:rsid w:val="00C77673"/>
    <w:rsid w:val="00C82EDF"/>
    <w:rsid w:val="00C906BC"/>
    <w:rsid w:val="00C90964"/>
    <w:rsid w:val="00C95B35"/>
    <w:rsid w:val="00CA2D7B"/>
    <w:rsid w:val="00CA55F0"/>
    <w:rsid w:val="00CB0AE5"/>
    <w:rsid w:val="00CB17B6"/>
    <w:rsid w:val="00CB1AF6"/>
    <w:rsid w:val="00CB1BD5"/>
    <w:rsid w:val="00CB1C25"/>
    <w:rsid w:val="00CB25C8"/>
    <w:rsid w:val="00CB4D13"/>
    <w:rsid w:val="00CB581E"/>
    <w:rsid w:val="00CB627D"/>
    <w:rsid w:val="00CC49AD"/>
    <w:rsid w:val="00CD2AD8"/>
    <w:rsid w:val="00CD4C01"/>
    <w:rsid w:val="00CE389A"/>
    <w:rsid w:val="00CE448B"/>
    <w:rsid w:val="00CE50FD"/>
    <w:rsid w:val="00CE7745"/>
    <w:rsid w:val="00CE7D06"/>
    <w:rsid w:val="00CF4C23"/>
    <w:rsid w:val="00CF5B92"/>
    <w:rsid w:val="00CF60A9"/>
    <w:rsid w:val="00D01A2B"/>
    <w:rsid w:val="00D02E86"/>
    <w:rsid w:val="00D0622E"/>
    <w:rsid w:val="00D06C04"/>
    <w:rsid w:val="00D11BFC"/>
    <w:rsid w:val="00D128AE"/>
    <w:rsid w:val="00D13573"/>
    <w:rsid w:val="00D1679C"/>
    <w:rsid w:val="00D22408"/>
    <w:rsid w:val="00D22CD1"/>
    <w:rsid w:val="00D30BAE"/>
    <w:rsid w:val="00D32543"/>
    <w:rsid w:val="00D33799"/>
    <w:rsid w:val="00D34328"/>
    <w:rsid w:val="00D409F4"/>
    <w:rsid w:val="00D43F67"/>
    <w:rsid w:val="00D460FB"/>
    <w:rsid w:val="00D46593"/>
    <w:rsid w:val="00D47978"/>
    <w:rsid w:val="00D532CE"/>
    <w:rsid w:val="00D55621"/>
    <w:rsid w:val="00D5652A"/>
    <w:rsid w:val="00D56611"/>
    <w:rsid w:val="00D57F20"/>
    <w:rsid w:val="00D63B38"/>
    <w:rsid w:val="00D63B6E"/>
    <w:rsid w:val="00D65D07"/>
    <w:rsid w:val="00D66B60"/>
    <w:rsid w:val="00D74BF5"/>
    <w:rsid w:val="00D770AA"/>
    <w:rsid w:val="00D77344"/>
    <w:rsid w:val="00D77766"/>
    <w:rsid w:val="00D8003B"/>
    <w:rsid w:val="00D80D8F"/>
    <w:rsid w:val="00D83E48"/>
    <w:rsid w:val="00D84187"/>
    <w:rsid w:val="00D92173"/>
    <w:rsid w:val="00D92C5D"/>
    <w:rsid w:val="00D94B15"/>
    <w:rsid w:val="00DA1FD0"/>
    <w:rsid w:val="00DB5759"/>
    <w:rsid w:val="00DC02A2"/>
    <w:rsid w:val="00DC2101"/>
    <w:rsid w:val="00DC358E"/>
    <w:rsid w:val="00DC36BC"/>
    <w:rsid w:val="00DC6E8E"/>
    <w:rsid w:val="00DC79BC"/>
    <w:rsid w:val="00DD246E"/>
    <w:rsid w:val="00DD45A9"/>
    <w:rsid w:val="00DE2560"/>
    <w:rsid w:val="00DE25D1"/>
    <w:rsid w:val="00DE26C1"/>
    <w:rsid w:val="00DE377D"/>
    <w:rsid w:val="00DE59C0"/>
    <w:rsid w:val="00DF22B0"/>
    <w:rsid w:val="00DF3B5D"/>
    <w:rsid w:val="00DF3E47"/>
    <w:rsid w:val="00DF6143"/>
    <w:rsid w:val="00DF7C90"/>
    <w:rsid w:val="00E00F64"/>
    <w:rsid w:val="00E05368"/>
    <w:rsid w:val="00E07791"/>
    <w:rsid w:val="00E1131C"/>
    <w:rsid w:val="00E11AFF"/>
    <w:rsid w:val="00E1712F"/>
    <w:rsid w:val="00E23DA9"/>
    <w:rsid w:val="00E24218"/>
    <w:rsid w:val="00E24A87"/>
    <w:rsid w:val="00E25A84"/>
    <w:rsid w:val="00E25D4E"/>
    <w:rsid w:val="00E27C03"/>
    <w:rsid w:val="00E35765"/>
    <w:rsid w:val="00E403C7"/>
    <w:rsid w:val="00E43A04"/>
    <w:rsid w:val="00E460B4"/>
    <w:rsid w:val="00E50209"/>
    <w:rsid w:val="00E50C79"/>
    <w:rsid w:val="00E513C2"/>
    <w:rsid w:val="00E52083"/>
    <w:rsid w:val="00E56D98"/>
    <w:rsid w:val="00E60A37"/>
    <w:rsid w:val="00E61C80"/>
    <w:rsid w:val="00E61FAC"/>
    <w:rsid w:val="00E71F6B"/>
    <w:rsid w:val="00E72251"/>
    <w:rsid w:val="00E766C3"/>
    <w:rsid w:val="00E851BE"/>
    <w:rsid w:val="00EA225B"/>
    <w:rsid w:val="00EA5285"/>
    <w:rsid w:val="00EB0007"/>
    <w:rsid w:val="00EB0293"/>
    <w:rsid w:val="00EB0C2C"/>
    <w:rsid w:val="00EB192B"/>
    <w:rsid w:val="00EB38E8"/>
    <w:rsid w:val="00EB5332"/>
    <w:rsid w:val="00EB7344"/>
    <w:rsid w:val="00EC110D"/>
    <w:rsid w:val="00EC6336"/>
    <w:rsid w:val="00EC7792"/>
    <w:rsid w:val="00EC7F1F"/>
    <w:rsid w:val="00ED0E8D"/>
    <w:rsid w:val="00ED5B4F"/>
    <w:rsid w:val="00ED6BBF"/>
    <w:rsid w:val="00ED7E13"/>
    <w:rsid w:val="00EE3C53"/>
    <w:rsid w:val="00EE51DA"/>
    <w:rsid w:val="00EE6100"/>
    <w:rsid w:val="00EF37CA"/>
    <w:rsid w:val="00EF7ED2"/>
    <w:rsid w:val="00F02CBF"/>
    <w:rsid w:val="00F02D49"/>
    <w:rsid w:val="00F03DA7"/>
    <w:rsid w:val="00F046DA"/>
    <w:rsid w:val="00F048D5"/>
    <w:rsid w:val="00F070BF"/>
    <w:rsid w:val="00F12B21"/>
    <w:rsid w:val="00F14760"/>
    <w:rsid w:val="00F14F87"/>
    <w:rsid w:val="00F1791E"/>
    <w:rsid w:val="00F213AE"/>
    <w:rsid w:val="00F223D6"/>
    <w:rsid w:val="00F2294C"/>
    <w:rsid w:val="00F24930"/>
    <w:rsid w:val="00F2576A"/>
    <w:rsid w:val="00F2751F"/>
    <w:rsid w:val="00F2788C"/>
    <w:rsid w:val="00F32E60"/>
    <w:rsid w:val="00F34728"/>
    <w:rsid w:val="00F3747F"/>
    <w:rsid w:val="00F42A46"/>
    <w:rsid w:val="00F44654"/>
    <w:rsid w:val="00F45FBD"/>
    <w:rsid w:val="00F51419"/>
    <w:rsid w:val="00F52A92"/>
    <w:rsid w:val="00F5378A"/>
    <w:rsid w:val="00F5398D"/>
    <w:rsid w:val="00F54EF4"/>
    <w:rsid w:val="00F5578E"/>
    <w:rsid w:val="00F5589A"/>
    <w:rsid w:val="00F63A2F"/>
    <w:rsid w:val="00F64DC6"/>
    <w:rsid w:val="00F66326"/>
    <w:rsid w:val="00F71514"/>
    <w:rsid w:val="00F73BAA"/>
    <w:rsid w:val="00F8007B"/>
    <w:rsid w:val="00F91395"/>
    <w:rsid w:val="00F97B2D"/>
    <w:rsid w:val="00FA3841"/>
    <w:rsid w:val="00FA582C"/>
    <w:rsid w:val="00FB1A33"/>
    <w:rsid w:val="00FB22BF"/>
    <w:rsid w:val="00FB24C2"/>
    <w:rsid w:val="00FB4F7D"/>
    <w:rsid w:val="00FB5824"/>
    <w:rsid w:val="00FC0243"/>
    <w:rsid w:val="00FC071C"/>
    <w:rsid w:val="00FC24E5"/>
    <w:rsid w:val="00FC363B"/>
    <w:rsid w:val="00FC4783"/>
    <w:rsid w:val="00FC65D0"/>
    <w:rsid w:val="00FC67AF"/>
    <w:rsid w:val="00FD12D8"/>
    <w:rsid w:val="00FD1C1D"/>
    <w:rsid w:val="00FD3AAD"/>
    <w:rsid w:val="00FD47B4"/>
    <w:rsid w:val="00FD51CD"/>
    <w:rsid w:val="00FD534F"/>
    <w:rsid w:val="00FE4B81"/>
    <w:rsid w:val="00FF127A"/>
    <w:rsid w:val="00FF29E7"/>
    <w:rsid w:val="00FF32B0"/>
    <w:rsid w:val="00FF369E"/>
    <w:rsid w:val="01002678"/>
    <w:rsid w:val="01BB1B90"/>
    <w:rsid w:val="0357423A"/>
    <w:rsid w:val="04040843"/>
    <w:rsid w:val="04534522"/>
    <w:rsid w:val="04F532E4"/>
    <w:rsid w:val="050B668C"/>
    <w:rsid w:val="05160A26"/>
    <w:rsid w:val="05A708E3"/>
    <w:rsid w:val="05EF0E4C"/>
    <w:rsid w:val="062C627F"/>
    <w:rsid w:val="06F24750"/>
    <w:rsid w:val="07852A45"/>
    <w:rsid w:val="08166439"/>
    <w:rsid w:val="088771F6"/>
    <w:rsid w:val="09842961"/>
    <w:rsid w:val="0A11651F"/>
    <w:rsid w:val="0B7B07E8"/>
    <w:rsid w:val="0B9E3157"/>
    <w:rsid w:val="0BF002FA"/>
    <w:rsid w:val="0D477973"/>
    <w:rsid w:val="0D561518"/>
    <w:rsid w:val="0DA770F4"/>
    <w:rsid w:val="0DDE6C7A"/>
    <w:rsid w:val="0EBD28D6"/>
    <w:rsid w:val="0F19465C"/>
    <w:rsid w:val="0FEE7355"/>
    <w:rsid w:val="11336B8B"/>
    <w:rsid w:val="118443AE"/>
    <w:rsid w:val="11B5058F"/>
    <w:rsid w:val="11D92230"/>
    <w:rsid w:val="12AB5A42"/>
    <w:rsid w:val="12D87D4F"/>
    <w:rsid w:val="147A636F"/>
    <w:rsid w:val="15782C7E"/>
    <w:rsid w:val="15902DB4"/>
    <w:rsid w:val="15915971"/>
    <w:rsid w:val="15FC6D54"/>
    <w:rsid w:val="160839E3"/>
    <w:rsid w:val="160F2EF4"/>
    <w:rsid w:val="168A2E4A"/>
    <w:rsid w:val="170B42AE"/>
    <w:rsid w:val="1812204D"/>
    <w:rsid w:val="182867BE"/>
    <w:rsid w:val="18523889"/>
    <w:rsid w:val="18941F78"/>
    <w:rsid w:val="18E67F66"/>
    <w:rsid w:val="19C203AA"/>
    <w:rsid w:val="19EB46AD"/>
    <w:rsid w:val="1A07314F"/>
    <w:rsid w:val="1A143C27"/>
    <w:rsid w:val="1A4A64AD"/>
    <w:rsid w:val="1ACC5F94"/>
    <w:rsid w:val="1BBF3C13"/>
    <w:rsid w:val="1C6C177F"/>
    <w:rsid w:val="1CEF0D86"/>
    <w:rsid w:val="1E605764"/>
    <w:rsid w:val="1ED35E52"/>
    <w:rsid w:val="1F055864"/>
    <w:rsid w:val="1F326319"/>
    <w:rsid w:val="1F337736"/>
    <w:rsid w:val="1F3519C7"/>
    <w:rsid w:val="1F644744"/>
    <w:rsid w:val="1FD128F4"/>
    <w:rsid w:val="209F5B51"/>
    <w:rsid w:val="20B50445"/>
    <w:rsid w:val="20EB0691"/>
    <w:rsid w:val="21440B7A"/>
    <w:rsid w:val="22937D89"/>
    <w:rsid w:val="22B56758"/>
    <w:rsid w:val="22E03E0A"/>
    <w:rsid w:val="23403395"/>
    <w:rsid w:val="234A7F6B"/>
    <w:rsid w:val="23F031C9"/>
    <w:rsid w:val="243E32C2"/>
    <w:rsid w:val="25174E41"/>
    <w:rsid w:val="256972AA"/>
    <w:rsid w:val="25AB1A79"/>
    <w:rsid w:val="27950FB5"/>
    <w:rsid w:val="28927479"/>
    <w:rsid w:val="28D7016F"/>
    <w:rsid w:val="28FD4CC9"/>
    <w:rsid w:val="29DB0625"/>
    <w:rsid w:val="2A355E7E"/>
    <w:rsid w:val="2A5B32EA"/>
    <w:rsid w:val="2A800CEA"/>
    <w:rsid w:val="2B8A3541"/>
    <w:rsid w:val="2C4320AD"/>
    <w:rsid w:val="2D9E48E8"/>
    <w:rsid w:val="2D9F29B4"/>
    <w:rsid w:val="2EC37384"/>
    <w:rsid w:val="2FA539B8"/>
    <w:rsid w:val="2FA837EF"/>
    <w:rsid w:val="2FBB0A9A"/>
    <w:rsid w:val="2FE933B3"/>
    <w:rsid w:val="2FF27970"/>
    <w:rsid w:val="2FF418E7"/>
    <w:rsid w:val="30483416"/>
    <w:rsid w:val="305C0286"/>
    <w:rsid w:val="311E0586"/>
    <w:rsid w:val="31876D63"/>
    <w:rsid w:val="321A0DA3"/>
    <w:rsid w:val="323E39C7"/>
    <w:rsid w:val="327F1123"/>
    <w:rsid w:val="342B281C"/>
    <w:rsid w:val="345B5664"/>
    <w:rsid w:val="345F0910"/>
    <w:rsid w:val="35CB4E04"/>
    <w:rsid w:val="35DD2C66"/>
    <w:rsid w:val="361E2C1F"/>
    <w:rsid w:val="36F21B1E"/>
    <w:rsid w:val="379B05EC"/>
    <w:rsid w:val="38463968"/>
    <w:rsid w:val="38641B0F"/>
    <w:rsid w:val="39204CA1"/>
    <w:rsid w:val="394A28F1"/>
    <w:rsid w:val="3AF56409"/>
    <w:rsid w:val="3B0C3FED"/>
    <w:rsid w:val="3BC82243"/>
    <w:rsid w:val="3CBA425A"/>
    <w:rsid w:val="3D4B29C5"/>
    <w:rsid w:val="3D94540A"/>
    <w:rsid w:val="3E401509"/>
    <w:rsid w:val="3F040C13"/>
    <w:rsid w:val="40633811"/>
    <w:rsid w:val="40E7461E"/>
    <w:rsid w:val="413775B0"/>
    <w:rsid w:val="41CD588D"/>
    <w:rsid w:val="42AB3941"/>
    <w:rsid w:val="42C30F47"/>
    <w:rsid w:val="42C67EC7"/>
    <w:rsid w:val="43520F9F"/>
    <w:rsid w:val="43637296"/>
    <w:rsid w:val="457819D7"/>
    <w:rsid w:val="45A0469A"/>
    <w:rsid w:val="45FA74F2"/>
    <w:rsid w:val="462861CF"/>
    <w:rsid w:val="46752F28"/>
    <w:rsid w:val="469C658E"/>
    <w:rsid w:val="47C86159"/>
    <w:rsid w:val="47FD447C"/>
    <w:rsid w:val="48215114"/>
    <w:rsid w:val="48276825"/>
    <w:rsid w:val="48403234"/>
    <w:rsid w:val="48450C39"/>
    <w:rsid w:val="4850341A"/>
    <w:rsid w:val="491D5404"/>
    <w:rsid w:val="4A41430B"/>
    <w:rsid w:val="4BBB0BE9"/>
    <w:rsid w:val="4D842D3A"/>
    <w:rsid w:val="4DDD02DC"/>
    <w:rsid w:val="4E2B44E3"/>
    <w:rsid w:val="4E650DC9"/>
    <w:rsid w:val="4F6F4B51"/>
    <w:rsid w:val="50A32828"/>
    <w:rsid w:val="50CF73BC"/>
    <w:rsid w:val="51280932"/>
    <w:rsid w:val="514D6509"/>
    <w:rsid w:val="517462F5"/>
    <w:rsid w:val="51B87EF8"/>
    <w:rsid w:val="51E62FB7"/>
    <w:rsid w:val="524F58D9"/>
    <w:rsid w:val="52B670A9"/>
    <w:rsid w:val="52FD455E"/>
    <w:rsid w:val="53412B1E"/>
    <w:rsid w:val="53D6608D"/>
    <w:rsid w:val="54010530"/>
    <w:rsid w:val="555739DF"/>
    <w:rsid w:val="55B164AD"/>
    <w:rsid w:val="55C81BB7"/>
    <w:rsid w:val="55D81588"/>
    <w:rsid w:val="561C3A3F"/>
    <w:rsid w:val="562A39A6"/>
    <w:rsid w:val="565F6940"/>
    <w:rsid w:val="574C76A5"/>
    <w:rsid w:val="57A556A6"/>
    <w:rsid w:val="59100865"/>
    <w:rsid w:val="59917588"/>
    <w:rsid w:val="5A095AB5"/>
    <w:rsid w:val="5AF60A5A"/>
    <w:rsid w:val="5B032756"/>
    <w:rsid w:val="5B6A0943"/>
    <w:rsid w:val="5BA60B0D"/>
    <w:rsid w:val="5BFE1967"/>
    <w:rsid w:val="5CA06B9B"/>
    <w:rsid w:val="5D491032"/>
    <w:rsid w:val="5D550866"/>
    <w:rsid w:val="5D926A59"/>
    <w:rsid w:val="5D9B0B63"/>
    <w:rsid w:val="5E0E085B"/>
    <w:rsid w:val="5E3A22D5"/>
    <w:rsid w:val="5F3018F4"/>
    <w:rsid w:val="5F971568"/>
    <w:rsid w:val="616E2C9D"/>
    <w:rsid w:val="6289224C"/>
    <w:rsid w:val="63460538"/>
    <w:rsid w:val="634F4AF1"/>
    <w:rsid w:val="635C139E"/>
    <w:rsid w:val="64521136"/>
    <w:rsid w:val="64B76AD0"/>
    <w:rsid w:val="651D3DBE"/>
    <w:rsid w:val="65B07941"/>
    <w:rsid w:val="65D529C9"/>
    <w:rsid w:val="661362E3"/>
    <w:rsid w:val="661865DF"/>
    <w:rsid w:val="669464D7"/>
    <w:rsid w:val="66BA7275"/>
    <w:rsid w:val="66F07FD1"/>
    <w:rsid w:val="67426E49"/>
    <w:rsid w:val="6744203C"/>
    <w:rsid w:val="676F3F7F"/>
    <w:rsid w:val="6794411C"/>
    <w:rsid w:val="67E427A5"/>
    <w:rsid w:val="68CB2D94"/>
    <w:rsid w:val="699018D3"/>
    <w:rsid w:val="69CE27E1"/>
    <w:rsid w:val="69E50CDA"/>
    <w:rsid w:val="69F06925"/>
    <w:rsid w:val="6AD64725"/>
    <w:rsid w:val="6AE90467"/>
    <w:rsid w:val="6B1F203D"/>
    <w:rsid w:val="6B236656"/>
    <w:rsid w:val="6B570828"/>
    <w:rsid w:val="6B61182A"/>
    <w:rsid w:val="6D1862E0"/>
    <w:rsid w:val="6D283DD3"/>
    <w:rsid w:val="6D6558B3"/>
    <w:rsid w:val="6D762F0F"/>
    <w:rsid w:val="6DF8703C"/>
    <w:rsid w:val="6E1966BE"/>
    <w:rsid w:val="6E736163"/>
    <w:rsid w:val="725772F9"/>
    <w:rsid w:val="72B04D6F"/>
    <w:rsid w:val="7358145B"/>
    <w:rsid w:val="74415EE0"/>
    <w:rsid w:val="74932B83"/>
    <w:rsid w:val="74FD46D9"/>
    <w:rsid w:val="74FE681D"/>
    <w:rsid w:val="75007EB3"/>
    <w:rsid w:val="7541307B"/>
    <w:rsid w:val="75F07F55"/>
    <w:rsid w:val="76150EDB"/>
    <w:rsid w:val="76E25A80"/>
    <w:rsid w:val="77782A83"/>
    <w:rsid w:val="77A552B4"/>
    <w:rsid w:val="78102198"/>
    <w:rsid w:val="783A644A"/>
    <w:rsid w:val="78855F37"/>
    <w:rsid w:val="78BF3420"/>
    <w:rsid w:val="78CA7DC1"/>
    <w:rsid w:val="793979B4"/>
    <w:rsid w:val="7A177D2A"/>
    <w:rsid w:val="7A193EA0"/>
    <w:rsid w:val="7A5371D8"/>
    <w:rsid w:val="7AFC2853"/>
    <w:rsid w:val="7C8906FD"/>
    <w:rsid w:val="7CBE74F1"/>
    <w:rsid w:val="7D1C786F"/>
    <w:rsid w:val="7D4C4BA9"/>
    <w:rsid w:val="7D570103"/>
    <w:rsid w:val="7DF06CD1"/>
    <w:rsid w:val="7E165AAB"/>
    <w:rsid w:val="7F3350EE"/>
    <w:rsid w:val="7F647B2B"/>
    <w:rsid w:val="7F7A20E4"/>
    <w:rsid w:val="7F9351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7"/>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unhideWhenUsed/>
    <w:qFormat/>
    <w:uiPriority w:val="99"/>
    <w:pPr>
      <w:autoSpaceDE w:val="0"/>
      <w:autoSpaceDN w:val="0"/>
      <w:jc w:val="left"/>
    </w:pPr>
    <w:rPr>
      <w:rFonts w:ascii="仿宋" w:hAnsi="仿宋" w:eastAsia="仿宋" w:cs="仿宋"/>
      <w:kern w:val="0"/>
      <w:sz w:val="22"/>
      <w:szCs w:val="22"/>
    </w:rPr>
  </w:style>
  <w:style w:type="paragraph" w:styleId="6">
    <w:name w:val="Body Text"/>
    <w:basedOn w:val="1"/>
    <w:link w:val="25"/>
    <w:qFormat/>
    <w:uiPriority w:val="0"/>
    <w:pPr>
      <w:spacing w:after="120"/>
    </w:pPr>
  </w:style>
  <w:style w:type="paragraph" w:styleId="7">
    <w:name w:val="Body Text Indent"/>
    <w:basedOn w:val="1"/>
    <w:qFormat/>
    <w:uiPriority w:val="0"/>
    <w:pPr>
      <w:widowControl/>
      <w:spacing w:before="100" w:beforeAutospacing="1" w:after="100" w:afterAutospacing="1"/>
      <w:jc w:val="left"/>
    </w:pPr>
    <w:rPr>
      <w:rFonts w:ascii="宋体" w:hAnsi="宋体" w:eastAsia="宋体"/>
      <w:kern w:val="0"/>
      <w:sz w:val="24"/>
    </w:rPr>
  </w:style>
  <w:style w:type="paragraph" w:styleId="8">
    <w:name w:val="Balloon Text"/>
    <w:basedOn w:val="1"/>
    <w:semiHidden/>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rFonts w:eastAsia="宋体"/>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kern w:val="0"/>
      <w:sz w:val="24"/>
    </w:rPr>
  </w:style>
  <w:style w:type="character" w:styleId="14">
    <w:name w:val="page number"/>
    <w:basedOn w:val="13"/>
    <w:qFormat/>
    <w:uiPriority w:val="0"/>
  </w:style>
  <w:style w:type="character" w:styleId="15">
    <w:name w:val="Hyperlink"/>
    <w:qFormat/>
    <w:uiPriority w:val="0"/>
    <w:rPr>
      <w:color w:val="333333"/>
      <w:u w:val="none"/>
    </w:rPr>
  </w:style>
  <w:style w:type="character" w:styleId="16">
    <w:name w:val="annotation reference"/>
    <w:basedOn w:val="13"/>
    <w:unhideWhenUsed/>
    <w:qFormat/>
    <w:uiPriority w:val="99"/>
    <w:rPr>
      <w:sz w:val="21"/>
      <w:szCs w:val="21"/>
    </w:rPr>
  </w:style>
  <w:style w:type="character" w:customStyle="1" w:styleId="17">
    <w:name w:val="访问过的超链接"/>
    <w:qFormat/>
    <w:uiPriority w:val="0"/>
    <w:rPr>
      <w:color w:val="333333"/>
      <w:u w:val="none"/>
    </w:rPr>
  </w:style>
  <w:style w:type="character" w:customStyle="1" w:styleId="18">
    <w:name w:val="页眉 Char"/>
    <w:link w:val="10"/>
    <w:qFormat/>
    <w:uiPriority w:val="99"/>
    <w:rPr>
      <w:rFonts w:eastAsia="仿宋_GB2312"/>
      <w:kern w:val="2"/>
      <w:sz w:val="18"/>
      <w:szCs w:val="18"/>
    </w:rPr>
  </w:style>
  <w:style w:type="character" w:customStyle="1" w:styleId="19">
    <w:name w:val="页脚 Char"/>
    <w:link w:val="9"/>
    <w:qFormat/>
    <w:locked/>
    <w:uiPriority w:val="99"/>
    <w:rPr>
      <w:rFonts w:eastAsia="宋体"/>
      <w:kern w:val="2"/>
      <w:sz w:val="18"/>
      <w:szCs w:val="18"/>
      <w:lang w:val="en-US" w:eastAsia="zh-CN" w:bidi="ar-SA"/>
    </w:rPr>
  </w:style>
  <w:style w:type="paragraph" w:styleId="20">
    <w:name w:val="List Paragraph"/>
    <w:basedOn w:val="1"/>
    <w:qFormat/>
    <w:uiPriority w:val="1"/>
    <w:pPr>
      <w:widowControl/>
      <w:ind w:firstLine="420" w:firstLineChars="200"/>
      <w:jc w:val="left"/>
    </w:pPr>
    <w:rPr>
      <w:rFonts w:ascii="宋体" w:hAnsi="宋体" w:eastAsia="宋体" w:cs="宋体"/>
      <w:kern w:val="0"/>
      <w:sz w:val="24"/>
    </w:rPr>
  </w:style>
  <w:style w:type="paragraph" w:customStyle="1" w:styleId="21">
    <w:name w:val="修订1"/>
    <w:unhideWhenUsed/>
    <w:qFormat/>
    <w:uiPriority w:val="99"/>
    <w:rPr>
      <w:rFonts w:ascii="Times New Roman" w:hAnsi="Times New Roman" w:eastAsia="仿宋_GB2312" w:cs="Times New Roman"/>
      <w:kern w:val="2"/>
      <w:sz w:val="30"/>
      <w:szCs w:val="24"/>
      <w:lang w:val="en-US" w:eastAsia="zh-CN" w:bidi="ar-SA"/>
    </w:rPr>
  </w:style>
  <w:style w:type="paragraph" w:customStyle="1" w:styleId="22">
    <w:name w:val="闻政页码"/>
    <w:qFormat/>
    <w:uiPriority w:val="6"/>
    <w:pPr>
      <w:jc w:val="center"/>
    </w:pPr>
    <w:rPr>
      <w:rFonts w:ascii="Times New Roman" w:hAnsi="Times New Roman" w:eastAsia="Times New Roman" w:cs="Times New Roman"/>
      <w:sz w:val="21"/>
      <w:szCs w:val="28"/>
      <w:lang w:val="en-US" w:eastAsia="zh-CN" w:bidi="ar-SA"/>
    </w:rPr>
  </w:style>
  <w:style w:type="character" w:customStyle="1" w:styleId="23">
    <w:name w:val="标题 1 Char"/>
    <w:link w:val="2"/>
    <w:qFormat/>
    <w:uiPriority w:val="0"/>
    <w:rPr>
      <w:rFonts w:eastAsia="仿宋_GB2312"/>
      <w:b/>
      <w:bCs/>
      <w:kern w:val="44"/>
      <w:sz w:val="44"/>
      <w:szCs w:val="44"/>
    </w:rPr>
  </w:style>
  <w:style w:type="paragraph" w:customStyle="1" w:styleId="24">
    <w:name w:val="Table Paragraph"/>
    <w:basedOn w:val="1"/>
    <w:qFormat/>
    <w:uiPriority w:val="1"/>
    <w:pPr>
      <w:autoSpaceDE w:val="0"/>
      <w:autoSpaceDN w:val="0"/>
      <w:jc w:val="left"/>
    </w:pPr>
    <w:rPr>
      <w:rFonts w:ascii="仿宋" w:hAnsi="仿宋" w:eastAsia="仿宋" w:cs="仿宋"/>
      <w:kern w:val="0"/>
      <w:sz w:val="22"/>
      <w:szCs w:val="22"/>
    </w:rPr>
  </w:style>
  <w:style w:type="character" w:customStyle="1" w:styleId="25">
    <w:name w:val="正文文本 Char"/>
    <w:basedOn w:val="13"/>
    <w:link w:val="6"/>
    <w:qFormat/>
    <w:uiPriority w:val="0"/>
    <w:rPr>
      <w:rFonts w:eastAsia="仿宋_GB2312"/>
      <w:kern w:val="2"/>
      <w:sz w:val="30"/>
      <w:szCs w:val="24"/>
    </w:rPr>
  </w:style>
  <w:style w:type="character" w:customStyle="1" w:styleId="26">
    <w:name w:val="批注文字 Char"/>
    <w:basedOn w:val="13"/>
    <w:link w:val="5"/>
    <w:qFormat/>
    <w:uiPriority w:val="99"/>
    <w:rPr>
      <w:rFonts w:ascii="仿宋" w:hAnsi="仿宋" w:eastAsia="仿宋" w:cs="仿宋"/>
      <w:sz w:val="22"/>
      <w:szCs w:val="22"/>
    </w:rPr>
  </w:style>
  <w:style w:type="character" w:customStyle="1" w:styleId="27">
    <w:name w:val="标题 3 Char"/>
    <w:basedOn w:val="13"/>
    <w:link w:val="4"/>
    <w:semiHidden/>
    <w:qFormat/>
    <w:uiPriority w:val="0"/>
    <w:rPr>
      <w:rFonts w:eastAsia="仿宋_GB2312"/>
      <w:b/>
      <w:bCs/>
      <w:kern w:val="2"/>
      <w:sz w:val="32"/>
      <w:szCs w:val="32"/>
    </w:rPr>
  </w:style>
  <w:style w:type="paragraph" w:customStyle="1" w:styleId="28">
    <w:name w:val="列出段落1"/>
    <w:basedOn w:val="1"/>
    <w:qFormat/>
    <w:uiPriority w:val="34"/>
    <w:pPr>
      <w:ind w:firstLine="420" w:firstLineChars="200"/>
    </w:pPr>
    <w:rPr>
      <w:rFonts w:ascii="Calibri" w:hAnsi="Calibri" w:eastAsia="宋体" w:cs="黑体"/>
      <w:sz w:val="21"/>
      <w:szCs w:val="22"/>
    </w:rPr>
  </w:style>
  <w:style w:type="character" w:customStyle="1" w:styleId="29">
    <w:name w:val="NormalCharacter"/>
    <w:qFormat/>
    <w:uiPriority w:val="99"/>
  </w:style>
  <w:style w:type="paragraph" w:customStyle="1" w:styleId="30">
    <w:name w:val="三级"/>
    <w:basedOn w:val="1"/>
    <w:qFormat/>
    <w:uiPriority w:val="99"/>
    <w:pPr>
      <w:spacing w:line="580" w:lineRule="exact"/>
      <w:ind w:firstLine="600" w:firstLineChars="200"/>
      <w:outlineLvl w:val="2"/>
    </w:pPr>
    <w:rPr>
      <w:rFonts w:eastAsia="楷体_GB2312"/>
      <w:szCs w:val="30"/>
    </w:rPr>
  </w:style>
  <w:style w:type="paragraph" w:customStyle="1" w:styleId="31">
    <w:name w:val="一级"/>
    <w:basedOn w:val="32"/>
    <w:qFormat/>
    <w:uiPriority w:val="99"/>
    <w:pPr>
      <w:outlineLvl w:val="0"/>
    </w:pPr>
  </w:style>
  <w:style w:type="paragraph" w:customStyle="1" w:styleId="32">
    <w:name w:val="UserStyle_170"/>
    <w:basedOn w:val="1"/>
    <w:qFormat/>
    <w:uiPriority w:val="99"/>
    <w:pPr>
      <w:spacing w:line="580" w:lineRule="exact"/>
      <w:ind w:firstLine="640" w:firstLineChars="200"/>
    </w:pPr>
    <w:rPr>
      <w:rFonts w:eastAsia="黑体"/>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1010</Words>
  <Characters>5761</Characters>
  <Lines>48</Lines>
  <Paragraphs>13</Paragraphs>
  <TotalTime>4</TotalTime>
  <ScaleCrop>false</ScaleCrop>
  <LinksUpToDate>false</LinksUpToDate>
  <CharactersWithSpaces>6758</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2021-05-31T05:56:00Z</dcterms:created>
  <dc:creator>lhn</dc:creator>
  <cp:lastModifiedBy>小黑</cp:lastModifiedBy>
  <cp:lastPrinted>2021-06-03T01:05:00Z</cp:lastPrinted>
  <dcterms:modified xsi:type="dcterms:W3CDTF">2021-06-03T06:26:42Z</dcterms:modified>
  <dc:title>财政支出绩效评价管理暂行办法</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