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600" w:lineRule="exact"/>
        <w:jc w:val="left"/>
        <w:outlineLvl w:val="0"/>
        <w:rPr>
          <w:rFonts w:ascii="仿宋_GB2312"/>
          <w:szCs w:val="30"/>
        </w:rPr>
      </w:pPr>
      <w:r>
        <w:rPr>
          <w:rFonts w:hint="eastAsia" w:ascii="仿宋_GB2312"/>
          <w:szCs w:val="30"/>
        </w:rPr>
        <w:t>附件1</w:t>
      </w:r>
    </w:p>
    <w:p>
      <w:pPr>
        <w:spacing w:beforeLines="50" w:afterLines="50" w:line="600" w:lineRule="exact"/>
        <w:jc w:val="center"/>
        <w:outlineLvl w:val="0"/>
        <w:rPr>
          <w:rFonts w:ascii="仿宋_GB2312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2020年知识产权（专利）专项资金指标体系</w:t>
      </w:r>
    </w:p>
    <w:bookmarkEnd w:id="0"/>
    <w:tbl>
      <w:tblPr>
        <w:tblStyle w:val="2"/>
        <w:tblW w:w="8939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2080"/>
        <w:gridCol w:w="848"/>
        <w:gridCol w:w="3532"/>
        <w:gridCol w:w="1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2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决 策</w:t>
            </w:r>
          </w:p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（20分）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项目立项（6分）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立项依据充分性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3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立项程序规范性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3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绩效目标（6分）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绩效目标合理性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3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绩效指标明确性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2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资金投入（8分）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预算编制科学性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3.5分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资金分配合理性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hAnsi="微软雅黑" w:eastAsia="仿宋_GB2312" w:cs="微软雅黑"/>
                <w:sz w:val="21"/>
              </w:rPr>
              <w:t>3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过 程（20分）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资金管理（8分）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资金到位率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2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预算执行率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1.95分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资金使用合规性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4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组织实施（12分）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管理制度健全性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6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制度执行有效性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5.4分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产出</w:t>
            </w:r>
          </w:p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（25分）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产出数量（10分）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实际完成率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数量变动率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rFonts w:hint="eastAsia"/>
                <w:sz w:val="21"/>
              </w:rPr>
              <w:t>产出质量（5分）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质量达标率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rFonts w:hint="eastAsia"/>
                <w:sz w:val="21"/>
              </w:rPr>
              <w:t>产出时效（5分）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完成及时率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rFonts w:hint="eastAsia"/>
                <w:sz w:val="21"/>
              </w:rPr>
              <w:t>产出成本（5分）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成本节约率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4.3分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效益</w:t>
            </w:r>
          </w:p>
          <w:p>
            <w:pPr>
              <w:pStyle w:val="4"/>
              <w:spacing w:before="13" w:line="242" w:lineRule="auto"/>
              <w:ind w:left="10" w:right="1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（35分）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项目效益（25分）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社会效益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0" w:lineRule="exact"/>
              <w:ind w:left="11" w:right="18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受补助企业涉及高价值专利数量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8.5分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84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0" w:lineRule="exact"/>
              <w:ind w:left="11" w:right="181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公众对知识产权为财产权的认知率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6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848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0" w:lineRule="exact"/>
              <w:ind w:left="11" w:right="18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政策知晓度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4.6分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sz w:val="21"/>
              </w:rPr>
              <w:t>可持续影响（</w:t>
            </w: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政策可持续性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项目发展机制可持续性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1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</w:rPr>
            </w:pPr>
            <w:r>
              <w:rPr>
                <w:rFonts w:hint="eastAsia"/>
                <w:sz w:val="21"/>
              </w:rPr>
              <w:t>满意度（8分）</w:t>
            </w:r>
          </w:p>
        </w:tc>
        <w:tc>
          <w:tcPr>
            <w:tcW w:w="43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受益对象满意度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13" w:line="242" w:lineRule="auto"/>
              <w:ind w:left="10" w:right="18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8 分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A760D"/>
    <w:rsid w:val="2DDA760D"/>
    <w:rsid w:val="3E9016D3"/>
    <w:rsid w:val="54705284"/>
    <w:rsid w:val="65891E75"/>
    <w:rsid w:val="7AC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2021-06-02T06:51:00Z</dcterms:created>
  <dc:creator>小黑</dc:creator>
  <cp:lastModifiedBy>小黑</cp:lastModifiedBy>
  <dcterms:modified xsi:type="dcterms:W3CDTF">2021-06-02T06:51:54Z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