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文星简大标宋" w:eastAsia="文星简大标宋"/>
          <w:sz w:val="84"/>
          <w:szCs w:val="84"/>
        </w:rPr>
      </w:pPr>
    </w:p>
    <w:p>
      <w:pPr>
        <w:jc w:val="center"/>
        <w:rPr>
          <w:rFonts w:hint="eastAsia" w:ascii="文星简大标宋" w:eastAsia="文星简大标宋"/>
          <w:sz w:val="84"/>
          <w:szCs w:val="84"/>
        </w:rPr>
      </w:pPr>
    </w:p>
    <w:p>
      <w:pPr>
        <w:jc w:val="center"/>
        <w:rPr>
          <w:rFonts w:hint="eastAsia" w:ascii="文星简大标宋" w:eastAsia="文星简大标宋"/>
          <w:sz w:val="84"/>
          <w:szCs w:val="84"/>
        </w:rPr>
      </w:pPr>
    </w:p>
    <w:p>
      <w:pPr>
        <w:jc w:val="center"/>
        <w:rPr>
          <w:rFonts w:hint="eastAsia" w:ascii="文星简大标宋" w:eastAsia="文星简大标宋"/>
          <w:sz w:val="84"/>
          <w:szCs w:val="84"/>
        </w:rPr>
      </w:pPr>
      <w:r>
        <w:rPr>
          <w:rFonts w:hint="eastAsia" w:ascii="文星简大标宋" w:eastAsia="文星简大标宋"/>
          <w:sz w:val="84"/>
          <w:szCs w:val="84"/>
        </w:rPr>
        <w:t>2020年度</w:t>
      </w:r>
    </w:p>
    <w:p>
      <w:pPr>
        <w:jc w:val="center"/>
        <w:rPr>
          <w:rFonts w:hint="eastAsia" w:ascii="文星简大标宋" w:eastAsia="文星简大标宋"/>
          <w:sz w:val="84"/>
          <w:szCs w:val="84"/>
          <w:lang w:eastAsia="zh-CN"/>
        </w:rPr>
      </w:pPr>
      <w:r>
        <w:rPr>
          <w:rFonts w:hint="eastAsia" w:ascii="文星简大标宋" w:eastAsia="文星简大标宋"/>
          <w:sz w:val="84"/>
          <w:szCs w:val="84"/>
        </w:rPr>
        <w:t>青岛市</w:t>
      </w:r>
      <w:r>
        <w:rPr>
          <w:rFonts w:hint="eastAsia" w:ascii="文星简大标宋" w:eastAsia="文星简大标宋"/>
          <w:sz w:val="84"/>
          <w:szCs w:val="84"/>
          <w:lang w:eastAsia="zh-CN"/>
        </w:rPr>
        <w:t>强制隔离戒毒所</w:t>
      </w:r>
    </w:p>
    <w:p>
      <w:pPr>
        <w:jc w:val="center"/>
        <w:rPr>
          <w:rFonts w:hint="eastAsia" w:ascii="文星简大标宋" w:eastAsia="文星简大标宋"/>
          <w:sz w:val="84"/>
          <w:szCs w:val="84"/>
        </w:rPr>
      </w:pPr>
      <w:r>
        <w:rPr>
          <w:rFonts w:hint="eastAsia" w:ascii="文星简大标宋" w:eastAsia="文星简大标宋"/>
          <w:sz w:val="84"/>
          <w:szCs w:val="84"/>
        </w:rPr>
        <w:t>决算</w:t>
      </w:r>
    </w:p>
    <w:p>
      <w:pPr>
        <w:jc w:val="center"/>
        <w:rPr>
          <w:rFonts w:ascii="文星简大标宋" w:eastAsia="文星简大标宋"/>
          <w:sz w:val="84"/>
          <w:szCs w:val="84"/>
        </w:rPr>
      </w:pPr>
    </w:p>
    <w:p>
      <w:pPr>
        <w:jc w:val="center"/>
        <w:rPr>
          <w:rFonts w:hint="eastAsia" w:ascii="文星简大标宋" w:eastAsia="文星简大标宋"/>
          <w:sz w:val="72"/>
          <w:szCs w:val="72"/>
        </w:rPr>
      </w:pPr>
    </w:p>
    <w:p>
      <w:pPr>
        <w:jc w:val="center"/>
        <w:rPr>
          <w:rFonts w:hint="eastAsia" w:ascii="文星简大标宋" w:eastAsia="文星简大标宋"/>
          <w:sz w:val="72"/>
          <w:szCs w:val="72"/>
        </w:rPr>
      </w:pPr>
    </w:p>
    <w:p>
      <w:pPr>
        <w:rPr>
          <w:sz w:val="52"/>
          <w:szCs w:val="52"/>
        </w:rPr>
      </w:pPr>
    </w:p>
    <w:p>
      <w:pPr>
        <w:rPr>
          <w:sz w:val="52"/>
          <w:szCs w:val="52"/>
        </w:rPr>
      </w:pPr>
    </w:p>
    <w:p/>
    <w:p/>
    <w:p/>
    <w:p/>
    <w:p/>
    <w:p/>
    <w:p>
      <w:pPr>
        <w:spacing w:after="305" w:afterLines="50" w:line="580" w:lineRule="exact"/>
        <w:jc w:val="center"/>
        <w:rPr>
          <w:rFonts w:hint="eastAsia" w:ascii="方正小标宋_GBK" w:eastAsia="方正小标宋_GBK"/>
          <w:sz w:val="44"/>
          <w:szCs w:val="44"/>
        </w:rPr>
      </w:pPr>
      <w:r>
        <w:br w:type="page"/>
      </w:r>
      <w:r>
        <w:rPr>
          <w:rFonts w:hint="eastAsia" w:ascii="方正小标宋_GBK" w:eastAsia="方正小标宋_GBK"/>
          <w:sz w:val="44"/>
          <w:szCs w:val="44"/>
        </w:rPr>
        <w:t>目  录</w:t>
      </w:r>
    </w:p>
    <w:p>
      <w:pPr>
        <w:spacing w:line="580" w:lineRule="exact"/>
        <w:ind w:firstLine="320" w:firstLineChars="100"/>
        <w:rPr>
          <w:rFonts w:hint="eastAsia" w:ascii="黑体" w:hAnsi="黑体" w:eastAsia="黑体"/>
          <w:sz w:val="32"/>
        </w:rPr>
      </w:pPr>
      <w:r>
        <w:rPr>
          <w:rFonts w:hint="eastAsia" w:ascii="黑体" w:hAnsi="黑体" w:eastAsia="黑体"/>
          <w:sz w:val="32"/>
        </w:rPr>
        <w:t>第一部分  单位概况</w:t>
      </w:r>
    </w:p>
    <w:p>
      <w:pPr>
        <w:spacing w:line="580" w:lineRule="exact"/>
        <w:ind w:firstLine="640" w:firstLineChars="200"/>
        <w:rPr>
          <w:rFonts w:hint="eastAsia" w:ascii="仿宋_GB2312" w:eastAsia="仿宋_GB2312"/>
          <w:sz w:val="32"/>
        </w:rPr>
      </w:pPr>
      <w:r>
        <w:rPr>
          <w:rFonts w:hint="eastAsia" w:ascii="仿宋_GB2312" w:eastAsia="仿宋_GB2312"/>
          <w:sz w:val="32"/>
        </w:rPr>
        <w:t>一、单位职责</w:t>
      </w:r>
    </w:p>
    <w:p>
      <w:pPr>
        <w:spacing w:line="580" w:lineRule="exact"/>
        <w:ind w:firstLine="640" w:firstLineChars="200"/>
        <w:rPr>
          <w:rFonts w:hint="eastAsia" w:ascii="仿宋_GB2312" w:eastAsia="仿宋_GB2312"/>
          <w:sz w:val="32"/>
        </w:rPr>
      </w:pPr>
      <w:r>
        <w:rPr>
          <w:rFonts w:hint="eastAsia" w:ascii="仿宋_GB2312" w:eastAsia="仿宋_GB2312"/>
          <w:sz w:val="32"/>
        </w:rPr>
        <w:t>二、机构设置</w:t>
      </w:r>
    </w:p>
    <w:p>
      <w:pPr>
        <w:spacing w:line="580" w:lineRule="exact"/>
        <w:ind w:firstLine="320" w:firstLineChars="100"/>
        <w:rPr>
          <w:rFonts w:hint="eastAsia" w:ascii="黑体" w:hAnsi="黑体" w:eastAsia="黑体"/>
          <w:sz w:val="32"/>
        </w:rPr>
      </w:pPr>
      <w:r>
        <w:rPr>
          <w:rFonts w:hint="eastAsia" w:ascii="黑体" w:hAnsi="黑体" w:eastAsia="黑体"/>
          <w:sz w:val="32"/>
        </w:rPr>
        <w:t>第二部分  2020年度单位决算表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一、收入支出决算总表</w:t>
      </w:r>
    </w:p>
    <w:p>
      <w:pPr>
        <w:spacing w:line="580" w:lineRule="exact"/>
        <w:ind w:left="640"/>
        <w:rPr>
          <w:rFonts w:hint="eastAsia" w:ascii="仿宋_GB2312" w:eastAsia="仿宋_GB2312"/>
          <w:sz w:val="32"/>
          <w:szCs w:val="32"/>
        </w:rPr>
      </w:pPr>
      <w:r>
        <w:rPr>
          <w:rFonts w:hint="eastAsia" w:ascii="仿宋_GB2312" w:eastAsia="仿宋_GB2312"/>
          <w:sz w:val="32"/>
          <w:szCs w:val="32"/>
        </w:rPr>
        <w:t>二、收入决算表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三、支出决算表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四、财政拨款收入支出决算总表</w:t>
      </w:r>
    </w:p>
    <w:p>
      <w:pPr>
        <w:spacing w:line="580" w:lineRule="exact"/>
        <w:ind w:left="640"/>
        <w:rPr>
          <w:rFonts w:hint="eastAsia" w:ascii="仿宋_GB2312" w:eastAsia="仿宋_GB2312"/>
          <w:sz w:val="32"/>
          <w:szCs w:val="32"/>
        </w:rPr>
      </w:pPr>
      <w:r>
        <w:rPr>
          <w:rFonts w:hint="eastAsia" w:ascii="仿宋_GB2312" w:eastAsia="仿宋_GB2312"/>
          <w:sz w:val="32"/>
          <w:szCs w:val="32"/>
        </w:rPr>
        <w:t>五、一般公共预算财政拨款支出决算表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六、一般公共预算财政拨款基本支出决算表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七、一般公共预算财政拨款“三公”经费支出决算表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八、政府性基金预算财政拨款收入支出决算表</w:t>
      </w:r>
    </w:p>
    <w:p>
      <w:pPr>
        <w:spacing w:line="580" w:lineRule="exact"/>
        <w:ind w:left="640"/>
        <w:rPr>
          <w:rFonts w:hint="eastAsia" w:ascii="仿宋_GB2312" w:eastAsia="仿宋_GB2312"/>
          <w:sz w:val="32"/>
          <w:szCs w:val="32"/>
        </w:rPr>
      </w:pPr>
      <w:r>
        <w:rPr>
          <w:rFonts w:hint="eastAsia" w:ascii="仿宋_GB2312" w:eastAsia="仿宋_GB2312"/>
          <w:sz w:val="32"/>
          <w:szCs w:val="32"/>
        </w:rPr>
        <w:t>九、国有资本经营预算财政拨款支出决算表</w:t>
      </w:r>
    </w:p>
    <w:p>
      <w:pPr>
        <w:spacing w:line="580" w:lineRule="exact"/>
        <w:ind w:firstLine="320" w:firstLineChars="100"/>
        <w:rPr>
          <w:rFonts w:hint="eastAsia" w:ascii="黑体" w:hAnsi="黑体" w:eastAsia="黑体"/>
          <w:sz w:val="32"/>
        </w:rPr>
      </w:pPr>
      <w:r>
        <w:rPr>
          <w:rFonts w:hint="eastAsia" w:ascii="黑体" w:hAnsi="黑体" w:eastAsia="黑体"/>
          <w:sz w:val="32"/>
        </w:rPr>
        <w:t>第三部分  2020年度单位决算情况说明</w:t>
      </w:r>
    </w:p>
    <w:p>
      <w:pPr>
        <w:spacing w:line="580" w:lineRule="exact"/>
        <w:ind w:left="640"/>
        <w:rPr>
          <w:rFonts w:hint="eastAsia" w:ascii="仿宋_GB2312" w:eastAsia="仿宋_GB2312"/>
          <w:sz w:val="32"/>
          <w:szCs w:val="32"/>
        </w:rPr>
      </w:pPr>
      <w:r>
        <w:rPr>
          <w:rFonts w:hint="eastAsia" w:ascii="仿宋_GB2312" w:eastAsia="仿宋_GB2312"/>
          <w:sz w:val="32"/>
          <w:szCs w:val="32"/>
        </w:rPr>
        <w:t>一、2020年度收入支出决算情况说明</w:t>
      </w:r>
    </w:p>
    <w:p>
      <w:pPr>
        <w:spacing w:line="580" w:lineRule="exact"/>
        <w:ind w:left="640"/>
        <w:rPr>
          <w:rFonts w:hint="eastAsia" w:ascii="仿宋_GB2312" w:eastAsia="仿宋_GB2312"/>
          <w:sz w:val="32"/>
          <w:szCs w:val="32"/>
        </w:rPr>
      </w:pPr>
      <w:r>
        <w:rPr>
          <w:rFonts w:hint="eastAsia" w:ascii="仿宋_GB2312" w:eastAsia="仿宋_GB2312"/>
          <w:sz w:val="32"/>
          <w:szCs w:val="32"/>
        </w:rPr>
        <w:t>二、其他重要事项情况说明</w:t>
      </w:r>
    </w:p>
    <w:p>
      <w:pPr>
        <w:spacing w:line="580" w:lineRule="exact"/>
        <w:ind w:firstLine="320" w:firstLineChars="100"/>
        <w:rPr>
          <w:rFonts w:hint="eastAsia" w:ascii="黑体" w:hAnsi="黑体" w:eastAsia="黑体"/>
          <w:sz w:val="32"/>
        </w:rPr>
      </w:pPr>
      <w:r>
        <w:rPr>
          <w:rFonts w:hint="eastAsia" w:ascii="黑体" w:hAnsi="黑体" w:eastAsia="黑体"/>
          <w:sz w:val="32"/>
        </w:rPr>
        <w:t>第四部分  名词解释</w:t>
      </w:r>
    </w:p>
    <w:p>
      <w:pPr>
        <w:spacing w:line="580" w:lineRule="exact"/>
        <w:ind w:left="1602" w:hanging="1602" w:hangingChars="445"/>
        <w:rPr>
          <w:rFonts w:ascii="黑体" w:eastAsia="黑体"/>
          <w:sz w:val="36"/>
          <w:szCs w:val="36"/>
        </w:rPr>
      </w:pPr>
    </w:p>
    <w:p>
      <w:pPr>
        <w:spacing w:line="580" w:lineRule="exact"/>
        <w:ind w:left="1602" w:hanging="1602" w:hangingChars="445"/>
        <w:rPr>
          <w:rFonts w:ascii="黑体" w:eastAsia="黑体"/>
          <w:sz w:val="36"/>
          <w:szCs w:val="36"/>
        </w:rPr>
      </w:pPr>
    </w:p>
    <w:p>
      <w:pPr>
        <w:spacing w:line="580" w:lineRule="exact"/>
        <w:ind w:left="1602" w:hanging="1602" w:hangingChars="445"/>
        <w:rPr>
          <w:rFonts w:ascii="黑体" w:eastAsia="黑体"/>
          <w:sz w:val="36"/>
          <w:szCs w:val="36"/>
        </w:rPr>
      </w:pPr>
    </w:p>
    <w:p>
      <w:pPr>
        <w:ind w:left="1609" w:leftChars="766"/>
        <w:rPr>
          <w:rFonts w:ascii="黑体" w:eastAsia="黑体"/>
          <w:sz w:val="36"/>
          <w:szCs w:val="36"/>
        </w:rPr>
      </w:pPr>
    </w:p>
    <w:p>
      <w:pPr>
        <w:rPr>
          <w:rFonts w:ascii="黑体" w:eastAsia="黑体"/>
          <w:sz w:val="36"/>
          <w:szCs w:val="36"/>
        </w:rPr>
      </w:pPr>
    </w:p>
    <w:p>
      <w:pPr>
        <w:rPr>
          <w:rFonts w:ascii="黑体" w:eastAsia="黑体"/>
          <w:sz w:val="36"/>
          <w:szCs w:val="36"/>
        </w:rPr>
      </w:pPr>
    </w:p>
    <w:p>
      <w:pPr>
        <w:rPr>
          <w:rFonts w:ascii="黑体" w:eastAsia="黑体"/>
          <w:sz w:val="36"/>
          <w:szCs w:val="36"/>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r>
        <w:rPr>
          <w:rFonts w:hint="eastAsia" w:ascii="黑体" w:eastAsia="黑体"/>
          <w:sz w:val="52"/>
          <w:szCs w:val="52"/>
        </w:rPr>
        <w:t xml:space="preserve">第一部分 </w:t>
      </w:r>
    </w:p>
    <w:p>
      <w:pPr>
        <w:ind w:firstLine="1040" w:firstLineChars="200"/>
        <w:rPr>
          <w:rFonts w:hint="eastAsia" w:ascii="黑体" w:eastAsia="黑体"/>
          <w:sz w:val="52"/>
          <w:szCs w:val="52"/>
        </w:rPr>
      </w:pPr>
    </w:p>
    <w:p>
      <w:pPr>
        <w:jc w:val="center"/>
        <w:rPr>
          <w:rFonts w:hint="eastAsia" w:ascii="黑体" w:eastAsia="黑体"/>
          <w:sz w:val="52"/>
          <w:szCs w:val="52"/>
        </w:rPr>
      </w:pPr>
      <w:r>
        <w:rPr>
          <w:rFonts w:hint="eastAsia" w:ascii="黑体" w:eastAsia="黑体"/>
          <w:sz w:val="52"/>
          <w:szCs w:val="52"/>
        </w:rPr>
        <w:t>单位概况</w:t>
      </w:r>
    </w:p>
    <w:p>
      <w:pPr>
        <w:rPr>
          <w:rFonts w:ascii="黑体" w:eastAsia="黑体"/>
          <w:sz w:val="36"/>
          <w:szCs w:val="36"/>
        </w:rPr>
      </w:pPr>
    </w:p>
    <w:p>
      <w:pPr>
        <w:rPr>
          <w:rFonts w:ascii="黑体" w:eastAsia="黑体"/>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spacing w:line="560" w:lineRule="exact"/>
        <w:rPr>
          <w:rFonts w:hint="eastAsia" w:ascii="黑体" w:hAnsi="黑体" w:eastAsia="黑体"/>
          <w:sz w:val="32"/>
          <w:szCs w:val="32"/>
        </w:rPr>
      </w:pPr>
    </w:p>
    <w:p>
      <w:pPr>
        <w:spacing w:line="560" w:lineRule="exact"/>
        <w:ind w:left="640"/>
        <w:rPr>
          <w:rFonts w:hint="eastAsia" w:ascii="黑体" w:hAnsi="黑体" w:eastAsia="黑体"/>
          <w:sz w:val="32"/>
          <w:szCs w:val="32"/>
        </w:rPr>
      </w:pPr>
    </w:p>
    <w:p>
      <w:pPr>
        <w:spacing w:line="560" w:lineRule="exact"/>
        <w:ind w:left="640"/>
        <w:rPr>
          <w:rFonts w:hint="eastAsia" w:ascii="黑体" w:hAnsi="黑体" w:eastAsia="黑体"/>
          <w:sz w:val="32"/>
          <w:szCs w:val="32"/>
        </w:rPr>
      </w:pPr>
    </w:p>
    <w:p>
      <w:pPr>
        <w:spacing w:line="560" w:lineRule="exact"/>
        <w:ind w:left="640"/>
        <w:rPr>
          <w:rFonts w:hint="eastAsia" w:ascii="黑体" w:hAnsi="黑体" w:eastAsia="黑体"/>
          <w:sz w:val="32"/>
          <w:szCs w:val="32"/>
        </w:rPr>
      </w:pPr>
    </w:p>
    <w:p>
      <w:pPr>
        <w:spacing w:line="560" w:lineRule="exact"/>
        <w:rPr>
          <w:rFonts w:hint="eastAsia" w:ascii="黑体" w:hAnsi="黑体" w:eastAsia="黑体"/>
          <w:sz w:val="32"/>
          <w:szCs w:val="32"/>
        </w:rPr>
      </w:pPr>
    </w:p>
    <w:p>
      <w:pPr>
        <w:spacing w:line="560" w:lineRule="exact"/>
        <w:ind w:left="640"/>
        <w:rPr>
          <w:rFonts w:ascii="黑体" w:hAnsi="黑体" w:eastAsia="黑体"/>
          <w:sz w:val="32"/>
          <w:szCs w:val="32"/>
        </w:rPr>
      </w:pPr>
      <w:r>
        <w:rPr>
          <w:rFonts w:hint="eastAsia" w:ascii="黑体" w:hAnsi="黑体" w:eastAsia="黑体"/>
          <w:sz w:val="32"/>
          <w:szCs w:val="32"/>
        </w:rPr>
        <w:t>一、主要职能</w:t>
      </w:r>
    </w:p>
    <w:p>
      <w:pPr>
        <w:pStyle w:val="5"/>
        <w:keepNext w:val="0"/>
        <w:keepLines w:val="0"/>
        <w:pageBreakBefore w:val="0"/>
        <w:shd w:val="clear" w:color="auto" w:fill="FFFFFF"/>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480" w:firstLineChars="200"/>
        <w:textAlignment w:val="auto"/>
        <w:outlineLvl w:val="9"/>
        <w:rPr>
          <w:rFonts w:ascii="Times New Roman" w:hAnsi="Times New Roman" w:eastAsia="仿宋_GB2312" w:cs="Times New Roman"/>
          <w:color w:val="000000"/>
          <w:sz w:val="32"/>
          <w:szCs w:val="32"/>
        </w:rPr>
      </w:pPr>
      <w:r>
        <w:rPr>
          <w:rFonts w:hint="eastAsia" w:ascii="微软雅黑" w:hAnsi="微软雅黑" w:eastAsia="微软雅黑"/>
          <w:color w:val="000000"/>
        </w:rPr>
        <w:t>　</w:t>
      </w:r>
      <w:r>
        <w:rPr>
          <w:rFonts w:hint="eastAsia" w:ascii="Times New Roman" w:hAnsi="Times New Roman" w:eastAsia="仿宋_GB2312" w:cs="Times New Roman"/>
          <w:color w:val="000000"/>
          <w:sz w:val="32"/>
          <w:szCs w:val="32"/>
          <w:lang w:eastAsia="zh-CN"/>
        </w:rPr>
        <w:t>青岛市强制隔离戒毒所</w:t>
      </w:r>
      <w:r>
        <w:rPr>
          <w:rFonts w:ascii="Times New Roman" w:hAnsi="Times New Roman" w:eastAsia="仿宋_GB2312" w:cs="Times New Roman"/>
          <w:color w:val="000000"/>
          <w:sz w:val="32"/>
          <w:szCs w:val="32"/>
        </w:rPr>
        <w:t>是</w:t>
      </w:r>
      <w:r>
        <w:rPr>
          <w:rFonts w:hint="eastAsia" w:ascii="Times New Roman" w:hAnsi="Times New Roman" w:eastAsia="仿宋_GB2312" w:cs="Times New Roman"/>
          <w:color w:val="000000"/>
          <w:sz w:val="32"/>
          <w:szCs w:val="32"/>
          <w:lang w:eastAsia="zh-CN"/>
        </w:rPr>
        <w:t>青岛市司法局下属单位</w:t>
      </w:r>
      <w:r>
        <w:rPr>
          <w:rFonts w:ascii="Times New Roman" w:hAnsi="Times New Roman" w:eastAsia="仿宋_GB2312" w:cs="Times New Roman"/>
          <w:color w:val="000000"/>
          <w:sz w:val="32"/>
          <w:szCs w:val="32"/>
        </w:rPr>
        <w:t>，为</w:t>
      </w:r>
      <w:r>
        <w:rPr>
          <w:rFonts w:hint="eastAsia" w:ascii="Times New Roman" w:hAnsi="Times New Roman" w:eastAsia="仿宋_GB2312" w:cs="Times New Roman"/>
          <w:color w:val="000000"/>
          <w:sz w:val="32"/>
          <w:szCs w:val="32"/>
          <w:lang w:eastAsia="zh-CN"/>
        </w:rPr>
        <w:t>青岛市财政局二</w:t>
      </w:r>
      <w:r>
        <w:rPr>
          <w:rFonts w:ascii="Times New Roman" w:hAnsi="Times New Roman" w:eastAsia="仿宋_GB2312" w:cs="Times New Roman"/>
          <w:color w:val="000000"/>
          <w:sz w:val="32"/>
          <w:szCs w:val="32"/>
        </w:rPr>
        <w:t>级预算单位，主要职能为：</w:t>
      </w:r>
    </w:p>
    <w:p>
      <w:pPr>
        <w:keepNext w:val="0"/>
        <w:keepLines w:val="0"/>
        <w:pageBreakBefore w:val="0"/>
        <w:kinsoku/>
        <w:wordWrap/>
        <w:overflowPunct/>
        <w:topLinePunct w:val="0"/>
        <w:autoSpaceDE/>
        <w:autoSpaceDN/>
        <w:bidi w:val="0"/>
        <w:adjustRightInd/>
        <w:snapToGrid/>
        <w:spacing w:before="0" w:beforeLines="0" w:after="0" w:afterLines="0" w:line="540" w:lineRule="exact"/>
        <w:ind w:left="0" w:leftChars="0" w:right="0" w:rightChars="0" w:firstLine="640" w:firstLineChars="200"/>
        <w:textAlignment w:val="auto"/>
        <w:outlineLvl w:val="9"/>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（一）贯彻执行党和国家有关强制</w:t>
      </w:r>
      <w:r>
        <w:rPr>
          <w:rFonts w:hint="eastAsia" w:eastAsia="仿宋_GB2312" w:cs="Times New Roman"/>
          <w:color w:val="000000"/>
          <w:kern w:val="0"/>
          <w:sz w:val="32"/>
          <w:szCs w:val="32"/>
          <w:lang w:val="en-US" w:eastAsia="zh-CN"/>
        </w:rPr>
        <w:t>隔离</w:t>
      </w:r>
      <w:r>
        <w:rPr>
          <w:rFonts w:hint="eastAsia" w:ascii="Times New Roman" w:hAnsi="Times New Roman" w:eastAsia="仿宋_GB2312" w:cs="Times New Roman"/>
          <w:color w:val="000000"/>
          <w:kern w:val="0"/>
          <w:sz w:val="32"/>
          <w:szCs w:val="32"/>
          <w:lang w:val="en-US" w:eastAsia="zh-CN"/>
        </w:rPr>
        <w:t>戒毒工作的方针、政策和法律、法规以及司法部</w:t>
      </w:r>
      <w:r>
        <w:rPr>
          <w:rFonts w:hint="eastAsia" w:eastAsia="仿宋_GB2312" w:cs="Times New Roman"/>
          <w:color w:val="000000"/>
          <w:kern w:val="0"/>
          <w:sz w:val="32"/>
          <w:szCs w:val="32"/>
          <w:lang w:val="en-US" w:eastAsia="zh-CN"/>
        </w:rPr>
        <w:t>、省戒毒局、市司法局</w:t>
      </w:r>
      <w:r>
        <w:rPr>
          <w:rFonts w:hint="eastAsia" w:ascii="Times New Roman" w:hAnsi="Times New Roman" w:eastAsia="仿宋_GB2312" w:cs="Times New Roman"/>
          <w:color w:val="000000"/>
          <w:kern w:val="0"/>
          <w:sz w:val="32"/>
          <w:szCs w:val="32"/>
          <w:lang w:val="en-US" w:eastAsia="zh-CN"/>
        </w:rPr>
        <w:t>的有关规定；研究制定</w:t>
      </w:r>
      <w:r>
        <w:rPr>
          <w:rFonts w:hint="eastAsia" w:eastAsia="仿宋_GB2312" w:cs="Times New Roman"/>
          <w:color w:val="000000"/>
          <w:kern w:val="0"/>
          <w:sz w:val="32"/>
          <w:szCs w:val="32"/>
          <w:lang w:val="en-US" w:eastAsia="zh-CN"/>
        </w:rPr>
        <w:t>青岛</w:t>
      </w:r>
      <w:r>
        <w:rPr>
          <w:rFonts w:hint="eastAsia" w:ascii="Times New Roman" w:hAnsi="Times New Roman" w:eastAsia="仿宋_GB2312" w:cs="Times New Roman"/>
          <w:color w:val="000000"/>
          <w:kern w:val="0"/>
          <w:sz w:val="32"/>
          <w:szCs w:val="32"/>
          <w:lang w:val="en-US" w:eastAsia="zh-CN"/>
        </w:rPr>
        <w:t>市强制戒毒工作的年度计划</w:t>
      </w:r>
      <w:r>
        <w:rPr>
          <w:rFonts w:hint="eastAsia" w:eastAsia="仿宋_GB2312" w:cs="Times New Roman"/>
          <w:color w:val="000000"/>
          <w:kern w:val="0"/>
          <w:sz w:val="32"/>
          <w:szCs w:val="32"/>
          <w:lang w:val="en-US" w:eastAsia="zh-CN"/>
        </w:rPr>
        <w:t>和</w:t>
      </w:r>
      <w:r>
        <w:rPr>
          <w:rFonts w:hint="eastAsia" w:ascii="Times New Roman" w:hAnsi="Times New Roman" w:eastAsia="仿宋_GB2312" w:cs="Times New Roman"/>
          <w:color w:val="000000"/>
          <w:kern w:val="0"/>
          <w:sz w:val="32"/>
          <w:szCs w:val="32"/>
          <w:lang w:val="en-US" w:eastAsia="zh-CN"/>
        </w:rPr>
        <w:t>中长期规划，并组织实施。</w:t>
      </w:r>
    </w:p>
    <w:p>
      <w:pPr>
        <w:keepNext w:val="0"/>
        <w:keepLines w:val="0"/>
        <w:pageBreakBefore w:val="0"/>
        <w:widowControl/>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left"/>
        <w:textAlignment w:val="auto"/>
        <w:outlineLvl w:val="9"/>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 xml:space="preserve">（二）负责全市强制隔离戒毒人员的接收、管理和教育工作； </w:t>
      </w:r>
    </w:p>
    <w:p>
      <w:pPr>
        <w:keepNext w:val="0"/>
        <w:keepLines w:val="0"/>
        <w:pageBreakBefore w:val="0"/>
        <w:widowControl/>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left"/>
        <w:textAlignment w:val="auto"/>
        <w:outlineLvl w:val="9"/>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（三）教育和挽救强制</w:t>
      </w:r>
      <w:r>
        <w:rPr>
          <w:rFonts w:hint="eastAsia" w:eastAsia="仿宋_GB2312" w:cs="Times New Roman"/>
          <w:color w:val="000000"/>
          <w:kern w:val="0"/>
          <w:sz w:val="32"/>
          <w:szCs w:val="32"/>
          <w:lang w:val="en-US" w:eastAsia="zh-CN"/>
        </w:rPr>
        <w:t>隔离</w:t>
      </w:r>
      <w:r>
        <w:rPr>
          <w:rFonts w:hint="eastAsia" w:ascii="Times New Roman" w:hAnsi="Times New Roman" w:eastAsia="仿宋_GB2312" w:cs="Times New Roman"/>
          <w:color w:val="000000"/>
          <w:kern w:val="0"/>
          <w:sz w:val="32"/>
          <w:szCs w:val="32"/>
          <w:lang w:val="en-US" w:eastAsia="zh-CN"/>
        </w:rPr>
        <w:t>戒毒人员，积极帮助他们增强自觉抵制毒品和适应社会的能力，戒除毒瘾，回归社会，成为守法公民。</w:t>
      </w:r>
    </w:p>
    <w:p>
      <w:pPr>
        <w:keepNext w:val="0"/>
        <w:keepLines w:val="0"/>
        <w:pageBreakBefore w:val="0"/>
        <w:widowControl/>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left"/>
        <w:textAlignment w:val="auto"/>
        <w:outlineLvl w:val="9"/>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（四）负责强制</w:t>
      </w:r>
      <w:r>
        <w:rPr>
          <w:rFonts w:hint="eastAsia" w:eastAsia="仿宋_GB2312" w:cs="Times New Roman"/>
          <w:color w:val="000000"/>
          <w:kern w:val="0"/>
          <w:sz w:val="32"/>
          <w:szCs w:val="32"/>
          <w:lang w:val="en-US" w:eastAsia="zh-CN"/>
        </w:rPr>
        <w:t>隔离</w:t>
      </w:r>
      <w:r>
        <w:rPr>
          <w:rFonts w:hint="eastAsia" w:ascii="Times New Roman" w:hAnsi="Times New Roman" w:eastAsia="仿宋_GB2312" w:cs="Times New Roman"/>
          <w:color w:val="000000"/>
          <w:kern w:val="0"/>
          <w:sz w:val="32"/>
          <w:szCs w:val="32"/>
          <w:lang w:val="en-US" w:eastAsia="zh-CN"/>
        </w:rPr>
        <w:t>戒毒所经济工作，管理强制</w:t>
      </w:r>
      <w:r>
        <w:rPr>
          <w:rFonts w:hint="eastAsia" w:eastAsia="仿宋_GB2312" w:cs="Times New Roman"/>
          <w:color w:val="000000"/>
          <w:kern w:val="0"/>
          <w:sz w:val="32"/>
          <w:szCs w:val="32"/>
          <w:lang w:val="en-US" w:eastAsia="zh-CN"/>
        </w:rPr>
        <w:t>隔离</w:t>
      </w:r>
      <w:r>
        <w:rPr>
          <w:rFonts w:hint="eastAsia" w:ascii="Times New Roman" w:hAnsi="Times New Roman" w:eastAsia="仿宋_GB2312" w:cs="Times New Roman"/>
          <w:color w:val="000000"/>
          <w:kern w:val="0"/>
          <w:sz w:val="32"/>
          <w:szCs w:val="32"/>
          <w:lang w:val="en-US" w:eastAsia="zh-CN"/>
        </w:rPr>
        <w:t>戒毒经费和强制</w:t>
      </w:r>
      <w:r>
        <w:rPr>
          <w:rFonts w:hint="eastAsia" w:eastAsia="仿宋_GB2312" w:cs="Times New Roman"/>
          <w:color w:val="000000"/>
          <w:kern w:val="0"/>
          <w:sz w:val="32"/>
          <w:szCs w:val="32"/>
          <w:lang w:val="en-US" w:eastAsia="zh-CN"/>
        </w:rPr>
        <w:t>隔离</w:t>
      </w:r>
      <w:r>
        <w:rPr>
          <w:rFonts w:hint="eastAsia" w:ascii="Times New Roman" w:hAnsi="Times New Roman" w:eastAsia="仿宋_GB2312" w:cs="Times New Roman"/>
          <w:color w:val="000000"/>
          <w:kern w:val="0"/>
          <w:sz w:val="32"/>
          <w:szCs w:val="32"/>
          <w:lang w:val="en-US" w:eastAsia="zh-CN"/>
        </w:rPr>
        <w:t>戒毒所国有资产。</w:t>
      </w:r>
    </w:p>
    <w:p>
      <w:pPr>
        <w:keepNext w:val="0"/>
        <w:keepLines w:val="0"/>
        <w:pageBreakBefore w:val="0"/>
        <w:widowControl/>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left"/>
        <w:textAlignment w:val="auto"/>
        <w:outlineLvl w:val="9"/>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（五）负责强制</w:t>
      </w:r>
      <w:r>
        <w:rPr>
          <w:rFonts w:hint="eastAsia" w:eastAsia="仿宋_GB2312" w:cs="Times New Roman"/>
          <w:color w:val="000000"/>
          <w:kern w:val="0"/>
          <w:sz w:val="32"/>
          <w:szCs w:val="32"/>
          <w:lang w:val="en-US" w:eastAsia="zh-CN"/>
        </w:rPr>
        <w:t>隔离</w:t>
      </w:r>
      <w:r>
        <w:rPr>
          <w:rFonts w:hint="eastAsia" w:ascii="Times New Roman" w:hAnsi="Times New Roman" w:eastAsia="仿宋_GB2312" w:cs="Times New Roman"/>
          <w:color w:val="000000"/>
          <w:kern w:val="0"/>
          <w:sz w:val="32"/>
          <w:szCs w:val="32"/>
          <w:lang w:val="en-US" w:eastAsia="zh-CN"/>
        </w:rPr>
        <w:t>戒毒</w:t>
      </w:r>
      <w:r>
        <w:rPr>
          <w:rFonts w:hint="eastAsia" w:eastAsia="仿宋_GB2312" w:cs="Times New Roman"/>
          <w:color w:val="000000"/>
          <w:kern w:val="0"/>
          <w:sz w:val="32"/>
          <w:szCs w:val="32"/>
          <w:lang w:val="en-US" w:eastAsia="zh-CN"/>
        </w:rPr>
        <w:t>所</w:t>
      </w:r>
      <w:r>
        <w:rPr>
          <w:rFonts w:hint="eastAsia" w:ascii="Times New Roman" w:hAnsi="Times New Roman" w:eastAsia="仿宋_GB2312" w:cs="Times New Roman"/>
          <w:color w:val="000000"/>
          <w:kern w:val="0"/>
          <w:sz w:val="32"/>
          <w:szCs w:val="32"/>
          <w:lang w:val="en-US" w:eastAsia="zh-CN"/>
        </w:rPr>
        <w:t>党建工作、队伍建设和思想政治工作。</w:t>
      </w:r>
    </w:p>
    <w:p>
      <w:pPr>
        <w:keepNext w:val="0"/>
        <w:keepLines w:val="0"/>
        <w:pageBreakBefore w:val="0"/>
        <w:widowControl/>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left"/>
        <w:textAlignment w:val="auto"/>
        <w:outlineLvl w:val="9"/>
        <w:rPr>
          <w:rFonts w:hint="eastAsia" w:ascii="黑体" w:eastAsia="黑体"/>
          <w:b/>
          <w:sz w:val="30"/>
          <w:szCs w:val="30"/>
          <w:highlight w:val="none"/>
          <w:shd w:val="clear" w:color="auto" w:fill="auto"/>
        </w:rPr>
      </w:pPr>
      <w:r>
        <w:rPr>
          <w:rFonts w:hint="eastAsia" w:ascii="Times New Roman" w:hAnsi="Times New Roman" w:eastAsia="仿宋_GB2312" w:cs="Times New Roman"/>
          <w:color w:val="000000"/>
          <w:kern w:val="0"/>
          <w:sz w:val="32"/>
          <w:szCs w:val="32"/>
          <w:lang w:val="en-US" w:eastAsia="zh-CN"/>
        </w:rPr>
        <w:t>（六）承办上级交办的其他事项。</w:t>
      </w:r>
    </w:p>
    <w:p>
      <w:pPr>
        <w:keepNext w:val="0"/>
        <w:keepLines w:val="0"/>
        <w:pageBreakBefore w:val="0"/>
        <w:kinsoku/>
        <w:wordWrap/>
        <w:overflowPunct/>
        <w:topLinePunct w:val="0"/>
        <w:autoSpaceDE/>
        <w:autoSpaceDN/>
        <w:bidi w:val="0"/>
        <w:adjustRightInd/>
        <w:snapToGrid/>
        <w:spacing w:before="0" w:beforeLines="0" w:after="0" w:afterLines="0" w:line="540" w:lineRule="exact"/>
        <w:ind w:left="0" w:leftChars="0" w:right="0" w:rightChars="0" w:firstLine="645"/>
        <w:textAlignment w:val="auto"/>
        <w:outlineLvl w:val="9"/>
        <w:rPr>
          <w:rFonts w:hint="eastAsia" w:ascii="黑体" w:eastAsia="黑体"/>
          <w:sz w:val="32"/>
          <w:szCs w:val="32"/>
          <w:highlight w:val="none"/>
          <w:shd w:val="clear" w:color="auto" w:fill="auto"/>
        </w:rPr>
      </w:pPr>
      <w:r>
        <w:rPr>
          <w:rFonts w:hint="eastAsia" w:ascii="黑体" w:eastAsia="黑体"/>
          <w:sz w:val="32"/>
          <w:szCs w:val="32"/>
          <w:highlight w:val="none"/>
          <w:shd w:val="clear" w:color="auto" w:fill="auto"/>
        </w:rPr>
        <w:t>二、机构设置</w:t>
      </w:r>
    </w:p>
    <w:p>
      <w:pPr>
        <w:keepNext w:val="0"/>
        <w:keepLines w:val="0"/>
        <w:pageBreakBefore w:val="0"/>
        <w:kinsoku/>
        <w:wordWrap/>
        <w:overflowPunct/>
        <w:topLinePunct w:val="0"/>
        <w:autoSpaceDE/>
        <w:autoSpaceDN/>
        <w:bidi w:val="0"/>
        <w:adjustRightInd/>
        <w:snapToGrid/>
        <w:spacing w:before="0" w:beforeLines="0" w:after="0" w:afterLines="0" w:line="540" w:lineRule="exact"/>
        <w:ind w:left="0" w:leftChars="0" w:right="0" w:rightChars="0" w:firstLine="642"/>
        <w:textAlignment w:val="auto"/>
        <w:outlineLvl w:val="9"/>
        <w:rPr>
          <w:rFonts w:hint="eastAsia" w:ascii="Times New Roman" w:hAnsi="Times New Roman" w:eastAsia="仿宋_GB2312" w:cs="Times New Roman"/>
          <w:color w:val="000000"/>
          <w:kern w:val="0"/>
          <w:sz w:val="32"/>
          <w:szCs w:val="32"/>
          <w:lang w:val="en-US" w:eastAsia="zh-CN"/>
        </w:rPr>
      </w:pPr>
      <w:r>
        <w:rPr>
          <w:rFonts w:hint="eastAsia" w:eastAsia="仿宋_GB2312" w:cs="Times New Roman"/>
          <w:color w:val="000000"/>
          <w:kern w:val="0"/>
          <w:sz w:val="32"/>
          <w:szCs w:val="32"/>
          <w:lang w:val="en-US" w:eastAsia="zh-CN"/>
        </w:rPr>
        <w:t>青岛</w:t>
      </w:r>
      <w:r>
        <w:rPr>
          <w:rFonts w:hint="eastAsia" w:ascii="Times New Roman" w:hAnsi="Times New Roman" w:eastAsia="仿宋_GB2312" w:cs="Times New Roman"/>
          <w:color w:val="000000"/>
          <w:kern w:val="0"/>
          <w:sz w:val="32"/>
          <w:szCs w:val="32"/>
          <w:lang w:val="en-US" w:eastAsia="zh-CN"/>
        </w:rPr>
        <w:t>市强制隔离戒毒所</w:t>
      </w:r>
      <w:r>
        <w:rPr>
          <w:rFonts w:hint="eastAsia" w:ascii="仿宋_GB2312" w:hAnsi="宋体" w:eastAsia="仿宋_GB2312" w:cs="Courier New"/>
          <w:sz w:val="32"/>
          <w:szCs w:val="32"/>
          <w:highlight w:val="none"/>
          <w:shd w:val="clear" w:color="auto" w:fill="auto"/>
        </w:rPr>
        <w:t>内设机构共</w:t>
      </w:r>
      <w:r>
        <w:rPr>
          <w:rFonts w:ascii="Times New Roman" w:hAnsi="Times New Roman" w:eastAsia="仿宋_GB2312" w:cs="Times New Roman"/>
          <w:color w:val="000000"/>
          <w:sz w:val="32"/>
          <w:szCs w:val="32"/>
        </w:rPr>
        <w:t>2</w:t>
      </w:r>
      <w:r>
        <w:rPr>
          <w:rFonts w:hint="eastAsia" w:eastAsia="仿宋_GB2312" w:cs="Times New Roman"/>
          <w:color w:val="000000"/>
          <w:sz w:val="32"/>
          <w:szCs w:val="32"/>
          <w:lang w:val="en-US" w:eastAsia="zh-CN"/>
        </w:rPr>
        <w:t>7</w:t>
      </w:r>
      <w:r>
        <w:rPr>
          <w:rFonts w:hint="eastAsia" w:ascii="仿宋_GB2312" w:hAnsi="宋体" w:eastAsia="仿宋_GB2312" w:cs="Courier New"/>
          <w:sz w:val="32"/>
          <w:szCs w:val="32"/>
          <w:highlight w:val="none"/>
          <w:shd w:val="clear" w:color="auto" w:fill="auto"/>
        </w:rPr>
        <w:t>个，分别为：</w:t>
      </w:r>
      <w:r>
        <w:rPr>
          <w:rFonts w:hint="eastAsia" w:eastAsia="仿宋_GB2312" w:cs="Times New Roman"/>
          <w:color w:val="000000"/>
          <w:kern w:val="0"/>
          <w:sz w:val="32"/>
          <w:szCs w:val="32"/>
          <w:lang w:val="en-US" w:eastAsia="zh-CN"/>
        </w:rPr>
        <w:t>办公室、</w:t>
      </w:r>
      <w:r>
        <w:rPr>
          <w:rFonts w:hint="eastAsia" w:ascii="Times New Roman" w:hAnsi="Times New Roman" w:eastAsia="仿宋_GB2312" w:cs="Times New Roman"/>
          <w:color w:val="000000"/>
          <w:kern w:val="0"/>
          <w:sz w:val="32"/>
          <w:szCs w:val="32"/>
          <w:lang w:val="en-US" w:eastAsia="zh-CN"/>
        </w:rPr>
        <w:t>政治处</w:t>
      </w:r>
      <w:r>
        <w:rPr>
          <w:rFonts w:hint="eastAsia" w:eastAsia="仿宋_GB2312" w:cs="Times New Roman"/>
          <w:color w:val="000000"/>
          <w:kern w:val="0"/>
          <w:sz w:val="32"/>
          <w:szCs w:val="32"/>
          <w:lang w:val="en-US" w:eastAsia="zh-CN"/>
        </w:rPr>
        <w:t>、行政装备处、财务处、安全管理处、警戒护卫大队、教育处、管理处、一大队、二大队、医疗戒治中心、秘书科、生活服务科、教育矫治科、文技科、医疗科、康复指导科、监管中队、外管中队、一中队、二中队、三中队、四中队、五中队、六中队、事务中队、集训中队</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kinsoku/>
        <w:wordWrap/>
        <w:overflowPunct/>
        <w:topLinePunct w:val="0"/>
        <w:autoSpaceDE/>
        <w:autoSpaceDN/>
        <w:bidi w:val="0"/>
        <w:adjustRightInd/>
        <w:snapToGrid/>
        <w:spacing w:before="0" w:beforeLines="0" w:after="0" w:afterLines="0" w:line="500" w:lineRule="exact"/>
        <w:ind w:left="0" w:leftChars="0" w:right="0" w:rightChars="0"/>
        <w:textAlignment w:val="auto"/>
        <w:outlineLvl w:val="9"/>
        <w:rPr>
          <w:rFonts w:ascii="黑体" w:eastAsia="黑体"/>
          <w:b/>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500" w:lineRule="exact"/>
        <w:ind w:left="0" w:leftChars="0" w:right="0" w:rightChars="0"/>
        <w:textAlignment w:val="auto"/>
        <w:outlineLvl w:val="9"/>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sz w:val="52"/>
          <w:szCs w:val="52"/>
        </w:rPr>
      </w:pPr>
      <w:r>
        <w:rPr>
          <w:rFonts w:hint="eastAsia" w:ascii="黑体" w:eastAsia="黑体"/>
          <w:sz w:val="52"/>
          <w:szCs w:val="52"/>
        </w:rPr>
        <w:t>第二部分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jc w:val="center"/>
        <w:rPr>
          <w:rFonts w:hint="eastAsia" w:ascii="黑体" w:eastAsia="黑体"/>
          <w:sz w:val="52"/>
          <w:szCs w:val="52"/>
        </w:rPr>
      </w:pPr>
      <w:r>
        <w:rPr>
          <w:rFonts w:hint="eastAsia" w:ascii="黑体" w:eastAsia="黑体"/>
          <w:sz w:val="52"/>
          <w:szCs w:val="52"/>
        </w:rPr>
        <w:t>2020年度单位决算表</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jc w:val="left"/>
        <w:rPr>
          <w:rFonts w:ascii="黑体" w:eastAsia="黑体"/>
          <w:b/>
          <w:sz w:val="30"/>
          <w:szCs w:val="30"/>
        </w:rPr>
      </w:pPr>
    </w:p>
    <w:tbl>
      <w:tblPr>
        <w:tblStyle w:val="3"/>
        <w:tblW w:w="5887" w:type="pct"/>
        <w:tblInd w:w="-951" w:type="dxa"/>
        <w:shd w:val="clear" w:color="auto" w:fill="auto"/>
        <w:tblLayout w:type="fixed"/>
        <w:tblCellMar>
          <w:top w:w="0" w:type="dxa"/>
          <w:left w:w="108" w:type="dxa"/>
          <w:bottom w:w="0" w:type="dxa"/>
          <w:right w:w="108" w:type="dxa"/>
        </w:tblCellMar>
      </w:tblPr>
      <w:tblGrid>
        <w:gridCol w:w="3054"/>
        <w:gridCol w:w="573"/>
        <w:gridCol w:w="1036"/>
        <w:gridCol w:w="2770"/>
        <w:gridCol w:w="573"/>
        <w:gridCol w:w="2155"/>
      </w:tblGrid>
      <w:tr>
        <w:tblPrEx>
          <w:shd w:val="clear" w:color="auto" w:fill="auto"/>
          <w:tblCellMar>
            <w:top w:w="0" w:type="dxa"/>
            <w:left w:w="108" w:type="dxa"/>
            <w:bottom w:w="0" w:type="dxa"/>
            <w:right w:w="108" w:type="dxa"/>
          </w:tblCellMar>
        </w:tblPrEx>
        <w:trPr>
          <w:trHeight w:val="375" w:hRule="atLeast"/>
        </w:trPr>
        <w:tc>
          <w:tcPr>
            <w:tcW w:w="5000" w:type="pct"/>
            <w:gridSpan w:val="6"/>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tblPrEx>
          <w:tblCellMar>
            <w:top w:w="0" w:type="dxa"/>
            <w:left w:w="108" w:type="dxa"/>
            <w:bottom w:w="0" w:type="dxa"/>
            <w:right w:w="108" w:type="dxa"/>
          </w:tblCellMar>
        </w:tblPrEx>
        <w:trPr>
          <w:trHeight w:val="300" w:hRule="atLeast"/>
        </w:trPr>
        <w:tc>
          <w:tcPr>
            <w:tcW w:w="5000" w:type="pct"/>
            <w:gridSpan w:val="6"/>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tblPrEx>
          <w:tblCellMar>
            <w:top w:w="0" w:type="dxa"/>
            <w:left w:w="108" w:type="dxa"/>
            <w:bottom w:w="0" w:type="dxa"/>
            <w:right w:w="108" w:type="dxa"/>
          </w:tblCellMar>
        </w:tblPrEx>
        <w:trPr>
          <w:trHeight w:val="300" w:hRule="atLeast"/>
        </w:trPr>
        <w:tc>
          <w:tcPr>
            <w:tcW w:w="1502" w:type="pct"/>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2155" w:type="pct"/>
            <w:gridSpan w:val="3"/>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2020年度</w:t>
            </w:r>
          </w:p>
        </w:tc>
        <w:tc>
          <w:tcPr>
            <w:tcW w:w="28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59" w:type="pct"/>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trHeight w:val="300" w:hRule="atLeast"/>
        </w:trPr>
        <w:tc>
          <w:tcPr>
            <w:tcW w:w="229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270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82"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82"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一、一般公共预算财政拨款收入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一、一般公共服务支出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二、政府性基金预算财政拨款收入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二、外交支出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三、国有资本经营预算财政拨款收入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三、国防支出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四、上级补助收入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四、公共安全支出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7,326.71</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五、事业收入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五、教育支出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六、经营收入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六、科学技术支出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七、附属单位上缴收入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七、文化旅游体育与传媒支出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八、其他收入</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0.34</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八、社会保障和就业支出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499.16</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九、卫生健康支出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十、节能环保支出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十一、城乡社区支出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十二、农林水支出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十三、交通运输支出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十四、资源勘探工业信息等支出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十五、商业服务业等支出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十六、金融支出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十七、援助其他地区支出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十八、自然资源海洋气象等支出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十九、住房保障支出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二十、粮油物资储备支出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二十一、国有资本经营预算支出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二十二、灾害防治及应急管理支出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二十三、其他支出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二十四、债务还本支出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二十五、债务付息支出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二十六、抗疫特别国债安排的支出</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本年收入合计</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8,129.91</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本年支出合计</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8,129.64</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使用非财政拨款结余</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结余分配</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年初结转和结余</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61.58</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年末结转和结余</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61.85</w:t>
            </w: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50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63"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059" w:type="pct"/>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502"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282" w:type="pct"/>
            <w:tcBorders>
              <w:top w:val="nil"/>
              <w:left w:val="nil"/>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5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8,191.49</w:t>
            </w:r>
          </w:p>
        </w:tc>
        <w:tc>
          <w:tcPr>
            <w:tcW w:w="136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28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05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8,191.49</w:t>
            </w:r>
          </w:p>
        </w:tc>
      </w:tr>
      <w:tr>
        <w:tblPrEx>
          <w:tblCellMar>
            <w:top w:w="0" w:type="dxa"/>
            <w:left w:w="108" w:type="dxa"/>
            <w:bottom w:w="0" w:type="dxa"/>
            <w:right w:w="108" w:type="dxa"/>
          </w:tblCellMar>
        </w:tblPrEx>
        <w:trPr>
          <w:trHeight w:val="300" w:hRule="atLeast"/>
        </w:trPr>
        <w:tc>
          <w:tcPr>
            <w:tcW w:w="5000" w:type="pct"/>
            <w:gridSpan w:val="6"/>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注：本表反映部门本年度的总收支和年末结转结余情况。本套报表金额单位转换时可能存在尾数误差。</w:t>
            </w:r>
          </w:p>
        </w:tc>
      </w:tr>
    </w:tbl>
    <w:p>
      <w:pPr>
        <w:rPr>
          <w:rFonts w:hint="eastAsia" w:ascii="黑体" w:eastAsia="黑体"/>
          <w:b/>
          <w:sz w:val="48"/>
          <w:szCs w:val="48"/>
          <w:lang w:val="en-US" w:eastAsia="zh-CN"/>
        </w:rPr>
        <w:sectPr>
          <w:footerReference r:id="rId3" w:type="default"/>
          <w:pgSz w:w="11906" w:h="16838"/>
          <w:pgMar w:top="1440" w:right="1746" w:bottom="1440" w:left="1746" w:header="851" w:footer="992" w:gutter="0"/>
          <w:pgBorders>
            <w:top w:val="none" w:sz="0" w:space="0"/>
            <w:left w:val="none" w:sz="0" w:space="0"/>
            <w:bottom w:val="none" w:sz="0" w:space="0"/>
            <w:right w:val="none" w:sz="0" w:space="0"/>
          </w:pgBorders>
          <w:cols w:space="720" w:num="1"/>
          <w:docGrid w:type="lines" w:linePitch="312" w:charSpace="0"/>
        </w:sectPr>
      </w:pPr>
    </w:p>
    <w:tbl>
      <w:tblPr>
        <w:tblStyle w:val="3"/>
        <w:tblW w:w="6116" w:type="pct"/>
        <w:tblInd w:w="0" w:type="dxa"/>
        <w:shd w:val="clear" w:color="auto" w:fill="auto"/>
        <w:tblLayout w:type="fixed"/>
        <w:tblCellMar>
          <w:top w:w="0" w:type="dxa"/>
          <w:left w:w="108" w:type="dxa"/>
          <w:bottom w:w="0" w:type="dxa"/>
          <w:right w:w="108" w:type="dxa"/>
        </w:tblCellMar>
      </w:tblPr>
      <w:tblGrid>
        <w:gridCol w:w="45"/>
        <w:gridCol w:w="1889"/>
        <w:gridCol w:w="180"/>
        <w:gridCol w:w="23"/>
        <w:gridCol w:w="392"/>
        <w:gridCol w:w="255"/>
        <w:gridCol w:w="239"/>
        <w:gridCol w:w="262"/>
        <w:gridCol w:w="52"/>
        <w:gridCol w:w="1070"/>
        <w:gridCol w:w="72"/>
        <w:gridCol w:w="1189"/>
        <w:gridCol w:w="946"/>
        <w:gridCol w:w="780"/>
        <w:gridCol w:w="126"/>
        <w:gridCol w:w="385"/>
        <w:gridCol w:w="250"/>
        <w:gridCol w:w="133"/>
        <w:gridCol w:w="98"/>
        <w:gridCol w:w="236"/>
        <w:gridCol w:w="407"/>
        <w:gridCol w:w="419"/>
        <w:gridCol w:w="327"/>
        <w:gridCol w:w="3"/>
        <w:gridCol w:w="157"/>
        <w:gridCol w:w="231"/>
        <w:gridCol w:w="348"/>
        <w:gridCol w:w="225"/>
        <w:gridCol w:w="573"/>
        <w:gridCol w:w="86"/>
        <w:gridCol w:w="194"/>
        <w:gridCol w:w="273"/>
        <w:gridCol w:w="121"/>
        <w:gridCol w:w="115"/>
        <w:gridCol w:w="815"/>
        <w:gridCol w:w="107"/>
        <w:gridCol w:w="44"/>
        <w:gridCol w:w="89"/>
        <w:gridCol w:w="87"/>
        <w:gridCol w:w="30"/>
        <w:gridCol w:w="117"/>
        <w:gridCol w:w="66"/>
        <w:gridCol w:w="1185"/>
        <w:gridCol w:w="3"/>
        <w:gridCol w:w="114"/>
        <w:gridCol w:w="66"/>
        <w:gridCol w:w="66"/>
        <w:gridCol w:w="3"/>
        <w:gridCol w:w="3324"/>
      </w:tblGrid>
      <w:tr>
        <w:tblPrEx>
          <w:shd w:val="clear" w:color="auto" w:fill="auto"/>
          <w:tblCellMar>
            <w:top w:w="0" w:type="dxa"/>
            <w:left w:w="108" w:type="dxa"/>
            <w:bottom w:w="0" w:type="dxa"/>
            <w:right w:w="108" w:type="dxa"/>
          </w:tblCellMar>
        </w:tblPrEx>
        <w:trPr>
          <w:gridBefore w:val="1"/>
          <w:gridAfter w:val="6"/>
          <w:wBefore w:w="12" w:type="pct"/>
          <w:wAfter w:w="982" w:type="pct"/>
          <w:trHeight w:val="90" w:hRule="atLeast"/>
        </w:trPr>
        <w:tc>
          <w:tcPr>
            <w:tcW w:w="4005" w:type="pct"/>
            <w:gridSpan w:val="42"/>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收入决算表</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681"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7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6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984"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354"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514" w:type="pct"/>
            <w:gridSpan w:val="8"/>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263"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308"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64"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321"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407" w:type="pct"/>
            <w:gridSpan w:val="5"/>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公开02表</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681" w:type="pct"/>
            <w:gridSpan w:val="4"/>
            <w:tcBorders>
              <w:top w:val="nil"/>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部门：青岛市强制隔离戒毒所</w:t>
            </w:r>
          </w:p>
        </w:tc>
        <w:tc>
          <w:tcPr>
            <w:tcW w:w="70"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65"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984" w:type="pct"/>
            <w:gridSpan w:val="6"/>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354" w:type="pct"/>
            <w:gridSpan w:val="3"/>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514" w:type="pct"/>
            <w:gridSpan w:val="8"/>
            <w:tcBorders>
              <w:top w:val="nil"/>
              <w:left w:val="nil"/>
              <w:bottom w:val="single" w:color="00000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2020年度</w:t>
            </w:r>
          </w:p>
        </w:tc>
        <w:tc>
          <w:tcPr>
            <w:tcW w:w="263" w:type="pct"/>
            <w:gridSpan w:val="4"/>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308" w:type="pct"/>
            <w:gridSpan w:val="4"/>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64" w:type="pct"/>
            <w:gridSpan w:val="2"/>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3"/>
                <w:szCs w:val="13"/>
                <w:u w:val="none"/>
              </w:rPr>
            </w:pPr>
          </w:p>
        </w:tc>
        <w:tc>
          <w:tcPr>
            <w:tcW w:w="728" w:type="pct"/>
            <w:gridSpan w:val="11"/>
            <w:tcBorders>
              <w:top w:val="nil"/>
              <w:left w:val="nil"/>
              <w:bottom w:val="single" w:color="000000" w:sz="4" w:space="0"/>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1803" w:type="pct"/>
            <w:gridSpan w:val="12"/>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354"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本年收入合计</w:t>
            </w:r>
          </w:p>
        </w:tc>
        <w:tc>
          <w:tcPr>
            <w:tcW w:w="514" w:type="pct"/>
            <w:gridSpan w:val="8"/>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财政拨款收入</w:t>
            </w:r>
          </w:p>
        </w:tc>
        <w:tc>
          <w:tcPr>
            <w:tcW w:w="263" w:type="pct"/>
            <w:gridSpan w:val="4"/>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上级补助收入</w:t>
            </w:r>
          </w:p>
        </w:tc>
        <w:tc>
          <w:tcPr>
            <w:tcW w:w="308" w:type="pct"/>
            <w:gridSpan w:val="4"/>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事业收入</w:t>
            </w:r>
          </w:p>
        </w:tc>
        <w:tc>
          <w:tcPr>
            <w:tcW w:w="64" w:type="pct"/>
            <w:gridSpan w:val="2"/>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经营收入</w:t>
            </w:r>
          </w:p>
        </w:tc>
        <w:tc>
          <w:tcPr>
            <w:tcW w:w="321" w:type="pct"/>
            <w:gridSpan w:val="6"/>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附属单位上缴收入</w:t>
            </w:r>
          </w:p>
        </w:tc>
        <w:tc>
          <w:tcPr>
            <w:tcW w:w="407" w:type="pct"/>
            <w:gridSpan w:val="5"/>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其他收入</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功能分类科目编码</w:t>
            </w:r>
          </w:p>
        </w:tc>
        <w:tc>
          <w:tcPr>
            <w:tcW w:w="984" w:type="pct"/>
            <w:gridSpan w:val="6"/>
            <w:vMerge w:val="restar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354"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514" w:type="pct"/>
            <w:gridSpan w:val="8"/>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26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8"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4"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21"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7" w:type="pct"/>
            <w:gridSpan w:val="5"/>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984" w:type="pct"/>
            <w:gridSpan w:val="6"/>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354"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514" w:type="pct"/>
            <w:gridSpan w:val="8"/>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26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8"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4"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21"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7" w:type="pct"/>
            <w:gridSpan w:val="5"/>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12" w:hRule="atLeast"/>
        </w:trPr>
        <w:tc>
          <w:tcPr>
            <w:tcW w:w="818" w:type="pct"/>
            <w:gridSpan w:val="6"/>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984" w:type="pct"/>
            <w:gridSpan w:val="6"/>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354"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514" w:type="pct"/>
            <w:gridSpan w:val="8"/>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26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8"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4"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21"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7" w:type="pct"/>
            <w:gridSpan w:val="5"/>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1803" w:type="pct"/>
            <w:gridSpan w:val="12"/>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354" w:type="pct"/>
            <w:gridSpan w:val="3"/>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14" w:type="pct"/>
            <w:gridSpan w:val="8"/>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3" w:type="pct"/>
            <w:gridSpan w:val="4"/>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08" w:type="pct"/>
            <w:gridSpan w:val="4"/>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4" w:type="pct"/>
            <w:gridSpan w:val="2"/>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21" w:type="pct"/>
            <w:gridSpan w:val="6"/>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07" w:type="pct"/>
            <w:gridSpan w:val="5"/>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1803" w:type="pct"/>
            <w:gridSpan w:val="1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8,129.91</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8,129.57</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0.34</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公共安全支出</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7,326.97</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7,326.63</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0.34</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20406</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司法</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3.60</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3.60</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2040601</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20408</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强制隔离戒毒</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7,323.37</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7,323.03</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0.34</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2040801</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6,181.48</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6,181.14</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0.34</w:t>
            </w: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2040802</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101.65</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101.65</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2040804</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强制隔离戒毒人员生活</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268.18</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268.18</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2040805</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强制隔离戒毒人员教育</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25.42</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25.42</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2040806</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所政设施建设</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719.01</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719.01</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2040899</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其他强制隔离戒毒支出</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27.63</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27.63</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20805</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2080506</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机关事业单位职业年金缴费支出</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22102</w:t>
            </w:r>
          </w:p>
        </w:tc>
        <w:tc>
          <w:tcPr>
            <w:tcW w:w="98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住房改革支出</w:t>
            </w:r>
          </w:p>
        </w:tc>
        <w:tc>
          <w:tcPr>
            <w:tcW w:w="35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514"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263"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4"/>
          <w:wBefore w:w="12" w:type="pct"/>
          <w:wAfter w:w="950" w:type="pct"/>
          <w:trHeight w:val="300" w:hRule="atLeast"/>
        </w:trPr>
        <w:tc>
          <w:tcPr>
            <w:tcW w:w="818" w:type="pct"/>
            <w:gridSpan w:val="6"/>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984" w:type="pct"/>
            <w:gridSpan w:val="6"/>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354"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514" w:type="pct"/>
            <w:gridSpan w:val="8"/>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26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08"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64"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21"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7" w:type="pct"/>
            <w:gridSpan w:val="5"/>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6"/>
          <w:wBefore w:w="12" w:type="pct"/>
          <w:wAfter w:w="982" w:type="pct"/>
          <w:trHeight w:val="300" w:hRule="atLeast"/>
        </w:trPr>
        <w:tc>
          <w:tcPr>
            <w:tcW w:w="4005" w:type="pct"/>
            <w:gridSpan w:val="42"/>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注：本表反映部门本年度取得的各项收入情况。</w:t>
            </w:r>
          </w:p>
        </w:tc>
      </w:tr>
      <w:tr>
        <w:tblPrEx>
          <w:tblCellMar>
            <w:top w:w="0" w:type="dxa"/>
            <w:left w:w="108" w:type="dxa"/>
            <w:bottom w:w="0" w:type="dxa"/>
            <w:right w:w="108" w:type="dxa"/>
          </w:tblCellMar>
        </w:tblPrEx>
        <w:trPr>
          <w:gridBefore w:val="1"/>
          <w:gridAfter w:val="5"/>
          <w:wBefore w:w="12" w:type="pct"/>
          <w:wAfter w:w="981" w:type="pct"/>
          <w:trHeight w:val="375" w:hRule="atLeast"/>
        </w:trPr>
        <w:tc>
          <w:tcPr>
            <w:tcW w:w="4006" w:type="pct"/>
            <w:gridSpan w:val="43"/>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支出决算表</w:t>
            </w:r>
          </w:p>
        </w:tc>
      </w:tr>
      <w:tr>
        <w:tblPrEx>
          <w:tblCellMar>
            <w:top w:w="0" w:type="dxa"/>
            <w:left w:w="108" w:type="dxa"/>
            <w:bottom w:w="0" w:type="dxa"/>
            <w:right w:w="108" w:type="dxa"/>
          </w:tblCellMar>
        </w:tblPrEx>
        <w:trPr>
          <w:gridBefore w:val="1"/>
          <w:wBefore w:w="12" w:type="pct"/>
          <w:trHeight w:val="300" w:hRule="atLeast"/>
        </w:trPr>
        <w:tc>
          <w:tcPr>
            <w:tcW w:w="818"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84"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54"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2"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27"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7"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7" w:type="pct"/>
            <w:gridSpan w:val="20"/>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31" w:type="pct"/>
            <w:gridSpan w:val="3"/>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1543" w:type="pct"/>
            <w:gridSpan w:val="11"/>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1548" w:type="pct"/>
            <w:gridSpan w:val="17"/>
            <w:tcBorders>
              <w:top w:val="nil"/>
              <w:left w:val="nil"/>
              <w:bottom w:val="single" w:color="000000" w:sz="4" w:space="0"/>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2020年度</w:t>
            </w:r>
          </w:p>
        </w:tc>
        <w:tc>
          <w:tcPr>
            <w:tcW w:w="913" w:type="pct"/>
            <w:gridSpan w:val="15"/>
            <w:tcBorders>
              <w:top w:val="nil"/>
              <w:left w:val="nil"/>
              <w:bottom w:val="single" w:color="000000" w:sz="4" w:space="0"/>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1543" w:type="pct"/>
            <w:gridSpan w:val="11"/>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613" w:type="pct"/>
            <w:gridSpan w:val="4"/>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308" w:type="pct"/>
            <w:gridSpan w:val="5"/>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407" w:type="pct"/>
            <w:gridSpan w:val="6"/>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403" w:type="pct"/>
            <w:gridSpan w:val="6"/>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上缴上级支出</w:t>
            </w:r>
          </w:p>
        </w:tc>
        <w:tc>
          <w:tcPr>
            <w:tcW w:w="296" w:type="pct"/>
            <w:gridSpan w:val="4"/>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经营支出</w:t>
            </w:r>
          </w:p>
        </w:tc>
        <w:tc>
          <w:tcPr>
            <w:tcW w:w="433" w:type="pct"/>
            <w:gridSpan w:val="7"/>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对附属单位补助支出</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功能分类科目编码</w:t>
            </w:r>
          </w:p>
        </w:tc>
        <w:tc>
          <w:tcPr>
            <w:tcW w:w="1025" w:type="pct"/>
            <w:gridSpan w:val="10"/>
            <w:vMerge w:val="restar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61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8" w:type="pct"/>
            <w:gridSpan w:val="5"/>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7"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3"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296"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33" w:type="pct"/>
            <w:gridSpan w:val="7"/>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025" w:type="pct"/>
            <w:gridSpan w:val="10"/>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61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8" w:type="pct"/>
            <w:gridSpan w:val="5"/>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7"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3"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296"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33" w:type="pct"/>
            <w:gridSpan w:val="7"/>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025" w:type="pct"/>
            <w:gridSpan w:val="10"/>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61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8" w:type="pct"/>
            <w:gridSpan w:val="5"/>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7"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03" w:type="pct"/>
            <w:gridSpan w:val="6"/>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296"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33" w:type="pct"/>
            <w:gridSpan w:val="7"/>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32" w:hRule="atLeast"/>
        </w:trPr>
        <w:tc>
          <w:tcPr>
            <w:tcW w:w="1543" w:type="pct"/>
            <w:gridSpan w:val="11"/>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613" w:type="pct"/>
            <w:gridSpan w:val="4"/>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08" w:type="pct"/>
            <w:gridSpan w:val="5"/>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07" w:type="pct"/>
            <w:gridSpan w:val="6"/>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03" w:type="pct"/>
            <w:gridSpan w:val="6"/>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96" w:type="pct"/>
            <w:gridSpan w:val="4"/>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33" w:type="pct"/>
            <w:gridSpan w:val="7"/>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1543" w:type="pct"/>
            <w:gridSpan w:val="11"/>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8,129.64</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7,481.64</w:t>
            </w:r>
          </w:p>
        </w:tc>
        <w:tc>
          <w:tcPr>
            <w:tcW w:w="407"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648.00</w:t>
            </w: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公共安全支出</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7,326.71</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6,678.71</w:t>
            </w:r>
          </w:p>
        </w:tc>
        <w:tc>
          <w:tcPr>
            <w:tcW w:w="407"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648.00</w:t>
            </w: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20406</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司法</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3.60</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3.60</w:t>
            </w:r>
          </w:p>
        </w:tc>
        <w:tc>
          <w:tcPr>
            <w:tcW w:w="407"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2040601</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20408</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强制隔离戒毒</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7,323.11</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6,675.11</w:t>
            </w:r>
          </w:p>
        </w:tc>
        <w:tc>
          <w:tcPr>
            <w:tcW w:w="407"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648.00</w:t>
            </w: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2040801</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6,181.21</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6,181.21</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2040802</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101.65</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101.65</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2040804</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强制隔离戒毒人员生活</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268.18</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268.18</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2040805</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强制隔离戒毒人员教育</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25.42</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25.42</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2040806</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所政设施建设</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719.01</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71.01</w:t>
            </w:r>
          </w:p>
        </w:tc>
        <w:tc>
          <w:tcPr>
            <w:tcW w:w="407"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648.00</w:t>
            </w: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2040899</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其他强制隔离戒毒支出</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27.63</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27.63</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407"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20805</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407"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2080506</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机关事业单位职业年金缴费支出</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407"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22102</w:t>
            </w:r>
          </w:p>
        </w:tc>
        <w:tc>
          <w:tcPr>
            <w:tcW w:w="1025" w:type="pct"/>
            <w:gridSpan w:val="10"/>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住房改革支出</w:t>
            </w:r>
          </w:p>
        </w:tc>
        <w:tc>
          <w:tcPr>
            <w:tcW w:w="61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308"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407"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1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1025" w:type="pct"/>
            <w:gridSpan w:val="10"/>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61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308" w:type="pct"/>
            <w:gridSpan w:val="5"/>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407"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03"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296"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33"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4006" w:type="pct"/>
            <w:gridSpan w:val="43"/>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注：本表反映部门本年度各项支出情况。</w:t>
            </w:r>
          </w:p>
        </w:tc>
      </w:tr>
      <w:tr>
        <w:tblPrEx>
          <w:tblCellMar>
            <w:top w:w="0" w:type="dxa"/>
            <w:left w:w="108" w:type="dxa"/>
            <w:bottom w:w="0" w:type="dxa"/>
            <w:right w:w="108" w:type="dxa"/>
          </w:tblCellMar>
        </w:tblPrEx>
        <w:trPr>
          <w:gridBefore w:val="1"/>
          <w:gridAfter w:val="5"/>
          <w:wBefore w:w="12" w:type="pct"/>
          <w:wAfter w:w="981" w:type="pct"/>
          <w:trHeight w:val="375" w:hRule="atLeast"/>
        </w:trPr>
        <w:tc>
          <w:tcPr>
            <w:tcW w:w="4006" w:type="pct"/>
            <w:gridSpan w:val="43"/>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818"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84"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54"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14" w:type="pct"/>
            <w:gridSpan w:val="8"/>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63"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8"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88"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48" w:type="pct"/>
            <w:gridSpan w:val="7"/>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6" w:type="pct"/>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818" w:type="pct"/>
            <w:gridSpan w:val="6"/>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984"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32" w:type="pct"/>
            <w:gridSpan w:val="15"/>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308"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88"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4" w:type="pct"/>
            <w:gridSpan w:val="9"/>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gridBefore w:val="1"/>
          <w:gridAfter w:val="6"/>
          <w:wBefore w:w="12" w:type="pct"/>
          <w:wAfter w:w="982" w:type="pct"/>
          <w:trHeight w:val="300" w:hRule="atLeast"/>
        </w:trPr>
        <w:tc>
          <w:tcPr>
            <w:tcW w:w="1197" w:type="pct"/>
            <w:gridSpan w:val="9"/>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     入</w:t>
            </w:r>
          </w:p>
        </w:tc>
        <w:tc>
          <w:tcPr>
            <w:tcW w:w="2807" w:type="pct"/>
            <w:gridSpan w:val="33"/>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     出</w:t>
            </w:r>
          </w:p>
        </w:tc>
      </w:tr>
      <w:tr>
        <w:tblPrEx>
          <w:tblCellMar>
            <w:top w:w="0" w:type="dxa"/>
            <w:left w:w="108" w:type="dxa"/>
            <w:bottom w:w="0" w:type="dxa"/>
            <w:right w:w="108" w:type="dxa"/>
          </w:tblCellMar>
        </w:tblPrEx>
        <w:trPr>
          <w:gridBefore w:val="1"/>
          <w:gridAfter w:val="5"/>
          <w:wBefore w:w="12" w:type="pct"/>
          <w:wAfter w:w="981" w:type="pct"/>
          <w:trHeight w:val="285" w:hRule="atLeast"/>
        </w:trPr>
        <w:tc>
          <w:tcPr>
            <w:tcW w:w="568" w:type="pct"/>
            <w:gridSpan w:val="2"/>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322" w:type="pct"/>
            <w:gridSpan w:val="5"/>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307" w:type="pct"/>
            <w:gridSpan w:val="2"/>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819" w:type="pct"/>
            <w:gridSpan w:val="4"/>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08" w:type="pct"/>
            <w:gridSpan w:val="3"/>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445" w:type="pct"/>
            <w:gridSpan w:val="6"/>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45" w:type="pct"/>
            <w:gridSpan w:val="7"/>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w:t>
            </w:r>
            <w:r>
              <w:rPr>
                <w:rFonts w:hint="eastAsia" w:ascii="宋体" w:hAnsi="宋体" w:eastAsia="宋体" w:cs="宋体"/>
                <w:i w:val="0"/>
                <w:iCs w:val="0"/>
                <w:color w:val="000000"/>
                <w:kern w:val="0"/>
                <w:sz w:val="10"/>
                <w:szCs w:val="10"/>
                <w:u w:val="none"/>
                <w:lang w:val="en-US" w:eastAsia="zh-CN" w:bidi="ar"/>
              </w:rPr>
              <w:t>般公共预算财政拨款</w:t>
            </w:r>
          </w:p>
        </w:tc>
        <w:tc>
          <w:tcPr>
            <w:tcW w:w="445" w:type="pct"/>
            <w:gridSpan w:val="6"/>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0"/>
                <w:szCs w:val="10"/>
                <w:u w:val="none"/>
                <w:lang w:val="en-US" w:eastAsia="zh-CN" w:bidi="ar"/>
              </w:rPr>
              <w:t>政府性基金预算财政拨款</w:t>
            </w:r>
          </w:p>
        </w:tc>
        <w:tc>
          <w:tcPr>
            <w:tcW w:w="445" w:type="pct"/>
            <w:gridSpan w:val="8"/>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0"/>
                <w:szCs w:val="10"/>
                <w:u w:val="none"/>
                <w:lang w:val="en-US" w:eastAsia="zh-CN" w:bidi="ar"/>
              </w:rPr>
              <w:t>国有资本经营预算财政拨款</w:t>
            </w:r>
          </w:p>
        </w:tc>
      </w:tr>
      <w:tr>
        <w:tblPrEx>
          <w:tblCellMar>
            <w:top w:w="0" w:type="dxa"/>
            <w:left w:w="108" w:type="dxa"/>
            <w:bottom w:w="0" w:type="dxa"/>
            <w:right w:w="108" w:type="dxa"/>
          </w:tblCellMar>
        </w:tblPrEx>
        <w:trPr>
          <w:gridBefore w:val="1"/>
          <w:gridAfter w:val="5"/>
          <w:wBefore w:w="12" w:type="pct"/>
          <w:wAfter w:w="981" w:type="pct"/>
          <w:trHeight w:val="312" w:hRule="atLeast"/>
        </w:trPr>
        <w:tc>
          <w:tcPr>
            <w:tcW w:w="568" w:type="pct"/>
            <w:gridSpan w:val="2"/>
            <w:vMerge w:val="continue"/>
            <w:tcBorders>
              <w:top w:val="nil"/>
              <w:left w:val="single" w:color="000000" w:sz="4" w:space="0"/>
              <w:bottom w:val="single" w:color="000000" w:sz="4" w:space="0"/>
              <w:right w:val="single" w:color="000000" w:sz="4" w:space="0"/>
            </w:tcBorders>
            <w:shd w:val="clear" w:color="auto" w:fill="C0C0C0"/>
            <w:vAlign w:val="center"/>
          </w:tcPr>
          <w:p>
            <w:pPr>
              <w:jc w:val="both"/>
              <w:rPr>
                <w:rFonts w:hint="eastAsia" w:ascii="宋体" w:hAnsi="宋体" w:eastAsia="宋体" w:cs="宋体"/>
                <w:i w:val="0"/>
                <w:iCs w:val="0"/>
                <w:color w:val="000000"/>
                <w:sz w:val="20"/>
                <w:szCs w:val="20"/>
                <w:u w:val="none"/>
              </w:rPr>
            </w:pPr>
          </w:p>
        </w:tc>
        <w:tc>
          <w:tcPr>
            <w:tcW w:w="322" w:type="pct"/>
            <w:gridSpan w:val="5"/>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07" w:type="pct"/>
            <w:gridSpan w:val="2"/>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819" w:type="pct"/>
            <w:gridSpan w:val="4"/>
            <w:vMerge w:val="continue"/>
            <w:tcBorders>
              <w:top w:val="nil"/>
              <w:left w:val="nil"/>
              <w:bottom w:val="single" w:color="000000" w:sz="4" w:space="0"/>
              <w:right w:val="single" w:color="000000" w:sz="4" w:space="0"/>
            </w:tcBorders>
            <w:shd w:val="clear" w:color="auto" w:fill="C0C0C0"/>
            <w:vAlign w:val="bottom"/>
          </w:tcPr>
          <w:p>
            <w:pPr>
              <w:jc w:val="both"/>
              <w:rPr>
                <w:rFonts w:hint="eastAsia" w:ascii="宋体" w:hAnsi="宋体" w:eastAsia="宋体" w:cs="宋体"/>
                <w:i w:val="0"/>
                <w:iCs w:val="0"/>
                <w:color w:val="000000"/>
                <w:sz w:val="20"/>
                <w:szCs w:val="20"/>
                <w:u w:val="none"/>
              </w:rPr>
            </w:pPr>
          </w:p>
        </w:tc>
        <w:tc>
          <w:tcPr>
            <w:tcW w:w="208" w:type="pct"/>
            <w:gridSpan w:val="3"/>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45" w:type="pct"/>
            <w:gridSpan w:val="6"/>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445" w:type="pct"/>
            <w:gridSpan w:val="7"/>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45" w:type="pct"/>
            <w:gridSpan w:val="6"/>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45" w:type="pct"/>
            <w:gridSpan w:val="8"/>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322" w:type="pct"/>
            <w:gridSpan w:val="5"/>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307"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08" w:type="pct"/>
            <w:gridSpan w:val="3"/>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5" w:type="pct"/>
            <w:gridSpan w:val="7"/>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5"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5"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3"/>
                <w:szCs w:val="13"/>
                <w:u w:val="none"/>
                <w:lang w:val="en-US" w:eastAsia="zh-CN" w:bidi="ar"/>
              </w:rPr>
              <w:t>一、一般公共预算财政拨款</w:t>
            </w: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07"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二、政府性基金预算财政拨款</w:t>
            </w: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二、外交支出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三、国有资本经营预算财政拨款</w:t>
            </w: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三、国防支出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四、公共安全支出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445"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7,326.63</w:t>
            </w:r>
          </w:p>
        </w:tc>
        <w:tc>
          <w:tcPr>
            <w:tcW w:w="445" w:type="pct"/>
            <w:gridSpan w:val="7"/>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7,326.63</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五、教育支出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六、科学技术支出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445"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499.16</w:t>
            </w:r>
          </w:p>
        </w:tc>
        <w:tc>
          <w:tcPr>
            <w:tcW w:w="445" w:type="pct"/>
            <w:gridSpan w:val="7"/>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499.16</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九、卫生健康支出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十、节能环保支出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十一、城乡社区支出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十二、农林水支出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十三、交通运输支出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十六、金融支出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462"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eastAsia="zh-CN"/>
              </w:rPr>
              <w:t xml:space="preserve"> </w:t>
            </w:r>
            <w:r>
              <w:rPr>
                <w:rFonts w:hint="eastAsia" w:ascii="宋体" w:hAnsi="宋体" w:cs="宋体"/>
                <w:i w:val="0"/>
                <w:iCs w:val="0"/>
                <w:color w:val="000000"/>
                <w:sz w:val="20"/>
                <w:szCs w:val="20"/>
                <w:u w:val="none"/>
                <w:lang w:val="en-US" w:eastAsia="zh-CN"/>
              </w:rPr>
              <w:t xml:space="preserve">     </w:t>
            </w: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5"/>
          <w:wBefore w:w="12" w:type="pct"/>
          <w:wAfter w:w="981" w:type="pct"/>
          <w:trHeight w:val="300" w:hRule="atLeast"/>
        </w:trPr>
        <w:tc>
          <w:tcPr>
            <w:tcW w:w="568" w:type="pct"/>
            <w:gridSpan w:val="2"/>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22"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307"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19"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十九、住房保障支出</w:t>
            </w:r>
          </w:p>
        </w:tc>
        <w:tc>
          <w:tcPr>
            <w:tcW w:w="20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445"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445" w:type="pct"/>
            <w:gridSpan w:val="7"/>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445"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45"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Before w:val="1"/>
          <w:gridAfter w:val="6"/>
          <w:wBefore w:w="12" w:type="pct"/>
          <w:wAfter w:w="982" w:type="pct"/>
          <w:trHeight w:val="300" w:hRule="atLeast"/>
        </w:trPr>
        <w:tc>
          <w:tcPr>
            <w:tcW w:w="3597" w:type="pct"/>
            <w:gridSpan w:val="37"/>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407" w:type="pct"/>
            <w:gridSpan w:val="5"/>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2"/>
          <w:wAfter w:w="913" w:type="pct"/>
          <w:trHeight w:val="300" w:hRule="atLeast"/>
        </w:trPr>
        <w:tc>
          <w:tcPr>
            <w:tcW w:w="1230" w:type="pct"/>
            <w:gridSpan w:val="11"/>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     入</w:t>
            </w:r>
          </w:p>
        </w:tc>
        <w:tc>
          <w:tcPr>
            <w:tcW w:w="2856" w:type="pct"/>
            <w:gridSpan w:val="36"/>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     出</w:t>
            </w:r>
          </w:p>
        </w:tc>
      </w:tr>
      <w:tr>
        <w:tblPrEx>
          <w:tblCellMar>
            <w:top w:w="0" w:type="dxa"/>
            <w:left w:w="108" w:type="dxa"/>
            <w:bottom w:w="0" w:type="dxa"/>
            <w:right w:w="108" w:type="dxa"/>
          </w:tblCellMar>
        </w:tblPrEx>
        <w:trPr>
          <w:gridAfter w:val="1"/>
          <w:wAfter w:w="912" w:type="pct"/>
          <w:trHeight w:val="285" w:hRule="atLeast"/>
        </w:trPr>
        <w:tc>
          <w:tcPr>
            <w:tcW w:w="586" w:type="pct"/>
            <w:gridSpan w:val="4"/>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330" w:type="pct"/>
            <w:gridSpan w:val="5"/>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313" w:type="pct"/>
            <w:gridSpan w:val="2"/>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833" w:type="pct"/>
            <w:gridSpan w:val="4"/>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10" w:type="pct"/>
            <w:gridSpan w:val="3"/>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452" w:type="pct"/>
            <w:gridSpan w:val="7"/>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54" w:type="pct"/>
            <w:gridSpan w:val="6"/>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w:t>
            </w:r>
            <w:r>
              <w:rPr>
                <w:rFonts w:hint="eastAsia" w:ascii="宋体" w:hAnsi="宋体" w:eastAsia="宋体" w:cs="宋体"/>
                <w:i w:val="0"/>
                <w:iCs w:val="0"/>
                <w:color w:val="000000"/>
                <w:kern w:val="0"/>
                <w:sz w:val="10"/>
                <w:szCs w:val="10"/>
                <w:u w:val="none"/>
                <w:lang w:val="en-US" w:eastAsia="zh-CN" w:bidi="ar"/>
              </w:rPr>
              <w:t>般公共预算财政拨款</w:t>
            </w:r>
          </w:p>
        </w:tc>
        <w:tc>
          <w:tcPr>
            <w:tcW w:w="452" w:type="pct"/>
            <w:gridSpan w:val="8"/>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0"/>
                <w:szCs w:val="10"/>
                <w:u w:val="none"/>
                <w:lang w:val="en-US" w:eastAsia="zh-CN" w:bidi="ar"/>
              </w:rPr>
              <w:t>政府性基金预算财政拨款</w:t>
            </w:r>
          </w:p>
        </w:tc>
        <w:tc>
          <w:tcPr>
            <w:tcW w:w="453" w:type="pct"/>
            <w:gridSpan w:val="9"/>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0"/>
                <w:szCs w:val="10"/>
                <w:u w:val="none"/>
                <w:lang w:val="en-US" w:eastAsia="zh-CN" w:bidi="ar"/>
              </w:rPr>
              <w:t>国有资本经营预算财政拨款</w:t>
            </w:r>
          </w:p>
        </w:tc>
      </w:tr>
      <w:tr>
        <w:tblPrEx>
          <w:tblCellMar>
            <w:top w:w="0" w:type="dxa"/>
            <w:left w:w="108" w:type="dxa"/>
            <w:bottom w:w="0" w:type="dxa"/>
            <w:right w:w="108" w:type="dxa"/>
          </w:tblCellMar>
        </w:tblPrEx>
        <w:trPr>
          <w:gridAfter w:val="1"/>
          <w:wAfter w:w="912" w:type="pct"/>
          <w:trHeight w:val="312" w:hRule="atLeast"/>
        </w:trPr>
        <w:tc>
          <w:tcPr>
            <w:tcW w:w="586" w:type="pct"/>
            <w:gridSpan w:val="4"/>
            <w:vMerge w:val="continue"/>
            <w:tcBorders>
              <w:top w:val="nil"/>
              <w:left w:val="single" w:color="000000" w:sz="4" w:space="0"/>
              <w:bottom w:val="single" w:color="000000" w:sz="4" w:space="0"/>
              <w:right w:val="single" w:color="000000" w:sz="4" w:space="0"/>
            </w:tcBorders>
            <w:shd w:val="clear" w:color="auto" w:fill="C0C0C0"/>
            <w:vAlign w:val="center"/>
          </w:tcPr>
          <w:p>
            <w:pPr>
              <w:jc w:val="both"/>
              <w:rPr>
                <w:rFonts w:hint="eastAsia" w:ascii="宋体" w:hAnsi="宋体" w:eastAsia="宋体" w:cs="宋体"/>
                <w:i w:val="0"/>
                <w:iCs w:val="0"/>
                <w:color w:val="000000"/>
                <w:sz w:val="20"/>
                <w:szCs w:val="20"/>
                <w:u w:val="none"/>
              </w:rPr>
            </w:pPr>
          </w:p>
        </w:tc>
        <w:tc>
          <w:tcPr>
            <w:tcW w:w="330" w:type="pct"/>
            <w:gridSpan w:val="5"/>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13" w:type="pct"/>
            <w:gridSpan w:val="2"/>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833" w:type="pct"/>
            <w:gridSpan w:val="4"/>
            <w:vMerge w:val="continue"/>
            <w:tcBorders>
              <w:top w:val="nil"/>
              <w:left w:val="nil"/>
              <w:bottom w:val="single" w:color="000000" w:sz="4" w:space="0"/>
              <w:right w:val="single" w:color="000000" w:sz="4" w:space="0"/>
            </w:tcBorders>
            <w:shd w:val="clear" w:color="auto" w:fill="C0C0C0"/>
            <w:vAlign w:val="bottom"/>
          </w:tcPr>
          <w:p>
            <w:pPr>
              <w:jc w:val="both"/>
              <w:rPr>
                <w:rFonts w:hint="eastAsia" w:ascii="宋体" w:hAnsi="宋体" w:eastAsia="宋体" w:cs="宋体"/>
                <w:i w:val="0"/>
                <w:iCs w:val="0"/>
                <w:color w:val="000000"/>
                <w:sz w:val="20"/>
                <w:szCs w:val="20"/>
                <w:u w:val="none"/>
              </w:rPr>
            </w:pPr>
          </w:p>
        </w:tc>
        <w:tc>
          <w:tcPr>
            <w:tcW w:w="210" w:type="pct"/>
            <w:gridSpan w:val="3"/>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52" w:type="pct"/>
            <w:gridSpan w:val="7"/>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454" w:type="pct"/>
            <w:gridSpan w:val="6"/>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52" w:type="pct"/>
            <w:gridSpan w:val="8"/>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53" w:type="pct"/>
            <w:gridSpan w:val="9"/>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330" w:type="pct"/>
            <w:gridSpan w:val="5"/>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313"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10" w:type="pct"/>
            <w:gridSpan w:val="3"/>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452" w:type="pct"/>
            <w:gridSpan w:val="7"/>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52" w:type="pct"/>
            <w:gridSpan w:val="8"/>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53" w:type="pct"/>
            <w:gridSpan w:val="9"/>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二十三、其他支出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313"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本年支出合计</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452" w:type="pct"/>
            <w:gridSpan w:val="7"/>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454"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年初财政拨款结转和结余</w:t>
            </w: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年末财政拨款结转和结余</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  一般公共预算财政拨款</w:t>
            </w: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  政府性基金预算财政拨款</w:t>
            </w: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  国有资本经营预算财政拨款</w:t>
            </w:r>
          </w:p>
        </w:tc>
        <w:tc>
          <w:tcPr>
            <w:tcW w:w="330"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313"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833" w:type="pct"/>
            <w:gridSpan w:val="4"/>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452" w:type="pct"/>
            <w:gridSpan w:val="7"/>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4" w:type="pct"/>
            <w:gridSpan w:val="6"/>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912" w:type="pct"/>
          <w:trHeight w:val="300" w:hRule="atLeast"/>
        </w:trPr>
        <w:tc>
          <w:tcPr>
            <w:tcW w:w="586"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330" w:type="pct"/>
            <w:gridSpan w:val="5"/>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313"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833" w:type="pct"/>
            <w:gridSpan w:val="4"/>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21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452" w:type="pct"/>
            <w:gridSpan w:val="7"/>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454" w:type="pct"/>
            <w:gridSpan w:val="6"/>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8,129.57</w:t>
            </w:r>
          </w:p>
        </w:tc>
        <w:tc>
          <w:tcPr>
            <w:tcW w:w="452" w:type="pct"/>
            <w:gridSpan w:val="8"/>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gridSpan w:val="9"/>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2"/>
          <w:wAfter w:w="913" w:type="pct"/>
          <w:trHeight w:val="300" w:hRule="atLeast"/>
        </w:trPr>
        <w:tc>
          <w:tcPr>
            <w:tcW w:w="3674" w:type="pct"/>
            <w:gridSpan w:val="41"/>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注：本表反映部门本年度一般公共预算财政拨款、政府性基金预算财政拨款和国有资本经营预算财政拨款的总收支和年末结转结余情况。</w:t>
            </w:r>
          </w:p>
        </w:tc>
        <w:tc>
          <w:tcPr>
            <w:tcW w:w="412"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0"/>
                <w:szCs w:val="20"/>
                <w:u w:val="none"/>
              </w:rPr>
            </w:pPr>
          </w:p>
        </w:tc>
      </w:tr>
    </w:tbl>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tbl>
      <w:tblPr>
        <w:tblStyle w:val="3"/>
        <w:tblW w:w="5000" w:type="pct"/>
        <w:tblInd w:w="0" w:type="dxa"/>
        <w:shd w:val="clear" w:color="auto" w:fill="auto"/>
        <w:tblLayout w:type="fixed"/>
        <w:tblCellMar>
          <w:top w:w="0" w:type="dxa"/>
          <w:left w:w="108" w:type="dxa"/>
          <w:bottom w:w="0" w:type="dxa"/>
          <w:right w:w="108" w:type="dxa"/>
        </w:tblCellMar>
      </w:tblPr>
      <w:tblGrid>
        <w:gridCol w:w="1110"/>
        <w:gridCol w:w="2205"/>
        <w:gridCol w:w="309"/>
        <w:gridCol w:w="238"/>
        <w:gridCol w:w="246"/>
        <w:gridCol w:w="704"/>
        <w:gridCol w:w="1255"/>
        <w:gridCol w:w="1775"/>
        <w:gridCol w:w="196"/>
        <w:gridCol w:w="1845"/>
        <w:gridCol w:w="360"/>
        <w:gridCol w:w="708"/>
        <w:gridCol w:w="1408"/>
        <w:gridCol w:w="1309"/>
        <w:gridCol w:w="1040"/>
        <w:gridCol w:w="185"/>
      </w:tblGrid>
      <w:tr>
        <w:tblPrEx>
          <w:shd w:val="clear" w:color="auto" w:fill="auto"/>
          <w:tblCellMar>
            <w:top w:w="0" w:type="dxa"/>
            <w:left w:w="108" w:type="dxa"/>
            <w:bottom w:w="0" w:type="dxa"/>
            <w:right w:w="108" w:type="dxa"/>
          </w:tblCellMar>
        </w:tblPrEx>
        <w:trPr>
          <w:gridAfter w:val="1"/>
          <w:wAfter w:w="62" w:type="pct"/>
          <w:trHeight w:val="375" w:hRule="atLeast"/>
        </w:trPr>
        <w:tc>
          <w:tcPr>
            <w:tcW w:w="4937" w:type="pct"/>
            <w:gridSpan w:val="15"/>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tblPrEx>
          <w:tblCellMar>
            <w:top w:w="0" w:type="dxa"/>
            <w:left w:w="108" w:type="dxa"/>
            <w:bottom w:w="0" w:type="dxa"/>
            <w:right w:w="108" w:type="dxa"/>
          </w:tblCellMar>
        </w:tblPrEx>
        <w:trPr>
          <w:gridAfter w:val="1"/>
          <w:wAfter w:w="62" w:type="pct"/>
          <w:trHeight w:val="300" w:hRule="atLeast"/>
        </w:trPr>
        <w:tc>
          <w:tcPr>
            <w:tcW w:w="1216"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53"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05"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10"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88" w:type="pct"/>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tblPrEx>
          <w:tblCellMar>
            <w:top w:w="0" w:type="dxa"/>
            <w:left w:w="108" w:type="dxa"/>
            <w:bottom w:w="0" w:type="dxa"/>
            <w:right w:w="108" w:type="dxa"/>
          </w:tblCellMar>
        </w:tblPrEx>
        <w:trPr>
          <w:gridAfter w:val="1"/>
          <w:wAfter w:w="62" w:type="pct"/>
          <w:trHeight w:val="300" w:hRule="atLeast"/>
        </w:trPr>
        <w:tc>
          <w:tcPr>
            <w:tcW w:w="1216" w:type="pct"/>
            <w:gridSpan w:val="3"/>
            <w:tcBorders>
              <w:top w:val="nil"/>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79"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2"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53" w:type="pct"/>
            <w:gridSpan w:val="3"/>
            <w:tcBorders>
              <w:top w:val="nil"/>
              <w:left w:val="nil"/>
              <w:bottom w:val="single" w:color="00000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805" w:type="pct"/>
            <w:gridSpan w:val="3"/>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10" w:type="pct"/>
            <w:gridSpan w:val="2"/>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88" w:type="pct"/>
            <w:gridSpan w:val="2"/>
            <w:tcBorders>
              <w:top w:val="nil"/>
              <w:left w:val="nil"/>
              <w:bottom w:val="single" w:color="000000" w:sz="4" w:space="0"/>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gridAfter w:val="1"/>
          <w:wAfter w:w="62" w:type="pct"/>
          <w:trHeight w:val="300" w:hRule="atLeast"/>
        </w:trPr>
        <w:tc>
          <w:tcPr>
            <w:tcW w:w="2633" w:type="pct"/>
            <w:gridSpan w:val="8"/>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304" w:type="pct"/>
            <w:gridSpan w:val="7"/>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r>
      <w:tr>
        <w:tblPrEx>
          <w:tblCellMar>
            <w:top w:w="0" w:type="dxa"/>
            <w:left w:w="108" w:type="dxa"/>
            <w:bottom w:w="0" w:type="dxa"/>
            <w:right w:w="108" w:type="dxa"/>
          </w:tblCellMar>
        </w:tblPrEx>
        <w:trPr>
          <w:gridAfter w:val="1"/>
          <w:wAfter w:w="62" w:type="pct"/>
          <w:trHeight w:val="300" w:hRule="atLeast"/>
        </w:trPr>
        <w:tc>
          <w:tcPr>
            <w:tcW w:w="1379" w:type="pct"/>
            <w:gridSpan w:val="5"/>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功能分类科目编码</w:t>
            </w:r>
          </w:p>
        </w:tc>
        <w:tc>
          <w:tcPr>
            <w:tcW w:w="1253" w:type="pct"/>
            <w:gridSpan w:val="3"/>
            <w:vMerge w:val="restar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805" w:type="pct"/>
            <w:gridSpan w:val="3"/>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710"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788"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r>
      <w:tr>
        <w:tblPrEx>
          <w:tblCellMar>
            <w:top w:w="0" w:type="dxa"/>
            <w:left w:w="108" w:type="dxa"/>
            <w:bottom w:w="0" w:type="dxa"/>
            <w:right w:w="108" w:type="dxa"/>
          </w:tblCellMar>
        </w:tblPrEx>
        <w:trPr>
          <w:gridAfter w:val="1"/>
          <w:wAfter w:w="62" w:type="pct"/>
          <w:trHeight w:val="270" w:hRule="atLeast"/>
        </w:trPr>
        <w:tc>
          <w:tcPr>
            <w:tcW w:w="1379" w:type="pct"/>
            <w:gridSpan w:val="5"/>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253" w:type="pct"/>
            <w:gridSpan w:val="3"/>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805" w:type="pct"/>
            <w:gridSpan w:val="3"/>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710"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788"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253" w:type="pct"/>
            <w:gridSpan w:val="3"/>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805" w:type="pct"/>
            <w:gridSpan w:val="3"/>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710"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788"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2633" w:type="pct"/>
            <w:gridSpan w:val="8"/>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805" w:type="pct"/>
            <w:gridSpan w:val="3"/>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10" w:type="pct"/>
            <w:gridSpan w:val="2"/>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88" w:type="pct"/>
            <w:gridSpan w:val="2"/>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CellMar>
            <w:top w:w="0" w:type="dxa"/>
            <w:left w:w="108" w:type="dxa"/>
            <w:bottom w:w="0" w:type="dxa"/>
            <w:right w:w="108" w:type="dxa"/>
          </w:tblCellMar>
        </w:tblPrEx>
        <w:trPr>
          <w:gridAfter w:val="1"/>
          <w:wAfter w:w="62" w:type="pct"/>
          <w:trHeight w:val="300" w:hRule="atLeast"/>
        </w:trPr>
        <w:tc>
          <w:tcPr>
            <w:tcW w:w="2633" w:type="pct"/>
            <w:gridSpan w:val="8"/>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8,129.57</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7,481.57</w:t>
            </w:r>
          </w:p>
        </w:tc>
        <w:tc>
          <w:tcPr>
            <w:tcW w:w="788"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648.00</w:t>
            </w: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公共安全支出</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7,326.63</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6,678.63</w:t>
            </w:r>
          </w:p>
        </w:tc>
        <w:tc>
          <w:tcPr>
            <w:tcW w:w="78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648.00</w:t>
            </w: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20406</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司法</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3.60</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3.60</w:t>
            </w:r>
          </w:p>
        </w:tc>
        <w:tc>
          <w:tcPr>
            <w:tcW w:w="788"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2040601</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20408</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强制隔离戒毒</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7,323.03</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6,675.03</w:t>
            </w:r>
          </w:p>
        </w:tc>
        <w:tc>
          <w:tcPr>
            <w:tcW w:w="78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648.00</w:t>
            </w: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2040801</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6,181.14</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6,181.14</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2040802</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101.65</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101.65</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9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2040804</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强制隔离戒毒人员生活</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268.18</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268.18</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2040805</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强制隔离戒毒人员教育</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25.42</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25.42</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2040806</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所政设施建设</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719.01</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71.01</w:t>
            </w:r>
          </w:p>
        </w:tc>
        <w:tc>
          <w:tcPr>
            <w:tcW w:w="788"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648.00</w:t>
            </w: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2040899</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其他强制隔离戒毒支出</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27.63</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27.63</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788"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20805</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499.16</w:t>
            </w:r>
          </w:p>
        </w:tc>
        <w:tc>
          <w:tcPr>
            <w:tcW w:w="788"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2080506</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机关事业单位职业年金缴费支出</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788"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22102</w:t>
            </w:r>
          </w:p>
        </w:tc>
        <w:tc>
          <w:tcPr>
            <w:tcW w:w="1253"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住房改革支出</w:t>
            </w:r>
          </w:p>
        </w:tc>
        <w:tc>
          <w:tcPr>
            <w:tcW w:w="805"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710"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303.78</w:t>
            </w:r>
          </w:p>
        </w:tc>
        <w:tc>
          <w:tcPr>
            <w:tcW w:w="788" w:type="pct"/>
            <w:gridSpan w:val="2"/>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1379" w:type="pct"/>
            <w:gridSpan w:val="5"/>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1253" w:type="pct"/>
            <w:gridSpan w:val="3"/>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805" w:type="pct"/>
            <w:gridSpan w:val="3"/>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710" w:type="pct"/>
            <w:gridSpan w:val="2"/>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788" w:type="pct"/>
            <w:gridSpan w:val="2"/>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gridAfter w:val="1"/>
          <w:wAfter w:w="62" w:type="pct"/>
          <w:trHeight w:val="300" w:hRule="atLeast"/>
        </w:trPr>
        <w:tc>
          <w:tcPr>
            <w:tcW w:w="4937" w:type="pct"/>
            <w:gridSpan w:val="15"/>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注：本表反映部门本年度一般公共预算财政拨款支出情况。</w:t>
            </w:r>
          </w:p>
        </w:tc>
      </w:tr>
      <w:tr>
        <w:tblPrEx>
          <w:tblCellMar>
            <w:top w:w="0" w:type="dxa"/>
            <w:left w:w="108" w:type="dxa"/>
            <w:bottom w:w="0" w:type="dxa"/>
            <w:right w:w="108" w:type="dxa"/>
          </w:tblCellMar>
        </w:tblPrEx>
        <w:trPr>
          <w:trHeight w:val="375" w:hRule="atLeast"/>
        </w:trPr>
        <w:tc>
          <w:tcPr>
            <w:tcW w:w="5000" w:type="pct"/>
            <w:gridSpan w:val="16"/>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一般公共预算财政拨款基本支出决算表</w:t>
            </w:r>
          </w:p>
        </w:tc>
      </w:tr>
      <w:tr>
        <w:tblPrEx>
          <w:tblCellMar>
            <w:top w:w="0" w:type="dxa"/>
            <w:left w:w="108" w:type="dxa"/>
            <w:bottom w:w="0" w:type="dxa"/>
            <w:right w:w="108" w:type="dxa"/>
          </w:tblCellMar>
        </w:tblPrEx>
        <w:trPr>
          <w:trHeight w:val="300" w:hRule="atLeast"/>
        </w:trPr>
        <w:tc>
          <w:tcPr>
            <w:tcW w:w="37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74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03"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1"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58"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12"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11"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300" w:hRule="atLeast"/>
        </w:trPr>
        <w:tc>
          <w:tcPr>
            <w:tcW w:w="37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03" w:type="pct"/>
            <w:gridSpan w:val="4"/>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1"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1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58" w:type="pct"/>
            <w:gridSpan w:val="2"/>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23" w:type="pct"/>
            <w:gridSpan w:val="4"/>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tblPrEx>
          <w:tblCellMar>
            <w:top w:w="0" w:type="dxa"/>
            <w:left w:w="108" w:type="dxa"/>
            <w:bottom w:w="0" w:type="dxa"/>
            <w:right w:w="108" w:type="dxa"/>
          </w:tblCellMar>
        </w:tblPrEx>
        <w:trPr>
          <w:trHeight w:val="300" w:hRule="atLeast"/>
        </w:trPr>
        <w:tc>
          <w:tcPr>
            <w:tcW w:w="1112" w:type="pct"/>
            <w:gridSpan w:val="2"/>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503" w:type="pct"/>
            <w:gridSpan w:val="4"/>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1"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1" w:type="pct"/>
            <w:gridSpan w:val="2"/>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19"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58" w:type="pct"/>
            <w:gridSpan w:val="2"/>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23" w:type="pct"/>
            <w:gridSpan w:val="4"/>
            <w:tcBorders>
              <w:top w:val="nil"/>
              <w:left w:val="nil"/>
              <w:bottom w:val="single" w:color="000000" w:sz="4" w:space="0"/>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trHeight w:val="300" w:hRule="atLeast"/>
        </w:trPr>
        <w:tc>
          <w:tcPr>
            <w:tcW w:w="1616" w:type="pct"/>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3383" w:type="pct"/>
            <w:gridSpan w:val="10"/>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tblPrEx>
          <w:tblCellMar>
            <w:top w:w="0" w:type="dxa"/>
            <w:left w:w="108" w:type="dxa"/>
            <w:bottom w:w="0" w:type="dxa"/>
            <w:right w:w="108" w:type="dxa"/>
          </w:tblCellMar>
        </w:tblPrEx>
        <w:trPr>
          <w:trHeight w:val="300" w:hRule="atLeast"/>
        </w:trPr>
        <w:tc>
          <w:tcPr>
            <w:tcW w:w="3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经济分类科目编码</w:t>
            </w:r>
          </w:p>
        </w:tc>
        <w:tc>
          <w:tcPr>
            <w:tcW w:w="740"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503" w:type="pct"/>
            <w:gridSpan w:val="4"/>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421"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经济分类科目编码</w:t>
            </w:r>
          </w:p>
        </w:tc>
        <w:tc>
          <w:tcPr>
            <w:tcW w:w="661"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619"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58"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经济分类科目编码</w:t>
            </w:r>
          </w:p>
        </w:tc>
        <w:tc>
          <w:tcPr>
            <w:tcW w:w="912"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411" w:type="pct"/>
            <w:gridSpan w:val="2"/>
            <w:vMerge w:val="restart"/>
            <w:tcBorders>
              <w:top w:val="single" w:color="000000" w:sz="4" w:space="0"/>
              <w:left w:val="nil"/>
              <w:bottom w:val="single" w:color="000000" w:sz="4" w:space="0"/>
              <w:right w:val="single" w:color="000000" w:sz="12"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r>
      <w:tr>
        <w:tblPrEx>
          <w:tblCellMar>
            <w:top w:w="0" w:type="dxa"/>
            <w:left w:w="108" w:type="dxa"/>
            <w:bottom w:w="0" w:type="dxa"/>
            <w:right w:w="108" w:type="dxa"/>
          </w:tblCellMar>
        </w:tblPrEx>
        <w:trPr>
          <w:trHeight w:val="600" w:hRule="atLeast"/>
        </w:trPr>
        <w:tc>
          <w:tcPr>
            <w:tcW w:w="3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740"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50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2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61"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19"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58"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912"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11" w:type="pct"/>
            <w:gridSpan w:val="2"/>
            <w:vMerge w:val="continue"/>
            <w:tcBorders>
              <w:top w:val="single" w:color="000000" w:sz="4" w:space="0"/>
              <w:left w:val="nil"/>
              <w:bottom w:val="single" w:color="000000" w:sz="4" w:space="0"/>
              <w:right w:val="single" w:color="000000" w:sz="12"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single" w:color="000000" w:sz="4" w:space="0"/>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740"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503" w:type="pct"/>
            <w:gridSpan w:val="4"/>
            <w:tcBorders>
              <w:top w:val="single" w:color="000000" w:sz="4" w:space="0"/>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4,014.59</w:t>
            </w:r>
          </w:p>
        </w:tc>
        <w:tc>
          <w:tcPr>
            <w:tcW w:w="421"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661" w:type="pct"/>
            <w:gridSpan w:val="2"/>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619" w:type="pct"/>
            <w:tcBorders>
              <w:top w:val="single" w:color="000000" w:sz="4" w:space="0"/>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2,648.81</w:t>
            </w:r>
          </w:p>
        </w:tc>
        <w:tc>
          <w:tcPr>
            <w:tcW w:w="358" w:type="pct"/>
            <w:gridSpan w:val="2"/>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912" w:type="pct"/>
            <w:gridSpan w:val="2"/>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411" w:type="pct"/>
            <w:gridSpan w:val="2"/>
            <w:tcBorders>
              <w:top w:val="single" w:color="000000" w:sz="4" w:space="0"/>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844.80</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88.71</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1,862.34</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30103</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奖金</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218.45</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30703</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国内债务发行费用</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30106</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0.44</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国外债务发行费用</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30107</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24.57</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411" w:type="pct"/>
            <w:gridSpan w:val="2"/>
            <w:tcBorders>
              <w:top w:val="nil"/>
              <w:left w:val="nil"/>
              <w:bottom w:val="single" w:color="000000" w:sz="4" w:space="0"/>
              <w:right w:val="single" w:color="000000" w:sz="12"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30108</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332.77</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81.06</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30109</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166.39</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58.64</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411" w:type="pct"/>
            <w:gridSpan w:val="2"/>
            <w:tcBorders>
              <w:top w:val="nil"/>
              <w:left w:val="nil"/>
              <w:bottom w:val="single" w:color="000000" w:sz="4" w:space="0"/>
              <w:right w:val="single" w:color="000000" w:sz="12"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w:t>
            </w: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30110</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266.18</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18.58</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411" w:type="pct"/>
            <w:gridSpan w:val="2"/>
            <w:tcBorders>
              <w:top w:val="nil"/>
              <w:left w:val="nil"/>
              <w:bottom w:val="single" w:color="000000" w:sz="4" w:space="0"/>
              <w:right w:val="single" w:color="000000" w:sz="12"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0.67</w:t>
            </w: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30111</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93.15</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30112</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11.34</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30113</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303.78</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30114</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71.51</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9.73</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30214</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811.02</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616" w:type="pct"/>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3383" w:type="pct"/>
            <w:gridSpan w:val="10"/>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tblPrEx>
          <w:tblCellMar>
            <w:top w:w="0" w:type="dxa"/>
            <w:left w:w="108" w:type="dxa"/>
            <w:bottom w:w="0" w:type="dxa"/>
            <w:right w:w="108" w:type="dxa"/>
          </w:tblCellMar>
        </w:tblPrEx>
        <w:trPr>
          <w:trHeight w:val="300" w:hRule="atLeast"/>
        </w:trPr>
        <w:tc>
          <w:tcPr>
            <w:tcW w:w="3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经济分类科目编码</w:t>
            </w:r>
          </w:p>
        </w:tc>
        <w:tc>
          <w:tcPr>
            <w:tcW w:w="740"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503" w:type="pct"/>
            <w:gridSpan w:val="4"/>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421"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经济分类科目编码</w:t>
            </w:r>
          </w:p>
        </w:tc>
        <w:tc>
          <w:tcPr>
            <w:tcW w:w="661"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619"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58"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经济分类科目编码</w:t>
            </w:r>
          </w:p>
        </w:tc>
        <w:tc>
          <w:tcPr>
            <w:tcW w:w="912" w:type="pct"/>
            <w:gridSpan w:val="2"/>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411" w:type="pct"/>
            <w:gridSpan w:val="2"/>
            <w:vMerge w:val="restart"/>
            <w:tcBorders>
              <w:top w:val="single" w:color="000000" w:sz="4" w:space="0"/>
              <w:left w:val="nil"/>
              <w:bottom w:val="single" w:color="000000" w:sz="4" w:space="0"/>
              <w:right w:val="single" w:color="000000" w:sz="12"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r>
      <w:tr>
        <w:tblPrEx>
          <w:tblCellMar>
            <w:top w:w="0" w:type="dxa"/>
            <w:left w:w="108" w:type="dxa"/>
            <w:bottom w:w="0" w:type="dxa"/>
            <w:right w:w="108" w:type="dxa"/>
          </w:tblCellMar>
        </w:tblPrEx>
        <w:trPr>
          <w:trHeight w:val="600" w:hRule="atLeast"/>
        </w:trPr>
        <w:tc>
          <w:tcPr>
            <w:tcW w:w="3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740"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503" w:type="pct"/>
            <w:gridSpan w:val="4"/>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2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61"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619"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58"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912" w:type="pct"/>
            <w:gridSpan w:val="2"/>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11" w:type="pct"/>
            <w:gridSpan w:val="2"/>
            <w:vMerge w:val="continue"/>
            <w:tcBorders>
              <w:top w:val="single" w:color="000000" w:sz="4" w:space="0"/>
              <w:left w:val="nil"/>
              <w:bottom w:val="single" w:color="000000" w:sz="4" w:space="0"/>
              <w:right w:val="single" w:color="000000" w:sz="12"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30301</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93.55</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30302</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408.18</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0.33</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3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23.83</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30304</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28.47</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30305</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187.16</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30306</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90.84</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42.17</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对企业补助</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0.76</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31201</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资本金注入</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公务用车运行维护费</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31203</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政府投资基金股权投资</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154.82</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31204</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费用补贴</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30399</w:t>
            </w:r>
          </w:p>
        </w:tc>
        <w:tc>
          <w:tcPr>
            <w:tcW w:w="74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503" w:type="pct"/>
            <w:gridSpan w:val="4"/>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6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31205</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利息补贴</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740"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661"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其他商品和服务支出</w:t>
            </w:r>
          </w:p>
        </w:tc>
        <w:tc>
          <w:tcPr>
            <w:tcW w:w="61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1,968.05</w:t>
            </w: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31299</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其他对企业补助</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740"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1" w:type="pct"/>
            <w:gridSpan w:val="2"/>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1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740"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1" w:type="pct"/>
            <w:gridSpan w:val="2"/>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1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39906</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赠与</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740"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1" w:type="pct"/>
            <w:gridSpan w:val="2"/>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1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740"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1" w:type="pct"/>
            <w:gridSpan w:val="2"/>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1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对民间非营利组织和群众性自治组织补贴</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2" w:type="pct"/>
            <w:tcBorders>
              <w:top w:val="nil"/>
              <w:left w:val="single" w:color="000000" w:sz="12"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740"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503" w:type="pct"/>
            <w:gridSpan w:val="4"/>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1"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61" w:type="pct"/>
            <w:gridSpan w:val="2"/>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61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358"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912" w:type="pct"/>
            <w:gridSpan w:val="2"/>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411" w:type="pct"/>
            <w:gridSpan w:val="2"/>
            <w:tcBorders>
              <w:top w:val="nil"/>
              <w:left w:val="nil"/>
              <w:bottom w:val="single" w:color="000000" w:sz="4" w:space="0"/>
              <w:right w:val="single" w:color="000000" w:sz="12"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112" w:type="pct"/>
            <w:gridSpan w:val="2"/>
            <w:tcBorders>
              <w:top w:val="nil"/>
              <w:left w:val="single" w:color="000000" w:sz="12" w:space="0"/>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人员经费合计</w:t>
            </w:r>
          </w:p>
        </w:tc>
        <w:tc>
          <w:tcPr>
            <w:tcW w:w="503" w:type="pct"/>
            <w:gridSpan w:val="4"/>
            <w:tcBorders>
              <w:top w:val="nil"/>
              <w:left w:val="nil"/>
              <w:bottom w:val="single" w:color="000000" w:sz="12"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4,825.61</w:t>
            </w:r>
          </w:p>
        </w:tc>
        <w:tc>
          <w:tcPr>
            <w:tcW w:w="2972" w:type="pct"/>
            <w:gridSpan w:val="8"/>
            <w:tcBorders>
              <w:top w:val="nil"/>
              <w:left w:val="nil"/>
              <w:bottom w:val="single" w:color="000000" w:sz="12"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公用经费合计</w:t>
            </w:r>
          </w:p>
        </w:tc>
        <w:tc>
          <w:tcPr>
            <w:tcW w:w="411" w:type="pct"/>
            <w:gridSpan w:val="2"/>
            <w:tcBorders>
              <w:top w:val="nil"/>
              <w:left w:val="nil"/>
              <w:bottom w:val="single" w:color="000000" w:sz="12" w:space="0"/>
              <w:right w:val="single" w:color="000000" w:sz="12"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2,655.96</w:t>
            </w:r>
          </w:p>
        </w:tc>
      </w:tr>
      <w:tr>
        <w:tblPrEx>
          <w:tblCellMar>
            <w:top w:w="0" w:type="dxa"/>
            <w:left w:w="108" w:type="dxa"/>
            <w:bottom w:w="0" w:type="dxa"/>
            <w:right w:w="108" w:type="dxa"/>
          </w:tblCellMar>
        </w:tblPrEx>
        <w:trPr>
          <w:trHeight w:val="360" w:hRule="atLeast"/>
        </w:trPr>
        <w:tc>
          <w:tcPr>
            <w:tcW w:w="5000" w:type="pct"/>
            <w:gridSpan w:val="16"/>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注：本表反映部门本年度一般公共预算财政拨款基本支出明细情况。</w:t>
            </w:r>
          </w:p>
        </w:tc>
      </w:tr>
    </w:tbl>
    <w:p>
      <w:pPr>
        <w:rPr>
          <w:rFonts w:hint="eastAsia" w:ascii="黑体" w:eastAsia="黑体"/>
          <w:b/>
          <w:sz w:val="48"/>
          <w:szCs w:val="48"/>
          <w:lang w:val="en-US" w:eastAsia="zh-CN"/>
        </w:rPr>
      </w:pPr>
    </w:p>
    <w:p>
      <w:pPr>
        <w:rPr>
          <w:rFonts w:hint="eastAsia" w:ascii="黑体" w:eastAsia="黑体"/>
          <w:b/>
          <w:sz w:val="48"/>
          <w:szCs w:val="48"/>
          <w:lang w:val="en-US" w:eastAsia="zh-CN"/>
        </w:rPr>
      </w:pPr>
    </w:p>
    <w:tbl>
      <w:tblPr>
        <w:tblStyle w:val="3"/>
        <w:tblW w:w="5000" w:type="pct"/>
        <w:tblInd w:w="0" w:type="dxa"/>
        <w:shd w:val="clear" w:color="auto" w:fill="auto"/>
        <w:tblLayout w:type="fixed"/>
        <w:tblCellMar>
          <w:top w:w="0" w:type="dxa"/>
          <w:left w:w="108" w:type="dxa"/>
          <w:bottom w:w="0" w:type="dxa"/>
          <w:right w:w="108" w:type="dxa"/>
        </w:tblCellMar>
      </w:tblPr>
      <w:tblGrid>
        <w:gridCol w:w="1096"/>
        <w:gridCol w:w="1395"/>
        <w:gridCol w:w="945"/>
        <w:gridCol w:w="1125"/>
        <w:gridCol w:w="1349"/>
        <w:gridCol w:w="1515"/>
        <w:gridCol w:w="1244"/>
        <w:gridCol w:w="1754"/>
        <w:gridCol w:w="945"/>
        <w:gridCol w:w="1155"/>
        <w:gridCol w:w="1260"/>
        <w:gridCol w:w="1110"/>
      </w:tblGrid>
      <w:tr>
        <w:tblPrEx>
          <w:shd w:val="clear" w:color="auto" w:fill="auto"/>
          <w:tblCellMar>
            <w:top w:w="0" w:type="dxa"/>
            <w:left w:w="108" w:type="dxa"/>
            <w:bottom w:w="0" w:type="dxa"/>
            <w:right w:w="108" w:type="dxa"/>
          </w:tblCellMar>
        </w:tblPrEx>
        <w:trPr>
          <w:trHeight w:val="555" w:hRule="atLeast"/>
        </w:trPr>
        <w:tc>
          <w:tcPr>
            <w:tcW w:w="5000" w:type="pct"/>
            <w:gridSpan w:val="12"/>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一般公共预算财政拨款“三公”经费支出决算表</w:t>
            </w:r>
          </w:p>
        </w:tc>
      </w:tr>
      <w:tr>
        <w:tblPrEx>
          <w:tblCellMar>
            <w:top w:w="0" w:type="dxa"/>
            <w:left w:w="108" w:type="dxa"/>
            <w:bottom w:w="0" w:type="dxa"/>
            <w:right w:w="108" w:type="dxa"/>
          </w:tblCellMar>
        </w:tblPrEx>
        <w:trPr>
          <w:trHeight w:val="300" w:hRule="atLeast"/>
        </w:trPr>
        <w:tc>
          <w:tcPr>
            <w:tcW w:w="1153"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预算代码：125004</w:t>
            </w:r>
          </w:p>
        </w:tc>
        <w:tc>
          <w:tcPr>
            <w:tcW w:w="3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5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0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1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1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8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95"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公开07表</w:t>
            </w:r>
          </w:p>
        </w:tc>
      </w:tr>
      <w:tr>
        <w:tblPrEx>
          <w:tblCellMar>
            <w:top w:w="0" w:type="dxa"/>
            <w:left w:w="108" w:type="dxa"/>
            <w:bottom w:w="0" w:type="dxa"/>
            <w:right w:w="108" w:type="dxa"/>
          </w:tblCellMar>
        </w:tblPrEx>
        <w:trPr>
          <w:trHeight w:val="300" w:hRule="atLeast"/>
        </w:trPr>
        <w:tc>
          <w:tcPr>
            <w:tcW w:w="1153" w:type="pct"/>
            <w:gridSpan w:val="3"/>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3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5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26"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制表日期：</w:t>
            </w:r>
            <w:r>
              <w:rPr>
                <w:rFonts w:hint="eastAsia" w:ascii="宋体" w:hAnsi="宋体" w:cs="宋体"/>
                <w:i w:val="0"/>
                <w:iCs w:val="0"/>
                <w:color w:val="000000"/>
                <w:kern w:val="0"/>
                <w:sz w:val="22"/>
                <w:szCs w:val="22"/>
                <w:u w:val="none"/>
                <w:lang w:val="en-US" w:eastAsia="zh-CN" w:bidi="ar"/>
              </w:rPr>
              <w:t>2020年</w:t>
            </w:r>
          </w:p>
        </w:tc>
        <w:tc>
          <w:tcPr>
            <w:tcW w:w="5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1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8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95"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trHeight w:val="300" w:hRule="atLeast"/>
        </w:trPr>
        <w:tc>
          <w:tcPr>
            <w:tcW w:w="2492" w:type="pct"/>
            <w:gridSpan w:val="6"/>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2507" w:type="pct"/>
            <w:gridSpan w:val="6"/>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tblPrEx>
          <w:tblCellMar>
            <w:top w:w="0" w:type="dxa"/>
            <w:left w:w="108" w:type="dxa"/>
            <w:bottom w:w="0" w:type="dxa"/>
            <w:right w:w="108" w:type="dxa"/>
          </w:tblCellMar>
        </w:tblPrEx>
        <w:trPr>
          <w:trHeight w:val="300" w:hRule="atLeast"/>
        </w:trPr>
        <w:tc>
          <w:tcPr>
            <w:tcW w:w="367"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6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因公出国（境）费</w:t>
            </w:r>
          </w:p>
        </w:tc>
        <w:tc>
          <w:tcPr>
            <w:tcW w:w="1148"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公务用车购置及运行费</w:t>
            </w:r>
          </w:p>
        </w:tc>
        <w:tc>
          <w:tcPr>
            <w:tcW w:w="50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公务接待费</w:t>
            </w:r>
          </w:p>
        </w:tc>
        <w:tc>
          <w:tcPr>
            <w:tcW w:w="41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5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因公出国（境）费</w:t>
            </w:r>
          </w:p>
        </w:tc>
        <w:tc>
          <w:tcPr>
            <w:tcW w:w="1127"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公务用车购置及运行费</w:t>
            </w:r>
          </w:p>
        </w:tc>
        <w:tc>
          <w:tcPr>
            <w:tcW w:w="37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公务接待费</w:t>
            </w:r>
          </w:p>
        </w:tc>
      </w:tr>
      <w:tr>
        <w:tblPrEx>
          <w:tblCellMar>
            <w:top w:w="0" w:type="dxa"/>
            <w:left w:w="108" w:type="dxa"/>
            <w:bottom w:w="0" w:type="dxa"/>
            <w:right w:w="108" w:type="dxa"/>
          </w:tblCellMar>
        </w:tblPrEx>
        <w:trPr>
          <w:trHeight w:val="1314" w:hRule="atLeast"/>
        </w:trPr>
        <w:tc>
          <w:tcPr>
            <w:tcW w:w="367"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6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37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公务用车购置费</w:t>
            </w:r>
          </w:p>
        </w:tc>
        <w:tc>
          <w:tcPr>
            <w:tcW w:w="45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公务用车运行维护费</w:t>
            </w:r>
          </w:p>
        </w:tc>
        <w:tc>
          <w:tcPr>
            <w:tcW w:w="50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5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38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公务用车购置费</w:t>
            </w:r>
          </w:p>
        </w:tc>
        <w:tc>
          <w:tcPr>
            <w:tcW w:w="422"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公务用车运行维护费</w:t>
            </w: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67"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6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7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5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50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58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8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22"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72"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CellMar>
            <w:top w:w="0" w:type="dxa"/>
            <w:left w:w="108" w:type="dxa"/>
            <w:bottom w:w="0" w:type="dxa"/>
            <w:right w:w="108" w:type="dxa"/>
          </w:tblCellMar>
        </w:tblPrEx>
        <w:trPr>
          <w:trHeight w:val="300" w:hRule="atLeast"/>
        </w:trPr>
        <w:tc>
          <w:tcPr>
            <w:tcW w:w="367" w:type="pct"/>
            <w:tcBorders>
              <w:top w:val="nil"/>
              <w:left w:val="single" w:color="000000" w:sz="4" w:space="0"/>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44.99</w:t>
            </w:r>
          </w:p>
        </w:tc>
        <w:tc>
          <w:tcPr>
            <w:tcW w:w="46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17" w:type="pct"/>
            <w:tcBorders>
              <w:top w:val="nil"/>
              <w:left w:val="nil"/>
              <w:bottom w:val="single" w:color="000000" w:sz="4" w:space="0"/>
              <w:right w:val="single" w:color="000000" w:sz="4" w:space="0"/>
            </w:tcBorders>
            <w:shd w:val="clear" w:color="auto" w:fill="00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41.99</w:t>
            </w:r>
          </w:p>
        </w:tc>
        <w:tc>
          <w:tcPr>
            <w:tcW w:w="3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5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41.99</w:t>
            </w:r>
          </w:p>
        </w:tc>
        <w:tc>
          <w:tcPr>
            <w:tcW w:w="5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4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7.77</w:t>
            </w:r>
          </w:p>
        </w:tc>
        <w:tc>
          <w:tcPr>
            <w:tcW w:w="5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3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2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0.33</w:t>
            </w:r>
          </w:p>
        </w:tc>
      </w:tr>
      <w:tr>
        <w:tblPrEx>
          <w:tblCellMar>
            <w:top w:w="0" w:type="dxa"/>
            <w:left w:w="108" w:type="dxa"/>
            <w:bottom w:w="0" w:type="dxa"/>
            <w:right w:w="108" w:type="dxa"/>
          </w:tblCellMar>
        </w:tblPrEx>
        <w:trPr>
          <w:trHeight w:val="600" w:hRule="atLeast"/>
        </w:trPr>
        <w:tc>
          <w:tcPr>
            <w:tcW w:w="5000" w:type="pct"/>
            <w:gridSpan w:val="12"/>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tbl>
      <w:tblPr>
        <w:tblStyle w:val="3"/>
        <w:tblW w:w="4998" w:type="pct"/>
        <w:tblInd w:w="0" w:type="dxa"/>
        <w:shd w:val="clear" w:color="auto" w:fill="auto"/>
        <w:tblLayout w:type="autofit"/>
        <w:tblCellMar>
          <w:top w:w="0" w:type="dxa"/>
          <w:left w:w="108" w:type="dxa"/>
          <w:bottom w:w="0" w:type="dxa"/>
          <w:right w:w="108" w:type="dxa"/>
        </w:tblCellMar>
      </w:tblPr>
      <w:tblGrid>
        <w:gridCol w:w="3076"/>
        <w:gridCol w:w="222"/>
        <w:gridCol w:w="222"/>
        <w:gridCol w:w="1244"/>
        <w:gridCol w:w="5616"/>
        <w:gridCol w:w="688"/>
        <w:gridCol w:w="688"/>
        <w:gridCol w:w="688"/>
        <w:gridCol w:w="688"/>
        <w:gridCol w:w="1756"/>
      </w:tblGrid>
      <w:tr>
        <w:tblPrEx>
          <w:shd w:val="clear" w:color="auto" w:fill="auto"/>
          <w:tblCellMar>
            <w:top w:w="0" w:type="dxa"/>
            <w:left w:w="108" w:type="dxa"/>
            <w:bottom w:w="0" w:type="dxa"/>
            <w:right w:w="108" w:type="dxa"/>
          </w:tblCellMar>
        </w:tblPrEx>
        <w:trPr>
          <w:trHeight w:val="375" w:hRule="atLeast"/>
        </w:trPr>
        <w:tc>
          <w:tcPr>
            <w:tcW w:w="86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0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9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300" w:hRule="atLeast"/>
        </w:trPr>
        <w:tc>
          <w:tcPr>
            <w:tcW w:w="86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0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93" w:type="pct"/>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公开08表</w:t>
            </w:r>
          </w:p>
        </w:tc>
      </w:tr>
      <w:tr>
        <w:tblPrEx>
          <w:tblCellMar>
            <w:top w:w="0" w:type="dxa"/>
            <w:left w:w="108" w:type="dxa"/>
            <w:bottom w:w="0" w:type="dxa"/>
            <w:right w:w="108" w:type="dxa"/>
          </w:tblCellMar>
        </w:tblPrEx>
        <w:trPr>
          <w:trHeight w:val="300" w:hRule="atLeast"/>
        </w:trPr>
        <w:tc>
          <w:tcPr>
            <w:tcW w:w="864" w:type="pct"/>
            <w:tcBorders>
              <w:top w:val="nil"/>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92"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92"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02"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00000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471"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93" w:type="pct"/>
            <w:tcBorders>
              <w:top w:val="nil"/>
              <w:left w:val="nil"/>
              <w:bottom w:val="single" w:color="000000" w:sz="4" w:space="0"/>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trHeight w:val="300" w:hRule="atLeast"/>
        </w:trPr>
        <w:tc>
          <w:tcPr>
            <w:tcW w:w="2151" w:type="pct"/>
            <w:gridSpan w:val="4"/>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w:t>
            </w:r>
          </w:p>
        </w:tc>
        <w:tc>
          <w:tcPr>
            <w:tcW w:w="1413"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c>
          <w:tcPr>
            <w:tcW w:w="493"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r>
      <w:tr>
        <w:tblPrEx>
          <w:tblCellMar>
            <w:top w:w="0" w:type="dxa"/>
            <w:left w:w="108" w:type="dxa"/>
            <w:bottom w:w="0" w:type="dxa"/>
            <w:right w:w="108" w:type="dxa"/>
          </w:tblCellMar>
        </w:tblPrEx>
        <w:trPr>
          <w:trHeight w:val="300" w:hRule="atLeast"/>
        </w:trPr>
        <w:tc>
          <w:tcPr>
            <w:tcW w:w="1049"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功能分类科目编码</w:t>
            </w:r>
          </w:p>
        </w:tc>
        <w:tc>
          <w:tcPr>
            <w:tcW w:w="1102" w:type="pct"/>
            <w:vMerge w:val="restar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471"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471" w:type="pct"/>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493"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049"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102" w:type="pct"/>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93"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049"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102" w:type="pct"/>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71"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493" w:type="pct"/>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2151" w:type="pct"/>
            <w:gridSpan w:val="4"/>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471"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71"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71"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71"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71"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93" w:type="pc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tblPrEx>
          <w:tblCellMar>
            <w:top w:w="0" w:type="dxa"/>
            <w:left w:w="108" w:type="dxa"/>
            <w:bottom w:w="0" w:type="dxa"/>
            <w:right w:w="108" w:type="dxa"/>
          </w:tblCellMar>
        </w:tblPrEx>
        <w:trPr>
          <w:trHeight w:val="300" w:hRule="atLeast"/>
        </w:trPr>
        <w:tc>
          <w:tcPr>
            <w:tcW w:w="21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c>
          <w:tcPr>
            <w:tcW w:w="4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1049"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1102"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4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本表反映部门本年度政府性基金预算财政拨款收入、支出及结转和结余情况。</w:t>
      </w:r>
    </w:p>
    <w:p>
      <w:pPr>
        <w:keepNext w:val="0"/>
        <w:keepLines w:val="0"/>
        <w:widowControl/>
        <w:suppressLineNumbers w:val="0"/>
        <w:ind w:firstLine="440" w:firstLineChars="200"/>
        <w:jc w:val="left"/>
        <w:textAlignment w:val="center"/>
        <w:rPr>
          <w:rFonts w:hint="eastAsia" w:ascii="宋体" w:hAnsi="宋体" w:eastAsia="仿宋_GB2312"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本单位没有政府性基金收入，也没有使用政府性基金安排的支出，故本表无数据。</w:t>
      </w: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tbl>
      <w:tblPr>
        <w:tblStyle w:val="3"/>
        <w:tblW w:w="14637" w:type="dxa"/>
        <w:tblInd w:w="93" w:type="dxa"/>
        <w:shd w:val="clear" w:color="auto" w:fill="auto"/>
        <w:tblLayout w:type="autofit"/>
        <w:tblCellMar>
          <w:top w:w="0" w:type="dxa"/>
          <w:left w:w="108" w:type="dxa"/>
          <w:bottom w:w="0" w:type="dxa"/>
          <w:right w:w="108" w:type="dxa"/>
        </w:tblCellMar>
      </w:tblPr>
      <w:tblGrid>
        <w:gridCol w:w="4333"/>
        <w:gridCol w:w="313"/>
        <w:gridCol w:w="313"/>
        <w:gridCol w:w="1621"/>
        <w:gridCol w:w="1475"/>
        <w:gridCol w:w="1475"/>
        <w:gridCol w:w="5107"/>
      </w:tblGrid>
      <w:tr>
        <w:tblPrEx>
          <w:shd w:val="clear" w:color="auto" w:fill="auto"/>
          <w:tblCellMar>
            <w:top w:w="0" w:type="dxa"/>
            <w:left w:w="108" w:type="dxa"/>
            <w:bottom w:w="0" w:type="dxa"/>
            <w:right w:w="108" w:type="dxa"/>
          </w:tblCellMar>
        </w:tblPrEx>
        <w:trPr>
          <w:trHeight w:val="375" w:hRule="atLeast"/>
        </w:trPr>
        <w:tc>
          <w:tcPr>
            <w:tcW w:w="14637" w:type="dxa"/>
            <w:gridSpan w:val="7"/>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27"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27"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27"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tblPrEx>
          <w:tblCellMar>
            <w:top w:w="0" w:type="dxa"/>
            <w:left w:w="108" w:type="dxa"/>
            <w:bottom w:w="0" w:type="dxa"/>
            <w:right w:w="108" w:type="dxa"/>
          </w:tblCellMar>
        </w:tblPrEx>
        <w:trPr>
          <w:trHeight w:val="300" w:hRule="atLeast"/>
        </w:trPr>
        <w:tc>
          <w:tcPr>
            <w:tcW w:w="0" w:type="auto"/>
            <w:tcBorders>
              <w:top w:val="nil"/>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部门：青岛市强制隔离戒毒所</w:t>
            </w:r>
          </w:p>
        </w:tc>
        <w:tc>
          <w:tcPr>
            <w:tcW w:w="0" w:type="auto"/>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c>
          <w:tcPr>
            <w:tcW w:w="0" w:type="auto"/>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27" w:type="dxa"/>
            <w:tcBorders>
              <w:top w:val="nil"/>
              <w:left w:val="nil"/>
              <w:bottom w:val="single" w:color="000000" w:sz="4" w:space="0"/>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6981"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r>
      <w:tr>
        <w:tblPrEx>
          <w:tblCellMar>
            <w:top w:w="0" w:type="dxa"/>
            <w:left w:w="108" w:type="dxa"/>
            <w:bottom w:w="0" w:type="dxa"/>
            <w:right w:w="108" w:type="dxa"/>
          </w:tblCellMar>
        </w:tblPrEx>
        <w:trPr>
          <w:trHeight w:val="300" w:hRule="atLeast"/>
        </w:trPr>
        <w:tc>
          <w:tcPr>
            <w:tcW w:w="3734"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功能分类科目编码</w:t>
            </w:r>
          </w:p>
        </w:tc>
        <w:tc>
          <w:tcPr>
            <w:tcW w:w="0" w:type="auto"/>
            <w:vMerge w:val="restart"/>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677" w:type="dxa"/>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677" w:type="dxa"/>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3627" w:type="dxa"/>
            <w:vMerge w:val="restart"/>
            <w:tcBorders>
              <w:top w:val="single" w:color="000000" w:sz="4" w:space="0"/>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r>
      <w:tr>
        <w:tblPrEx>
          <w:tblCellMar>
            <w:top w:w="0" w:type="dxa"/>
            <w:left w:w="108" w:type="dxa"/>
            <w:bottom w:w="0" w:type="dxa"/>
            <w:right w:w="108" w:type="dxa"/>
          </w:tblCellMar>
        </w:tblPrEx>
        <w:trPr>
          <w:trHeight w:val="300" w:hRule="atLeast"/>
        </w:trPr>
        <w:tc>
          <w:tcPr>
            <w:tcW w:w="3734"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1677" w:type="dxa"/>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677" w:type="dxa"/>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627" w:type="dxa"/>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3734"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0"/>
                <w:szCs w:val="20"/>
                <w:u w:val="none"/>
              </w:rPr>
            </w:pPr>
          </w:p>
        </w:tc>
        <w:tc>
          <w:tcPr>
            <w:tcW w:w="1677" w:type="dxa"/>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1677" w:type="dxa"/>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c>
          <w:tcPr>
            <w:tcW w:w="3627" w:type="dxa"/>
            <w:vMerge w:val="continue"/>
            <w:tcBorders>
              <w:top w:val="single" w:color="000000" w:sz="4" w:space="0"/>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0" w:type="auto"/>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27" w:type="dxa"/>
            <w:tcBorders>
              <w:top w:val="single" w:color="000000" w:sz="4" w:space="0"/>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b/>
                <w:bCs/>
                <w:i w:val="0"/>
                <w:iCs w:val="0"/>
                <w:color w:val="000000"/>
                <w:sz w:val="20"/>
                <w:szCs w:val="20"/>
                <w:u w:val="none"/>
              </w:rPr>
            </w:pPr>
          </w:p>
        </w:tc>
        <w:tc>
          <w:tcPr>
            <w:tcW w:w="3627" w:type="dxa"/>
            <w:tcBorders>
              <w:top w:val="nil"/>
              <w:left w:val="nil"/>
              <w:bottom w:val="single" w:color="000000" w:sz="4" w:space="0"/>
              <w:right w:val="single" w:color="000000" w:sz="4" w:space="0"/>
            </w:tcBorders>
            <w:shd w:val="clear" w:color="auto" w:fill="00FF00"/>
            <w:noWrap/>
            <w:vAlign w:val="center"/>
          </w:tcPr>
          <w:p>
            <w:pPr>
              <w:jc w:val="right"/>
              <w:rPr>
                <w:rFonts w:hint="eastAsia" w:ascii="宋体" w:hAnsi="宋体" w:eastAsia="宋体" w:cs="宋体"/>
                <w:b/>
                <w:bCs/>
                <w:i w:val="0"/>
                <w:iCs w:val="0"/>
                <w:color w:val="000000"/>
                <w:sz w:val="20"/>
                <w:szCs w:val="20"/>
                <w:u w:val="none"/>
              </w:rPr>
            </w:pP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3627"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r>
    </w:tbl>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注：1、本表反映部门本年度国有资本经营预算财政拨款支出情况。</w:t>
      </w:r>
    </w:p>
    <w:p>
      <w:pPr>
        <w:keepNext w:val="0"/>
        <w:keepLines w:val="0"/>
        <w:widowControl/>
        <w:suppressLineNumbers w:val="0"/>
        <w:ind w:firstLine="440" w:firstLineChars="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2、本单位没有使用国有资本经营预算安排的支出，故本表无数据。</w:t>
      </w:r>
    </w:p>
    <w:p>
      <w:pPr>
        <w:rPr>
          <w:rFonts w:hint="eastAsia" w:ascii="黑体" w:eastAsia="黑体"/>
          <w:b/>
          <w:sz w:val="48"/>
          <w:szCs w:val="48"/>
          <w:lang w:val="en-US" w:eastAsia="zh-CN"/>
        </w:rPr>
        <w:sectPr>
          <w:pgSz w:w="16838" w:h="11906" w:orient="landscape"/>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hint="eastAsia" w:ascii="黑体" w:eastAsia="黑体"/>
          <w:b/>
          <w:sz w:val="48"/>
          <w:szCs w:val="48"/>
          <w:lang w:val="en-US" w:eastAsia="zh-CN"/>
        </w:rPr>
      </w:pPr>
    </w:p>
    <w:p>
      <w:pPr>
        <w:rPr>
          <w:rFonts w:ascii="黑体" w:eastAsia="黑体"/>
          <w:b/>
          <w:sz w:val="48"/>
          <w:szCs w:val="48"/>
        </w:rPr>
      </w:pPr>
    </w:p>
    <w:p>
      <w:pPr>
        <w:rPr>
          <w:rFonts w:ascii="黑体" w:eastAsia="黑体"/>
          <w:sz w:val="52"/>
          <w:szCs w:val="52"/>
        </w:rPr>
      </w:pPr>
    </w:p>
    <w:p>
      <w:pPr>
        <w:rPr>
          <w:rFonts w:ascii="黑体" w:eastAsia="黑体"/>
          <w:sz w:val="52"/>
          <w:szCs w:val="52"/>
        </w:rPr>
      </w:pPr>
    </w:p>
    <w:p>
      <w:pPr>
        <w:rPr>
          <w:rFonts w:ascii="黑体" w:eastAsia="黑体"/>
          <w:sz w:val="52"/>
          <w:szCs w:val="52"/>
        </w:rPr>
      </w:pPr>
      <w:r>
        <w:rPr>
          <w:rFonts w:hint="eastAsia" w:ascii="黑体" w:eastAsia="黑体"/>
          <w:sz w:val="52"/>
          <w:szCs w:val="52"/>
        </w:rPr>
        <w:t>第三部分</w:t>
      </w:r>
    </w:p>
    <w:p>
      <w:pPr>
        <w:rPr>
          <w:rFonts w:ascii="黑体" w:eastAsia="黑体"/>
          <w:sz w:val="52"/>
          <w:szCs w:val="52"/>
        </w:rPr>
      </w:pPr>
    </w:p>
    <w:p>
      <w:pPr>
        <w:rPr>
          <w:rFonts w:ascii="黑体" w:eastAsia="黑体"/>
          <w:sz w:val="52"/>
          <w:szCs w:val="52"/>
        </w:rPr>
      </w:pPr>
    </w:p>
    <w:p>
      <w:pPr>
        <w:jc w:val="center"/>
        <w:rPr>
          <w:rFonts w:ascii="黑体" w:eastAsia="黑体"/>
          <w:b/>
          <w:sz w:val="30"/>
          <w:szCs w:val="30"/>
        </w:rPr>
      </w:pPr>
      <w:r>
        <w:rPr>
          <w:rFonts w:hint="eastAsia" w:ascii="黑体" w:eastAsia="黑体"/>
          <w:sz w:val="52"/>
          <w:szCs w:val="52"/>
        </w:rPr>
        <w:t>2020度单位决算情况说明</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一、2020年度收入支出决算情况说明</w:t>
      </w:r>
    </w:p>
    <w:p>
      <w:pPr>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（一）收入支出决算总体情况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2020年度收</w:t>
      </w:r>
      <w:r>
        <w:rPr>
          <w:rFonts w:hint="eastAsia" w:ascii="仿宋_GB2312" w:eastAsia="仿宋_GB2312"/>
          <w:sz w:val="32"/>
          <w:szCs w:val="32"/>
          <w:lang w:eastAsia="zh-CN"/>
        </w:rPr>
        <w:t>入总计</w:t>
      </w:r>
      <w:r>
        <w:rPr>
          <w:rFonts w:hint="eastAsia" w:ascii="仿宋_GB2312" w:eastAsia="仿宋_GB2312"/>
          <w:sz w:val="32"/>
          <w:szCs w:val="32"/>
          <w:lang w:val="en-US" w:eastAsia="zh-CN"/>
        </w:rPr>
        <w:t>8129.91万元</w:t>
      </w:r>
      <w:r>
        <w:rPr>
          <w:rFonts w:hint="eastAsia" w:ascii="仿宋_GB2312" w:eastAsia="仿宋_GB2312"/>
          <w:sz w:val="32"/>
          <w:szCs w:val="32"/>
        </w:rPr>
        <w:t>、支</w:t>
      </w:r>
      <w:r>
        <w:rPr>
          <w:rFonts w:hint="eastAsia" w:ascii="仿宋_GB2312" w:eastAsia="仿宋_GB2312"/>
          <w:sz w:val="32"/>
          <w:szCs w:val="32"/>
          <w:lang w:eastAsia="zh-CN"/>
        </w:rPr>
        <w:t>出</w:t>
      </w:r>
      <w:r>
        <w:rPr>
          <w:rFonts w:hint="eastAsia" w:ascii="仿宋_GB2312" w:eastAsia="仿宋_GB2312"/>
          <w:sz w:val="32"/>
          <w:szCs w:val="32"/>
        </w:rPr>
        <w:t>总计</w:t>
      </w:r>
      <w:r>
        <w:rPr>
          <w:rFonts w:hint="eastAsia" w:ascii="仿宋_GB2312" w:eastAsia="仿宋_GB2312"/>
          <w:sz w:val="32"/>
          <w:szCs w:val="32"/>
          <w:lang w:val="en-US" w:eastAsia="zh-CN"/>
        </w:rPr>
        <w:t>8129.64</w:t>
      </w:r>
      <w:r>
        <w:rPr>
          <w:rFonts w:hint="eastAsia" w:ascii="仿宋_GB2312" w:eastAsia="仿宋_GB2312"/>
          <w:sz w:val="32"/>
          <w:szCs w:val="32"/>
        </w:rPr>
        <w:t>万元。与2019年度相比，收</w:t>
      </w:r>
      <w:r>
        <w:rPr>
          <w:rFonts w:hint="eastAsia" w:ascii="仿宋_GB2312" w:eastAsia="仿宋_GB2312"/>
          <w:sz w:val="32"/>
          <w:szCs w:val="32"/>
          <w:lang w:eastAsia="zh-CN"/>
        </w:rPr>
        <w:t>入减少</w:t>
      </w:r>
      <w:r>
        <w:rPr>
          <w:rFonts w:hint="eastAsia" w:ascii="仿宋_GB2312" w:eastAsia="仿宋_GB2312"/>
          <w:sz w:val="32"/>
          <w:szCs w:val="32"/>
          <w:lang w:val="en-US" w:eastAsia="zh-CN"/>
        </w:rPr>
        <w:t>96.7</w:t>
      </w:r>
      <w:r>
        <w:rPr>
          <w:rFonts w:hint="eastAsia" w:ascii="仿宋_GB2312" w:eastAsia="仿宋_GB2312"/>
          <w:sz w:val="32"/>
          <w:szCs w:val="32"/>
        </w:rPr>
        <w:t>万元、下降</w:t>
      </w:r>
      <w:r>
        <w:rPr>
          <w:rFonts w:hint="eastAsia" w:ascii="仿宋_GB2312" w:eastAsia="仿宋_GB2312"/>
          <w:sz w:val="32"/>
          <w:szCs w:val="32"/>
          <w:lang w:val="en-US" w:eastAsia="zh-CN"/>
        </w:rPr>
        <w:t>1.18</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支</w:t>
      </w:r>
      <w:r>
        <w:rPr>
          <w:rFonts w:hint="eastAsia" w:ascii="仿宋_GB2312" w:eastAsia="仿宋_GB2312"/>
          <w:sz w:val="32"/>
          <w:szCs w:val="32"/>
          <w:lang w:eastAsia="zh-CN"/>
        </w:rPr>
        <w:t>出</w:t>
      </w:r>
      <w:r>
        <w:rPr>
          <w:rFonts w:hint="eastAsia" w:ascii="仿宋_GB2312" w:eastAsia="仿宋_GB2312"/>
          <w:sz w:val="32"/>
          <w:szCs w:val="32"/>
        </w:rPr>
        <w:t>减少</w:t>
      </w:r>
      <w:r>
        <w:rPr>
          <w:rFonts w:hint="eastAsia" w:ascii="仿宋_GB2312" w:eastAsia="仿宋_GB2312"/>
          <w:sz w:val="32"/>
          <w:szCs w:val="32"/>
          <w:lang w:val="en-US" w:eastAsia="zh-CN"/>
        </w:rPr>
        <w:t>84.15</w:t>
      </w:r>
      <w:r>
        <w:rPr>
          <w:rFonts w:hint="eastAsia" w:ascii="仿宋_GB2312" w:eastAsia="仿宋_GB2312"/>
          <w:sz w:val="32"/>
          <w:szCs w:val="32"/>
        </w:rPr>
        <w:t>万元，下降</w:t>
      </w:r>
      <w:r>
        <w:rPr>
          <w:rFonts w:hint="eastAsia" w:ascii="仿宋_GB2312" w:eastAsia="仿宋_GB2312"/>
          <w:sz w:val="32"/>
          <w:szCs w:val="32"/>
          <w:lang w:val="en-US" w:eastAsia="zh-CN"/>
        </w:rPr>
        <w:t>1.04</w:t>
      </w:r>
      <w:r>
        <w:rPr>
          <w:rFonts w:hint="eastAsia" w:ascii="仿宋_GB2312" w:eastAsia="仿宋_GB2312"/>
          <w:sz w:val="32"/>
          <w:szCs w:val="32"/>
        </w:rPr>
        <w:t>%。主要</w:t>
      </w:r>
      <w:r>
        <w:rPr>
          <w:rFonts w:hint="eastAsia" w:ascii="仿宋_GB2312" w:eastAsia="仿宋_GB2312"/>
          <w:sz w:val="32"/>
          <w:szCs w:val="32"/>
          <w:lang w:eastAsia="zh-CN"/>
        </w:rPr>
        <w:t>原因</w:t>
      </w:r>
      <w:r>
        <w:rPr>
          <w:rFonts w:hint="eastAsia" w:ascii="仿宋_GB2312" w:eastAsia="仿宋_GB2312"/>
          <w:sz w:val="32"/>
          <w:szCs w:val="32"/>
        </w:rPr>
        <w:t>是</w:t>
      </w:r>
      <w:r>
        <w:rPr>
          <w:rFonts w:hint="eastAsia" w:ascii="仿宋_GB2312" w:eastAsia="仿宋_GB2312"/>
          <w:sz w:val="32"/>
          <w:szCs w:val="32"/>
          <w:lang w:eastAsia="zh-CN"/>
        </w:rPr>
        <w:t>专项资金经费</w:t>
      </w:r>
      <w:r>
        <w:rPr>
          <w:rFonts w:hint="eastAsia" w:ascii="仿宋_GB2312" w:eastAsia="仿宋_GB2312"/>
          <w:sz w:val="32"/>
          <w:szCs w:val="32"/>
        </w:rPr>
        <w:t>减少。</w:t>
      </w:r>
    </w:p>
    <w:p>
      <w:pPr>
        <w:spacing w:line="240" w:lineRule="auto"/>
        <w:ind w:firstLine="643" w:firstLineChars="200"/>
        <w:rPr>
          <w:rFonts w:hint="eastAsia" w:ascii="仿宋_GB2312" w:eastAsia="仿宋_GB2312"/>
          <w:b/>
          <w:sz w:val="32"/>
          <w:szCs w:val="32"/>
        </w:rPr>
      </w:pPr>
      <w:r>
        <w:rPr>
          <w:rFonts w:hint="eastAsia" w:ascii="仿宋_GB2312" w:eastAsia="仿宋_GB2312"/>
          <w:b/>
          <w:sz w:val="32"/>
          <w:szCs w:val="32"/>
          <w:lang w:eastAsia="zh-CN"/>
        </w:rPr>
        <w:drawing>
          <wp:inline distT="0" distB="0" distL="114300" distR="114300">
            <wp:extent cx="3868420" cy="2590165"/>
            <wp:effectExtent l="0" t="0" r="17780" b="63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5"/>
                    <a:stretch>
                      <a:fillRect/>
                    </a:stretch>
                  </pic:blipFill>
                  <pic:spPr>
                    <a:xfrm>
                      <a:off x="0" y="0"/>
                      <a:ext cx="3868420" cy="2590165"/>
                    </a:xfrm>
                    <a:prstGeom prst="rect">
                      <a:avLst/>
                    </a:prstGeom>
                  </pic:spPr>
                </pic:pic>
              </a:graphicData>
            </a:graphic>
          </wp:inline>
        </w:drawing>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（二）收入决算情况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本年收入合计</w:t>
      </w:r>
      <w:r>
        <w:rPr>
          <w:rFonts w:hint="eastAsia" w:ascii="仿宋_GB2312" w:eastAsia="仿宋_GB2312"/>
          <w:sz w:val="32"/>
          <w:szCs w:val="32"/>
          <w:lang w:val="en-US" w:eastAsia="zh-CN"/>
        </w:rPr>
        <w:t>8129.91</w:t>
      </w:r>
      <w:r>
        <w:rPr>
          <w:rFonts w:hint="eastAsia" w:ascii="仿宋_GB2312" w:eastAsia="仿宋_GB2312"/>
          <w:sz w:val="32"/>
          <w:szCs w:val="32"/>
        </w:rPr>
        <w:t>万元，其中：财政拨款收入</w:t>
      </w:r>
      <w:r>
        <w:rPr>
          <w:rFonts w:hint="eastAsia" w:ascii="仿宋_GB2312" w:eastAsia="仿宋_GB2312"/>
          <w:sz w:val="32"/>
          <w:szCs w:val="32"/>
          <w:lang w:val="en-US" w:eastAsia="zh-CN"/>
        </w:rPr>
        <w:t>8129.57</w:t>
      </w:r>
      <w:r>
        <w:rPr>
          <w:rFonts w:hint="eastAsia" w:ascii="仿宋_GB2312" w:eastAsia="仿宋_GB2312"/>
          <w:sz w:val="32"/>
          <w:szCs w:val="32"/>
        </w:rPr>
        <w:t>万元，占</w:t>
      </w:r>
      <w:r>
        <w:rPr>
          <w:rFonts w:hint="eastAsia" w:ascii="仿宋_GB2312" w:eastAsia="仿宋_GB2312"/>
          <w:sz w:val="32"/>
          <w:szCs w:val="32"/>
          <w:lang w:val="en-US" w:eastAsia="zh-CN"/>
        </w:rPr>
        <w:t>99.99</w:t>
      </w:r>
      <w:r>
        <w:rPr>
          <w:rFonts w:hint="eastAsia" w:ascii="仿宋_GB2312" w:eastAsia="仿宋_GB2312"/>
          <w:sz w:val="32"/>
          <w:szCs w:val="32"/>
        </w:rPr>
        <w:t>%；其他收入</w:t>
      </w:r>
      <w:r>
        <w:rPr>
          <w:rFonts w:hint="eastAsia" w:ascii="仿宋_GB2312" w:eastAsia="仿宋_GB2312"/>
          <w:sz w:val="32"/>
          <w:szCs w:val="32"/>
          <w:lang w:val="en-US" w:eastAsia="zh-CN"/>
        </w:rPr>
        <w:t>0.34</w:t>
      </w:r>
      <w:r>
        <w:rPr>
          <w:rFonts w:hint="eastAsia" w:ascii="仿宋_GB2312" w:eastAsia="仿宋_GB2312"/>
          <w:sz w:val="32"/>
          <w:szCs w:val="32"/>
        </w:rPr>
        <w:t>万元，占</w:t>
      </w:r>
      <w:r>
        <w:rPr>
          <w:rFonts w:hint="eastAsia" w:ascii="仿宋_GB2312" w:eastAsia="仿宋_GB2312"/>
          <w:sz w:val="32"/>
          <w:szCs w:val="32"/>
          <w:lang w:val="en-US" w:eastAsia="zh-CN"/>
        </w:rPr>
        <w:t>0.01</w:t>
      </w:r>
      <w:r>
        <w:rPr>
          <w:rFonts w:hint="eastAsia" w:ascii="仿宋_GB2312" w:eastAsia="仿宋_GB2312"/>
          <w:sz w:val="32"/>
          <w:szCs w:val="32"/>
        </w:rPr>
        <w:t>%。</w:t>
      </w:r>
    </w:p>
    <w:p>
      <w:pPr>
        <w:spacing w:line="240" w:lineRule="auto"/>
        <w:ind w:firstLine="643" w:firstLineChars="200"/>
        <w:rPr>
          <w:rFonts w:hint="eastAsia" w:ascii="仿宋_GB2312" w:eastAsia="仿宋_GB2312"/>
          <w:b/>
          <w:sz w:val="32"/>
          <w:szCs w:val="32"/>
          <w:lang w:eastAsia="zh-CN"/>
        </w:rPr>
      </w:pPr>
      <w:r>
        <w:rPr>
          <w:rFonts w:hint="eastAsia" w:ascii="仿宋_GB2312" w:eastAsia="仿宋_GB2312"/>
          <w:b/>
          <w:sz w:val="32"/>
          <w:szCs w:val="32"/>
          <w:lang w:eastAsia="zh-CN"/>
        </w:rPr>
        <w:drawing>
          <wp:inline distT="0" distB="0" distL="114300" distR="114300">
            <wp:extent cx="3905250" cy="2359025"/>
            <wp:effectExtent l="0" t="0" r="0" b="3175"/>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6"/>
                    <a:stretch>
                      <a:fillRect/>
                    </a:stretch>
                  </pic:blipFill>
                  <pic:spPr>
                    <a:xfrm>
                      <a:off x="0" y="0"/>
                      <a:ext cx="3905250" cy="2359025"/>
                    </a:xfrm>
                    <a:prstGeom prst="rect">
                      <a:avLst/>
                    </a:prstGeom>
                  </pic:spPr>
                </pic:pic>
              </a:graphicData>
            </a:graphic>
          </wp:inline>
        </w:drawing>
      </w:r>
    </w:p>
    <w:p>
      <w:pPr>
        <w:spacing w:line="560" w:lineRule="exact"/>
        <w:ind w:firstLine="643" w:firstLineChars="200"/>
        <w:rPr>
          <w:rFonts w:hint="eastAsia" w:ascii="仿宋_GB2312" w:eastAsia="仿宋_GB2312"/>
          <w:b/>
          <w:sz w:val="32"/>
          <w:szCs w:val="32"/>
        </w:rPr>
      </w:pP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（三）支出决算情况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本年支出合计</w:t>
      </w:r>
      <w:r>
        <w:rPr>
          <w:rFonts w:hint="eastAsia" w:ascii="仿宋_GB2312" w:eastAsia="仿宋_GB2312"/>
          <w:sz w:val="32"/>
          <w:szCs w:val="32"/>
          <w:lang w:val="en-US" w:eastAsia="zh-CN"/>
        </w:rPr>
        <w:t>8129.64</w:t>
      </w:r>
      <w:r>
        <w:rPr>
          <w:rFonts w:hint="eastAsia" w:ascii="仿宋_GB2312" w:eastAsia="仿宋_GB2312"/>
          <w:sz w:val="32"/>
          <w:szCs w:val="32"/>
        </w:rPr>
        <w:t>万元，其中：基本支出</w:t>
      </w:r>
      <w:r>
        <w:rPr>
          <w:rFonts w:hint="eastAsia" w:ascii="仿宋_GB2312" w:eastAsia="仿宋_GB2312"/>
          <w:sz w:val="32"/>
          <w:szCs w:val="32"/>
          <w:lang w:val="en-US" w:eastAsia="zh-CN"/>
        </w:rPr>
        <w:t>7481.64</w:t>
      </w:r>
      <w:r>
        <w:rPr>
          <w:rFonts w:hint="eastAsia" w:ascii="仿宋_GB2312" w:eastAsia="仿宋_GB2312"/>
          <w:sz w:val="32"/>
          <w:szCs w:val="32"/>
        </w:rPr>
        <w:t>万元，占</w:t>
      </w:r>
      <w:r>
        <w:rPr>
          <w:rFonts w:hint="eastAsia" w:ascii="仿宋_GB2312" w:eastAsia="仿宋_GB2312"/>
          <w:sz w:val="32"/>
          <w:szCs w:val="32"/>
          <w:lang w:val="en-US" w:eastAsia="zh-CN"/>
        </w:rPr>
        <w:t>92.03</w:t>
      </w:r>
      <w:r>
        <w:rPr>
          <w:rFonts w:hint="eastAsia" w:ascii="仿宋_GB2312" w:eastAsia="仿宋_GB2312"/>
          <w:sz w:val="32"/>
          <w:szCs w:val="32"/>
        </w:rPr>
        <w:t>%；项目支出</w:t>
      </w:r>
      <w:r>
        <w:rPr>
          <w:rFonts w:hint="eastAsia" w:ascii="仿宋_GB2312" w:eastAsia="仿宋_GB2312"/>
          <w:sz w:val="32"/>
          <w:szCs w:val="32"/>
          <w:lang w:val="en-US" w:eastAsia="zh-CN"/>
        </w:rPr>
        <w:t>648.00</w:t>
      </w:r>
      <w:r>
        <w:rPr>
          <w:rFonts w:hint="eastAsia" w:ascii="仿宋_GB2312" w:eastAsia="仿宋_GB2312"/>
          <w:sz w:val="32"/>
          <w:szCs w:val="32"/>
        </w:rPr>
        <w:t>万元，占</w:t>
      </w:r>
      <w:r>
        <w:rPr>
          <w:rFonts w:hint="eastAsia" w:ascii="仿宋_GB2312" w:eastAsia="仿宋_GB2312"/>
          <w:sz w:val="32"/>
          <w:szCs w:val="32"/>
          <w:lang w:val="en-US" w:eastAsia="zh-CN"/>
        </w:rPr>
        <w:t>7.97</w:t>
      </w:r>
      <w:r>
        <w:rPr>
          <w:rFonts w:hint="eastAsia" w:ascii="仿宋_GB2312" w:eastAsia="仿宋_GB2312"/>
          <w:sz w:val="32"/>
          <w:szCs w:val="32"/>
        </w:rPr>
        <w:t>%；</w:t>
      </w:r>
    </w:p>
    <w:p>
      <w:pPr>
        <w:spacing w:line="240" w:lineRule="auto"/>
        <w:ind w:firstLine="643" w:firstLineChars="200"/>
        <w:rPr>
          <w:rFonts w:hint="eastAsia" w:ascii="仿宋_GB2312" w:eastAsia="仿宋_GB2312"/>
          <w:b/>
          <w:sz w:val="32"/>
          <w:szCs w:val="32"/>
        </w:rPr>
      </w:pPr>
      <w:r>
        <w:rPr>
          <w:rFonts w:hint="eastAsia" w:ascii="仿宋_GB2312" w:eastAsia="仿宋_GB2312"/>
          <w:b/>
          <w:sz w:val="32"/>
          <w:szCs w:val="32"/>
          <w:lang w:eastAsia="zh-CN"/>
        </w:rPr>
        <w:drawing>
          <wp:inline distT="0" distB="0" distL="114300" distR="114300">
            <wp:extent cx="3938270" cy="2517775"/>
            <wp:effectExtent l="0" t="0" r="5080" b="15875"/>
            <wp:docPr id="5" name="图片 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
                    <pic:cNvPicPr>
                      <a:picLocks noChangeAspect="1"/>
                    </pic:cNvPicPr>
                  </pic:nvPicPr>
                  <pic:blipFill>
                    <a:blip r:embed="rId7"/>
                    <a:stretch>
                      <a:fillRect/>
                    </a:stretch>
                  </pic:blipFill>
                  <pic:spPr>
                    <a:xfrm>
                      <a:off x="0" y="0"/>
                      <a:ext cx="3938270" cy="2517775"/>
                    </a:xfrm>
                    <a:prstGeom prst="rect">
                      <a:avLst/>
                    </a:prstGeom>
                  </pic:spPr>
                </pic:pic>
              </a:graphicData>
            </a:graphic>
          </wp:inline>
        </w:drawing>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（四）财政拨款收入支出决算总体情况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2020年度财政拨款收</w:t>
      </w:r>
      <w:r>
        <w:rPr>
          <w:rFonts w:hint="eastAsia" w:ascii="仿宋_GB2312" w:eastAsia="仿宋_GB2312"/>
          <w:sz w:val="32"/>
          <w:szCs w:val="32"/>
          <w:lang w:eastAsia="zh-CN"/>
        </w:rPr>
        <w:t>、</w:t>
      </w:r>
      <w:r>
        <w:rPr>
          <w:rFonts w:hint="eastAsia" w:ascii="仿宋_GB2312" w:eastAsia="仿宋_GB2312"/>
          <w:sz w:val="32"/>
          <w:szCs w:val="32"/>
        </w:rPr>
        <w:t>支</w:t>
      </w:r>
      <w:r>
        <w:rPr>
          <w:rFonts w:hint="eastAsia" w:ascii="仿宋_GB2312" w:eastAsia="仿宋_GB2312"/>
          <w:sz w:val="32"/>
          <w:szCs w:val="32"/>
          <w:lang w:eastAsia="zh-CN"/>
        </w:rPr>
        <w:t>总计</w:t>
      </w:r>
      <w:r>
        <w:rPr>
          <w:rFonts w:hint="eastAsia" w:ascii="仿宋_GB2312" w:eastAsia="仿宋_GB2312"/>
          <w:sz w:val="32"/>
          <w:szCs w:val="32"/>
          <w:lang w:val="en-US" w:eastAsia="zh-CN"/>
        </w:rPr>
        <w:t>8129.57万元</w:t>
      </w:r>
      <w:r>
        <w:rPr>
          <w:rFonts w:hint="eastAsia" w:ascii="仿宋_GB2312" w:eastAsia="仿宋_GB2312"/>
          <w:sz w:val="32"/>
          <w:szCs w:val="32"/>
        </w:rPr>
        <w:t>。与2019年度相比，财政拨款收、支总计减少</w:t>
      </w:r>
      <w:r>
        <w:rPr>
          <w:rFonts w:hint="eastAsia" w:ascii="仿宋_GB2312" w:eastAsia="仿宋_GB2312"/>
          <w:sz w:val="32"/>
          <w:szCs w:val="32"/>
          <w:lang w:val="en-US" w:eastAsia="zh-CN"/>
        </w:rPr>
        <w:t>70.46</w:t>
      </w:r>
      <w:r>
        <w:rPr>
          <w:rFonts w:hint="eastAsia" w:ascii="仿宋_GB2312" w:eastAsia="仿宋_GB2312"/>
          <w:sz w:val="32"/>
          <w:szCs w:val="32"/>
        </w:rPr>
        <w:t>万元，下降</w:t>
      </w:r>
      <w:r>
        <w:rPr>
          <w:rFonts w:hint="eastAsia" w:ascii="仿宋_GB2312" w:eastAsia="仿宋_GB2312"/>
          <w:sz w:val="32"/>
          <w:szCs w:val="32"/>
          <w:lang w:val="en-US" w:eastAsia="zh-CN"/>
        </w:rPr>
        <w:t>0.09</w:t>
      </w:r>
      <w:r>
        <w:rPr>
          <w:rFonts w:hint="eastAsia" w:ascii="仿宋_GB2312" w:eastAsia="仿宋_GB2312"/>
          <w:sz w:val="32"/>
          <w:szCs w:val="32"/>
        </w:rPr>
        <w:t xml:space="preserve"> %。</w:t>
      </w:r>
      <w:r>
        <w:rPr>
          <w:rFonts w:hint="eastAsia" w:ascii="仿宋_GB2312" w:eastAsia="仿宋_GB2312"/>
          <w:sz w:val="32"/>
          <w:szCs w:val="32"/>
          <w:lang w:eastAsia="zh-CN"/>
        </w:rPr>
        <w:t>下降</w:t>
      </w:r>
      <w:r>
        <w:rPr>
          <w:rFonts w:hint="eastAsia" w:ascii="仿宋_GB2312" w:eastAsia="仿宋_GB2312"/>
          <w:sz w:val="32"/>
          <w:szCs w:val="32"/>
        </w:rPr>
        <w:t>主要</w:t>
      </w:r>
      <w:r>
        <w:rPr>
          <w:rFonts w:hint="eastAsia" w:ascii="仿宋_GB2312" w:eastAsia="仿宋_GB2312"/>
          <w:sz w:val="32"/>
          <w:szCs w:val="32"/>
          <w:lang w:eastAsia="zh-CN"/>
        </w:rPr>
        <w:t>原因</w:t>
      </w:r>
      <w:r>
        <w:rPr>
          <w:rFonts w:hint="eastAsia" w:ascii="仿宋_GB2312" w:eastAsia="仿宋_GB2312"/>
          <w:sz w:val="32"/>
          <w:szCs w:val="32"/>
        </w:rPr>
        <w:t>是</w:t>
      </w:r>
      <w:r>
        <w:rPr>
          <w:rFonts w:hint="eastAsia" w:ascii="仿宋_GB2312" w:eastAsia="仿宋_GB2312"/>
          <w:sz w:val="32"/>
          <w:szCs w:val="32"/>
          <w:lang w:eastAsia="zh-CN"/>
        </w:rPr>
        <w:t>项目专项资金</w:t>
      </w:r>
      <w:r>
        <w:rPr>
          <w:rFonts w:hint="eastAsia" w:ascii="仿宋_GB2312" w:eastAsia="仿宋_GB2312"/>
          <w:sz w:val="32"/>
          <w:szCs w:val="32"/>
        </w:rPr>
        <w:t>减少。</w:t>
      </w:r>
    </w:p>
    <w:p>
      <w:pPr>
        <w:spacing w:line="240" w:lineRule="auto"/>
        <w:ind w:firstLine="643" w:firstLineChars="200"/>
        <w:rPr>
          <w:rFonts w:hint="eastAsia" w:ascii="仿宋_GB2312" w:eastAsia="仿宋_GB2312"/>
          <w:sz w:val="32"/>
          <w:szCs w:val="32"/>
        </w:rPr>
      </w:pPr>
      <w:r>
        <w:rPr>
          <w:rFonts w:hint="eastAsia" w:ascii="仿宋_GB2312" w:eastAsia="仿宋_GB2312"/>
          <w:b/>
          <w:sz w:val="32"/>
          <w:szCs w:val="32"/>
        </w:rPr>
        <w:drawing>
          <wp:inline distT="0" distB="0" distL="114300" distR="114300">
            <wp:extent cx="3773170" cy="2584450"/>
            <wp:effectExtent l="0" t="0" r="17780" b="6350"/>
            <wp:docPr id="6" name="图片 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
                    <pic:cNvPicPr>
                      <a:picLocks noChangeAspect="1"/>
                    </pic:cNvPicPr>
                  </pic:nvPicPr>
                  <pic:blipFill>
                    <a:blip r:embed="rId8"/>
                    <a:stretch>
                      <a:fillRect/>
                    </a:stretch>
                  </pic:blipFill>
                  <pic:spPr>
                    <a:xfrm>
                      <a:off x="0" y="0"/>
                      <a:ext cx="3773170" cy="2584450"/>
                    </a:xfrm>
                    <a:prstGeom prst="rect">
                      <a:avLst/>
                    </a:prstGeom>
                  </pic:spPr>
                </pic:pic>
              </a:graphicData>
            </a:graphic>
          </wp:inline>
        </w:drawing>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（五）一般公共预算财政拨款支出决算情况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1.一般公共预算财政拨款支出决算总体情况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2020年度一般公共预算财政拨款支出</w:t>
      </w:r>
      <w:r>
        <w:rPr>
          <w:rFonts w:hint="eastAsia" w:ascii="仿宋_GB2312" w:eastAsia="仿宋_GB2312"/>
          <w:sz w:val="32"/>
          <w:szCs w:val="32"/>
          <w:lang w:val="en-US" w:eastAsia="zh-CN"/>
        </w:rPr>
        <w:t>8129.57</w:t>
      </w:r>
      <w:r>
        <w:rPr>
          <w:rFonts w:hint="eastAsia" w:ascii="仿宋_GB2312" w:eastAsia="仿宋_GB2312"/>
          <w:sz w:val="32"/>
          <w:szCs w:val="32"/>
        </w:rPr>
        <w:t>万元，占本年支出合计的</w:t>
      </w:r>
      <w:r>
        <w:rPr>
          <w:rFonts w:hint="eastAsia" w:ascii="仿宋_GB2312" w:eastAsia="仿宋_GB2312"/>
          <w:sz w:val="32"/>
          <w:szCs w:val="32"/>
          <w:lang w:val="en-US" w:eastAsia="zh-CN"/>
        </w:rPr>
        <w:t>99.99</w:t>
      </w:r>
      <w:r>
        <w:rPr>
          <w:rFonts w:hint="eastAsia" w:ascii="仿宋_GB2312" w:eastAsia="仿宋_GB2312"/>
          <w:sz w:val="32"/>
          <w:szCs w:val="32"/>
        </w:rPr>
        <w:t xml:space="preserve"> %。与2019年度相比，一般公共预算财政拨款支出减少</w:t>
      </w:r>
      <w:r>
        <w:rPr>
          <w:rFonts w:hint="eastAsia" w:ascii="仿宋_GB2312" w:eastAsia="仿宋_GB2312"/>
          <w:sz w:val="32"/>
          <w:szCs w:val="32"/>
          <w:lang w:val="en-US" w:eastAsia="zh-CN"/>
        </w:rPr>
        <w:t>70.46</w:t>
      </w:r>
      <w:r>
        <w:rPr>
          <w:rFonts w:hint="eastAsia" w:ascii="仿宋_GB2312" w:eastAsia="仿宋_GB2312"/>
          <w:sz w:val="32"/>
          <w:szCs w:val="32"/>
        </w:rPr>
        <w:t>万元，下降</w:t>
      </w:r>
      <w:r>
        <w:rPr>
          <w:rFonts w:hint="eastAsia" w:ascii="仿宋_GB2312" w:eastAsia="仿宋_GB2312"/>
          <w:sz w:val="32"/>
          <w:szCs w:val="32"/>
          <w:lang w:val="en-US" w:eastAsia="zh-CN"/>
        </w:rPr>
        <w:t>0.09</w:t>
      </w:r>
      <w:r>
        <w:rPr>
          <w:rFonts w:hint="eastAsia" w:ascii="仿宋_GB2312" w:eastAsia="仿宋_GB2312"/>
          <w:sz w:val="32"/>
          <w:szCs w:val="32"/>
        </w:rPr>
        <w:t>%。</w:t>
      </w:r>
      <w:r>
        <w:rPr>
          <w:rFonts w:hint="eastAsia" w:ascii="仿宋_GB2312" w:eastAsia="仿宋_GB2312"/>
          <w:sz w:val="32"/>
          <w:szCs w:val="32"/>
          <w:lang w:eastAsia="zh-CN"/>
        </w:rPr>
        <w:t>下降</w:t>
      </w:r>
      <w:r>
        <w:rPr>
          <w:rFonts w:hint="eastAsia" w:ascii="仿宋_GB2312" w:eastAsia="仿宋_GB2312"/>
          <w:sz w:val="32"/>
          <w:szCs w:val="32"/>
        </w:rPr>
        <w:t>主要</w:t>
      </w:r>
      <w:r>
        <w:rPr>
          <w:rFonts w:hint="eastAsia" w:ascii="仿宋_GB2312" w:eastAsia="仿宋_GB2312"/>
          <w:sz w:val="32"/>
          <w:szCs w:val="32"/>
          <w:lang w:eastAsia="zh-CN"/>
        </w:rPr>
        <w:t>原因</w:t>
      </w:r>
      <w:r>
        <w:rPr>
          <w:rFonts w:hint="eastAsia" w:ascii="仿宋_GB2312" w:eastAsia="仿宋_GB2312"/>
          <w:sz w:val="32"/>
          <w:szCs w:val="32"/>
        </w:rPr>
        <w:t>是</w:t>
      </w:r>
      <w:r>
        <w:rPr>
          <w:rFonts w:hint="eastAsia" w:ascii="仿宋_GB2312" w:eastAsia="仿宋_GB2312"/>
          <w:sz w:val="32"/>
          <w:szCs w:val="32"/>
          <w:lang w:eastAsia="zh-CN"/>
        </w:rPr>
        <w:t>项目专项资金</w:t>
      </w:r>
      <w:r>
        <w:rPr>
          <w:rFonts w:hint="eastAsia" w:ascii="仿宋_GB2312" w:eastAsia="仿宋_GB2312"/>
          <w:sz w:val="32"/>
          <w:szCs w:val="32"/>
        </w:rPr>
        <w:t>减少。</w:t>
      </w:r>
    </w:p>
    <w:p>
      <w:pPr>
        <w:spacing w:line="240" w:lineRule="auto"/>
        <w:ind w:firstLine="643" w:firstLineChars="200"/>
        <w:rPr>
          <w:rFonts w:hint="eastAsia" w:ascii="仿宋_GB2312" w:eastAsia="仿宋_GB2312"/>
          <w:b/>
          <w:sz w:val="32"/>
          <w:szCs w:val="32"/>
        </w:rPr>
      </w:pPr>
      <w:r>
        <w:rPr>
          <w:rFonts w:hint="eastAsia" w:ascii="仿宋_GB2312" w:eastAsia="仿宋_GB2312"/>
          <w:b/>
          <w:sz w:val="32"/>
          <w:szCs w:val="32"/>
        </w:rPr>
        <w:drawing>
          <wp:inline distT="0" distB="0" distL="114300" distR="114300">
            <wp:extent cx="3773170" cy="2584450"/>
            <wp:effectExtent l="0" t="0" r="17780" b="6350"/>
            <wp:docPr id="7" name="图片 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5"/>
                    <pic:cNvPicPr>
                      <a:picLocks noChangeAspect="1"/>
                    </pic:cNvPicPr>
                  </pic:nvPicPr>
                  <pic:blipFill>
                    <a:blip r:embed="rId9"/>
                    <a:stretch>
                      <a:fillRect/>
                    </a:stretch>
                  </pic:blipFill>
                  <pic:spPr>
                    <a:xfrm>
                      <a:off x="0" y="0"/>
                      <a:ext cx="3773170" cy="2584450"/>
                    </a:xfrm>
                    <a:prstGeom prst="rect">
                      <a:avLst/>
                    </a:prstGeom>
                  </pic:spPr>
                </pic:pic>
              </a:graphicData>
            </a:graphic>
          </wp:inline>
        </w:drawing>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2.一般公共预算财政拨款支出决算结构情况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2020年度一般公共预算财政拨款支出</w:t>
      </w:r>
      <w:r>
        <w:rPr>
          <w:rFonts w:hint="eastAsia" w:ascii="仿宋_GB2312" w:eastAsia="仿宋_GB2312"/>
          <w:sz w:val="32"/>
          <w:szCs w:val="32"/>
          <w:lang w:val="en-US" w:eastAsia="zh-CN"/>
        </w:rPr>
        <w:t>8129.57</w:t>
      </w:r>
      <w:r>
        <w:rPr>
          <w:rFonts w:hint="eastAsia" w:ascii="仿宋_GB2312" w:eastAsia="仿宋_GB2312"/>
          <w:sz w:val="32"/>
          <w:szCs w:val="32"/>
        </w:rPr>
        <w:t>万元，主要用于以下方面：公共</w:t>
      </w:r>
      <w:r>
        <w:rPr>
          <w:rFonts w:ascii="仿宋_GB2312" w:eastAsia="仿宋_GB2312"/>
          <w:sz w:val="32"/>
          <w:szCs w:val="32"/>
        </w:rPr>
        <w:t>安全</w:t>
      </w:r>
      <w:r>
        <w:rPr>
          <w:rFonts w:hint="eastAsia" w:ascii="仿宋_GB2312" w:eastAsia="仿宋_GB2312"/>
          <w:sz w:val="32"/>
          <w:szCs w:val="32"/>
        </w:rPr>
        <w:t>（类）</w:t>
      </w:r>
      <w:r>
        <w:rPr>
          <w:rFonts w:ascii="仿宋_GB2312" w:eastAsia="仿宋_GB2312"/>
          <w:sz w:val="32"/>
          <w:szCs w:val="32"/>
        </w:rPr>
        <w:t>支出</w:t>
      </w:r>
      <w:r>
        <w:rPr>
          <w:rFonts w:hint="eastAsia" w:ascii="仿宋_GB2312" w:eastAsia="仿宋_GB2312"/>
          <w:sz w:val="32"/>
          <w:szCs w:val="32"/>
          <w:lang w:val="en-US" w:eastAsia="zh-CN"/>
        </w:rPr>
        <w:t>7326.63</w:t>
      </w:r>
      <w:r>
        <w:rPr>
          <w:rFonts w:hint="eastAsia" w:ascii="仿宋_GB2312" w:eastAsia="仿宋_GB2312"/>
          <w:sz w:val="32"/>
          <w:szCs w:val="32"/>
        </w:rPr>
        <w:t>万元，占</w:t>
      </w:r>
      <w:r>
        <w:rPr>
          <w:rFonts w:hint="eastAsia" w:ascii="仿宋_GB2312" w:eastAsia="仿宋_GB2312"/>
          <w:sz w:val="32"/>
          <w:szCs w:val="32"/>
          <w:lang w:val="en-US" w:eastAsia="zh-CN"/>
        </w:rPr>
        <w:t>90.12</w:t>
      </w:r>
      <w:r>
        <w:rPr>
          <w:rFonts w:hint="eastAsia" w:ascii="仿宋_GB2312" w:eastAsia="仿宋_GB2312"/>
          <w:sz w:val="32"/>
          <w:szCs w:val="32"/>
        </w:rPr>
        <w:t>%；社会保障和就业（类）支出</w:t>
      </w:r>
      <w:r>
        <w:rPr>
          <w:rFonts w:hint="eastAsia" w:ascii="仿宋_GB2312" w:eastAsia="仿宋_GB2312"/>
          <w:sz w:val="32"/>
          <w:szCs w:val="32"/>
          <w:lang w:val="en-US" w:eastAsia="zh-CN"/>
        </w:rPr>
        <w:t>499.16</w:t>
      </w:r>
      <w:r>
        <w:rPr>
          <w:rFonts w:hint="eastAsia" w:ascii="仿宋_GB2312" w:eastAsia="仿宋_GB2312"/>
          <w:sz w:val="32"/>
          <w:szCs w:val="32"/>
        </w:rPr>
        <w:t>万元</w:t>
      </w:r>
      <w:r>
        <w:rPr>
          <w:rFonts w:ascii="仿宋_GB2312" w:eastAsia="仿宋_GB2312"/>
          <w:sz w:val="32"/>
          <w:szCs w:val="32"/>
        </w:rPr>
        <w:t>，占</w:t>
      </w:r>
      <w:r>
        <w:rPr>
          <w:rFonts w:hint="eastAsia" w:ascii="仿宋_GB2312" w:eastAsia="仿宋_GB2312"/>
          <w:sz w:val="32"/>
          <w:szCs w:val="32"/>
          <w:lang w:val="en-US" w:eastAsia="zh-CN"/>
        </w:rPr>
        <w:t>6.14</w:t>
      </w:r>
      <w:r>
        <w:rPr>
          <w:rFonts w:ascii="仿宋_GB2312" w:eastAsia="仿宋_GB2312"/>
          <w:sz w:val="32"/>
          <w:szCs w:val="32"/>
        </w:rPr>
        <w:t>%；住房保障（</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支出</w:t>
      </w:r>
      <w:r>
        <w:rPr>
          <w:rFonts w:hint="eastAsia" w:ascii="仿宋_GB2312" w:eastAsia="仿宋_GB2312"/>
          <w:sz w:val="32"/>
          <w:szCs w:val="32"/>
          <w:lang w:val="en-US" w:eastAsia="zh-CN"/>
        </w:rPr>
        <w:t>303.78</w:t>
      </w:r>
      <w:r>
        <w:rPr>
          <w:rFonts w:hint="eastAsia" w:ascii="仿宋_GB2312" w:eastAsia="仿宋_GB2312"/>
          <w:sz w:val="32"/>
          <w:szCs w:val="32"/>
        </w:rPr>
        <w:t>万元</w:t>
      </w:r>
      <w:r>
        <w:rPr>
          <w:rFonts w:ascii="仿宋_GB2312" w:eastAsia="仿宋_GB2312"/>
          <w:sz w:val="32"/>
          <w:szCs w:val="32"/>
        </w:rPr>
        <w:t>，占</w:t>
      </w:r>
      <w:r>
        <w:rPr>
          <w:rFonts w:hint="eastAsia" w:ascii="仿宋_GB2312" w:eastAsia="仿宋_GB2312"/>
          <w:sz w:val="32"/>
          <w:szCs w:val="32"/>
          <w:lang w:val="en-US" w:eastAsia="zh-CN"/>
        </w:rPr>
        <w:t>3.74</w:t>
      </w:r>
      <w:r>
        <w:rPr>
          <w:rFonts w:ascii="仿宋_GB2312" w:eastAsia="仿宋_GB2312"/>
          <w:sz w:val="32"/>
          <w:szCs w:val="32"/>
        </w:rPr>
        <w:t>%</w:t>
      </w:r>
      <w:r>
        <w:rPr>
          <w:rFonts w:hint="eastAsia" w:ascii="仿宋_GB2312" w:eastAsia="仿宋_GB2312"/>
          <w:sz w:val="32"/>
          <w:szCs w:val="32"/>
        </w:rPr>
        <w:t>。</w:t>
      </w:r>
    </w:p>
    <w:p>
      <w:pPr>
        <w:spacing w:line="240" w:lineRule="auto"/>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3889375" cy="2785745"/>
            <wp:effectExtent l="0" t="0" r="15875" b="14605"/>
            <wp:docPr id="8" name="图片 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6"/>
                    <pic:cNvPicPr>
                      <a:picLocks noChangeAspect="1"/>
                    </pic:cNvPicPr>
                  </pic:nvPicPr>
                  <pic:blipFill>
                    <a:blip r:embed="rId10"/>
                    <a:stretch>
                      <a:fillRect/>
                    </a:stretch>
                  </pic:blipFill>
                  <pic:spPr>
                    <a:xfrm>
                      <a:off x="0" y="0"/>
                      <a:ext cx="3889375" cy="2785745"/>
                    </a:xfrm>
                    <a:prstGeom prst="rect">
                      <a:avLst/>
                    </a:prstGeom>
                  </pic:spPr>
                </pic:pic>
              </a:graphicData>
            </a:graphic>
          </wp:inline>
        </w:drawing>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3.一般公共预算财政拨款支出决算具体情况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2020年度一般公共预算财政拨款支出年初预算为</w:t>
      </w:r>
      <w:r>
        <w:rPr>
          <w:rFonts w:hint="eastAsia" w:ascii="仿宋_GB2312" w:eastAsia="仿宋_GB2312"/>
          <w:sz w:val="32"/>
          <w:szCs w:val="32"/>
          <w:lang w:val="en-US" w:eastAsia="zh-CN"/>
        </w:rPr>
        <w:t>8248.45</w:t>
      </w:r>
      <w:r>
        <w:rPr>
          <w:rFonts w:hint="eastAsia" w:ascii="仿宋_GB2312" w:eastAsia="仿宋_GB2312"/>
          <w:sz w:val="32"/>
          <w:szCs w:val="32"/>
        </w:rPr>
        <w:t>万元，支出决算为</w:t>
      </w:r>
      <w:r>
        <w:rPr>
          <w:rFonts w:hint="eastAsia" w:ascii="仿宋_GB2312" w:eastAsia="仿宋_GB2312"/>
          <w:sz w:val="32"/>
          <w:szCs w:val="32"/>
          <w:lang w:val="en-US" w:eastAsia="zh-CN"/>
        </w:rPr>
        <w:t>8129.57</w:t>
      </w:r>
      <w:r>
        <w:rPr>
          <w:rFonts w:hint="eastAsia" w:ascii="仿宋_GB2312" w:eastAsia="仿宋_GB2312"/>
          <w:sz w:val="32"/>
          <w:szCs w:val="32"/>
        </w:rPr>
        <w:t>万元，完成年初预算的</w:t>
      </w:r>
      <w:r>
        <w:rPr>
          <w:rFonts w:hint="eastAsia" w:ascii="仿宋_GB2312" w:eastAsia="仿宋_GB2312"/>
          <w:sz w:val="32"/>
          <w:szCs w:val="32"/>
          <w:lang w:val="en-US" w:eastAsia="zh-CN"/>
        </w:rPr>
        <w:t>98.56</w:t>
      </w:r>
      <w:r>
        <w:rPr>
          <w:rFonts w:hint="eastAsia" w:ascii="仿宋_GB2312" w:eastAsia="仿宋_GB2312"/>
          <w:sz w:val="32"/>
          <w:szCs w:val="32"/>
        </w:rPr>
        <w:t>%。决算数</w:t>
      </w:r>
      <w:r>
        <w:rPr>
          <w:rFonts w:hint="eastAsia" w:ascii="仿宋_GB2312" w:eastAsia="仿宋_GB2312"/>
          <w:sz w:val="32"/>
          <w:szCs w:val="32"/>
          <w:lang w:eastAsia="zh-CN"/>
        </w:rPr>
        <w:t>小</w:t>
      </w:r>
      <w:r>
        <w:rPr>
          <w:rFonts w:hint="eastAsia" w:ascii="仿宋_GB2312" w:eastAsia="仿宋_GB2312"/>
          <w:sz w:val="32"/>
          <w:szCs w:val="32"/>
        </w:rPr>
        <w:t>于年初预算数的主要原因</w:t>
      </w:r>
      <w:r>
        <w:rPr>
          <w:rFonts w:hint="eastAsia" w:ascii="仿宋_GB2312" w:eastAsia="仿宋_GB2312"/>
          <w:sz w:val="32"/>
          <w:szCs w:val="32"/>
          <w:lang w:eastAsia="zh-CN"/>
        </w:rPr>
        <w:t>项目专项资金</w:t>
      </w:r>
      <w:r>
        <w:rPr>
          <w:rFonts w:hint="eastAsia" w:ascii="仿宋_GB2312" w:eastAsia="仿宋_GB2312"/>
          <w:sz w:val="32"/>
          <w:szCs w:val="32"/>
        </w:rPr>
        <w:t>减少。</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其中：</w:t>
      </w:r>
    </w:p>
    <w:p>
      <w:pPr>
        <w:numPr>
          <w:ilvl w:val="0"/>
          <w:numId w:val="1"/>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rPr>
        <w:t>（类）</w:t>
      </w:r>
      <w:r>
        <w:rPr>
          <w:rFonts w:hint="eastAsia" w:ascii="仿宋_GB2312" w:eastAsia="仿宋_GB2312"/>
          <w:sz w:val="32"/>
          <w:szCs w:val="32"/>
          <w:lang w:eastAsia="zh-CN"/>
        </w:rPr>
        <w:t>强制隔离戒毒</w:t>
      </w:r>
      <w:r>
        <w:rPr>
          <w:rFonts w:hint="eastAsia" w:ascii="仿宋_GB2312" w:eastAsia="仿宋_GB2312"/>
          <w:sz w:val="32"/>
          <w:szCs w:val="32"/>
        </w:rPr>
        <w:t>（款）行政运行（项）。年初预算为</w:t>
      </w:r>
      <w:r>
        <w:rPr>
          <w:rFonts w:hint="eastAsia" w:ascii="仿宋_GB2312" w:eastAsia="仿宋_GB2312"/>
          <w:sz w:val="32"/>
          <w:szCs w:val="32"/>
          <w:lang w:val="en-US" w:eastAsia="zh-CN"/>
        </w:rPr>
        <w:t>5397.73</w:t>
      </w:r>
      <w:r>
        <w:rPr>
          <w:rFonts w:hint="eastAsia" w:ascii="仿宋_GB2312" w:eastAsia="仿宋_GB2312"/>
          <w:sz w:val="32"/>
          <w:szCs w:val="32"/>
        </w:rPr>
        <w:t>万元，支出决算为</w:t>
      </w:r>
      <w:r>
        <w:rPr>
          <w:rFonts w:hint="eastAsia" w:ascii="仿宋_GB2312" w:eastAsia="仿宋_GB2312"/>
          <w:sz w:val="32"/>
          <w:szCs w:val="32"/>
          <w:lang w:val="en-US" w:eastAsia="zh-CN"/>
        </w:rPr>
        <w:t>6181.14</w:t>
      </w:r>
      <w:r>
        <w:rPr>
          <w:rFonts w:hint="eastAsia" w:ascii="仿宋_GB2312" w:eastAsia="仿宋_GB2312"/>
          <w:sz w:val="32"/>
          <w:szCs w:val="32"/>
        </w:rPr>
        <w:t>万元，完成年初预算的</w:t>
      </w:r>
      <w:r>
        <w:rPr>
          <w:rFonts w:hint="eastAsia" w:ascii="仿宋_GB2312" w:eastAsia="仿宋_GB2312"/>
          <w:sz w:val="32"/>
          <w:szCs w:val="32"/>
          <w:lang w:val="en-US" w:eastAsia="zh-CN"/>
        </w:rPr>
        <w:t>114.51</w:t>
      </w:r>
      <w:r>
        <w:rPr>
          <w:rFonts w:hint="eastAsia" w:ascii="仿宋_GB2312" w:eastAsia="仿宋_GB2312"/>
          <w:sz w:val="32"/>
          <w:szCs w:val="32"/>
        </w:rPr>
        <w:t>%。决算数大于年初预算数主要原因是</w:t>
      </w:r>
      <w:r>
        <w:rPr>
          <w:rFonts w:ascii="仿宋_GB2312" w:eastAsia="仿宋_GB2312"/>
          <w:sz w:val="32"/>
          <w:szCs w:val="32"/>
        </w:rPr>
        <w:t>人员经费增加</w:t>
      </w:r>
      <w:r>
        <w:rPr>
          <w:rFonts w:hint="eastAsia" w:ascii="仿宋_GB2312" w:eastAsia="仿宋_GB2312"/>
          <w:sz w:val="32"/>
          <w:szCs w:val="32"/>
          <w:lang w:eastAsia="zh-CN"/>
        </w:rPr>
        <w:t>。</w:t>
      </w:r>
    </w:p>
    <w:p>
      <w:pPr>
        <w:numPr>
          <w:ilvl w:val="0"/>
          <w:numId w:val="1"/>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rPr>
        <w:t>（类）</w:t>
      </w:r>
      <w:r>
        <w:rPr>
          <w:rFonts w:hint="eastAsia" w:ascii="仿宋_GB2312" w:eastAsia="仿宋_GB2312"/>
          <w:sz w:val="32"/>
          <w:szCs w:val="32"/>
          <w:lang w:eastAsia="zh-CN"/>
        </w:rPr>
        <w:t>强制隔离戒毒</w:t>
      </w:r>
      <w:r>
        <w:rPr>
          <w:rFonts w:hint="eastAsia" w:ascii="仿宋_GB2312" w:eastAsia="仿宋_GB2312"/>
          <w:sz w:val="32"/>
          <w:szCs w:val="32"/>
        </w:rPr>
        <w:t>（款）</w:t>
      </w:r>
      <w:r>
        <w:rPr>
          <w:rFonts w:hint="eastAsia" w:ascii="仿宋_GB2312" w:eastAsia="仿宋_GB2312"/>
          <w:sz w:val="32"/>
          <w:szCs w:val="32"/>
          <w:lang w:eastAsia="zh-CN"/>
        </w:rPr>
        <w:t>一般行政管理事务</w:t>
      </w:r>
      <w:r>
        <w:rPr>
          <w:rFonts w:hint="eastAsia" w:ascii="仿宋_GB2312" w:eastAsia="仿宋_GB2312"/>
          <w:sz w:val="32"/>
          <w:szCs w:val="32"/>
        </w:rPr>
        <w:t>（项）。年初预算为</w:t>
      </w:r>
      <w:r>
        <w:rPr>
          <w:rFonts w:hint="eastAsia" w:ascii="仿宋_GB2312" w:eastAsia="仿宋_GB2312"/>
          <w:sz w:val="32"/>
          <w:szCs w:val="32"/>
          <w:lang w:val="en-US" w:eastAsia="zh-CN"/>
        </w:rPr>
        <w:t>101.65</w:t>
      </w:r>
      <w:r>
        <w:rPr>
          <w:rFonts w:hint="eastAsia" w:ascii="仿宋_GB2312" w:eastAsia="仿宋_GB2312"/>
          <w:sz w:val="32"/>
          <w:szCs w:val="32"/>
        </w:rPr>
        <w:t>万元，支出决算为</w:t>
      </w:r>
      <w:r>
        <w:rPr>
          <w:rFonts w:hint="eastAsia" w:ascii="仿宋_GB2312" w:eastAsia="仿宋_GB2312"/>
          <w:sz w:val="32"/>
          <w:szCs w:val="32"/>
          <w:lang w:val="en-US" w:eastAsia="zh-CN"/>
        </w:rPr>
        <w:t>101.65</w:t>
      </w:r>
      <w:r>
        <w:rPr>
          <w:rFonts w:hint="eastAsia" w:ascii="仿宋_GB2312" w:eastAsia="仿宋_GB2312"/>
          <w:sz w:val="32"/>
          <w:szCs w:val="32"/>
        </w:rPr>
        <w:t>万元，完成年初预算的</w:t>
      </w:r>
      <w:r>
        <w:rPr>
          <w:rFonts w:hint="eastAsia" w:ascii="仿宋_GB2312" w:eastAsia="仿宋_GB2312"/>
          <w:sz w:val="32"/>
          <w:szCs w:val="32"/>
          <w:lang w:val="en-US" w:eastAsia="zh-CN"/>
        </w:rPr>
        <w:t>100.00</w:t>
      </w:r>
      <w:r>
        <w:rPr>
          <w:rFonts w:hint="eastAsia" w:ascii="仿宋_GB2312" w:eastAsia="仿宋_GB2312"/>
          <w:sz w:val="32"/>
          <w:szCs w:val="32"/>
        </w:rPr>
        <w:t>%。决算数与年初预算数持平</w:t>
      </w:r>
      <w:r>
        <w:rPr>
          <w:rFonts w:hint="eastAsia" w:ascii="仿宋_GB2312" w:eastAsia="仿宋_GB2312"/>
          <w:sz w:val="32"/>
          <w:szCs w:val="32"/>
          <w:lang w:eastAsia="zh-CN"/>
        </w:rPr>
        <w:t>。</w:t>
      </w:r>
    </w:p>
    <w:p>
      <w:pPr>
        <w:numPr>
          <w:ilvl w:val="0"/>
          <w:numId w:val="1"/>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rPr>
        <w:t>（类）</w:t>
      </w:r>
      <w:r>
        <w:rPr>
          <w:rFonts w:hint="eastAsia" w:ascii="仿宋_GB2312" w:eastAsia="仿宋_GB2312"/>
          <w:sz w:val="32"/>
          <w:szCs w:val="32"/>
          <w:lang w:eastAsia="zh-CN"/>
        </w:rPr>
        <w:t>强制隔离戒毒</w:t>
      </w:r>
      <w:r>
        <w:rPr>
          <w:rFonts w:hint="eastAsia" w:ascii="仿宋_GB2312" w:eastAsia="仿宋_GB2312"/>
          <w:sz w:val="32"/>
          <w:szCs w:val="32"/>
        </w:rPr>
        <w:t>（款）</w:t>
      </w:r>
      <w:r>
        <w:rPr>
          <w:rFonts w:hint="eastAsia" w:ascii="仿宋_GB2312" w:eastAsia="仿宋_GB2312"/>
          <w:sz w:val="32"/>
          <w:szCs w:val="32"/>
          <w:lang w:eastAsia="zh-CN"/>
        </w:rPr>
        <w:t>强制隔离戒毒人员生活</w:t>
      </w:r>
      <w:r>
        <w:rPr>
          <w:rFonts w:hint="eastAsia" w:ascii="仿宋_GB2312" w:eastAsia="仿宋_GB2312"/>
          <w:sz w:val="32"/>
          <w:szCs w:val="32"/>
        </w:rPr>
        <w:t>（项）。年初预算为</w:t>
      </w:r>
      <w:r>
        <w:rPr>
          <w:rFonts w:hint="eastAsia" w:ascii="仿宋_GB2312" w:eastAsia="仿宋_GB2312"/>
          <w:sz w:val="32"/>
          <w:szCs w:val="32"/>
          <w:lang w:val="en-US" w:eastAsia="zh-CN"/>
        </w:rPr>
        <w:t>302.76</w:t>
      </w:r>
      <w:r>
        <w:rPr>
          <w:rFonts w:hint="eastAsia" w:ascii="仿宋_GB2312" w:eastAsia="仿宋_GB2312"/>
          <w:sz w:val="32"/>
          <w:szCs w:val="32"/>
        </w:rPr>
        <w:t>万元，支出决算为</w:t>
      </w:r>
      <w:r>
        <w:rPr>
          <w:rFonts w:hint="eastAsia" w:ascii="仿宋_GB2312" w:eastAsia="仿宋_GB2312"/>
          <w:sz w:val="32"/>
          <w:szCs w:val="32"/>
          <w:lang w:val="en-US" w:eastAsia="zh-CN"/>
        </w:rPr>
        <w:t>268.18</w:t>
      </w:r>
      <w:r>
        <w:rPr>
          <w:rFonts w:hint="eastAsia" w:ascii="仿宋_GB2312" w:eastAsia="仿宋_GB2312"/>
          <w:sz w:val="32"/>
          <w:szCs w:val="32"/>
        </w:rPr>
        <w:t>万元，完成年初预算的</w:t>
      </w:r>
      <w:r>
        <w:rPr>
          <w:rFonts w:hint="eastAsia" w:ascii="仿宋_GB2312" w:eastAsia="仿宋_GB2312"/>
          <w:sz w:val="32"/>
          <w:szCs w:val="32"/>
          <w:lang w:val="en-US" w:eastAsia="zh-CN"/>
        </w:rPr>
        <w:t>88.58</w:t>
      </w:r>
      <w:r>
        <w:rPr>
          <w:rFonts w:hint="eastAsia" w:ascii="仿宋_GB2312" w:eastAsia="仿宋_GB2312"/>
          <w:sz w:val="32"/>
          <w:szCs w:val="32"/>
        </w:rPr>
        <w:t>%。决算数</w:t>
      </w:r>
      <w:r>
        <w:rPr>
          <w:rFonts w:hint="eastAsia" w:ascii="仿宋_GB2312" w:eastAsia="仿宋_GB2312"/>
          <w:sz w:val="32"/>
          <w:szCs w:val="32"/>
          <w:lang w:eastAsia="zh-CN"/>
        </w:rPr>
        <w:t>小于</w:t>
      </w:r>
      <w:r>
        <w:rPr>
          <w:rFonts w:hint="eastAsia" w:ascii="仿宋_GB2312" w:eastAsia="仿宋_GB2312"/>
          <w:sz w:val="32"/>
          <w:szCs w:val="32"/>
        </w:rPr>
        <w:t>年初预算数主要原因是</w:t>
      </w:r>
      <w:r>
        <w:rPr>
          <w:rFonts w:hint="eastAsia" w:ascii="仿宋_GB2312" w:eastAsia="仿宋_GB2312"/>
          <w:sz w:val="32"/>
          <w:szCs w:val="32"/>
          <w:lang w:eastAsia="zh-CN"/>
        </w:rPr>
        <w:t>受疫情影响，接收强制隔离戒毒人员没有达到预计接收人数。</w:t>
      </w:r>
    </w:p>
    <w:p>
      <w:pPr>
        <w:numPr>
          <w:ilvl w:val="0"/>
          <w:numId w:val="1"/>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rPr>
        <w:t>（类）</w:t>
      </w:r>
      <w:r>
        <w:rPr>
          <w:rFonts w:hint="eastAsia" w:ascii="仿宋_GB2312" w:eastAsia="仿宋_GB2312"/>
          <w:sz w:val="32"/>
          <w:szCs w:val="32"/>
          <w:lang w:eastAsia="zh-CN"/>
        </w:rPr>
        <w:t>强制隔离戒毒</w:t>
      </w:r>
      <w:r>
        <w:rPr>
          <w:rFonts w:hint="eastAsia" w:ascii="仿宋_GB2312" w:eastAsia="仿宋_GB2312"/>
          <w:sz w:val="32"/>
          <w:szCs w:val="32"/>
        </w:rPr>
        <w:t>（款</w:t>
      </w:r>
      <w:r>
        <w:rPr>
          <w:rFonts w:hint="eastAsia" w:ascii="仿宋_GB2312" w:eastAsia="仿宋_GB2312"/>
          <w:sz w:val="32"/>
          <w:szCs w:val="32"/>
          <w:lang w:eastAsia="zh-CN"/>
        </w:rPr>
        <w:t>强制隔离戒毒人员教育</w:t>
      </w:r>
      <w:r>
        <w:rPr>
          <w:rFonts w:hint="eastAsia" w:ascii="仿宋_GB2312" w:eastAsia="仿宋_GB2312"/>
          <w:sz w:val="32"/>
          <w:szCs w:val="32"/>
        </w:rPr>
        <w:t>（项）。年初预算为</w:t>
      </w:r>
      <w:r>
        <w:rPr>
          <w:rFonts w:hint="eastAsia" w:ascii="仿宋_GB2312" w:eastAsia="仿宋_GB2312"/>
          <w:sz w:val="32"/>
          <w:szCs w:val="32"/>
          <w:lang w:val="en-US" w:eastAsia="zh-CN"/>
        </w:rPr>
        <w:t>30.16</w:t>
      </w:r>
      <w:r>
        <w:rPr>
          <w:rFonts w:hint="eastAsia" w:ascii="仿宋_GB2312" w:eastAsia="仿宋_GB2312"/>
          <w:sz w:val="32"/>
          <w:szCs w:val="32"/>
        </w:rPr>
        <w:t>万元，支出决算为</w:t>
      </w:r>
      <w:r>
        <w:rPr>
          <w:rFonts w:hint="eastAsia" w:ascii="仿宋_GB2312" w:eastAsia="仿宋_GB2312"/>
          <w:sz w:val="32"/>
          <w:szCs w:val="32"/>
          <w:lang w:val="en-US" w:eastAsia="zh-CN"/>
        </w:rPr>
        <w:t>25.42</w:t>
      </w:r>
      <w:r>
        <w:rPr>
          <w:rFonts w:hint="eastAsia" w:ascii="仿宋_GB2312" w:eastAsia="仿宋_GB2312"/>
          <w:sz w:val="32"/>
          <w:szCs w:val="32"/>
        </w:rPr>
        <w:t>万元，完成年初预算的</w:t>
      </w:r>
      <w:r>
        <w:rPr>
          <w:rFonts w:hint="eastAsia" w:ascii="仿宋_GB2312" w:eastAsia="仿宋_GB2312"/>
          <w:sz w:val="32"/>
          <w:szCs w:val="32"/>
          <w:lang w:val="en-US" w:eastAsia="zh-CN"/>
        </w:rPr>
        <w:t>84.28</w:t>
      </w:r>
      <w:r>
        <w:rPr>
          <w:rFonts w:hint="eastAsia" w:ascii="仿宋_GB2312" w:eastAsia="仿宋_GB2312"/>
          <w:sz w:val="32"/>
          <w:szCs w:val="32"/>
        </w:rPr>
        <w:t>%。决算数</w:t>
      </w:r>
      <w:r>
        <w:rPr>
          <w:rFonts w:hint="eastAsia" w:ascii="仿宋_GB2312" w:eastAsia="仿宋_GB2312"/>
          <w:sz w:val="32"/>
          <w:szCs w:val="32"/>
          <w:lang w:eastAsia="zh-CN"/>
        </w:rPr>
        <w:t>小于年</w:t>
      </w:r>
      <w:r>
        <w:rPr>
          <w:rFonts w:hint="eastAsia" w:ascii="仿宋_GB2312" w:eastAsia="仿宋_GB2312"/>
          <w:sz w:val="32"/>
          <w:szCs w:val="32"/>
        </w:rPr>
        <w:t>初预算数主要原因是</w:t>
      </w:r>
      <w:r>
        <w:rPr>
          <w:rFonts w:hint="eastAsia" w:ascii="仿宋_GB2312" w:eastAsia="仿宋_GB2312"/>
          <w:sz w:val="32"/>
          <w:szCs w:val="32"/>
          <w:lang w:eastAsia="zh-CN"/>
        </w:rPr>
        <w:t>受疫情影响，接收强制隔离戒毒人员没有达到预计接收人数。</w:t>
      </w:r>
    </w:p>
    <w:p>
      <w:pPr>
        <w:numPr>
          <w:ilvl w:val="0"/>
          <w:numId w:val="1"/>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rPr>
        <w:t>（类）</w:t>
      </w:r>
      <w:r>
        <w:rPr>
          <w:rFonts w:hint="eastAsia" w:ascii="仿宋_GB2312" w:eastAsia="仿宋_GB2312"/>
          <w:sz w:val="32"/>
          <w:szCs w:val="32"/>
          <w:lang w:eastAsia="zh-CN"/>
        </w:rPr>
        <w:t>强制隔离戒毒</w:t>
      </w:r>
      <w:r>
        <w:rPr>
          <w:rFonts w:hint="eastAsia" w:ascii="仿宋_GB2312" w:eastAsia="仿宋_GB2312"/>
          <w:sz w:val="32"/>
          <w:szCs w:val="32"/>
        </w:rPr>
        <w:t>（款）</w:t>
      </w:r>
      <w:r>
        <w:rPr>
          <w:rFonts w:hint="eastAsia" w:ascii="仿宋_GB2312" w:eastAsia="仿宋_GB2312"/>
          <w:sz w:val="32"/>
          <w:szCs w:val="32"/>
          <w:lang w:eastAsia="zh-CN"/>
        </w:rPr>
        <w:t>所政设施建设</w:t>
      </w:r>
      <w:r>
        <w:rPr>
          <w:rFonts w:hint="eastAsia" w:ascii="仿宋_GB2312" w:eastAsia="仿宋_GB2312"/>
          <w:sz w:val="32"/>
          <w:szCs w:val="32"/>
        </w:rPr>
        <w:t>（项）。年初预算为</w:t>
      </w:r>
      <w:r>
        <w:rPr>
          <w:rFonts w:hint="eastAsia" w:ascii="仿宋_GB2312" w:eastAsia="仿宋_GB2312"/>
          <w:sz w:val="32"/>
          <w:szCs w:val="32"/>
          <w:lang w:val="en-US" w:eastAsia="zh-CN"/>
        </w:rPr>
        <w:t>1572.06</w:t>
      </w:r>
      <w:r>
        <w:rPr>
          <w:rFonts w:hint="eastAsia" w:ascii="仿宋_GB2312" w:eastAsia="仿宋_GB2312"/>
          <w:sz w:val="32"/>
          <w:szCs w:val="32"/>
        </w:rPr>
        <w:t>万元，支出决算为</w:t>
      </w:r>
      <w:r>
        <w:rPr>
          <w:rFonts w:hint="eastAsia" w:ascii="仿宋_GB2312" w:eastAsia="仿宋_GB2312"/>
          <w:sz w:val="32"/>
          <w:szCs w:val="32"/>
          <w:lang w:val="en-US" w:eastAsia="zh-CN"/>
        </w:rPr>
        <w:t>719.01</w:t>
      </w:r>
      <w:r>
        <w:rPr>
          <w:rFonts w:hint="eastAsia" w:ascii="仿宋_GB2312" w:eastAsia="仿宋_GB2312"/>
          <w:sz w:val="32"/>
          <w:szCs w:val="32"/>
        </w:rPr>
        <w:t>万元，完成年初预算的</w:t>
      </w:r>
      <w:r>
        <w:rPr>
          <w:rFonts w:hint="eastAsia" w:ascii="仿宋_GB2312" w:eastAsia="仿宋_GB2312"/>
          <w:sz w:val="32"/>
          <w:szCs w:val="32"/>
          <w:lang w:val="en-US" w:eastAsia="zh-CN"/>
        </w:rPr>
        <w:t>45.74%</w:t>
      </w:r>
      <w:bookmarkStart w:id="0" w:name="_GoBack"/>
      <w:bookmarkEnd w:id="0"/>
      <w:r>
        <w:rPr>
          <w:rFonts w:hint="eastAsia" w:ascii="仿宋_GB2312" w:eastAsia="仿宋_GB2312"/>
          <w:sz w:val="32"/>
          <w:szCs w:val="32"/>
        </w:rPr>
        <w:t>。决算数</w:t>
      </w:r>
      <w:r>
        <w:rPr>
          <w:rFonts w:hint="eastAsia" w:ascii="仿宋_GB2312" w:eastAsia="仿宋_GB2312"/>
          <w:sz w:val="32"/>
          <w:szCs w:val="32"/>
          <w:lang w:eastAsia="zh-CN"/>
        </w:rPr>
        <w:t>小于</w:t>
      </w:r>
      <w:r>
        <w:rPr>
          <w:rFonts w:hint="eastAsia" w:ascii="仿宋_GB2312" w:eastAsia="仿宋_GB2312"/>
          <w:sz w:val="32"/>
          <w:szCs w:val="32"/>
        </w:rPr>
        <w:t>年初预算数主要原因是</w:t>
      </w:r>
      <w:r>
        <w:rPr>
          <w:rFonts w:hint="eastAsia" w:ascii="仿宋_GB2312" w:eastAsia="仿宋_GB2312"/>
          <w:sz w:val="32"/>
          <w:szCs w:val="32"/>
          <w:lang w:eastAsia="zh-CN"/>
        </w:rPr>
        <w:t>青岛市强制隔离戒毒所迁建项目经费减少。</w:t>
      </w:r>
    </w:p>
    <w:p>
      <w:pPr>
        <w:numPr>
          <w:ilvl w:val="0"/>
          <w:numId w:val="1"/>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公共安全支出</w:t>
      </w:r>
      <w:r>
        <w:rPr>
          <w:rFonts w:hint="eastAsia" w:ascii="仿宋_GB2312" w:eastAsia="仿宋_GB2312"/>
          <w:sz w:val="32"/>
          <w:szCs w:val="32"/>
        </w:rPr>
        <w:t>（类）</w:t>
      </w:r>
      <w:r>
        <w:rPr>
          <w:rFonts w:hint="eastAsia" w:ascii="仿宋_GB2312" w:eastAsia="仿宋_GB2312"/>
          <w:sz w:val="32"/>
          <w:szCs w:val="32"/>
          <w:lang w:eastAsia="zh-CN"/>
        </w:rPr>
        <w:t>强制隔离戒毒</w:t>
      </w:r>
      <w:r>
        <w:rPr>
          <w:rFonts w:hint="eastAsia" w:ascii="仿宋_GB2312" w:eastAsia="仿宋_GB2312"/>
          <w:sz w:val="32"/>
          <w:szCs w:val="32"/>
        </w:rPr>
        <w:t>（款）</w:t>
      </w:r>
      <w:r>
        <w:rPr>
          <w:rFonts w:hint="eastAsia" w:ascii="仿宋_GB2312" w:eastAsia="仿宋_GB2312"/>
          <w:sz w:val="32"/>
          <w:szCs w:val="32"/>
          <w:lang w:eastAsia="zh-CN"/>
        </w:rPr>
        <w:t>其他强制隔离戒毒支出</w:t>
      </w:r>
      <w:r>
        <w:rPr>
          <w:rFonts w:hint="eastAsia" w:ascii="仿宋_GB2312" w:eastAsia="仿宋_GB2312"/>
          <w:sz w:val="32"/>
          <w:szCs w:val="32"/>
        </w:rPr>
        <w:t>（项）。年初预算为</w:t>
      </w:r>
      <w:r>
        <w:rPr>
          <w:rFonts w:hint="eastAsia" w:ascii="仿宋_GB2312" w:eastAsia="仿宋_GB2312"/>
          <w:sz w:val="32"/>
          <w:szCs w:val="32"/>
          <w:lang w:val="en-US" w:eastAsia="zh-CN"/>
        </w:rPr>
        <w:t>28.37</w:t>
      </w:r>
      <w:r>
        <w:rPr>
          <w:rFonts w:hint="eastAsia" w:ascii="仿宋_GB2312" w:eastAsia="仿宋_GB2312"/>
          <w:sz w:val="32"/>
          <w:szCs w:val="32"/>
        </w:rPr>
        <w:t>万元，支出决算为</w:t>
      </w:r>
      <w:r>
        <w:rPr>
          <w:rFonts w:hint="eastAsia" w:ascii="仿宋_GB2312" w:eastAsia="仿宋_GB2312"/>
          <w:sz w:val="32"/>
          <w:szCs w:val="32"/>
          <w:lang w:val="en-US" w:eastAsia="zh-CN"/>
        </w:rPr>
        <w:t>27.63</w:t>
      </w:r>
      <w:r>
        <w:rPr>
          <w:rFonts w:hint="eastAsia" w:ascii="仿宋_GB2312" w:eastAsia="仿宋_GB2312"/>
          <w:sz w:val="32"/>
          <w:szCs w:val="32"/>
        </w:rPr>
        <w:t>万元，完成年初预算的</w:t>
      </w:r>
      <w:r>
        <w:rPr>
          <w:rFonts w:hint="eastAsia" w:ascii="仿宋_GB2312" w:eastAsia="仿宋_GB2312"/>
          <w:sz w:val="32"/>
          <w:szCs w:val="32"/>
          <w:lang w:val="en-US" w:eastAsia="zh-CN"/>
        </w:rPr>
        <w:t>97.39</w:t>
      </w:r>
      <w:r>
        <w:rPr>
          <w:rFonts w:hint="eastAsia" w:ascii="仿宋_GB2312" w:eastAsia="仿宋_GB2312"/>
          <w:sz w:val="32"/>
          <w:szCs w:val="32"/>
        </w:rPr>
        <w:t>%。决算数</w:t>
      </w:r>
      <w:r>
        <w:rPr>
          <w:rFonts w:hint="eastAsia" w:ascii="仿宋_GB2312" w:eastAsia="仿宋_GB2312"/>
          <w:sz w:val="32"/>
          <w:szCs w:val="32"/>
          <w:lang w:eastAsia="zh-CN"/>
        </w:rPr>
        <w:t>与</w:t>
      </w:r>
      <w:r>
        <w:rPr>
          <w:rFonts w:hint="eastAsia" w:ascii="仿宋_GB2312" w:eastAsia="仿宋_GB2312"/>
          <w:sz w:val="32"/>
          <w:szCs w:val="32"/>
        </w:rPr>
        <w:t>年初预算数</w:t>
      </w:r>
      <w:r>
        <w:rPr>
          <w:rFonts w:hint="eastAsia" w:ascii="仿宋_GB2312" w:eastAsia="仿宋_GB2312"/>
          <w:sz w:val="32"/>
          <w:szCs w:val="32"/>
          <w:lang w:eastAsia="zh-CN"/>
        </w:rPr>
        <w:t>基本持平。</w:t>
      </w:r>
    </w:p>
    <w:p>
      <w:pPr>
        <w:numPr>
          <w:ilvl w:val="0"/>
          <w:numId w:val="1"/>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社会保障和就业支出（类）行政事业单位离退休（款）</w:t>
      </w:r>
      <w:r>
        <w:rPr>
          <w:rFonts w:hint="eastAsia" w:ascii="仿宋_GB2312" w:eastAsia="仿宋_GB2312"/>
          <w:sz w:val="32"/>
          <w:szCs w:val="32"/>
          <w:lang w:eastAsia="zh-CN"/>
        </w:rPr>
        <w:t>机关事业单位基本养老保险缴费支出</w:t>
      </w:r>
      <w:r>
        <w:rPr>
          <w:rFonts w:hint="eastAsia" w:ascii="仿宋_GB2312" w:eastAsia="仿宋_GB2312"/>
          <w:sz w:val="32"/>
          <w:szCs w:val="32"/>
        </w:rPr>
        <w:t>（项）。年初预算为</w:t>
      </w:r>
      <w:r>
        <w:rPr>
          <w:rFonts w:hint="eastAsia" w:ascii="仿宋_GB2312" w:eastAsia="仿宋_GB2312"/>
          <w:sz w:val="32"/>
          <w:szCs w:val="32"/>
          <w:lang w:val="en-US" w:eastAsia="zh-CN"/>
        </w:rPr>
        <w:t>337.11</w:t>
      </w:r>
      <w:r>
        <w:rPr>
          <w:rFonts w:hint="eastAsia" w:ascii="仿宋_GB2312" w:eastAsia="仿宋_GB2312"/>
          <w:sz w:val="32"/>
          <w:szCs w:val="32"/>
        </w:rPr>
        <w:t>万元，支出决算为</w:t>
      </w:r>
      <w:r>
        <w:rPr>
          <w:rFonts w:hint="eastAsia" w:ascii="仿宋_GB2312" w:eastAsia="仿宋_GB2312"/>
          <w:sz w:val="32"/>
          <w:szCs w:val="32"/>
          <w:lang w:val="en-US" w:eastAsia="zh-CN"/>
        </w:rPr>
        <w:t>332.77</w:t>
      </w:r>
      <w:r>
        <w:rPr>
          <w:rFonts w:hint="eastAsia" w:ascii="仿宋_GB2312" w:eastAsia="仿宋_GB2312"/>
          <w:sz w:val="32"/>
          <w:szCs w:val="32"/>
        </w:rPr>
        <w:t>万元，完成年初预算的</w:t>
      </w:r>
      <w:r>
        <w:rPr>
          <w:rFonts w:hint="eastAsia" w:ascii="仿宋_GB2312" w:eastAsia="仿宋_GB2312"/>
          <w:sz w:val="32"/>
          <w:szCs w:val="32"/>
          <w:lang w:val="en-US" w:eastAsia="zh-CN"/>
        </w:rPr>
        <w:t>98.71</w:t>
      </w:r>
      <w:r>
        <w:rPr>
          <w:rFonts w:hint="eastAsia" w:ascii="仿宋_GB2312" w:eastAsia="仿宋_GB2312"/>
          <w:sz w:val="32"/>
          <w:szCs w:val="32"/>
        </w:rPr>
        <w:t>%。决算数</w:t>
      </w:r>
      <w:r>
        <w:rPr>
          <w:rFonts w:hint="eastAsia" w:ascii="仿宋_GB2312" w:eastAsia="仿宋_GB2312"/>
          <w:sz w:val="32"/>
          <w:szCs w:val="32"/>
          <w:lang w:eastAsia="zh-CN"/>
        </w:rPr>
        <w:t>小</w:t>
      </w:r>
      <w:r>
        <w:rPr>
          <w:rFonts w:hint="eastAsia" w:ascii="仿宋_GB2312" w:eastAsia="仿宋_GB2312"/>
          <w:sz w:val="32"/>
          <w:szCs w:val="32"/>
        </w:rPr>
        <w:t>于年初预算数主要原因是</w:t>
      </w:r>
      <w:r>
        <w:rPr>
          <w:rFonts w:hint="eastAsia" w:ascii="仿宋_GB2312" w:eastAsia="仿宋_GB2312"/>
          <w:sz w:val="32"/>
          <w:szCs w:val="32"/>
          <w:lang w:eastAsia="zh-CN"/>
        </w:rPr>
        <w:t>退休人员增加</w:t>
      </w:r>
      <w:r>
        <w:rPr>
          <w:rFonts w:hint="eastAsia" w:ascii="仿宋_GB2312" w:eastAsia="仿宋_GB2312"/>
          <w:sz w:val="32"/>
          <w:szCs w:val="32"/>
        </w:rPr>
        <w:t>。</w:t>
      </w:r>
    </w:p>
    <w:p>
      <w:pPr>
        <w:numPr>
          <w:ilvl w:val="0"/>
          <w:numId w:val="1"/>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社会保障和就业支出（类）行政事业单位离退休（款）</w:t>
      </w:r>
      <w:r>
        <w:rPr>
          <w:rFonts w:hint="eastAsia" w:ascii="仿宋_GB2312" w:eastAsia="仿宋_GB2312"/>
          <w:sz w:val="32"/>
          <w:szCs w:val="32"/>
          <w:lang w:eastAsia="zh-CN"/>
        </w:rPr>
        <w:t>机关事业单位职业年金缴费支出</w:t>
      </w:r>
      <w:r>
        <w:rPr>
          <w:rFonts w:hint="eastAsia" w:ascii="仿宋_GB2312" w:eastAsia="仿宋_GB2312"/>
          <w:sz w:val="32"/>
          <w:szCs w:val="32"/>
        </w:rPr>
        <w:t>（项）。年初预算为</w:t>
      </w:r>
      <w:r>
        <w:rPr>
          <w:rFonts w:hint="eastAsia" w:ascii="仿宋_GB2312" w:eastAsia="仿宋_GB2312"/>
          <w:sz w:val="32"/>
          <w:szCs w:val="32"/>
          <w:lang w:val="en-US" w:eastAsia="zh-CN"/>
        </w:rPr>
        <w:t>168.55</w:t>
      </w:r>
      <w:r>
        <w:rPr>
          <w:rFonts w:hint="eastAsia" w:ascii="仿宋_GB2312" w:eastAsia="仿宋_GB2312"/>
          <w:sz w:val="32"/>
          <w:szCs w:val="32"/>
        </w:rPr>
        <w:t>万元，支出决算为</w:t>
      </w:r>
      <w:r>
        <w:rPr>
          <w:rFonts w:hint="eastAsia" w:ascii="仿宋_GB2312" w:eastAsia="仿宋_GB2312"/>
          <w:sz w:val="32"/>
          <w:szCs w:val="32"/>
          <w:lang w:val="en-US" w:eastAsia="zh-CN"/>
        </w:rPr>
        <w:t>166.39</w:t>
      </w:r>
      <w:r>
        <w:rPr>
          <w:rFonts w:hint="eastAsia" w:ascii="仿宋_GB2312" w:eastAsia="仿宋_GB2312"/>
          <w:sz w:val="32"/>
          <w:szCs w:val="32"/>
        </w:rPr>
        <w:t>万元，完成年初预算的</w:t>
      </w:r>
      <w:r>
        <w:rPr>
          <w:rFonts w:hint="eastAsia" w:ascii="仿宋_GB2312" w:eastAsia="仿宋_GB2312"/>
          <w:sz w:val="32"/>
          <w:szCs w:val="32"/>
          <w:lang w:val="en-US" w:eastAsia="zh-CN"/>
        </w:rPr>
        <w:t>98.71</w:t>
      </w:r>
      <w:r>
        <w:rPr>
          <w:rFonts w:hint="eastAsia" w:ascii="仿宋_GB2312" w:eastAsia="仿宋_GB2312"/>
          <w:sz w:val="32"/>
          <w:szCs w:val="32"/>
        </w:rPr>
        <w:t>%。决算数</w:t>
      </w:r>
      <w:r>
        <w:rPr>
          <w:rFonts w:hint="eastAsia" w:ascii="仿宋_GB2312" w:eastAsia="仿宋_GB2312"/>
          <w:sz w:val="32"/>
          <w:szCs w:val="32"/>
          <w:lang w:eastAsia="zh-CN"/>
        </w:rPr>
        <w:t>小</w:t>
      </w:r>
      <w:r>
        <w:rPr>
          <w:rFonts w:hint="eastAsia" w:ascii="仿宋_GB2312" w:eastAsia="仿宋_GB2312"/>
          <w:sz w:val="32"/>
          <w:szCs w:val="32"/>
        </w:rPr>
        <w:t>于年初预算数主要原因是</w:t>
      </w:r>
      <w:r>
        <w:rPr>
          <w:rFonts w:hint="eastAsia" w:ascii="仿宋_GB2312" w:eastAsia="仿宋_GB2312"/>
          <w:sz w:val="32"/>
          <w:szCs w:val="32"/>
          <w:lang w:eastAsia="zh-CN"/>
        </w:rPr>
        <w:t>退休人员增加</w:t>
      </w:r>
      <w:r>
        <w:rPr>
          <w:rFonts w:hint="eastAsia" w:ascii="仿宋_GB2312" w:eastAsia="仿宋_GB2312"/>
          <w:sz w:val="32"/>
          <w:szCs w:val="32"/>
        </w:rPr>
        <w:t>。</w:t>
      </w:r>
    </w:p>
    <w:p>
      <w:pPr>
        <w:numPr>
          <w:ilvl w:val="0"/>
          <w:numId w:val="1"/>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住房保障支出（类）住房改革支出（款）住房公积金（项）</w:t>
      </w:r>
      <w:r>
        <w:rPr>
          <w:rFonts w:hint="eastAsia" w:ascii="仿宋_GB2312" w:eastAsia="仿宋_GB2312"/>
          <w:sz w:val="32"/>
          <w:szCs w:val="32"/>
        </w:rPr>
        <w:t>年初预算为</w:t>
      </w:r>
      <w:r>
        <w:rPr>
          <w:rFonts w:hint="eastAsia" w:ascii="仿宋_GB2312" w:eastAsia="仿宋_GB2312"/>
          <w:sz w:val="32"/>
          <w:szCs w:val="32"/>
          <w:lang w:val="en-US" w:eastAsia="zh-CN"/>
        </w:rPr>
        <w:t>310.06</w:t>
      </w:r>
      <w:r>
        <w:rPr>
          <w:rFonts w:hint="eastAsia" w:ascii="仿宋_GB2312" w:eastAsia="仿宋_GB2312"/>
          <w:sz w:val="32"/>
          <w:szCs w:val="32"/>
        </w:rPr>
        <w:t>万元，支出决算为</w:t>
      </w:r>
      <w:r>
        <w:rPr>
          <w:rFonts w:hint="eastAsia" w:ascii="仿宋_GB2312" w:eastAsia="仿宋_GB2312"/>
          <w:sz w:val="32"/>
          <w:szCs w:val="32"/>
          <w:lang w:val="en-US" w:eastAsia="zh-CN"/>
        </w:rPr>
        <w:t>303.78</w:t>
      </w:r>
      <w:r>
        <w:rPr>
          <w:rFonts w:hint="eastAsia" w:ascii="仿宋_GB2312" w:eastAsia="仿宋_GB2312"/>
          <w:sz w:val="32"/>
          <w:szCs w:val="32"/>
        </w:rPr>
        <w:t>万元，完成年初预算的</w:t>
      </w:r>
      <w:r>
        <w:rPr>
          <w:rFonts w:hint="eastAsia" w:ascii="仿宋_GB2312" w:eastAsia="仿宋_GB2312"/>
          <w:sz w:val="32"/>
          <w:szCs w:val="32"/>
          <w:lang w:val="en-US" w:eastAsia="zh-CN"/>
        </w:rPr>
        <w:t>97.97</w:t>
      </w:r>
      <w:r>
        <w:rPr>
          <w:rFonts w:hint="eastAsia" w:ascii="仿宋_GB2312" w:eastAsia="仿宋_GB2312"/>
          <w:sz w:val="32"/>
          <w:szCs w:val="32"/>
        </w:rPr>
        <w:t>%。决算数</w:t>
      </w:r>
      <w:r>
        <w:rPr>
          <w:rFonts w:hint="eastAsia" w:ascii="仿宋_GB2312" w:eastAsia="仿宋_GB2312"/>
          <w:sz w:val="32"/>
          <w:szCs w:val="32"/>
          <w:lang w:eastAsia="zh-CN"/>
        </w:rPr>
        <w:t>小</w:t>
      </w:r>
      <w:r>
        <w:rPr>
          <w:rFonts w:hint="eastAsia" w:ascii="仿宋_GB2312" w:eastAsia="仿宋_GB2312"/>
          <w:sz w:val="32"/>
          <w:szCs w:val="32"/>
        </w:rPr>
        <w:t>于年初预算数主要原因是</w:t>
      </w:r>
      <w:r>
        <w:rPr>
          <w:rFonts w:hint="eastAsia" w:ascii="仿宋_GB2312" w:eastAsia="仿宋_GB2312"/>
          <w:sz w:val="32"/>
          <w:szCs w:val="32"/>
          <w:lang w:eastAsia="zh-CN"/>
        </w:rPr>
        <w:t>退休人员增加</w:t>
      </w:r>
      <w:r>
        <w:rPr>
          <w:rFonts w:hint="eastAsia" w:ascii="仿宋_GB2312" w:eastAsia="仿宋_GB2312"/>
          <w:sz w:val="32"/>
          <w:szCs w:val="32"/>
        </w:rPr>
        <w:t>。</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（六）一般公共预算财政拨款基本支出决算情况说明</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2020年度一般公共预算财政拨款基本支出决算</w:t>
      </w:r>
      <w:r>
        <w:rPr>
          <w:rFonts w:hint="eastAsia" w:ascii="仿宋_GB2312" w:eastAsia="仿宋_GB2312"/>
          <w:sz w:val="32"/>
          <w:szCs w:val="32"/>
          <w:lang w:val="en-US" w:eastAsia="zh-CN"/>
        </w:rPr>
        <w:t>7481.57</w:t>
      </w:r>
      <w:r>
        <w:rPr>
          <w:rFonts w:hint="eastAsia" w:ascii="仿宋_GB2312" w:eastAsia="仿宋_GB2312"/>
          <w:sz w:val="32"/>
          <w:szCs w:val="32"/>
        </w:rPr>
        <w:t>万元，包括人员经费和公用经费，支出具体情况如下：</w:t>
      </w:r>
    </w:p>
    <w:p>
      <w:pPr>
        <w:spacing w:line="580" w:lineRule="exact"/>
        <w:ind w:firstLine="640" w:firstLineChars="200"/>
        <w:rPr>
          <w:rFonts w:ascii="仿宋_GB2312" w:eastAsia="仿宋_GB2312"/>
          <w:b/>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4825.61</w:t>
      </w:r>
      <w:r>
        <w:rPr>
          <w:rFonts w:hint="eastAsia" w:ascii="仿宋_GB2312" w:eastAsia="仿宋_GB2312"/>
          <w:sz w:val="32"/>
          <w:szCs w:val="32"/>
        </w:rPr>
        <w:t>万元，主要包括：基本工资、津贴补贴、奖金、伙食补助费、绩效工资、机关事业单位基本养老保险缴费、</w:t>
      </w:r>
      <w:r>
        <w:rPr>
          <w:rFonts w:ascii="仿宋_GB2312" w:eastAsia="仿宋_GB2312"/>
          <w:sz w:val="32"/>
          <w:szCs w:val="32"/>
        </w:rPr>
        <w:t>职业年金缴费</w:t>
      </w:r>
      <w:r>
        <w:rPr>
          <w:rFonts w:hint="eastAsia" w:ascii="仿宋_GB2312" w:eastAsia="仿宋_GB2312"/>
          <w:sz w:val="32"/>
          <w:szCs w:val="32"/>
        </w:rPr>
        <w:t>、职工基本医疗保险缴费、</w:t>
      </w:r>
      <w:r>
        <w:rPr>
          <w:rFonts w:ascii="仿宋_GB2312" w:eastAsia="仿宋_GB2312"/>
          <w:sz w:val="32"/>
          <w:szCs w:val="32"/>
        </w:rPr>
        <w:t>公务员医疗补助缴费</w:t>
      </w:r>
      <w:r>
        <w:rPr>
          <w:rFonts w:hint="eastAsia" w:ascii="仿宋_GB2312" w:eastAsia="仿宋_GB2312"/>
          <w:sz w:val="32"/>
          <w:szCs w:val="32"/>
        </w:rPr>
        <w:t>、</w:t>
      </w:r>
      <w:r>
        <w:rPr>
          <w:rFonts w:ascii="仿宋_GB2312" w:eastAsia="仿宋_GB2312"/>
          <w:sz w:val="32"/>
          <w:szCs w:val="32"/>
        </w:rPr>
        <w:t>其他</w:t>
      </w:r>
      <w:r>
        <w:rPr>
          <w:rFonts w:hint="eastAsia" w:ascii="仿宋_GB2312" w:eastAsia="仿宋_GB2312"/>
          <w:sz w:val="32"/>
          <w:szCs w:val="32"/>
        </w:rPr>
        <w:t>社会保险缴费、</w:t>
      </w:r>
      <w:r>
        <w:rPr>
          <w:rFonts w:ascii="仿宋_GB2312" w:eastAsia="仿宋_GB2312"/>
          <w:sz w:val="32"/>
          <w:szCs w:val="32"/>
        </w:rPr>
        <w:t>其他</w:t>
      </w:r>
      <w:r>
        <w:rPr>
          <w:rFonts w:hint="eastAsia" w:ascii="仿宋_GB2312" w:eastAsia="仿宋_GB2312"/>
          <w:sz w:val="32"/>
          <w:szCs w:val="32"/>
        </w:rPr>
        <w:t>工资福利支出、离休费、退休费、退职</w:t>
      </w:r>
      <w:r>
        <w:rPr>
          <w:rFonts w:ascii="仿宋_GB2312" w:eastAsia="仿宋_GB2312"/>
          <w:sz w:val="32"/>
          <w:szCs w:val="32"/>
        </w:rPr>
        <w:t>（</w:t>
      </w:r>
      <w:r>
        <w:rPr>
          <w:rFonts w:hint="eastAsia" w:ascii="仿宋_GB2312" w:eastAsia="仿宋_GB2312"/>
          <w:sz w:val="32"/>
          <w:szCs w:val="32"/>
        </w:rPr>
        <w:t>役</w:t>
      </w:r>
      <w:r>
        <w:rPr>
          <w:rFonts w:ascii="仿宋_GB2312" w:eastAsia="仿宋_GB2312"/>
          <w:sz w:val="32"/>
          <w:szCs w:val="32"/>
        </w:rPr>
        <w:t>）</w:t>
      </w:r>
      <w:r>
        <w:rPr>
          <w:rFonts w:hint="eastAsia" w:ascii="仿宋_GB2312" w:eastAsia="仿宋_GB2312"/>
          <w:sz w:val="32"/>
          <w:szCs w:val="32"/>
        </w:rPr>
        <w:t>费</w:t>
      </w:r>
      <w:r>
        <w:rPr>
          <w:rFonts w:ascii="仿宋_GB2312" w:eastAsia="仿宋_GB2312"/>
          <w:sz w:val="32"/>
          <w:szCs w:val="32"/>
        </w:rPr>
        <w:t>、</w:t>
      </w:r>
      <w:r>
        <w:rPr>
          <w:rFonts w:hint="eastAsia" w:ascii="仿宋_GB2312" w:eastAsia="仿宋_GB2312"/>
          <w:sz w:val="32"/>
          <w:szCs w:val="32"/>
        </w:rPr>
        <w:t>抚恤金、生活补助、医疗费补助、助学金、奖励金、住房公积金、其他对个人和家庭的补助等。</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公用经费</w:t>
      </w:r>
      <w:r>
        <w:rPr>
          <w:rFonts w:hint="eastAsia" w:ascii="仿宋_GB2312" w:eastAsia="仿宋_GB2312"/>
          <w:sz w:val="32"/>
          <w:szCs w:val="32"/>
          <w:lang w:val="en-US" w:eastAsia="zh-CN"/>
        </w:rPr>
        <w:t>2655.96</w:t>
      </w:r>
      <w:r>
        <w:rPr>
          <w:rFonts w:hint="eastAsia" w:ascii="仿宋_GB2312" w:eastAsia="仿宋_GB2312"/>
          <w:sz w:val="32"/>
          <w:szCs w:val="32"/>
        </w:rPr>
        <w:t>万元，主要包括：办公费、印刷费、咨询费、手续费、水费、电费、邮电费、取暖费、物业管理费、差旅费、因公出国（境）费用、维修（护）费、租赁费、会议费、培训费、公务接待费、专用材料费、被装购置费</w:t>
      </w:r>
      <w:r>
        <w:rPr>
          <w:rFonts w:ascii="仿宋_GB2312" w:eastAsia="仿宋_GB2312"/>
          <w:sz w:val="32"/>
          <w:szCs w:val="32"/>
        </w:rPr>
        <w:t>、</w:t>
      </w:r>
      <w:r>
        <w:rPr>
          <w:rFonts w:hint="eastAsia" w:ascii="仿宋_GB2312" w:eastAsia="仿宋_GB2312"/>
          <w:sz w:val="32"/>
          <w:szCs w:val="32"/>
        </w:rPr>
        <w:t>劳务费、委托业务费、工会经费、福利费、公务用车运行维护费、其他交通费用、税金及附加费用</w:t>
      </w:r>
      <w:r>
        <w:rPr>
          <w:rFonts w:ascii="仿宋_GB2312" w:eastAsia="仿宋_GB2312"/>
          <w:sz w:val="32"/>
          <w:szCs w:val="32"/>
        </w:rPr>
        <w:t>、</w:t>
      </w:r>
      <w:r>
        <w:rPr>
          <w:rFonts w:hint="eastAsia" w:ascii="仿宋_GB2312" w:eastAsia="仿宋_GB2312"/>
          <w:sz w:val="32"/>
          <w:szCs w:val="32"/>
        </w:rPr>
        <w:t>其他商品和服务支出、办公设备购置、专用设备购置、</w:t>
      </w:r>
      <w:r>
        <w:rPr>
          <w:rFonts w:ascii="仿宋_GB2312" w:eastAsia="仿宋_GB2312"/>
          <w:sz w:val="32"/>
          <w:szCs w:val="32"/>
        </w:rPr>
        <w:t>公务用车</w:t>
      </w:r>
      <w:r>
        <w:rPr>
          <w:rFonts w:hint="eastAsia" w:ascii="仿宋_GB2312" w:eastAsia="仿宋_GB2312"/>
          <w:sz w:val="32"/>
          <w:szCs w:val="32"/>
        </w:rPr>
        <w:t>购置、其他资本性支出等。</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（七）一般公共预算财政拨款“三公”经费支出决算情况说明</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1.“三公”经费支出决算总体情况</w:t>
      </w:r>
    </w:p>
    <w:p>
      <w:pPr>
        <w:spacing w:line="560" w:lineRule="exact"/>
        <w:ind w:firstLine="640" w:firstLineChars="200"/>
        <w:rPr>
          <w:rFonts w:hint="eastAsia" w:ascii="仿宋_GB2312" w:eastAsia="仿宋_GB2312"/>
          <w:b/>
          <w:sz w:val="32"/>
          <w:szCs w:val="32"/>
        </w:rPr>
      </w:pPr>
      <w:r>
        <w:rPr>
          <w:rFonts w:hint="eastAsia" w:ascii="仿宋_GB2312" w:eastAsia="仿宋_GB2312"/>
          <w:sz w:val="32"/>
          <w:szCs w:val="32"/>
        </w:rPr>
        <w:t>2020年度一般公共预算财政拨款“三公”经费支出年初预算为</w:t>
      </w:r>
      <w:r>
        <w:rPr>
          <w:rFonts w:hint="eastAsia" w:ascii="仿宋_GB2312" w:eastAsia="仿宋_GB2312"/>
          <w:sz w:val="32"/>
          <w:szCs w:val="32"/>
          <w:lang w:val="en-US" w:eastAsia="zh-CN"/>
        </w:rPr>
        <w:t>44.99</w:t>
      </w:r>
      <w:r>
        <w:rPr>
          <w:rFonts w:hint="eastAsia" w:ascii="仿宋_GB2312" w:eastAsia="仿宋_GB2312"/>
          <w:sz w:val="32"/>
          <w:szCs w:val="32"/>
        </w:rPr>
        <w:t>万元，支出决算为</w:t>
      </w:r>
      <w:r>
        <w:rPr>
          <w:rFonts w:hint="eastAsia" w:ascii="仿宋_GB2312" w:eastAsia="仿宋_GB2312"/>
          <w:sz w:val="32"/>
          <w:szCs w:val="32"/>
          <w:lang w:val="en-US" w:eastAsia="zh-CN"/>
        </w:rPr>
        <w:t>7.77</w:t>
      </w:r>
      <w:r>
        <w:rPr>
          <w:rFonts w:hint="eastAsia" w:ascii="仿宋_GB2312" w:eastAsia="仿宋_GB2312"/>
          <w:sz w:val="32"/>
          <w:szCs w:val="32"/>
        </w:rPr>
        <w:t>万元，比年初预算减少</w:t>
      </w:r>
      <w:r>
        <w:rPr>
          <w:rFonts w:hint="eastAsia" w:ascii="仿宋_GB2312" w:eastAsia="仿宋_GB2312"/>
          <w:sz w:val="32"/>
          <w:szCs w:val="32"/>
          <w:lang w:val="en-US" w:eastAsia="zh-CN"/>
        </w:rPr>
        <w:t>37.22</w:t>
      </w:r>
      <w:r>
        <w:rPr>
          <w:rFonts w:hint="eastAsia" w:ascii="仿宋_GB2312" w:eastAsia="仿宋_GB2312"/>
          <w:sz w:val="32"/>
          <w:szCs w:val="32"/>
        </w:rPr>
        <w:t>万元，完成年初预算的</w:t>
      </w:r>
      <w:r>
        <w:rPr>
          <w:rFonts w:hint="eastAsia" w:ascii="仿宋_GB2312" w:eastAsia="仿宋_GB2312"/>
          <w:sz w:val="32"/>
          <w:szCs w:val="32"/>
          <w:lang w:val="en-US" w:eastAsia="zh-CN"/>
        </w:rPr>
        <w:t>17.27</w:t>
      </w:r>
      <w:r>
        <w:rPr>
          <w:rFonts w:hint="eastAsia" w:ascii="仿宋_GB2312" w:eastAsia="仿宋_GB2312"/>
          <w:sz w:val="32"/>
          <w:szCs w:val="32"/>
        </w:rPr>
        <w:t>%， 决算数小于年初预算数的主要原因是</w:t>
      </w:r>
      <w:r>
        <w:rPr>
          <w:rFonts w:eastAsia="仿宋_GB2312"/>
          <w:sz w:val="32"/>
          <w:szCs w:val="32"/>
        </w:rPr>
        <w:t>落实“厉行节约”规定，</w:t>
      </w:r>
      <w:r>
        <w:rPr>
          <w:rFonts w:hint="eastAsia" w:eastAsia="仿宋_GB2312"/>
          <w:sz w:val="32"/>
          <w:szCs w:val="32"/>
        </w:rPr>
        <w:t>严格控制经费支出</w:t>
      </w:r>
      <w:r>
        <w:rPr>
          <w:rFonts w:hint="eastAsia" w:ascii="仿宋_GB2312" w:eastAsia="仿宋_GB2312"/>
          <w:sz w:val="32"/>
          <w:szCs w:val="32"/>
        </w:rPr>
        <w:t>。</w:t>
      </w:r>
    </w:p>
    <w:p>
      <w:pPr>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2.“三公”经费支出决算具体情况</w:t>
      </w:r>
    </w:p>
    <w:p>
      <w:pPr>
        <w:spacing w:line="560" w:lineRule="exact"/>
        <w:ind w:firstLine="640" w:firstLineChars="200"/>
        <w:rPr>
          <w:rFonts w:hint="eastAsia" w:ascii="仿宋_GB2312" w:eastAsia="仿宋_GB2312"/>
          <w:b/>
          <w:sz w:val="32"/>
          <w:szCs w:val="32"/>
          <w:lang w:val="en-US" w:eastAsia="zh-CN"/>
        </w:rPr>
      </w:pPr>
      <w:r>
        <w:rPr>
          <w:rFonts w:hint="eastAsia" w:ascii="仿宋_GB2312" w:eastAsia="仿宋_GB2312"/>
          <w:sz w:val="32"/>
          <w:szCs w:val="32"/>
        </w:rPr>
        <w:t>（1）因公出国（境）费年初预算为</w:t>
      </w:r>
      <w:r>
        <w:rPr>
          <w:rFonts w:hint="eastAsia" w:ascii="仿宋_GB2312" w:eastAsia="仿宋_GB2312"/>
          <w:sz w:val="32"/>
          <w:szCs w:val="32"/>
          <w:lang w:val="en-US" w:eastAsia="zh-CN"/>
        </w:rPr>
        <w:t>0.00</w:t>
      </w:r>
      <w:r>
        <w:rPr>
          <w:rFonts w:hint="eastAsia" w:ascii="仿宋_GB2312" w:eastAsia="仿宋_GB2312"/>
          <w:sz w:val="32"/>
          <w:szCs w:val="32"/>
        </w:rPr>
        <w:t>万元，支出决算为</w:t>
      </w:r>
      <w:r>
        <w:rPr>
          <w:rFonts w:hint="eastAsia" w:ascii="仿宋_GB2312" w:eastAsia="仿宋_GB2312"/>
          <w:sz w:val="32"/>
          <w:szCs w:val="32"/>
          <w:lang w:val="en-US" w:eastAsia="zh-CN"/>
        </w:rPr>
        <w:t>0.00</w:t>
      </w:r>
      <w:r>
        <w:rPr>
          <w:rFonts w:hint="eastAsia" w:ascii="仿宋_GB2312" w:eastAsia="仿宋_GB2312"/>
          <w:sz w:val="32"/>
          <w:szCs w:val="32"/>
        </w:rPr>
        <w:t>万元，</w:t>
      </w:r>
      <w:r>
        <w:rPr>
          <w:rFonts w:hint="eastAsia" w:ascii="仿宋_GB2312" w:eastAsia="仿宋_GB2312"/>
          <w:sz w:val="32"/>
          <w:szCs w:val="32"/>
          <w:lang w:eastAsia="zh-CN"/>
        </w:rPr>
        <w:t>我单位</w:t>
      </w:r>
      <w:r>
        <w:rPr>
          <w:rFonts w:hint="eastAsia" w:ascii="仿宋_GB2312" w:eastAsia="仿宋_GB2312"/>
          <w:sz w:val="32"/>
          <w:szCs w:val="32"/>
          <w:lang w:val="en-US" w:eastAsia="zh-CN"/>
        </w:rPr>
        <w:t>2020年度无</w:t>
      </w:r>
      <w:r>
        <w:rPr>
          <w:rFonts w:hint="eastAsia" w:ascii="仿宋_GB2312" w:eastAsia="仿宋_GB2312"/>
          <w:sz w:val="32"/>
          <w:szCs w:val="32"/>
        </w:rPr>
        <w:t>因公出国（境）费</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（2）公务用车购置及运行维护费年初预算为</w:t>
      </w:r>
      <w:r>
        <w:rPr>
          <w:rFonts w:hint="eastAsia" w:ascii="仿宋_GB2312" w:eastAsia="仿宋_GB2312"/>
          <w:sz w:val="32"/>
          <w:szCs w:val="32"/>
          <w:lang w:val="en-US" w:eastAsia="zh-CN"/>
        </w:rPr>
        <w:t>41.99</w:t>
      </w:r>
      <w:r>
        <w:rPr>
          <w:rFonts w:hint="eastAsia" w:ascii="仿宋_GB2312" w:eastAsia="仿宋_GB2312"/>
          <w:sz w:val="32"/>
          <w:szCs w:val="32"/>
        </w:rPr>
        <w:t>万元，支出决算为</w:t>
      </w:r>
      <w:r>
        <w:rPr>
          <w:rFonts w:hint="eastAsia" w:ascii="仿宋_GB2312" w:eastAsia="仿宋_GB2312"/>
          <w:sz w:val="32"/>
          <w:szCs w:val="32"/>
          <w:lang w:val="en-US" w:eastAsia="zh-CN"/>
        </w:rPr>
        <w:t>7.45</w:t>
      </w:r>
      <w:r>
        <w:rPr>
          <w:rFonts w:hint="eastAsia" w:ascii="仿宋_GB2312" w:eastAsia="仿宋_GB2312"/>
          <w:sz w:val="32"/>
          <w:szCs w:val="32"/>
        </w:rPr>
        <w:t>万元，比年初预算减少</w:t>
      </w:r>
      <w:r>
        <w:rPr>
          <w:rFonts w:hint="eastAsia" w:ascii="仿宋_GB2312" w:eastAsia="仿宋_GB2312"/>
          <w:sz w:val="32"/>
          <w:szCs w:val="32"/>
          <w:lang w:val="en-US" w:eastAsia="zh-CN"/>
        </w:rPr>
        <w:t>34.54</w:t>
      </w:r>
      <w:r>
        <w:rPr>
          <w:rFonts w:hint="eastAsia" w:ascii="仿宋_GB2312" w:eastAsia="仿宋_GB2312"/>
          <w:sz w:val="32"/>
          <w:szCs w:val="32"/>
        </w:rPr>
        <w:t>万元，完成年初预算的</w:t>
      </w:r>
      <w:r>
        <w:rPr>
          <w:rFonts w:hint="eastAsia" w:ascii="仿宋_GB2312" w:eastAsia="仿宋_GB2312"/>
          <w:sz w:val="32"/>
          <w:szCs w:val="32"/>
          <w:lang w:val="en-US" w:eastAsia="zh-CN"/>
        </w:rPr>
        <w:t>17.74</w:t>
      </w:r>
      <w:r>
        <w:rPr>
          <w:rFonts w:hint="eastAsia" w:ascii="仿宋_GB2312" w:eastAsia="仿宋_GB2312"/>
          <w:sz w:val="32"/>
          <w:szCs w:val="32"/>
        </w:rPr>
        <w:t>%，决算数小于年初预算数的主要原因是</w:t>
      </w:r>
      <w:r>
        <w:rPr>
          <w:rFonts w:eastAsia="仿宋_GB2312"/>
          <w:sz w:val="32"/>
          <w:szCs w:val="32"/>
        </w:rPr>
        <w:t>落实“厉行节约”规定，</w:t>
      </w:r>
      <w:r>
        <w:rPr>
          <w:rFonts w:hint="eastAsia" w:eastAsia="仿宋_GB2312"/>
          <w:sz w:val="32"/>
          <w:szCs w:val="32"/>
        </w:rPr>
        <w:t>严格控制公车</w:t>
      </w:r>
      <w:r>
        <w:rPr>
          <w:rFonts w:eastAsia="仿宋_GB2312"/>
          <w:sz w:val="32"/>
          <w:szCs w:val="32"/>
        </w:rPr>
        <w:t>运行费</w:t>
      </w:r>
      <w:r>
        <w:rPr>
          <w:rFonts w:hint="eastAsia" w:eastAsia="仿宋_GB2312"/>
          <w:sz w:val="32"/>
          <w:szCs w:val="32"/>
        </w:rPr>
        <w:t>支出</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其中：</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公务用车购置费支出</w:t>
      </w:r>
      <w:r>
        <w:rPr>
          <w:rFonts w:hint="eastAsia" w:ascii="仿宋_GB2312" w:eastAsia="仿宋_GB2312"/>
          <w:sz w:val="32"/>
          <w:szCs w:val="32"/>
          <w:lang w:val="en-US" w:eastAsia="zh-CN"/>
        </w:rPr>
        <w:t>0.00</w:t>
      </w:r>
      <w:r>
        <w:rPr>
          <w:rFonts w:hint="eastAsia" w:ascii="仿宋_GB2312" w:eastAsia="仿宋_GB2312"/>
          <w:sz w:val="32"/>
          <w:szCs w:val="32"/>
        </w:rPr>
        <w:t>万元，2020年</w:t>
      </w:r>
      <w:r>
        <w:rPr>
          <w:rFonts w:hint="eastAsia" w:ascii="仿宋_GB2312" w:eastAsia="仿宋_GB2312"/>
          <w:sz w:val="32"/>
          <w:szCs w:val="32"/>
          <w:lang w:eastAsia="zh-CN"/>
        </w:rPr>
        <w:t>我</w:t>
      </w:r>
      <w:r>
        <w:rPr>
          <w:rFonts w:hint="eastAsia" w:ascii="仿宋_GB2312" w:eastAsia="仿宋_GB2312"/>
          <w:sz w:val="32"/>
          <w:szCs w:val="32"/>
        </w:rPr>
        <w:t>单位使用财政拨款购置公务用车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公务用车运行维护费</w:t>
      </w:r>
      <w:r>
        <w:rPr>
          <w:rFonts w:hint="eastAsia" w:ascii="仿宋_GB2312" w:eastAsia="仿宋_GB2312"/>
          <w:sz w:val="32"/>
          <w:szCs w:val="32"/>
          <w:lang w:val="en-US" w:eastAsia="zh-CN"/>
        </w:rPr>
        <w:t>7.45</w:t>
      </w:r>
      <w:r>
        <w:rPr>
          <w:rFonts w:hint="eastAsia" w:ascii="仿宋_GB2312" w:eastAsia="仿宋_GB2312"/>
          <w:sz w:val="32"/>
          <w:szCs w:val="32"/>
        </w:rPr>
        <w:t>万元，主要是按规定保留的公务用车的燃料费、维修费等支出。截至2020年12月31日，</w:t>
      </w:r>
      <w:r>
        <w:rPr>
          <w:rFonts w:hint="eastAsia" w:ascii="仿宋_GB2312" w:eastAsia="仿宋_GB2312"/>
          <w:sz w:val="32"/>
          <w:szCs w:val="32"/>
          <w:lang w:eastAsia="zh-CN"/>
        </w:rPr>
        <w:t>我</w:t>
      </w:r>
      <w:r>
        <w:rPr>
          <w:rFonts w:hint="eastAsia" w:ascii="仿宋_GB2312" w:eastAsia="仿宋_GB2312"/>
          <w:sz w:val="32"/>
          <w:szCs w:val="32"/>
        </w:rPr>
        <w:t>单位财政拨款开支运行维护费的公务用车保有量为</w:t>
      </w:r>
      <w:r>
        <w:rPr>
          <w:rFonts w:hint="eastAsia" w:ascii="仿宋_GB2312" w:eastAsia="仿宋_GB2312"/>
          <w:color w:val="auto"/>
          <w:sz w:val="32"/>
          <w:szCs w:val="32"/>
          <w:lang w:val="en-US" w:eastAsia="zh-CN"/>
        </w:rPr>
        <w:t>7</w:t>
      </w:r>
      <w:r>
        <w:rPr>
          <w:rFonts w:hint="eastAsia" w:ascii="仿宋_GB2312" w:eastAsia="仿宋_GB2312"/>
          <w:sz w:val="32"/>
          <w:szCs w:val="32"/>
        </w:rPr>
        <w:t>辆。</w:t>
      </w:r>
    </w:p>
    <w:p>
      <w:pPr>
        <w:numPr>
          <w:ilvl w:val="0"/>
          <w:numId w:val="2"/>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公务接待费年初预算为</w:t>
      </w:r>
      <w:r>
        <w:rPr>
          <w:rFonts w:hint="eastAsia" w:ascii="仿宋_GB2312" w:eastAsia="仿宋_GB2312"/>
          <w:sz w:val="32"/>
          <w:szCs w:val="32"/>
          <w:lang w:val="en-US" w:eastAsia="zh-CN"/>
        </w:rPr>
        <w:t>3.00</w:t>
      </w:r>
      <w:r>
        <w:rPr>
          <w:rFonts w:hint="eastAsia" w:ascii="仿宋_GB2312" w:eastAsia="仿宋_GB2312"/>
          <w:sz w:val="32"/>
          <w:szCs w:val="32"/>
        </w:rPr>
        <w:t>万元，支出决算为</w:t>
      </w:r>
      <w:r>
        <w:rPr>
          <w:rFonts w:hint="eastAsia" w:ascii="仿宋_GB2312" w:eastAsia="仿宋_GB2312"/>
          <w:sz w:val="32"/>
          <w:szCs w:val="32"/>
          <w:lang w:val="en-US" w:eastAsia="zh-CN"/>
        </w:rPr>
        <w:t>0.33</w:t>
      </w:r>
      <w:r>
        <w:rPr>
          <w:rFonts w:hint="eastAsia" w:ascii="仿宋_GB2312" w:eastAsia="仿宋_GB2312"/>
          <w:sz w:val="32"/>
          <w:szCs w:val="32"/>
        </w:rPr>
        <w:t>万元，比年初预算减少</w:t>
      </w:r>
      <w:r>
        <w:rPr>
          <w:rFonts w:hint="eastAsia" w:ascii="仿宋_GB2312" w:eastAsia="仿宋_GB2312"/>
          <w:sz w:val="32"/>
          <w:szCs w:val="32"/>
          <w:lang w:val="en-US" w:eastAsia="zh-CN"/>
        </w:rPr>
        <w:t>2.67</w:t>
      </w:r>
      <w:r>
        <w:rPr>
          <w:rFonts w:hint="eastAsia" w:ascii="仿宋_GB2312" w:eastAsia="仿宋_GB2312"/>
          <w:sz w:val="32"/>
          <w:szCs w:val="32"/>
        </w:rPr>
        <w:t>万元，完成年初预算的</w:t>
      </w:r>
      <w:r>
        <w:rPr>
          <w:rFonts w:hint="eastAsia" w:ascii="仿宋_GB2312" w:eastAsia="仿宋_GB2312"/>
          <w:sz w:val="32"/>
          <w:szCs w:val="32"/>
          <w:lang w:val="en-US" w:eastAsia="zh-CN"/>
        </w:rPr>
        <w:t>11.00</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决算数小于年初预算数的主要原因是</w:t>
      </w:r>
      <w:r>
        <w:rPr>
          <w:rFonts w:eastAsia="仿宋_GB2312"/>
          <w:sz w:val="32"/>
          <w:szCs w:val="32"/>
        </w:rPr>
        <w:t>落实“厉行节约”规定，</w:t>
      </w:r>
      <w:r>
        <w:rPr>
          <w:rFonts w:hint="eastAsia" w:eastAsia="仿宋_GB2312"/>
          <w:sz w:val="32"/>
          <w:szCs w:val="32"/>
        </w:rPr>
        <w:t>严格控制公务接待费支出</w:t>
      </w:r>
      <w:r>
        <w:rPr>
          <w:rFonts w:hint="eastAsia" w:ascii="仿宋_GB2312" w:eastAsia="仿宋_GB2312"/>
          <w:sz w:val="32"/>
          <w:szCs w:val="32"/>
        </w:rPr>
        <w:t>。</w:t>
      </w:r>
    </w:p>
    <w:p>
      <w:pPr>
        <w:numPr>
          <w:ilvl w:val="0"/>
          <w:numId w:val="0"/>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其中：</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国内接待费</w:t>
      </w:r>
      <w:r>
        <w:rPr>
          <w:rFonts w:hint="eastAsia" w:ascii="仿宋_GB2312" w:eastAsia="仿宋_GB2312"/>
          <w:color w:val="auto"/>
          <w:sz w:val="32"/>
          <w:szCs w:val="32"/>
          <w:lang w:val="en-US" w:eastAsia="zh-CN"/>
        </w:rPr>
        <w:t>0.33</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按规定开支的各类公务接待支出，共计接待</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35</w:t>
      </w:r>
      <w:r>
        <w:rPr>
          <w:rFonts w:hint="eastAsia" w:ascii="仿宋_GB2312" w:eastAsia="仿宋_GB2312"/>
          <w:color w:val="auto"/>
          <w:sz w:val="32"/>
          <w:szCs w:val="32"/>
        </w:rPr>
        <w:t>人次（含外事接待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人次）；</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国（境）外接待费</w:t>
      </w:r>
      <w:r>
        <w:rPr>
          <w:rFonts w:hint="eastAsia" w:ascii="仿宋_GB2312" w:eastAsia="仿宋_GB2312"/>
          <w:sz w:val="32"/>
          <w:szCs w:val="32"/>
          <w:lang w:val="en-US" w:eastAsia="zh-CN"/>
        </w:rPr>
        <w:t>0.00</w:t>
      </w:r>
      <w:r>
        <w:rPr>
          <w:rFonts w:hint="eastAsia" w:ascii="仿宋_GB2312" w:eastAsia="仿宋_GB2312"/>
          <w:sz w:val="32"/>
          <w:szCs w:val="32"/>
        </w:rPr>
        <w:t>万元，共计接待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（八）政府性基金预算财政拨款收入支出决算情况说明</w:t>
      </w:r>
    </w:p>
    <w:p>
      <w:pPr>
        <w:spacing w:line="580" w:lineRule="exact"/>
        <w:ind w:firstLine="640" w:firstLineChars="200"/>
        <w:rPr>
          <w:rFonts w:ascii="仿宋_GB2312" w:hAnsi="宋体" w:eastAsia="仿宋_GB2312" w:cs="Courier New"/>
          <w:sz w:val="32"/>
          <w:szCs w:val="32"/>
        </w:rPr>
      </w:pPr>
      <w:r>
        <w:rPr>
          <w:rFonts w:hint="eastAsia" w:ascii="仿宋_GB2312" w:eastAsia="仿宋_GB2312"/>
          <w:sz w:val="32"/>
          <w:szCs w:val="32"/>
        </w:rPr>
        <w:t>本</w:t>
      </w:r>
      <w:r>
        <w:rPr>
          <w:rFonts w:hint="eastAsia" w:ascii="仿宋_GB2312" w:eastAsia="仿宋_GB2312"/>
          <w:sz w:val="32"/>
          <w:szCs w:val="32"/>
          <w:lang w:eastAsia="zh-CN"/>
        </w:rPr>
        <w:t>单位</w:t>
      </w:r>
      <w:r>
        <w:rPr>
          <w:rFonts w:hint="eastAsia" w:ascii="仿宋_GB2312" w:eastAsia="仿宋_GB2312"/>
          <w:sz w:val="32"/>
          <w:szCs w:val="32"/>
        </w:rPr>
        <w:t>没有政府性基金财政拨款收支。</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（九）国有资本经营预算财政拨款支出决算情况说明</w:t>
      </w:r>
    </w:p>
    <w:p>
      <w:pPr>
        <w:spacing w:line="58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本单位没有使用国有资本经营预算安排的支出</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 xml:space="preserve">二、其他重要事项情况说明 </w:t>
      </w:r>
    </w:p>
    <w:p>
      <w:pPr>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（一）机关运行经费支出情况</w:t>
      </w:r>
    </w:p>
    <w:p>
      <w:pPr>
        <w:spacing w:line="560" w:lineRule="exact"/>
        <w:ind w:firstLine="640" w:firstLineChars="200"/>
        <w:rPr>
          <w:rFonts w:hint="eastAsia" w:ascii="仿宋_GB2312" w:eastAsia="仿宋_GB2312"/>
          <w:b/>
          <w:sz w:val="32"/>
          <w:szCs w:val="32"/>
        </w:rPr>
      </w:pPr>
      <w:r>
        <w:rPr>
          <w:rFonts w:hint="eastAsia" w:ascii="仿宋_GB2312" w:eastAsia="仿宋_GB2312"/>
          <w:sz w:val="32"/>
          <w:szCs w:val="32"/>
        </w:rPr>
        <w:t>2020年度机关运行经费支出</w:t>
      </w:r>
      <w:r>
        <w:rPr>
          <w:rFonts w:hint="eastAsia" w:ascii="仿宋_GB2312" w:eastAsia="仿宋_GB2312"/>
          <w:sz w:val="32"/>
          <w:szCs w:val="32"/>
          <w:lang w:val="en-US" w:eastAsia="zh-CN"/>
        </w:rPr>
        <w:t>2655.96</w:t>
      </w:r>
      <w:r>
        <w:rPr>
          <w:rFonts w:hint="eastAsia" w:ascii="仿宋_GB2312" w:eastAsia="仿宋_GB2312"/>
          <w:sz w:val="32"/>
          <w:szCs w:val="32"/>
        </w:rPr>
        <w:t>万元，</w:t>
      </w:r>
      <w:r>
        <w:rPr>
          <w:rFonts w:hint="eastAsia" w:ascii="仿宋_GB2312" w:hAnsi="宋体" w:eastAsia="仿宋_GB2312" w:cs="Courier New"/>
          <w:sz w:val="32"/>
          <w:szCs w:val="32"/>
        </w:rPr>
        <w:t>比年初预算数增加</w:t>
      </w:r>
      <w:r>
        <w:rPr>
          <w:rFonts w:hint="eastAsia" w:ascii="仿宋_GB2312" w:hAnsi="宋体" w:eastAsia="仿宋_GB2312" w:cs="Courier New"/>
          <w:sz w:val="32"/>
          <w:szCs w:val="32"/>
          <w:lang w:val="en-US" w:eastAsia="zh-CN"/>
        </w:rPr>
        <w:t>433.76</w:t>
      </w:r>
      <w:r>
        <w:rPr>
          <w:rFonts w:hint="eastAsia" w:ascii="仿宋_GB2312" w:hAnsi="宋体" w:eastAsia="仿宋_GB2312" w:cs="Courier New"/>
          <w:sz w:val="32"/>
          <w:szCs w:val="32"/>
        </w:rPr>
        <w:t>万元，增长</w:t>
      </w:r>
      <w:r>
        <w:rPr>
          <w:rFonts w:hint="eastAsia" w:ascii="仿宋_GB2312" w:hAnsi="宋体" w:eastAsia="仿宋_GB2312" w:cs="Courier New"/>
          <w:sz w:val="32"/>
          <w:szCs w:val="32"/>
          <w:lang w:val="en-US" w:eastAsia="zh-CN"/>
        </w:rPr>
        <w:t>19.52</w:t>
      </w:r>
      <w:r>
        <w:rPr>
          <w:rFonts w:hint="eastAsia" w:ascii="仿宋_GB2312" w:hAnsi="宋体" w:eastAsia="仿宋_GB2312" w:cs="Courier New"/>
          <w:sz w:val="32"/>
          <w:szCs w:val="32"/>
        </w:rPr>
        <w:t>%，主要</w:t>
      </w:r>
      <w:r>
        <w:rPr>
          <w:rFonts w:hint="eastAsia" w:ascii="仿宋_GB2312" w:eastAsia="仿宋_GB2312"/>
          <w:sz w:val="32"/>
          <w:szCs w:val="32"/>
        </w:rPr>
        <w:t>原因是主要是</w:t>
      </w:r>
      <w:r>
        <w:rPr>
          <w:rFonts w:ascii="仿宋_GB2312" w:eastAsia="仿宋_GB2312"/>
          <w:sz w:val="32"/>
          <w:szCs w:val="32"/>
        </w:rPr>
        <w:t>人员经费增加</w:t>
      </w:r>
      <w:r>
        <w:rPr>
          <w:rFonts w:hint="eastAsia" w:ascii="仿宋_GB2312" w:eastAsia="仿宋_GB2312"/>
          <w:sz w:val="32"/>
          <w:szCs w:val="32"/>
        </w:rPr>
        <w:t>。</w:t>
      </w:r>
    </w:p>
    <w:p>
      <w:pPr>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（二）政府采购支出情况</w:t>
      </w:r>
    </w:p>
    <w:p>
      <w:pPr>
        <w:autoSpaceDE w:val="0"/>
        <w:autoSpaceDN w:val="0"/>
        <w:adjustRightInd w:val="0"/>
        <w:spacing w:line="560" w:lineRule="exact"/>
        <w:ind w:firstLine="640" w:firstLineChars="200"/>
        <w:rPr>
          <w:rFonts w:hint="eastAsia" w:ascii="仿宋_GB2312" w:hAnsi="宋体" w:eastAsia="仿宋_GB2312" w:cs="Courier New"/>
          <w:sz w:val="32"/>
          <w:szCs w:val="32"/>
        </w:rPr>
      </w:pPr>
      <w:r>
        <w:rPr>
          <w:rFonts w:hint="eastAsia" w:ascii="仿宋_GB2312" w:hAnsi="宋体" w:eastAsia="仿宋_GB2312" w:cs="Courier New"/>
          <w:sz w:val="32"/>
          <w:szCs w:val="32"/>
        </w:rPr>
        <w:t xml:space="preserve"> 2020年度政府采购支出总额</w:t>
      </w:r>
      <w:r>
        <w:rPr>
          <w:rFonts w:hint="eastAsia" w:ascii="仿宋_GB2312" w:hAnsi="宋体" w:eastAsia="仿宋_GB2312" w:cs="Courier New"/>
          <w:sz w:val="32"/>
          <w:szCs w:val="32"/>
          <w:lang w:val="en-US" w:eastAsia="zh-CN"/>
        </w:rPr>
        <w:t>96.2</w:t>
      </w:r>
      <w:r>
        <w:rPr>
          <w:rFonts w:hint="eastAsia" w:ascii="仿宋_GB2312" w:hAnsi="宋体" w:eastAsia="仿宋_GB2312" w:cs="Courier New"/>
          <w:sz w:val="32"/>
          <w:szCs w:val="32"/>
        </w:rPr>
        <w:t>万元，其中：政府采购货物支出</w:t>
      </w:r>
      <w:r>
        <w:rPr>
          <w:rFonts w:hint="eastAsia" w:ascii="仿宋_GB2312" w:hAnsi="宋体" w:eastAsia="仿宋_GB2312" w:cs="Courier New"/>
          <w:sz w:val="32"/>
          <w:szCs w:val="32"/>
          <w:lang w:val="en-US" w:eastAsia="zh-CN"/>
        </w:rPr>
        <w:t>2.64</w:t>
      </w:r>
      <w:r>
        <w:rPr>
          <w:rFonts w:hint="eastAsia" w:ascii="仿宋_GB2312" w:hAnsi="宋体" w:eastAsia="仿宋_GB2312" w:cs="Courier New"/>
          <w:sz w:val="32"/>
          <w:szCs w:val="32"/>
        </w:rPr>
        <w:t>万元、政府采购工程支出</w:t>
      </w:r>
      <w:r>
        <w:rPr>
          <w:rFonts w:hint="eastAsia" w:ascii="仿宋_GB2312" w:hAnsi="宋体" w:eastAsia="仿宋_GB2312" w:cs="Courier New"/>
          <w:sz w:val="32"/>
          <w:szCs w:val="32"/>
          <w:lang w:val="en-US" w:eastAsia="zh-CN"/>
        </w:rPr>
        <w:t>0.00</w:t>
      </w:r>
      <w:r>
        <w:rPr>
          <w:rFonts w:hint="eastAsia" w:ascii="仿宋_GB2312" w:hAnsi="宋体" w:eastAsia="仿宋_GB2312" w:cs="Courier New"/>
          <w:sz w:val="32"/>
          <w:szCs w:val="32"/>
        </w:rPr>
        <w:t>万元、政府采购服务支出</w:t>
      </w:r>
      <w:r>
        <w:rPr>
          <w:rFonts w:hint="eastAsia" w:ascii="仿宋_GB2312" w:hAnsi="宋体" w:eastAsia="仿宋_GB2312" w:cs="Courier New"/>
          <w:sz w:val="32"/>
          <w:szCs w:val="32"/>
          <w:lang w:val="en-US" w:eastAsia="zh-CN"/>
        </w:rPr>
        <w:t>93.56</w:t>
      </w:r>
      <w:r>
        <w:rPr>
          <w:rFonts w:hint="eastAsia" w:ascii="仿宋_GB2312" w:hAnsi="宋体" w:eastAsia="仿宋_GB2312" w:cs="Courier New"/>
          <w:sz w:val="32"/>
          <w:szCs w:val="32"/>
        </w:rPr>
        <w:t>万元。授予中小企业合同金额</w:t>
      </w:r>
      <w:r>
        <w:rPr>
          <w:rFonts w:hint="eastAsia" w:ascii="仿宋_GB2312" w:hAnsi="宋体" w:eastAsia="仿宋_GB2312" w:cs="Courier New"/>
          <w:sz w:val="32"/>
          <w:szCs w:val="32"/>
          <w:lang w:val="en-US" w:eastAsia="zh-CN"/>
        </w:rPr>
        <w:t>91.97</w:t>
      </w:r>
      <w:r>
        <w:rPr>
          <w:rFonts w:hint="eastAsia" w:ascii="仿宋_GB2312" w:hAnsi="宋体" w:eastAsia="仿宋_GB2312" w:cs="Courier New"/>
          <w:sz w:val="32"/>
          <w:szCs w:val="32"/>
        </w:rPr>
        <w:t>万元，占政府采购支出总额的</w:t>
      </w:r>
      <w:r>
        <w:rPr>
          <w:rFonts w:hint="eastAsia" w:ascii="仿宋_GB2312" w:hAnsi="宋体" w:eastAsia="仿宋_GB2312" w:cs="Courier New"/>
          <w:sz w:val="32"/>
          <w:szCs w:val="32"/>
          <w:lang w:val="en-US" w:eastAsia="zh-CN"/>
        </w:rPr>
        <w:t>95.60</w:t>
      </w:r>
      <w:r>
        <w:rPr>
          <w:rFonts w:hint="eastAsia" w:ascii="仿宋_GB2312" w:hAnsi="宋体" w:eastAsia="仿宋_GB2312" w:cs="Courier New"/>
          <w:sz w:val="32"/>
          <w:szCs w:val="32"/>
        </w:rPr>
        <w:t>%，其中：授予小微企业合同金额</w:t>
      </w:r>
      <w:r>
        <w:rPr>
          <w:rFonts w:hint="eastAsia" w:ascii="仿宋_GB2312" w:hAnsi="宋体" w:eastAsia="仿宋_GB2312" w:cs="Courier New"/>
          <w:sz w:val="32"/>
          <w:szCs w:val="32"/>
          <w:lang w:val="en-US" w:eastAsia="zh-CN"/>
        </w:rPr>
        <w:t>91.97</w:t>
      </w:r>
      <w:r>
        <w:rPr>
          <w:rFonts w:hint="eastAsia" w:ascii="仿宋_GB2312" w:hAnsi="宋体" w:eastAsia="仿宋_GB2312" w:cs="Courier New"/>
          <w:sz w:val="32"/>
          <w:szCs w:val="32"/>
        </w:rPr>
        <w:t>万元，占政府采购支出总额的</w:t>
      </w:r>
      <w:r>
        <w:rPr>
          <w:rFonts w:hint="eastAsia" w:ascii="仿宋_GB2312" w:hAnsi="宋体" w:eastAsia="仿宋_GB2312" w:cs="Courier New"/>
          <w:sz w:val="32"/>
          <w:szCs w:val="32"/>
          <w:lang w:val="en-US" w:eastAsia="zh-CN"/>
        </w:rPr>
        <w:t>95.60</w:t>
      </w:r>
      <w:r>
        <w:rPr>
          <w:rFonts w:hint="eastAsia" w:ascii="仿宋_GB2312" w:hAnsi="宋体" w:eastAsia="仿宋_GB2312" w:cs="Courier New"/>
          <w:sz w:val="32"/>
          <w:szCs w:val="32"/>
        </w:rPr>
        <w:t>%。</w:t>
      </w:r>
    </w:p>
    <w:p>
      <w:pPr>
        <w:spacing w:line="560" w:lineRule="exact"/>
        <w:ind w:firstLine="640" w:firstLineChars="200"/>
        <w:rPr>
          <w:rFonts w:hint="eastAsia" w:ascii="楷体_GB2312" w:eastAsia="楷体_GB2312"/>
          <w:sz w:val="32"/>
          <w:szCs w:val="32"/>
          <w:highlight w:val="yellow"/>
        </w:rPr>
      </w:pPr>
      <w:r>
        <w:rPr>
          <w:rFonts w:hint="eastAsia" w:ascii="楷体_GB2312" w:eastAsia="楷体_GB2312"/>
          <w:sz w:val="32"/>
          <w:szCs w:val="32"/>
        </w:rPr>
        <w:t>（三）国有资产占用情况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截至2020年12月31日，本单位共有车辆</w:t>
      </w:r>
      <w:r>
        <w:rPr>
          <w:rFonts w:hint="eastAsia" w:ascii="仿宋_GB2312" w:eastAsia="仿宋_GB2312"/>
          <w:sz w:val="32"/>
          <w:szCs w:val="32"/>
          <w:lang w:val="en-US" w:eastAsia="zh-CN"/>
        </w:rPr>
        <w:t>7</w:t>
      </w:r>
      <w:r>
        <w:rPr>
          <w:rFonts w:hint="eastAsia" w:ascii="仿宋_GB2312" w:eastAsia="仿宋_GB2312"/>
          <w:sz w:val="32"/>
          <w:szCs w:val="32"/>
        </w:rPr>
        <w:t>辆，其中，符合规定领导干部用车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2</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2</w:t>
      </w:r>
      <w:r>
        <w:rPr>
          <w:rFonts w:hint="eastAsia" w:ascii="仿宋_GB2312" w:eastAsia="仿宋_GB2312"/>
          <w:sz w:val="32"/>
          <w:szCs w:val="32"/>
        </w:rPr>
        <w:t>辆、特种专业技术用车</w:t>
      </w:r>
      <w:r>
        <w:rPr>
          <w:rFonts w:hint="eastAsia" w:ascii="仿宋_GB2312" w:eastAsia="仿宋_GB2312"/>
          <w:sz w:val="32"/>
          <w:szCs w:val="32"/>
          <w:lang w:val="en-US" w:eastAsia="zh-CN"/>
        </w:rPr>
        <w:t>1</w:t>
      </w:r>
      <w:r>
        <w:rPr>
          <w:rFonts w:hint="eastAsia" w:ascii="仿宋_GB2312" w:eastAsia="仿宋_GB2312"/>
          <w:sz w:val="32"/>
          <w:szCs w:val="32"/>
        </w:rPr>
        <w:t>辆、离退休干部用车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辆；单位价值 50 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台（套）；单位价值 100 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ind w:firstLine="320" w:firstLineChars="100"/>
        <w:rPr>
          <w:rFonts w:hint="eastAsia" w:ascii="黑体" w:hAnsi="黑体" w:eastAsia="黑体"/>
          <w:sz w:val="32"/>
          <w:szCs w:val="32"/>
        </w:rPr>
      </w:pPr>
    </w:p>
    <w:p>
      <w:pPr>
        <w:rPr>
          <w:rFonts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ascii="黑体" w:eastAsia="黑体"/>
          <w:sz w:val="52"/>
          <w:szCs w:val="52"/>
        </w:rPr>
      </w:pPr>
      <w:r>
        <w:rPr>
          <w:rFonts w:hint="eastAsia" w:ascii="黑体" w:eastAsia="黑体"/>
          <w:sz w:val="52"/>
          <w:szCs w:val="52"/>
        </w:rPr>
        <w:t>第四部分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名词解释</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highlight w:val="none"/>
          <w:shd w:val="clear" w:color="auto" w:fill="auto"/>
        </w:rPr>
      </w:pPr>
      <w:r>
        <w:rPr>
          <w:rFonts w:hint="eastAsia" w:ascii="黑体" w:hAnsi="黑体" w:eastAsia="黑体"/>
          <w:color w:val="000000"/>
          <w:sz w:val="32"/>
          <w:szCs w:val="32"/>
          <w:highlight w:val="none"/>
          <w:shd w:val="clear" w:color="auto" w:fill="auto"/>
          <w:lang w:val="en-US" w:eastAsia="zh-CN"/>
        </w:rPr>
        <w:t>一、</w:t>
      </w:r>
      <w:r>
        <w:rPr>
          <w:rFonts w:hint="eastAsia" w:ascii="黑体" w:hAnsi="黑体" w:eastAsia="黑体"/>
          <w:color w:val="000000"/>
          <w:sz w:val="32"/>
          <w:szCs w:val="32"/>
          <w:highlight w:val="none"/>
          <w:shd w:val="clear" w:color="auto" w:fill="auto"/>
        </w:rPr>
        <w:t>财政拨款收入：</w:t>
      </w:r>
      <w:r>
        <w:rPr>
          <w:rFonts w:hint="eastAsia" w:ascii="仿宋_GB2312" w:eastAsia="仿宋_GB2312"/>
          <w:sz w:val="32"/>
          <w:szCs w:val="32"/>
          <w:highlight w:val="none"/>
          <w:shd w:val="clear" w:color="auto" w:fill="auto"/>
        </w:rPr>
        <w:t>指由市级财政拨款形成的部门</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lang w:val="en-US" w:eastAsia="zh-CN"/>
        </w:rPr>
        <w:t>单位</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rPr>
        <w:t>收入。按现行管理制度，市级部门</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lang w:val="en-US" w:eastAsia="zh-CN"/>
        </w:rPr>
        <w:t>单位</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rPr>
        <w:t>预算中反映的财政拨款包括一般公共预算拨款、政府性基金预算拨款和国有资本经营预算拨款。</w:t>
      </w:r>
    </w:p>
    <w:p>
      <w:pPr>
        <w:spacing w:line="580" w:lineRule="exact"/>
        <w:ind w:firstLine="640" w:firstLineChars="200"/>
        <w:rPr>
          <w:rFonts w:hint="eastAsia" w:ascii="仿宋_GB2312"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二、财政专户管理资金：</w:t>
      </w:r>
      <w:r>
        <w:rPr>
          <w:rFonts w:hint="eastAsia" w:ascii="仿宋_GB2312" w:eastAsia="仿宋_GB2312"/>
          <w:sz w:val="32"/>
          <w:szCs w:val="32"/>
          <w:highlight w:val="none"/>
          <w:shd w:val="clear" w:color="auto" w:fill="auto"/>
        </w:rPr>
        <w:t>指单位纳入财政专户管理的资金。主要包括教育收费、公立幼儿园接受的捐赠收入等。</w:t>
      </w:r>
    </w:p>
    <w:p>
      <w:pPr>
        <w:spacing w:line="580" w:lineRule="exact"/>
        <w:ind w:firstLine="640" w:firstLineChars="200"/>
        <w:rPr>
          <w:rFonts w:hint="eastAsia" w:ascii="仿宋_GB2312" w:hAnsi="仿宋" w:eastAsia="仿宋_GB2312"/>
          <w:sz w:val="32"/>
          <w:szCs w:val="32"/>
          <w:highlight w:val="none"/>
          <w:shd w:val="clear" w:color="auto" w:fill="auto"/>
        </w:rPr>
      </w:pPr>
      <w:r>
        <w:rPr>
          <w:rFonts w:hint="eastAsia" w:ascii="黑体" w:hAnsi="黑体" w:eastAsia="黑体"/>
          <w:sz w:val="32"/>
          <w:szCs w:val="32"/>
          <w:highlight w:val="none"/>
          <w:shd w:val="clear" w:color="auto" w:fill="auto"/>
        </w:rPr>
        <w:t>三、事业收入：</w:t>
      </w:r>
      <w:r>
        <w:rPr>
          <w:rFonts w:hint="eastAsia" w:ascii="仿宋_GB2312" w:hAnsi="仿宋" w:eastAsia="仿宋_GB2312"/>
          <w:sz w:val="32"/>
          <w:szCs w:val="32"/>
          <w:highlight w:val="none"/>
          <w:shd w:val="clear" w:color="auto" w:fill="auto"/>
        </w:rPr>
        <w:t>指事业单位开展专业业务活动及辅助活动取得的收入。</w:t>
      </w:r>
    </w:p>
    <w:p>
      <w:pPr>
        <w:spacing w:line="580" w:lineRule="exact"/>
        <w:ind w:firstLine="640" w:firstLineChars="200"/>
        <w:rPr>
          <w:rFonts w:hint="eastAsia" w:ascii="仿宋_GB2312" w:hAnsi="仿宋" w:eastAsia="仿宋_GB2312"/>
          <w:sz w:val="32"/>
          <w:szCs w:val="32"/>
          <w:highlight w:val="none"/>
          <w:shd w:val="clear" w:color="auto" w:fill="auto"/>
        </w:rPr>
      </w:pPr>
      <w:r>
        <w:rPr>
          <w:rFonts w:hint="eastAsia" w:ascii="黑体" w:hAnsi="黑体" w:eastAsia="黑体"/>
          <w:sz w:val="32"/>
          <w:szCs w:val="32"/>
          <w:highlight w:val="none"/>
          <w:shd w:val="clear" w:color="auto" w:fill="auto"/>
        </w:rPr>
        <w:t>四、事业单位经营收入：</w:t>
      </w:r>
      <w:r>
        <w:rPr>
          <w:rFonts w:hint="eastAsia" w:ascii="仿宋_GB2312" w:hAnsi="仿宋" w:eastAsia="仿宋_GB2312"/>
          <w:sz w:val="32"/>
          <w:szCs w:val="32"/>
          <w:highlight w:val="none"/>
          <w:shd w:val="clear" w:color="auto" w:fill="auto"/>
        </w:rPr>
        <w:t>指事业单位在专业业务活动及其辅助活动之外开展非独立核算经营活动取得的收入。</w:t>
      </w:r>
    </w:p>
    <w:p>
      <w:pPr>
        <w:spacing w:line="580" w:lineRule="exact"/>
        <w:ind w:firstLine="640" w:firstLineChars="200"/>
        <w:rPr>
          <w:rFonts w:hint="eastAsia" w:ascii="仿宋_GB2312" w:hAnsi="仿宋" w:eastAsia="仿宋_GB2312"/>
          <w:sz w:val="32"/>
          <w:szCs w:val="32"/>
          <w:highlight w:val="none"/>
          <w:shd w:val="clear" w:color="auto" w:fill="auto"/>
        </w:rPr>
      </w:pPr>
      <w:r>
        <w:rPr>
          <w:rFonts w:hint="eastAsia" w:ascii="黑体" w:hAnsi="黑体" w:eastAsia="黑体"/>
          <w:sz w:val="32"/>
          <w:szCs w:val="32"/>
          <w:highlight w:val="none"/>
          <w:shd w:val="clear" w:color="auto" w:fill="auto"/>
          <w:lang w:val="en-US" w:eastAsia="zh-CN"/>
        </w:rPr>
        <w:t>五</w:t>
      </w:r>
      <w:r>
        <w:rPr>
          <w:rFonts w:hint="eastAsia" w:ascii="黑体" w:hAnsi="黑体" w:eastAsia="黑体"/>
          <w:sz w:val="32"/>
          <w:szCs w:val="32"/>
          <w:highlight w:val="none"/>
          <w:shd w:val="clear" w:color="auto" w:fill="auto"/>
        </w:rPr>
        <w:t>、上级补助收入：</w:t>
      </w:r>
      <w:r>
        <w:rPr>
          <w:rFonts w:hint="eastAsia" w:ascii="仿宋_GB2312" w:hAnsi="仿宋" w:eastAsia="仿宋_GB2312"/>
          <w:sz w:val="32"/>
          <w:szCs w:val="32"/>
          <w:highlight w:val="none"/>
          <w:shd w:val="clear" w:color="auto" w:fill="auto"/>
        </w:rPr>
        <w:t>指单位从主管部门和上级单位取得的非财政补助收入。</w:t>
      </w:r>
    </w:p>
    <w:p>
      <w:pPr>
        <w:spacing w:line="580" w:lineRule="exact"/>
        <w:ind w:firstLine="640" w:firstLineChars="200"/>
        <w:rPr>
          <w:rFonts w:hint="eastAsia" w:ascii="仿宋_GB2312" w:hAnsi="仿宋" w:eastAsia="仿宋_GB2312"/>
          <w:sz w:val="32"/>
          <w:szCs w:val="32"/>
          <w:highlight w:val="none"/>
          <w:shd w:val="clear" w:color="auto" w:fill="auto"/>
        </w:rPr>
      </w:pPr>
      <w:r>
        <w:rPr>
          <w:rFonts w:hint="eastAsia" w:ascii="黑体" w:hAnsi="黑体" w:eastAsia="黑体" w:cs="黑体"/>
          <w:sz w:val="32"/>
          <w:szCs w:val="32"/>
          <w:highlight w:val="none"/>
          <w:shd w:val="clear" w:color="auto" w:fill="auto"/>
          <w:lang w:val="en-US" w:eastAsia="zh-CN"/>
        </w:rPr>
        <w:t>六</w:t>
      </w:r>
      <w:r>
        <w:rPr>
          <w:rFonts w:hint="eastAsia" w:ascii="黑体" w:hAnsi="黑体" w:eastAsia="黑体" w:cs="黑体"/>
          <w:sz w:val="32"/>
          <w:szCs w:val="32"/>
          <w:highlight w:val="none"/>
          <w:shd w:val="clear" w:color="auto" w:fill="auto"/>
        </w:rPr>
        <w:t>、用事业基金弥补收支差额：</w:t>
      </w:r>
      <w:r>
        <w:rPr>
          <w:rFonts w:hint="eastAsia" w:ascii="仿宋_GB2312" w:hAnsi="仿宋" w:eastAsia="仿宋_GB2312"/>
          <w:sz w:val="32"/>
          <w:szCs w:val="32"/>
          <w:highlight w:val="none"/>
          <w:shd w:val="clear" w:color="auto" w:fill="auto"/>
        </w:rPr>
        <w:t>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pPr>
        <w:spacing w:line="580" w:lineRule="exact"/>
        <w:ind w:firstLine="600"/>
        <w:rPr>
          <w:rFonts w:hint="eastAsia" w:ascii="仿宋_GB2312" w:eastAsia="仿宋_GB2312"/>
          <w:sz w:val="32"/>
          <w:szCs w:val="32"/>
          <w:highlight w:val="none"/>
          <w:shd w:val="clear" w:color="auto" w:fill="auto"/>
        </w:rPr>
      </w:pPr>
      <w:r>
        <w:rPr>
          <w:rFonts w:hint="eastAsia" w:ascii="黑体" w:hAnsi="黑体" w:eastAsia="黑体"/>
          <w:sz w:val="32"/>
          <w:szCs w:val="32"/>
          <w:highlight w:val="none"/>
          <w:shd w:val="clear" w:color="auto" w:fill="auto"/>
          <w:lang w:val="en-US" w:eastAsia="zh-CN"/>
        </w:rPr>
        <w:t>七</w:t>
      </w:r>
      <w:r>
        <w:rPr>
          <w:rFonts w:hint="eastAsia" w:ascii="黑体" w:hAnsi="黑体" w:eastAsia="黑体"/>
          <w:sz w:val="32"/>
          <w:szCs w:val="32"/>
          <w:highlight w:val="none"/>
          <w:shd w:val="clear" w:color="auto" w:fill="auto"/>
        </w:rPr>
        <w:t>、基本支出：</w:t>
      </w:r>
      <w:r>
        <w:rPr>
          <w:rFonts w:hint="eastAsia" w:ascii="仿宋_GB2312" w:eastAsia="仿宋_GB2312"/>
          <w:sz w:val="32"/>
          <w:szCs w:val="32"/>
          <w:highlight w:val="none"/>
          <w:shd w:val="clear" w:color="auto" w:fill="auto"/>
        </w:rPr>
        <w:t>指为保障机构正常运转、完成日常工作任务而发生的人员经费和日常公用经费。</w:t>
      </w:r>
    </w:p>
    <w:p>
      <w:pPr>
        <w:spacing w:line="580" w:lineRule="exact"/>
        <w:ind w:firstLine="600"/>
        <w:rPr>
          <w:rFonts w:hint="eastAsia" w:ascii="仿宋_GB2312" w:eastAsia="仿宋_GB2312"/>
          <w:sz w:val="32"/>
          <w:szCs w:val="32"/>
          <w:highlight w:val="none"/>
          <w:shd w:val="clear" w:color="auto" w:fill="auto"/>
        </w:rPr>
      </w:pPr>
      <w:r>
        <w:rPr>
          <w:rFonts w:hint="eastAsia" w:ascii="黑体" w:hAnsi="黑体" w:eastAsia="黑体"/>
          <w:sz w:val="32"/>
          <w:szCs w:val="32"/>
          <w:highlight w:val="none"/>
          <w:shd w:val="clear" w:color="auto" w:fill="auto"/>
          <w:lang w:val="en-US" w:eastAsia="zh-CN"/>
        </w:rPr>
        <w:t>八</w:t>
      </w:r>
      <w:r>
        <w:rPr>
          <w:rFonts w:hint="eastAsia" w:ascii="黑体" w:hAnsi="黑体" w:eastAsia="黑体"/>
          <w:sz w:val="32"/>
          <w:szCs w:val="32"/>
          <w:highlight w:val="none"/>
          <w:shd w:val="clear" w:color="auto" w:fill="auto"/>
        </w:rPr>
        <w:t>、项目支出：</w:t>
      </w:r>
      <w:r>
        <w:rPr>
          <w:rFonts w:hint="eastAsia" w:ascii="仿宋_GB2312" w:eastAsia="仿宋_GB2312"/>
          <w:sz w:val="32"/>
          <w:szCs w:val="32"/>
          <w:highlight w:val="none"/>
          <w:shd w:val="clear" w:color="auto" w:fill="auto"/>
        </w:rPr>
        <w:t>指在基本支出之外为完成特定的任务和事业发展目标所发生的支出。</w:t>
      </w:r>
    </w:p>
    <w:p>
      <w:pPr>
        <w:spacing w:line="580" w:lineRule="exact"/>
        <w:ind w:firstLine="600"/>
        <w:rPr>
          <w:rFonts w:hint="eastAsia" w:ascii="仿宋_GB2312" w:eastAsia="仿宋_GB2312"/>
          <w:sz w:val="32"/>
          <w:szCs w:val="32"/>
          <w:highlight w:val="none"/>
          <w:shd w:val="clear" w:color="auto" w:fill="auto"/>
        </w:rPr>
      </w:pPr>
      <w:r>
        <w:rPr>
          <w:rFonts w:hint="eastAsia" w:ascii="黑体" w:hAnsi="黑体" w:eastAsia="黑体"/>
          <w:sz w:val="32"/>
          <w:szCs w:val="32"/>
          <w:highlight w:val="none"/>
          <w:shd w:val="clear" w:color="auto" w:fill="auto"/>
          <w:lang w:val="en-US" w:eastAsia="zh-CN"/>
        </w:rPr>
        <w:t>九</w:t>
      </w:r>
      <w:r>
        <w:rPr>
          <w:rFonts w:hint="eastAsia" w:ascii="黑体" w:hAnsi="黑体" w:eastAsia="黑体"/>
          <w:sz w:val="32"/>
          <w:szCs w:val="32"/>
          <w:highlight w:val="none"/>
          <w:shd w:val="clear" w:color="auto" w:fill="auto"/>
        </w:rPr>
        <w:t>、“三公”经费：</w:t>
      </w:r>
      <w:r>
        <w:rPr>
          <w:rFonts w:hint="eastAsia" w:ascii="仿宋_GB2312" w:eastAsia="仿宋_GB2312"/>
          <w:sz w:val="32"/>
          <w:szCs w:val="32"/>
          <w:highlight w:val="none"/>
          <w:shd w:val="clear" w:color="auto" w:fill="auto"/>
        </w:rPr>
        <w:t>指市级部门</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lang w:val="en-US" w:eastAsia="zh-CN"/>
        </w:rPr>
        <w:t>单位</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仿宋_GB2312" w:eastAsia="仿宋_GB2312"/>
          <w:sz w:val="32"/>
          <w:szCs w:val="32"/>
          <w:highlight w:val="none"/>
          <w:shd w:val="clear" w:color="auto" w:fill="auto"/>
          <w:lang w:eastAsia="zh-CN"/>
        </w:rPr>
        <w:t>、</w:t>
      </w:r>
      <w:r>
        <w:rPr>
          <w:rFonts w:hint="eastAsia" w:ascii="仿宋_GB2312" w:eastAsia="仿宋_GB2312"/>
          <w:sz w:val="32"/>
          <w:szCs w:val="32"/>
          <w:highlight w:val="none"/>
          <w:shd w:val="clear" w:color="auto" w:fill="auto"/>
          <w:lang w:val="en-US" w:eastAsia="zh-CN"/>
        </w:rPr>
        <w:t>牌照费</w:t>
      </w:r>
      <w:r>
        <w:rPr>
          <w:rFonts w:hint="eastAsia" w:ascii="仿宋_GB2312" w:eastAsia="仿宋_GB2312"/>
          <w:sz w:val="32"/>
          <w:szCs w:val="32"/>
          <w:highlight w:val="none"/>
          <w:shd w:val="clear" w:color="auto" w:fill="auto"/>
        </w:rPr>
        <w:t>）及</w:t>
      </w:r>
      <w:r>
        <w:rPr>
          <w:rFonts w:hint="eastAsia" w:ascii="仿宋_GB2312" w:eastAsia="仿宋_GB2312"/>
          <w:sz w:val="32"/>
          <w:szCs w:val="32"/>
          <w:highlight w:val="none"/>
          <w:shd w:val="clear" w:color="auto" w:fill="auto"/>
          <w:lang w:val="en-US" w:eastAsia="zh-CN"/>
        </w:rPr>
        <w:t>公务用车</w:t>
      </w:r>
      <w:r>
        <w:rPr>
          <w:rFonts w:hint="eastAsia" w:ascii="仿宋_GB2312" w:eastAsia="仿宋_GB2312"/>
          <w:sz w:val="32"/>
          <w:szCs w:val="32"/>
          <w:highlight w:val="none"/>
          <w:shd w:val="clear" w:color="auto" w:fill="auto"/>
        </w:rPr>
        <w:t>燃料费、维修费、过</w:t>
      </w:r>
      <w:r>
        <w:rPr>
          <w:rFonts w:hint="eastAsia" w:ascii="仿宋_GB2312" w:eastAsia="仿宋_GB2312"/>
          <w:sz w:val="32"/>
          <w:szCs w:val="32"/>
          <w:highlight w:val="none"/>
          <w:shd w:val="clear" w:color="auto" w:fill="auto"/>
          <w:lang w:val="en-US" w:eastAsia="zh-CN"/>
        </w:rPr>
        <w:t>桥</w:t>
      </w:r>
      <w:r>
        <w:rPr>
          <w:rFonts w:hint="eastAsia" w:ascii="仿宋_GB2312" w:eastAsia="仿宋_GB2312"/>
          <w:sz w:val="32"/>
          <w:szCs w:val="32"/>
          <w:highlight w:val="none"/>
          <w:shd w:val="clear" w:color="auto" w:fill="auto"/>
        </w:rPr>
        <w:t>过</w:t>
      </w:r>
      <w:r>
        <w:rPr>
          <w:rFonts w:hint="eastAsia" w:ascii="仿宋_GB2312" w:eastAsia="仿宋_GB2312"/>
          <w:sz w:val="32"/>
          <w:szCs w:val="32"/>
          <w:highlight w:val="none"/>
          <w:shd w:val="clear" w:color="auto" w:fill="auto"/>
          <w:lang w:val="en-US" w:eastAsia="zh-CN"/>
        </w:rPr>
        <w:t>路</w:t>
      </w:r>
      <w:r>
        <w:rPr>
          <w:rFonts w:hint="eastAsia" w:ascii="仿宋_GB2312" w:eastAsia="仿宋_GB2312"/>
          <w:sz w:val="32"/>
          <w:szCs w:val="32"/>
          <w:highlight w:val="none"/>
          <w:shd w:val="clear" w:color="auto" w:fill="auto"/>
        </w:rPr>
        <w:t>费、保险费等支出；公务接待费反映单位按规定开支的各类</w:t>
      </w:r>
      <w:r>
        <w:rPr>
          <w:rFonts w:hint="eastAsia" w:ascii="仿宋_GB2312" w:eastAsia="仿宋_GB2312"/>
          <w:sz w:val="32"/>
          <w:szCs w:val="32"/>
          <w:highlight w:val="none"/>
          <w:shd w:val="clear" w:color="auto" w:fill="auto"/>
          <w:lang w:val="en-US" w:eastAsia="zh-CN"/>
        </w:rPr>
        <w:t>公务</w:t>
      </w:r>
      <w:r>
        <w:rPr>
          <w:rFonts w:hint="eastAsia" w:ascii="仿宋_GB2312" w:eastAsia="仿宋_GB2312"/>
          <w:sz w:val="32"/>
          <w:szCs w:val="32"/>
          <w:highlight w:val="none"/>
          <w:shd w:val="clear" w:color="auto" w:fill="auto"/>
        </w:rPr>
        <w:t>接待（含外宾接待）支出。</w:t>
      </w:r>
    </w:p>
    <w:p>
      <w:pPr>
        <w:numPr>
          <w:ilvl w:val="0"/>
          <w:numId w:val="0"/>
        </w:numPr>
        <w:spacing w:line="580" w:lineRule="exact"/>
        <w:ind w:firstLine="640" w:firstLineChars="200"/>
        <w:rPr>
          <w:rFonts w:hint="eastAsia" w:ascii="黑体" w:hAnsi="黑体" w:eastAsia="黑体"/>
          <w:sz w:val="32"/>
          <w:szCs w:val="32"/>
          <w:highlight w:val="none"/>
          <w:shd w:val="clear" w:color="auto" w:fill="auto"/>
        </w:rPr>
      </w:pPr>
      <w:r>
        <w:rPr>
          <w:rFonts w:hint="eastAsia" w:ascii="黑体" w:hAnsi="黑体" w:eastAsia="黑体"/>
          <w:sz w:val="32"/>
          <w:szCs w:val="32"/>
          <w:highlight w:val="none"/>
          <w:shd w:val="clear" w:color="auto" w:fill="auto"/>
        </w:rPr>
        <w:t>十、</w:t>
      </w:r>
      <w:r>
        <w:rPr>
          <w:rFonts w:hint="eastAsia" w:ascii="黑体" w:hAnsi="黑体" w:eastAsia="黑体"/>
          <w:sz w:val="32"/>
          <w:szCs w:val="32"/>
          <w:highlight w:val="none"/>
          <w:shd w:val="clear" w:color="auto" w:fill="auto"/>
          <w:lang w:eastAsia="zh-CN"/>
        </w:rPr>
        <w:t>本</w:t>
      </w:r>
      <w:r>
        <w:rPr>
          <w:rFonts w:hint="eastAsia" w:ascii="黑体" w:hAnsi="黑体" w:eastAsia="黑体"/>
          <w:sz w:val="32"/>
          <w:szCs w:val="32"/>
          <w:highlight w:val="none"/>
          <w:shd w:val="clear" w:color="auto" w:fill="auto"/>
          <w:lang w:val="en-US" w:eastAsia="zh-CN"/>
        </w:rPr>
        <w:t>单位</w:t>
      </w:r>
      <w:r>
        <w:rPr>
          <w:rFonts w:hint="eastAsia" w:ascii="黑体" w:hAnsi="黑体" w:eastAsia="黑体"/>
          <w:sz w:val="32"/>
          <w:szCs w:val="32"/>
          <w:highlight w:val="none"/>
          <w:shd w:val="clear" w:color="auto" w:fill="auto"/>
        </w:rPr>
        <w:t>特有的其他需进行解释说明的名词。</w:t>
      </w:r>
    </w:p>
    <w:p>
      <w:pPr>
        <w:spacing w:line="580" w:lineRule="exact"/>
        <w:ind w:firstLine="600"/>
        <w:rPr>
          <w:rFonts w:hint="eastAsia" w:ascii="仿宋_GB2312" w:eastAsia="仿宋_GB2312"/>
          <w:sz w:val="32"/>
          <w:szCs w:val="32"/>
          <w:highlight w:val="none"/>
          <w:shd w:val="clear" w:color="auto" w:fill="auto"/>
        </w:rPr>
      </w:pPr>
      <w:r>
        <w:rPr>
          <w:rFonts w:hint="eastAsia" w:ascii="黑体" w:hAnsi="黑体" w:eastAsia="黑体"/>
          <w:sz w:val="32"/>
          <w:szCs w:val="32"/>
          <w:lang w:eastAsia="zh-CN"/>
        </w:rPr>
        <w:t>（</w:t>
      </w:r>
      <w:r>
        <w:rPr>
          <w:rFonts w:hint="eastAsia" w:ascii="仿宋_GB2312" w:eastAsia="仿宋_GB2312"/>
          <w:sz w:val="32"/>
          <w:szCs w:val="32"/>
          <w:highlight w:val="none"/>
          <w:shd w:val="clear" w:color="auto" w:fill="auto"/>
          <w:lang w:eastAsia="zh-CN"/>
        </w:rPr>
        <w:t>一）</w:t>
      </w:r>
      <w:r>
        <w:rPr>
          <w:rFonts w:hint="eastAsia" w:ascii="仿宋_GB2312" w:eastAsia="仿宋_GB2312"/>
          <w:sz w:val="32"/>
          <w:szCs w:val="32"/>
          <w:highlight w:val="none"/>
          <w:shd w:val="clear" w:color="auto" w:fill="auto"/>
        </w:rPr>
        <w:t>公共安全支出（类）强制隔离戒毒（款）：反映强制隔离戒毒管理事务支出。</w:t>
      </w:r>
    </w:p>
    <w:p>
      <w:pPr>
        <w:spacing w:line="580" w:lineRule="exact"/>
        <w:ind w:firstLine="600"/>
        <w:rPr>
          <w:rFonts w:hint="eastAsia" w:ascii="仿宋_GB2312" w:eastAsia="仿宋_GB2312"/>
          <w:sz w:val="32"/>
          <w:szCs w:val="32"/>
          <w:highlight w:val="none"/>
          <w:shd w:val="clear" w:color="auto" w:fill="auto"/>
          <w:lang w:val="en-US" w:eastAsia="zh-CN"/>
        </w:rPr>
      </w:pPr>
      <w:r>
        <w:rPr>
          <w:rFonts w:hint="eastAsia" w:ascii="仿宋_GB2312" w:eastAsia="仿宋_GB2312"/>
          <w:sz w:val="32"/>
          <w:szCs w:val="32"/>
          <w:highlight w:val="none"/>
          <w:shd w:val="clear" w:color="auto" w:fill="auto"/>
          <w:lang w:val="en-US" w:eastAsia="zh-CN"/>
        </w:rPr>
        <w:t>（二）公共安全支出（类）强制隔离戒毒（款）行政运行（项）：反映行政单位（包括实行公务员管理的事业单位）的基本支出。</w:t>
      </w:r>
    </w:p>
    <w:p>
      <w:pPr>
        <w:spacing w:line="580" w:lineRule="exact"/>
        <w:ind w:firstLine="600"/>
        <w:rPr>
          <w:rFonts w:hint="eastAsia" w:ascii="仿宋_GB2312" w:eastAsia="仿宋_GB2312"/>
          <w:sz w:val="32"/>
          <w:szCs w:val="32"/>
          <w:highlight w:val="none"/>
          <w:shd w:val="clear" w:color="auto" w:fill="auto"/>
          <w:lang w:val="en-US" w:eastAsia="zh-CN"/>
        </w:rPr>
      </w:pPr>
      <w:r>
        <w:rPr>
          <w:rFonts w:hint="eastAsia" w:ascii="仿宋_GB2312" w:eastAsia="仿宋_GB2312"/>
          <w:sz w:val="32"/>
          <w:szCs w:val="32"/>
          <w:highlight w:val="none"/>
          <w:shd w:val="clear" w:color="auto" w:fill="auto"/>
          <w:lang w:val="en-US" w:eastAsia="zh-CN"/>
        </w:rPr>
        <w:t>（三）公共安全支出（类）强制隔离戒毒（款）一般行政管理事务（项）：反映行政单位（包括实行公务员管理的事业单位）末单独设置项级科目的其他项目支出。</w:t>
      </w:r>
    </w:p>
    <w:p>
      <w:pPr>
        <w:spacing w:line="580" w:lineRule="exact"/>
        <w:ind w:firstLine="600"/>
        <w:rPr>
          <w:rFonts w:hint="eastAsia" w:ascii="仿宋_GB2312" w:eastAsia="仿宋_GB2312"/>
          <w:sz w:val="32"/>
          <w:szCs w:val="32"/>
          <w:highlight w:val="none"/>
          <w:shd w:val="clear" w:color="auto" w:fill="auto"/>
          <w:lang w:val="en-US" w:eastAsia="zh-CN"/>
        </w:rPr>
      </w:pPr>
      <w:r>
        <w:rPr>
          <w:rFonts w:hint="eastAsia" w:ascii="仿宋_GB2312" w:eastAsia="仿宋_GB2312"/>
          <w:sz w:val="32"/>
          <w:szCs w:val="32"/>
          <w:highlight w:val="none"/>
          <w:shd w:val="clear" w:color="auto" w:fill="auto"/>
          <w:lang w:val="en-US" w:eastAsia="zh-CN"/>
        </w:rPr>
        <w:t>（四）公共安全支出（类）强制隔离戒毒（款）强制隔离戒毒人员生活（项）：反映强制隔离戒毒管理部门及强制隔离戒毒所用于强制隔离戒毒人员生活的各项开支，包括伙食费、被服费、水电费、日用品补助费、医疗康费、杂支费等。</w:t>
      </w:r>
    </w:p>
    <w:p>
      <w:pPr>
        <w:spacing w:line="580" w:lineRule="exact"/>
        <w:ind w:firstLine="600"/>
        <w:rPr>
          <w:rFonts w:hint="eastAsia" w:ascii="仿宋_GB2312" w:eastAsia="仿宋_GB2312"/>
          <w:sz w:val="32"/>
          <w:szCs w:val="32"/>
          <w:highlight w:val="none"/>
          <w:shd w:val="clear" w:color="auto" w:fill="auto"/>
          <w:lang w:val="en-US" w:eastAsia="zh-CN"/>
        </w:rPr>
      </w:pPr>
      <w:r>
        <w:rPr>
          <w:rFonts w:hint="eastAsia" w:ascii="仿宋_GB2312" w:eastAsia="仿宋_GB2312"/>
          <w:sz w:val="32"/>
          <w:szCs w:val="32"/>
          <w:highlight w:val="none"/>
          <w:shd w:val="clear" w:color="auto" w:fill="auto"/>
          <w:lang w:val="en-US" w:eastAsia="zh-CN"/>
        </w:rPr>
        <w:t>（五）公共安全支出（类）强制隔离戒毒（款）强制隔离戒毒人员教育（项）：反映强制隔离戒毒管理部门及强制隔离戒毒所用于强制隔离戒毒人员教育的各项开支，包括教育矫治、心理治疗费、习艺费、社会帮教费、回访调查费、传染病查治费、诊断评估费等。</w:t>
      </w:r>
    </w:p>
    <w:p>
      <w:pPr>
        <w:spacing w:line="580" w:lineRule="exact"/>
        <w:ind w:firstLine="600"/>
        <w:rPr>
          <w:rFonts w:hint="eastAsia" w:ascii="仿宋_GB2312" w:eastAsia="仿宋_GB2312"/>
          <w:sz w:val="32"/>
          <w:szCs w:val="32"/>
          <w:highlight w:val="none"/>
          <w:shd w:val="clear" w:color="auto" w:fill="auto"/>
          <w:lang w:val="en-US" w:eastAsia="zh-CN"/>
        </w:rPr>
      </w:pPr>
      <w:r>
        <w:rPr>
          <w:rFonts w:hint="eastAsia" w:ascii="仿宋_GB2312" w:eastAsia="仿宋_GB2312"/>
          <w:sz w:val="32"/>
          <w:szCs w:val="32"/>
          <w:highlight w:val="none"/>
          <w:shd w:val="clear" w:color="auto" w:fill="auto"/>
          <w:lang w:val="en-US" w:eastAsia="zh-CN"/>
        </w:rPr>
        <w:t>（六）公共安全支出（类）强制隔离戒毒（款）所政设施建设（项）：反映强制隔离戒毒管理部门及强制隔离戒毒所所政设施建设及维修、技术装备购置等方面的支出。</w:t>
      </w:r>
    </w:p>
    <w:p>
      <w:pPr>
        <w:spacing w:line="580" w:lineRule="exact"/>
        <w:ind w:firstLine="600"/>
        <w:rPr>
          <w:rFonts w:hint="eastAsia" w:ascii="仿宋_GB2312" w:eastAsia="仿宋_GB2312"/>
          <w:sz w:val="32"/>
          <w:szCs w:val="32"/>
          <w:highlight w:val="none"/>
          <w:shd w:val="clear" w:color="auto" w:fill="auto"/>
          <w:lang w:val="en-US" w:eastAsia="zh-CN"/>
        </w:rPr>
      </w:pPr>
      <w:r>
        <w:rPr>
          <w:rFonts w:hint="eastAsia" w:ascii="仿宋_GB2312" w:eastAsia="仿宋_GB2312"/>
          <w:sz w:val="32"/>
          <w:szCs w:val="32"/>
          <w:highlight w:val="none"/>
          <w:shd w:val="clear" w:color="auto" w:fill="auto"/>
          <w:lang w:val="en-US" w:eastAsia="zh-CN"/>
        </w:rPr>
        <w:t>（七）公共安全支出（类）强制隔离戒毒（款）其他强制隔离戒毒支出（项）：反映强制隔离戒毒管理部门及强制隔离戒毒所发生的强制隔离戒毒人员调遣费、突发事件处置费、安全保卫费、警察服装费、宣传及奖励费、技术辅导人员及关键要害岗人员补助等支出。</w:t>
      </w:r>
    </w:p>
    <w:p>
      <w:pPr>
        <w:rPr>
          <w:rFonts w:ascii="黑体" w:eastAsia="黑体"/>
          <w:b/>
          <w:sz w:val="30"/>
          <w:szCs w:val="30"/>
        </w:rPr>
      </w:pPr>
    </w:p>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简大标宋">
    <w:altName w:val="宋体"/>
    <w:panose1 w:val="02010609000101010101"/>
    <w:charset w:val="86"/>
    <w:family w:val="auto"/>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21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BAD1AB"/>
    <w:multiLevelType w:val="singleLevel"/>
    <w:tmpl w:val="EFBAD1AB"/>
    <w:lvl w:ilvl="0" w:tentative="0">
      <w:start w:val="1"/>
      <w:numFmt w:val="decimal"/>
      <w:suff w:val="nothing"/>
      <w:lvlText w:val="（%1）"/>
      <w:lvlJc w:val="left"/>
    </w:lvl>
  </w:abstractNum>
  <w:abstractNum w:abstractNumId="1">
    <w:nsid w:val="15986381"/>
    <w:multiLevelType w:val="singleLevel"/>
    <w:tmpl w:val="1598638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FC76B6"/>
    <w:rsid w:val="04573913"/>
    <w:rsid w:val="059C0422"/>
    <w:rsid w:val="08B428FC"/>
    <w:rsid w:val="09B1061B"/>
    <w:rsid w:val="0B2C4ECF"/>
    <w:rsid w:val="0B4E3835"/>
    <w:rsid w:val="0CBC4B92"/>
    <w:rsid w:val="0D513E06"/>
    <w:rsid w:val="0D565A03"/>
    <w:rsid w:val="0E9E41EB"/>
    <w:rsid w:val="11BC244D"/>
    <w:rsid w:val="169D0B21"/>
    <w:rsid w:val="1C3A279F"/>
    <w:rsid w:val="1F79455B"/>
    <w:rsid w:val="210A642E"/>
    <w:rsid w:val="21DB3E72"/>
    <w:rsid w:val="288F5D27"/>
    <w:rsid w:val="296C05D6"/>
    <w:rsid w:val="2A3964AB"/>
    <w:rsid w:val="2B1B60E6"/>
    <w:rsid w:val="2D6433E2"/>
    <w:rsid w:val="32392302"/>
    <w:rsid w:val="329D1558"/>
    <w:rsid w:val="32FE5D41"/>
    <w:rsid w:val="33483514"/>
    <w:rsid w:val="33903051"/>
    <w:rsid w:val="3F21096E"/>
    <w:rsid w:val="42571F52"/>
    <w:rsid w:val="446F2CB4"/>
    <w:rsid w:val="47E150ED"/>
    <w:rsid w:val="4E512B0A"/>
    <w:rsid w:val="504D2667"/>
    <w:rsid w:val="51383D8E"/>
    <w:rsid w:val="52F52FAC"/>
    <w:rsid w:val="580F60F8"/>
    <w:rsid w:val="598C0256"/>
    <w:rsid w:val="64124D4C"/>
    <w:rsid w:val="64680E1D"/>
    <w:rsid w:val="65407219"/>
    <w:rsid w:val="66E32002"/>
    <w:rsid w:val="68A433C3"/>
    <w:rsid w:val="68D90278"/>
    <w:rsid w:val="6A90305F"/>
    <w:rsid w:val="6AFC76B6"/>
    <w:rsid w:val="6DDA1562"/>
    <w:rsid w:val="723A22DD"/>
    <w:rsid w:val="72813BC8"/>
    <w:rsid w:val="783016C4"/>
    <w:rsid w:val="7B8235A1"/>
    <w:rsid w:val="7E7B6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Plain Text"/>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character" w:customStyle="1" w:styleId="6">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168</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2021-09-14T05:23:00Z</dcterms:created>
  <dc:creator>瘦的鹏</dc:creator>
  <cp:lastModifiedBy>Administrator</cp:lastModifiedBy>
  <cp:lastPrinted>2021-09-16T05:52:00Z</cp:lastPrinted>
  <dcterms:modified xsi:type="dcterms:W3CDTF">2021-09-26T06:43:04Z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ICV">
    <vt:lpwstr>FDA3DC2D7AEE427FBFE36320A472A3DF</vt:lpwstr>
  </property>
</Properties>
</file>