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8"/>
        <w:tblpPr w:leftFromText="180" w:rightFromText="180" w:vertAnchor="page" w:horzAnchor="page" w:tblpX="1260" w:tblpY="1518"/>
        <w:tblOverlap w:val="never"/>
        <w:tblW w:w="10112" w:type="dxa"/>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108" w:type="dxa"/>
          <w:bottom w:w="0" w:type="dxa"/>
          <w:right w:w="108" w:type="dxa"/>
        </w:tblCellMar>
      </w:tblPr>
      <w:tblGrid>
        <w:gridCol w:w="8158"/>
        <w:gridCol w:w="1954"/>
      </w:tblGrid>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8158" w:type="dxa"/>
            <w:tcBorders>
              <w:top w:val="single" w:color="FFFFFF" w:sz="4" w:space="0"/>
              <w:left w:val="single" w:color="FFFFFF" w:sz="4" w:space="0"/>
              <w:bottom w:val="single" w:color="FFFFFF" w:sz="4" w:space="0"/>
              <w:right w:val="single" w:color="FFFFFF" w:sz="4" w:space="0"/>
            </w:tcBorders>
          </w:tcPr>
          <w:p>
            <w:pPr>
              <w:spacing w:line="600" w:lineRule="exact"/>
              <w:ind w:firstLine="0" w:firstLineChars="0"/>
              <w:jc w:val="distribute"/>
              <w:rPr>
                <w:rFonts w:ascii="方正小标宋_GBK" w:hAnsi="方正小标宋_GBK" w:eastAsia="方正小标宋_GBK" w:cs="方正小标宋_GBK"/>
                <w:bCs/>
                <w:color w:val="FF0000"/>
                <w:sz w:val="48"/>
                <w:szCs w:val="48"/>
                <w:highlight w:val="none"/>
              </w:rPr>
            </w:pPr>
            <w:r>
              <w:rPr>
                <w:rFonts w:hint="eastAsia" w:ascii="方正小标宋_GBK" w:hAnsi="方正小标宋_GBK" w:eastAsia="方正小标宋_GBK" w:cs="方正小标宋_GBK"/>
                <w:bCs/>
                <w:color w:val="FF0000"/>
                <w:sz w:val="48"/>
                <w:szCs w:val="48"/>
                <w:highlight w:val="none"/>
              </w:rPr>
              <w:t>青岛市生态环境局</w:t>
            </w:r>
          </w:p>
        </w:tc>
        <w:tc>
          <w:tcPr>
            <w:tcW w:w="1954" w:type="dxa"/>
            <w:vMerge w:val="restart"/>
            <w:tcBorders>
              <w:top w:val="single" w:color="FFFFFF" w:sz="4" w:space="0"/>
              <w:left w:val="single" w:color="FFFFFF" w:sz="4" w:space="0"/>
              <w:bottom w:val="single" w:color="FFFFFF" w:sz="4" w:space="0"/>
              <w:right w:val="single" w:color="FFFFFF" w:sz="4" w:space="0"/>
            </w:tcBorders>
            <w:vAlign w:val="center"/>
          </w:tcPr>
          <w:p>
            <w:pPr>
              <w:snapToGrid w:val="0"/>
              <w:spacing w:line="820" w:lineRule="exact"/>
              <w:ind w:firstLine="0" w:firstLineChars="0"/>
              <w:rPr>
                <w:rFonts w:ascii="方正小标宋简体" w:eastAsia="方正小标宋简体"/>
                <w:bCs/>
                <w:color w:val="FF0000"/>
                <w:sz w:val="80"/>
                <w:szCs w:val="80"/>
                <w:highlight w:val="none"/>
              </w:rPr>
            </w:pPr>
            <w:r>
              <w:rPr>
                <w:rFonts w:hint="eastAsia" w:ascii="方正小标宋_GBK" w:hAnsi="方正小标宋_GBK" w:eastAsia="方正小标宋_GBK" w:cs="方正小标宋_GBK"/>
                <w:bCs/>
                <w:color w:val="FF0000"/>
                <w:sz w:val="70"/>
                <w:szCs w:val="70"/>
                <w:highlight w:val="none"/>
              </w:rPr>
              <w:t>文件</w:t>
            </w: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8158" w:type="dxa"/>
            <w:tcBorders>
              <w:top w:val="single" w:color="FFFFFF" w:sz="4" w:space="0"/>
              <w:left w:val="single" w:color="FFFFFF" w:sz="4" w:space="0"/>
              <w:bottom w:val="single" w:color="FFFFFF" w:sz="4" w:space="0"/>
              <w:right w:val="single" w:color="FFFFFF" w:sz="4" w:space="0"/>
            </w:tcBorders>
          </w:tcPr>
          <w:p>
            <w:pPr>
              <w:spacing w:line="600" w:lineRule="exact"/>
              <w:ind w:firstLine="0" w:firstLineChars="0"/>
              <w:jc w:val="distribute"/>
              <w:rPr>
                <w:rFonts w:ascii="方正小标宋_GBK" w:hAnsi="方正小标宋_GBK" w:eastAsia="方正小标宋_GBK" w:cs="方正小标宋_GBK"/>
                <w:color w:val="FF0000"/>
                <w:sz w:val="48"/>
                <w:szCs w:val="48"/>
                <w:highlight w:val="none"/>
              </w:rPr>
            </w:pPr>
            <w:r>
              <w:rPr>
                <w:rFonts w:hint="eastAsia" w:ascii="方正小标宋_GBK" w:hAnsi="方正小标宋_GBK" w:eastAsia="方正小标宋_GBK" w:cs="方正小标宋_GBK"/>
                <w:color w:val="FF0000"/>
                <w:sz w:val="48"/>
                <w:szCs w:val="48"/>
                <w:highlight w:val="none"/>
              </w:rPr>
              <w:t>青岛发展和改革委员会</w:t>
            </w:r>
          </w:p>
        </w:tc>
        <w:tc>
          <w:tcPr>
            <w:tcW w:w="1954" w:type="dxa"/>
            <w:vMerge w:val="continue"/>
            <w:tcBorders>
              <w:top w:val="single" w:color="FFFFFF" w:sz="4" w:space="0"/>
              <w:left w:val="single" w:color="FFFFFF" w:sz="4" w:space="0"/>
              <w:bottom w:val="single" w:color="FFFFFF" w:sz="4" w:space="0"/>
              <w:right w:val="single" w:color="FFFFFF" w:sz="4" w:space="0"/>
            </w:tcBorders>
            <w:vAlign w:val="center"/>
          </w:tcPr>
          <w:p>
            <w:pPr>
              <w:widowControl/>
              <w:ind w:firstLine="1592"/>
              <w:jc w:val="left"/>
              <w:rPr>
                <w:rFonts w:ascii="方正小标宋简体" w:eastAsia="方正小标宋简体"/>
                <w:bCs/>
                <w:color w:val="FF0000"/>
                <w:sz w:val="80"/>
                <w:szCs w:val="80"/>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8158" w:type="dxa"/>
            <w:tcBorders>
              <w:top w:val="single" w:color="FFFFFF" w:sz="4" w:space="0"/>
              <w:left w:val="single" w:color="FFFFFF" w:sz="4" w:space="0"/>
              <w:bottom w:val="single" w:color="FFFFFF" w:sz="4" w:space="0"/>
              <w:right w:val="single" w:color="FFFFFF" w:sz="4" w:space="0"/>
            </w:tcBorders>
          </w:tcPr>
          <w:p>
            <w:pPr>
              <w:spacing w:line="600" w:lineRule="exact"/>
              <w:ind w:firstLine="0" w:firstLineChars="0"/>
              <w:jc w:val="distribute"/>
              <w:rPr>
                <w:rFonts w:ascii="方正小标宋_GBK" w:hAnsi="方正小标宋_GBK" w:eastAsia="方正小标宋_GBK" w:cs="方正小标宋_GBK"/>
                <w:color w:val="FF0000"/>
                <w:sz w:val="48"/>
                <w:szCs w:val="48"/>
                <w:highlight w:val="none"/>
              </w:rPr>
            </w:pPr>
            <w:r>
              <w:rPr>
                <w:rFonts w:hint="eastAsia" w:ascii="方正小标宋_GBK" w:hAnsi="方正小标宋_GBK" w:eastAsia="方正小标宋_GBK" w:cs="方正小标宋_GBK"/>
                <w:color w:val="FF0000"/>
                <w:sz w:val="48"/>
                <w:szCs w:val="48"/>
                <w:highlight w:val="none"/>
              </w:rPr>
              <w:t>青岛市财政局</w:t>
            </w:r>
          </w:p>
        </w:tc>
        <w:tc>
          <w:tcPr>
            <w:tcW w:w="1954" w:type="dxa"/>
            <w:vMerge w:val="continue"/>
            <w:tcBorders>
              <w:top w:val="single" w:color="FFFFFF" w:sz="4" w:space="0"/>
              <w:left w:val="single" w:color="FFFFFF" w:sz="4" w:space="0"/>
              <w:bottom w:val="single" w:color="FFFFFF" w:sz="4" w:space="0"/>
              <w:right w:val="single" w:color="FFFFFF" w:sz="4" w:space="0"/>
            </w:tcBorders>
            <w:vAlign w:val="center"/>
          </w:tcPr>
          <w:p>
            <w:pPr>
              <w:widowControl/>
              <w:ind w:firstLine="1592"/>
              <w:jc w:val="left"/>
              <w:rPr>
                <w:rFonts w:ascii="方正小标宋简体" w:eastAsia="方正小标宋简体"/>
                <w:bCs/>
                <w:color w:val="FF0000"/>
                <w:sz w:val="80"/>
                <w:szCs w:val="80"/>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8158" w:type="dxa"/>
            <w:tcBorders>
              <w:top w:val="single" w:color="FFFFFF" w:sz="4" w:space="0"/>
              <w:left w:val="single" w:color="FFFFFF" w:sz="4" w:space="0"/>
              <w:bottom w:val="single" w:color="FFFFFF" w:sz="4" w:space="0"/>
              <w:right w:val="single" w:color="FFFFFF" w:sz="4" w:space="0"/>
            </w:tcBorders>
          </w:tcPr>
          <w:p>
            <w:pPr>
              <w:spacing w:line="600" w:lineRule="exact"/>
              <w:ind w:firstLine="0" w:firstLineChars="0"/>
              <w:jc w:val="distribute"/>
              <w:rPr>
                <w:rFonts w:ascii="方正小标宋_GBK" w:hAnsi="方正小标宋_GBK" w:eastAsia="方正小标宋_GBK" w:cs="方正小标宋_GBK"/>
                <w:color w:val="FF0000"/>
                <w:sz w:val="48"/>
                <w:szCs w:val="48"/>
                <w:highlight w:val="none"/>
              </w:rPr>
            </w:pPr>
            <w:r>
              <w:rPr>
                <w:rFonts w:hint="eastAsia" w:ascii="方正小标宋_GBK" w:hAnsi="方正小标宋_GBK" w:eastAsia="方正小标宋_GBK" w:cs="方正小标宋_GBK"/>
                <w:color w:val="FF0000"/>
                <w:sz w:val="48"/>
                <w:szCs w:val="48"/>
                <w:highlight w:val="none"/>
              </w:rPr>
              <w:t>青岛市水务管理局</w:t>
            </w:r>
          </w:p>
        </w:tc>
        <w:tc>
          <w:tcPr>
            <w:tcW w:w="1954" w:type="dxa"/>
            <w:vMerge w:val="continue"/>
            <w:tcBorders>
              <w:top w:val="single" w:color="FFFFFF" w:sz="4" w:space="0"/>
              <w:left w:val="single" w:color="FFFFFF" w:sz="4" w:space="0"/>
              <w:bottom w:val="single" w:color="FFFFFF" w:sz="4" w:space="0"/>
              <w:right w:val="single" w:color="FFFFFF" w:sz="4" w:space="0"/>
            </w:tcBorders>
            <w:vAlign w:val="center"/>
          </w:tcPr>
          <w:p>
            <w:pPr>
              <w:widowControl/>
              <w:ind w:firstLine="1592"/>
              <w:jc w:val="left"/>
              <w:rPr>
                <w:rFonts w:ascii="方正小标宋简体" w:eastAsia="方正小标宋简体"/>
                <w:bCs/>
                <w:color w:val="FF0000"/>
                <w:sz w:val="80"/>
                <w:szCs w:val="80"/>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8158" w:type="dxa"/>
            <w:tcBorders>
              <w:top w:val="single" w:color="FFFFFF" w:sz="4" w:space="0"/>
              <w:left w:val="single" w:color="FFFFFF" w:sz="4" w:space="0"/>
              <w:bottom w:val="single" w:color="FFFFFF" w:sz="4" w:space="0"/>
              <w:right w:val="single" w:color="FFFFFF" w:sz="4" w:space="0"/>
            </w:tcBorders>
          </w:tcPr>
          <w:p>
            <w:pPr>
              <w:spacing w:line="600" w:lineRule="exact"/>
              <w:ind w:firstLine="0" w:firstLineChars="0"/>
              <w:jc w:val="distribute"/>
              <w:rPr>
                <w:rFonts w:ascii="方正小标宋_GBK" w:hAnsi="方正小标宋_GBK" w:eastAsia="方正小标宋_GBK" w:cs="方正小标宋_GBK"/>
                <w:color w:val="FF0000"/>
                <w:sz w:val="48"/>
                <w:szCs w:val="48"/>
                <w:highlight w:val="none"/>
              </w:rPr>
            </w:pPr>
            <w:r>
              <w:rPr>
                <w:rFonts w:hint="eastAsia" w:ascii="方正小标宋_GBK" w:hAnsi="方正小标宋_GBK" w:eastAsia="方正小标宋_GBK" w:cs="方正小标宋_GBK"/>
                <w:color w:val="FF0000"/>
                <w:sz w:val="48"/>
                <w:szCs w:val="48"/>
                <w:highlight w:val="none"/>
              </w:rPr>
              <w:t>青岛市农业农村局</w:t>
            </w:r>
          </w:p>
        </w:tc>
        <w:tc>
          <w:tcPr>
            <w:tcW w:w="1954" w:type="dxa"/>
            <w:vMerge w:val="continue"/>
            <w:tcBorders>
              <w:top w:val="single" w:color="FFFFFF" w:sz="4" w:space="0"/>
              <w:left w:val="single" w:color="FFFFFF" w:sz="4" w:space="0"/>
              <w:bottom w:val="single" w:color="FFFFFF" w:sz="4" w:space="0"/>
              <w:right w:val="single" w:color="FFFFFF" w:sz="4" w:space="0"/>
            </w:tcBorders>
            <w:vAlign w:val="center"/>
          </w:tcPr>
          <w:p>
            <w:pPr>
              <w:widowControl/>
              <w:ind w:firstLine="1592"/>
              <w:jc w:val="left"/>
              <w:rPr>
                <w:rFonts w:ascii="方正小标宋简体" w:eastAsia="方正小标宋简体"/>
                <w:bCs/>
                <w:color w:val="FF0000"/>
                <w:sz w:val="80"/>
                <w:szCs w:val="80"/>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8158" w:type="dxa"/>
            <w:tcBorders>
              <w:top w:val="single" w:color="FFFFFF" w:sz="4" w:space="0"/>
              <w:left w:val="single" w:color="FFFFFF" w:sz="4" w:space="0"/>
              <w:bottom w:val="single" w:color="FFFFFF" w:sz="4" w:space="0"/>
              <w:right w:val="single" w:color="FFFFFF" w:sz="4" w:space="0"/>
            </w:tcBorders>
          </w:tcPr>
          <w:p>
            <w:pPr>
              <w:spacing w:line="600" w:lineRule="exact"/>
              <w:ind w:firstLine="0" w:firstLineChars="0"/>
              <w:jc w:val="distribute"/>
              <w:rPr>
                <w:rFonts w:ascii="方正小标宋_GBK" w:hAnsi="方正小标宋_GBK" w:eastAsia="方正小标宋_GBK" w:cs="方正小标宋_GBK"/>
                <w:color w:val="FF0000"/>
                <w:sz w:val="48"/>
                <w:szCs w:val="48"/>
                <w:highlight w:val="none"/>
              </w:rPr>
            </w:pPr>
            <w:r>
              <w:rPr>
                <w:rFonts w:hint="eastAsia" w:ascii="方正小标宋_GBK" w:hAnsi="方正小标宋_GBK" w:eastAsia="方正小标宋_GBK" w:cs="方正小标宋_GBK"/>
                <w:color w:val="FF0000"/>
                <w:sz w:val="48"/>
                <w:szCs w:val="48"/>
                <w:highlight w:val="none"/>
              </w:rPr>
              <w:t>青岛市海洋发展局</w:t>
            </w:r>
          </w:p>
        </w:tc>
        <w:tc>
          <w:tcPr>
            <w:tcW w:w="1954" w:type="dxa"/>
            <w:vMerge w:val="continue"/>
            <w:tcBorders>
              <w:top w:val="single" w:color="FFFFFF" w:sz="4" w:space="0"/>
              <w:left w:val="single" w:color="FFFFFF" w:sz="4" w:space="0"/>
              <w:bottom w:val="single" w:color="FFFFFF" w:sz="4" w:space="0"/>
              <w:right w:val="single" w:color="FFFFFF" w:sz="4" w:space="0"/>
            </w:tcBorders>
            <w:vAlign w:val="center"/>
          </w:tcPr>
          <w:p>
            <w:pPr>
              <w:widowControl/>
              <w:ind w:firstLine="1592"/>
              <w:jc w:val="left"/>
              <w:rPr>
                <w:rFonts w:ascii="方正小标宋简体" w:eastAsia="方正小标宋简体"/>
                <w:bCs/>
                <w:color w:val="FF0000"/>
                <w:sz w:val="80"/>
                <w:szCs w:val="80"/>
                <w:highlight w:val="none"/>
              </w:rPr>
            </w:pPr>
          </w:p>
        </w:tc>
      </w:tr>
      <w:tr>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8158" w:type="dxa"/>
            <w:tcBorders>
              <w:top w:val="single" w:color="FFFFFF" w:sz="4" w:space="0"/>
              <w:left w:val="single" w:color="FFFFFF" w:sz="4" w:space="0"/>
              <w:bottom w:val="single" w:color="FFFFFF" w:sz="4" w:space="0"/>
              <w:right w:val="single" w:color="FFFFFF" w:sz="4" w:space="0"/>
            </w:tcBorders>
          </w:tcPr>
          <w:p>
            <w:pPr>
              <w:spacing w:line="600" w:lineRule="exact"/>
              <w:ind w:firstLine="0" w:firstLineChars="0"/>
              <w:jc w:val="distribute"/>
              <w:rPr>
                <w:rFonts w:ascii="方正小标宋_GBK" w:hAnsi="方正小标宋_GBK" w:eastAsia="方正小标宋_GBK" w:cs="方正小标宋_GBK"/>
                <w:color w:val="FF0000"/>
                <w:sz w:val="48"/>
                <w:szCs w:val="48"/>
                <w:highlight w:val="none"/>
              </w:rPr>
            </w:pPr>
            <w:r>
              <w:rPr>
                <w:rFonts w:hint="eastAsia" w:ascii="方正小标宋_GBK" w:hAnsi="方正小标宋_GBK" w:eastAsia="方正小标宋_GBK" w:cs="方正小标宋_GBK"/>
                <w:color w:val="FF0000"/>
                <w:sz w:val="48"/>
                <w:szCs w:val="48"/>
                <w:highlight w:val="none"/>
              </w:rPr>
              <w:t>青岛市园林和林业局</w:t>
            </w:r>
          </w:p>
          <w:p>
            <w:pPr>
              <w:spacing w:line="600" w:lineRule="exact"/>
              <w:ind w:firstLine="0" w:firstLineChars="0"/>
              <w:jc w:val="distribute"/>
              <w:rPr>
                <w:rFonts w:ascii="方正小标宋_GBK" w:hAnsi="方正小标宋_GBK" w:eastAsia="方正小标宋_GBK" w:cs="方正小标宋_GBK"/>
                <w:color w:val="FF0000"/>
                <w:sz w:val="48"/>
                <w:szCs w:val="48"/>
                <w:highlight w:val="none"/>
              </w:rPr>
            </w:pPr>
            <w:r>
              <w:rPr>
                <w:rFonts w:hint="eastAsia" w:ascii="方正小标宋_GBK" w:hAnsi="方正小标宋_GBK" w:eastAsia="方正小标宋_GBK" w:cs="方正小标宋_GBK"/>
                <w:color w:val="FF0000"/>
                <w:sz w:val="48"/>
                <w:szCs w:val="48"/>
                <w:highlight w:val="none"/>
              </w:rPr>
              <w:t>青岛市卫生健康委员会</w:t>
            </w:r>
          </w:p>
          <w:p>
            <w:pPr>
              <w:ind w:firstLine="0" w:firstLineChars="0"/>
              <w:jc w:val="distribute"/>
              <w:rPr>
                <w:rFonts w:ascii="仿宋_GB2312" w:hAnsi="仿宋_GB2312" w:cs="仿宋_GB2312"/>
                <w:color w:val="FF0000"/>
                <w:highlight w:val="none"/>
              </w:rPr>
            </w:pPr>
          </w:p>
        </w:tc>
        <w:tc>
          <w:tcPr>
            <w:tcW w:w="1954" w:type="dxa"/>
            <w:vMerge w:val="continue"/>
            <w:tcBorders>
              <w:top w:val="single" w:color="FFFFFF" w:sz="4" w:space="0"/>
              <w:left w:val="single" w:color="FFFFFF" w:sz="4" w:space="0"/>
              <w:bottom w:val="single" w:color="FFFFFF" w:sz="4" w:space="0"/>
              <w:right w:val="single" w:color="FFFFFF" w:sz="4" w:space="0"/>
            </w:tcBorders>
            <w:vAlign w:val="center"/>
          </w:tcPr>
          <w:p>
            <w:pPr>
              <w:widowControl/>
              <w:ind w:firstLine="1592"/>
              <w:jc w:val="left"/>
              <w:rPr>
                <w:rFonts w:ascii="方正小标宋简体" w:eastAsia="方正小标宋简体"/>
                <w:bCs/>
                <w:color w:val="FF0000"/>
                <w:sz w:val="80"/>
                <w:szCs w:val="80"/>
                <w:highlight w:val="none"/>
              </w:rPr>
            </w:pPr>
          </w:p>
        </w:tc>
      </w:tr>
    </w:tbl>
    <w:p>
      <w:pPr>
        <w:spacing w:line="100" w:lineRule="exact"/>
        <w:ind w:firstLine="0" w:firstLineChars="0"/>
        <w:rPr>
          <w:rFonts w:ascii="仿宋_GB2312"/>
          <w:bCs/>
          <w:color w:val="FF0000"/>
          <w:highlight w:val="none"/>
        </w:rPr>
      </w:pPr>
    </w:p>
    <w:tbl>
      <w:tblPr>
        <w:tblStyle w:val="38"/>
        <w:tblW w:w="9736" w:type="dxa"/>
        <w:tblInd w:w="-429" w:type="dxa"/>
        <w:tblBorders>
          <w:top w:val="single" w:color="FFFFFF" w:sz="4" w:space="0"/>
          <w:left w:val="single" w:color="FFFFFF" w:sz="4" w:space="0"/>
          <w:bottom w:val="single" w:color="FF0000" w:sz="12" w:space="0"/>
          <w:right w:val="single" w:color="FFFFFF" w:sz="4" w:space="0"/>
          <w:insideH w:val="none" w:color="auto" w:sz="0" w:space="0"/>
          <w:insideV w:val="none" w:color="auto" w:sz="0" w:space="0"/>
        </w:tblBorders>
        <w:tblLayout w:type="fixed"/>
        <w:tblCellMar>
          <w:top w:w="0" w:type="dxa"/>
          <w:left w:w="108" w:type="dxa"/>
          <w:bottom w:w="0" w:type="dxa"/>
          <w:right w:w="108" w:type="dxa"/>
        </w:tblCellMar>
      </w:tblPr>
      <w:tblGrid>
        <w:gridCol w:w="9736"/>
      </w:tblGrid>
      <w:tr>
        <w:tblPrEx>
          <w:tblBorders>
            <w:top w:val="single" w:color="FFFFFF" w:sz="4" w:space="0"/>
            <w:left w:val="single" w:color="FFFFFF" w:sz="4" w:space="0"/>
            <w:bottom w:val="single" w:color="FF0000" w:sz="12" w:space="0"/>
            <w:right w:val="single" w:color="FFFFFF" w:sz="4" w:space="0"/>
            <w:insideH w:val="none" w:color="auto" w:sz="0" w:space="0"/>
            <w:insideV w:val="none" w:color="auto" w:sz="0" w:space="0"/>
          </w:tblBorders>
          <w:tblCellMar>
            <w:top w:w="0" w:type="dxa"/>
            <w:left w:w="108" w:type="dxa"/>
            <w:bottom w:w="0" w:type="dxa"/>
            <w:right w:w="108" w:type="dxa"/>
          </w:tblCellMar>
        </w:tblPrEx>
        <w:tc>
          <w:tcPr>
            <w:tcW w:w="9736" w:type="dxa"/>
            <w:tcBorders>
              <w:top w:val="single" w:color="FFFFFF" w:sz="4" w:space="0"/>
              <w:left w:val="single" w:color="FFFFFF" w:sz="4" w:space="0"/>
              <w:bottom w:val="single" w:color="FF0000" w:sz="12" w:space="0"/>
              <w:right w:val="single" w:color="FFFFFF" w:sz="4" w:space="0"/>
            </w:tcBorders>
          </w:tcPr>
          <w:p>
            <w:pPr>
              <w:ind w:firstLine="632"/>
              <w:jc w:val="center"/>
              <w:rPr>
                <w:rFonts w:ascii="仿宋_GB2312" w:hAnsi="方正小标宋简体" w:cs="方正小标宋_GBK"/>
                <w:color w:val="auto"/>
                <w:highlight w:val="none"/>
              </w:rPr>
            </w:pPr>
            <w:r>
              <w:rPr>
                <w:rFonts w:hint="eastAsia" w:ascii="仿宋_GB2312" w:hAnsi="方正小标宋简体" w:cs="方正小标宋_GBK"/>
                <w:color w:val="auto"/>
                <w:highlight w:val="none"/>
              </w:rPr>
              <w:t>青环发〔2024〕26号</w:t>
            </w:r>
          </w:p>
        </w:tc>
      </w:tr>
    </w:tbl>
    <w:p>
      <w:pPr>
        <w:ind w:firstLine="0" w:firstLineChars="0"/>
        <w:jc w:val="center"/>
        <w:rPr>
          <w:rFonts w:ascii="方正小标宋_GBK" w:hAnsi="方正小标宋_GBK" w:eastAsia="方正小标宋_GBK" w:cs="方正小标宋_GBK"/>
          <w:color w:val="auto"/>
          <w:sz w:val="44"/>
          <w:szCs w:val="44"/>
          <w:highlight w:val="none"/>
        </w:rPr>
      </w:pPr>
    </w:p>
    <w:p>
      <w:pPr>
        <w:ind w:firstLine="0" w:firstLineChars="0"/>
        <w:jc w:val="center"/>
        <w:rPr>
          <w:rFonts w:ascii="方正小标宋_GBK" w:hAnsi="方正小标宋_GBK" w:eastAsia="方正小标宋_GBK" w:cs="方正小标宋_GBK"/>
          <w:color w:val="auto"/>
          <w:sz w:val="44"/>
          <w:szCs w:val="44"/>
          <w:highlight w:val="none"/>
        </w:rPr>
      </w:pPr>
    </w:p>
    <w:p>
      <w:pPr>
        <w:ind w:firstLine="0" w:firstLineChars="0"/>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青岛市生态环境局 青岛市发展和改革委员会</w:t>
      </w:r>
    </w:p>
    <w:p>
      <w:pPr>
        <w:ind w:firstLine="0" w:firstLineChars="0"/>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青岛市财政局 青岛市水务管理局</w:t>
      </w:r>
    </w:p>
    <w:p>
      <w:pPr>
        <w:ind w:firstLine="0" w:firstLineChars="0"/>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青岛市农业农村局 青岛市海洋发展局</w:t>
      </w:r>
    </w:p>
    <w:p>
      <w:pPr>
        <w:ind w:firstLine="0" w:firstLineChars="0"/>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青岛市园林和林业局 青岛市卫生健康委员会</w:t>
      </w:r>
    </w:p>
    <w:p>
      <w:pPr>
        <w:ind w:firstLine="0" w:firstLineChars="0"/>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关于印发青岛市生物多样性保护战略</w:t>
      </w:r>
    </w:p>
    <w:p>
      <w:pPr>
        <w:ind w:firstLine="0" w:firstLineChars="0"/>
        <w:jc w:val="center"/>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与行动计划(2023-2030年)的通知</w:t>
      </w:r>
    </w:p>
    <w:p>
      <w:pPr>
        <w:ind w:firstLine="632"/>
        <w:rPr>
          <w:rFonts w:ascii="仿宋_GB2312" w:hAnsi="仿宋_GB2312" w:cs="仿宋_GB2312"/>
          <w:color w:val="auto"/>
          <w:highlight w:val="none"/>
        </w:rPr>
      </w:pPr>
    </w:p>
    <w:p>
      <w:pPr>
        <w:ind w:firstLine="0" w:firstLineChars="0"/>
        <w:rPr>
          <w:rFonts w:ascii="仿宋_GB2312" w:hAnsi="仿宋_GB2312" w:cs="仿宋_GB2312"/>
          <w:color w:val="auto"/>
          <w:highlight w:val="none"/>
        </w:rPr>
      </w:pPr>
      <w:r>
        <w:rPr>
          <w:rFonts w:hint="eastAsia" w:ascii="仿宋_GB2312" w:hAnsi="仿宋_GB2312" w:cs="仿宋_GB2312"/>
          <w:color w:val="auto"/>
          <w:highlight w:val="none"/>
        </w:rPr>
        <w:t>各区、市生态环境、发展改革、财政、水务、农业农村、海洋发展、园林和林业、卫生健康主管部门：</w:t>
      </w:r>
    </w:p>
    <w:p>
      <w:pPr>
        <w:ind w:firstLine="632"/>
        <w:rPr>
          <w:rFonts w:ascii="仿宋_GB2312" w:hAnsi="仿宋_GB2312" w:cs="仿宋_GB2312"/>
          <w:color w:val="auto"/>
          <w:highlight w:val="none"/>
        </w:rPr>
      </w:pPr>
      <w:r>
        <w:rPr>
          <w:rFonts w:hint="eastAsia" w:ascii="仿宋_GB2312" w:hAnsi="仿宋_GB2312" w:cs="仿宋_GB2312"/>
          <w:color w:val="auto"/>
          <w:highlight w:val="none"/>
        </w:rPr>
        <w:t>现将《青岛市生物多样性保护战略与行动计划(2023-2030年)》印发给你们，请认真贯彻落实。</w:t>
      </w:r>
    </w:p>
    <w:p>
      <w:pPr>
        <w:ind w:firstLine="632"/>
        <w:rPr>
          <w:rFonts w:ascii="仿宋_GB2312" w:hAnsi="仿宋_GB2312" w:cs="仿宋_GB2312"/>
          <w:color w:val="auto"/>
          <w:highlight w:val="none"/>
        </w:rPr>
      </w:pPr>
    </w:p>
    <w:p>
      <w:pPr>
        <w:ind w:firstLine="632"/>
        <w:rPr>
          <w:rFonts w:ascii="仿宋_GB2312" w:hAnsi="仿宋_GB2312" w:cs="仿宋_GB2312"/>
          <w:color w:val="auto"/>
          <w:highlight w:val="none"/>
        </w:rPr>
      </w:pPr>
    </w:p>
    <w:p>
      <w:pPr>
        <w:tabs>
          <w:tab w:val="left" w:pos="4421"/>
          <w:tab w:val="left" w:pos="4737"/>
        </w:tabs>
        <w:ind w:firstLine="632"/>
        <w:rPr>
          <w:rFonts w:ascii="仿宋_GB2312" w:hAnsi="仿宋_GB2312" w:cs="仿宋_GB2312"/>
          <w:color w:val="auto"/>
          <w:highlight w:val="none"/>
        </w:rPr>
      </w:pPr>
      <w:r>
        <w:rPr>
          <w:rFonts w:hint="eastAsia" w:ascii="仿宋_GB2312" w:hAnsi="仿宋_GB2312" w:cs="仿宋_GB2312"/>
          <w:color w:val="auto"/>
          <w:highlight w:val="none"/>
        </w:rPr>
        <w:t>青岛市生态环境局          青岛市发展和改革委员会</w:t>
      </w:r>
    </w:p>
    <w:p>
      <w:pPr>
        <w:ind w:firstLine="0" w:firstLineChars="0"/>
        <w:rPr>
          <w:rFonts w:ascii="仿宋_GB2312" w:hAnsi="仿宋_GB2312" w:cs="仿宋_GB2312"/>
          <w:color w:val="auto"/>
          <w:highlight w:val="none"/>
        </w:rPr>
      </w:pPr>
    </w:p>
    <w:p>
      <w:pPr>
        <w:ind w:firstLine="0" w:firstLineChars="0"/>
        <w:rPr>
          <w:rFonts w:ascii="仿宋_GB2312" w:hAnsi="仿宋_GB2312" w:cs="仿宋_GB2312"/>
          <w:color w:val="auto"/>
          <w:highlight w:val="none"/>
        </w:rPr>
      </w:pPr>
    </w:p>
    <w:p>
      <w:pPr>
        <w:tabs>
          <w:tab w:val="left" w:pos="5053"/>
          <w:tab w:val="left" w:pos="5369"/>
          <w:tab w:val="left" w:pos="7580"/>
          <w:tab w:val="left" w:pos="7896"/>
        </w:tabs>
        <w:ind w:firstLine="948" w:firstLineChars="300"/>
        <w:rPr>
          <w:rFonts w:ascii="仿宋_GB2312" w:hAnsi="仿宋_GB2312" w:cs="仿宋_GB2312"/>
          <w:color w:val="auto"/>
          <w:highlight w:val="none"/>
        </w:rPr>
      </w:pPr>
      <w:r>
        <w:rPr>
          <w:rFonts w:hint="eastAsia" w:ascii="仿宋_GB2312" w:hAnsi="仿宋_GB2312" w:cs="仿宋_GB2312"/>
          <w:color w:val="auto"/>
          <w:highlight w:val="none"/>
        </w:rPr>
        <w:t xml:space="preserve">青岛市财政局               青岛市水务管理局   </w:t>
      </w:r>
    </w:p>
    <w:p>
      <w:pPr>
        <w:ind w:firstLine="632"/>
        <w:rPr>
          <w:rFonts w:ascii="仿宋_GB2312" w:hAnsi="仿宋_GB2312" w:cs="仿宋_GB2312"/>
          <w:color w:val="auto"/>
          <w:highlight w:val="none"/>
        </w:rPr>
      </w:pPr>
    </w:p>
    <w:p>
      <w:pPr>
        <w:ind w:firstLine="632"/>
        <w:rPr>
          <w:rFonts w:ascii="仿宋_GB2312" w:hAnsi="仿宋_GB2312" w:cs="仿宋_GB2312"/>
          <w:color w:val="auto"/>
          <w:highlight w:val="none"/>
        </w:rPr>
      </w:pPr>
    </w:p>
    <w:p>
      <w:pPr>
        <w:tabs>
          <w:tab w:val="left" w:pos="7580"/>
          <w:tab w:val="left" w:pos="7896"/>
        </w:tabs>
        <w:ind w:firstLine="790" w:firstLineChars="250"/>
        <w:rPr>
          <w:rFonts w:ascii="仿宋_GB2312" w:hAnsi="仿宋_GB2312" w:cs="仿宋_GB2312"/>
          <w:color w:val="auto"/>
          <w:highlight w:val="none"/>
        </w:rPr>
      </w:pPr>
      <w:r>
        <w:rPr>
          <w:rFonts w:hint="eastAsia" w:ascii="仿宋_GB2312" w:hAnsi="仿宋_GB2312" w:cs="仿宋_GB2312"/>
          <w:color w:val="auto"/>
          <w:highlight w:val="none"/>
        </w:rPr>
        <w:t xml:space="preserve">青岛市农业农村局            青岛市海洋发展局      </w:t>
      </w:r>
    </w:p>
    <w:p>
      <w:pPr>
        <w:ind w:firstLine="632"/>
        <w:rPr>
          <w:rFonts w:ascii="仿宋_GB2312" w:hAnsi="仿宋_GB2312" w:cs="仿宋_GB2312"/>
          <w:color w:val="auto"/>
          <w:highlight w:val="none"/>
        </w:rPr>
      </w:pPr>
    </w:p>
    <w:p>
      <w:pPr>
        <w:ind w:firstLine="632"/>
        <w:rPr>
          <w:rFonts w:ascii="仿宋_GB2312" w:hAnsi="仿宋_GB2312" w:cs="仿宋_GB2312"/>
          <w:color w:val="auto"/>
          <w:highlight w:val="none"/>
        </w:rPr>
      </w:pPr>
    </w:p>
    <w:p>
      <w:pPr>
        <w:ind w:firstLine="632"/>
        <w:rPr>
          <w:rFonts w:ascii="仿宋_GB2312" w:hAnsi="仿宋_GB2312" w:cs="仿宋_GB2312"/>
          <w:color w:val="auto"/>
          <w:highlight w:val="none"/>
        </w:rPr>
      </w:pPr>
      <w:r>
        <w:rPr>
          <w:rFonts w:hint="eastAsia" w:ascii="仿宋_GB2312" w:hAnsi="仿宋_GB2312" w:cs="仿宋_GB2312"/>
          <w:color w:val="auto"/>
          <w:highlight w:val="none"/>
        </w:rPr>
        <w:t>青岛市园林和林业局         青岛市卫生健康委员会</w:t>
      </w:r>
    </w:p>
    <w:p>
      <w:pPr>
        <w:tabs>
          <w:tab w:val="left" w:pos="7580"/>
        </w:tabs>
        <w:ind w:firstLine="5372" w:firstLineChars="1700"/>
        <w:rPr>
          <w:rFonts w:ascii="仿宋_GB2312" w:hAnsi="仿宋_GB2312" w:cs="仿宋_GB2312"/>
          <w:color w:val="auto"/>
          <w:highlight w:val="none"/>
        </w:rPr>
      </w:pPr>
      <w:r>
        <w:rPr>
          <w:rFonts w:hint="eastAsia" w:ascii="仿宋_GB2312" w:hAnsi="仿宋_GB2312" w:cs="仿宋_GB2312"/>
          <w:color w:val="auto"/>
          <w:highlight w:val="none"/>
        </w:rPr>
        <w:t>2024年5月17日</w:t>
      </w:r>
    </w:p>
    <w:p>
      <w:pPr>
        <w:ind w:firstLine="632"/>
        <w:rPr>
          <w:rFonts w:ascii="仿宋_GB2312" w:hAnsi="仿宋"/>
          <w:color w:val="auto"/>
          <w:highlight w:val="none"/>
        </w:rPr>
      </w:pPr>
    </w:p>
    <w:p>
      <w:pPr>
        <w:snapToGrid w:val="0"/>
        <w:spacing w:line="360" w:lineRule="auto"/>
        <w:ind w:firstLine="632"/>
        <w:rPr>
          <w:rFonts w:eastAsia="黑体"/>
          <w:color w:val="auto"/>
          <w:highlight w:val="none"/>
        </w:rPr>
      </w:pPr>
    </w:p>
    <w:p>
      <w:pPr>
        <w:snapToGrid w:val="0"/>
        <w:spacing w:line="360" w:lineRule="auto"/>
        <w:ind w:firstLine="632"/>
        <w:rPr>
          <w:rFonts w:eastAsia="黑体"/>
          <w:color w:val="auto"/>
          <w:highlight w:val="none"/>
        </w:rPr>
      </w:pPr>
    </w:p>
    <w:p>
      <w:pPr>
        <w:snapToGrid w:val="0"/>
        <w:spacing w:line="360" w:lineRule="auto"/>
        <w:ind w:firstLine="632"/>
        <w:rPr>
          <w:rFonts w:eastAsia="黑体"/>
          <w:color w:val="auto"/>
          <w:highlight w:val="none"/>
        </w:rPr>
      </w:pPr>
    </w:p>
    <w:p>
      <w:pPr>
        <w:snapToGrid w:val="0"/>
        <w:spacing w:line="360" w:lineRule="auto"/>
        <w:ind w:firstLine="1112"/>
        <w:rPr>
          <w:rFonts w:eastAsia="黑体"/>
          <w:color w:val="auto"/>
          <w:sz w:val="56"/>
          <w:szCs w:val="56"/>
          <w:highlight w:val="none"/>
        </w:rPr>
      </w:pPr>
    </w:p>
    <w:p>
      <w:pPr>
        <w:snapToGrid w:val="0"/>
        <w:spacing w:line="360" w:lineRule="auto"/>
        <w:ind w:firstLine="1112"/>
        <w:rPr>
          <w:rFonts w:eastAsia="黑体"/>
          <w:color w:val="auto"/>
          <w:sz w:val="56"/>
          <w:szCs w:val="56"/>
          <w:highlight w:val="none"/>
        </w:rPr>
      </w:pPr>
    </w:p>
    <w:p>
      <w:pPr>
        <w:snapToGrid w:val="0"/>
        <w:spacing w:line="360" w:lineRule="auto"/>
        <w:ind w:firstLine="1112"/>
        <w:rPr>
          <w:rFonts w:eastAsia="黑体"/>
          <w:color w:val="auto"/>
          <w:sz w:val="56"/>
          <w:szCs w:val="56"/>
          <w:highlight w:val="none"/>
        </w:rPr>
      </w:pPr>
    </w:p>
    <w:p>
      <w:pPr>
        <w:snapToGrid w:val="0"/>
        <w:spacing w:line="360" w:lineRule="auto"/>
        <w:ind w:firstLine="1112"/>
        <w:rPr>
          <w:rFonts w:eastAsia="黑体"/>
          <w:color w:val="auto"/>
          <w:sz w:val="56"/>
          <w:szCs w:val="56"/>
          <w:highlight w:val="none"/>
        </w:rPr>
      </w:pPr>
    </w:p>
    <w:p>
      <w:pPr>
        <w:snapToGrid w:val="0"/>
        <w:spacing w:line="360" w:lineRule="auto"/>
        <w:ind w:firstLine="1112"/>
        <w:rPr>
          <w:rFonts w:eastAsia="黑体"/>
          <w:color w:val="auto"/>
          <w:sz w:val="56"/>
          <w:szCs w:val="56"/>
          <w:highlight w:val="none"/>
        </w:rPr>
      </w:pPr>
    </w:p>
    <w:p>
      <w:pPr>
        <w:snapToGrid w:val="0"/>
        <w:spacing w:line="360" w:lineRule="auto"/>
        <w:ind w:firstLine="1112"/>
        <w:rPr>
          <w:rFonts w:eastAsia="黑体"/>
          <w:color w:val="auto"/>
          <w:sz w:val="56"/>
          <w:szCs w:val="56"/>
          <w:highlight w:val="none"/>
        </w:rPr>
      </w:pPr>
    </w:p>
    <w:p>
      <w:pPr>
        <w:snapToGrid w:val="0"/>
        <w:spacing w:line="360" w:lineRule="auto"/>
        <w:ind w:firstLine="0" w:firstLineChars="0"/>
        <w:jc w:val="center"/>
        <w:rPr>
          <w:rFonts w:ascii="方正小标宋_GBK" w:hAnsi="方正小标宋_GBK" w:eastAsia="方正小标宋_GBK" w:cs="方正小标宋_GBK"/>
          <w:bCs/>
          <w:color w:val="auto"/>
          <w:sz w:val="72"/>
          <w:szCs w:val="72"/>
          <w:highlight w:val="none"/>
        </w:rPr>
      </w:pPr>
      <w:r>
        <w:rPr>
          <w:rFonts w:hint="eastAsia" w:ascii="方正小标宋_GBK" w:hAnsi="方正小标宋_GBK" w:eastAsia="方正小标宋_GBK" w:cs="方正小标宋_GBK"/>
          <w:bCs/>
          <w:color w:val="auto"/>
          <w:sz w:val="72"/>
          <w:szCs w:val="72"/>
          <w:highlight w:val="none"/>
        </w:rPr>
        <w:t>青岛市生物多样性保护战略</w:t>
      </w:r>
    </w:p>
    <w:p>
      <w:pPr>
        <w:snapToGrid w:val="0"/>
        <w:spacing w:line="360" w:lineRule="auto"/>
        <w:ind w:firstLine="0" w:firstLineChars="0"/>
        <w:jc w:val="center"/>
        <w:rPr>
          <w:rFonts w:ascii="方正小标宋_GBK" w:hAnsi="方正小标宋_GBK" w:eastAsia="方正小标宋_GBK" w:cs="方正小标宋_GBK"/>
          <w:bCs/>
          <w:color w:val="auto"/>
          <w:sz w:val="72"/>
          <w:szCs w:val="72"/>
          <w:highlight w:val="none"/>
        </w:rPr>
      </w:pPr>
      <w:r>
        <w:rPr>
          <w:rFonts w:hint="eastAsia" w:ascii="方正小标宋_GBK" w:hAnsi="方正小标宋_GBK" w:eastAsia="方正小标宋_GBK" w:cs="方正小标宋_GBK"/>
          <w:bCs/>
          <w:color w:val="auto"/>
          <w:sz w:val="72"/>
          <w:szCs w:val="72"/>
          <w:highlight w:val="none"/>
        </w:rPr>
        <w:t>与行动计划（2023-2030年）</w:t>
      </w:r>
    </w:p>
    <w:p>
      <w:pPr>
        <w:snapToGrid w:val="0"/>
        <w:spacing w:line="360" w:lineRule="auto"/>
        <w:ind w:firstLine="0" w:firstLineChars="0"/>
        <w:jc w:val="center"/>
        <w:rPr>
          <w:rFonts w:eastAsia="方正小标宋简体"/>
          <w:b/>
          <w:color w:val="auto"/>
          <w:sz w:val="44"/>
          <w:szCs w:val="44"/>
          <w:highlight w:val="none"/>
        </w:rPr>
      </w:pPr>
    </w:p>
    <w:p>
      <w:pPr>
        <w:snapToGrid w:val="0"/>
        <w:spacing w:line="360" w:lineRule="auto"/>
        <w:ind w:firstLine="875"/>
        <w:jc w:val="center"/>
        <w:rPr>
          <w:rFonts w:eastAsia="方正小标宋简体"/>
          <w:b/>
          <w:color w:val="auto"/>
          <w:sz w:val="44"/>
          <w:szCs w:val="44"/>
          <w:highlight w:val="none"/>
        </w:rPr>
      </w:pPr>
    </w:p>
    <w:p>
      <w:pPr>
        <w:snapToGrid w:val="0"/>
        <w:spacing w:line="360" w:lineRule="auto"/>
        <w:ind w:firstLine="875"/>
        <w:jc w:val="center"/>
        <w:rPr>
          <w:rFonts w:eastAsia="方正小标宋简体"/>
          <w:b/>
          <w:color w:val="auto"/>
          <w:sz w:val="44"/>
          <w:szCs w:val="44"/>
          <w:highlight w:val="none"/>
        </w:rPr>
      </w:pPr>
    </w:p>
    <w:p>
      <w:pPr>
        <w:snapToGrid w:val="0"/>
        <w:spacing w:line="360" w:lineRule="auto"/>
        <w:ind w:firstLine="875"/>
        <w:jc w:val="center"/>
        <w:rPr>
          <w:rFonts w:eastAsia="方正小标宋简体"/>
          <w:b/>
          <w:color w:val="auto"/>
          <w:sz w:val="44"/>
          <w:szCs w:val="44"/>
          <w:highlight w:val="none"/>
        </w:rPr>
      </w:pPr>
    </w:p>
    <w:p>
      <w:pPr>
        <w:snapToGrid w:val="0"/>
        <w:spacing w:line="360" w:lineRule="auto"/>
        <w:ind w:firstLine="0" w:firstLineChars="0"/>
        <w:rPr>
          <w:rFonts w:eastAsia="黑体"/>
          <w:color w:val="auto"/>
          <w:szCs w:val="22"/>
          <w:highlight w:val="none"/>
        </w:rPr>
      </w:pPr>
      <w:r>
        <w:rPr>
          <w:rFonts w:eastAsia="方正小标宋简体"/>
          <w:b/>
          <w:color w:val="auto"/>
          <w:sz w:val="44"/>
          <w:szCs w:val="44"/>
          <w:highlight w:val="none"/>
        </w:rPr>
        <w:br w:type="page"/>
      </w:r>
    </w:p>
    <w:p>
      <w:pPr>
        <w:snapToGrid w:val="0"/>
        <w:spacing w:line="360" w:lineRule="auto"/>
        <w:ind w:firstLine="632"/>
        <w:jc w:val="center"/>
        <w:rPr>
          <w:rFonts w:eastAsia="黑体"/>
          <w:color w:val="auto"/>
          <w:szCs w:val="22"/>
          <w:highlight w:val="none"/>
        </w:rPr>
        <w:sectPr>
          <w:headerReference r:id="rId5" w:type="default"/>
          <w:footerReference r:id="rId6" w:type="default"/>
          <w:pgSz w:w="11906" w:h="16838"/>
          <w:pgMar w:top="2098" w:right="1474" w:bottom="1984" w:left="1587" w:header="851" w:footer="1587" w:gutter="0"/>
          <w:cols w:space="425" w:num="1"/>
          <w:docGrid w:type="linesAndChars" w:linePitch="610" w:charSpace="-849"/>
        </w:sectPr>
      </w:pPr>
    </w:p>
    <w:p>
      <w:pPr>
        <w:snapToGrid w:val="0"/>
        <w:spacing w:line="360" w:lineRule="auto"/>
        <w:ind w:firstLine="0" w:firstLineChars="0"/>
        <w:jc w:val="center"/>
        <w:rPr>
          <w:rFonts w:eastAsia="黑体"/>
          <w:color w:val="auto"/>
          <w:sz w:val="48"/>
          <w:highlight w:val="none"/>
        </w:rPr>
      </w:pPr>
      <w:r>
        <w:rPr>
          <w:rFonts w:eastAsia="黑体"/>
          <w:color w:val="auto"/>
          <w:sz w:val="48"/>
          <w:highlight w:val="none"/>
        </w:rPr>
        <w:t>目录</w:t>
      </w:r>
    </w:p>
    <w:p>
      <w:pPr>
        <w:snapToGrid w:val="0"/>
        <w:spacing w:line="360" w:lineRule="auto"/>
        <w:ind w:firstLine="552"/>
        <w:rPr>
          <w:color w:val="auto"/>
          <w:sz w:val="28"/>
          <w:szCs w:val="28"/>
          <w:highlight w:val="none"/>
        </w:rPr>
      </w:pPr>
    </w:p>
    <w:p>
      <w:pPr>
        <w:pStyle w:val="26"/>
        <w:rPr>
          <w:rFonts w:ascii="仿宋_GB2312" w:cstheme="minorBidi"/>
          <w:b w:val="0"/>
          <w:bCs w:val="0"/>
          <w:caps w:val="0"/>
          <w:color w:val="auto"/>
          <w:sz w:val="28"/>
          <w:szCs w:val="28"/>
          <w:highlight w:val="none"/>
          <w14:ligatures w14:val="standardContextual"/>
        </w:rPr>
      </w:pP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TOC \o "1-2" \h \z \u </w:instrText>
      </w:r>
      <w:r>
        <w:rPr>
          <w:rFonts w:hint="eastAsia" w:ascii="仿宋_GB2312"/>
          <w:color w:val="auto"/>
          <w:sz w:val="28"/>
          <w:szCs w:val="28"/>
          <w:highlight w:val="none"/>
        </w:rPr>
        <w:fldChar w:fldCharType="separate"/>
      </w:r>
      <w:r>
        <w:rPr>
          <w:color w:val="auto"/>
          <w:highlight w:val="none"/>
        </w:rPr>
        <w:fldChar w:fldCharType="begin"/>
      </w:r>
      <w:r>
        <w:rPr>
          <w:color w:val="auto"/>
          <w:highlight w:val="none"/>
        </w:rPr>
        <w:instrText xml:space="preserve"> HYPERLINK \l "_Toc163376213" </w:instrText>
      </w:r>
      <w:r>
        <w:rPr>
          <w:color w:val="auto"/>
          <w:highlight w:val="none"/>
        </w:rPr>
        <w:fldChar w:fldCharType="separate"/>
      </w:r>
      <w:r>
        <w:rPr>
          <w:rStyle w:val="50"/>
          <w:rFonts w:hint="eastAsia" w:ascii="仿宋_GB2312"/>
          <w:color w:val="auto"/>
          <w:sz w:val="28"/>
          <w:szCs w:val="28"/>
          <w:highlight w:val="none"/>
        </w:rPr>
        <w:t>前  言</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_Toc163376213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- 1 -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26"/>
        <w:rPr>
          <w:rFonts w:ascii="仿宋_GB2312" w:cstheme="minorBidi"/>
          <w:b w:val="0"/>
          <w:bCs w:val="0"/>
          <w: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"_Toc163376214" </w:instrText>
      </w:r>
      <w:r>
        <w:rPr>
          <w:color w:val="auto"/>
          <w:highlight w:val="none"/>
        </w:rPr>
        <w:fldChar w:fldCharType="separate"/>
      </w:r>
      <w:r>
        <w:rPr>
          <w:rStyle w:val="50"/>
          <w:rFonts w:hint="eastAsia" w:ascii="仿宋_GB2312"/>
          <w:color w:val="auto"/>
          <w:sz w:val="28"/>
          <w:szCs w:val="28"/>
          <w:highlight w:val="none"/>
        </w:rPr>
        <w:t>一、生物多样性现状</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_Toc163376214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- 4 -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"_Toc163376215" </w:instrText>
      </w:r>
      <w:r>
        <w:rPr>
          <w:color w:val="auto"/>
          <w:highlight w:val="none"/>
        </w:rPr>
        <w:fldChar w:fldCharType="separate"/>
      </w:r>
      <w:r>
        <w:rPr>
          <w:rStyle w:val="50"/>
          <w:rFonts w:hint="eastAsia" w:ascii="仿宋_GB2312"/>
          <w:color w:val="auto"/>
          <w:sz w:val="28"/>
          <w:szCs w:val="28"/>
          <w:highlight w:val="none"/>
        </w:rPr>
        <w:t>（一）生态系统多样性</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_Toc163376215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- 4 -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"_Toc163376216" </w:instrText>
      </w:r>
      <w:r>
        <w:rPr>
          <w:color w:val="auto"/>
          <w:highlight w:val="none"/>
        </w:rPr>
        <w:fldChar w:fldCharType="separate"/>
      </w:r>
      <w:r>
        <w:rPr>
          <w:rStyle w:val="50"/>
          <w:rFonts w:hint="eastAsia" w:ascii="仿宋_GB2312"/>
          <w:color w:val="auto"/>
          <w:sz w:val="28"/>
          <w:szCs w:val="28"/>
          <w:highlight w:val="none"/>
        </w:rPr>
        <w:t>（二）物种多样性</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_Toc163376216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"_Toc163376217" </w:instrText>
      </w:r>
      <w:r>
        <w:rPr>
          <w:color w:val="auto"/>
          <w:highlight w:val="none"/>
        </w:rPr>
        <w:fldChar w:fldCharType="separate"/>
      </w:r>
      <w:r>
        <w:rPr>
          <w:rStyle w:val="50"/>
          <w:rFonts w:hint="eastAsia" w:ascii="仿宋_GB2312"/>
          <w:color w:val="auto"/>
          <w:sz w:val="28"/>
          <w:szCs w:val="28"/>
          <w:highlight w:val="none"/>
        </w:rPr>
        <w:t>（三）遗传多样性</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_Toc163376217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- 10 -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"_Toc163376218" </w:instrText>
      </w:r>
      <w:r>
        <w:rPr>
          <w:color w:val="auto"/>
          <w:highlight w:val="none"/>
        </w:rPr>
        <w:fldChar w:fldCharType="separate"/>
      </w:r>
      <w:r>
        <w:rPr>
          <w:rStyle w:val="50"/>
          <w:rFonts w:hint="eastAsia" w:ascii="仿宋_GB2312"/>
          <w:color w:val="auto"/>
          <w:sz w:val="28"/>
          <w:szCs w:val="28"/>
          <w:highlight w:val="none"/>
        </w:rPr>
        <w:t>（四）生物多样性受威胁现状</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_Toc163376218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- 12 -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26"/>
        <w:rPr>
          <w:rFonts w:ascii="仿宋_GB2312" w:cstheme="minorBidi"/>
          <w:b w:val="0"/>
          <w:bCs w:val="0"/>
          <w: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"_Toc163376219" </w:instrText>
      </w:r>
      <w:r>
        <w:rPr>
          <w:color w:val="auto"/>
          <w:highlight w:val="none"/>
        </w:rPr>
        <w:fldChar w:fldCharType="separate"/>
      </w:r>
      <w:r>
        <w:rPr>
          <w:rStyle w:val="50"/>
          <w:rFonts w:hint="eastAsia" w:ascii="仿宋_GB2312"/>
          <w:color w:val="auto"/>
          <w:sz w:val="28"/>
          <w:szCs w:val="28"/>
          <w:highlight w:val="none"/>
        </w:rPr>
        <w:t>二、生物多样性保护工作的成效、问题与挑战</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_Toc163376219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- 15 -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"_Toc163376220" </w:instrText>
      </w:r>
      <w:r>
        <w:rPr>
          <w:color w:val="auto"/>
          <w:highlight w:val="none"/>
        </w:rPr>
        <w:fldChar w:fldCharType="separate"/>
      </w:r>
      <w:r>
        <w:rPr>
          <w:rStyle w:val="50"/>
          <w:rFonts w:hint="eastAsia" w:ascii="仿宋_GB2312"/>
          <w:color w:val="auto"/>
          <w:sz w:val="28"/>
          <w:szCs w:val="28"/>
          <w:highlight w:val="none"/>
        </w:rPr>
        <w:t>（一）生物多样性保护成效与经验</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_Toc163376220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- 15 -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"_Toc163376221" </w:instrText>
      </w:r>
      <w:r>
        <w:rPr>
          <w:color w:val="auto"/>
          <w:highlight w:val="none"/>
        </w:rPr>
        <w:fldChar w:fldCharType="separate"/>
      </w:r>
      <w:r>
        <w:rPr>
          <w:rStyle w:val="50"/>
          <w:rFonts w:hint="eastAsia" w:ascii="仿宋_GB2312"/>
          <w:color w:val="auto"/>
          <w:sz w:val="28"/>
          <w:szCs w:val="28"/>
          <w:highlight w:val="none"/>
        </w:rPr>
        <w:t>（二）生物多样性保护面临的主要问题与挑战</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_Toc163376221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- 21 -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26"/>
        <w:rPr>
          <w:rFonts w:ascii="仿宋_GB2312" w:cstheme="minorBidi"/>
          <w:b w:val="0"/>
          <w:bCs w:val="0"/>
          <w: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"_Toc163376222" </w:instrText>
      </w:r>
      <w:r>
        <w:rPr>
          <w:color w:val="auto"/>
          <w:highlight w:val="none"/>
        </w:rPr>
        <w:fldChar w:fldCharType="separate"/>
      </w:r>
      <w:r>
        <w:rPr>
          <w:rStyle w:val="50"/>
          <w:rFonts w:hint="eastAsia" w:ascii="仿宋_GB2312"/>
          <w:color w:val="auto"/>
          <w:sz w:val="28"/>
          <w:szCs w:val="28"/>
          <w:highlight w:val="none"/>
        </w:rPr>
        <w:t>三、生物多样性保护战略</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_Toc163376222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- 24 -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"_Toc163376223" </w:instrText>
      </w:r>
      <w:r>
        <w:rPr>
          <w:color w:val="auto"/>
          <w:highlight w:val="none"/>
        </w:rPr>
        <w:fldChar w:fldCharType="separate"/>
      </w:r>
      <w:r>
        <w:rPr>
          <w:rStyle w:val="50"/>
          <w:rFonts w:hint="eastAsia" w:ascii="仿宋_GB2312"/>
          <w:color w:val="auto"/>
          <w:sz w:val="28"/>
          <w:szCs w:val="28"/>
          <w:highlight w:val="none"/>
        </w:rPr>
        <w:t>（一）指导思想</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_Toc163376223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- 24 -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"_Toc163376224" </w:instrText>
      </w:r>
      <w:r>
        <w:rPr>
          <w:color w:val="auto"/>
          <w:highlight w:val="none"/>
        </w:rPr>
        <w:fldChar w:fldCharType="separate"/>
      </w:r>
      <w:r>
        <w:rPr>
          <w:rStyle w:val="50"/>
          <w:rFonts w:hint="eastAsia" w:ascii="仿宋_GB2312"/>
          <w:color w:val="auto"/>
          <w:sz w:val="28"/>
          <w:szCs w:val="28"/>
          <w:highlight w:val="none"/>
        </w:rPr>
        <w:t>（二）基本原则</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_Toc163376224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- 25 -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"_Toc163376225" </w:instrText>
      </w:r>
      <w:r>
        <w:rPr>
          <w:color w:val="auto"/>
          <w:highlight w:val="none"/>
        </w:rPr>
        <w:fldChar w:fldCharType="separate"/>
      </w:r>
      <w:r>
        <w:rPr>
          <w:rStyle w:val="50"/>
          <w:rFonts w:hint="eastAsia" w:ascii="仿宋_GB2312"/>
          <w:color w:val="auto"/>
          <w:sz w:val="28"/>
          <w:szCs w:val="28"/>
          <w:highlight w:val="none"/>
        </w:rPr>
        <w:t>（三）战略目标</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_Toc163376225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- 26 -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"_Toc163376226" </w:instrText>
      </w:r>
      <w:r>
        <w:rPr>
          <w:color w:val="auto"/>
          <w:highlight w:val="none"/>
        </w:rPr>
        <w:fldChar w:fldCharType="separate"/>
      </w:r>
      <w:r>
        <w:rPr>
          <w:rStyle w:val="50"/>
          <w:rFonts w:hint="eastAsia" w:ascii="仿宋_GB2312"/>
          <w:color w:val="auto"/>
          <w:sz w:val="28"/>
          <w:szCs w:val="28"/>
          <w:highlight w:val="none"/>
        </w:rPr>
        <w:t>（四）战略任务</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_Toc163376226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- 27 -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26"/>
        <w:rPr>
          <w:rFonts w:ascii="仿宋_GB2312" w:cstheme="minorBidi"/>
          <w:b w:val="0"/>
          <w:bCs w:val="0"/>
          <w: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"_Toc163376227" </w:instrText>
      </w:r>
      <w:r>
        <w:rPr>
          <w:color w:val="auto"/>
          <w:highlight w:val="none"/>
        </w:rPr>
        <w:fldChar w:fldCharType="separate"/>
      </w:r>
      <w:r>
        <w:rPr>
          <w:rStyle w:val="50"/>
          <w:rFonts w:hint="eastAsia" w:ascii="仿宋_GB2312"/>
          <w:color w:val="auto"/>
          <w:sz w:val="28"/>
          <w:szCs w:val="28"/>
          <w:highlight w:val="none"/>
        </w:rPr>
        <w:t>四、生物多样性保护优先区域</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_Toc163376227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- 29 -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"_Toc163376228" </w:instrText>
      </w:r>
      <w:r>
        <w:rPr>
          <w:color w:val="auto"/>
          <w:highlight w:val="none"/>
        </w:rPr>
        <w:fldChar w:fldCharType="separate"/>
      </w:r>
      <w:r>
        <w:rPr>
          <w:rStyle w:val="50"/>
          <w:rFonts w:hint="eastAsia" w:ascii="仿宋_GB2312"/>
          <w:color w:val="auto"/>
          <w:sz w:val="28"/>
          <w:szCs w:val="28"/>
          <w:highlight w:val="none"/>
        </w:rPr>
        <w:t>（一）陆地生物多样性保护优先区域调整方法</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_Toc163376228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- 29 -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"_Toc163376229" </w:instrText>
      </w:r>
      <w:r>
        <w:rPr>
          <w:color w:val="auto"/>
          <w:highlight w:val="none"/>
        </w:rPr>
        <w:fldChar w:fldCharType="separate"/>
      </w:r>
      <w:r>
        <w:rPr>
          <w:rStyle w:val="50"/>
          <w:rFonts w:hint="eastAsia" w:ascii="仿宋_GB2312"/>
          <w:color w:val="auto"/>
          <w:sz w:val="28"/>
          <w:szCs w:val="28"/>
          <w:highlight w:val="none"/>
        </w:rPr>
        <w:t>（二）陆地生物多样性保护优先区域介绍</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_Toc163376229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- 30 -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"_Toc163376230" </w:instrText>
      </w:r>
      <w:r>
        <w:rPr>
          <w:color w:val="auto"/>
          <w:highlight w:val="none"/>
        </w:rPr>
        <w:fldChar w:fldCharType="separate"/>
      </w:r>
      <w:r>
        <w:rPr>
          <w:rStyle w:val="50"/>
          <w:rFonts w:hint="eastAsia" w:ascii="仿宋_GB2312"/>
          <w:color w:val="auto"/>
          <w:sz w:val="28"/>
          <w:szCs w:val="28"/>
          <w:highlight w:val="none"/>
        </w:rPr>
        <w:t>（三）海洋与海岸带生物多样性保护优先区域调整方法</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_Toc163376230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- 42 -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"_Toc163376231" </w:instrText>
      </w:r>
      <w:r>
        <w:rPr>
          <w:color w:val="auto"/>
          <w:highlight w:val="none"/>
        </w:rPr>
        <w:fldChar w:fldCharType="separate"/>
      </w:r>
      <w:r>
        <w:rPr>
          <w:rStyle w:val="50"/>
          <w:rFonts w:hint="eastAsia" w:ascii="仿宋_GB2312"/>
          <w:color w:val="auto"/>
          <w:sz w:val="28"/>
          <w:szCs w:val="28"/>
          <w:highlight w:val="none"/>
        </w:rPr>
        <w:t>（四）海洋与海岸带生物多样性保护优先区域介绍</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_Toc163376231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- 43 -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26"/>
        <w:rPr>
          <w:rFonts w:ascii="仿宋_GB2312" w:cstheme="minorBidi"/>
          <w:b w:val="0"/>
          <w:bCs w:val="0"/>
          <w: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"_Toc163376232" </w:instrText>
      </w:r>
      <w:r>
        <w:rPr>
          <w:color w:val="auto"/>
          <w:highlight w:val="none"/>
        </w:rPr>
        <w:fldChar w:fldCharType="separate"/>
      </w:r>
      <w:r>
        <w:rPr>
          <w:rStyle w:val="50"/>
          <w:rFonts w:hint="eastAsia" w:ascii="仿宋_GB2312"/>
          <w:color w:val="auto"/>
          <w:sz w:val="28"/>
          <w:szCs w:val="28"/>
          <w:highlight w:val="none"/>
        </w:rPr>
        <w:t>五、生物多样性保护优先领域与行动</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_Toc163376232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- 52 -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"_Toc163376233" </w:instrText>
      </w:r>
      <w:r>
        <w:rPr>
          <w:color w:val="auto"/>
          <w:highlight w:val="none"/>
        </w:rPr>
        <w:fldChar w:fldCharType="separate"/>
      </w:r>
      <w:r>
        <w:rPr>
          <w:rStyle w:val="50"/>
          <w:rFonts w:hint="eastAsia" w:ascii="仿宋_GB2312"/>
          <w:color w:val="auto"/>
          <w:sz w:val="28"/>
          <w:szCs w:val="28"/>
          <w:highlight w:val="none"/>
        </w:rPr>
        <w:t>优先领域一：积极推进生物多样性主流化</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_Toc163376233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- 52 -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"_Toc163376234" </w:instrText>
      </w:r>
      <w:r>
        <w:rPr>
          <w:color w:val="auto"/>
          <w:highlight w:val="none"/>
        </w:rPr>
        <w:fldChar w:fldCharType="separate"/>
      </w:r>
      <w:r>
        <w:rPr>
          <w:rStyle w:val="50"/>
          <w:rFonts w:hint="eastAsia" w:ascii="仿宋_GB2312"/>
          <w:color w:val="auto"/>
          <w:sz w:val="28"/>
          <w:szCs w:val="28"/>
          <w:highlight w:val="none"/>
        </w:rPr>
        <w:t>优先领域二：全力应对生物多样性丧失威胁</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_Toc163376234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- 54 -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"_Toc163376235" </w:instrText>
      </w:r>
      <w:r>
        <w:rPr>
          <w:color w:val="auto"/>
          <w:highlight w:val="none"/>
        </w:rPr>
        <w:fldChar w:fldCharType="separate"/>
      </w:r>
      <w:r>
        <w:rPr>
          <w:rStyle w:val="50"/>
          <w:rFonts w:hint="eastAsia" w:ascii="仿宋_GB2312"/>
          <w:color w:val="auto"/>
          <w:sz w:val="28"/>
          <w:szCs w:val="28"/>
          <w:highlight w:val="none"/>
        </w:rPr>
        <w:t>优先领域三：着力提升生物多样性可持续利用与惠益共享水平</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_Toc163376235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- 59 -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"_Toc163376236" </w:instrText>
      </w:r>
      <w:r>
        <w:rPr>
          <w:color w:val="auto"/>
          <w:highlight w:val="none"/>
        </w:rPr>
        <w:fldChar w:fldCharType="separate"/>
      </w:r>
      <w:r>
        <w:rPr>
          <w:rStyle w:val="50"/>
          <w:rFonts w:hint="eastAsia" w:ascii="仿宋_GB2312"/>
          <w:color w:val="auto"/>
          <w:sz w:val="28"/>
          <w:szCs w:val="28"/>
          <w:highlight w:val="none"/>
        </w:rPr>
        <w:t>优先领域四：切实加强生物多样性保护科学支撑和能力保障</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_Toc163376236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- 63 -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26"/>
        <w:rPr>
          <w:rFonts w:ascii="仿宋_GB2312" w:cstheme="minorBidi"/>
          <w:b w:val="0"/>
          <w:bCs w:val="0"/>
          <w: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"_Toc163376237" </w:instrText>
      </w:r>
      <w:r>
        <w:rPr>
          <w:color w:val="auto"/>
          <w:highlight w:val="none"/>
        </w:rPr>
        <w:fldChar w:fldCharType="separate"/>
      </w:r>
      <w:r>
        <w:rPr>
          <w:rStyle w:val="50"/>
          <w:rFonts w:hint="eastAsia" w:ascii="仿宋_GB2312"/>
          <w:color w:val="auto"/>
          <w:sz w:val="28"/>
          <w:szCs w:val="28"/>
          <w:highlight w:val="none"/>
        </w:rPr>
        <w:t>六、保障措施</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_Toc163376237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- 66 -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"_Toc163376238" </w:instrText>
      </w:r>
      <w:r>
        <w:rPr>
          <w:color w:val="auto"/>
          <w:highlight w:val="none"/>
        </w:rPr>
        <w:fldChar w:fldCharType="separate"/>
      </w:r>
      <w:r>
        <w:rPr>
          <w:rStyle w:val="50"/>
          <w:rFonts w:hint="eastAsia" w:ascii="仿宋_GB2312"/>
          <w:color w:val="auto"/>
          <w:sz w:val="28"/>
          <w:szCs w:val="28"/>
          <w:highlight w:val="none"/>
        </w:rPr>
        <w:t>（一）加强组织领导</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_Toc163376238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- 66 -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"_Toc163376239" </w:instrText>
      </w:r>
      <w:r>
        <w:rPr>
          <w:color w:val="auto"/>
          <w:highlight w:val="none"/>
        </w:rPr>
        <w:fldChar w:fldCharType="separate"/>
      </w:r>
      <w:r>
        <w:rPr>
          <w:rStyle w:val="50"/>
          <w:rFonts w:hint="eastAsia" w:ascii="仿宋_GB2312"/>
          <w:color w:val="auto"/>
          <w:sz w:val="28"/>
          <w:szCs w:val="28"/>
          <w:highlight w:val="none"/>
        </w:rPr>
        <w:t>（二）强化政策引领</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_Toc163376239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- 66 -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"_Toc163376240" </w:instrText>
      </w:r>
      <w:r>
        <w:rPr>
          <w:color w:val="auto"/>
          <w:highlight w:val="none"/>
        </w:rPr>
        <w:fldChar w:fldCharType="separate"/>
      </w:r>
      <w:r>
        <w:rPr>
          <w:rStyle w:val="50"/>
          <w:rFonts w:hint="eastAsia" w:ascii="仿宋_GB2312"/>
          <w:color w:val="auto"/>
          <w:sz w:val="28"/>
          <w:szCs w:val="28"/>
          <w:highlight w:val="none"/>
        </w:rPr>
        <w:t>（三）强化科技与人才支撑</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_Toc163376240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- 66 -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"_Toc163376241" </w:instrText>
      </w:r>
      <w:r>
        <w:rPr>
          <w:color w:val="auto"/>
          <w:highlight w:val="none"/>
        </w:rPr>
        <w:fldChar w:fldCharType="separate"/>
      </w:r>
      <w:r>
        <w:rPr>
          <w:rStyle w:val="50"/>
          <w:rFonts w:hint="eastAsia" w:ascii="仿宋_GB2312"/>
          <w:color w:val="auto"/>
          <w:sz w:val="28"/>
          <w:szCs w:val="28"/>
          <w:highlight w:val="none"/>
        </w:rPr>
        <w:t>（四）加大资金保障</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_Toc163376241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- 67 -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26"/>
        <w:rPr>
          <w:rFonts w:ascii="仿宋_GB2312" w:cstheme="minorBidi"/>
          <w:b w:val="0"/>
          <w:bCs w:val="0"/>
          <w: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"_Toc163376242" </w:instrText>
      </w:r>
      <w:r>
        <w:rPr>
          <w:color w:val="auto"/>
          <w:highlight w:val="none"/>
        </w:rPr>
        <w:fldChar w:fldCharType="separate"/>
      </w:r>
      <w:r>
        <w:rPr>
          <w:rStyle w:val="50"/>
          <w:rFonts w:hint="eastAsia" w:ascii="仿宋_GB2312"/>
          <w:color w:val="auto"/>
          <w:sz w:val="28"/>
          <w:szCs w:val="28"/>
          <w:highlight w:val="none"/>
        </w:rPr>
        <w:t>附录：近期重点项目清单</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_Toc163376242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- 68 -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"_Toc163376243" </w:instrText>
      </w:r>
      <w:r>
        <w:rPr>
          <w:color w:val="auto"/>
          <w:highlight w:val="none"/>
        </w:rPr>
        <w:fldChar w:fldCharType="separate"/>
      </w:r>
      <w:r>
        <w:rPr>
          <w:rStyle w:val="50"/>
          <w:rFonts w:hint="eastAsia" w:ascii="仿宋_GB2312"/>
          <w:color w:val="auto"/>
          <w:sz w:val="28"/>
          <w:szCs w:val="28"/>
          <w:highlight w:val="none"/>
        </w:rPr>
        <w:t>项目1：建立健全市级生物多样性保护体制机制</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_Toc163376243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- 68 -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"_Toc163376244" </w:instrText>
      </w:r>
      <w:r>
        <w:rPr>
          <w:color w:val="auto"/>
          <w:highlight w:val="none"/>
        </w:rPr>
        <w:fldChar w:fldCharType="separate"/>
      </w:r>
      <w:r>
        <w:rPr>
          <w:rStyle w:val="50"/>
          <w:rFonts w:hint="eastAsia" w:ascii="仿宋_GB2312"/>
          <w:color w:val="auto"/>
          <w:sz w:val="28"/>
          <w:szCs w:val="28"/>
          <w:highlight w:val="none"/>
        </w:rPr>
        <w:t>项目2：陆地生物多样性优先区域生物多样性调查与编目</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_Toc163376244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- 68 -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"_Toc163376245" </w:instrText>
      </w:r>
      <w:r>
        <w:rPr>
          <w:color w:val="auto"/>
          <w:highlight w:val="none"/>
        </w:rPr>
        <w:fldChar w:fldCharType="separate"/>
      </w:r>
      <w:r>
        <w:rPr>
          <w:rStyle w:val="50"/>
          <w:rFonts w:hint="eastAsia" w:ascii="仿宋_GB2312"/>
          <w:color w:val="auto"/>
          <w:sz w:val="28"/>
          <w:szCs w:val="28"/>
          <w:highlight w:val="none"/>
        </w:rPr>
        <w:t>项目3：海洋生物多样性本底调查与编目</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_Toc163376245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- 68 -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"_Toc163376246" </w:instrText>
      </w:r>
      <w:r>
        <w:rPr>
          <w:color w:val="auto"/>
          <w:highlight w:val="none"/>
        </w:rPr>
        <w:fldChar w:fldCharType="separate"/>
      </w:r>
      <w:r>
        <w:rPr>
          <w:rStyle w:val="50"/>
          <w:rFonts w:hint="eastAsia" w:ascii="仿宋_GB2312"/>
          <w:color w:val="auto"/>
          <w:sz w:val="28"/>
          <w:szCs w:val="28"/>
          <w:highlight w:val="none"/>
        </w:rPr>
        <w:t>项目4：内陆水域水生生物资源调查与编目</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_Toc163376246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- 68 -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"_Toc163376247" </w:instrText>
      </w:r>
      <w:r>
        <w:rPr>
          <w:color w:val="auto"/>
          <w:highlight w:val="none"/>
        </w:rPr>
        <w:fldChar w:fldCharType="separate"/>
      </w:r>
      <w:r>
        <w:rPr>
          <w:rStyle w:val="50"/>
          <w:rFonts w:hint="eastAsia" w:ascii="仿宋_GB2312"/>
          <w:color w:val="auto"/>
          <w:sz w:val="28"/>
          <w:szCs w:val="28"/>
          <w:highlight w:val="none"/>
        </w:rPr>
        <w:t>项目5：推动开展城市生物多样性本底调查与编目</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_Toc163376247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- 68 -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"_Toc163376248" </w:instrText>
      </w:r>
      <w:r>
        <w:rPr>
          <w:color w:val="auto"/>
          <w:highlight w:val="none"/>
        </w:rPr>
        <w:fldChar w:fldCharType="separate"/>
      </w:r>
      <w:r>
        <w:rPr>
          <w:rStyle w:val="50"/>
          <w:rFonts w:hint="eastAsia" w:ascii="仿宋_GB2312"/>
          <w:color w:val="auto"/>
          <w:sz w:val="28"/>
          <w:szCs w:val="28"/>
          <w:highlight w:val="none"/>
        </w:rPr>
        <w:t>项目6：建立健全青岛市生物多样性监测网络</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_Toc163376248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- 69 -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"_Toc163376249" </w:instrText>
      </w:r>
      <w:r>
        <w:rPr>
          <w:color w:val="auto"/>
          <w:highlight w:val="none"/>
        </w:rPr>
        <w:fldChar w:fldCharType="separate"/>
      </w:r>
      <w:r>
        <w:rPr>
          <w:rStyle w:val="50"/>
          <w:rFonts w:hint="eastAsia" w:ascii="仿宋_GB2312"/>
          <w:color w:val="auto"/>
          <w:sz w:val="28"/>
          <w:szCs w:val="28"/>
          <w:highlight w:val="none"/>
        </w:rPr>
        <w:t>项目7：建设青岛市生物多样性数字化信息平台</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_Toc163376249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- 69 -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"_Toc163376250" </w:instrText>
      </w:r>
      <w:r>
        <w:rPr>
          <w:color w:val="auto"/>
          <w:highlight w:val="none"/>
        </w:rPr>
        <w:fldChar w:fldCharType="separate"/>
      </w:r>
      <w:r>
        <w:rPr>
          <w:rStyle w:val="50"/>
          <w:rFonts w:hint="eastAsia" w:ascii="仿宋_GB2312"/>
          <w:color w:val="auto"/>
          <w:sz w:val="28"/>
          <w:szCs w:val="28"/>
          <w:highlight w:val="none"/>
        </w:rPr>
        <w:t>项目8：自然保护地规范化建设</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_Toc163376250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- 69 -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"_Toc163376251" </w:instrText>
      </w:r>
      <w:r>
        <w:rPr>
          <w:color w:val="auto"/>
          <w:highlight w:val="none"/>
        </w:rPr>
        <w:fldChar w:fldCharType="separate"/>
      </w:r>
      <w:r>
        <w:rPr>
          <w:rStyle w:val="50"/>
          <w:rFonts w:hint="eastAsia" w:ascii="仿宋_GB2312"/>
          <w:color w:val="auto"/>
          <w:sz w:val="28"/>
          <w:szCs w:val="28"/>
          <w:highlight w:val="none"/>
        </w:rPr>
        <w:t>项目9：自然保护小区创建</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_Toc163376251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- 69 -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"_Toc163376252" </w:instrText>
      </w:r>
      <w:r>
        <w:rPr>
          <w:color w:val="auto"/>
          <w:highlight w:val="none"/>
        </w:rPr>
        <w:fldChar w:fldCharType="separate"/>
      </w:r>
      <w:r>
        <w:rPr>
          <w:rStyle w:val="50"/>
          <w:rFonts w:hint="eastAsia" w:ascii="仿宋_GB2312"/>
          <w:color w:val="auto"/>
          <w:sz w:val="28"/>
          <w:szCs w:val="28"/>
          <w:highlight w:val="none"/>
        </w:rPr>
        <w:t>项目10：城市再野化建设</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_Toc163376252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- 70 -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"_Toc163376253" </w:instrText>
      </w:r>
      <w:r>
        <w:rPr>
          <w:color w:val="auto"/>
          <w:highlight w:val="none"/>
        </w:rPr>
        <w:fldChar w:fldCharType="separate"/>
      </w:r>
      <w:r>
        <w:rPr>
          <w:rStyle w:val="50"/>
          <w:rFonts w:hint="eastAsia" w:ascii="仿宋_GB2312"/>
          <w:color w:val="auto"/>
          <w:sz w:val="28"/>
          <w:szCs w:val="28"/>
          <w:highlight w:val="none"/>
        </w:rPr>
        <w:t>项目11：外来入侵物种防控</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_Toc163376253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- 70 -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"_Toc163376254" </w:instrText>
      </w:r>
      <w:r>
        <w:rPr>
          <w:color w:val="auto"/>
          <w:highlight w:val="none"/>
        </w:rPr>
        <w:fldChar w:fldCharType="separate"/>
      </w:r>
      <w:r>
        <w:rPr>
          <w:rStyle w:val="50"/>
          <w:rFonts w:hint="eastAsia" w:ascii="仿宋_GB2312"/>
          <w:color w:val="auto"/>
          <w:sz w:val="28"/>
          <w:szCs w:val="28"/>
          <w:highlight w:val="none"/>
        </w:rPr>
        <w:t>项目12：农林畜牧业重大有害生物防控</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_Toc163376254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- 70 -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"_Toc163376255" </w:instrText>
      </w:r>
      <w:r>
        <w:rPr>
          <w:color w:val="auto"/>
          <w:highlight w:val="none"/>
        </w:rPr>
        <w:fldChar w:fldCharType="separate"/>
      </w:r>
      <w:r>
        <w:rPr>
          <w:rStyle w:val="50"/>
          <w:rFonts w:hint="eastAsia" w:ascii="仿宋_GB2312"/>
          <w:color w:val="auto"/>
          <w:sz w:val="28"/>
          <w:szCs w:val="28"/>
          <w:highlight w:val="none"/>
        </w:rPr>
        <w:t>项目13：规范野外放生行为</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_Toc163376255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- 71 -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"_Toc163376256" </w:instrText>
      </w:r>
      <w:r>
        <w:rPr>
          <w:color w:val="auto"/>
          <w:highlight w:val="none"/>
        </w:rPr>
        <w:fldChar w:fldCharType="separate"/>
      </w:r>
      <w:r>
        <w:rPr>
          <w:rStyle w:val="50"/>
          <w:rFonts w:hint="eastAsia" w:ascii="仿宋_GB2312"/>
          <w:color w:val="auto"/>
          <w:sz w:val="28"/>
          <w:szCs w:val="28"/>
          <w:highlight w:val="none"/>
        </w:rPr>
        <w:t>项目14：外来物种口岸防控</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_Toc163376256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- 71 -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"_Toc163376257" </w:instrText>
      </w:r>
      <w:r>
        <w:rPr>
          <w:color w:val="auto"/>
          <w:highlight w:val="none"/>
        </w:rPr>
        <w:fldChar w:fldCharType="separate"/>
      </w:r>
      <w:r>
        <w:rPr>
          <w:rStyle w:val="50"/>
          <w:rFonts w:hint="eastAsia" w:ascii="仿宋_GB2312"/>
          <w:color w:val="auto"/>
          <w:sz w:val="28"/>
          <w:szCs w:val="28"/>
          <w:highlight w:val="none"/>
        </w:rPr>
        <w:t>项目15：林草种质资源普查与收集</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_Toc163376257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- 71 -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"_Toc163376258" </w:instrText>
      </w:r>
      <w:r>
        <w:rPr>
          <w:color w:val="auto"/>
          <w:highlight w:val="none"/>
        </w:rPr>
        <w:fldChar w:fldCharType="separate"/>
      </w:r>
      <w:r>
        <w:rPr>
          <w:rStyle w:val="50"/>
          <w:rFonts w:hint="eastAsia" w:ascii="仿宋_GB2312"/>
          <w:color w:val="auto"/>
          <w:sz w:val="28"/>
          <w:szCs w:val="28"/>
          <w:highlight w:val="none"/>
        </w:rPr>
        <w:t>项目16：渔业种质资源数据库和信息系统</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_Toc163376258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- 71 -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"_Toc163376259" </w:instrText>
      </w:r>
      <w:r>
        <w:rPr>
          <w:color w:val="auto"/>
          <w:highlight w:val="none"/>
        </w:rPr>
        <w:fldChar w:fldCharType="separate"/>
      </w:r>
      <w:r>
        <w:rPr>
          <w:rStyle w:val="50"/>
          <w:rFonts w:hint="eastAsia" w:ascii="仿宋_GB2312"/>
          <w:color w:val="auto"/>
          <w:sz w:val="28"/>
          <w:szCs w:val="28"/>
          <w:highlight w:val="none"/>
        </w:rPr>
        <w:t>项目17：生态廊道建设</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_Toc163376259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- 71 -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"_Toc163376260" </w:instrText>
      </w:r>
      <w:r>
        <w:rPr>
          <w:color w:val="auto"/>
          <w:highlight w:val="none"/>
        </w:rPr>
        <w:fldChar w:fldCharType="separate"/>
      </w:r>
      <w:r>
        <w:rPr>
          <w:rStyle w:val="50"/>
          <w:rFonts w:hint="eastAsia" w:ascii="仿宋_GB2312"/>
          <w:color w:val="auto"/>
          <w:sz w:val="28"/>
          <w:szCs w:val="28"/>
          <w:highlight w:val="none"/>
        </w:rPr>
        <w:t>项目18：生态修复造林工程</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_Toc163376260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- 72 -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"_Toc163376261" </w:instrText>
      </w:r>
      <w:r>
        <w:rPr>
          <w:color w:val="auto"/>
          <w:highlight w:val="none"/>
        </w:rPr>
        <w:fldChar w:fldCharType="separate"/>
      </w:r>
      <w:r>
        <w:rPr>
          <w:rStyle w:val="50"/>
          <w:rFonts w:hint="eastAsia" w:ascii="仿宋_GB2312"/>
          <w:color w:val="auto"/>
          <w:sz w:val="28"/>
          <w:szCs w:val="28"/>
          <w:highlight w:val="none"/>
        </w:rPr>
        <w:t>项目19：内陆湿地生态修复</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_Toc163376261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- 72 -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"_Toc163376262" </w:instrText>
      </w:r>
      <w:r>
        <w:rPr>
          <w:color w:val="auto"/>
          <w:highlight w:val="none"/>
        </w:rPr>
        <w:fldChar w:fldCharType="separate"/>
      </w:r>
      <w:r>
        <w:rPr>
          <w:rStyle w:val="50"/>
          <w:rFonts w:hint="eastAsia" w:ascii="仿宋_GB2312"/>
          <w:color w:val="auto"/>
          <w:sz w:val="28"/>
          <w:szCs w:val="28"/>
          <w:highlight w:val="none"/>
        </w:rPr>
        <w:t>项目20：滨海湿地生态修复</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_Toc163376262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- 72 -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"_Toc163376263" </w:instrText>
      </w:r>
      <w:r>
        <w:rPr>
          <w:color w:val="auto"/>
          <w:highlight w:val="none"/>
        </w:rPr>
        <w:fldChar w:fldCharType="separate"/>
      </w:r>
      <w:r>
        <w:rPr>
          <w:rStyle w:val="50"/>
          <w:rFonts w:hint="eastAsia" w:ascii="仿宋_GB2312"/>
          <w:color w:val="auto"/>
          <w:sz w:val="28"/>
          <w:szCs w:val="28"/>
          <w:highlight w:val="none"/>
        </w:rPr>
        <w:t>项目21：海岸线整治修复与保护</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_Toc163376263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- 72 -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"_Toc163376264" </w:instrText>
      </w:r>
      <w:r>
        <w:rPr>
          <w:color w:val="auto"/>
          <w:highlight w:val="none"/>
        </w:rPr>
        <w:fldChar w:fldCharType="separate"/>
      </w:r>
      <w:r>
        <w:rPr>
          <w:rStyle w:val="50"/>
          <w:rFonts w:hint="eastAsia" w:ascii="仿宋_GB2312"/>
          <w:color w:val="auto"/>
          <w:sz w:val="28"/>
          <w:szCs w:val="28"/>
          <w:highlight w:val="none"/>
        </w:rPr>
        <w:t>项目22：实施海岛保护修复工程</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_Toc163376264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- 73 -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"_Toc163376265" </w:instrText>
      </w:r>
      <w:r>
        <w:rPr>
          <w:color w:val="auto"/>
          <w:highlight w:val="none"/>
        </w:rPr>
        <w:fldChar w:fldCharType="separate"/>
      </w:r>
      <w:r>
        <w:rPr>
          <w:rStyle w:val="50"/>
          <w:rFonts w:hint="eastAsia" w:ascii="仿宋_GB2312"/>
          <w:color w:val="auto"/>
          <w:sz w:val="28"/>
          <w:szCs w:val="28"/>
          <w:highlight w:val="none"/>
        </w:rPr>
        <w:t>项目23：典型海草（藻）床生态系统保护修复</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_Toc163376265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- 73 -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"_Toc163376266" </w:instrText>
      </w:r>
      <w:r>
        <w:rPr>
          <w:color w:val="auto"/>
          <w:highlight w:val="none"/>
        </w:rPr>
        <w:fldChar w:fldCharType="separate"/>
      </w:r>
      <w:r>
        <w:rPr>
          <w:rStyle w:val="50"/>
          <w:rFonts w:hint="eastAsia" w:ascii="仿宋_GB2312"/>
          <w:color w:val="auto"/>
          <w:sz w:val="28"/>
          <w:szCs w:val="28"/>
          <w:highlight w:val="none"/>
        </w:rPr>
        <w:t>项目24：推动生态化海洋牧场建设</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_Toc163376266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- 73 -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"_Toc163376267" </w:instrText>
      </w:r>
      <w:r>
        <w:rPr>
          <w:color w:val="auto"/>
          <w:highlight w:val="none"/>
        </w:rPr>
        <w:fldChar w:fldCharType="separate"/>
      </w:r>
      <w:r>
        <w:rPr>
          <w:rStyle w:val="50"/>
          <w:rFonts w:hint="eastAsia" w:ascii="仿宋_GB2312"/>
          <w:color w:val="auto"/>
          <w:sz w:val="28"/>
          <w:szCs w:val="28"/>
          <w:highlight w:val="none"/>
        </w:rPr>
        <w:t>项目25：生物多样性保护与气候变化应对协同增效</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_Toc163376267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- 73 -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"_Toc163376268" </w:instrText>
      </w:r>
      <w:r>
        <w:rPr>
          <w:color w:val="auto"/>
          <w:highlight w:val="none"/>
        </w:rPr>
        <w:fldChar w:fldCharType="separate"/>
      </w:r>
      <w:r>
        <w:rPr>
          <w:rStyle w:val="50"/>
          <w:rFonts w:hint="eastAsia" w:ascii="仿宋_GB2312"/>
          <w:color w:val="auto"/>
          <w:sz w:val="28"/>
          <w:szCs w:val="28"/>
          <w:highlight w:val="none"/>
        </w:rPr>
        <w:t>项目26：生物多样性可持续利用试点示范</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_Toc163376268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- 74 -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"_Toc163376269" </w:instrText>
      </w:r>
      <w:r>
        <w:rPr>
          <w:color w:val="auto"/>
          <w:highlight w:val="none"/>
        </w:rPr>
        <w:fldChar w:fldCharType="separate"/>
      </w:r>
      <w:r>
        <w:rPr>
          <w:rStyle w:val="50"/>
          <w:rFonts w:hint="eastAsia" w:ascii="仿宋_GB2312"/>
          <w:color w:val="auto"/>
          <w:sz w:val="28"/>
          <w:szCs w:val="28"/>
          <w:highlight w:val="none"/>
        </w:rPr>
        <w:t>项目27：推动生态产品价值实现</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_Toc163376269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- 74 -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"_Toc163376270" </w:instrText>
      </w:r>
      <w:r>
        <w:rPr>
          <w:color w:val="auto"/>
          <w:highlight w:val="none"/>
        </w:rPr>
        <w:fldChar w:fldCharType="separate"/>
      </w:r>
      <w:r>
        <w:rPr>
          <w:rStyle w:val="50"/>
          <w:rFonts w:hint="eastAsia" w:ascii="仿宋_GB2312"/>
          <w:color w:val="auto"/>
          <w:sz w:val="28"/>
          <w:szCs w:val="28"/>
          <w:highlight w:val="none"/>
        </w:rPr>
        <w:t>项目28：健全生物多样性保护政策法规体系</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_Toc163376270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- 74 -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"_Toc163376271" </w:instrText>
      </w:r>
      <w:r>
        <w:rPr>
          <w:color w:val="auto"/>
          <w:highlight w:val="none"/>
        </w:rPr>
        <w:fldChar w:fldCharType="separate"/>
      </w:r>
      <w:r>
        <w:rPr>
          <w:rStyle w:val="50"/>
          <w:rFonts w:hint="eastAsia" w:ascii="仿宋_GB2312"/>
          <w:color w:val="auto"/>
          <w:sz w:val="28"/>
          <w:szCs w:val="28"/>
          <w:highlight w:val="none"/>
        </w:rPr>
        <w:t>项目29：执法和监督能力提升</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_Toc163376271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- 74 -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"_Toc163376272" </w:instrText>
      </w:r>
      <w:r>
        <w:rPr>
          <w:color w:val="auto"/>
          <w:highlight w:val="none"/>
        </w:rPr>
        <w:fldChar w:fldCharType="separate"/>
      </w:r>
      <w:r>
        <w:rPr>
          <w:rStyle w:val="50"/>
          <w:rFonts w:hint="eastAsia" w:ascii="仿宋_GB2312"/>
          <w:color w:val="auto"/>
          <w:sz w:val="28"/>
          <w:szCs w:val="28"/>
          <w:highlight w:val="none"/>
        </w:rPr>
        <w:t>项目30：生物多样性人才培养</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_Toc163376272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- 75 -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pStyle w:val="32"/>
        <w:rPr>
          <w:rFonts w:ascii="仿宋_GB2312" w:cstheme="minorBidi"/>
          <w:smallCaps w:val="0"/>
          <w:color w:val="auto"/>
          <w:sz w:val="28"/>
          <w:szCs w:val="28"/>
          <w:highlight w:val="none"/>
          <w14:ligatures w14:val="standardContextual"/>
        </w:rPr>
      </w:pPr>
      <w:r>
        <w:rPr>
          <w:color w:val="auto"/>
          <w:highlight w:val="none"/>
        </w:rPr>
        <w:fldChar w:fldCharType="begin"/>
      </w:r>
      <w:r>
        <w:rPr>
          <w:color w:val="auto"/>
          <w:highlight w:val="none"/>
        </w:rPr>
        <w:instrText xml:space="preserve"> HYPERLINK \l "_Toc163376273" </w:instrText>
      </w:r>
      <w:r>
        <w:rPr>
          <w:color w:val="auto"/>
          <w:highlight w:val="none"/>
        </w:rPr>
        <w:fldChar w:fldCharType="separate"/>
      </w:r>
      <w:r>
        <w:rPr>
          <w:rStyle w:val="50"/>
          <w:rFonts w:hint="eastAsia" w:ascii="仿宋_GB2312"/>
          <w:color w:val="auto"/>
          <w:sz w:val="28"/>
          <w:szCs w:val="28"/>
          <w:highlight w:val="none"/>
        </w:rPr>
        <w:t>项目31：生物多样性知识传播工程</w:t>
      </w:r>
      <w:r>
        <w:rPr>
          <w:rFonts w:hint="eastAsia" w:ascii="仿宋_GB2312"/>
          <w:color w:val="auto"/>
          <w:sz w:val="28"/>
          <w:szCs w:val="28"/>
          <w:highlight w:val="none"/>
        </w:rPr>
        <w:tab/>
      </w:r>
      <w:r>
        <w:rPr>
          <w:rFonts w:hint="eastAsia" w:ascii="仿宋_GB2312"/>
          <w:color w:val="auto"/>
          <w:sz w:val="28"/>
          <w:szCs w:val="28"/>
          <w:highlight w:val="none"/>
        </w:rPr>
        <w:fldChar w:fldCharType="begin"/>
      </w:r>
      <w:r>
        <w:rPr>
          <w:rFonts w:hint="eastAsia" w:ascii="仿宋_GB2312"/>
          <w:color w:val="auto"/>
          <w:sz w:val="28"/>
          <w:szCs w:val="28"/>
          <w:highlight w:val="none"/>
        </w:rPr>
        <w:instrText xml:space="preserve"> PAGEREF _Toc163376273 \h </w:instrText>
      </w:r>
      <w:r>
        <w:rPr>
          <w:rFonts w:hint="eastAsia" w:ascii="仿宋_GB2312"/>
          <w:color w:val="auto"/>
          <w:sz w:val="28"/>
          <w:szCs w:val="28"/>
          <w:highlight w:val="none"/>
        </w:rPr>
        <w:fldChar w:fldCharType="separate"/>
      </w:r>
      <w:r>
        <w:rPr>
          <w:rFonts w:hint="eastAsia" w:ascii="仿宋_GB2312"/>
          <w:color w:val="auto"/>
          <w:sz w:val="28"/>
          <w:szCs w:val="28"/>
          <w:highlight w:val="none"/>
        </w:rPr>
        <w:t>- 75 -</w:t>
      </w:r>
      <w:r>
        <w:rPr>
          <w:rFonts w:hint="eastAsia" w:ascii="仿宋_GB2312"/>
          <w:color w:val="auto"/>
          <w:sz w:val="28"/>
          <w:szCs w:val="28"/>
          <w:highlight w:val="none"/>
        </w:rPr>
        <w:fldChar w:fldCharType="end"/>
      </w:r>
      <w:r>
        <w:rPr>
          <w:rFonts w:hint="eastAsia" w:ascii="仿宋_GB2312"/>
          <w:color w:val="auto"/>
          <w:sz w:val="28"/>
          <w:szCs w:val="28"/>
          <w:highlight w:val="none"/>
        </w:rPr>
        <w:fldChar w:fldCharType="end"/>
      </w:r>
    </w:p>
    <w:p>
      <w:pPr>
        <w:tabs>
          <w:tab w:val="right" w:leader="dot" w:pos="8505"/>
          <w:tab w:val="right" w:leader="dot" w:pos="8647"/>
        </w:tabs>
        <w:snapToGrid w:val="0"/>
        <w:spacing w:line="360" w:lineRule="auto"/>
        <w:ind w:right="338" w:rightChars="107" w:firstLine="0" w:firstLineChars="0"/>
        <w:rPr>
          <w:rFonts w:ascii="仿宋_GB2312"/>
          <w:color w:val="auto"/>
          <w:sz w:val="28"/>
          <w:szCs w:val="28"/>
          <w:highlight w:val="none"/>
          <w:u w:val="single"/>
        </w:rPr>
      </w:pPr>
      <w:r>
        <w:rPr>
          <w:rFonts w:hint="eastAsia" w:ascii="仿宋_GB2312" w:hAnsiTheme="minorHAnsi" w:cstheme="minorHAnsi"/>
          <w:b/>
          <w:bCs/>
          <w:caps/>
          <w:color w:val="auto"/>
          <w:sz w:val="28"/>
          <w:szCs w:val="28"/>
          <w:highlight w:val="none"/>
        </w:rPr>
        <w:fldChar w:fldCharType="end"/>
      </w:r>
    </w:p>
    <w:p>
      <w:pPr>
        <w:tabs>
          <w:tab w:val="right" w:leader="dot" w:pos="8647"/>
        </w:tabs>
        <w:snapToGrid w:val="0"/>
        <w:spacing w:line="360" w:lineRule="auto"/>
        <w:ind w:firstLine="472"/>
        <w:jc w:val="center"/>
        <w:rPr>
          <w:color w:val="auto"/>
          <w:sz w:val="24"/>
          <w:szCs w:val="24"/>
          <w:highlight w:val="none"/>
          <w:u w:val="single"/>
        </w:rPr>
      </w:pPr>
    </w:p>
    <w:p>
      <w:pPr>
        <w:tabs>
          <w:tab w:val="right" w:leader="dot" w:pos="8647"/>
        </w:tabs>
        <w:snapToGrid w:val="0"/>
        <w:spacing w:line="360" w:lineRule="auto"/>
        <w:ind w:firstLine="472"/>
        <w:jc w:val="center"/>
        <w:rPr>
          <w:color w:val="auto"/>
          <w:sz w:val="24"/>
          <w:szCs w:val="24"/>
          <w:highlight w:val="none"/>
          <w:u w:val="single"/>
        </w:rPr>
      </w:pPr>
    </w:p>
    <w:p>
      <w:pPr>
        <w:tabs>
          <w:tab w:val="right" w:leader="dot" w:pos="8647"/>
        </w:tabs>
        <w:snapToGrid w:val="0"/>
        <w:spacing w:line="360" w:lineRule="auto"/>
        <w:ind w:firstLine="472"/>
        <w:jc w:val="center"/>
        <w:rPr>
          <w:color w:val="auto"/>
          <w:sz w:val="24"/>
          <w:szCs w:val="24"/>
          <w:highlight w:val="none"/>
          <w:u w:val="single"/>
        </w:rPr>
      </w:pPr>
    </w:p>
    <w:p>
      <w:pPr>
        <w:snapToGrid w:val="0"/>
        <w:ind w:firstLine="0" w:firstLineChars="0"/>
        <w:jc w:val="center"/>
        <w:outlineLvl w:val="0"/>
        <w:rPr>
          <w:rFonts w:eastAsia="黑体"/>
          <w:color w:val="auto"/>
          <w:sz w:val="44"/>
          <w:szCs w:val="44"/>
          <w:highlight w:val="none"/>
        </w:rPr>
      </w:pPr>
      <w:bookmarkStart w:id="0" w:name="_Toc163376213"/>
      <w:r>
        <w:rPr>
          <w:rFonts w:eastAsia="黑体"/>
          <w:color w:val="auto"/>
          <w:sz w:val="44"/>
          <w:szCs w:val="44"/>
          <w:highlight w:val="none"/>
        </w:rPr>
        <w:t>前  言</w:t>
      </w:r>
      <w:bookmarkEnd w:id="0"/>
    </w:p>
    <w:p>
      <w:pPr>
        <w:snapToGrid w:val="0"/>
        <w:ind w:firstLine="552"/>
        <w:rPr>
          <w:color w:val="auto"/>
          <w:sz w:val="28"/>
          <w:highlight w:val="none"/>
        </w:rPr>
      </w:pPr>
    </w:p>
    <w:p>
      <w:pPr>
        <w:snapToGrid w:val="0"/>
        <w:ind w:firstLine="632"/>
        <w:rPr>
          <w:color w:val="auto"/>
          <w:highlight w:val="none"/>
        </w:rPr>
      </w:pPr>
      <w:r>
        <w:rPr>
          <w:color w:val="auto"/>
          <w:highlight w:val="none"/>
        </w:rPr>
        <w:t>生物多样性是生物及其与环境形成的生态复合体以及与此相关的各种生态过程的总和，生物多样性内涵</w:t>
      </w:r>
      <w:r>
        <w:rPr>
          <w:rFonts w:hint="eastAsia"/>
          <w:color w:val="auto"/>
          <w:highlight w:val="none"/>
        </w:rPr>
        <w:t>包括</w:t>
      </w:r>
      <w:r>
        <w:rPr>
          <w:color w:val="auto"/>
          <w:highlight w:val="none"/>
        </w:rPr>
        <w:t>三个</w:t>
      </w:r>
      <w:r>
        <w:rPr>
          <w:rFonts w:hint="eastAsia"/>
          <w:color w:val="auto"/>
          <w:highlight w:val="none"/>
        </w:rPr>
        <w:t>基本</w:t>
      </w:r>
      <w:r>
        <w:rPr>
          <w:color w:val="auto"/>
          <w:highlight w:val="none"/>
        </w:rPr>
        <w:t>层次，即生态系统多样性、物种多样性、遗传多样性。生物多样性是人类赖以生存的</w:t>
      </w:r>
      <w:r>
        <w:rPr>
          <w:rFonts w:hint="eastAsia"/>
          <w:color w:val="auto"/>
          <w:highlight w:val="none"/>
        </w:rPr>
        <w:t>物质</w:t>
      </w:r>
      <w:r>
        <w:rPr>
          <w:color w:val="auto"/>
          <w:highlight w:val="none"/>
        </w:rPr>
        <w:t>资源</w:t>
      </w:r>
      <w:r>
        <w:rPr>
          <w:rFonts w:hint="eastAsia"/>
          <w:color w:val="auto"/>
          <w:highlight w:val="none"/>
        </w:rPr>
        <w:t>和</w:t>
      </w:r>
      <w:r>
        <w:rPr>
          <w:color w:val="auto"/>
          <w:highlight w:val="none"/>
        </w:rPr>
        <w:t>经济社会可持续发展的基础，是生态安全和粮食安全的保障，关系到当代及子孙后代的福祉。</w:t>
      </w:r>
    </w:p>
    <w:p>
      <w:pPr>
        <w:snapToGrid w:val="0"/>
        <w:ind w:firstLine="632"/>
        <w:rPr>
          <w:color w:val="auto"/>
          <w:highlight w:val="none"/>
        </w:rPr>
      </w:pPr>
      <w:r>
        <w:rPr>
          <w:color w:val="auto"/>
          <w:highlight w:val="none"/>
        </w:rPr>
        <w:t>1992年联合国发布《生物多样性公约》，公约规定每一缔约国要制定并及时更新国家战略、计划或方案。我国高度重视生物多样性保护工作，1992年加入了《生物多样性公约》，成为首批缔约国之一。1994年6月发布了《中国生物多样性保护行动计划》。2010年9月国务院审议通过了《中国生物多样性保护战略与行动计划（2011-2030年）》（环发〔2010〕106号），提出了我国未来20年生物多样性保护的总体目标、战略任务和优先行动，成为指导我国生物多样性保护的纲领性文件。2011年成立了中国生物多样性保护国家委员会，通过了《联合国生物多样性十年中国行动方案》，将生物多样性保护上升为国家战略。</w:t>
      </w:r>
      <w:r>
        <w:rPr>
          <w:rFonts w:hint="eastAsia"/>
          <w:color w:val="auto"/>
          <w:highlight w:val="none"/>
        </w:rPr>
        <w:t>2021年10月，习近平在昆明召开的联合国《生物多样性公约》第十五次缔约方大会（COP15）上，做了题为“共同构建地球生命共同体”重要讲话。随后，中共中央办公厅、国务院办公厅印发《关于进一步加强生物多样性保护的意见》，进一步明确了新时期生物多样性保护的总体目标和重要举措。2022年12月，联合国《生物多样性公约》第十五次缔约方大会（CBD COP15)第二阶段会议通过了“昆明-蒙特利尔全球生物多样性框架”（以下简称昆蒙框架)，为今后全球生物多样性治理指明了方向和路线。随后，国家启动了《中国生物多样性保护战略与行动计划》修订，一是和昆蒙框架呼应；二是与国家生物多样性保护相关的规划做好衔接，包括</w:t>
      </w:r>
      <w:r>
        <w:rPr>
          <w:rFonts w:hint="eastAsia"/>
          <w:color w:val="auto"/>
          <w:highlight w:val="none"/>
          <w:lang w:eastAsia="zh-CN"/>
        </w:rPr>
        <w:t>“</w:t>
      </w:r>
      <w:r>
        <w:rPr>
          <w:rFonts w:hint="eastAsia"/>
          <w:color w:val="auto"/>
          <w:highlight w:val="none"/>
          <w:lang w:val="en-US" w:eastAsia="zh-CN"/>
        </w:rPr>
        <w:t>十四五</w:t>
      </w:r>
      <w:r>
        <w:rPr>
          <w:rFonts w:hint="eastAsia"/>
          <w:color w:val="auto"/>
          <w:highlight w:val="none"/>
          <w:lang w:eastAsia="zh-CN"/>
        </w:rPr>
        <w:t>”</w:t>
      </w:r>
      <w:r>
        <w:rPr>
          <w:rFonts w:hint="eastAsia"/>
          <w:color w:val="auto"/>
          <w:highlight w:val="none"/>
        </w:rPr>
        <w:t>规划、203</w:t>
      </w:r>
      <w:bookmarkStart w:id="195" w:name="_GoBack"/>
      <w:bookmarkEnd w:id="195"/>
      <w:r>
        <w:rPr>
          <w:rFonts w:hint="eastAsia"/>
          <w:color w:val="auto"/>
          <w:highlight w:val="none"/>
        </w:rPr>
        <w:t>5年远景目标纲要、二十大报告等。</w:t>
      </w:r>
    </w:p>
    <w:p>
      <w:pPr>
        <w:snapToGrid w:val="0"/>
        <w:ind w:firstLine="632"/>
        <w:rPr>
          <w:color w:val="auto"/>
          <w:highlight w:val="none"/>
        </w:rPr>
      </w:pPr>
      <w:r>
        <w:rPr>
          <w:color w:val="auto"/>
          <w:highlight w:val="none"/>
        </w:rPr>
        <w:t>为了贯彻落实国家</w:t>
      </w:r>
      <w:r>
        <w:rPr>
          <w:rFonts w:hint="eastAsia"/>
          <w:color w:val="auto"/>
          <w:highlight w:val="none"/>
        </w:rPr>
        <w:t>在不同时期的决策部署</w:t>
      </w:r>
      <w:r>
        <w:rPr>
          <w:color w:val="auto"/>
          <w:highlight w:val="none"/>
        </w:rPr>
        <w:t>，2014年，原山东省环保厅等部门联合印发了《山东省生物多样性保护战略与行动计划（2011-2030年）》（鲁环发〔2014〕107号），</w:t>
      </w:r>
      <w:r>
        <w:rPr>
          <w:rFonts w:hint="eastAsia"/>
          <w:color w:val="auto"/>
          <w:highlight w:val="none"/>
        </w:rPr>
        <w:t>提出了</w:t>
      </w:r>
      <w:r>
        <w:rPr>
          <w:color w:val="auto"/>
          <w:highlight w:val="none"/>
        </w:rPr>
        <w:t>山东省未来20年生物多样性保护总体目标、战略任务和优先行动，成为我省生物多样性保护的</w:t>
      </w:r>
      <w:r>
        <w:rPr>
          <w:rFonts w:hint="eastAsia"/>
          <w:color w:val="auto"/>
          <w:highlight w:val="none"/>
        </w:rPr>
        <w:t>指导</w:t>
      </w:r>
      <w:r>
        <w:rPr>
          <w:color w:val="auto"/>
          <w:highlight w:val="none"/>
        </w:rPr>
        <w:t>文件。</w:t>
      </w:r>
      <w:r>
        <w:rPr>
          <w:rFonts w:hint="eastAsia"/>
          <w:color w:val="auto"/>
          <w:highlight w:val="none"/>
        </w:rPr>
        <w:t>为了顺应经济社会、自然生态、文化理念的变化，山东省生态环境厅对该文件进行了修订，并于2</w:t>
      </w:r>
      <w:r>
        <w:rPr>
          <w:color w:val="auto"/>
          <w:highlight w:val="none"/>
        </w:rPr>
        <w:t>021</w:t>
      </w:r>
      <w:r>
        <w:rPr>
          <w:rFonts w:hint="eastAsia"/>
          <w:color w:val="auto"/>
          <w:highlight w:val="none"/>
        </w:rPr>
        <w:t>年5月会同有关部门联合印发了《</w:t>
      </w:r>
      <w:r>
        <w:rPr>
          <w:color w:val="auto"/>
          <w:highlight w:val="none"/>
        </w:rPr>
        <w:t>山东省生物多样性保护战略与行动计划（2021-2030年）</w:t>
      </w:r>
      <w:r>
        <w:rPr>
          <w:rFonts w:hint="eastAsia"/>
          <w:color w:val="auto"/>
          <w:highlight w:val="none"/>
        </w:rPr>
        <w:t>》（鲁环发〔2021〕2号），进一步明确了</w:t>
      </w:r>
      <w:r>
        <w:rPr>
          <w:color w:val="auto"/>
          <w:highlight w:val="none"/>
        </w:rPr>
        <w:t>山东省未来10年生物多样性保护总体目标、战略任务和优先行动。</w:t>
      </w:r>
    </w:p>
    <w:p>
      <w:pPr>
        <w:widowControl/>
        <w:ind w:firstLine="632"/>
        <w:jc w:val="left"/>
        <w:rPr>
          <w:color w:val="auto"/>
          <w:highlight w:val="none"/>
        </w:rPr>
      </w:pPr>
      <w:r>
        <w:rPr>
          <w:rFonts w:hint="eastAsia"/>
          <w:color w:val="auto"/>
          <w:highlight w:val="none"/>
        </w:rPr>
        <w:t>为了贯彻落实国家、省生物多样性保护相关工作部署，青岛市生态环境局于2</w:t>
      </w:r>
      <w:r>
        <w:rPr>
          <w:color w:val="auto"/>
          <w:highlight w:val="none"/>
        </w:rPr>
        <w:t>019</w:t>
      </w:r>
      <w:r>
        <w:rPr>
          <w:rFonts w:hint="eastAsia"/>
          <w:color w:val="auto"/>
          <w:highlight w:val="none"/>
        </w:rPr>
        <w:t>年会同有关部门联合印发《青岛市</w:t>
      </w:r>
      <w:r>
        <w:rPr>
          <w:color w:val="auto"/>
          <w:highlight w:val="none"/>
        </w:rPr>
        <w:t>生物多样性保护战略与行动计划（2018-2030年）</w:t>
      </w:r>
      <w:r>
        <w:rPr>
          <w:rFonts w:hint="eastAsia"/>
          <w:color w:val="auto"/>
          <w:highlight w:val="none"/>
        </w:rPr>
        <w:t>》（以下简称《行动计划》）。2</w:t>
      </w:r>
      <w:r>
        <w:rPr>
          <w:color w:val="auto"/>
          <w:highlight w:val="none"/>
        </w:rPr>
        <w:t>021</w:t>
      </w:r>
      <w:r>
        <w:rPr>
          <w:rFonts w:hint="eastAsia"/>
          <w:color w:val="auto"/>
          <w:highlight w:val="none"/>
        </w:rPr>
        <w:t>年以来，《生物多样性公约》缔约方大会第十五次会议（COP15会议）成功举办与成果的达成，为全球生物多样性治理擘画了新蓝图，国家、省对生物多样性保护工作也提出了一系列新要求、新举措。为适应新变化，贯彻中央、省对生物多样性保护工作的新部署，落实中央、省环保大会精神和《中共中央办公厅 国务院办公厅印发&lt;关于进一步加强生物多样性保护的意见&gt;的通知》（中办发</w:t>
      </w:r>
      <w:r>
        <w:rPr>
          <w:rFonts w:hint="eastAsia" w:ascii="仿宋_GB2312" w:hAnsi="仿宋_GB2312" w:cs="仿宋_GB2312"/>
          <w:color w:val="auto"/>
          <w:highlight w:val="none"/>
        </w:rPr>
        <w:t>〔2021〕53号</w:t>
      </w:r>
      <w:r>
        <w:rPr>
          <w:rFonts w:hint="eastAsia"/>
          <w:color w:val="auto"/>
          <w:highlight w:val="none"/>
        </w:rPr>
        <w:t>）、《</w:t>
      </w:r>
      <w:r>
        <w:rPr>
          <w:color w:val="auto"/>
          <w:highlight w:val="none"/>
          <w:lang w:bidi="ar"/>
        </w:rPr>
        <w:t>山东省生态环境委员会办公室关于进一步加强生物多样性保护的实施意见</w:t>
      </w:r>
      <w:r>
        <w:rPr>
          <w:rFonts w:hint="eastAsia"/>
          <w:color w:val="auto"/>
          <w:highlight w:val="none"/>
        </w:rPr>
        <w:t>》（</w:t>
      </w:r>
      <w:r>
        <w:rPr>
          <w:rFonts w:ascii="仿宋_GB2312-WinCharSetFFFF-H" w:hAnsi="仿宋_GB2312-WinCharSetFFFF-H" w:eastAsia="仿宋_GB2312-WinCharSetFFFF-H" w:cs="仿宋_GB2312-WinCharSetFFFF-H"/>
          <w:color w:val="auto"/>
          <w:kern w:val="0"/>
          <w:sz w:val="31"/>
          <w:szCs w:val="31"/>
          <w:highlight w:val="none"/>
          <w:lang w:bidi="ar"/>
        </w:rPr>
        <w:t>鲁环委办〔</w:t>
      </w:r>
      <w:r>
        <w:rPr>
          <w:rFonts w:eastAsia="宋体"/>
          <w:color w:val="auto"/>
          <w:kern w:val="0"/>
          <w:sz w:val="31"/>
          <w:szCs w:val="31"/>
          <w:highlight w:val="none"/>
          <w:lang w:bidi="ar"/>
        </w:rPr>
        <w:t>2023</w:t>
      </w:r>
      <w:r>
        <w:rPr>
          <w:rFonts w:ascii="仿宋_GB2312-WinCharSetFFFF-H" w:hAnsi="仿宋_GB2312-WinCharSetFFFF-H" w:eastAsia="仿宋_GB2312-WinCharSetFFFF-H" w:cs="仿宋_GB2312-WinCharSetFFFF-H"/>
          <w:color w:val="auto"/>
          <w:kern w:val="0"/>
          <w:sz w:val="31"/>
          <w:szCs w:val="31"/>
          <w:highlight w:val="none"/>
          <w:lang w:bidi="ar"/>
        </w:rPr>
        <w:t>〕</w:t>
      </w:r>
      <w:r>
        <w:rPr>
          <w:rFonts w:eastAsia="宋体"/>
          <w:color w:val="auto"/>
          <w:kern w:val="0"/>
          <w:sz w:val="31"/>
          <w:szCs w:val="31"/>
          <w:highlight w:val="none"/>
          <w:lang w:bidi="ar"/>
        </w:rPr>
        <w:t xml:space="preserve">22 </w:t>
      </w:r>
      <w:r>
        <w:rPr>
          <w:rFonts w:ascii="仿宋_GB2312-WinCharSetFFFF-H" w:hAnsi="仿宋_GB2312-WinCharSetFFFF-H" w:eastAsia="仿宋_GB2312-WinCharSetFFFF-H" w:cs="仿宋_GB2312-WinCharSetFFFF-H"/>
          <w:color w:val="auto"/>
          <w:kern w:val="0"/>
          <w:sz w:val="31"/>
          <w:szCs w:val="31"/>
          <w:highlight w:val="none"/>
          <w:lang w:bidi="ar"/>
        </w:rPr>
        <w:t>号</w:t>
      </w:r>
      <w:r>
        <w:rPr>
          <w:rFonts w:hint="eastAsia"/>
          <w:color w:val="auto"/>
          <w:highlight w:val="none"/>
        </w:rPr>
        <w:t>）以及国家、省生物多样性保护行动计划等文件精神，青岛市生态环境局会同相关部门开展《行动计划》修订工作，编制《青岛市</w:t>
      </w:r>
      <w:r>
        <w:rPr>
          <w:color w:val="auto"/>
          <w:highlight w:val="none"/>
        </w:rPr>
        <w:t>生物多样性保护战略与行动计划（2023-2030年）</w:t>
      </w:r>
      <w:r>
        <w:rPr>
          <w:rFonts w:hint="eastAsia"/>
          <w:color w:val="auto"/>
          <w:highlight w:val="none"/>
        </w:rPr>
        <w:t>》。</w:t>
      </w:r>
    </w:p>
    <w:p>
      <w:pPr>
        <w:snapToGrid w:val="0"/>
        <w:spacing w:line="360" w:lineRule="auto"/>
        <w:ind w:firstLine="632"/>
        <w:rPr>
          <w:color w:val="auto"/>
          <w:highlight w:val="none"/>
        </w:rPr>
      </w:pPr>
    </w:p>
    <w:p>
      <w:pPr>
        <w:snapToGrid w:val="0"/>
        <w:spacing w:line="360" w:lineRule="auto"/>
        <w:ind w:firstLine="632"/>
        <w:rPr>
          <w:color w:val="auto"/>
          <w:highlight w:val="none"/>
        </w:rPr>
      </w:pPr>
    </w:p>
    <w:p>
      <w:pPr>
        <w:snapToGrid w:val="0"/>
        <w:spacing w:line="360" w:lineRule="auto"/>
        <w:ind w:firstLine="632"/>
        <w:rPr>
          <w:color w:val="auto"/>
          <w:highlight w:val="none"/>
        </w:rPr>
      </w:pPr>
    </w:p>
    <w:p>
      <w:pPr>
        <w:snapToGrid w:val="0"/>
        <w:spacing w:line="360" w:lineRule="auto"/>
        <w:ind w:firstLine="632"/>
        <w:rPr>
          <w:color w:val="auto"/>
          <w:highlight w:val="none"/>
        </w:rPr>
        <w:sectPr>
          <w:footerReference r:id="rId7" w:type="default"/>
          <w:pgSz w:w="11906" w:h="16838"/>
          <w:pgMar w:top="1701" w:right="1474" w:bottom="1701" w:left="1588" w:header="851" w:footer="1418" w:gutter="0"/>
          <w:pgNumType w:start="4"/>
          <w:cols w:space="425" w:num="1"/>
          <w:docGrid w:type="linesAndChars" w:linePitch="610" w:charSpace="-849"/>
        </w:sectPr>
      </w:pPr>
    </w:p>
    <w:p>
      <w:pPr>
        <w:pStyle w:val="4"/>
        <w:ind w:firstLine="632" w:firstLineChars="200"/>
        <w:rPr>
          <w:b w:val="0"/>
          <w:bCs w:val="0"/>
          <w:color w:val="auto"/>
          <w:highlight w:val="none"/>
        </w:rPr>
      </w:pPr>
      <w:bookmarkStart w:id="1" w:name="_Toc163376214"/>
      <w:r>
        <w:rPr>
          <w:rFonts w:hint="eastAsia"/>
          <w:b w:val="0"/>
          <w:bCs w:val="0"/>
          <w:color w:val="auto"/>
          <w:sz w:val="32"/>
          <w:szCs w:val="32"/>
          <w:highlight w:val="none"/>
        </w:rPr>
        <w:t>一、生物多样性现状</w:t>
      </w:r>
      <w:bookmarkEnd w:id="1"/>
    </w:p>
    <w:p>
      <w:pPr>
        <w:pStyle w:val="5"/>
        <w:ind w:firstLine="632"/>
        <w:rPr>
          <w:rFonts w:ascii="楷体_GB2312" w:hAnsi="楷体_GB2312" w:eastAsia="楷体_GB2312" w:cs="楷体_GB2312"/>
          <w:b w:val="0"/>
          <w:bCs w:val="0"/>
          <w:color w:val="auto"/>
          <w:highlight w:val="none"/>
        </w:rPr>
      </w:pPr>
      <w:bookmarkStart w:id="2" w:name="_Toc163376215"/>
      <w:r>
        <w:rPr>
          <w:rFonts w:hint="eastAsia" w:ascii="楷体_GB2312" w:hAnsi="楷体_GB2312" w:eastAsia="楷体_GB2312" w:cs="楷体_GB2312"/>
          <w:b w:val="0"/>
          <w:bCs w:val="0"/>
          <w:color w:val="auto"/>
          <w:highlight w:val="none"/>
        </w:rPr>
        <w:t>（一）生态系统多样性</w:t>
      </w:r>
      <w:bookmarkEnd w:id="2"/>
    </w:p>
    <w:p>
      <w:pPr>
        <w:ind w:firstLine="632"/>
        <w:rPr>
          <w:color w:val="auto"/>
          <w:highlight w:val="none"/>
        </w:rPr>
      </w:pPr>
      <w:r>
        <w:rPr>
          <w:rFonts w:hint="eastAsia"/>
          <w:color w:val="auto"/>
          <w:highlight w:val="none"/>
        </w:rPr>
        <w:t>青岛市地处山东半岛东南部，东、南濒临黄海，地势东高西低，南北两侧隆起，中间低凹，是典型的海滨丘陵城市，生态系统类型丰富多样。</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1.陆地生态系统</w:t>
      </w:r>
    </w:p>
    <w:p>
      <w:pPr>
        <w:ind w:firstLine="632" w:firstLineChars="0"/>
        <w:rPr>
          <w:color w:val="auto"/>
          <w:highlight w:val="none"/>
        </w:rPr>
      </w:pPr>
      <w:r>
        <w:rPr>
          <w:rFonts w:hint="eastAsia"/>
          <w:color w:val="auto"/>
          <w:highlight w:val="none"/>
        </w:rPr>
        <w:t>主要包括森林（阔叶林、针叶林、针阔混交林和稀疏林）、内陆湿地（河流、湖泊、沼泽，以及池塘、水库等）、草地（草丛、稀疏草地）、农田和城镇等生态系统类型。其中，</w:t>
      </w:r>
      <w:r>
        <w:rPr>
          <w:color w:val="auto"/>
          <w:highlight w:val="none"/>
        </w:rPr>
        <w:t>农田生态系统</w:t>
      </w:r>
      <w:r>
        <w:rPr>
          <w:rFonts w:hint="eastAsia"/>
          <w:color w:val="auto"/>
          <w:highlight w:val="none"/>
        </w:rPr>
        <w:t>面积最大，</w:t>
      </w:r>
      <w:r>
        <w:rPr>
          <w:color w:val="auto"/>
          <w:highlight w:val="none"/>
        </w:rPr>
        <w:t>为5172.47 km</w:t>
      </w:r>
      <w:r>
        <w:rPr>
          <w:color w:val="auto"/>
          <w:highlight w:val="none"/>
          <w:vertAlign w:val="superscript"/>
        </w:rPr>
        <w:t>2</w:t>
      </w:r>
      <w:r>
        <w:rPr>
          <w:color w:val="auto"/>
          <w:highlight w:val="none"/>
        </w:rPr>
        <w:t>，占国土面积</w:t>
      </w:r>
      <w:r>
        <w:rPr>
          <w:rFonts w:hint="eastAsia"/>
          <w:color w:val="auto"/>
          <w:highlight w:val="none"/>
        </w:rPr>
        <w:t>的</w:t>
      </w:r>
      <w:r>
        <w:rPr>
          <w:color w:val="auto"/>
          <w:highlight w:val="none"/>
        </w:rPr>
        <w:t>46.98%</w:t>
      </w:r>
      <w:r>
        <w:rPr>
          <w:rFonts w:hint="eastAsia"/>
          <w:color w:val="auto"/>
          <w:highlight w:val="none"/>
        </w:rPr>
        <w:t>；</w:t>
      </w:r>
      <w:r>
        <w:rPr>
          <w:color w:val="auto"/>
          <w:highlight w:val="none"/>
        </w:rPr>
        <w:t>森林</w:t>
      </w:r>
      <w:r>
        <w:rPr>
          <w:rStyle w:val="52"/>
          <w:color w:val="auto"/>
          <w:highlight w:val="none"/>
        </w:rPr>
        <w:footnoteReference w:id="0"/>
      </w:r>
      <w:r>
        <w:rPr>
          <w:rFonts w:hint="eastAsia"/>
          <w:color w:val="auto"/>
          <w:highlight w:val="none"/>
        </w:rPr>
        <w:t>和</w:t>
      </w:r>
      <w:r>
        <w:rPr>
          <w:color w:val="auto"/>
          <w:highlight w:val="none"/>
        </w:rPr>
        <w:t>湿地</w:t>
      </w:r>
      <w:r>
        <w:rPr>
          <w:rFonts w:hint="eastAsia"/>
          <w:color w:val="auto"/>
          <w:highlight w:val="none"/>
        </w:rPr>
        <w:t>是陆地</w:t>
      </w:r>
      <w:r>
        <w:rPr>
          <w:color w:val="auto"/>
          <w:highlight w:val="none"/>
        </w:rPr>
        <w:t>生物多样性</w:t>
      </w:r>
      <w:r>
        <w:rPr>
          <w:rFonts w:hint="eastAsia"/>
          <w:color w:val="auto"/>
          <w:highlight w:val="none"/>
        </w:rPr>
        <w:t>最为丰富的区域</w:t>
      </w:r>
      <w:r>
        <w:rPr>
          <w:color w:val="auto"/>
          <w:highlight w:val="none"/>
        </w:rPr>
        <w:t>，面积分别是</w:t>
      </w:r>
      <w:r>
        <w:rPr>
          <w:rFonts w:hint="eastAsia"/>
          <w:color w:val="auto"/>
          <w:highlight w:val="none"/>
        </w:rPr>
        <w:t>1590</w:t>
      </w:r>
      <w:r>
        <w:rPr>
          <w:color w:val="auto"/>
          <w:highlight w:val="none"/>
        </w:rPr>
        <w:t xml:space="preserve"> km</w:t>
      </w:r>
      <w:r>
        <w:rPr>
          <w:color w:val="auto"/>
          <w:highlight w:val="none"/>
          <w:vertAlign w:val="superscript"/>
        </w:rPr>
        <w:t>2</w:t>
      </w:r>
      <w:r>
        <w:rPr>
          <w:rFonts w:hint="eastAsia"/>
          <w:color w:val="auto"/>
          <w:highlight w:val="none"/>
        </w:rPr>
        <w:t>和1510</w:t>
      </w:r>
      <w:r>
        <w:rPr>
          <w:color w:val="auto"/>
          <w:highlight w:val="none"/>
        </w:rPr>
        <w:t xml:space="preserve"> km</w:t>
      </w:r>
      <w:r>
        <w:rPr>
          <w:color w:val="auto"/>
          <w:highlight w:val="none"/>
          <w:vertAlign w:val="superscript"/>
        </w:rPr>
        <w:t>2</w:t>
      </w:r>
      <w:r>
        <w:rPr>
          <w:color w:val="auto"/>
          <w:highlight w:val="none"/>
        </w:rPr>
        <w:t>，</w:t>
      </w:r>
      <w:r>
        <w:rPr>
          <w:rFonts w:hint="eastAsia"/>
          <w:color w:val="auto"/>
          <w:highlight w:val="none"/>
        </w:rPr>
        <w:t>分别</w:t>
      </w:r>
      <w:r>
        <w:rPr>
          <w:color w:val="auto"/>
          <w:highlight w:val="none"/>
        </w:rPr>
        <w:t>占国土面积</w:t>
      </w:r>
      <w:r>
        <w:rPr>
          <w:rFonts w:hint="eastAsia"/>
          <w:color w:val="auto"/>
          <w:highlight w:val="none"/>
        </w:rPr>
        <w:t>14.08</w:t>
      </w:r>
      <w:r>
        <w:rPr>
          <w:color w:val="auto"/>
          <w:highlight w:val="none"/>
        </w:rPr>
        <w:t>%</w:t>
      </w:r>
      <w:r>
        <w:rPr>
          <w:rFonts w:hint="eastAsia"/>
          <w:color w:val="auto"/>
          <w:highlight w:val="none"/>
        </w:rPr>
        <w:t>和13.5</w:t>
      </w:r>
      <w:r>
        <w:rPr>
          <w:color w:val="auto"/>
          <w:highlight w:val="none"/>
        </w:rPr>
        <w:t>%</w:t>
      </w:r>
      <w:r>
        <w:rPr>
          <w:rFonts w:hint="eastAsia"/>
          <w:color w:val="auto"/>
          <w:highlight w:val="none"/>
        </w:rPr>
        <w:t>；草地生态系统内面积较小，约为</w:t>
      </w:r>
      <w:r>
        <w:rPr>
          <w:color w:val="auto"/>
          <w:highlight w:val="none"/>
        </w:rPr>
        <w:t>121 km</w:t>
      </w:r>
      <w:r>
        <w:rPr>
          <w:color w:val="auto"/>
          <w:highlight w:val="none"/>
          <w:vertAlign w:val="superscript"/>
        </w:rPr>
        <w:t>2</w:t>
      </w:r>
      <w:r>
        <w:rPr>
          <w:rFonts w:hint="eastAsia"/>
          <w:color w:val="auto"/>
          <w:highlight w:val="none"/>
        </w:rPr>
        <w:t>。</w:t>
      </w:r>
    </w:p>
    <w:p>
      <w:pPr>
        <w:ind w:firstLine="632" w:firstLineChars="0"/>
        <w:rPr>
          <w:color w:val="auto"/>
          <w:highlight w:val="none"/>
        </w:rPr>
      </w:pPr>
      <w:r>
        <w:rPr>
          <w:rFonts w:hint="eastAsia"/>
          <w:color w:val="auto"/>
          <w:highlight w:val="none"/>
        </w:rPr>
        <w:t>森林生态系统主要包括阔叶林、针叶林、针阔混交林和稀疏林生态系统，主要分布在崂山、大泽山等山地丘陵区域。</w:t>
      </w:r>
      <w:r>
        <w:rPr>
          <w:color w:val="auto"/>
          <w:highlight w:val="none"/>
        </w:rPr>
        <w:t>湿地生态系统</w:t>
      </w:r>
      <w:r>
        <w:rPr>
          <w:rFonts w:hint="eastAsia"/>
          <w:color w:val="auto"/>
          <w:highlight w:val="none"/>
        </w:rPr>
        <w:t>主要包括沿海滩涂、内陆滩涂、沼泽、浅海水域、河流、湖泊水库、坑塘水面（不含养殖水面）、沟渠等，主要沿海岸线及内陆水系零散分布。草地生态系统均为其他草地，零散分布在各区市。虽然森林、湿地和草地这三类生态系统面积相对较小，但却是各生物类群的主要栖息地，对于维持青岛市生物多样性具有十分重要的意义。</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2.海洋生态系统</w:t>
      </w:r>
    </w:p>
    <w:p>
      <w:pPr>
        <w:ind w:firstLine="632" w:firstLineChars="0"/>
        <w:rPr>
          <w:color w:val="auto"/>
          <w:highlight w:val="none"/>
        </w:rPr>
      </w:pPr>
      <w:r>
        <w:rPr>
          <w:rFonts w:hint="eastAsia"/>
          <w:color w:val="auto"/>
          <w:highlight w:val="none"/>
        </w:rPr>
        <w:t>青岛市典型海洋生态系统主要包括海岸带（基岩、泥质、沙质、人工）、河口、海湾、海岛、大陆架（海草床、海藻场、牡蛎礁等）以及人工海洋生态系统（海洋牧场、构筑物）等不同类型。</w:t>
      </w:r>
    </w:p>
    <w:p>
      <w:pPr>
        <w:ind w:firstLine="632" w:firstLineChars="0"/>
        <w:rPr>
          <w:color w:val="auto"/>
          <w:highlight w:val="none"/>
        </w:rPr>
      </w:pPr>
      <w:r>
        <w:rPr>
          <w:color w:val="auto"/>
          <w:highlight w:val="none"/>
        </w:rPr>
        <w:t>青岛市海岸线西起西海岸新区青岛日照交界处的潮河河口，东至即墨区青岛海阳交界处的丁字湾，</w:t>
      </w:r>
      <w:r>
        <w:rPr>
          <w:rFonts w:hint="eastAsia"/>
          <w:color w:val="auto"/>
          <w:highlight w:val="none"/>
        </w:rPr>
        <w:t>大陆海岸线总长度为</w:t>
      </w:r>
      <w:r>
        <w:rPr>
          <w:color w:val="auto"/>
          <w:highlight w:val="none"/>
        </w:rPr>
        <w:t>760.02 km，</w:t>
      </w:r>
      <w:r>
        <w:rPr>
          <w:rFonts w:hint="eastAsia"/>
          <w:color w:val="auto"/>
          <w:highlight w:val="none"/>
        </w:rPr>
        <w:t>约占全省大陆海岸线长度的22%，</w:t>
      </w:r>
      <w:r>
        <w:rPr>
          <w:color w:val="auto"/>
          <w:highlight w:val="none"/>
        </w:rPr>
        <w:t>其中</w:t>
      </w:r>
      <w:r>
        <w:rPr>
          <w:rFonts w:hint="eastAsia"/>
          <w:color w:val="auto"/>
          <w:highlight w:val="none"/>
        </w:rPr>
        <w:t>，</w:t>
      </w:r>
      <w:r>
        <w:rPr>
          <w:color w:val="auto"/>
          <w:highlight w:val="none"/>
        </w:rPr>
        <w:t>自然岸线长度是296.86 km，人工岸线长度是463.16 km，自然岸线保有率为39.06%</w:t>
      </w:r>
      <w:r>
        <w:rPr>
          <w:rFonts w:hint="eastAsia"/>
          <w:color w:val="auto"/>
          <w:highlight w:val="none"/>
        </w:rPr>
        <w:t>。潮间带总面积3</w:t>
      </w:r>
      <w:r>
        <w:rPr>
          <w:color w:val="auto"/>
          <w:highlight w:val="none"/>
        </w:rPr>
        <w:t xml:space="preserve">34 </w:t>
      </w:r>
      <w:r>
        <w:rPr>
          <w:rFonts w:hint="eastAsia"/>
          <w:color w:val="auto"/>
          <w:highlight w:val="none"/>
        </w:rPr>
        <w:t>km</w:t>
      </w:r>
      <w:r>
        <w:rPr>
          <w:rFonts w:hint="eastAsia" w:ascii="Calibri" w:hAnsi="Calibri" w:cs="Calibri"/>
          <w:color w:val="auto"/>
          <w:highlight w:val="none"/>
        </w:rPr>
        <w:t>²，滩涂湿</w:t>
      </w:r>
      <w:r>
        <w:rPr>
          <w:rFonts w:hint="eastAsia"/>
          <w:color w:val="auto"/>
          <w:highlight w:val="none"/>
        </w:rPr>
        <w:t>地总面积2</w:t>
      </w:r>
      <w:r>
        <w:rPr>
          <w:color w:val="auto"/>
          <w:highlight w:val="none"/>
        </w:rPr>
        <w:t>29.16</w:t>
      </w:r>
      <w:r>
        <w:rPr>
          <w:rFonts w:hint="eastAsia"/>
          <w:color w:val="auto"/>
          <w:highlight w:val="none"/>
        </w:rPr>
        <w:t xml:space="preserve"> km</w:t>
      </w:r>
      <w:r>
        <w:rPr>
          <w:color w:val="auto"/>
          <w:highlight w:val="none"/>
        </w:rPr>
        <w:t>²</w:t>
      </w:r>
      <w:r>
        <w:rPr>
          <w:rFonts w:hint="eastAsia"/>
          <w:color w:val="auto"/>
          <w:highlight w:val="none"/>
        </w:rPr>
        <w:t>，是重要的鸟类和海洋生物栖息地和繁殖地，也是重要的海洋水质净</w:t>
      </w:r>
      <w:r>
        <w:rPr>
          <w:rFonts w:hint="eastAsia" w:ascii="Calibri" w:hAnsi="Calibri" w:cs="Calibri"/>
          <w:color w:val="auto"/>
          <w:highlight w:val="none"/>
        </w:rPr>
        <w:t>化区。</w:t>
      </w:r>
    </w:p>
    <w:p>
      <w:pPr>
        <w:ind w:firstLine="632" w:firstLineChars="0"/>
        <w:rPr>
          <w:color w:val="auto"/>
          <w:highlight w:val="none"/>
        </w:rPr>
      </w:pPr>
      <w:r>
        <w:rPr>
          <w:color w:val="auto"/>
          <w:highlight w:val="none"/>
        </w:rPr>
        <w:t>青岛市海湾</w:t>
      </w:r>
      <w:r>
        <w:rPr>
          <w:rFonts w:hint="eastAsia"/>
          <w:color w:val="auto"/>
          <w:highlight w:val="none"/>
        </w:rPr>
        <w:t>共</w:t>
      </w:r>
      <w:r>
        <w:rPr>
          <w:color w:val="auto"/>
          <w:highlight w:val="none"/>
        </w:rPr>
        <w:t>有49个，</w:t>
      </w:r>
      <w:r>
        <w:rPr>
          <w:rFonts w:hint="eastAsia"/>
          <w:color w:val="auto"/>
          <w:highlight w:val="none"/>
        </w:rPr>
        <w:t>总面积约</w:t>
      </w:r>
      <w:r>
        <w:rPr>
          <w:color w:val="auto"/>
          <w:highlight w:val="none"/>
        </w:rPr>
        <w:t xml:space="preserve">1130 </w:t>
      </w:r>
      <w:r>
        <w:rPr>
          <w:rFonts w:hint="eastAsia"/>
          <w:color w:val="auto"/>
          <w:highlight w:val="none"/>
        </w:rPr>
        <w:t>km</w:t>
      </w:r>
      <w:r>
        <w:rPr>
          <w:rFonts w:hint="eastAsia" w:ascii="Calibri" w:hAnsi="Calibri" w:cs="Calibri"/>
          <w:color w:val="auto"/>
          <w:highlight w:val="none"/>
        </w:rPr>
        <w:t>²，多为泥沙、岩礁底质，主要</w:t>
      </w:r>
      <w:r>
        <w:rPr>
          <w:color w:val="auto"/>
          <w:highlight w:val="none"/>
        </w:rPr>
        <w:t>包括：胶州湾、</w:t>
      </w:r>
      <w:r>
        <w:rPr>
          <w:rFonts w:hint="eastAsia"/>
          <w:color w:val="auto"/>
          <w:highlight w:val="none"/>
        </w:rPr>
        <w:t>鳌山湾、</w:t>
      </w:r>
      <w:r>
        <w:rPr>
          <w:color w:val="auto"/>
          <w:highlight w:val="none"/>
        </w:rPr>
        <w:t>崂山湾</w:t>
      </w:r>
      <w:r>
        <w:rPr>
          <w:rFonts w:hint="eastAsia"/>
          <w:color w:val="auto"/>
          <w:highlight w:val="none"/>
        </w:rPr>
        <w:t>、</w:t>
      </w:r>
      <w:r>
        <w:rPr>
          <w:color w:val="auto"/>
          <w:highlight w:val="none"/>
        </w:rPr>
        <w:t>灵山湾</w:t>
      </w:r>
      <w:r>
        <w:rPr>
          <w:rFonts w:hint="eastAsia"/>
          <w:color w:val="auto"/>
          <w:highlight w:val="none"/>
        </w:rPr>
        <w:t>、</w:t>
      </w:r>
      <w:r>
        <w:rPr>
          <w:color w:val="auto"/>
          <w:highlight w:val="none"/>
        </w:rPr>
        <w:t>丁字湾、</w:t>
      </w:r>
      <w:r>
        <w:rPr>
          <w:rFonts w:hint="eastAsia"/>
          <w:color w:val="auto"/>
          <w:highlight w:val="none"/>
        </w:rPr>
        <w:t>龙湾、黄家塘湾、</w:t>
      </w:r>
      <w:r>
        <w:rPr>
          <w:color w:val="auto"/>
          <w:highlight w:val="none"/>
        </w:rPr>
        <w:t>横门湾、</w:t>
      </w:r>
      <w:r>
        <w:rPr>
          <w:rFonts w:hint="eastAsia"/>
          <w:color w:val="auto"/>
          <w:highlight w:val="none"/>
        </w:rPr>
        <w:t>小岛湾、琅琊台湾、</w:t>
      </w:r>
      <w:r>
        <w:rPr>
          <w:color w:val="auto"/>
          <w:highlight w:val="none"/>
        </w:rPr>
        <w:t>栲栳湾、</w:t>
      </w:r>
      <w:r>
        <w:rPr>
          <w:rFonts w:hint="eastAsia"/>
          <w:color w:val="auto"/>
          <w:highlight w:val="none"/>
        </w:rPr>
        <w:t>唐岛湾、</w:t>
      </w:r>
      <w:r>
        <w:rPr>
          <w:rFonts w:hint="eastAsia" w:ascii="仿宋_GB2312" w:hAnsi="仿宋_GB2312" w:cs="仿宋_GB2312"/>
          <w:color w:val="auto"/>
          <w:highlight w:val="none"/>
        </w:rPr>
        <w:t>巉山湾</w:t>
      </w:r>
      <w:r>
        <w:rPr>
          <w:color w:val="auto"/>
          <w:highlight w:val="none"/>
        </w:rPr>
        <w:t>、</w:t>
      </w:r>
      <w:r>
        <w:rPr>
          <w:rFonts w:hint="eastAsia"/>
          <w:color w:val="auto"/>
          <w:highlight w:val="none"/>
        </w:rPr>
        <w:t>女岛湾、仰口湾</w:t>
      </w:r>
      <w:r>
        <w:rPr>
          <w:rFonts w:hint="eastAsia" w:ascii="仿宋_GB2312" w:hAnsi="仿宋_GB2312" w:cs="仿宋_GB2312"/>
          <w:color w:val="auto"/>
          <w:highlight w:val="none"/>
        </w:rPr>
        <w:t>、薛家岛湾</w:t>
      </w:r>
      <w:r>
        <w:rPr>
          <w:rFonts w:hint="eastAsia"/>
          <w:color w:val="auto"/>
          <w:highlight w:val="none"/>
        </w:rPr>
        <w:t>等</w:t>
      </w:r>
      <w:r>
        <w:rPr>
          <w:color w:val="auto"/>
          <w:highlight w:val="none"/>
        </w:rPr>
        <w:t>，其中面积大于100 km</w:t>
      </w:r>
      <w:r>
        <w:rPr>
          <w:color w:val="auto"/>
          <w:highlight w:val="none"/>
          <w:vertAlign w:val="superscript"/>
        </w:rPr>
        <w:t>2</w:t>
      </w:r>
      <w:r>
        <w:rPr>
          <w:color w:val="auto"/>
          <w:highlight w:val="none"/>
        </w:rPr>
        <w:t>的海湾4个，分别是胶州湾、</w:t>
      </w:r>
      <w:r>
        <w:rPr>
          <w:rFonts w:hint="eastAsia"/>
          <w:color w:val="auto"/>
          <w:highlight w:val="none"/>
        </w:rPr>
        <w:t>鳌山湾、</w:t>
      </w:r>
      <w:r>
        <w:rPr>
          <w:color w:val="auto"/>
          <w:highlight w:val="none"/>
        </w:rPr>
        <w:t>崂山湾和灵山湾</w:t>
      </w:r>
      <w:r>
        <w:rPr>
          <w:rFonts w:hint="eastAsia"/>
          <w:color w:val="auto"/>
          <w:highlight w:val="none"/>
        </w:rPr>
        <w:t>。</w:t>
      </w:r>
    </w:p>
    <w:p>
      <w:pPr>
        <w:ind w:firstLine="632" w:firstLineChars="0"/>
        <w:rPr>
          <w:color w:val="auto"/>
          <w:highlight w:val="none"/>
        </w:rPr>
      </w:pPr>
      <w:r>
        <w:rPr>
          <w:color w:val="auto"/>
          <w:highlight w:val="none"/>
        </w:rPr>
        <w:t>青岛市海岛</w:t>
      </w:r>
      <w:r>
        <w:rPr>
          <w:rFonts w:hint="eastAsia"/>
          <w:color w:val="auto"/>
          <w:highlight w:val="none"/>
        </w:rPr>
        <w:t>共有1</w:t>
      </w:r>
      <w:r>
        <w:rPr>
          <w:color w:val="auto"/>
          <w:highlight w:val="none"/>
        </w:rPr>
        <w:t>20</w:t>
      </w:r>
      <w:r>
        <w:rPr>
          <w:rFonts w:hint="eastAsia"/>
          <w:color w:val="auto"/>
          <w:highlight w:val="none"/>
        </w:rPr>
        <w:t>个，</w:t>
      </w:r>
      <w:r>
        <w:rPr>
          <w:color w:val="auto"/>
          <w:highlight w:val="none"/>
        </w:rPr>
        <w:t>总面积15.04 km</w:t>
      </w:r>
      <w:r>
        <w:rPr>
          <w:color w:val="auto"/>
          <w:highlight w:val="none"/>
          <w:vertAlign w:val="superscript"/>
        </w:rPr>
        <w:t>2</w:t>
      </w:r>
      <w:r>
        <w:rPr>
          <w:color w:val="auto"/>
          <w:highlight w:val="none"/>
        </w:rPr>
        <w:t>，海岛岸线长</w:t>
      </w:r>
      <w:r>
        <w:rPr>
          <w:rFonts w:hint="eastAsia"/>
          <w:color w:val="auto"/>
          <w:highlight w:val="none"/>
        </w:rPr>
        <w:t>117.58</w:t>
      </w:r>
      <w:r>
        <w:rPr>
          <w:color w:val="auto"/>
          <w:highlight w:val="none"/>
        </w:rPr>
        <w:t xml:space="preserve"> km</w:t>
      </w:r>
      <w:r>
        <w:rPr>
          <w:rFonts w:hint="eastAsia"/>
          <w:color w:val="auto"/>
          <w:highlight w:val="none"/>
        </w:rPr>
        <w:t>。其中，有居民海岛共7个，总面积10.97</w:t>
      </w:r>
      <w:r>
        <w:rPr>
          <w:color w:val="auto"/>
          <w:highlight w:val="none"/>
        </w:rPr>
        <w:t xml:space="preserve"> km</w:t>
      </w:r>
      <w:r>
        <w:rPr>
          <w:color w:val="auto"/>
          <w:highlight w:val="none"/>
          <w:vertAlign w:val="superscript"/>
        </w:rPr>
        <w:t>2</w:t>
      </w:r>
      <w:r>
        <w:rPr>
          <w:rFonts w:hint="eastAsia"/>
          <w:color w:val="auto"/>
          <w:highlight w:val="none"/>
        </w:rPr>
        <w:t>，海岛岸线长42.58</w:t>
      </w:r>
      <w:r>
        <w:rPr>
          <w:color w:val="auto"/>
          <w:highlight w:val="none"/>
        </w:rPr>
        <w:t xml:space="preserve"> km</w:t>
      </w:r>
      <w:r>
        <w:rPr>
          <w:rFonts w:hint="eastAsia" w:ascii="Calibri" w:hAnsi="Calibri" w:cs="Calibri"/>
          <w:color w:val="auto"/>
          <w:highlight w:val="none"/>
        </w:rPr>
        <w:t>；</w:t>
      </w:r>
      <w:r>
        <w:rPr>
          <w:rFonts w:hint="eastAsia"/>
          <w:color w:val="auto"/>
          <w:highlight w:val="none"/>
        </w:rPr>
        <w:t>无居民海岛1</w:t>
      </w:r>
      <w:r>
        <w:rPr>
          <w:color w:val="auto"/>
          <w:highlight w:val="none"/>
        </w:rPr>
        <w:t>13</w:t>
      </w:r>
      <w:r>
        <w:rPr>
          <w:rFonts w:hint="eastAsia"/>
          <w:color w:val="auto"/>
          <w:highlight w:val="none"/>
        </w:rPr>
        <w:t>个，总面积约4.07</w:t>
      </w:r>
      <w:r>
        <w:rPr>
          <w:color w:val="auto"/>
          <w:highlight w:val="none"/>
        </w:rPr>
        <w:t xml:space="preserve"> km</w:t>
      </w:r>
      <w:r>
        <w:rPr>
          <w:color w:val="auto"/>
          <w:highlight w:val="none"/>
          <w:vertAlign w:val="superscript"/>
        </w:rPr>
        <w:t>2</w:t>
      </w:r>
      <w:r>
        <w:rPr>
          <w:rFonts w:hint="eastAsia"/>
          <w:color w:val="auto"/>
          <w:highlight w:val="none"/>
        </w:rPr>
        <w:t>，海岛岸线长</w:t>
      </w:r>
      <w:r>
        <w:rPr>
          <w:color w:val="auto"/>
          <w:highlight w:val="none"/>
        </w:rPr>
        <w:t>75.00 km</w:t>
      </w:r>
      <w:r>
        <w:rPr>
          <w:rFonts w:hint="eastAsia" w:ascii="Calibri" w:hAnsi="Calibri" w:cs="Calibri"/>
          <w:color w:val="auto"/>
          <w:highlight w:val="none"/>
        </w:rPr>
        <w:t>；</w:t>
      </w:r>
      <w:r>
        <w:rPr>
          <w:rFonts w:hint="eastAsia"/>
          <w:color w:val="auto"/>
          <w:highlight w:val="none"/>
        </w:rPr>
        <w:t>平均岛陆面积0.13</w:t>
      </w:r>
      <w:r>
        <w:rPr>
          <w:color w:val="auto"/>
          <w:highlight w:val="none"/>
        </w:rPr>
        <w:t xml:space="preserve"> km</w:t>
      </w:r>
      <w:r>
        <w:rPr>
          <w:color w:val="auto"/>
          <w:highlight w:val="none"/>
          <w:vertAlign w:val="superscript"/>
        </w:rPr>
        <w:t>2</w:t>
      </w:r>
      <w:r>
        <w:rPr>
          <w:rFonts w:hint="eastAsia"/>
          <w:color w:val="auto"/>
          <w:highlight w:val="none"/>
        </w:rPr>
        <w:t>。面积大于500</w:t>
      </w:r>
      <w:r>
        <w:rPr>
          <w:color w:val="auto"/>
          <w:highlight w:val="none"/>
        </w:rPr>
        <w:t xml:space="preserve"> m</w:t>
      </w:r>
      <w:r>
        <w:rPr>
          <w:color w:val="auto"/>
          <w:highlight w:val="none"/>
          <w:vertAlign w:val="superscript"/>
        </w:rPr>
        <w:t>2</w:t>
      </w:r>
      <w:r>
        <w:rPr>
          <w:rFonts w:hint="eastAsia"/>
          <w:color w:val="auto"/>
          <w:highlight w:val="none"/>
        </w:rPr>
        <w:t>的海岛74个，占海岛总数的61.7%，其中灵山岛面积最大，为7.88</w:t>
      </w:r>
      <w:r>
        <w:rPr>
          <w:color w:val="auto"/>
          <w:highlight w:val="none"/>
        </w:rPr>
        <w:t xml:space="preserve"> km</w:t>
      </w:r>
      <w:r>
        <w:rPr>
          <w:color w:val="auto"/>
          <w:highlight w:val="none"/>
          <w:vertAlign w:val="superscript"/>
        </w:rPr>
        <w:t>2</w:t>
      </w:r>
      <w:r>
        <w:rPr>
          <w:rFonts w:hint="eastAsia"/>
          <w:color w:val="auto"/>
          <w:highlight w:val="none"/>
        </w:rPr>
        <w:t>。海岛主要分布在西海岸新区、即墨区和崂山区，胶州湾内海岛数量较少，空间分布多是以面积较大的海岛为中心，周边聚集小岛和微型岛的岛群格局。</w:t>
      </w:r>
      <w:r>
        <w:rPr>
          <w:color w:val="auto"/>
          <w:highlight w:val="none"/>
        </w:rPr>
        <w:t>海岛以基岩海岛为主，共计116个，占海岛总数的96.7%；泥沙岛4个，占海岛总数的3.3%，主要分布在丁字湾和横门湾附近。</w:t>
      </w:r>
    </w:p>
    <w:p>
      <w:pPr>
        <w:ind w:firstLine="632" w:firstLineChars="0"/>
        <w:rPr>
          <w:color w:val="auto"/>
          <w:highlight w:val="none"/>
        </w:rPr>
      </w:pPr>
      <w:r>
        <w:rPr>
          <w:rFonts w:hint="eastAsia"/>
          <w:color w:val="auto"/>
          <w:highlight w:val="none"/>
        </w:rPr>
        <w:t>青岛市近岸海洋生态系统主要包括海草床、海藻场、牡蛎礁等自然海洋生态系统，以及海洋牧场等人工海洋生态系统。其中，自然海洋生态系统面积较小，天然海草床仅有约</w:t>
      </w:r>
      <w:r>
        <w:rPr>
          <w:color w:val="auto"/>
          <w:highlight w:val="none"/>
        </w:rPr>
        <w:t>0.1 km</w:t>
      </w:r>
      <w:r>
        <w:rPr>
          <w:color w:val="auto"/>
          <w:highlight w:val="none"/>
          <w:vertAlign w:val="superscript"/>
        </w:rPr>
        <w:t>2</w:t>
      </w:r>
      <w:r>
        <w:rPr>
          <w:rFonts w:hint="eastAsia" w:ascii="Calibri" w:hAnsi="Calibri" w:cs="Calibri"/>
          <w:color w:val="auto"/>
          <w:highlight w:val="none"/>
        </w:rPr>
        <w:t>，呈斑块状零星分布在浮山湾、汇泉湾、栈桥、唐岛湾、</w:t>
      </w:r>
      <w:r>
        <w:rPr>
          <w:rFonts w:hint="eastAsia"/>
          <w:color w:val="auto"/>
          <w:highlight w:val="none"/>
        </w:rPr>
        <w:t>琅琊台湾</w:t>
      </w:r>
      <w:r>
        <w:rPr>
          <w:rFonts w:hint="eastAsia" w:ascii="Calibri" w:hAnsi="Calibri" w:cs="Calibri"/>
          <w:color w:val="auto"/>
          <w:highlight w:val="none"/>
        </w:rPr>
        <w:t>、</w:t>
      </w:r>
      <w:r>
        <w:rPr>
          <w:rFonts w:hint="eastAsia"/>
          <w:color w:val="auto"/>
          <w:highlight w:val="none"/>
        </w:rPr>
        <w:t>龙湾</w:t>
      </w:r>
      <w:r>
        <w:rPr>
          <w:rFonts w:hint="eastAsia" w:ascii="Calibri" w:hAnsi="Calibri" w:cs="Calibri"/>
          <w:color w:val="auto"/>
          <w:highlight w:val="none"/>
        </w:rPr>
        <w:t>等地；天然海藻场和牡蛎礁面积也较小。海洋牧场等人工海洋生态系统面积相对较大，全市在建海洋牧场</w:t>
      </w:r>
      <w:r>
        <w:rPr>
          <w:rFonts w:hint="eastAsia"/>
          <w:color w:val="auto"/>
          <w:highlight w:val="none"/>
        </w:rPr>
        <w:t>示范区27处，海域总面积达到</w:t>
      </w:r>
      <w:r>
        <w:rPr>
          <w:color w:val="auto"/>
          <w:highlight w:val="none"/>
        </w:rPr>
        <w:t>1400 km</w:t>
      </w:r>
      <w:r>
        <w:rPr>
          <w:color w:val="auto"/>
          <w:highlight w:val="none"/>
          <w:vertAlign w:val="superscript"/>
        </w:rPr>
        <w:t>2</w:t>
      </w:r>
      <w:r>
        <w:rPr>
          <w:rFonts w:hint="eastAsia"/>
          <w:color w:val="auto"/>
          <w:highlight w:val="none"/>
        </w:rPr>
        <w:t>，投放礁体335万空方。</w:t>
      </w:r>
    </w:p>
    <w:p>
      <w:pPr>
        <w:pStyle w:val="5"/>
        <w:ind w:firstLine="632"/>
        <w:rPr>
          <w:rFonts w:ascii="楷体_GB2312" w:hAnsi="楷体_GB2312" w:eastAsia="楷体_GB2312" w:cs="楷体_GB2312"/>
          <w:b w:val="0"/>
          <w:bCs w:val="0"/>
          <w:color w:val="auto"/>
          <w:highlight w:val="none"/>
        </w:rPr>
      </w:pPr>
      <w:bookmarkStart w:id="3" w:name="_Toc163376216"/>
      <w:r>
        <w:rPr>
          <w:rFonts w:hint="eastAsia" w:ascii="楷体_GB2312" w:hAnsi="楷体_GB2312" w:eastAsia="楷体_GB2312" w:cs="楷体_GB2312"/>
          <w:b w:val="0"/>
          <w:bCs w:val="0"/>
          <w:color w:val="auto"/>
          <w:highlight w:val="none"/>
        </w:rPr>
        <w:t>（二）物种多样性</w:t>
      </w:r>
      <w:bookmarkEnd w:id="3"/>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1.陆地物种多样性</w:t>
      </w:r>
    </w:p>
    <w:p>
      <w:pPr>
        <w:ind w:firstLine="632"/>
        <w:rPr>
          <w:color w:val="auto"/>
          <w:highlight w:val="none"/>
        </w:rPr>
      </w:pPr>
      <w:r>
        <w:rPr>
          <w:color w:val="auto"/>
          <w:highlight w:val="none"/>
        </w:rPr>
        <w:t>目前</w:t>
      </w:r>
      <w:r>
        <w:rPr>
          <w:rFonts w:hint="eastAsia"/>
          <w:color w:val="auto"/>
          <w:highlight w:val="none"/>
        </w:rPr>
        <w:t>，青岛市共有野生、半野生维管束植物</w:t>
      </w:r>
      <w:r>
        <w:rPr>
          <w:color w:val="auto"/>
          <w:highlight w:val="none"/>
        </w:rPr>
        <w:t>8</w:t>
      </w:r>
      <w:r>
        <w:rPr>
          <w:rFonts w:hint="eastAsia"/>
          <w:color w:val="auto"/>
          <w:highlight w:val="none"/>
        </w:rPr>
        <w:t>纲</w:t>
      </w:r>
      <w:r>
        <w:rPr>
          <w:color w:val="auto"/>
          <w:highlight w:val="none"/>
        </w:rPr>
        <w:t>61</w:t>
      </w:r>
      <w:r>
        <w:rPr>
          <w:rFonts w:hint="eastAsia"/>
          <w:color w:val="auto"/>
          <w:highlight w:val="none"/>
        </w:rPr>
        <w:t>目</w:t>
      </w:r>
      <w:r>
        <w:rPr>
          <w:color w:val="auto"/>
          <w:highlight w:val="none"/>
        </w:rPr>
        <w:t>141</w:t>
      </w:r>
      <w:r>
        <w:rPr>
          <w:rFonts w:hint="eastAsia"/>
          <w:color w:val="auto"/>
          <w:highlight w:val="none"/>
        </w:rPr>
        <w:t>科</w:t>
      </w:r>
      <w:r>
        <w:rPr>
          <w:color w:val="auto"/>
          <w:highlight w:val="none"/>
        </w:rPr>
        <w:t>587</w:t>
      </w:r>
      <w:r>
        <w:rPr>
          <w:rFonts w:hint="eastAsia"/>
          <w:color w:val="auto"/>
          <w:highlight w:val="none"/>
        </w:rPr>
        <w:t>属</w:t>
      </w:r>
      <w:r>
        <w:rPr>
          <w:color w:val="auto"/>
          <w:highlight w:val="none"/>
        </w:rPr>
        <w:t>1300</w:t>
      </w:r>
      <w:r>
        <w:rPr>
          <w:rFonts w:hint="eastAsia"/>
          <w:color w:val="auto"/>
          <w:highlight w:val="none"/>
        </w:rPr>
        <w:t>余种，其中，蕨类植物</w:t>
      </w:r>
      <w:r>
        <w:rPr>
          <w:color w:val="auto"/>
          <w:highlight w:val="none"/>
        </w:rPr>
        <w:t>4</w:t>
      </w:r>
      <w:r>
        <w:rPr>
          <w:rFonts w:hint="eastAsia"/>
          <w:color w:val="auto"/>
          <w:highlight w:val="none"/>
        </w:rPr>
        <w:t>纲</w:t>
      </w:r>
      <w:r>
        <w:rPr>
          <w:color w:val="auto"/>
          <w:highlight w:val="none"/>
        </w:rPr>
        <w:t>5</w:t>
      </w:r>
      <w:r>
        <w:rPr>
          <w:rFonts w:hint="eastAsia"/>
          <w:color w:val="auto"/>
          <w:highlight w:val="none"/>
        </w:rPr>
        <w:t>目</w:t>
      </w:r>
      <w:r>
        <w:rPr>
          <w:color w:val="auto"/>
          <w:highlight w:val="none"/>
        </w:rPr>
        <w:t>19</w:t>
      </w:r>
      <w:r>
        <w:rPr>
          <w:rFonts w:hint="eastAsia"/>
          <w:color w:val="auto"/>
          <w:highlight w:val="none"/>
        </w:rPr>
        <w:t>科</w:t>
      </w:r>
      <w:r>
        <w:rPr>
          <w:color w:val="auto"/>
          <w:highlight w:val="none"/>
        </w:rPr>
        <w:t>27</w:t>
      </w:r>
      <w:r>
        <w:rPr>
          <w:rFonts w:hint="eastAsia"/>
          <w:color w:val="auto"/>
          <w:highlight w:val="none"/>
        </w:rPr>
        <w:t>属</w:t>
      </w:r>
      <w:r>
        <w:rPr>
          <w:color w:val="auto"/>
          <w:highlight w:val="none"/>
        </w:rPr>
        <w:t>50</w:t>
      </w:r>
      <w:r>
        <w:rPr>
          <w:rFonts w:hint="eastAsia"/>
          <w:color w:val="auto"/>
          <w:highlight w:val="none"/>
        </w:rPr>
        <w:t>余种，裸子植物</w:t>
      </w:r>
      <w:r>
        <w:rPr>
          <w:color w:val="auto"/>
          <w:highlight w:val="none"/>
        </w:rPr>
        <w:t>1</w:t>
      </w:r>
      <w:r>
        <w:rPr>
          <w:rFonts w:hint="eastAsia"/>
          <w:color w:val="auto"/>
          <w:highlight w:val="none"/>
        </w:rPr>
        <w:t>纲</w:t>
      </w:r>
      <w:r>
        <w:rPr>
          <w:color w:val="auto"/>
          <w:highlight w:val="none"/>
        </w:rPr>
        <w:t>2</w:t>
      </w:r>
      <w:r>
        <w:rPr>
          <w:rFonts w:hint="eastAsia"/>
          <w:color w:val="auto"/>
          <w:highlight w:val="none"/>
        </w:rPr>
        <w:t>目</w:t>
      </w:r>
      <w:r>
        <w:rPr>
          <w:color w:val="auto"/>
          <w:highlight w:val="none"/>
        </w:rPr>
        <w:t>3</w:t>
      </w:r>
      <w:r>
        <w:rPr>
          <w:rFonts w:hint="eastAsia"/>
          <w:color w:val="auto"/>
          <w:highlight w:val="none"/>
        </w:rPr>
        <w:t>科</w:t>
      </w:r>
      <w:r>
        <w:rPr>
          <w:color w:val="auto"/>
          <w:highlight w:val="none"/>
        </w:rPr>
        <w:t>6</w:t>
      </w:r>
      <w:r>
        <w:rPr>
          <w:rFonts w:hint="eastAsia"/>
          <w:color w:val="auto"/>
          <w:highlight w:val="none"/>
        </w:rPr>
        <w:t>属</w:t>
      </w:r>
      <w:r>
        <w:rPr>
          <w:color w:val="auto"/>
          <w:highlight w:val="none"/>
        </w:rPr>
        <w:t>11</w:t>
      </w:r>
      <w:r>
        <w:rPr>
          <w:rFonts w:hint="eastAsia"/>
          <w:color w:val="auto"/>
          <w:highlight w:val="none"/>
        </w:rPr>
        <w:t>种，被子植物</w:t>
      </w:r>
      <w:r>
        <w:rPr>
          <w:color w:val="auto"/>
          <w:highlight w:val="none"/>
        </w:rPr>
        <w:t>3</w:t>
      </w:r>
      <w:r>
        <w:rPr>
          <w:rFonts w:hint="eastAsia"/>
          <w:color w:val="auto"/>
          <w:highlight w:val="none"/>
        </w:rPr>
        <w:t>纲</w:t>
      </w:r>
      <w:r>
        <w:rPr>
          <w:color w:val="auto"/>
          <w:highlight w:val="none"/>
        </w:rPr>
        <w:t>52</w:t>
      </w:r>
      <w:r>
        <w:rPr>
          <w:rFonts w:hint="eastAsia"/>
          <w:color w:val="auto"/>
          <w:highlight w:val="none"/>
        </w:rPr>
        <w:t>目</w:t>
      </w:r>
      <w:r>
        <w:rPr>
          <w:color w:val="auto"/>
          <w:highlight w:val="none"/>
        </w:rPr>
        <w:t>119</w:t>
      </w:r>
      <w:r>
        <w:rPr>
          <w:rFonts w:hint="eastAsia"/>
          <w:color w:val="auto"/>
          <w:highlight w:val="none"/>
        </w:rPr>
        <w:t>科</w:t>
      </w:r>
      <w:r>
        <w:rPr>
          <w:color w:val="auto"/>
          <w:highlight w:val="none"/>
        </w:rPr>
        <w:t>554</w:t>
      </w:r>
      <w:r>
        <w:rPr>
          <w:rFonts w:hint="eastAsia"/>
          <w:color w:val="auto"/>
          <w:highlight w:val="none"/>
        </w:rPr>
        <w:t>属</w:t>
      </w:r>
      <w:r>
        <w:rPr>
          <w:color w:val="auto"/>
          <w:highlight w:val="none"/>
        </w:rPr>
        <w:t>1240</w:t>
      </w:r>
      <w:r>
        <w:rPr>
          <w:rFonts w:hint="eastAsia"/>
          <w:color w:val="auto"/>
          <w:highlight w:val="none"/>
        </w:rPr>
        <w:t>余种，主要分布在崂山、大泽山、小珠山、铁蕨山等山地林区及林缘区域。其中，国家I级重点保护野生植物2种，分别是银杏和水杉（半野生）；</w:t>
      </w:r>
      <w:r>
        <w:rPr>
          <w:color w:val="auto"/>
          <w:highlight w:val="none"/>
        </w:rPr>
        <w:t>国家</w:t>
      </w:r>
      <w:r>
        <w:rPr>
          <w:rFonts w:hint="eastAsia" w:ascii="宋体" w:hAnsi="宋体" w:cs="宋体"/>
          <w:color w:val="auto"/>
          <w:highlight w:val="none"/>
        </w:rPr>
        <w:t>Ⅱ</w:t>
      </w:r>
      <w:r>
        <w:rPr>
          <w:color w:val="auto"/>
          <w:highlight w:val="none"/>
        </w:rPr>
        <w:t>级</w:t>
      </w:r>
      <w:r>
        <w:rPr>
          <w:rFonts w:hint="eastAsia"/>
          <w:color w:val="auto"/>
          <w:highlight w:val="none"/>
        </w:rPr>
        <w:t>重点</w:t>
      </w:r>
      <w:r>
        <w:rPr>
          <w:color w:val="auto"/>
          <w:highlight w:val="none"/>
        </w:rPr>
        <w:t>保护</w:t>
      </w:r>
      <w:r>
        <w:rPr>
          <w:rFonts w:hint="eastAsia"/>
          <w:color w:val="auto"/>
          <w:highlight w:val="none"/>
        </w:rPr>
        <w:t>野生</w:t>
      </w:r>
      <w:r>
        <w:rPr>
          <w:color w:val="auto"/>
          <w:highlight w:val="none"/>
        </w:rPr>
        <w:t>植物1</w:t>
      </w:r>
      <w:r>
        <w:rPr>
          <w:rFonts w:hint="eastAsia"/>
          <w:color w:val="auto"/>
          <w:highlight w:val="none"/>
        </w:rPr>
        <w:t>6</w:t>
      </w:r>
      <w:r>
        <w:rPr>
          <w:color w:val="auto"/>
          <w:highlight w:val="none"/>
        </w:rPr>
        <w:t>种</w:t>
      </w:r>
      <w:r>
        <w:rPr>
          <w:rFonts w:hint="eastAsia"/>
          <w:color w:val="auto"/>
          <w:highlight w:val="none"/>
        </w:rPr>
        <w:t>，分别是青岛百合、玫瑰、软枣猕猴桃、中华结缕草、山茴香、野大豆、珊瑚菜、白及、紫点杓兰、紫椴、黄檗、甘草、天麻以及中华猕猴桃、鹅掌楸和人参（半野生）。</w:t>
      </w:r>
    </w:p>
    <w:p>
      <w:pPr>
        <w:ind w:firstLine="632"/>
        <w:rPr>
          <w:color w:val="auto"/>
          <w:highlight w:val="none"/>
        </w:rPr>
      </w:pPr>
      <w:r>
        <w:rPr>
          <w:rFonts w:hint="eastAsia"/>
          <w:color w:val="auto"/>
          <w:highlight w:val="none"/>
        </w:rPr>
        <w:t>青岛市共有陆生脊椎动物</w:t>
      </w:r>
      <w:r>
        <w:rPr>
          <w:color w:val="auto"/>
          <w:highlight w:val="none"/>
        </w:rPr>
        <w:t>470</w:t>
      </w:r>
      <w:r>
        <w:rPr>
          <w:rFonts w:hint="eastAsia"/>
          <w:color w:val="auto"/>
          <w:highlight w:val="none"/>
        </w:rPr>
        <w:t>余</w:t>
      </w:r>
      <w:r>
        <w:rPr>
          <w:color w:val="auto"/>
          <w:highlight w:val="none"/>
        </w:rPr>
        <w:t>种</w:t>
      </w:r>
      <w:r>
        <w:rPr>
          <w:rStyle w:val="52"/>
          <w:color w:val="auto"/>
          <w:highlight w:val="none"/>
        </w:rPr>
        <w:footnoteReference w:id="1"/>
      </w:r>
      <w:r>
        <w:rPr>
          <w:color w:val="auto"/>
          <w:highlight w:val="none"/>
        </w:rPr>
        <w:t>，</w:t>
      </w:r>
      <w:r>
        <w:rPr>
          <w:rFonts w:hint="eastAsia"/>
          <w:color w:val="auto"/>
          <w:highlight w:val="none"/>
        </w:rPr>
        <w:t>主要以鸟类为主，共</w:t>
      </w:r>
      <w:r>
        <w:rPr>
          <w:color w:val="auto"/>
          <w:highlight w:val="none"/>
        </w:rPr>
        <w:t>426</w:t>
      </w:r>
      <w:r>
        <w:rPr>
          <w:rFonts w:hint="eastAsia"/>
          <w:color w:val="auto"/>
          <w:highlight w:val="none"/>
        </w:rPr>
        <w:t>种，主要分布在胶州湾、唐岛湾等河口、海湾，产芝水库、姜山湿地等内陆湿地以及大泽山、崂山等山地区域；此外，有哺乳动物</w:t>
      </w:r>
      <w:r>
        <w:rPr>
          <w:color w:val="auto"/>
          <w:highlight w:val="none"/>
        </w:rPr>
        <w:t>2</w:t>
      </w:r>
      <w:r>
        <w:rPr>
          <w:rFonts w:hint="eastAsia"/>
          <w:color w:val="auto"/>
          <w:highlight w:val="none"/>
        </w:rPr>
        <w:t>2种，爬行动物</w:t>
      </w:r>
      <w:r>
        <w:rPr>
          <w:color w:val="auto"/>
          <w:highlight w:val="none"/>
        </w:rPr>
        <w:t>1</w:t>
      </w:r>
      <w:r>
        <w:rPr>
          <w:rFonts w:hint="eastAsia"/>
          <w:color w:val="auto"/>
          <w:highlight w:val="none"/>
        </w:rPr>
        <w:t>9种，两栖动物</w:t>
      </w:r>
      <w:r>
        <w:rPr>
          <w:color w:val="auto"/>
          <w:highlight w:val="none"/>
        </w:rPr>
        <w:t>7</w:t>
      </w:r>
      <w:r>
        <w:rPr>
          <w:rFonts w:hint="eastAsia"/>
          <w:color w:val="auto"/>
          <w:highlight w:val="none"/>
        </w:rPr>
        <w:t>种。陆生脊椎动物中，</w:t>
      </w:r>
      <w:r>
        <w:rPr>
          <w:color w:val="auto"/>
          <w:highlight w:val="none"/>
        </w:rPr>
        <w:t>国家</w:t>
      </w:r>
      <w:r>
        <w:rPr>
          <w:rFonts w:hint="eastAsia" w:ascii="宋体" w:hAnsi="宋体" w:cs="宋体"/>
          <w:color w:val="auto"/>
          <w:highlight w:val="none"/>
        </w:rPr>
        <w:t>Ⅰ</w:t>
      </w:r>
      <w:r>
        <w:rPr>
          <w:color w:val="auto"/>
          <w:highlight w:val="none"/>
        </w:rPr>
        <w:t>级重点保护</w:t>
      </w:r>
      <w:r>
        <w:rPr>
          <w:rFonts w:hint="eastAsia"/>
          <w:color w:val="auto"/>
          <w:highlight w:val="none"/>
        </w:rPr>
        <w:t>野生</w:t>
      </w:r>
      <w:r>
        <w:rPr>
          <w:color w:val="auto"/>
          <w:highlight w:val="none"/>
        </w:rPr>
        <w:t>动物有22种，均为鸟纲</w:t>
      </w:r>
      <w:r>
        <w:rPr>
          <w:rFonts w:hint="eastAsia"/>
          <w:color w:val="auto"/>
          <w:highlight w:val="none"/>
        </w:rPr>
        <w:t>，包括东方白鹳、黑鹳、黑脸琵鹭、黄嘴白鹭、卷羽鹈鹕、秃鹫、乌雕、草原雕、白肩雕、金雕、白尾海雕、白鹤、丹顶鹤、白头鹤、勺嘴鹬、小青脚鹬、黑嘴鸥、遗鸥、中华凤头燕鸥、</w:t>
      </w:r>
      <w:r>
        <w:rPr>
          <w:rFonts w:hint="eastAsia" w:ascii="仿宋_GB2312" w:hAnsi="仿宋_GB2312" w:cs="仿宋_GB2312"/>
          <w:color w:val="auto"/>
          <w:highlight w:val="none"/>
        </w:rPr>
        <w:t>黄胸鹀</w:t>
      </w:r>
      <w:r>
        <w:rPr>
          <w:rFonts w:hint="eastAsia"/>
          <w:color w:val="auto"/>
          <w:highlight w:val="none"/>
        </w:rPr>
        <w:t>、青头潜鸭、中华秋沙鸭</w:t>
      </w:r>
      <w:r>
        <w:rPr>
          <w:color w:val="auto"/>
          <w:highlight w:val="none"/>
        </w:rPr>
        <w:t>；国家</w:t>
      </w:r>
      <w:r>
        <w:rPr>
          <w:rFonts w:hint="eastAsia" w:ascii="宋体" w:hAnsi="宋体" w:cs="宋体"/>
          <w:color w:val="auto"/>
          <w:highlight w:val="none"/>
        </w:rPr>
        <w:t>Ⅱ</w:t>
      </w:r>
      <w:r>
        <w:rPr>
          <w:color w:val="auto"/>
          <w:highlight w:val="none"/>
        </w:rPr>
        <w:t>级重点保护野生动物有77种，</w:t>
      </w:r>
      <w:r>
        <w:rPr>
          <w:rFonts w:hint="eastAsia"/>
          <w:color w:val="auto"/>
          <w:highlight w:val="none"/>
        </w:rPr>
        <w:t>其中，鸟纲7</w:t>
      </w:r>
      <w:r>
        <w:rPr>
          <w:color w:val="auto"/>
          <w:highlight w:val="none"/>
        </w:rPr>
        <w:t>3</w:t>
      </w:r>
      <w:r>
        <w:rPr>
          <w:rFonts w:hint="eastAsia"/>
          <w:color w:val="auto"/>
          <w:highlight w:val="none"/>
        </w:rPr>
        <w:t>种、哺乳纲</w:t>
      </w:r>
      <w:r>
        <w:rPr>
          <w:color w:val="auto"/>
          <w:highlight w:val="none"/>
        </w:rPr>
        <w:t>3</w:t>
      </w:r>
      <w:r>
        <w:rPr>
          <w:rFonts w:hint="eastAsia"/>
          <w:color w:val="auto"/>
          <w:highlight w:val="none"/>
        </w:rPr>
        <w:t>种、爬行纲1种（见表1）。</w:t>
      </w:r>
    </w:p>
    <w:p>
      <w:pPr>
        <w:adjustRightInd w:val="0"/>
        <w:snapToGrid w:val="0"/>
        <w:ind w:firstLine="0" w:firstLineChars="0"/>
        <w:jc w:val="center"/>
        <w:rPr>
          <w:b/>
          <w:color w:val="auto"/>
          <w:sz w:val="24"/>
          <w:highlight w:val="none"/>
        </w:rPr>
      </w:pPr>
      <w:r>
        <w:rPr>
          <w:rFonts w:hint="eastAsia"/>
          <w:b/>
          <w:color w:val="auto"/>
          <w:sz w:val="24"/>
          <w:highlight w:val="none"/>
        </w:rPr>
        <w:t>表1</w:t>
      </w:r>
      <w:r>
        <w:rPr>
          <w:b/>
          <w:color w:val="auto"/>
          <w:sz w:val="24"/>
          <w:highlight w:val="none"/>
        </w:rPr>
        <w:t xml:space="preserve"> </w:t>
      </w:r>
      <w:r>
        <w:rPr>
          <w:rFonts w:hint="eastAsia"/>
          <w:b/>
          <w:color w:val="auto"/>
          <w:sz w:val="24"/>
          <w:highlight w:val="none"/>
        </w:rPr>
        <w:t>国家II级重点保护野生动物</w:t>
      </w:r>
    </w:p>
    <w:tbl>
      <w:tblPr>
        <w:tblStyle w:val="38"/>
        <w:tblW w:w="8642" w:type="dxa"/>
        <w:tblInd w:w="0" w:type="dxa"/>
        <w:tblLayout w:type="autofit"/>
        <w:tblCellMar>
          <w:top w:w="0" w:type="dxa"/>
          <w:left w:w="108" w:type="dxa"/>
          <w:bottom w:w="0" w:type="dxa"/>
          <w:right w:w="108" w:type="dxa"/>
        </w:tblCellMar>
      </w:tblPr>
      <w:tblGrid>
        <w:gridCol w:w="846"/>
        <w:gridCol w:w="2977"/>
        <w:gridCol w:w="1701"/>
        <w:gridCol w:w="1701"/>
        <w:gridCol w:w="1417"/>
      </w:tblGrid>
      <w:tr>
        <w:tblPrEx>
          <w:tblCellMar>
            <w:top w:w="0" w:type="dxa"/>
            <w:left w:w="108" w:type="dxa"/>
            <w:bottom w:w="0" w:type="dxa"/>
            <w:right w:w="108" w:type="dxa"/>
          </w:tblCellMar>
        </w:tblPrEx>
        <w:trPr>
          <w:trHeight w:val="20" w:hRule="atLeast"/>
          <w:tblHead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ind w:firstLine="0" w:firstLineChars="0"/>
              <w:jc w:val="center"/>
              <w:rPr>
                <w:rFonts w:ascii="仿宋_GB2312"/>
                <w:b/>
                <w:color w:val="auto"/>
                <w:sz w:val="22"/>
                <w:szCs w:val="22"/>
                <w:highlight w:val="none"/>
              </w:rPr>
            </w:pPr>
            <w:r>
              <w:rPr>
                <w:rFonts w:hint="eastAsia" w:ascii="仿宋_GB2312"/>
                <w:b/>
                <w:color w:val="auto"/>
                <w:sz w:val="22"/>
                <w:szCs w:val="22"/>
                <w:highlight w:val="none"/>
              </w:rPr>
              <w:t>序号</w:t>
            </w:r>
          </w:p>
        </w:tc>
        <w:tc>
          <w:tcPr>
            <w:tcW w:w="297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ind w:firstLine="0" w:firstLineChars="0"/>
              <w:jc w:val="center"/>
              <w:rPr>
                <w:b/>
                <w:color w:val="auto"/>
                <w:sz w:val="22"/>
                <w:szCs w:val="22"/>
                <w:highlight w:val="none"/>
              </w:rPr>
            </w:pPr>
            <w:r>
              <w:rPr>
                <w:b/>
                <w:color w:val="auto"/>
                <w:sz w:val="22"/>
                <w:szCs w:val="22"/>
                <w:highlight w:val="none"/>
              </w:rPr>
              <w:t>学名</w:t>
            </w:r>
          </w:p>
        </w:tc>
        <w:tc>
          <w:tcPr>
            <w:tcW w:w="17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ind w:firstLine="0" w:firstLineChars="0"/>
              <w:jc w:val="center"/>
              <w:rPr>
                <w:b/>
                <w:color w:val="auto"/>
                <w:sz w:val="22"/>
                <w:szCs w:val="22"/>
                <w:highlight w:val="none"/>
              </w:rPr>
            </w:pPr>
            <w:r>
              <w:rPr>
                <w:b/>
                <w:color w:val="auto"/>
                <w:sz w:val="22"/>
                <w:szCs w:val="22"/>
                <w:highlight w:val="none"/>
              </w:rPr>
              <w:t>中文名</w:t>
            </w:r>
          </w:p>
        </w:tc>
        <w:tc>
          <w:tcPr>
            <w:tcW w:w="1701"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ind w:firstLine="0" w:firstLineChars="0"/>
              <w:jc w:val="center"/>
              <w:rPr>
                <w:b/>
                <w:color w:val="auto"/>
                <w:sz w:val="22"/>
                <w:szCs w:val="22"/>
                <w:highlight w:val="none"/>
              </w:rPr>
            </w:pPr>
            <w:r>
              <w:rPr>
                <w:b/>
                <w:color w:val="auto"/>
                <w:sz w:val="22"/>
                <w:szCs w:val="22"/>
                <w:highlight w:val="none"/>
              </w:rPr>
              <w:t>保护级别</w:t>
            </w:r>
          </w:p>
        </w:tc>
        <w:tc>
          <w:tcPr>
            <w:tcW w:w="1417" w:type="dxa"/>
            <w:tcBorders>
              <w:top w:val="single" w:color="auto" w:sz="4" w:space="0"/>
              <w:left w:val="nil"/>
              <w:bottom w:val="single" w:color="auto" w:sz="4" w:space="0"/>
              <w:right w:val="single" w:color="auto" w:sz="4" w:space="0"/>
            </w:tcBorders>
            <w:shd w:val="clear" w:color="auto" w:fill="auto"/>
            <w:vAlign w:val="center"/>
          </w:tcPr>
          <w:p>
            <w:pPr>
              <w:adjustRightInd w:val="0"/>
              <w:snapToGrid w:val="0"/>
              <w:ind w:firstLine="0" w:firstLineChars="0"/>
              <w:jc w:val="center"/>
              <w:rPr>
                <w:b/>
                <w:color w:val="auto"/>
                <w:sz w:val="22"/>
                <w:szCs w:val="22"/>
                <w:highlight w:val="none"/>
              </w:rPr>
            </w:pPr>
            <w:r>
              <w:rPr>
                <w:b/>
                <w:color w:val="auto"/>
                <w:sz w:val="22"/>
                <w:szCs w:val="22"/>
                <w:highlight w:val="none"/>
              </w:rPr>
              <w:t>IUCN红色名录等级</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Anser cygnoides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鸿雁</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VU</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Anser albifrons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白额雁</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Anser erythropus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小白额雁</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VU</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Cygnus olor</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疣鼻天鹅</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Cygnus columbianus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小天鹅</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Cygnus cygnus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大天鹅</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7</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Aix galericulata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鸳鸯</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8</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Nettapus coromandelianus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棉凫</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9</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 xml:space="preserve">Sibirionetta formosa </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花脸鸭</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10</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Mergellus albellus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白秋沙鸭</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11</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Podiceps auritus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角</w:t>
            </w:r>
            <w:r>
              <w:rPr>
                <w:rFonts w:hint="eastAsia" w:ascii="微软雅黑" w:hAnsi="微软雅黑" w:eastAsia="微软雅黑" w:cs="微软雅黑"/>
                <w:color w:val="auto"/>
                <w:kern w:val="0"/>
                <w:sz w:val="22"/>
                <w:szCs w:val="22"/>
                <w:highlight w:val="none"/>
              </w:rPr>
              <w:t>䴙䴘</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VU</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12</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Podiceps nigricollis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黑颈</w:t>
            </w:r>
            <w:r>
              <w:rPr>
                <w:rFonts w:hint="eastAsia" w:ascii="微软雅黑" w:hAnsi="微软雅黑" w:eastAsia="微软雅黑" w:cs="微软雅黑"/>
                <w:color w:val="auto"/>
                <w:kern w:val="0"/>
                <w:sz w:val="22"/>
                <w:szCs w:val="22"/>
                <w:highlight w:val="none"/>
              </w:rPr>
              <w:t>䴙䴘</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13</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Platalea leucorodia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白琵鹭</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14</w:t>
            </w:r>
          </w:p>
        </w:tc>
        <w:tc>
          <w:tcPr>
            <w:tcW w:w="2977" w:type="dxa"/>
            <w:tcBorders>
              <w:top w:val="nil"/>
              <w:left w:val="nil"/>
              <w:bottom w:val="nil"/>
              <w:right w:val="nil"/>
            </w:tcBorders>
            <w:shd w:val="clear" w:color="auto" w:fill="auto"/>
            <w:noWrap/>
            <w:vAlign w:val="bottom"/>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Gorsachius goisagi</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栗</w:t>
            </w:r>
            <w:r>
              <w:rPr>
                <w:rFonts w:hint="eastAsia" w:ascii="微软雅黑" w:hAnsi="微软雅黑" w:eastAsia="微软雅黑" w:cs="微软雅黑"/>
                <w:color w:val="auto"/>
                <w:kern w:val="0"/>
                <w:sz w:val="22"/>
                <w:szCs w:val="22"/>
                <w:highlight w:val="none"/>
              </w:rPr>
              <w:t>鳽</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EN</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15</w:t>
            </w:r>
          </w:p>
        </w:tc>
        <w:tc>
          <w:tcPr>
            <w:tcW w:w="2977" w:type="dxa"/>
            <w:tcBorders>
              <w:top w:val="single" w:color="auto" w:sz="4" w:space="0"/>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Gorsachius melanolophus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黑冠</w:t>
            </w:r>
            <w:r>
              <w:rPr>
                <w:rFonts w:hint="eastAsia" w:ascii="微软雅黑" w:hAnsi="微软雅黑" w:eastAsia="微软雅黑" w:cs="微软雅黑"/>
                <w:color w:val="auto"/>
                <w:kern w:val="0"/>
                <w:sz w:val="22"/>
                <w:szCs w:val="22"/>
                <w:highlight w:val="none"/>
              </w:rPr>
              <w:t>鳽</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16</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Fregata ariel</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白斑军舰鸟</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　</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17</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Phalacrocorax pelagicus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海鸬鹚</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18</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Pandion haliaetus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鹗</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19</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Elanus caeruleus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黑翅鸢</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20</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Pernis ptilorhynchus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凤头蜂鹰</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21</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Spilornis cheela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蛇雕</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22</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Circaetus gallicus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短趾雕</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23</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Hieraaetus pennatus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靴隼雕</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24</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Accipiter trivirgatus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凤头鹰</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25</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Accipiter soloensis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赤腹鹰</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26</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Accipiter gularis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日本松雀鹰</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27</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Accipiter virgatus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松雀鹰</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28</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Accipiter nisus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雀鹰</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29</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Accipiter gentilis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苍鹰</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30</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Circus spilonotus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白腹鹞</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31</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Circus cyaneus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白尾鹞</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32</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Circus melanoleucos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鹊鹞</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33</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Milvus migrans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黑鸢</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34</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Butastur indicus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灰脸</w:t>
            </w:r>
            <w:r>
              <w:rPr>
                <w:rFonts w:hint="eastAsia" w:ascii="微软雅黑" w:hAnsi="微软雅黑" w:eastAsia="微软雅黑" w:cs="微软雅黑"/>
                <w:color w:val="auto"/>
                <w:kern w:val="0"/>
                <w:sz w:val="22"/>
                <w:szCs w:val="22"/>
                <w:highlight w:val="none"/>
              </w:rPr>
              <w:t>鵟</w:t>
            </w:r>
            <w:r>
              <w:rPr>
                <w:rFonts w:hint="eastAsia" w:ascii="仿宋_GB2312" w:hAnsi="仿宋_GB2312" w:cs="仿宋_GB2312"/>
                <w:color w:val="auto"/>
                <w:kern w:val="0"/>
                <w:sz w:val="22"/>
                <w:szCs w:val="22"/>
                <w:highlight w:val="none"/>
              </w:rPr>
              <w:t>鹰</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35</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Buteo lagopus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毛脚</w:t>
            </w:r>
            <w:r>
              <w:rPr>
                <w:rFonts w:hint="eastAsia" w:ascii="微软雅黑" w:hAnsi="微软雅黑" w:eastAsia="微软雅黑" w:cs="微软雅黑"/>
                <w:color w:val="auto"/>
                <w:kern w:val="0"/>
                <w:sz w:val="22"/>
                <w:szCs w:val="22"/>
                <w:highlight w:val="none"/>
              </w:rPr>
              <w:t>鵟</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36</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Buteo hemilasius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大</w:t>
            </w:r>
            <w:r>
              <w:rPr>
                <w:rFonts w:hint="eastAsia" w:ascii="微软雅黑" w:hAnsi="微软雅黑" w:eastAsia="微软雅黑" w:cs="微软雅黑"/>
                <w:color w:val="auto"/>
                <w:kern w:val="0"/>
                <w:sz w:val="22"/>
                <w:szCs w:val="22"/>
                <w:highlight w:val="none"/>
              </w:rPr>
              <w:t>鵟</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37</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 xml:space="preserve">Buteo japonicus </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普通</w:t>
            </w:r>
            <w:r>
              <w:rPr>
                <w:rFonts w:hint="eastAsia" w:ascii="微软雅黑" w:hAnsi="微软雅黑" w:eastAsia="微软雅黑" w:cs="微软雅黑"/>
                <w:color w:val="auto"/>
                <w:kern w:val="0"/>
                <w:sz w:val="22"/>
                <w:szCs w:val="22"/>
                <w:highlight w:val="none"/>
              </w:rPr>
              <w:t>鵟</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38</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Porzana paykullii</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斑胁田鸡</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NT</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39</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Grus grus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灰鹤</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40</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Hydrophasianus chirurgus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水雉</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41</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Numenius minutus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小杓鹬</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42</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Numenius madagascariensis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大杓鹬</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EN</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43</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Numenius arquata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白腰杓鹬</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NT</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44</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Arenaria interpres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翻石鹬</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45</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Calidris tenuirostris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大滨鹬</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EN</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46</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 xml:space="preserve">Calidris falcinellus </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阔嘴鹬</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47</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Limnodromus semipalmatus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半蹼鹬</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NT</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48</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Hydrocoloeus minutus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小鸥</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49</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Centropus bengalensis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小鸦鹃</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50</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Tyto longimembris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草</w:t>
            </w:r>
            <w:r>
              <w:rPr>
                <w:rFonts w:hint="eastAsia" w:ascii="微软雅黑" w:hAnsi="微软雅黑" w:eastAsia="微软雅黑" w:cs="微软雅黑"/>
                <w:color w:val="auto"/>
                <w:kern w:val="0"/>
                <w:sz w:val="22"/>
                <w:szCs w:val="22"/>
                <w:highlight w:val="none"/>
              </w:rPr>
              <w:t>鸮</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51</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 xml:space="preserve">Otus semitorques </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北领角</w:t>
            </w:r>
            <w:r>
              <w:rPr>
                <w:rFonts w:hint="eastAsia" w:ascii="微软雅黑" w:hAnsi="微软雅黑" w:eastAsia="微软雅黑" w:cs="微软雅黑"/>
                <w:color w:val="auto"/>
                <w:kern w:val="0"/>
                <w:sz w:val="22"/>
                <w:szCs w:val="22"/>
                <w:highlight w:val="none"/>
              </w:rPr>
              <w:t>鸮</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52</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Otus sunia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红角</w:t>
            </w:r>
            <w:r>
              <w:rPr>
                <w:rFonts w:hint="eastAsia" w:ascii="微软雅黑" w:hAnsi="微软雅黑" w:eastAsia="微软雅黑" w:cs="微软雅黑"/>
                <w:color w:val="auto"/>
                <w:kern w:val="0"/>
                <w:sz w:val="22"/>
                <w:szCs w:val="22"/>
                <w:highlight w:val="none"/>
              </w:rPr>
              <w:t>鸮</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53</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Bubo bubo</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雕</w:t>
            </w:r>
            <w:r>
              <w:rPr>
                <w:rFonts w:hint="eastAsia" w:ascii="微软雅黑" w:hAnsi="微软雅黑" w:eastAsia="微软雅黑" w:cs="微软雅黑"/>
                <w:color w:val="auto"/>
                <w:kern w:val="0"/>
                <w:sz w:val="22"/>
                <w:szCs w:val="22"/>
                <w:highlight w:val="none"/>
              </w:rPr>
              <w:t>鸮</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54</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Athene noctua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纵纹腹小</w:t>
            </w:r>
            <w:r>
              <w:rPr>
                <w:rFonts w:hint="eastAsia" w:ascii="微软雅黑" w:hAnsi="微软雅黑" w:eastAsia="微软雅黑" w:cs="微软雅黑"/>
                <w:color w:val="auto"/>
                <w:kern w:val="0"/>
                <w:sz w:val="22"/>
                <w:szCs w:val="22"/>
                <w:highlight w:val="none"/>
              </w:rPr>
              <w:t>鸮</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55</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Ninox scutulata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北鹰</w:t>
            </w:r>
            <w:r>
              <w:rPr>
                <w:rFonts w:hint="eastAsia" w:ascii="微软雅黑" w:hAnsi="微软雅黑" w:eastAsia="微软雅黑" w:cs="微软雅黑"/>
                <w:color w:val="auto"/>
                <w:kern w:val="0"/>
                <w:sz w:val="22"/>
                <w:szCs w:val="22"/>
                <w:highlight w:val="none"/>
              </w:rPr>
              <w:t>鸮</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56</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Asio otus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长耳</w:t>
            </w:r>
            <w:r>
              <w:rPr>
                <w:rFonts w:hint="eastAsia" w:ascii="微软雅黑" w:hAnsi="微软雅黑" w:eastAsia="微软雅黑" w:cs="微软雅黑"/>
                <w:color w:val="auto"/>
                <w:kern w:val="0"/>
                <w:sz w:val="22"/>
                <w:szCs w:val="22"/>
                <w:highlight w:val="none"/>
              </w:rPr>
              <w:t>鸮</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57</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Asio flammeus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短耳</w:t>
            </w:r>
            <w:r>
              <w:rPr>
                <w:rFonts w:hint="eastAsia" w:ascii="微软雅黑" w:hAnsi="微软雅黑" w:eastAsia="微软雅黑" w:cs="微软雅黑"/>
                <w:color w:val="auto"/>
                <w:kern w:val="0"/>
                <w:sz w:val="22"/>
                <w:szCs w:val="22"/>
                <w:highlight w:val="none"/>
              </w:rPr>
              <w:t>鸮</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58</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Falco tinnunculus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红隼</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59</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Falco amurensis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红脚隼</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60</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Falco columbarius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灰背隼</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61</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Falco subbuteo</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燕隼</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62</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Falco peregrinus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游隼</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63</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Pitta nympha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仙八色鸫</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VU</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64</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Alauda arvensis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云雀</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65</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Melanocorypha mongolica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蒙古百灵</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66</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Paradoxornis heudei</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震旦鸦雀</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NT</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67</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Zosterops erythropleurus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红胁绣眼鸟</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68</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Luscinia svecica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蓝喉歌鸲</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69</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 xml:space="preserve">Calliope calliope </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红喉歌鸲</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70</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Carpodacus roseus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北朱雀</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71</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Loxia curvirostra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红交嘴雀</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hAnsi="Arial" w:cs="Arial"/>
                <w:color w:val="auto"/>
                <w:sz w:val="22"/>
                <w:szCs w:val="22"/>
                <w:highlight w:val="none"/>
              </w:rPr>
              <w:t>72</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Garrulax canorus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画眉</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hAnsi="Arial" w:cs="Arial"/>
                <w:color w:val="auto"/>
                <w:sz w:val="22"/>
                <w:szCs w:val="22"/>
                <w:highlight w:val="none"/>
              </w:rPr>
              <w:t>73</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Leiothrix lutea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红嘴相思鸟</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hAnsi="Arial" w:cs="Arial"/>
                <w:color w:val="auto"/>
                <w:sz w:val="22"/>
                <w:szCs w:val="22"/>
                <w:highlight w:val="none"/>
              </w:rPr>
              <w:t>74</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Prionailurus bengalensis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豹猫</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hAnsi="Arial" w:cs="Arial"/>
                <w:color w:val="auto"/>
                <w:sz w:val="22"/>
                <w:szCs w:val="22"/>
                <w:highlight w:val="none"/>
              </w:rPr>
              <w:t>75</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Nyctereutes procyonoides</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貉</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hAnsi="Arial" w:cs="Arial"/>
                <w:color w:val="auto"/>
                <w:sz w:val="22"/>
                <w:szCs w:val="22"/>
                <w:highlight w:val="none"/>
              </w:rPr>
              <w:t>76</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Macaca mulatta</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猕猴</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LC</w:t>
            </w:r>
          </w:p>
        </w:tc>
      </w:tr>
      <w:tr>
        <w:tblPrEx>
          <w:tblCellMar>
            <w:top w:w="0" w:type="dxa"/>
            <w:left w:w="108" w:type="dxa"/>
            <w:bottom w:w="0" w:type="dxa"/>
            <w:right w:w="108" w:type="dxa"/>
          </w:tblCellMar>
        </w:tblPrEx>
        <w:trPr>
          <w:trHeight w:val="20" w:hRule="atLeast"/>
        </w:trPr>
        <w:tc>
          <w:tcPr>
            <w:tcW w:w="846" w:type="dxa"/>
            <w:tcBorders>
              <w:top w:val="nil"/>
              <w:left w:val="single" w:color="auto" w:sz="4" w:space="0"/>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hAnsi="Arial" w:cs="Arial"/>
                <w:color w:val="auto"/>
                <w:sz w:val="22"/>
                <w:szCs w:val="22"/>
                <w:highlight w:val="none"/>
              </w:rPr>
              <w:t>77</w:t>
            </w:r>
          </w:p>
        </w:tc>
        <w:tc>
          <w:tcPr>
            <w:tcW w:w="2977" w:type="dxa"/>
            <w:tcBorders>
              <w:top w:val="nil"/>
              <w:left w:val="nil"/>
              <w:bottom w:val="single" w:color="auto" w:sz="4" w:space="0"/>
              <w:right w:val="single" w:color="auto" w:sz="4" w:space="0"/>
            </w:tcBorders>
            <w:shd w:val="clear" w:color="auto" w:fill="auto"/>
            <w:vAlign w:val="center"/>
          </w:tcPr>
          <w:p>
            <w:pPr>
              <w:widowControl/>
              <w:ind w:firstLine="0" w:firstLineChars="0"/>
              <w:jc w:val="left"/>
              <w:rPr>
                <w:rFonts w:eastAsia="等线"/>
                <w:i/>
                <w:iCs/>
                <w:color w:val="auto"/>
                <w:kern w:val="0"/>
                <w:sz w:val="22"/>
                <w:szCs w:val="22"/>
                <w:highlight w:val="none"/>
              </w:rPr>
            </w:pPr>
            <w:r>
              <w:rPr>
                <w:rFonts w:eastAsia="等线"/>
                <w:i/>
                <w:iCs/>
                <w:color w:val="auto"/>
                <w:kern w:val="0"/>
                <w:sz w:val="22"/>
                <w:szCs w:val="22"/>
                <w:highlight w:val="none"/>
              </w:rPr>
              <w:t>Elaphe davidi</w:t>
            </w:r>
          </w:p>
        </w:tc>
        <w:tc>
          <w:tcPr>
            <w:tcW w:w="1701"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ascii="仿宋_GB2312"/>
                <w:color w:val="auto"/>
                <w:kern w:val="0"/>
                <w:sz w:val="22"/>
                <w:szCs w:val="22"/>
                <w:highlight w:val="none"/>
              </w:rPr>
            </w:pPr>
            <w:r>
              <w:rPr>
                <w:rFonts w:hint="eastAsia" w:ascii="仿宋_GB2312"/>
                <w:color w:val="auto"/>
                <w:kern w:val="0"/>
                <w:sz w:val="22"/>
                <w:szCs w:val="22"/>
                <w:highlight w:val="none"/>
              </w:rPr>
              <w:t>团花锦蛇</w:t>
            </w:r>
          </w:p>
        </w:tc>
        <w:tc>
          <w:tcPr>
            <w:tcW w:w="1701" w:type="dxa"/>
            <w:tcBorders>
              <w:top w:val="nil"/>
              <w:left w:val="nil"/>
              <w:bottom w:val="single" w:color="auto" w:sz="4" w:space="0"/>
              <w:right w:val="single" w:color="auto" w:sz="4" w:space="0"/>
            </w:tcBorders>
            <w:shd w:val="clear" w:color="auto" w:fill="auto"/>
            <w:noWrap/>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Ⅱ</w:t>
            </w:r>
          </w:p>
        </w:tc>
        <w:tc>
          <w:tcPr>
            <w:tcW w:w="1417" w:type="dxa"/>
            <w:tcBorders>
              <w:top w:val="nil"/>
              <w:left w:val="nil"/>
              <w:bottom w:val="single" w:color="auto" w:sz="4" w:space="0"/>
              <w:right w:val="single" w:color="auto" w:sz="4" w:space="0"/>
            </w:tcBorders>
            <w:shd w:val="clear" w:color="auto" w:fill="auto"/>
            <w:vAlign w:val="center"/>
          </w:tcPr>
          <w:p>
            <w:pPr>
              <w:widowControl/>
              <w:ind w:firstLine="0" w:firstLineChars="0"/>
              <w:jc w:val="center"/>
              <w:rPr>
                <w:rFonts w:eastAsia="等线"/>
                <w:color w:val="auto"/>
                <w:kern w:val="0"/>
                <w:sz w:val="22"/>
                <w:szCs w:val="22"/>
                <w:highlight w:val="none"/>
              </w:rPr>
            </w:pPr>
            <w:r>
              <w:rPr>
                <w:rFonts w:eastAsia="等线"/>
                <w:color w:val="auto"/>
                <w:kern w:val="0"/>
                <w:sz w:val="22"/>
                <w:szCs w:val="22"/>
                <w:highlight w:val="none"/>
              </w:rPr>
              <w:t>VU</w:t>
            </w:r>
          </w:p>
        </w:tc>
      </w:tr>
    </w:tbl>
    <w:p>
      <w:pPr>
        <w:ind w:firstLine="632"/>
        <w:rPr>
          <w:color w:val="auto"/>
          <w:highlight w:val="none"/>
        </w:rPr>
      </w:pPr>
      <w:r>
        <w:rPr>
          <w:rFonts w:hint="eastAsia"/>
          <w:color w:val="auto"/>
          <w:highlight w:val="none"/>
        </w:rPr>
        <w:t>青岛市已知昆虫</w:t>
      </w:r>
      <w:r>
        <w:rPr>
          <w:color w:val="auto"/>
          <w:highlight w:val="none"/>
        </w:rPr>
        <w:t>1</w:t>
      </w:r>
      <w:r>
        <w:rPr>
          <w:rFonts w:hint="eastAsia"/>
          <w:color w:val="auto"/>
          <w:highlight w:val="none"/>
        </w:rPr>
        <w:t>5目1</w:t>
      </w:r>
      <w:r>
        <w:rPr>
          <w:color w:val="auto"/>
          <w:highlight w:val="none"/>
        </w:rPr>
        <w:t>58</w:t>
      </w:r>
      <w:r>
        <w:rPr>
          <w:rFonts w:hint="eastAsia"/>
          <w:color w:val="auto"/>
          <w:highlight w:val="none"/>
        </w:rPr>
        <w:t>科5</w:t>
      </w:r>
      <w:r>
        <w:rPr>
          <w:color w:val="auto"/>
          <w:highlight w:val="none"/>
        </w:rPr>
        <w:t>66</w:t>
      </w:r>
      <w:r>
        <w:rPr>
          <w:rFonts w:hint="eastAsia"/>
          <w:color w:val="auto"/>
          <w:highlight w:val="none"/>
        </w:rPr>
        <w:t>属</w:t>
      </w:r>
      <w:r>
        <w:rPr>
          <w:color w:val="auto"/>
          <w:highlight w:val="none"/>
        </w:rPr>
        <w:t>762</w:t>
      </w:r>
      <w:r>
        <w:rPr>
          <w:rFonts w:hint="eastAsia"/>
          <w:color w:val="auto"/>
          <w:highlight w:val="none"/>
        </w:rPr>
        <w:t>种。已知野生大型真菌3纲15目52科105属262种，主要分布在崂山、大泽山、小珠山、铁蕨山、大珠山等山地区域。</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2.海洋物种多样性</w:t>
      </w:r>
    </w:p>
    <w:p>
      <w:pPr>
        <w:ind w:firstLine="632"/>
        <w:rPr>
          <w:color w:val="auto"/>
          <w:highlight w:val="none"/>
        </w:rPr>
      </w:pPr>
      <w:r>
        <w:rPr>
          <w:rFonts w:hint="eastAsia"/>
          <w:color w:val="auto"/>
          <w:highlight w:val="none"/>
        </w:rPr>
        <w:t>近岸海域主要海湾浮游植物</w:t>
      </w:r>
      <w:r>
        <w:rPr>
          <w:color w:val="auto"/>
          <w:highlight w:val="none"/>
        </w:rPr>
        <w:t>183</w:t>
      </w:r>
      <w:r>
        <w:rPr>
          <w:rFonts w:hint="eastAsia"/>
          <w:color w:val="auto"/>
          <w:highlight w:val="none"/>
        </w:rPr>
        <w:t>种，其中，硅藻1</w:t>
      </w:r>
      <w:r>
        <w:rPr>
          <w:color w:val="auto"/>
          <w:highlight w:val="none"/>
        </w:rPr>
        <w:t>40</w:t>
      </w:r>
      <w:r>
        <w:rPr>
          <w:rFonts w:hint="eastAsia"/>
          <w:color w:val="auto"/>
          <w:highlight w:val="none"/>
        </w:rPr>
        <w:t>种、甲藻</w:t>
      </w:r>
      <w:r>
        <w:rPr>
          <w:color w:val="auto"/>
          <w:highlight w:val="none"/>
        </w:rPr>
        <w:t>41</w:t>
      </w:r>
      <w:r>
        <w:rPr>
          <w:rFonts w:hint="eastAsia"/>
          <w:color w:val="auto"/>
          <w:highlight w:val="none"/>
        </w:rPr>
        <w:t>种、蓝藻1种、金藻1种。近岸海域主要海湾浮游动物</w:t>
      </w:r>
      <w:r>
        <w:rPr>
          <w:color w:val="auto"/>
          <w:highlight w:val="none"/>
        </w:rPr>
        <w:t>199</w:t>
      </w:r>
      <w:r>
        <w:rPr>
          <w:rFonts w:hint="eastAsia"/>
          <w:color w:val="auto"/>
          <w:highlight w:val="none"/>
        </w:rPr>
        <w:t>种（不包括鱼卵仔鱼），其中，节肢动物</w:t>
      </w:r>
      <w:r>
        <w:rPr>
          <w:color w:val="auto"/>
          <w:highlight w:val="none"/>
        </w:rPr>
        <w:t>70</w:t>
      </w:r>
      <w:r>
        <w:rPr>
          <w:rFonts w:hint="eastAsia"/>
          <w:color w:val="auto"/>
          <w:highlight w:val="none"/>
        </w:rPr>
        <w:t>种、刺胞动物</w:t>
      </w:r>
      <w:r>
        <w:rPr>
          <w:color w:val="auto"/>
          <w:highlight w:val="none"/>
        </w:rPr>
        <w:t>55</w:t>
      </w:r>
      <w:r>
        <w:rPr>
          <w:rFonts w:hint="eastAsia"/>
          <w:color w:val="auto"/>
          <w:highlight w:val="none"/>
        </w:rPr>
        <w:t>种、脊索动物</w:t>
      </w:r>
      <w:r>
        <w:rPr>
          <w:color w:val="auto"/>
          <w:highlight w:val="none"/>
        </w:rPr>
        <w:t>3</w:t>
      </w:r>
      <w:r>
        <w:rPr>
          <w:rFonts w:hint="eastAsia"/>
          <w:color w:val="auto"/>
          <w:highlight w:val="none"/>
        </w:rPr>
        <w:t>种、毛颚动物</w:t>
      </w:r>
      <w:r>
        <w:rPr>
          <w:color w:val="auto"/>
          <w:highlight w:val="none"/>
        </w:rPr>
        <w:t>4</w:t>
      </w:r>
      <w:r>
        <w:rPr>
          <w:rFonts w:hint="eastAsia"/>
          <w:color w:val="auto"/>
          <w:highlight w:val="none"/>
        </w:rPr>
        <w:t>种、栉水母</w:t>
      </w:r>
      <w:r>
        <w:rPr>
          <w:color w:val="auto"/>
          <w:highlight w:val="none"/>
        </w:rPr>
        <w:t>3</w:t>
      </w:r>
      <w:r>
        <w:rPr>
          <w:rFonts w:hint="eastAsia"/>
          <w:color w:val="auto"/>
          <w:highlight w:val="none"/>
        </w:rPr>
        <w:t>种、原生动物1种、尾索动物1种、软体动物5种以及幼虫幼体</w:t>
      </w:r>
      <w:r>
        <w:rPr>
          <w:color w:val="auto"/>
          <w:highlight w:val="none"/>
        </w:rPr>
        <w:t>57</w:t>
      </w:r>
      <w:r>
        <w:rPr>
          <w:rFonts w:hint="eastAsia"/>
          <w:color w:val="auto"/>
          <w:highlight w:val="none"/>
        </w:rPr>
        <w:t>种。</w:t>
      </w:r>
    </w:p>
    <w:p>
      <w:pPr>
        <w:ind w:firstLine="632"/>
        <w:rPr>
          <w:color w:val="auto"/>
          <w:highlight w:val="none"/>
        </w:rPr>
      </w:pPr>
      <w:r>
        <w:rPr>
          <w:color w:val="auto"/>
          <w:highlight w:val="none"/>
        </w:rPr>
        <w:t>近岸海域</w:t>
      </w:r>
      <w:r>
        <w:rPr>
          <w:rFonts w:hint="eastAsia"/>
          <w:color w:val="auto"/>
          <w:highlight w:val="none"/>
        </w:rPr>
        <w:t>主要海湾</w:t>
      </w:r>
      <w:r>
        <w:rPr>
          <w:color w:val="auto"/>
          <w:highlight w:val="none"/>
        </w:rPr>
        <w:t>大型底栖生物351种，隶属于刺胞、扁形、纽形、环节、软体、节肢、腕足、棘皮、半索、</w:t>
      </w:r>
      <w:r>
        <w:rPr>
          <w:rFonts w:hint="eastAsia"/>
          <w:color w:val="auto"/>
          <w:highlight w:val="none"/>
        </w:rPr>
        <w:t>尾索、</w:t>
      </w:r>
      <w:r>
        <w:rPr>
          <w:color w:val="auto"/>
          <w:highlight w:val="none"/>
        </w:rPr>
        <w:t>脊索</w:t>
      </w:r>
      <w:r>
        <w:rPr>
          <w:rFonts w:hint="eastAsia" w:ascii="仿宋_GB2312" w:hAnsi="仿宋_GB2312" w:cs="仿宋_GB2312"/>
          <w:color w:val="auto"/>
          <w:highlight w:val="none"/>
        </w:rPr>
        <w:t>、螠虫</w:t>
      </w:r>
      <w:r>
        <w:rPr>
          <w:color w:val="auto"/>
          <w:highlight w:val="none"/>
        </w:rPr>
        <w:t>12个动物门。</w:t>
      </w:r>
      <w:r>
        <w:rPr>
          <w:rFonts w:hint="eastAsia"/>
          <w:color w:val="auto"/>
          <w:highlight w:val="none"/>
        </w:rPr>
        <w:t>其中，环节动物生物物种最多，共1</w:t>
      </w:r>
      <w:r>
        <w:rPr>
          <w:color w:val="auto"/>
          <w:highlight w:val="none"/>
        </w:rPr>
        <w:t>19</w:t>
      </w:r>
      <w:r>
        <w:rPr>
          <w:rFonts w:hint="eastAsia"/>
          <w:color w:val="auto"/>
          <w:highlight w:val="none"/>
        </w:rPr>
        <w:t>种；其次为节肢动物和软体动物，分别有</w:t>
      </w:r>
      <w:r>
        <w:rPr>
          <w:color w:val="auto"/>
          <w:highlight w:val="none"/>
        </w:rPr>
        <w:t>98</w:t>
      </w:r>
      <w:r>
        <w:rPr>
          <w:rFonts w:hint="eastAsia"/>
          <w:color w:val="auto"/>
          <w:highlight w:val="none"/>
        </w:rPr>
        <w:t>种和</w:t>
      </w:r>
      <w:r>
        <w:rPr>
          <w:color w:val="auto"/>
          <w:highlight w:val="none"/>
        </w:rPr>
        <w:t>73</w:t>
      </w:r>
      <w:r>
        <w:rPr>
          <w:rFonts w:hint="eastAsia"/>
          <w:color w:val="auto"/>
          <w:highlight w:val="none"/>
        </w:rPr>
        <w:t>种；其他门类生物物种相对较少，</w:t>
      </w:r>
      <w:r>
        <w:rPr>
          <w:color w:val="auto"/>
          <w:highlight w:val="none"/>
        </w:rPr>
        <w:t>棘皮动物 20种，脊索动物24种，</w:t>
      </w:r>
      <w:r>
        <w:rPr>
          <w:rFonts w:hint="eastAsia"/>
          <w:color w:val="auto"/>
          <w:highlight w:val="none"/>
        </w:rPr>
        <w:t>刺胞动物6种，尾索动物</w:t>
      </w:r>
      <w:r>
        <w:rPr>
          <w:color w:val="auto"/>
          <w:highlight w:val="none"/>
        </w:rPr>
        <w:t>4</w:t>
      </w:r>
      <w:r>
        <w:rPr>
          <w:rFonts w:hint="eastAsia"/>
          <w:color w:val="auto"/>
          <w:highlight w:val="none"/>
        </w:rPr>
        <w:t>种，扁形动物3种，</w:t>
      </w:r>
      <w:r>
        <w:rPr>
          <w:color w:val="auto"/>
          <w:highlight w:val="none"/>
        </w:rPr>
        <w:t>半索</w:t>
      </w:r>
      <w:r>
        <w:rPr>
          <w:rFonts w:hint="eastAsia"/>
          <w:color w:val="auto"/>
          <w:highlight w:val="none"/>
        </w:rPr>
        <w:t>、</w:t>
      </w:r>
      <w:r>
        <w:rPr>
          <w:rFonts w:hint="eastAsia" w:ascii="仿宋_GB2312" w:hAnsi="仿宋_GB2312" w:cs="仿宋_GB2312"/>
          <w:color w:val="auto"/>
          <w:highlight w:val="none"/>
        </w:rPr>
        <w:t>螠</w:t>
      </w:r>
      <w:r>
        <w:rPr>
          <w:rFonts w:hint="eastAsia"/>
          <w:color w:val="auto"/>
          <w:highlight w:val="none"/>
        </w:rPr>
        <w:t>虫和腕足</w:t>
      </w:r>
      <w:r>
        <w:rPr>
          <w:color w:val="auto"/>
          <w:highlight w:val="none"/>
        </w:rPr>
        <w:t>动物各1种。</w:t>
      </w:r>
    </w:p>
    <w:p>
      <w:pPr>
        <w:ind w:firstLine="632"/>
        <w:rPr>
          <w:color w:val="auto"/>
          <w:highlight w:val="none"/>
        </w:rPr>
      </w:pPr>
      <w:r>
        <w:rPr>
          <w:rFonts w:hint="eastAsia"/>
          <w:color w:val="auto"/>
          <w:highlight w:val="none"/>
        </w:rPr>
        <w:t>近岸海域主要海湾潮间带生物9</w:t>
      </w:r>
      <w:r>
        <w:rPr>
          <w:color w:val="auto"/>
          <w:highlight w:val="none"/>
        </w:rPr>
        <w:t>1</w:t>
      </w:r>
      <w:r>
        <w:rPr>
          <w:rFonts w:hint="eastAsia"/>
          <w:color w:val="auto"/>
          <w:highlight w:val="none"/>
        </w:rPr>
        <w:t>种，包括软体动物3</w:t>
      </w:r>
      <w:r>
        <w:rPr>
          <w:color w:val="auto"/>
          <w:highlight w:val="none"/>
        </w:rPr>
        <w:t>7</w:t>
      </w:r>
      <w:r>
        <w:rPr>
          <w:rFonts w:hint="eastAsia"/>
          <w:color w:val="auto"/>
          <w:highlight w:val="none"/>
        </w:rPr>
        <w:t>种、节肢动物2</w:t>
      </w:r>
      <w:r>
        <w:rPr>
          <w:color w:val="auto"/>
          <w:highlight w:val="none"/>
        </w:rPr>
        <w:t>9</w:t>
      </w:r>
      <w:r>
        <w:rPr>
          <w:rFonts w:hint="eastAsia"/>
          <w:color w:val="auto"/>
          <w:highlight w:val="none"/>
        </w:rPr>
        <w:t>种、环节动物1</w:t>
      </w:r>
      <w:r>
        <w:rPr>
          <w:color w:val="auto"/>
          <w:highlight w:val="none"/>
        </w:rPr>
        <w:t>6</w:t>
      </w:r>
      <w:r>
        <w:rPr>
          <w:rFonts w:hint="eastAsia"/>
          <w:color w:val="auto"/>
          <w:highlight w:val="none"/>
        </w:rPr>
        <w:t>种、脊索动物4种、刺胞动物2种、鱼类2种、半索动物1种。</w:t>
      </w:r>
    </w:p>
    <w:p>
      <w:pPr>
        <w:ind w:firstLine="632"/>
        <w:rPr>
          <w:color w:val="auto"/>
          <w:highlight w:val="none"/>
        </w:rPr>
      </w:pPr>
      <w:r>
        <w:rPr>
          <w:color w:val="auto"/>
          <w:highlight w:val="none"/>
        </w:rPr>
        <w:t>近岸海域</w:t>
      </w:r>
      <w:r>
        <w:rPr>
          <w:rFonts w:hint="eastAsia"/>
          <w:color w:val="auto"/>
          <w:highlight w:val="none"/>
        </w:rPr>
        <w:t>主要海湾游泳动物</w:t>
      </w:r>
      <w:r>
        <w:rPr>
          <w:color w:val="auto"/>
          <w:highlight w:val="none"/>
        </w:rPr>
        <w:t>83种，其中</w:t>
      </w:r>
      <w:r>
        <w:rPr>
          <w:rFonts w:hint="eastAsia"/>
          <w:color w:val="auto"/>
          <w:highlight w:val="none"/>
        </w:rPr>
        <w:t>，</w:t>
      </w:r>
      <w:r>
        <w:rPr>
          <w:color w:val="auto"/>
          <w:highlight w:val="none"/>
        </w:rPr>
        <w:t>鱼类61种，占总种类数的73.49%；甲壳类15种，占18.07%；头足类7种，占8.43%。渔业资源结构以鱼类和甲壳类为主，头足类所占比例较少。</w:t>
      </w:r>
      <w:r>
        <w:rPr>
          <w:rFonts w:hint="eastAsia"/>
          <w:color w:val="auto"/>
          <w:highlight w:val="none"/>
        </w:rPr>
        <w:t>此外，有鱼卵鱼仔1</w:t>
      </w:r>
      <w:r>
        <w:rPr>
          <w:color w:val="auto"/>
          <w:highlight w:val="none"/>
        </w:rPr>
        <w:t>8</w:t>
      </w:r>
      <w:r>
        <w:rPr>
          <w:rFonts w:hint="eastAsia"/>
          <w:color w:val="auto"/>
          <w:highlight w:val="none"/>
        </w:rPr>
        <w:t>种。</w:t>
      </w:r>
    </w:p>
    <w:p>
      <w:pPr>
        <w:ind w:firstLine="632"/>
        <w:rPr>
          <w:color w:val="auto"/>
          <w:highlight w:val="none"/>
        </w:rPr>
      </w:pPr>
      <w:r>
        <w:rPr>
          <w:rFonts w:hint="eastAsia"/>
          <w:color w:val="auto"/>
          <w:highlight w:val="none"/>
        </w:rPr>
        <w:t>近岸海域哺乳动物</w:t>
      </w:r>
      <w:r>
        <w:rPr>
          <w:color w:val="auto"/>
          <w:highlight w:val="none"/>
        </w:rPr>
        <w:t>6</w:t>
      </w:r>
      <w:r>
        <w:rPr>
          <w:rFonts w:hint="eastAsia"/>
          <w:color w:val="auto"/>
          <w:highlight w:val="none"/>
        </w:rPr>
        <w:t>种，其中鲸类</w:t>
      </w:r>
      <w:r>
        <w:rPr>
          <w:color w:val="auto"/>
          <w:highlight w:val="none"/>
        </w:rPr>
        <w:t>3</w:t>
      </w:r>
      <w:r>
        <w:rPr>
          <w:rFonts w:hint="eastAsia"/>
          <w:color w:val="auto"/>
          <w:highlight w:val="none"/>
        </w:rPr>
        <w:t>种、江豚类</w:t>
      </w:r>
      <w:r>
        <w:rPr>
          <w:color w:val="auto"/>
          <w:highlight w:val="none"/>
        </w:rPr>
        <w:t>1</w:t>
      </w:r>
      <w:r>
        <w:rPr>
          <w:rFonts w:hint="eastAsia"/>
          <w:color w:val="auto"/>
          <w:highlight w:val="none"/>
        </w:rPr>
        <w:t>种、海狮和海豹各1种，均为国家重点保护动物。</w:t>
      </w:r>
    </w:p>
    <w:p>
      <w:pPr>
        <w:pStyle w:val="5"/>
        <w:ind w:firstLine="632"/>
        <w:rPr>
          <w:rFonts w:ascii="楷体_GB2312" w:hAnsi="楷体_GB2312" w:eastAsia="楷体_GB2312" w:cs="楷体_GB2312"/>
          <w:b w:val="0"/>
          <w:bCs w:val="0"/>
          <w:color w:val="auto"/>
          <w:highlight w:val="none"/>
        </w:rPr>
      </w:pPr>
      <w:bookmarkStart w:id="4" w:name="_Toc163376217"/>
      <w:r>
        <w:rPr>
          <w:rFonts w:hint="eastAsia" w:ascii="楷体_GB2312" w:hAnsi="楷体_GB2312" w:eastAsia="楷体_GB2312" w:cs="楷体_GB2312"/>
          <w:b w:val="0"/>
          <w:bCs w:val="0"/>
          <w:color w:val="auto"/>
          <w:highlight w:val="none"/>
        </w:rPr>
        <w:t>（三）遗传多样性</w:t>
      </w:r>
      <w:bookmarkEnd w:id="4"/>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1.陆地生物遗传多样性</w:t>
      </w:r>
    </w:p>
    <w:p>
      <w:pPr>
        <w:ind w:firstLine="632"/>
        <w:rPr>
          <w:color w:val="auto"/>
          <w:highlight w:val="none"/>
        </w:rPr>
      </w:pPr>
      <w:r>
        <w:rPr>
          <w:rFonts w:hint="eastAsia"/>
          <w:color w:val="auto"/>
          <w:highlight w:val="none"/>
        </w:rPr>
        <w:t>青岛市陆地生物遗传多样性丰富，有关学者</w:t>
      </w:r>
      <w:r>
        <w:rPr>
          <w:color w:val="auto"/>
          <w:highlight w:val="none"/>
        </w:rPr>
        <w:t>运用SRAP、SSR、RAPD等分子生物学技术，</w:t>
      </w:r>
      <w:r>
        <w:rPr>
          <w:rFonts w:hint="eastAsia"/>
          <w:color w:val="auto"/>
          <w:highlight w:val="none"/>
        </w:rPr>
        <w:t>分析了</w:t>
      </w:r>
      <w:r>
        <w:rPr>
          <w:color w:val="auto"/>
          <w:highlight w:val="none"/>
        </w:rPr>
        <w:t>青岛市优势树种、经济</w:t>
      </w:r>
      <w:r>
        <w:rPr>
          <w:rFonts w:hint="eastAsia"/>
          <w:color w:val="auto"/>
          <w:highlight w:val="none"/>
        </w:rPr>
        <w:t>树种</w:t>
      </w:r>
      <w:r>
        <w:rPr>
          <w:color w:val="auto"/>
          <w:highlight w:val="none"/>
        </w:rPr>
        <w:t>、特有物种的遗传多样性，</w:t>
      </w:r>
      <w:r>
        <w:rPr>
          <w:rFonts w:hint="eastAsia"/>
          <w:color w:val="auto"/>
          <w:highlight w:val="none"/>
        </w:rPr>
        <w:t>结果表明，刺槐、黑松、山茶、青岛百合、</w:t>
      </w:r>
      <w:r>
        <w:rPr>
          <w:color w:val="auto"/>
          <w:highlight w:val="none"/>
        </w:rPr>
        <w:t>豆梨、杜梨、沙梨、茶树</w:t>
      </w:r>
      <w:r>
        <w:rPr>
          <w:rFonts w:hint="eastAsia"/>
          <w:color w:val="auto"/>
          <w:highlight w:val="none"/>
        </w:rPr>
        <w:t>等植物具有较丰富的遗传多样性，为选育、繁殖新品种提供了基础材料。此外，青岛市林木种质资源丰富，建有崂山省级林木种质资源原地保存库、即墨区青岛市榉树省级林木种质资源库2处省级种质资源库，以及崂山珍稀濒危树种资源原地保存库、即墨乌桕种质资源原地保存库、平度大泽山林场良种种质资源原地保存库、莱西大青山刺槐种质资源原地保存库4处市级林木种质资源库。</w:t>
      </w:r>
    </w:p>
    <w:p>
      <w:pPr>
        <w:ind w:firstLine="632"/>
        <w:rPr>
          <w:color w:val="auto"/>
          <w:highlight w:val="none"/>
        </w:rPr>
      </w:pPr>
      <w:r>
        <w:rPr>
          <w:rFonts w:hint="eastAsia"/>
          <w:color w:val="auto"/>
          <w:highlight w:val="none"/>
        </w:rPr>
        <w:t>青岛市农作物地方品种、重要作物的野生近缘植物等遗传资源丰富，被国家作物种质资源库纳入2</w:t>
      </w:r>
      <w:r>
        <w:rPr>
          <w:color w:val="auto"/>
          <w:highlight w:val="none"/>
        </w:rPr>
        <w:t>9</w:t>
      </w:r>
      <w:r>
        <w:rPr>
          <w:rFonts w:hint="eastAsia"/>
          <w:color w:val="auto"/>
          <w:highlight w:val="none"/>
        </w:rPr>
        <w:t>5份。农作物品种多样，</w:t>
      </w:r>
      <w:r>
        <w:rPr>
          <w:rFonts w:ascii="Helvetica" w:hAnsi="Helvetica" w:cs="Helvetica"/>
          <w:color w:val="auto"/>
          <w:highlight w:val="none"/>
          <w:shd w:val="clear" w:color="auto" w:fill="FFFFFF"/>
        </w:rPr>
        <w:t>全市通过省级以上审定的小麦</w:t>
      </w:r>
      <w:r>
        <w:rPr>
          <w:rFonts w:hint="eastAsia" w:ascii="Helvetica" w:hAnsi="Helvetica" w:cs="Helvetica"/>
          <w:color w:val="auto"/>
          <w:highlight w:val="none"/>
          <w:shd w:val="clear" w:color="auto" w:fill="FFFFFF"/>
        </w:rPr>
        <w:t>、</w:t>
      </w:r>
      <w:r>
        <w:rPr>
          <w:rFonts w:hint="eastAsia"/>
          <w:color w:val="auto"/>
          <w:highlight w:val="none"/>
        </w:rPr>
        <w:t>玉米等主要农作物品种45个，登记花生、蔬菜等非主要农作物新品种1355个，全市良种覆盖率达</w:t>
      </w:r>
      <w:r>
        <w:rPr>
          <w:color w:val="auto"/>
          <w:highlight w:val="none"/>
        </w:rPr>
        <w:t>99%</w:t>
      </w:r>
      <w:r>
        <w:rPr>
          <w:rFonts w:hint="eastAsia"/>
          <w:color w:val="auto"/>
          <w:highlight w:val="none"/>
        </w:rPr>
        <w:t>。其中，3个花生品种、4个大白菜品种入选《国家农作物优良品种推广目录（2023年）》。此外，全市</w:t>
      </w:r>
      <w:r>
        <w:rPr>
          <w:color w:val="auto"/>
          <w:highlight w:val="none"/>
        </w:rPr>
        <w:t>有</w:t>
      </w:r>
      <w:r>
        <w:rPr>
          <w:rFonts w:hint="eastAsia"/>
          <w:color w:val="auto"/>
          <w:highlight w:val="none"/>
        </w:rPr>
        <w:t>特色畜禽遗传资源8个，</w:t>
      </w:r>
      <w:r>
        <w:rPr>
          <w:color w:val="auto"/>
          <w:highlight w:val="none"/>
        </w:rPr>
        <w:t>为里岔黑猪、崂山奶山羊、琅琊鸡、五龙鹅</w:t>
      </w:r>
      <w:r>
        <w:rPr>
          <w:rFonts w:hint="eastAsia"/>
          <w:color w:val="auto"/>
          <w:highlight w:val="none"/>
        </w:rPr>
        <w:t>、康大肉兔配套系（Ⅰ、Ⅱ、Ⅲ号）、中华蜜蜂</w:t>
      </w:r>
      <w:r>
        <w:rPr>
          <w:color w:val="auto"/>
          <w:highlight w:val="none"/>
        </w:rPr>
        <w:t>，</w:t>
      </w:r>
      <w:r>
        <w:rPr>
          <w:rFonts w:hint="eastAsia"/>
          <w:color w:val="auto"/>
          <w:highlight w:val="none"/>
        </w:rPr>
        <w:t>均列入《国家畜禽遗传资源品种名录》，</w:t>
      </w:r>
      <w:r>
        <w:rPr>
          <w:color w:val="auto"/>
          <w:highlight w:val="none"/>
        </w:rPr>
        <w:t>其中</w:t>
      </w:r>
      <w:r>
        <w:rPr>
          <w:rFonts w:hint="eastAsia"/>
          <w:color w:val="auto"/>
          <w:highlight w:val="none"/>
        </w:rPr>
        <w:t>，</w:t>
      </w:r>
      <w:r>
        <w:rPr>
          <w:color w:val="auto"/>
          <w:highlight w:val="none"/>
        </w:rPr>
        <w:t>里岔黑猪、琅琊鸡、五龙鹅</w:t>
      </w:r>
      <w:r>
        <w:rPr>
          <w:rFonts w:hint="eastAsia"/>
          <w:color w:val="auto"/>
          <w:highlight w:val="none"/>
        </w:rPr>
        <w:t>属于地方品种，同时</w:t>
      </w:r>
      <w:r>
        <w:rPr>
          <w:color w:val="auto"/>
          <w:highlight w:val="none"/>
        </w:rPr>
        <w:t>列入</w:t>
      </w:r>
      <w:r>
        <w:rPr>
          <w:rFonts w:hint="eastAsia"/>
          <w:color w:val="auto"/>
          <w:highlight w:val="none"/>
        </w:rPr>
        <w:t>《山东省畜禽遗传资源保护名录》。</w:t>
      </w:r>
    </w:p>
    <w:p>
      <w:pPr>
        <w:pStyle w:val="6"/>
        <w:ind w:firstLine="632"/>
        <w:rPr>
          <w:color w:val="auto"/>
          <w:highlight w:val="none"/>
        </w:rPr>
      </w:pPr>
      <w:r>
        <w:rPr>
          <w:rFonts w:hint="eastAsia" w:ascii="楷体_GB2312" w:hAnsi="楷体_GB2312" w:eastAsia="楷体_GB2312" w:cs="楷体_GB2312"/>
          <w:b w:val="0"/>
          <w:bCs w:val="0"/>
          <w:color w:val="auto"/>
          <w:highlight w:val="none"/>
        </w:rPr>
        <w:t>2.海洋生物遗传多样性</w:t>
      </w:r>
    </w:p>
    <w:p>
      <w:pPr>
        <w:ind w:firstLine="632"/>
        <w:rPr>
          <w:color w:val="auto"/>
          <w:highlight w:val="none"/>
        </w:rPr>
      </w:pPr>
      <w:r>
        <w:rPr>
          <w:color w:val="auto"/>
          <w:highlight w:val="none"/>
        </w:rPr>
        <w:t>运用RAPD、SSR、AFLP等分子生物学技术，开展了浮游植物、浮游动物、底栖动物、游泳动物的遗传多样性研究，取得了大量重要的研究成果。</w:t>
      </w:r>
      <w:r>
        <w:rPr>
          <w:rFonts w:hint="eastAsia"/>
          <w:color w:val="auto"/>
          <w:highlight w:val="none"/>
        </w:rPr>
        <w:t>研究表明，青岛近岸海域龙须菜、裙带菜、大叶藻、条斑紫菜、石花菜、鼠尾藻、长蛸、长竹蛏、栉孔扇贝、四角蛤蜊、小黄鱼、文昌鱼等物种遗传多样性较高，而路氏双髻鲨等珍稀濒危物种遗传多样性较低，其资源保护应引起足够的重视。</w:t>
      </w:r>
    </w:p>
    <w:p>
      <w:pPr>
        <w:ind w:firstLine="632"/>
        <w:rPr>
          <w:color w:val="auto"/>
          <w:highlight w:val="none"/>
        </w:rPr>
      </w:pPr>
      <w:r>
        <w:rPr>
          <w:rFonts w:hint="eastAsia"/>
          <w:color w:val="auto"/>
          <w:highlight w:val="none"/>
        </w:rPr>
        <w:t>建有国家海洋渔业生物种质资源库，包括海洋渔业生物基因资源库、海洋渔业生物细胞资源库、海洋渔业微生物资源库、海洋渔业生物活体资源库，保存样本实现海洋经济种、生态种、特有种、稀有种和濒危种等重要生物遗传资源全覆盖。此外，建立了石斑鱼种质细胞冷冻库，并改善遗传性状选育了“三海”海带、三疣梭子蟹 “黄选1号”、长牡蛎“海大1号”、脊尾白虾“科苏红1号”、刺参“东科1号”等新品种，极大丰富了海洋物种的遗传多样性。</w:t>
      </w:r>
    </w:p>
    <w:p>
      <w:pPr>
        <w:pStyle w:val="5"/>
        <w:ind w:firstLine="632"/>
        <w:rPr>
          <w:rFonts w:ascii="楷体_GB2312" w:hAnsi="楷体_GB2312" w:eastAsia="楷体_GB2312" w:cs="楷体_GB2312"/>
          <w:b w:val="0"/>
          <w:bCs w:val="0"/>
          <w:color w:val="auto"/>
          <w:highlight w:val="none"/>
        </w:rPr>
      </w:pPr>
      <w:bookmarkStart w:id="5" w:name="_Toc163376218"/>
      <w:r>
        <w:rPr>
          <w:rFonts w:hint="eastAsia" w:ascii="楷体_GB2312" w:hAnsi="楷体_GB2312" w:eastAsia="楷体_GB2312" w:cs="楷体_GB2312"/>
          <w:b w:val="0"/>
          <w:bCs w:val="0"/>
          <w:color w:val="auto"/>
          <w:highlight w:val="none"/>
        </w:rPr>
        <w:t>（四）生物多样性受威胁现状</w:t>
      </w:r>
      <w:bookmarkEnd w:id="5"/>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1.生态系统功能局部退化</w:t>
      </w:r>
    </w:p>
    <w:p>
      <w:pPr>
        <w:ind w:firstLine="632"/>
        <w:rPr>
          <w:color w:val="auto"/>
          <w:highlight w:val="none"/>
        </w:rPr>
      </w:pPr>
      <w:r>
        <w:rPr>
          <w:rFonts w:hint="eastAsia" w:ascii="楷体_GB2312" w:hAnsi="楷体_GB2312" w:eastAsia="楷体_GB2312" w:cs="楷体_GB2312"/>
          <w:color w:val="auto"/>
          <w:highlight w:val="none"/>
        </w:rPr>
        <w:t>森林生态系统功能较弱。</w:t>
      </w:r>
      <w:r>
        <w:rPr>
          <w:color w:val="auto"/>
          <w:highlight w:val="none"/>
        </w:rPr>
        <w:t>青岛市森林生态系统</w:t>
      </w:r>
      <w:r>
        <w:rPr>
          <w:rFonts w:hint="eastAsia"/>
          <w:color w:val="auto"/>
          <w:highlight w:val="none"/>
        </w:rPr>
        <w:t>以</w:t>
      </w:r>
      <w:r>
        <w:rPr>
          <w:color w:val="auto"/>
          <w:highlight w:val="none"/>
        </w:rPr>
        <w:t>人工林或次生林</w:t>
      </w:r>
      <w:r>
        <w:rPr>
          <w:rFonts w:hint="eastAsia"/>
          <w:color w:val="auto"/>
          <w:highlight w:val="none"/>
        </w:rPr>
        <w:t>为主</w:t>
      </w:r>
      <w:r>
        <w:rPr>
          <w:color w:val="auto"/>
          <w:highlight w:val="none"/>
        </w:rPr>
        <w:t>，树种以杨树、黑松、刺槐为主</w:t>
      </w:r>
      <w:r>
        <w:rPr>
          <w:rFonts w:hint="eastAsia"/>
          <w:color w:val="auto"/>
          <w:highlight w:val="none"/>
        </w:rPr>
        <w:t>。</w:t>
      </w:r>
      <w:r>
        <w:rPr>
          <w:color w:val="auto"/>
          <w:highlight w:val="none"/>
        </w:rPr>
        <w:t>森林</w:t>
      </w:r>
      <w:r>
        <w:rPr>
          <w:rFonts w:hint="eastAsia"/>
          <w:color w:val="auto"/>
          <w:highlight w:val="none"/>
        </w:rPr>
        <w:t>生态系统</w:t>
      </w:r>
      <w:r>
        <w:rPr>
          <w:color w:val="auto"/>
          <w:highlight w:val="none"/>
        </w:rPr>
        <w:t>结构</w:t>
      </w:r>
      <w:r>
        <w:rPr>
          <w:rFonts w:hint="eastAsia"/>
          <w:color w:val="auto"/>
          <w:highlight w:val="none"/>
        </w:rPr>
        <w:t>相对</w:t>
      </w:r>
      <w:r>
        <w:rPr>
          <w:color w:val="auto"/>
          <w:highlight w:val="none"/>
        </w:rPr>
        <w:t>简单</w:t>
      </w:r>
      <w:r>
        <w:rPr>
          <w:rFonts w:hint="eastAsia"/>
          <w:color w:val="auto"/>
          <w:highlight w:val="none"/>
        </w:rPr>
        <w:t>，生态系统稳定性较弱；且</w:t>
      </w:r>
      <w:r>
        <w:rPr>
          <w:color w:val="auto"/>
          <w:highlight w:val="none"/>
        </w:rPr>
        <w:t>树种单一，抵御病虫害能力差</w:t>
      </w:r>
      <w:r>
        <w:rPr>
          <w:rFonts w:hint="eastAsia"/>
          <w:color w:val="auto"/>
          <w:highlight w:val="none"/>
        </w:rPr>
        <w:t>。</w:t>
      </w:r>
      <w:r>
        <w:rPr>
          <w:color w:val="auto"/>
          <w:highlight w:val="none"/>
        </w:rPr>
        <w:t>据统计，青岛市森林病虫害种类</w:t>
      </w:r>
      <w:r>
        <w:rPr>
          <w:rFonts w:hint="eastAsia"/>
          <w:color w:val="auto"/>
          <w:highlight w:val="none"/>
        </w:rPr>
        <w:t>有</w:t>
      </w:r>
      <w:r>
        <w:rPr>
          <w:color w:val="auto"/>
          <w:highlight w:val="none"/>
        </w:rPr>
        <w:t>500余种，其中发生面广</w:t>
      </w:r>
      <w:r>
        <w:rPr>
          <w:rFonts w:hint="eastAsia"/>
          <w:color w:val="auto"/>
          <w:highlight w:val="none"/>
        </w:rPr>
        <w:t>、</w:t>
      </w:r>
      <w:r>
        <w:rPr>
          <w:color w:val="auto"/>
          <w:highlight w:val="none"/>
        </w:rPr>
        <w:t>危害严重的种类有</w:t>
      </w:r>
      <w:r>
        <w:rPr>
          <w:rFonts w:hint="eastAsia"/>
          <w:color w:val="auto"/>
          <w:highlight w:val="none"/>
        </w:rPr>
        <w:t>松材线虫、美国白蛾、杨小舟蛾、刺槐叶瘿蚊、</w:t>
      </w:r>
      <w:r>
        <w:rPr>
          <w:color w:val="auto"/>
          <w:highlight w:val="none"/>
        </w:rPr>
        <w:t>松针牡蛎蚧、针褐斑病、松材线虫病、刺槐</w:t>
      </w:r>
      <w:r>
        <w:rPr>
          <w:rFonts w:hint="eastAsia"/>
          <w:color w:val="auto"/>
          <w:highlight w:val="none"/>
        </w:rPr>
        <w:t>掌舟蛾</w:t>
      </w:r>
      <w:r>
        <w:rPr>
          <w:color w:val="auto"/>
          <w:highlight w:val="none"/>
        </w:rPr>
        <w:t>等。</w:t>
      </w:r>
    </w:p>
    <w:p>
      <w:pPr>
        <w:ind w:firstLine="632"/>
        <w:rPr>
          <w:color w:val="auto"/>
          <w:highlight w:val="none"/>
        </w:rPr>
      </w:pPr>
      <w:r>
        <w:rPr>
          <w:rFonts w:hint="eastAsia" w:ascii="楷体_GB2312" w:hAnsi="楷体_GB2312" w:eastAsia="楷体_GB2312" w:cs="楷体_GB2312"/>
          <w:color w:val="auto"/>
          <w:highlight w:val="none"/>
        </w:rPr>
        <w:t>湿地生态系统属性发生改变。</w:t>
      </w:r>
      <w:r>
        <w:rPr>
          <w:rFonts w:hint="eastAsia"/>
          <w:color w:val="auto"/>
          <w:highlight w:val="none"/>
        </w:rPr>
        <w:t>自然湿地面积呈减少趋势，且</w:t>
      </w:r>
      <w:r>
        <w:rPr>
          <w:color w:val="auto"/>
          <w:highlight w:val="none"/>
        </w:rPr>
        <w:t>由于</w:t>
      </w:r>
      <w:r>
        <w:rPr>
          <w:rFonts w:hint="eastAsia"/>
          <w:color w:val="auto"/>
          <w:highlight w:val="none"/>
        </w:rPr>
        <w:t>湿地占用及开发、</w:t>
      </w:r>
      <w:r>
        <w:rPr>
          <w:color w:val="auto"/>
          <w:highlight w:val="none"/>
        </w:rPr>
        <w:t>河道</w:t>
      </w:r>
      <w:r>
        <w:rPr>
          <w:rFonts w:hint="eastAsia"/>
          <w:color w:val="auto"/>
          <w:highlight w:val="none"/>
        </w:rPr>
        <w:t>清淤及硬化</w:t>
      </w:r>
      <w:r>
        <w:rPr>
          <w:color w:val="auto"/>
          <w:highlight w:val="none"/>
        </w:rPr>
        <w:t>、再生水使用率低</w:t>
      </w:r>
      <w:r>
        <w:rPr>
          <w:rFonts w:hint="eastAsia"/>
          <w:color w:val="auto"/>
          <w:highlight w:val="none"/>
        </w:rPr>
        <w:t>、降水少</w:t>
      </w:r>
      <w:r>
        <w:rPr>
          <w:color w:val="auto"/>
          <w:highlight w:val="none"/>
        </w:rPr>
        <w:t>等因素，</w:t>
      </w:r>
      <w:r>
        <w:rPr>
          <w:rFonts w:hint="eastAsia"/>
          <w:color w:val="auto"/>
          <w:highlight w:val="none"/>
        </w:rPr>
        <w:t>河流湿地易出现死水或断流干涸现象，</w:t>
      </w:r>
      <w:r>
        <w:rPr>
          <w:color w:val="auto"/>
          <w:highlight w:val="none"/>
        </w:rPr>
        <w:t>湿地</w:t>
      </w:r>
      <w:r>
        <w:rPr>
          <w:rFonts w:hint="eastAsia"/>
          <w:color w:val="auto"/>
          <w:highlight w:val="none"/>
        </w:rPr>
        <w:t>生态系统完整性遭到破坏</w:t>
      </w:r>
      <w:r>
        <w:rPr>
          <w:color w:val="auto"/>
          <w:highlight w:val="none"/>
        </w:rPr>
        <w:t>，</w:t>
      </w:r>
      <w:r>
        <w:rPr>
          <w:rFonts w:hint="eastAsia"/>
          <w:color w:val="auto"/>
          <w:highlight w:val="none"/>
        </w:rPr>
        <w:t>涵养水源、净化水质、调节气候、维持碳循环等生态系统功能受损，自恢复力下降，从而</w:t>
      </w:r>
      <w:r>
        <w:rPr>
          <w:color w:val="auto"/>
          <w:highlight w:val="none"/>
        </w:rPr>
        <w:t>影响生物多样性。</w:t>
      </w:r>
    </w:p>
    <w:p>
      <w:pPr>
        <w:ind w:firstLine="632"/>
        <w:rPr>
          <w:b/>
          <w:color w:val="auto"/>
          <w:highlight w:val="none"/>
        </w:rPr>
      </w:pPr>
      <w:r>
        <w:rPr>
          <w:rFonts w:hint="eastAsia" w:ascii="楷体_GB2312" w:hAnsi="楷体_GB2312" w:eastAsia="楷体_GB2312" w:cs="楷体_GB2312"/>
          <w:color w:val="auto"/>
          <w:highlight w:val="none"/>
        </w:rPr>
        <w:t>海洋生态系统功能和稳定性减弱。</w:t>
      </w:r>
      <w:r>
        <w:rPr>
          <w:rFonts w:hint="eastAsia"/>
          <w:bCs/>
          <w:color w:val="auto"/>
          <w:highlight w:val="none"/>
        </w:rPr>
        <w:t>由于围垦、养殖、水域污染、人工岛、大型桥梁工程及其他开发建设等人类活动因素的影响，湿地植被群落遭到破坏，互花米草复生率高，群落面积不断增加，河口湿地生态功能减弱；重点海湾陆源污染入海量较大，近海营养盐存量难以减少，且由于气候变化、近海渔业资源衰退，局部海洋生态系统失衡，导致赤潮、浒苔以及海星和白泥蚂爆发等生态灾害时有发生。</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2.栖息生境丧失，破碎化加剧</w:t>
      </w:r>
    </w:p>
    <w:p>
      <w:pPr>
        <w:ind w:firstLine="632"/>
        <w:rPr>
          <w:color w:val="auto"/>
          <w:highlight w:val="none"/>
        </w:rPr>
      </w:pPr>
      <w:r>
        <w:rPr>
          <w:rFonts w:hint="eastAsia" w:ascii="楷体_GB2312" w:hAnsi="楷体_GB2312" w:eastAsia="楷体_GB2312" w:cs="楷体_GB2312"/>
          <w:color w:val="auto"/>
          <w:highlight w:val="none"/>
        </w:rPr>
        <w:t>草地生态系统逐渐减少。</w:t>
      </w:r>
      <w:r>
        <w:rPr>
          <w:color w:val="auto"/>
          <w:highlight w:val="none"/>
        </w:rPr>
        <w:t>草地生态系统具有固沙、保土、调节气候、涵养水源等生态功能，</w:t>
      </w:r>
      <w:r>
        <w:rPr>
          <w:rFonts w:hint="eastAsia"/>
          <w:color w:val="auto"/>
          <w:highlight w:val="none"/>
        </w:rPr>
        <w:t>是啮齿类、小型食草动物及其上下游食物链生物的主要栖息生境</w:t>
      </w:r>
      <w:r>
        <w:rPr>
          <w:color w:val="auto"/>
          <w:highlight w:val="none"/>
        </w:rPr>
        <w:t>。</w:t>
      </w:r>
      <w:r>
        <w:rPr>
          <w:rFonts w:hint="eastAsia"/>
          <w:color w:val="auto"/>
          <w:highlight w:val="none"/>
        </w:rPr>
        <w:t>青岛市草地生态系统面积较小，且随着人类活动的拓展，沼泽草地、灌草丛、稀疏草地等天然和半天然荒草地逐渐减少，现有草地以物种单一的人工草地为主，</w:t>
      </w:r>
      <w:r>
        <w:rPr>
          <w:color w:val="auto"/>
          <w:highlight w:val="none"/>
        </w:rPr>
        <w:t>极大降低</w:t>
      </w:r>
      <w:r>
        <w:rPr>
          <w:rFonts w:hint="eastAsia"/>
          <w:color w:val="auto"/>
          <w:highlight w:val="none"/>
        </w:rPr>
        <w:t>了</w:t>
      </w:r>
      <w:r>
        <w:rPr>
          <w:color w:val="auto"/>
          <w:highlight w:val="none"/>
        </w:rPr>
        <w:t>草地生态系统的物种多样性。</w:t>
      </w:r>
    </w:p>
    <w:p>
      <w:pPr>
        <w:ind w:firstLine="632"/>
        <w:rPr>
          <w:color w:val="auto"/>
          <w:highlight w:val="none"/>
        </w:rPr>
      </w:pPr>
      <w:r>
        <w:rPr>
          <w:rFonts w:hint="eastAsia" w:ascii="楷体_GB2312" w:hAnsi="楷体_GB2312" w:eastAsia="楷体_GB2312" w:cs="楷体_GB2312"/>
          <w:color w:val="auto"/>
          <w:highlight w:val="none"/>
        </w:rPr>
        <w:t>海岸带栖息地不断减少。</w:t>
      </w:r>
      <w:r>
        <w:rPr>
          <w:color w:val="auto"/>
          <w:highlight w:val="none"/>
        </w:rPr>
        <w:t>潮间带生态系统是底栖生物的聚集地，具有较为丰富的物种，</w:t>
      </w:r>
      <w:r>
        <w:rPr>
          <w:rFonts w:hint="eastAsia"/>
          <w:color w:val="auto"/>
          <w:highlight w:val="none"/>
        </w:rPr>
        <w:t>而</w:t>
      </w:r>
      <w:r>
        <w:rPr>
          <w:color w:val="auto"/>
          <w:highlight w:val="none"/>
        </w:rPr>
        <w:t>海岸带硬化</w:t>
      </w:r>
      <w:r>
        <w:rPr>
          <w:rFonts w:hint="eastAsia"/>
          <w:color w:val="auto"/>
          <w:highlight w:val="none"/>
        </w:rPr>
        <w:t>改变了生态系统属性，</w:t>
      </w:r>
      <w:r>
        <w:rPr>
          <w:color w:val="auto"/>
          <w:highlight w:val="none"/>
        </w:rPr>
        <w:t>影响了海水质量和海洋循环，最终导致了生物多样性的减少。唐岛湾、灵山湾、董家口、胶州湾、青岛湾、鳌山湾等区域海岸线在近30年发生了剧烈变迁；同时，建设的港口、人工半岛、房地产等人工硬化构筑物，改变了海岸线组成结构，</w:t>
      </w:r>
      <w:r>
        <w:rPr>
          <w:rFonts w:hint="eastAsia"/>
          <w:color w:val="auto"/>
          <w:highlight w:val="none"/>
        </w:rPr>
        <w:t>导致</w:t>
      </w:r>
      <w:r>
        <w:rPr>
          <w:color w:val="auto"/>
          <w:highlight w:val="none"/>
        </w:rPr>
        <w:t>生物多样性维护生态功能衰退</w:t>
      </w:r>
      <w:r>
        <w:rPr>
          <w:rFonts w:hint="eastAsia"/>
          <w:color w:val="auto"/>
          <w:highlight w:val="none"/>
        </w:rPr>
        <w:t>，</w:t>
      </w:r>
      <w:r>
        <w:rPr>
          <w:color w:val="auto"/>
          <w:highlight w:val="none"/>
        </w:rPr>
        <w:t>影响了海洋生物</w:t>
      </w:r>
      <w:r>
        <w:rPr>
          <w:rFonts w:hint="eastAsia"/>
          <w:color w:val="auto"/>
          <w:highlight w:val="none"/>
        </w:rPr>
        <w:t>的</w:t>
      </w:r>
      <w:r>
        <w:rPr>
          <w:color w:val="auto"/>
          <w:highlight w:val="none"/>
        </w:rPr>
        <w:t>丰度和分布</w:t>
      </w:r>
      <w:r>
        <w:rPr>
          <w:rFonts w:hint="eastAsia"/>
          <w:color w:val="auto"/>
          <w:highlight w:val="none"/>
        </w:rPr>
        <w:t>，进而影响栖息于海岸带湿地的鸟类等其他生物的生存、繁衍。</w:t>
      </w:r>
    </w:p>
    <w:p>
      <w:pPr>
        <w:ind w:firstLine="632"/>
        <w:rPr>
          <w:color w:val="auto"/>
          <w:highlight w:val="none"/>
        </w:rPr>
      </w:pPr>
      <w:r>
        <w:rPr>
          <w:rFonts w:hint="eastAsia" w:ascii="楷体_GB2312" w:hAnsi="楷体_GB2312" w:eastAsia="楷体_GB2312" w:cs="楷体_GB2312"/>
          <w:color w:val="auto"/>
          <w:highlight w:val="none"/>
        </w:rPr>
        <w:t>自然生境斑块呈破碎化趋势。</w:t>
      </w:r>
      <w:r>
        <w:rPr>
          <w:rFonts w:hint="eastAsia"/>
          <w:color w:val="auto"/>
          <w:highlight w:val="none"/>
        </w:rPr>
        <w:t>受到旅游、交通等城市建设的侵蚀，湿地、森林等生态系统斑块平均面积逐渐减小，生态要素破碎化。如崂山、大泽山等生态空间呈破碎化趋势，生态廊道通畅性下降，山脊线被交通廊道阻隔破坏，入海廊道通畅性下降，一些河流断流现象明显；河岸、海岸受建设侵占，未形成连续的绿色生态廊道。</w:t>
      </w:r>
    </w:p>
    <w:p>
      <w:pPr>
        <w:pStyle w:val="6"/>
        <w:ind w:firstLine="632"/>
        <w:rPr>
          <w:rFonts w:ascii="楷体_GB2312" w:hAnsi="楷体_GB2312" w:eastAsia="楷体_GB2312" w:cs="楷体_GB2312"/>
          <w:b w:val="0"/>
          <w:bCs w:val="0"/>
          <w:color w:val="auto"/>
          <w:highlight w:val="none"/>
        </w:rPr>
      </w:pPr>
      <w:bookmarkStart w:id="6" w:name="_Toc531604391"/>
      <w:r>
        <w:rPr>
          <w:rFonts w:hint="eastAsia" w:ascii="楷体_GB2312" w:hAnsi="楷体_GB2312" w:eastAsia="楷体_GB2312" w:cs="楷体_GB2312"/>
          <w:b w:val="0"/>
          <w:bCs w:val="0"/>
          <w:color w:val="auto"/>
          <w:highlight w:val="none"/>
        </w:rPr>
        <w:t>3.物种</w:t>
      </w:r>
      <w:bookmarkEnd w:id="6"/>
      <w:r>
        <w:rPr>
          <w:rFonts w:hint="eastAsia" w:ascii="楷体_GB2312" w:hAnsi="楷体_GB2312" w:eastAsia="楷体_GB2312" w:cs="楷体_GB2312"/>
          <w:b w:val="0"/>
          <w:bCs w:val="0"/>
          <w:color w:val="auto"/>
          <w:highlight w:val="none"/>
        </w:rPr>
        <w:t>保护形势严峻</w:t>
      </w:r>
    </w:p>
    <w:p>
      <w:pPr>
        <w:ind w:firstLine="632"/>
        <w:rPr>
          <w:color w:val="auto"/>
          <w:highlight w:val="none"/>
        </w:rPr>
      </w:pPr>
      <w:r>
        <w:rPr>
          <w:color w:val="auto"/>
          <w:highlight w:val="none"/>
        </w:rPr>
        <w:t>青岛市野生</w:t>
      </w:r>
      <w:r>
        <w:rPr>
          <w:rFonts w:hint="eastAsia"/>
          <w:color w:val="auto"/>
          <w:highlight w:val="none"/>
        </w:rPr>
        <w:t>、半野生</w:t>
      </w:r>
      <w:r>
        <w:rPr>
          <w:color w:val="auto"/>
          <w:highlight w:val="none"/>
        </w:rPr>
        <w:t>维管束植物有1300</w:t>
      </w:r>
      <w:r>
        <w:rPr>
          <w:rFonts w:hint="eastAsia"/>
          <w:color w:val="auto"/>
          <w:highlight w:val="none"/>
        </w:rPr>
        <w:t>余</w:t>
      </w:r>
      <w:r>
        <w:rPr>
          <w:color w:val="auto"/>
          <w:highlight w:val="none"/>
        </w:rPr>
        <w:t>种，</w:t>
      </w:r>
      <w:r>
        <w:rPr>
          <w:rFonts w:hint="eastAsia"/>
          <w:color w:val="auto"/>
          <w:highlight w:val="none"/>
        </w:rPr>
        <w:t>其中，</w:t>
      </w:r>
      <w:r>
        <w:rPr>
          <w:color w:val="auto"/>
          <w:highlight w:val="none"/>
        </w:rPr>
        <w:t>受到威胁的物种有36种，</w:t>
      </w:r>
      <w:r>
        <w:rPr>
          <w:rFonts w:hint="eastAsia"/>
          <w:color w:val="auto"/>
          <w:highlight w:val="none"/>
        </w:rPr>
        <w:t>包括极危物种</w:t>
      </w:r>
      <w:r>
        <w:rPr>
          <w:color w:val="auto"/>
          <w:highlight w:val="none"/>
        </w:rPr>
        <w:t>3</w:t>
      </w:r>
      <w:r>
        <w:rPr>
          <w:rFonts w:hint="eastAsia"/>
          <w:color w:val="auto"/>
          <w:highlight w:val="none"/>
        </w:rPr>
        <w:t>种、濒危物种</w:t>
      </w:r>
      <w:r>
        <w:rPr>
          <w:color w:val="auto"/>
          <w:highlight w:val="none"/>
        </w:rPr>
        <w:t>6</w:t>
      </w:r>
      <w:r>
        <w:rPr>
          <w:rFonts w:hint="eastAsia"/>
          <w:color w:val="auto"/>
          <w:highlight w:val="none"/>
        </w:rPr>
        <w:t>种、易危物种</w:t>
      </w:r>
      <w:r>
        <w:rPr>
          <w:color w:val="auto"/>
          <w:highlight w:val="none"/>
        </w:rPr>
        <w:t>9</w:t>
      </w:r>
      <w:r>
        <w:rPr>
          <w:rFonts w:hint="eastAsia"/>
          <w:color w:val="auto"/>
          <w:highlight w:val="none"/>
        </w:rPr>
        <w:t>种、近危物种</w:t>
      </w:r>
      <w:r>
        <w:rPr>
          <w:color w:val="auto"/>
          <w:highlight w:val="none"/>
        </w:rPr>
        <w:t>18</w:t>
      </w:r>
      <w:r>
        <w:rPr>
          <w:rFonts w:hint="eastAsia"/>
          <w:color w:val="auto"/>
          <w:highlight w:val="none"/>
        </w:rPr>
        <w:t>种</w:t>
      </w:r>
      <w:r>
        <w:rPr>
          <w:color w:val="auto"/>
          <w:highlight w:val="none"/>
        </w:rPr>
        <w:t>。青岛市有</w:t>
      </w:r>
      <w:r>
        <w:rPr>
          <w:rFonts w:hint="eastAsia"/>
          <w:color w:val="auto"/>
          <w:highlight w:val="none"/>
        </w:rPr>
        <w:t>陆生</w:t>
      </w:r>
      <w:r>
        <w:rPr>
          <w:color w:val="auto"/>
          <w:highlight w:val="none"/>
        </w:rPr>
        <w:t>脊椎动物47</w:t>
      </w:r>
      <w:r>
        <w:rPr>
          <w:rFonts w:hint="eastAsia"/>
          <w:color w:val="auto"/>
          <w:highlight w:val="none"/>
        </w:rPr>
        <w:t>0余</w:t>
      </w:r>
      <w:r>
        <w:rPr>
          <w:color w:val="auto"/>
          <w:highlight w:val="none"/>
        </w:rPr>
        <w:t>种，受到威胁的物种为67种，包括极危物种5种、濒危物种10种、易危物种22种、近危物种30种。濒危野生脊椎动物以鸟类为主，占濒危野生脊椎动物种类总数的</w:t>
      </w:r>
      <w:r>
        <w:rPr>
          <w:rFonts w:hint="eastAsia"/>
          <w:color w:val="auto"/>
          <w:highlight w:val="none"/>
        </w:rPr>
        <w:t>9</w:t>
      </w:r>
      <w:r>
        <w:rPr>
          <w:color w:val="auto"/>
          <w:highlight w:val="none"/>
        </w:rPr>
        <w:t>2.5%。野生濒危植物分布呈现以崂山为中心，向西逐渐减少的特点；而野生濒危动物分布呈现自沿海向内陆逐渐降低的特点。</w:t>
      </w:r>
    </w:p>
    <w:p>
      <w:pPr>
        <w:pStyle w:val="6"/>
        <w:ind w:firstLine="632"/>
        <w:rPr>
          <w:rFonts w:ascii="楷体_GB2312" w:hAnsi="楷体_GB2312" w:eastAsia="楷体_GB2312" w:cs="楷体_GB2312"/>
          <w:b w:val="0"/>
          <w:bCs w:val="0"/>
          <w:color w:val="auto"/>
          <w:highlight w:val="none"/>
        </w:rPr>
      </w:pPr>
      <w:bookmarkStart w:id="7" w:name="_Toc531604392"/>
      <w:r>
        <w:rPr>
          <w:rFonts w:hint="eastAsia" w:ascii="楷体_GB2312" w:hAnsi="楷体_GB2312" w:eastAsia="楷体_GB2312" w:cs="楷体_GB2312"/>
          <w:b w:val="0"/>
          <w:bCs w:val="0"/>
          <w:color w:val="auto"/>
          <w:highlight w:val="none"/>
        </w:rPr>
        <w:t>4.遗传资源丧失和流失</w:t>
      </w:r>
      <w:bookmarkEnd w:id="7"/>
    </w:p>
    <w:p>
      <w:pPr>
        <w:ind w:firstLine="632"/>
        <w:rPr>
          <w:color w:val="auto"/>
          <w:highlight w:val="none"/>
        </w:rPr>
      </w:pPr>
      <w:r>
        <w:rPr>
          <w:color w:val="auto"/>
          <w:highlight w:val="none"/>
        </w:rPr>
        <w:t>由于人类干扰和物种入侵，野生珍稀植物生存受到威胁，</w:t>
      </w:r>
      <w:r>
        <w:rPr>
          <w:rFonts w:hint="eastAsia"/>
          <w:color w:val="auto"/>
          <w:highlight w:val="none"/>
        </w:rPr>
        <w:t>数量逐渐减少，遗传多样性呈丧失和流失趋势</w:t>
      </w:r>
      <w:r>
        <w:rPr>
          <w:color w:val="auto"/>
          <w:highlight w:val="none"/>
        </w:rPr>
        <w:t>。随着新品种更新速度加快，玉米、小麦、花生、甘薯、大豆、蔬菜等作物地方品种及传统种植品种面积正在逐渐萎缩，作物遗传资源多样性</w:t>
      </w:r>
      <w:r>
        <w:rPr>
          <w:rFonts w:hint="eastAsia"/>
          <w:color w:val="auto"/>
          <w:highlight w:val="none"/>
        </w:rPr>
        <w:t>也呈丧失趋势</w:t>
      </w:r>
      <w:r>
        <w:rPr>
          <w:color w:val="auto"/>
          <w:highlight w:val="none"/>
        </w:rPr>
        <w:t>。野大豆、野豌豆、酸枣等野生近缘种栽培种改良的天然基因库，</w:t>
      </w:r>
      <w:r>
        <w:rPr>
          <w:rFonts w:hint="eastAsia"/>
          <w:color w:val="auto"/>
          <w:highlight w:val="none"/>
        </w:rPr>
        <w:t>其</w:t>
      </w:r>
      <w:r>
        <w:rPr>
          <w:color w:val="auto"/>
          <w:highlight w:val="none"/>
        </w:rPr>
        <w:t>生境也受到了不同程度的破坏，以前</w:t>
      </w:r>
      <w:r>
        <w:rPr>
          <w:rFonts w:hint="eastAsia"/>
          <w:color w:val="auto"/>
          <w:highlight w:val="none"/>
        </w:rPr>
        <w:t>普遍存在</w:t>
      </w:r>
      <w:r>
        <w:rPr>
          <w:color w:val="auto"/>
          <w:highlight w:val="none"/>
        </w:rPr>
        <w:t>的野豌豆和野大豆分布范围越来越小。</w:t>
      </w:r>
    </w:p>
    <w:p>
      <w:pPr>
        <w:ind w:firstLine="632"/>
        <w:rPr>
          <w:rFonts w:eastAsia="黑体"/>
          <w:color w:val="auto"/>
          <w:highlight w:val="none"/>
        </w:rPr>
      </w:pPr>
      <w:r>
        <w:rPr>
          <w:rFonts w:hint="eastAsia"/>
          <w:color w:val="auto"/>
          <w:highlight w:val="none"/>
        </w:rPr>
        <w:t>历史上的</w:t>
      </w:r>
      <w:r>
        <w:rPr>
          <w:color w:val="auto"/>
          <w:highlight w:val="none"/>
        </w:rPr>
        <w:t>过度捕捞</w:t>
      </w:r>
      <w:r>
        <w:rPr>
          <w:rFonts w:hint="eastAsia"/>
          <w:color w:val="auto"/>
          <w:highlight w:val="none"/>
        </w:rPr>
        <w:t>和海洋环境变化</w:t>
      </w:r>
      <w:r>
        <w:rPr>
          <w:color w:val="auto"/>
          <w:highlight w:val="none"/>
        </w:rPr>
        <w:t>，</w:t>
      </w:r>
      <w:r>
        <w:rPr>
          <w:rFonts w:hint="eastAsia"/>
          <w:color w:val="auto"/>
          <w:highlight w:val="none"/>
        </w:rPr>
        <w:t>导致</w:t>
      </w:r>
      <w:r>
        <w:rPr>
          <w:color w:val="auto"/>
          <w:highlight w:val="none"/>
        </w:rPr>
        <w:t>海洋生物栖息地遭</w:t>
      </w:r>
      <w:r>
        <w:rPr>
          <w:rFonts w:hint="eastAsia"/>
          <w:color w:val="auto"/>
          <w:highlight w:val="none"/>
        </w:rPr>
        <w:t>到</w:t>
      </w:r>
      <w:r>
        <w:rPr>
          <w:color w:val="auto"/>
          <w:highlight w:val="none"/>
        </w:rPr>
        <w:t>破坏（包括鱼类产卵场）</w:t>
      </w:r>
      <w:r>
        <w:rPr>
          <w:rFonts w:hint="eastAsia"/>
          <w:color w:val="auto"/>
          <w:highlight w:val="none"/>
        </w:rPr>
        <w:t>、</w:t>
      </w:r>
      <w:r>
        <w:rPr>
          <w:color w:val="auto"/>
          <w:highlight w:val="none"/>
        </w:rPr>
        <w:t>近海域鱼类种群数量骤减、主要经济鱼类品种下降和种群低龄化，海洋生物遗传多样性丧失形势严峻。</w:t>
      </w:r>
      <w:bookmarkStart w:id="8" w:name="_Hlk158019079"/>
      <w:bookmarkStart w:id="9" w:name="_Hlk158019089"/>
      <w:r>
        <w:rPr>
          <w:rFonts w:hint="eastAsia"/>
          <w:color w:val="auto"/>
          <w:highlight w:val="none"/>
        </w:rPr>
        <w:t>野生大黄鱼</w:t>
      </w:r>
      <w:r>
        <w:rPr>
          <w:color w:val="auto"/>
          <w:highlight w:val="none"/>
        </w:rPr>
        <w:t>、</w:t>
      </w:r>
      <w:r>
        <w:rPr>
          <w:rFonts w:hint="eastAsia"/>
          <w:color w:val="auto"/>
          <w:highlight w:val="none"/>
        </w:rPr>
        <w:t>鲞鱼</w:t>
      </w:r>
      <w:r>
        <w:rPr>
          <w:color w:val="auto"/>
          <w:highlight w:val="none"/>
        </w:rPr>
        <w:t>、</w:t>
      </w:r>
      <w:r>
        <w:rPr>
          <w:rFonts w:hint="eastAsia"/>
          <w:color w:val="auto"/>
          <w:highlight w:val="none"/>
        </w:rPr>
        <w:t>刀鲚</w:t>
      </w:r>
      <w:r>
        <w:rPr>
          <w:color w:val="auto"/>
          <w:highlight w:val="none"/>
        </w:rPr>
        <w:t>、沙丁鱼等常见的</w:t>
      </w:r>
      <w:r>
        <w:rPr>
          <w:rFonts w:hint="eastAsia"/>
          <w:color w:val="auto"/>
          <w:highlight w:val="none"/>
        </w:rPr>
        <w:t>鱼类在</w:t>
      </w:r>
      <w:r>
        <w:rPr>
          <w:color w:val="auto"/>
          <w:highlight w:val="none"/>
        </w:rPr>
        <w:t>本地已经</w:t>
      </w:r>
      <w:r>
        <w:rPr>
          <w:rFonts w:hint="eastAsia"/>
          <w:color w:val="auto"/>
          <w:highlight w:val="none"/>
        </w:rPr>
        <w:t>难觅踪迹</w:t>
      </w:r>
      <w:r>
        <w:rPr>
          <w:color w:val="auto"/>
          <w:highlight w:val="none"/>
        </w:rPr>
        <w:t>，胶州湾</w:t>
      </w:r>
      <w:r>
        <w:rPr>
          <w:rFonts w:hint="eastAsia"/>
          <w:color w:val="auto"/>
          <w:highlight w:val="none"/>
        </w:rPr>
        <w:t>野生真鲷也</w:t>
      </w:r>
      <w:r>
        <w:rPr>
          <w:color w:val="auto"/>
          <w:highlight w:val="none"/>
        </w:rPr>
        <w:t>已基本绝迹，</w:t>
      </w:r>
      <w:bookmarkEnd w:id="8"/>
      <w:r>
        <w:rPr>
          <w:color w:val="auto"/>
          <w:highlight w:val="none"/>
        </w:rPr>
        <w:t>已消失的鱼类近10种。</w:t>
      </w:r>
      <w:bookmarkEnd w:id="9"/>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5.外来入侵种威胁呈上升趋势</w:t>
      </w:r>
    </w:p>
    <w:p>
      <w:pPr>
        <w:ind w:firstLine="632"/>
        <w:rPr>
          <w:color w:val="auto"/>
          <w:highlight w:val="none"/>
        </w:rPr>
      </w:pPr>
      <w:r>
        <w:rPr>
          <w:rFonts w:hint="eastAsia"/>
          <w:color w:val="auto"/>
          <w:highlight w:val="none"/>
        </w:rPr>
        <w:t>外来入侵种广泛分布并呈扩散趋势，不仅影响生态系统稳定性，降低生物多样性，而且可直接危害农林作物，产生经济损失。如垂序商陆已在全市各山地阔叶林、针阔混交林下及林缘地带普遍存在，侵占原生植物生态位、消耗土壤肥力且全株有毒，对人和牲畜有毒害作用；豚草、三叶鬼针草、小蓬草、一年蓬等广泛分布于农田、荒地、村边、沟旁等，对农、林经济作物产生危害；互花米草在滨海湿地迅速扩张，每年都要花费大量人力、物力进行清理；松材线虫持续对青岛市各针叶林区松属植物产生威胁；美国白蛾入侵林果业和城市园林绿化，造成了较严重损失。除此之外，海狸鼠等外来物种养殖逃逸也已经对本地生态系统产生了一定的影响。</w:t>
      </w:r>
    </w:p>
    <w:p>
      <w:pPr>
        <w:pStyle w:val="6"/>
        <w:ind w:firstLine="632"/>
        <w:rPr>
          <w:rFonts w:ascii="楷体_GB2312" w:hAnsi="楷体_GB2312" w:eastAsia="楷体_GB2312" w:cs="楷体_GB2312"/>
          <w:b w:val="0"/>
          <w:bCs w:val="0"/>
          <w:color w:val="auto"/>
          <w:highlight w:val="none"/>
        </w:rPr>
      </w:pPr>
      <w:bookmarkStart w:id="10" w:name="_Toc531604390"/>
      <w:r>
        <w:rPr>
          <w:rFonts w:hint="eastAsia" w:ascii="楷体_GB2312" w:hAnsi="楷体_GB2312" w:eastAsia="楷体_GB2312" w:cs="楷体_GB2312"/>
          <w:b w:val="0"/>
          <w:bCs w:val="0"/>
          <w:color w:val="auto"/>
          <w:highlight w:val="none"/>
        </w:rPr>
        <w:t>6.</w:t>
      </w:r>
      <w:bookmarkEnd w:id="10"/>
      <w:r>
        <w:rPr>
          <w:rFonts w:hint="eastAsia" w:ascii="楷体_GB2312" w:hAnsi="楷体_GB2312" w:eastAsia="楷体_GB2312" w:cs="楷体_GB2312"/>
          <w:b w:val="0"/>
          <w:bCs w:val="0"/>
          <w:color w:val="auto"/>
          <w:highlight w:val="none"/>
        </w:rPr>
        <w:t>其他威胁因素</w:t>
      </w:r>
    </w:p>
    <w:p>
      <w:pPr>
        <w:ind w:firstLine="632"/>
        <w:rPr>
          <w:color w:val="auto"/>
          <w:highlight w:val="none"/>
        </w:rPr>
      </w:pPr>
      <w:r>
        <w:rPr>
          <w:rFonts w:hint="eastAsia"/>
          <w:color w:val="auto"/>
          <w:highlight w:val="none"/>
        </w:rPr>
        <w:t>生态环境污染现状尚未得到根本转变。如北胶莱河、洙河、祥茂河等个别河流断面水质仍为V类或劣V类；胶州湾</w:t>
      </w:r>
      <w:r>
        <w:rPr>
          <w:rFonts w:hint="eastAsia" w:ascii="仿宋_GB2312"/>
          <w:color w:val="auto"/>
          <w:highlight w:val="none"/>
          <w:shd w:val="clear" w:color="auto" w:fill="FFFFFF"/>
        </w:rPr>
        <w:t>丁字湾、洋河口部分岸段附近海域水质仍相对较差，无机氮、活性磷酸盐等污染物含量较高；河流、湖泊、山林及海洋等自然生态系统塑料污染日益严重，在一定程度上影响了依托于山、海、河、湖自然生态系统生存的生物多样性。个别地方仍然存在网鸟、偷猎、禁渔期非法捕捞等违法现象，直接</w:t>
      </w:r>
      <w:r>
        <w:rPr>
          <w:color w:val="auto"/>
          <w:highlight w:val="none"/>
        </w:rPr>
        <w:t>破坏了生物多样性的维持</w:t>
      </w:r>
      <w:r>
        <w:rPr>
          <w:rFonts w:hint="eastAsia"/>
          <w:color w:val="auto"/>
          <w:highlight w:val="none"/>
        </w:rPr>
        <w:t>。此外，不科学放生、弃养异宠等在引入外来种的同时也对本地生物多样性产生了一定的影响</w:t>
      </w:r>
      <w:r>
        <w:rPr>
          <w:color w:val="auto"/>
          <w:highlight w:val="none"/>
        </w:rPr>
        <w:t>。</w:t>
      </w:r>
    </w:p>
    <w:p>
      <w:pPr>
        <w:pStyle w:val="4"/>
        <w:ind w:firstLine="632" w:firstLineChars="200"/>
        <w:rPr>
          <w:b w:val="0"/>
          <w:bCs w:val="0"/>
          <w:color w:val="auto"/>
          <w:highlight w:val="none"/>
        </w:rPr>
      </w:pPr>
      <w:bookmarkStart w:id="11" w:name="_Toc163376219"/>
      <w:r>
        <w:rPr>
          <w:b w:val="0"/>
          <w:bCs w:val="0"/>
          <w:color w:val="auto"/>
          <w:sz w:val="32"/>
          <w:szCs w:val="32"/>
          <w:highlight w:val="none"/>
        </w:rPr>
        <w:t>二、生物多样性保护工作的成效、问题与挑战</w:t>
      </w:r>
      <w:bookmarkEnd w:id="11"/>
    </w:p>
    <w:p>
      <w:pPr>
        <w:pStyle w:val="5"/>
        <w:ind w:firstLine="632"/>
        <w:rPr>
          <w:rFonts w:ascii="楷体_GB2312" w:hAnsi="楷体_GB2312" w:eastAsia="楷体_GB2312" w:cs="楷体_GB2312"/>
          <w:b w:val="0"/>
          <w:bCs w:val="0"/>
          <w:color w:val="auto"/>
          <w:highlight w:val="none"/>
        </w:rPr>
      </w:pPr>
      <w:bookmarkStart w:id="12" w:name="_Toc163376220"/>
      <w:r>
        <w:rPr>
          <w:rFonts w:hint="eastAsia" w:ascii="楷体_GB2312" w:hAnsi="楷体_GB2312" w:eastAsia="楷体_GB2312" w:cs="楷体_GB2312"/>
          <w:b w:val="0"/>
          <w:bCs w:val="0"/>
          <w:color w:val="auto"/>
          <w:highlight w:val="none"/>
        </w:rPr>
        <w:t>（一）生物多样性保护成效与经验</w:t>
      </w:r>
      <w:bookmarkEnd w:id="12"/>
    </w:p>
    <w:p>
      <w:pPr>
        <w:pStyle w:val="6"/>
        <w:ind w:firstLine="632"/>
        <w:rPr>
          <w:color w:val="auto"/>
          <w:highlight w:val="none"/>
        </w:rPr>
      </w:pPr>
      <w:bookmarkStart w:id="13" w:name="_Toc531604411"/>
      <w:bookmarkStart w:id="14" w:name="_Toc396812350"/>
      <w:bookmarkStart w:id="15" w:name="_Toc360114882"/>
      <w:r>
        <w:rPr>
          <w:rFonts w:hint="eastAsia" w:ascii="楷体_GB2312" w:hAnsi="楷体_GB2312" w:eastAsia="楷体_GB2312" w:cs="楷体_GB2312"/>
          <w:b w:val="0"/>
          <w:bCs w:val="0"/>
          <w:color w:val="auto"/>
          <w:highlight w:val="none"/>
        </w:rPr>
        <w:t>1.</w:t>
      </w:r>
      <w:bookmarkEnd w:id="13"/>
      <w:bookmarkEnd w:id="14"/>
      <w:bookmarkEnd w:id="15"/>
      <w:r>
        <w:rPr>
          <w:rFonts w:hint="eastAsia" w:ascii="楷体_GB2312" w:hAnsi="楷体_GB2312" w:eastAsia="楷体_GB2312" w:cs="楷体_GB2312"/>
          <w:b w:val="0"/>
          <w:bCs w:val="0"/>
          <w:color w:val="auto"/>
          <w:highlight w:val="none"/>
        </w:rPr>
        <w:t>生物多样性保护管理体制逐步完善</w:t>
      </w:r>
    </w:p>
    <w:p>
      <w:pPr>
        <w:pStyle w:val="7"/>
        <w:ind w:firstLine="632"/>
        <w:rPr>
          <w:color w:val="auto"/>
          <w:highlight w:val="none"/>
        </w:rPr>
      </w:pPr>
      <w:r>
        <w:rPr>
          <w:color w:val="auto"/>
          <w:highlight w:val="none"/>
        </w:rPr>
        <w:t>1.1</w:t>
      </w:r>
      <w:r>
        <w:rPr>
          <w:rFonts w:ascii="Times New Roman" w:hAnsi="Times New Roman"/>
          <w:color w:val="auto"/>
          <w:highlight w:val="none"/>
        </w:rPr>
        <w:t>生物多样性保护法律法规体系进一步完善</w:t>
      </w:r>
    </w:p>
    <w:p>
      <w:pPr>
        <w:ind w:firstLine="632"/>
        <w:rPr>
          <w:color w:val="auto"/>
          <w:highlight w:val="none"/>
        </w:rPr>
      </w:pPr>
      <w:r>
        <w:rPr>
          <w:rFonts w:hint="eastAsia"/>
          <w:color w:val="auto"/>
          <w:highlight w:val="none"/>
        </w:rPr>
        <w:t>在已有法律法规条例的基础上，自2018年以来，各有关部门陆续出台、修订了相关法规、条例，包括《青岛市崂山风景区条例》（2018修正）、《青岛市湿地保护条例》（2018年）、《青岛市海洋环境保护规定》（2018修正）、《青岛市胶州湾保护条例》（2</w:t>
      </w:r>
      <w:r>
        <w:rPr>
          <w:color w:val="auto"/>
          <w:highlight w:val="none"/>
        </w:rPr>
        <w:t>018</w:t>
      </w:r>
      <w:r>
        <w:rPr>
          <w:rFonts w:hint="eastAsia"/>
          <w:color w:val="auto"/>
          <w:highlight w:val="none"/>
        </w:rPr>
        <w:t>年修正）、《青岛市无居民海岛管理条例》（2</w:t>
      </w:r>
      <w:r>
        <w:rPr>
          <w:color w:val="auto"/>
          <w:highlight w:val="none"/>
        </w:rPr>
        <w:t>018</w:t>
      </w:r>
      <w:r>
        <w:rPr>
          <w:rFonts w:hint="eastAsia"/>
          <w:color w:val="auto"/>
          <w:highlight w:val="none"/>
        </w:rPr>
        <w:t>年修正）、《青岛市海岸带保护与利用管理条例》（2019年）、《青岛市河道管理条例》（20</w:t>
      </w:r>
      <w:r>
        <w:rPr>
          <w:color w:val="auto"/>
          <w:highlight w:val="none"/>
        </w:rPr>
        <w:t>20</w:t>
      </w:r>
      <w:r>
        <w:rPr>
          <w:rFonts w:hint="eastAsia"/>
          <w:color w:val="auto"/>
          <w:highlight w:val="none"/>
        </w:rPr>
        <w:t>修正）、</w:t>
      </w:r>
      <w:r>
        <w:rPr>
          <w:rFonts w:hint="eastAsia" w:hAnsi="仿宋"/>
          <w:color w:val="auto"/>
          <w:szCs w:val="28"/>
          <w:highlight w:val="none"/>
        </w:rPr>
        <w:t>《青岛市海洋渔业管理条例》（2020年</w:t>
      </w:r>
      <w:r>
        <w:rPr>
          <w:rFonts w:hint="eastAsia"/>
          <w:color w:val="auto"/>
          <w:highlight w:val="none"/>
        </w:rPr>
        <w:t>修正</w:t>
      </w:r>
      <w:r>
        <w:rPr>
          <w:rFonts w:hint="eastAsia" w:hAnsi="仿宋"/>
          <w:color w:val="auto"/>
          <w:szCs w:val="28"/>
          <w:highlight w:val="none"/>
        </w:rPr>
        <w:t>）、《青岛市古树名木保护管理办法》（2020年修正）、《青岛市饮用水水源保护条例》（2021年）、《青岛市海洋牧场管理条例》（2</w:t>
      </w:r>
      <w:r>
        <w:rPr>
          <w:rFonts w:hAnsi="仿宋"/>
          <w:color w:val="auto"/>
          <w:szCs w:val="28"/>
          <w:highlight w:val="none"/>
        </w:rPr>
        <w:t>022</w:t>
      </w:r>
      <w:r>
        <w:rPr>
          <w:rFonts w:hint="eastAsia" w:hAnsi="仿宋"/>
          <w:color w:val="auto"/>
          <w:szCs w:val="28"/>
          <w:highlight w:val="none"/>
        </w:rPr>
        <w:t>年）</w:t>
      </w:r>
      <w:r>
        <w:rPr>
          <w:rFonts w:hint="eastAsia"/>
          <w:color w:val="auto"/>
          <w:highlight w:val="none"/>
        </w:rPr>
        <w:t>等，明确提出了维护生态系统功能、加强对生物多样性和典型生态系统的保护，明确了监督管理的主要内容、部门职责以及违法行为等，为青岛市生物多样性保护提供了法律依据。</w:t>
      </w:r>
    </w:p>
    <w:p>
      <w:pPr>
        <w:pStyle w:val="7"/>
        <w:ind w:firstLine="632"/>
        <w:rPr>
          <w:color w:val="auto"/>
          <w:highlight w:val="none"/>
        </w:rPr>
      </w:pPr>
      <w:r>
        <w:rPr>
          <w:color w:val="auto"/>
          <w:highlight w:val="none"/>
        </w:rPr>
        <w:t>1.2</w:t>
      </w:r>
      <w:r>
        <w:rPr>
          <w:rFonts w:ascii="Times New Roman" w:hAnsi="Times New Roman"/>
          <w:color w:val="auto"/>
          <w:highlight w:val="none"/>
        </w:rPr>
        <w:t>生物多样性保护纳入相关规划及政策文件</w:t>
      </w:r>
    </w:p>
    <w:p>
      <w:pPr>
        <w:ind w:firstLine="632"/>
        <w:rPr>
          <w:color w:val="auto"/>
          <w:highlight w:val="none"/>
        </w:rPr>
      </w:pPr>
      <w:r>
        <w:rPr>
          <w:rFonts w:hint="eastAsia"/>
          <w:color w:val="auto"/>
          <w:highlight w:val="none"/>
        </w:rPr>
        <w:t>2018年以来，青岛市有关部门陆续发布的《青岛市国民经济和社会发展第十四个五年规划和2035年远景目标纲要》（2021</w:t>
      </w:r>
      <w:r>
        <w:rPr>
          <w:rFonts w:hint="eastAsia" w:hAnsi="仿宋"/>
          <w:color w:val="auto"/>
          <w:szCs w:val="28"/>
          <w:highlight w:val="none"/>
        </w:rPr>
        <w:t>年</w:t>
      </w:r>
      <w:r>
        <w:rPr>
          <w:rFonts w:hint="eastAsia"/>
          <w:color w:val="auto"/>
          <w:highlight w:val="none"/>
        </w:rPr>
        <w:t>）</w:t>
      </w:r>
      <w:r>
        <w:rPr>
          <w:rFonts w:hint="eastAsia" w:hAnsi="仿宋"/>
          <w:color w:val="auto"/>
          <w:szCs w:val="28"/>
          <w:highlight w:val="none"/>
        </w:rPr>
        <w:t>、</w:t>
      </w:r>
      <w:r>
        <w:rPr>
          <w:rFonts w:hint="eastAsia"/>
          <w:color w:val="auto"/>
          <w:highlight w:val="none"/>
        </w:rPr>
        <w:t>《青岛市国土空间总体规划（2021-2035年）》（在编，2021</w:t>
      </w:r>
      <w:r>
        <w:rPr>
          <w:rFonts w:hint="eastAsia" w:hAnsi="仿宋"/>
          <w:color w:val="auto"/>
          <w:szCs w:val="28"/>
          <w:highlight w:val="none"/>
        </w:rPr>
        <w:t>年</w:t>
      </w:r>
      <w:r>
        <w:rPr>
          <w:rFonts w:hint="eastAsia"/>
          <w:color w:val="auto"/>
          <w:highlight w:val="none"/>
        </w:rPr>
        <w:t>）</w:t>
      </w:r>
      <w:r>
        <w:rPr>
          <w:rFonts w:hint="eastAsia" w:hAnsi="仿宋"/>
          <w:color w:val="auto"/>
          <w:szCs w:val="28"/>
          <w:highlight w:val="none"/>
        </w:rPr>
        <w:t>、《青岛市“十四五”生态环境保护规划》（2</w:t>
      </w:r>
      <w:r>
        <w:rPr>
          <w:rFonts w:hAnsi="仿宋"/>
          <w:color w:val="auto"/>
          <w:szCs w:val="28"/>
          <w:highlight w:val="none"/>
        </w:rPr>
        <w:t>021</w:t>
      </w:r>
      <w:r>
        <w:rPr>
          <w:rFonts w:hint="eastAsia" w:hAnsi="仿宋"/>
          <w:color w:val="auto"/>
          <w:szCs w:val="28"/>
          <w:highlight w:val="none"/>
        </w:rPr>
        <w:t>年）、《青岛市“十四五”海洋生态环境保护规划》（2</w:t>
      </w:r>
      <w:r>
        <w:rPr>
          <w:rFonts w:hAnsi="仿宋"/>
          <w:color w:val="auto"/>
          <w:szCs w:val="28"/>
          <w:highlight w:val="none"/>
        </w:rPr>
        <w:t>021</w:t>
      </w:r>
      <w:r>
        <w:rPr>
          <w:rFonts w:hint="eastAsia" w:hAnsi="仿宋"/>
          <w:color w:val="auto"/>
          <w:szCs w:val="28"/>
          <w:highlight w:val="none"/>
        </w:rPr>
        <w:t>年）、《美丽青岛建设规划纲要（2022-2035年）（2</w:t>
      </w:r>
      <w:r>
        <w:rPr>
          <w:rFonts w:hAnsi="仿宋"/>
          <w:color w:val="auto"/>
          <w:szCs w:val="28"/>
          <w:highlight w:val="none"/>
        </w:rPr>
        <w:t>023</w:t>
      </w:r>
      <w:r>
        <w:rPr>
          <w:rFonts w:hint="eastAsia" w:hAnsi="仿宋"/>
          <w:color w:val="auto"/>
          <w:szCs w:val="28"/>
          <w:highlight w:val="none"/>
        </w:rPr>
        <w:t>年）</w:t>
      </w:r>
      <w:r>
        <w:rPr>
          <w:rFonts w:hint="eastAsia"/>
          <w:color w:val="auto"/>
          <w:highlight w:val="none"/>
        </w:rPr>
        <w:t>等文件，以及各类保护区相关总体和专项规划，提出推进山水林田湖海沙全要素系统修复，保护生物栖息地，构建生态廊道和生物多样性保护网络，明确了生物多样性保护的工作重点，为推进青岛市生物多样性保护工作提供了政策依据。</w:t>
      </w:r>
    </w:p>
    <w:p>
      <w:pPr>
        <w:pStyle w:val="7"/>
        <w:ind w:firstLine="632"/>
        <w:rPr>
          <w:color w:val="auto"/>
          <w:highlight w:val="none"/>
        </w:rPr>
      </w:pPr>
      <w:r>
        <w:rPr>
          <w:color w:val="auto"/>
          <w:highlight w:val="none"/>
        </w:rPr>
        <w:t>1.3</w:t>
      </w:r>
      <w:r>
        <w:rPr>
          <w:rFonts w:ascii="Times New Roman" w:hAnsi="Times New Roman"/>
          <w:color w:val="auto"/>
          <w:highlight w:val="none"/>
        </w:rPr>
        <w:t>生物多样性保护工作体制进一步完善</w:t>
      </w:r>
    </w:p>
    <w:p>
      <w:pPr>
        <w:ind w:firstLine="632"/>
        <w:rPr>
          <w:color w:val="auto"/>
          <w:highlight w:val="none"/>
        </w:rPr>
      </w:pPr>
      <w:r>
        <w:rPr>
          <w:rFonts w:hint="eastAsia"/>
          <w:color w:val="auto"/>
          <w:highlight w:val="none"/>
        </w:rPr>
        <w:t>市自然资源与规划局、市生态环境局、</w:t>
      </w:r>
      <w:r>
        <w:rPr>
          <w:color w:val="auto"/>
          <w:highlight w:val="none"/>
        </w:rPr>
        <w:t>市园林和林业局</w:t>
      </w:r>
      <w:r>
        <w:rPr>
          <w:rFonts w:hint="eastAsia"/>
          <w:color w:val="auto"/>
          <w:highlight w:val="none"/>
        </w:rPr>
        <w:t>、</w:t>
      </w:r>
      <w:r>
        <w:rPr>
          <w:color w:val="auto"/>
          <w:highlight w:val="none"/>
        </w:rPr>
        <w:t>市</w:t>
      </w:r>
      <w:r>
        <w:rPr>
          <w:rFonts w:hint="eastAsia"/>
          <w:color w:val="auto"/>
          <w:highlight w:val="none"/>
        </w:rPr>
        <w:t>海洋发展</w:t>
      </w:r>
      <w:r>
        <w:rPr>
          <w:color w:val="auto"/>
          <w:highlight w:val="none"/>
        </w:rPr>
        <w:t>局</w:t>
      </w:r>
      <w:r>
        <w:rPr>
          <w:rFonts w:hint="eastAsia"/>
          <w:color w:val="auto"/>
          <w:highlight w:val="none"/>
        </w:rPr>
        <w:t>、</w:t>
      </w:r>
      <w:r>
        <w:rPr>
          <w:color w:val="auto"/>
          <w:highlight w:val="none"/>
        </w:rPr>
        <w:t>市农业农村局</w:t>
      </w:r>
      <w:r>
        <w:rPr>
          <w:rFonts w:hint="eastAsia"/>
          <w:color w:val="auto"/>
          <w:highlight w:val="none"/>
        </w:rPr>
        <w:t>、</w:t>
      </w:r>
      <w:r>
        <w:rPr>
          <w:color w:val="auto"/>
          <w:highlight w:val="none"/>
        </w:rPr>
        <w:t>青岛海关</w:t>
      </w:r>
      <w:r>
        <w:rPr>
          <w:rFonts w:hint="eastAsia"/>
          <w:color w:val="auto"/>
          <w:highlight w:val="none"/>
        </w:rPr>
        <w:t>等有关政府部门均设立了相关职能机构，统筹开展自然资源保护和利用、生态系统保护与修复、自然保护地保护管理和监督、生物多样性调查监测、种质资源保护繁育、外来入侵物种、病原菌等生物灾害监测预警及防治等生物多样性保护相关工作。</w:t>
      </w:r>
      <w:r>
        <w:rPr>
          <w:rFonts w:hint="eastAsia" w:ascii="仿宋_GB2312" w:hAnsi="仿宋_GB2312" w:cs="仿宋_GB2312"/>
          <w:color w:val="auto"/>
          <w:kern w:val="0"/>
          <w:highlight w:val="none"/>
        </w:rPr>
        <w:t>市委、市政府将生物多样性保护纳入青岛市第十三次党代会报告和市政府工作报告，并定期调度工作情况，强化了各级各方面保护生物多样性的共识与合力。</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2.生物多样性保护基础调查研究工作取得进展</w:t>
      </w:r>
    </w:p>
    <w:p>
      <w:pPr>
        <w:ind w:firstLine="632"/>
        <w:rPr>
          <w:color w:val="auto"/>
          <w:highlight w:val="none"/>
        </w:rPr>
      </w:pPr>
      <w:r>
        <w:rPr>
          <w:rFonts w:hint="eastAsia"/>
          <w:color w:val="auto"/>
          <w:highlight w:val="none"/>
        </w:rPr>
        <w:t>近年来，</w:t>
      </w:r>
      <w:r>
        <w:rPr>
          <w:rFonts w:hint="eastAsia" w:ascii="仿宋_GB2312"/>
          <w:color w:val="auto"/>
          <w:highlight w:val="none"/>
        </w:rPr>
        <w:t>生物多样性本底资源调查监测工作有序推进。截至2023年底，全市7个自然保护区，已经初步掌握了其中5个的物种情况；</w:t>
      </w:r>
      <w:r>
        <w:rPr>
          <w:rFonts w:hint="eastAsia" w:ascii="仿宋_GB2312" w:hAnsi="仿宋_GB2312" w:cs="仿宋_GB2312"/>
          <w:color w:val="auto"/>
          <w:kern w:val="0"/>
          <w:highlight w:val="none"/>
        </w:rPr>
        <w:t>实施崂山</w:t>
      </w:r>
      <w:r>
        <w:rPr>
          <w:rFonts w:hint="eastAsia" w:ascii="仿宋_GB2312" w:hAnsi="仿宋_GB2312" w:cs="仿宋_GB2312"/>
          <w:color w:val="auto"/>
          <w:highlight w:val="none"/>
        </w:rPr>
        <w:t>生物多样性保护优先区域生物多样性调查，基本摸清崂山生物多样性保护优先区域物种多样性状况；西海岸新区、胶州市启动县（区）域全域生物多样性调查；开展大沽河、李村河、墨水河及南胶莱河生态环境质量现状调查评估，大体掌握重点流域水生生物多样性现状；</w:t>
      </w:r>
      <w:r>
        <w:rPr>
          <w:rFonts w:hint="eastAsia" w:ascii="仿宋_GB2312" w:hAnsi="仿宋_GB2312" w:cs="仿宋_GB2312"/>
          <w:bCs/>
          <w:color w:val="auto"/>
          <w:highlight w:val="none"/>
        </w:rPr>
        <w:t>完成了</w:t>
      </w:r>
      <w:r>
        <w:rPr>
          <w:rFonts w:hint="eastAsia" w:ascii="仿宋_GB2312" w:hAnsi="仿宋_GB2312" w:cs="仿宋_GB2312"/>
          <w:color w:val="auto"/>
          <w:highlight w:val="none"/>
        </w:rPr>
        <w:t>胶州湾、崂山湾、丁字湾等3个</w:t>
      </w:r>
      <w:r>
        <w:rPr>
          <w:rFonts w:hint="eastAsia" w:ascii="仿宋_GB2312" w:hAnsi="仿宋_GB2312" w:cs="仿宋_GB2312"/>
          <w:bCs/>
          <w:color w:val="auto"/>
          <w:highlight w:val="none"/>
        </w:rPr>
        <w:t>重点海湾的海洋生物本底调查</w:t>
      </w:r>
      <w:r>
        <w:rPr>
          <w:rFonts w:hint="eastAsia" w:ascii="仿宋_GB2312" w:hAnsi="仿宋_GB2312" w:cs="仿宋_GB2312"/>
          <w:color w:val="auto"/>
          <w:highlight w:val="none"/>
        </w:rPr>
        <w:t>，</w:t>
      </w:r>
      <w:r>
        <w:rPr>
          <w:rFonts w:hint="eastAsia" w:ascii="仿宋_GB2312"/>
          <w:color w:val="auto"/>
          <w:highlight w:val="none"/>
        </w:rPr>
        <w:t>基本摸清了全市重点海湾主要生物类群的物种组成、丰度和多样性的水平分布与季节变化规律，为全市生物多样性保护工作奠定了扎实的科学基础</w:t>
      </w:r>
      <w:r>
        <w:rPr>
          <w:rFonts w:hint="eastAsia" w:ascii="仿宋_GB2312" w:hAnsi="仿宋_GB2312" w:cs="仿宋_GB2312"/>
          <w:color w:val="auto"/>
          <w:highlight w:val="none"/>
        </w:rPr>
        <w:t>。</w:t>
      </w:r>
    </w:p>
    <w:p>
      <w:pPr>
        <w:pStyle w:val="6"/>
        <w:ind w:firstLine="632"/>
        <w:rPr>
          <w:rFonts w:ascii="楷体_GB2312" w:hAnsi="楷体_GB2312" w:eastAsia="楷体_GB2312" w:cs="楷体_GB2312"/>
          <w:b w:val="0"/>
          <w:bCs w:val="0"/>
          <w:color w:val="auto"/>
          <w:highlight w:val="none"/>
        </w:rPr>
      </w:pPr>
      <w:bookmarkStart w:id="16" w:name="_Toc360114883"/>
      <w:bookmarkStart w:id="17" w:name="_Toc396812351"/>
      <w:bookmarkStart w:id="18" w:name="_Toc531604412"/>
      <w:r>
        <w:rPr>
          <w:rFonts w:hint="eastAsia" w:ascii="楷体_GB2312" w:hAnsi="楷体_GB2312" w:eastAsia="楷体_GB2312" w:cs="楷体_GB2312"/>
          <w:b w:val="0"/>
          <w:bCs w:val="0"/>
          <w:color w:val="auto"/>
          <w:highlight w:val="none"/>
        </w:rPr>
        <w:t>3.</w:t>
      </w:r>
      <w:bookmarkEnd w:id="16"/>
      <w:bookmarkEnd w:id="17"/>
      <w:bookmarkEnd w:id="18"/>
      <w:r>
        <w:rPr>
          <w:rFonts w:hint="eastAsia" w:ascii="楷体_GB2312" w:hAnsi="楷体_GB2312" w:eastAsia="楷体_GB2312" w:cs="楷体_GB2312"/>
          <w:b w:val="0"/>
          <w:bCs w:val="0"/>
          <w:color w:val="auto"/>
          <w:highlight w:val="none"/>
        </w:rPr>
        <w:t>生物多样性就地保护工作稳步推进</w:t>
      </w:r>
    </w:p>
    <w:p>
      <w:pPr>
        <w:pStyle w:val="7"/>
        <w:ind w:firstLine="632"/>
        <w:rPr>
          <w:rFonts w:ascii="Times New Roman" w:hAnsi="Times New Roman"/>
          <w:color w:val="auto"/>
          <w:highlight w:val="none"/>
        </w:rPr>
      </w:pPr>
      <w:r>
        <w:rPr>
          <w:color w:val="auto"/>
          <w:highlight w:val="none"/>
        </w:rPr>
        <w:t>3.1</w:t>
      </w:r>
      <w:r>
        <w:rPr>
          <w:rFonts w:hint="eastAsia" w:ascii="Times New Roman" w:hAnsi="Times New Roman"/>
          <w:color w:val="auto"/>
          <w:highlight w:val="none"/>
        </w:rPr>
        <w:t>优化自然保护地体系，构建生物多样性保护空间网络</w:t>
      </w:r>
    </w:p>
    <w:p>
      <w:pPr>
        <w:ind w:firstLine="632"/>
        <w:rPr>
          <w:color w:val="auto"/>
          <w:highlight w:val="none"/>
        </w:rPr>
      </w:pPr>
      <w:r>
        <w:rPr>
          <w:rFonts w:hint="eastAsia" w:ascii="仿宋_GB2312" w:hAnsi="仿宋_GB2312" w:cs="仿宋_GB2312"/>
          <w:color w:val="auto"/>
          <w:highlight w:val="none"/>
          <w:shd w:val="clear" w:color="auto" w:fill="FFFFFF"/>
        </w:rPr>
        <w:t>有序推进</w:t>
      </w:r>
      <w:r>
        <w:rPr>
          <w:rFonts w:hint="eastAsia"/>
          <w:color w:val="auto"/>
          <w:highlight w:val="none"/>
        </w:rPr>
        <w:t>青岛市自然保护地整合优化，在一定程度上解决了自然保护地空间重叠、管理机构权责不明等问题，有助于生物多样性保护。</w:t>
      </w:r>
      <w:r>
        <w:rPr>
          <w:rFonts w:hint="eastAsia" w:ascii="仿宋_GB2312" w:hAnsi="宋体"/>
          <w:color w:val="auto"/>
          <w:highlight w:val="none"/>
        </w:rPr>
        <w:t>优化调整生态保护红线，将各级自然保护地、水源地一级保护区、国家一级公益林、滨海湿地、重要河口、滩涂及浅海生态系统、特殊保护海岛等生态功能极重要和极敏感区纳入生态保护红线，进行统一监管，</w:t>
      </w:r>
      <w:r>
        <w:rPr>
          <w:rFonts w:hint="eastAsia" w:ascii="仿宋_GB2312" w:hAnsi="黑体" w:cs="方正楷体_GB2312"/>
          <w:color w:val="auto"/>
          <w:highlight w:val="none"/>
          <w:shd w:val="clear" w:color="090000" w:fill="FFFFFF"/>
        </w:rPr>
        <w:t>制定实施</w:t>
      </w:r>
      <w:r>
        <w:rPr>
          <w:rFonts w:hint="eastAsia" w:ascii="仿宋_GB2312"/>
          <w:color w:val="auto"/>
          <w:szCs w:val="36"/>
          <w:highlight w:val="none"/>
        </w:rPr>
        <w:t>《青岛市加强生态保护红线管理实施方案》</w:t>
      </w:r>
      <w:r>
        <w:rPr>
          <w:rFonts w:hint="eastAsia" w:ascii="仿宋_GB2312"/>
          <w:color w:val="auto"/>
          <w:highlight w:val="none"/>
        </w:rPr>
        <w:t>等文件</w:t>
      </w:r>
      <w:r>
        <w:rPr>
          <w:rFonts w:hint="eastAsia" w:ascii="仿宋_GB2312" w:hAnsi="宋体"/>
          <w:color w:val="auto"/>
          <w:highlight w:val="none"/>
        </w:rPr>
        <w:t>。</w:t>
      </w:r>
      <w:r>
        <w:rPr>
          <w:rFonts w:hint="eastAsia" w:ascii="仿宋_GB2312" w:hAnsi="仿宋_GB2312" w:cs="仿宋_GB2312"/>
          <w:color w:val="auto"/>
          <w:highlight w:val="none"/>
        </w:rPr>
        <w:t>坚持陆海一体、统筹协调，着力构建“一湾两翼、三山一原、一轴多廊”的生态空间格局。</w:t>
      </w:r>
    </w:p>
    <w:p>
      <w:pPr>
        <w:pStyle w:val="7"/>
        <w:ind w:firstLine="632"/>
        <w:rPr>
          <w:color w:val="auto"/>
          <w:highlight w:val="none"/>
        </w:rPr>
      </w:pPr>
      <w:r>
        <w:rPr>
          <w:color w:val="auto"/>
          <w:highlight w:val="none"/>
        </w:rPr>
        <w:t>3.2</w:t>
      </w:r>
      <w:r>
        <w:rPr>
          <w:rFonts w:hint="eastAsia"/>
          <w:color w:val="auto"/>
          <w:highlight w:val="none"/>
        </w:rPr>
        <w:t>设立生物多样性养护观测站</w:t>
      </w:r>
    </w:p>
    <w:p>
      <w:pPr>
        <w:ind w:firstLine="632"/>
        <w:rPr>
          <w:color w:val="auto"/>
          <w:highlight w:val="none"/>
        </w:rPr>
      </w:pPr>
      <w:r>
        <w:rPr>
          <w:rFonts w:hint="eastAsia" w:ascii="仿宋_GB2312" w:hAnsi="仿宋_GB2312" w:cs="仿宋_GB2312"/>
          <w:color w:val="auto"/>
          <w:kern w:val="0"/>
          <w:highlight w:val="none"/>
        </w:rPr>
        <w:t>筹划建立生物多样性养护观测站，以保护重点物种为契机，通过提升栖息地生态系统完整性、稳定性和恢复力，提升全市生物多样性保护水平。建立青岛百合养护观测站，</w:t>
      </w:r>
      <w:r>
        <w:rPr>
          <w:rFonts w:hint="eastAsia" w:ascii="仿宋_GB2312" w:hAnsi="仿宋_GB2312" w:cs="仿宋_GB2312"/>
          <w:color w:val="auto"/>
          <w:highlight w:val="none"/>
        </w:rPr>
        <w:t>逐步实现对国家重点保护植物青岛百合的综合保护，并借此</w:t>
      </w:r>
      <w:r>
        <w:rPr>
          <w:rFonts w:hint="eastAsia" w:ascii="仿宋_GB2312" w:hAnsi="仿宋_GB2312" w:cs="仿宋_GB2312"/>
          <w:color w:val="auto"/>
          <w:kern w:val="0"/>
          <w:highlight w:val="none"/>
        </w:rPr>
        <w:t>探索濒危物种的综合保护机制；建立胶州湾重点保护鸟类养护观测站，</w:t>
      </w:r>
      <w:r>
        <w:rPr>
          <w:rFonts w:hint="eastAsia" w:ascii="仿宋_GB2312" w:hAnsi="黑体"/>
          <w:color w:val="auto"/>
          <w:highlight w:val="none"/>
        </w:rPr>
        <w:t>跟踪监测、</w:t>
      </w:r>
      <w:r>
        <w:rPr>
          <w:rFonts w:hint="eastAsia" w:ascii="仿宋_GB2312" w:hAnsi="仿宋_GB2312" w:cs="仿宋_GB2312"/>
          <w:color w:val="auto"/>
          <w:kern w:val="0"/>
          <w:highlight w:val="none"/>
        </w:rPr>
        <w:t>保护</w:t>
      </w:r>
      <w:r>
        <w:rPr>
          <w:rFonts w:hint="eastAsia" w:ascii="仿宋_GB2312" w:hAnsi="黑体"/>
          <w:color w:val="auto"/>
          <w:highlight w:val="none"/>
        </w:rPr>
        <w:t>包括中华凤头燕鸥在内的全球珍稀濒危和国家重点保护鸟类，维持并提升胶州湾滨海湿地生态系统的完整性、稳定性和恢复力。</w:t>
      </w:r>
    </w:p>
    <w:p>
      <w:pPr>
        <w:pStyle w:val="7"/>
        <w:ind w:firstLine="632"/>
        <w:rPr>
          <w:color w:val="auto"/>
          <w:highlight w:val="none"/>
        </w:rPr>
      </w:pPr>
      <w:r>
        <w:rPr>
          <w:color w:val="auto"/>
          <w:highlight w:val="none"/>
        </w:rPr>
        <w:t>3.3</w:t>
      </w:r>
      <w:r>
        <w:rPr>
          <w:rFonts w:hint="eastAsia"/>
          <w:color w:val="auto"/>
          <w:highlight w:val="none"/>
        </w:rPr>
        <w:t>积极</w:t>
      </w:r>
      <w:r>
        <w:rPr>
          <w:rFonts w:ascii="Times New Roman" w:hAnsi="Times New Roman"/>
          <w:color w:val="auto"/>
          <w:highlight w:val="none"/>
        </w:rPr>
        <w:t>推进生态系统保护和恢复</w:t>
      </w:r>
    </w:p>
    <w:p>
      <w:pPr>
        <w:ind w:firstLine="632"/>
        <w:rPr>
          <w:color w:val="auto"/>
          <w:highlight w:val="none"/>
        </w:rPr>
      </w:pPr>
      <w:bookmarkStart w:id="19" w:name="_Toc531604413"/>
      <w:bookmarkStart w:id="20" w:name="_Toc360114884"/>
      <w:bookmarkStart w:id="21" w:name="_Toc396812352"/>
      <w:r>
        <w:rPr>
          <w:rFonts w:hint="eastAsia" w:ascii="仿宋_GB2312" w:hAnsi="宋体"/>
          <w:color w:val="auto"/>
          <w:highlight w:val="none"/>
        </w:rPr>
        <w:t>统筹山水林田海岛湾系统保护修复，科学谋划市域国土空间生态修复总体布局，提升生态系统服务功能。</w:t>
      </w:r>
      <w:r>
        <w:rPr>
          <w:rFonts w:hint="eastAsia"/>
          <w:color w:val="auto"/>
          <w:highlight w:val="none"/>
        </w:rPr>
        <w:t>实施了一批国土绿化行动、生态廊道工程、北部绿色生态屏障建设、城区郊野（山头）公园建设、海岸带保护修复工程、滨海和河流湿地生态系统修复、</w:t>
      </w:r>
      <w:r>
        <w:rPr>
          <w:rFonts w:ascii="Helvetica" w:hAnsi="Helvetica"/>
          <w:color w:val="auto"/>
          <w:highlight w:val="none"/>
          <w:shd w:val="clear" w:color="auto" w:fill="FFFFFF"/>
        </w:rPr>
        <w:t>地质环境综合治理、矿坑生态修复</w:t>
      </w:r>
      <w:r>
        <w:rPr>
          <w:rFonts w:hint="eastAsia"/>
          <w:color w:val="auto"/>
          <w:highlight w:val="none"/>
        </w:rPr>
        <w:t>等生态系统保护和修复工作，建设了</w:t>
      </w:r>
      <w:r>
        <w:rPr>
          <w:rFonts w:hint="eastAsia" w:ascii="仿宋_GB2312" w:hAnsi="仿宋_GB2312" w:cs="仿宋_GB2312"/>
          <w:color w:val="auto"/>
          <w:kern w:val="0"/>
          <w:highlight w:val="none"/>
        </w:rPr>
        <w:t>崂山湾海藻场养护观测站，</w:t>
      </w:r>
      <w:r>
        <w:rPr>
          <w:rFonts w:hint="eastAsia"/>
          <w:color w:val="auto"/>
          <w:highlight w:val="none"/>
        </w:rPr>
        <w:t>全面提升全市生态系统生境质量。</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4.</w:t>
      </w:r>
      <w:bookmarkEnd w:id="19"/>
      <w:bookmarkEnd w:id="20"/>
      <w:bookmarkEnd w:id="21"/>
      <w:r>
        <w:rPr>
          <w:rFonts w:hint="eastAsia" w:ascii="楷体_GB2312" w:hAnsi="楷体_GB2312" w:eastAsia="楷体_GB2312" w:cs="楷体_GB2312"/>
          <w:b w:val="0"/>
          <w:bCs w:val="0"/>
          <w:color w:val="auto"/>
          <w:highlight w:val="none"/>
        </w:rPr>
        <w:t>生物多样性迁地保护取得一定成效</w:t>
      </w:r>
    </w:p>
    <w:p>
      <w:pPr>
        <w:ind w:firstLine="632"/>
        <w:rPr>
          <w:color w:val="auto"/>
          <w:highlight w:val="none"/>
        </w:rPr>
      </w:pPr>
      <w:bookmarkStart w:id="22" w:name="_Toc88809790"/>
      <w:r>
        <w:rPr>
          <w:rFonts w:hint="eastAsia"/>
          <w:color w:val="auto"/>
          <w:highlight w:val="none"/>
        </w:rPr>
        <w:t>截至2023年底，青岛市现建有市级动物园1个，市级植物园1个，水族馆1个。青岛森林野生动物世界充分发挥了动物园在珍稀濒危动物保护、救护、教育等方面的综合功能。青岛市植物园</w:t>
      </w:r>
      <w:r>
        <w:rPr>
          <w:color w:val="auto"/>
          <w:highlight w:val="none"/>
        </w:rPr>
        <w:t>是</w:t>
      </w:r>
      <w:r>
        <w:rPr>
          <w:rFonts w:hint="eastAsia"/>
          <w:color w:val="auto"/>
          <w:highlight w:val="none"/>
        </w:rPr>
        <w:t>青岛本土</w:t>
      </w:r>
      <w:r>
        <w:rPr>
          <w:color w:val="auto"/>
          <w:highlight w:val="none"/>
        </w:rPr>
        <w:t>植物和外来植物的活标本园</w:t>
      </w:r>
      <w:r>
        <w:rPr>
          <w:rFonts w:hint="eastAsia"/>
          <w:color w:val="auto"/>
          <w:highlight w:val="none"/>
        </w:rPr>
        <w:t>，是</w:t>
      </w:r>
      <w:r>
        <w:rPr>
          <w:color w:val="auto"/>
          <w:highlight w:val="none"/>
        </w:rPr>
        <w:t>市区内最大的耐冬种植保护基地</w:t>
      </w:r>
      <w:r>
        <w:rPr>
          <w:rFonts w:hint="eastAsia"/>
          <w:color w:val="auto"/>
          <w:highlight w:val="none"/>
        </w:rPr>
        <w:t>，</w:t>
      </w:r>
      <w:r>
        <w:rPr>
          <w:color w:val="auto"/>
          <w:highlight w:val="none"/>
        </w:rPr>
        <w:t>有维管束植物33目76科156属23</w:t>
      </w:r>
      <w:r>
        <w:rPr>
          <w:rFonts w:hint="eastAsia"/>
          <w:color w:val="auto"/>
          <w:highlight w:val="none"/>
        </w:rPr>
        <w:t>0余</w:t>
      </w:r>
      <w:r>
        <w:rPr>
          <w:color w:val="auto"/>
          <w:highlight w:val="none"/>
        </w:rPr>
        <w:t>种，其中</w:t>
      </w:r>
      <w:r>
        <w:rPr>
          <w:rFonts w:hint="eastAsia"/>
          <w:color w:val="auto"/>
          <w:highlight w:val="none"/>
        </w:rPr>
        <w:t>，</w:t>
      </w:r>
      <w:r>
        <w:rPr>
          <w:color w:val="auto"/>
          <w:highlight w:val="none"/>
        </w:rPr>
        <w:t>国家</w:t>
      </w:r>
      <w:r>
        <w:rPr>
          <w:rFonts w:hint="eastAsia" w:ascii="宋体" w:hAnsi="宋体" w:cs="宋体"/>
          <w:color w:val="auto"/>
          <w:highlight w:val="none"/>
        </w:rPr>
        <w:t>Ⅰ</w:t>
      </w:r>
      <w:r>
        <w:rPr>
          <w:color w:val="auto"/>
          <w:highlight w:val="none"/>
        </w:rPr>
        <w:t>级保护植物2种</w:t>
      </w:r>
      <w:r>
        <w:rPr>
          <w:rFonts w:hint="eastAsia"/>
          <w:color w:val="auto"/>
          <w:highlight w:val="none"/>
        </w:rPr>
        <w:t>，分别是银杏和水杉；</w:t>
      </w:r>
      <w:r>
        <w:rPr>
          <w:color w:val="auto"/>
          <w:highlight w:val="none"/>
        </w:rPr>
        <w:t>国家</w:t>
      </w:r>
      <w:r>
        <w:rPr>
          <w:rFonts w:hint="eastAsia" w:ascii="宋体" w:hAnsi="宋体" w:cs="宋体"/>
          <w:color w:val="auto"/>
          <w:highlight w:val="none"/>
        </w:rPr>
        <w:t>Ⅱ</w:t>
      </w:r>
      <w:r>
        <w:rPr>
          <w:color w:val="auto"/>
          <w:highlight w:val="none"/>
        </w:rPr>
        <w:t>级保护植物6种</w:t>
      </w:r>
      <w:r>
        <w:rPr>
          <w:rFonts w:hint="eastAsia"/>
          <w:color w:val="auto"/>
          <w:highlight w:val="none"/>
        </w:rPr>
        <w:t>，包括金钱松、鹅掌楸、榧树、厚朴、榉树和香樟。青岛市水族馆是中国第一座水族馆，包括水族馆、海洋生物馆、海豹馆、淡水生物馆，展示了丰富多彩的水生生物，同时在海洋生物的饲养、繁殖研究和海洋知识的普及教育等方面也取得了突出成绩，是我国著名的以展示海洋生物为特色的自然科学博物馆。</w:t>
      </w:r>
    </w:p>
    <w:p>
      <w:pPr>
        <w:ind w:firstLine="632"/>
        <w:rPr>
          <w:color w:val="auto"/>
          <w:highlight w:val="none"/>
        </w:rPr>
      </w:pPr>
      <w:r>
        <w:rPr>
          <w:color w:val="auto"/>
          <w:highlight w:val="none"/>
        </w:rPr>
        <w:t>物种种质资源库和基地建设进一步完善</w:t>
      </w:r>
      <w:bookmarkEnd w:id="22"/>
      <w:r>
        <w:rPr>
          <w:color w:val="auto"/>
          <w:highlight w:val="none"/>
        </w:rPr>
        <w:t>。崂山被山东省自然资源厅确定为省级林木种质资源保存库，现有</w:t>
      </w:r>
      <w:r>
        <w:rPr>
          <w:rFonts w:hint="eastAsia"/>
          <w:color w:val="auto"/>
          <w:highlight w:val="none"/>
        </w:rPr>
        <w:t>国家级</w:t>
      </w:r>
      <w:r>
        <w:rPr>
          <w:color w:val="auto"/>
          <w:highlight w:val="none"/>
        </w:rPr>
        <w:t>畜禽良种保种场</w:t>
      </w:r>
      <w:r>
        <w:rPr>
          <w:rFonts w:hint="eastAsia"/>
          <w:color w:val="auto"/>
          <w:highlight w:val="none"/>
        </w:rPr>
        <w:t>2个，</w:t>
      </w:r>
      <w:r>
        <w:rPr>
          <w:rFonts w:hint="eastAsia" w:ascii="仿宋_GB2312" w:hAnsi="Calibri"/>
          <w:color w:val="auto"/>
          <w:highlight w:val="none"/>
        </w:rPr>
        <w:t>省级畜禽良种保种场3个</w:t>
      </w:r>
      <w:r>
        <w:rPr>
          <w:color w:val="auto"/>
          <w:highlight w:val="none"/>
        </w:rPr>
        <w:t>。现有农作物良种繁育基地</w:t>
      </w:r>
      <w:r>
        <w:rPr>
          <w:rFonts w:hint="eastAsia"/>
          <w:color w:val="auto"/>
          <w:highlight w:val="none"/>
        </w:rPr>
        <w:t>7</w:t>
      </w:r>
      <w:r>
        <w:rPr>
          <w:color w:val="auto"/>
          <w:highlight w:val="none"/>
        </w:rPr>
        <w:t>处，良种繁育基地达到</w:t>
      </w:r>
      <w:r>
        <w:rPr>
          <w:rFonts w:hint="eastAsia"/>
          <w:color w:val="auto"/>
          <w:highlight w:val="none"/>
        </w:rPr>
        <w:t>26</w:t>
      </w:r>
      <w:r>
        <w:rPr>
          <w:color w:val="auto"/>
          <w:highlight w:val="none"/>
        </w:rPr>
        <w:t>万亩。</w:t>
      </w:r>
      <w:r>
        <w:rPr>
          <w:rFonts w:hint="eastAsia" w:ascii="仿宋_GB2312" w:hAnsi="Calibri"/>
          <w:color w:val="auto"/>
          <w:highlight w:val="none"/>
        </w:rPr>
        <w:t>完成第三次全国农作物种质资源普查。</w:t>
      </w:r>
      <w:r>
        <w:rPr>
          <w:color w:val="auto"/>
          <w:highlight w:val="none"/>
        </w:rPr>
        <w:t>完成建设国家海洋渔业生物种质资源库和海洋渔业生物遗传育种基地，建设青岛市水产种苗研发中试基地，完善了水产</w:t>
      </w:r>
      <w:r>
        <w:rPr>
          <w:rFonts w:hint="eastAsia"/>
          <w:color w:val="auto"/>
          <w:highlight w:val="none"/>
        </w:rPr>
        <w:t>原、</w:t>
      </w:r>
      <w:r>
        <w:rPr>
          <w:color w:val="auto"/>
          <w:highlight w:val="none"/>
        </w:rPr>
        <w:t>良种场体系建设，全市拥有国家级良种场1处，省级</w:t>
      </w:r>
      <w:r>
        <w:rPr>
          <w:rFonts w:hint="eastAsia"/>
          <w:color w:val="auto"/>
          <w:highlight w:val="none"/>
        </w:rPr>
        <w:t>原、</w:t>
      </w:r>
      <w:r>
        <w:rPr>
          <w:color w:val="auto"/>
          <w:highlight w:val="none"/>
        </w:rPr>
        <w:t>良种场</w:t>
      </w:r>
      <w:r>
        <w:rPr>
          <w:rFonts w:hint="eastAsia"/>
          <w:color w:val="auto"/>
          <w:highlight w:val="none"/>
        </w:rPr>
        <w:t>21</w:t>
      </w:r>
      <w:r>
        <w:rPr>
          <w:color w:val="auto"/>
          <w:highlight w:val="none"/>
        </w:rPr>
        <w:t>处。</w:t>
      </w:r>
    </w:p>
    <w:p>
      <w:pPr>
        <w:pStyle w:val="6"/>
        <w:ind w:firstLine="632"/>
        <w:rPr>
          <w:rFonts w:ascii="楷体_GB2312" w:hAnsi="楷体_GB2312" w:eastAsia="楷体_GB2312" w:cs="楷体_GB2312"/>
          <w:b w:val="0"/>
          <w:bCs w:val="0"/>
          <w:color w:val="auto"/>
          <w:highlight w:val="none"/>
        </w:rPr>
      </w:pPr>
      <w:bookmarkStart w:id="23" w:name="_Toc396812353"/>
      <w:bookmarkStart w:id="24" w:name="_Toc360114885"/>
      <w:bookmarkStart w:id="25" w:name="_Toc531604414"/>
      <w:r>
        <w:rPr>
          <w:rFonts w:hint="eastAsia" w:ascii="楷体_GB2312" w:hAnsi="楷体_GB2312" w:eastAsia="楷体_GB2312" w:cs="楷体_GB2312"/>
          <w:b w:val="0"/>
          <w:bCs w:val="0"/>
          <w:color w:val="auto"/>
          <w:highlight w:val="none"/>
        </w:rPr>
        <w:t>5.</w:t>
      </w:r>
      <w:bookmarkEnd w:id="23"/>
      <w:bookmarkEnd w:id="24"/>
      <w:bookmarkEnd w:id="25"/>
      <w:r>
        <w:rPr>
          <w:rFonts w:hint="eastAsia" w:ascii="楷体_GB2312" w:hAnsi="楷体_GB2312" w:eastAsia="楷体_GB2312" w:cs="楷体_GB2312"/>
          <w:b w:val="0"/>
          <w:bCs w:val="0"/>
          <w:color w:val="auto"/>
          <w:highlight w:val="none"/>
          <w:shd w:val="clear" w:color="070000" w:fill="FFFFFF"/>
        </w:rPr>
        <w:t>扎实推进外来入侵物种防控</w:t>
      </w:r>
    </w:p>
    <w:p>
      <w:pPr>
        <w:ind w:firstLine="632"/>
        <w:rPr>
          <w:rFonts w:ascii="黑体" w:hAnsi="黑体"/>
          <w:color w:val="auto"/>
          <w:highlight w:val="none"/>
          <w:shd w:val="clear" w:color="070000" w:fill="FFFFFF"/>
        </w:rPr>
      </w:pPr>
      <w:r>
        <w:rPr>
          <w:rFonts w:hint="eastAsia"/>
          <w:color w:val="auto"/>
          <w:highlight w:val="none"/>
        </w:rPr>
        <w:t>筑牢生物安全底线，全面推进外来入侵物种普查。制定并印发《青岛市外来入侵物种普查防控工作方案》，明确工作任务、职责边界，建立了市级普查防控协调机制。开展农业外来入侵物种普查防控工作，形成了项目图册，建立了基本数据库，制作了部分标本，初步摸清了全市农业外来入侵物种和本地农业近缘种基本情况。制定了《青岛市园林和林业外来入侵物种普查方案》，在全市开展林草湿地外来入侵物种普查，为保护林草湿地资源提供了全面、准确、客观的基础数据信息。</w:t>
      </w:r>
    </w:p>
    <w:p>
      <w:pPr>
        <w:ind w:firstLine="632"/>
        <w:rPr>
          <w:color w:val="auto"/>
          <w:highlight w:val="none"/>
        </w:rPr>
      </w:pPr>
      <w:r>
        <w:rPr>
          <w:rFonts w:hint="eastAsia" w:ascii="仿宋_GB2312" w:hAnsi="仿宋_GB2312" w:cs="仿宋_GB2312"/>
          <w:color w:val="auto"/>
          <w:highlight w:val="none"/>
        </w:rPr>
        <w:t>持续加强外来入侵物种治理，重点对美国白蛾、松材线虫、互花米草等开展防治。采用媒介昆虫、飞机施药、微创注药等方式防治松材线虫病；建设美国白蛾直控点、长林小蠹监测点，不断完善监测预警体系；</w:t>
      </w:r>
      <w:r>
        <w:rPr>
          <w:rFonts w:hint="eastAsia" w:ascii="仿宋_GB2312" w:hAnsi="仿宋_GB2312" w:cs="仿宋_GB2312"/>
          <w:color w:val="auto"/>
          <w:kern w:val="0"/>
          <w:highlight w:val="none"/>
        </w:rPr>
        <w:t>制定了《青岛市互花米草防治实施方案》，目前，全市存量互花米草及防治复生区域互花米草治理面积达1530公顷，互花米草清理后监测区水体pH值有较大改善，达到海水水质一类标准，湿地生态状况得到改善。</w:t>
      </w:r>
    </w:p>
    <w:p>
      <w:pPr>
        <w:pStyle w:val="6"/>
        <w:ind w:firstLine="632"/>
        <w:rPr>
          <w:rFonts w:ascii="楷体_GB2312" w:hAnsi="楷体_GB2312" w:eastAsia="楷体_GB2312" w:cs="楷体_GB2312"/>
          <w:b w:val="0"/>
          <w:bCs w:val="0"/>
          <w:color w:val="auto"/>
          <w:highlight w:val="none"/>
        </w:rPr>
      </w:pPr>
      <w:bookmarkStart w:id="26" w:name="_Toc360114887"/>
      <w:bookmarkStart w:id="27" w:name="_Toc396812355"/>
      <w:bookmarkStart w:id="28" w:name="_Toc531604415"/>
      <w:r>
        <w:rPr>
          <w:rFonts w:hint="eastAsia" w:ascii="楷体_GB2312" w:hAnsi="楷体_GB2312" w:eastAsia="楷体_GB2312" w:cs="楷体_GB2312"/>
          <w:b w:val="0"/>
          <w:bCs w:val="0"/>
          <w:color w:val="auto"/>
          <w:highlight w:val="none"/>
        </w:rPr>
        <w:t>6.多方合作取得</w:t>
      </w:r>
      <w:bookmarkEnd w:id="26"/>
      <w:bookmarkEnd w:id="27"/>
      <w:r>
        <w:rPr>
          <w:rFonts w:hint="eastAsia" w:ascii="楷体_GB2312" w:hAnsi="楷体_GB2312" w:eastAsia="楷体_GB2312" w:cs="楷体_GB2312"/>
          <w:b w:val="0"/>
          <w:bCs w:val="0"/>
          <w:color w:val="auto"/>
          <w:highlight w:val="none"/>
        </w:rPr>
        <w:t>效果</w:t>
      </w:r>
      <w:bookmarkEnd w:id="28"/>
      <w:r>
        <w:rPr>
          <w:rFonts w:hint="eastAsia" w:ascii="楷体_GB2312" w:hAnsi="楷体_GB2312" w:eastAsia="楷体_GB2312" w:cs="楷体_GB2312"/>
          <w:b w:val="0"/>
          <w:bCs w:val="0"/>
          <w:color w:val="auto"/>
          <w:highlight w:val="none"/>
        </w:rPr>
        <w:t>，公众参与不断增强</w:t>
      </w:r>
    </w:p>
    <w:p>
      <w:pPr>
        <w:ind w:firstLine="632"/>
        <w:rPr>
          <w:rFonts w:eastAsia="黑体"/>
          <w:color w:val="auto"/>
          <w:highlight w:val="none"/>
        </w:rPr>
      </w:pPr>
      <w:r>
        <w:rPr>
          <w:rFonts w:hint="eastAsia"/>
          <w:color w:val="auto"/>
          <w:highlight w:val="none"/>
        </w:rPr>
        <w:t>市生态环境</w:t>
      </w:r>
      <w:r>
        <w:rPr>
          <w:color w:val="auto"/>
          <w:highlight w:val="none"/>
        </w:rPr>
        <w:t>、林业、</w:t>
      </w:r>
      <w:r>
        <w:rPr>
          <w:rFonts w:hint="eastAsia"/>
          <w:color w:val="auto"/>
          <w:highlight w:val="none"/>
        </w:rPr>
        <w:t>海洋发展、农业</w:t>
      </w:r>
      <w:r>
        <w:rPr>
          <w:color w:val="auto"/>
          <w:highlight w:val="none"/>
        </w:rPr>
        <w:t>等部门与科研院校、</w:t>
      </w:r>
      <w:r>
        <w:rPr>
          <w:rFonts w:hint="eastAsia"/>
          <w:color w:val="auto"/>
          <w:highlight w:val="none"/>
        </w:rPr>
        <w:t>NGO组织及相关企事业单位广泛</w:t>
      </w:r>
      <w:r>
        <w:rPr>
          <w:color w:val="auto"/>
          <w:highlight w:val="none"/>
        </w:rPr>
        <w:t>合作，积极展开技术培训、交流与合作，提升了自然保护区、湿地公园、风景名胜区等保护区的生物多样性保护科研和管理水平，并转化为公开的科普成果，推动了生物多样性保护知识科学普及。同时，在</w:t>
      </w:r>
      <w:r>
        <w:rPr>
          <w:rFonts w:hint="eastAsia"/>
          <w:color w:val="auto"/>
          <w:highlight w:val="none"/>
        </w:rPr>
        <w:t>国际生物多样性日、</w:t>
      </w:r>
      <w:r>
        <w:rPr>
          <w:color w:val="auto"/>
          <w:highlight w:val="none"/>
        </w:rPr>
        <w:t>世界环境日、世界爱鸟日、世界湿地日、山东爱鸟周、山东省野生动植物保护宣传月等活动日，与媒体</w:t>
      </w:r>
      <w:r>
        <w:rPr>
          <w:rFonts w:hint="eastAsia"/>
          <w:color w:val="auto"/>
          <w:highlight w:val="none"/>
        </w:rPr>
        <w:t>、社会团体、</w:t>
      </w:r>
      <w:r>
        <w:rPr>
          <w:color w:val="auto"/>
          <w:highlight w:val="none"/>
        </w:rPr>
        <w:t>学校</w:t>
      </w:r>
      <w:r>
        <w:rPr>
          <w:rFonts w:hint="eastAsia"/>
          <w:color w:val="auto"/>
          <w:highlight w:val="none"/>
        </w:rPr>
        <w:t>等组织</w:t>
      </w:r>
      <w:r>
        <w:rPr>
          <w:color w:val="auto"/>
          <w:highlight w:val="none"/>
        </w:rPr>
        <w:t>联合，广泛宣传生物多样性保护，</w:t>
      </w:r>
      <w:r>
        <w:rPr>
          <w:rFonts w:hint="eastAsia"/>
          <w:color w:val="auto"/>
          <w:highlight w:val="none"/>
        </w:rPr>
        <w:t>通过开展多种形式的自然教育，</w:t>
      </w:r>
      <w:r>
        <w:rPr>
          <w:color w:val="auto"/>
          <w:highlight w:val="none"/>
        </w:rPr>
        <w:t>提高了公众</w:t>
      </w:r>
      <w:r>
        <w:rPr>
          <w:rFonts w:hint="eastAsia"/>
          <w:color w:val="auto"/>
          <w:highlight w:val="none"/>
        </w:rPr>
        <w:t>参与、保护生物多样性的</w:t>
      </w:r>
      <w:r>
        <w:rPr>
          <w:color w:val="auto"/>
          <w:highlight w:val="none"/>
        </w:rPr>
        <w:t>意识。</w:t>
      </w:r>
    </w:p>
    <w:p>
      <w:pPr>
        <w:pStyle w:val="5"/>
        <w:ind w:firstLine="632"/>
        <w:rPr>
          <w:rFonts w:ascii="楷体_GB2312" w:hAnsi="楷体_GB2312" w:eastAsia="楷体_GB2312" w:cs="楷体_GB2312"/>
          <w:b w:val="0"/>
          <w:bCs w:val="0"/>
          <w:color w:val="auto"/>
          <w:highlight w:val="none"/>
        </w:rPr>
      </w:pPr>
      <w:bookmarkStart w:id="29" w:name="_Toc163376221"/>
      <w:r>
        <w:rPr>
          <w:rFonts w:hint="eastAsia" w:ascii="楷体_GB2312" w:hAnsi="楷体_GB2312" w:eastAsia="楷体_GB2312" w:cs="楷体_GB2312"/>
          <w:b w:val="0"/>
          <w:bCs w:val="0"/>
          <w:color w:val="auto"/>
          <w:highlight w:val="none"/>
        </w:rPr>
        <w:t>（二）生物多样性保护面临的主要问题与挑战</w:t>
      </w:r>
      <w:bookmarkEnd w:id="29"/>
    </w:p>
    <w:p>
      <w:pPr>
        <w:pStyle w:val="6"/>
        <w:ind w:firstLine="632"/>
        <w:rPr>
          <w:rFonts w:ascii="楷体_GB2312" w:hAnsi="楷体_GB2312" w:eastAsia="楷体_GB2312" w:cs="楷体_GB2312"/>
          <w:b w:val="0"/>
          <w:bCs w:val="0"/>
          <w:color w:val="auto"/>
          <w:highlight w:val="none"/>
        </w:rPr>
      </w:pPr>
      <w:bookmarkStart w:id="30" w:name="_Toc396812357"/>
      <w:bookmarkStart w:id="31" w:name="_Toc531604417"/>
      <w:bookmarkStart w:id="32" w:name="_Toc360114889"/>
      <w:r>
        <w:rPr>
          <w:rFonts w:hint="eastAsia" w:ascii="楷体_GB2312" w:hAnsi="楷体_GB2312" w:eastAsia="楷体_GB2312" w:cs="楷体_GB2312"/>
          <w:b w:val="0"/>
          <w:bCs w:val="0"/>
          <w:color w:val="auto"/>
          <w:highlight w:val="none"/>
        </w:rPr>
        <w:t>1.生物多样性保护存在的主要问题</w:t>
      </w:r>
      <w:bookmarkEnd w:id="30"/>
      <w:bookmarkEnd w:id="31"/>
      <w:bookmarkEnd w:id="32"/>
      <w:bookmarkStart w:id="33" w:name="_Toc360114890"/>
    </w:p>
    <w:p>
      <w:pPr>
        <w:pStyle w:val="7"/>
        <w:ind w:firstLine="632"/>
        <w:rPr>
          <w:color w:val="auto"/>
          <w:highlight w:val="none"/>
        </w:rPr>
      </w:pPr>
      <w:r>
        <w:rPr>
          <w:color w:val="auto"/>
          <w:highlight w:val="none"/>
        </w:rPr>
        <w:t>1.1生物多样性保护</w:t>
      </w:r>
      <w:r>
        <w:rPr>
          <w:rFonts w:hint="eastAsia"/>
          <w:color w:val="auto"/>
          <w:highlight w:val="none"/>
        </w:rPr>
        <w:t>体制机制不健全</w:t>
      </w:r>
    </w:p>
    <w:p>
      <w:pPr>
        <w:ind w:firstLine="632"/>
        <w:rPr>
          <w:color w:val="auto"/>
          <w:highlight w:val="none"/>
        </w:rPr>
      </w:pPr>
      <w:r>
        <w:rPr>
          <w:rFonts w:hint="eastAsia"/>
          <w:color w:val="auto"/>
          <w:highlight w:val="none"/>
        </w:rPr>
        <w:t>虽然近年来生物多样性保护工作已纳入相关部门职责清单，但部门间协作机制不完善，信息沟通渠道不够畅通，生物多样性调查监测等工作协调一致推进不够。生物多样性保护地方法规条例、规划以及制度体系、执法监管体系与生物多样性保护先进省、市仍有差距。</w:t>
      </w:r>
    </w:p>
    <w:p>
      <w:pPr>
        <w:pStyle w:val="7"/>
        <w:ind w:firstLine="632"/>
        <w:rPr>
          <w:color w:val="auto"/>
          <w:highlight w:val="none"/>
        </w:rPr>
      </w:pPr>
      <w:r>
        <w:rPr>
          <w:color w:val="auto"/>
          <w:highlight w:val="none"/>
        </w:rPr>
        <w:t>1.2</w:t>
      </w:r>
      <w:r>
        <w:rPr>
          <w:rFonts w:hint="eastAsia"/>
          <w:color w:val="auto"/>
          <w:highlight w:val="none"/>
        </w:rPr>
        <w:t>生物物种资源家底尚不清晰</w:t>
      </w:r>
    </w:p>
    <w:p>
      <w:pPr>
        <w:ind w:firstLine="632"/>
        <w:rPr>
          <w:color w:val="auto"/>
          <w:highlight w:val="none"/>
        </w:rPr>
      </w:pPr>
      <w:r>
        <w:rPr>
          <w:rFonts w:hint="eastAsia"/>
          <w:color w:val="auto"/>
          <w:highlight w:val="none"/>
        </w:rPr>
        <w:t>虽然生物多样性调查监测工作在不断推进，但全市生物多样性本底资源仍然不清晰，特有种、重点保护及珍稀濒危物种、野生生物种质资源及其威胁因素等尚未探明。截至2023年底，原1</w:t>
      </w:r>
      <w:r>
        <w:rPr>
          <w:color w:val="auto"/>
          <w:highlight w:val="none"/>
        </w:rPr>
        <w:t>0</w:t>
      </w:r>
      <w:r>
        <w:rPr>
          <w:rFonts w:hint="eastAsia"/>
          <w:color w:val="auto"/>
          <w:highlight w:val="none"/>
        </w:rPr>
        <w:t>个陆地生物多样性保护优先区域生物中只有1个基本完成生物物种本底资源调查；原9个海洋与海岸带生物多样性保护优先区域中，大小管岛、</w:t>
      </w:r>
      <w:r>
        <w:rPr>
          <w:color w:val="auto"/>
          <w:highlight w:val="none"/>
        </w:rPr>
        <w:t>琅琊台湾</w:t>
      </w:r>
      <w:r>
        <w:rPr>
          <w:rFonts w:hint="eastAsia"/>
          <w:color w:val="auto"/>
          <w:highlight w:val="none"/>
        </w:rPr>
        <w:t>尚未开展过生物多样性相关调查监测，其他优先区域调查也多是针对部分生物类别，未开展系统全面的调查。</w:t>
      </w:r>
    </w:p>
    <w:p>
      <w:pPr>
        <w:pStyle w:val="7"/>
        <w:ind w:firstLine="632"/>
        <w:rPr>
          <w:color w:val="auto"/>
          <w:highlight w:val="none"/>
        </w:rPr>
      </w:pPr>
      <w:r>
        <w:rPr>
          <w:color w:val="auto"/>
          <w:highlight w:val="none"/>
        </w:rPr>
        <w:t>1.3生物多样性保护</w:t>
      </w:r>
      <w:r>
        <w:rPr>
          <w:rFonts w:hint="eastAsia"/>
          <w:color w:val="auto"/>
          <w:highlight w:val="none"/>
        </w:rPr>
        <w:t>现代化管理体系基础较薄弱</w:t>
      </w:r>
    </w:p>
    <w:p>
      <w:pPr>
        <w:ind w:firstLine="632"/>
        <w:rPr>
          <w:color w:val="auto"/>
          <w:highlight w:val="none"/>
        </w:rPr>
      </w:pPr>
      <w:r>
        <w:rPr>
          <w:rFonts w:hint="eastAsia"/>
          <w:color w:val="auto"/>
          <w:highlight w:val="none"/>
        </w:rPr>
        <w:t>生物多样性观测网络不健全，尚未构建“天地空一体化”监测体系和综合监管平台，动态跟踪监测网络滞后，</w:t>
      </w:r>
      <w:r>
        <w:rPr>
          <w:color w:val="auto"/>
          <w:highlight w:val="none"/>
        </w:rPr>
        <w:t>对珍稀濒危物种、重点保护物种、特有物种、引进物种等物种种群长期监测不足，缺少动态监测信息，</w:t>
      </w:r>
      <w:r>
        <w:rPr>
          <w:rFonts w:hint="eastAsia"/>
          <w:color w:val="auto"/>
          <w:highlight w:val="none"/>
        </w:rPr>
        <w:t>数据掌握不全面，生物多样性评价方法和信息交换机制、预警机制不健全。各级各类自然保护地</w:t>
      </w:r>
      <w:r>
        <w:rPr>
          <w:color w:val="auto"/>
          <w:highlight w:val="none"/>
        </w:rPr>
        <w:t>生物多样性科研监测工作薄弱，大部分保护区无动态监测站点，且未与科研院所展开深入合作。</w:t>
      </w:r>
      <w:r>
        <w:rPr>
          <w:rFonts w:hint="eastAsia"/>
          <w:color w:val="auto"/>
          <w:highlight w:val="none"/>
        </w:rPr>
        <w:t>缺少生物多样性保护信息及监管平台。执法监督手段单一，偷猎盗猎盗采现象时有发生。资金投入仍然相对较少，</w:t>
      </w:r>
      <w:r>
        <w:rPr>
          <w:color w:val="auto"/>
          <w:highlight w:val="none"/>
        </w:rPr>
        <w:t>生物多样性保护专业科技人员仍然缺乏，大量相关调查和科研工作无法开展，应用转化率不高。</w:t>
      </w:r>
    </w:p>
    <w:p>
      <w:pPr>
        <w:pStyle w:val="7"/>
        <w:ind w:firstLine="632"/>
        <w:rPr>
          <w:color w:val="auto"/>
          <w:highlight w:val="none"/>
        </w:rPr>
      </w:pPr>
      <w:r>
        <w:rPr>
          <w:color w:val="auto"/>
          <w:highlight w:val="none"/>
        </w:rPr>
        <w:t>1.4就地保护和迁地保护水平</w:t>
      </w:r>
      <w:r>
        <w:rPr>
          <w:rFonts w:hint="eastAsia"/>
          <w:color w:val="auto"/>
          <w:highlight w:val="none"/>
        </w:rPr>
        <w:t>仍有较大提升空间</w:t>
      </w:r>
    </w:p>
    <w:p>
      <w:pPr>
        <w:ind w:firstLine="632"/>
        <w:rPr>
          <w:color w:val="auto"/>
          <w:highlight w:val="none"/>
        </w:rPr>
      </w:pPr>
      <w:r>
        <w:rPr>
          <w:rFonts w:hint="eastAsia"/>
          <w:color w:val="auto"/>
          <w:highlight w:val="none"/>
        </w:rPr>
        <w:t>自然保护地体系不够健全，重点珍稀濒危物种就地保护仍存在空缺。随着开发建设活动的扩张，各级各类自然保护地呈破碎化趋势，重点保护生物物种栖息地质量下降，生态系统完整性和稳定性遭到破坏，尤其是重要内陆湿地和滨海湿地。</w:t>
      </w:r>
      <w:r>
        <w:rPr>
          <w:color w:val="auto"/>
          <w:highlight w:val="none"/>
        </w:rPr>
        <w:t>同时，由于各类生物多样性本底资源调查及专项调查不足，</w:t>
      </w:r>
      <w:r>
        <w:rPr>
          <w:rFonts w:hint="eastAsia"/>
          <w:color w:val="auto"/>
          <w:highlight w:val="none"/>
        </w:rPr>
        <w:t>对于</w:t>
      </w:r>
      <w:r>
        <w:rPr>
          <w:color w:val="auto"/>
          <w:highlight w:val="none"/>
        </w:rPr>
        <w:t>栖息地</w:t>
      </w:r>
      <w:r>
        <w:rPr>
          <w:rFonts w:hint="eastAsia"/>
          <w:color w:val="auto"/>
          <w:highlight w:val="none"/>
        </w:rPr>
        <w:t>受限、或</w:t>
      </w:r>
      <w:r>
        <w:rPr>
          <w:color w:val="auto"/>
          <w:highlight w:val="none"/>
        </w:rPr>
        <w:t>受到破坏的特有和濒危动植物数量和分布</w:t>
      </w:r>
      <w:r>
        <w:rPr>
          <w:rFonts w:hint="eastAsia"/>
          <w:color w:val="auto"/>
          <w:highlight w:val="none"/>
        </w:rPr>
        <w:t>不清楚</w:t>
      </w:r>
      <w:r>
        <w:rPr>
          <w:color w:val="auto"/>
          <w:highlight w:val="none"/>
        </w:rPr>
        <w:t>，尚未制定青岛市物种迁地保护的技术标准。</w:t>
      </w:r>
    </w:p>
    <w:p>
      <w:pPr>
        <w:pStyle w:val="6"/>
        <w:ind w:firstLine="632"/>
        <w:rPr>
          <w:color w:val="auto"/>
          <w:highlight w:val="none"/>
        </w:rPr>
      </w:pPr>
      <w:bookmarkStart w:id="34" w:name="_Toc531604418"/>
      <w:bookmarkStart w:id="35" w:name="_Toc396812358"/>
      <w:r>
        <w:rPr>
          <w:rFonts w:hint="eastAsia" w:ascii="楷体_GB2312" w:hAnsi="楷体_GB2312" w:eastAsia="楷体_GB2312" w:cs="楷体_GB2312"/>
          <w:b w:val="0"/>
          <w:bCs w:val="0"/>
          <w:color w:val="auto"/>
          <w:highlight w:val="none"/>
        </w:rPr>
        <w:t>2.生物多样性保护面临的形势与挑战</w:t>
      </w:r>
      <w:bookmarkEnd w:id="33"/>
      <w:bookmarkEnd w:id="34"/>
      <w:bookmarkEnd w:id="35"/>
    </w:p>
    <w:p>
      <w:pPr>
        <w:pStyle w:val="7"/>
        <w:ind w:firstLine="632"/>
        <w:rPr>
          <w:color w:val="auto"/>
          <w:highlight w:val="none"/>
        </w:rPr>
      </w:pPr>
      <w:r>
        <w:rPr>
          <w:color w:val="auto"/>
          <w:highlight w:val="none"/>
        </w:rPr>
        <w:t>2.1</w:t>
      </w:r>
      <w:r>
        <w:rPr>
          <w:rFonts w:hint="eastAsia"/>
          <w:color w:val="auto"/>
          <w:highlight w:val="none"/>
        </w:rPr>
        <w:t>保持生态系统稳定性、功能性和恢复力压力较大</w:t>
      </w:r>
    </w:p>
    <w:p>
      <w:pPr>
        <w:ind w:firstLine="632"/>
        <w:rPr>
          <w:color w:val="auto"/>
          <w:highlight w:val="none"/>
        </w:rPr>
      </w:pPr>
      <w:r>
        <w:rPr>
          <w:rFonts w:hint="eastAsia"/>
          <w:color w:val="auto"/>
          <w:highlight w:val="none"/>
        </w:rPr>
        <w:t>青岛市森林生态系统以人工林及次生林为主，森林植被种类组成和结构单一，抗病虫害能力较差，松材线虫等林业病虫害广泛发生，森林生态系统抵抗力、稳定性和自然恢复力较弱。受人类活动等因素影响，内陆河湖及滨海自然湿地面积呈减少趋势，湿地生态系统面积减少，结构和功能发生改变，完整性和稳定性减弱。滨海湿地面积缩减，互花米草不能根本清除，河口湿地生态功能减弱，加之海洋污染未得到全面遏制，近海生态系统越来越脆弱。受外来物种入侵等因素影响，部分海岛生态呈退化趋势。</w:t>
      </w:r>
    </w:p>
    <w:p>
      <w:pPr>
        <w:pStyle w:val="7"/>
        <w:ind w:firstLine="632"/>
        <w:rPr>
          <w:color w:val="auto"/>
          <w:highlight w:val="none"/>
        </w:rPr>
      </w:pPr>
      <w:r>
        <w:rPr>
          <w:color w:val="auto"/>
          <w:highlight w:val="none"/>
        </w:rPr>
        <w:t>2.2</w:t>
      </w:r>
      <w:r>
        <w:rPr>
          <w:rFonts w:hint="eastAsia"/>
          <w:color w:val="auto"/>
          <w:highlight w:val="none"/>
        </w:rPr>
        <w:t>城市化进程加速推进，</w:t>
      </w:r>
      <w:r>
        <w:rPr>
          <w:color w:val="auto"/>
          <w:highlight w:val="none"/>
        </w:rPr>
        <w:t>生境</w:t>
      </w:r>
      <w:r>
        <w:rPr>
          <w:rFonts w:hint="eastAsia"/>
          <w:color w:val="auto"/>
          <w:highlight w:val="none"/>
        </w:rPr>
        <w:t>斑块</w:t>
      </w:r>
      <w:r>
        <w:rPr>
          <w:color w:val="auto"/>
          <w:highlight w:val="none"/>
        </w:rPr>
        <w:t>破碎化</w:t>
      </w:r>
      <w:r>
        <w:rPr>
          <w:rFonts w:hint="eastAsia"/>
          <w:color w:val="auto"/>
          <w:highlight w:val="none"/>
        </w:rPr>
        <w:t>趋势不减</w:t>
      </w:r>
    </w:p>
    <w:p>
      <w:pPr>
        <w:ind w:firstLine="632"/>
        <w:rPr>
          <w:color w:val="auto"/>
          <w:highlight w:val="none"/>
        </w:rPr>
      </w:pPr>
      <w:bookmarkStart w:id="36" w:name="_Hlk146040550"/>
      <w:r>
        <w:rPr>
          <w:rFonts w:hint="eastAsia"/>
          <w:color w:val="auto"/>
          <w:highlight w:val="none"/>
        </w:rPr>
        <w:t>随着城镇化的快速发展，森林、湿地、自然岸线及近岸海域等自然生态空间面临被侵占风险，不合理的空间拓展及开发建设活动会阻断生态廊道，使自然景观呈岛屿化、破碎化趋势，导致生态系统结构不完整，物种栖息地受到威胁。</w:t>
      </w:r>
      <w:bookmarkEnd w:id="36"/>
    </w:p>
    <w:p>
      <w:pPr>
        <w:pStyle w:val="7"/>
        <w:ind w:firstLine="632"/>
        <w:rPr>
          <w:color w:val="auto"/>
          <w:highlight w:val="none"/>
        </w:rPr>
      </w:pPr>
      <w:r>
        <w:rPr>
          <w:color w:val="auto"/>
          <w:highlight w:val="none"/>
        </w:rPr>
        <w:t>2.3</w:t>
      </w:r>
      <w:r>
        <w:rPr>
          <w:rFonts w:hint="eastAsia"/>
          <w:color w:val="auto"/>
          <w:highlight w:val="none"/>
        </w:rPr>
        <w:t>生物资源丧失风险加大</w:t>
      </w:r>
    </w:p>
    <w:p>
      <w:pPr>
        <w:ind w:firstLine="632"/>
        <w:rPr>
          <w:color w:val="auto"/>
          <w:highlight w:val="none"/>
        </w:rPr>
      </w:pPr>
      <w:r>
        <w:rPr>
          <w:rFonts w:hint="eastAsia"/>
          <w:color w:val="auto"/>
          <w:highlight w:val="none"/>
        </w:rPr>
        <w:t>受土地用途改变、人类活动扩张、生境破碎化加剧，野生生物资源过度利用和无序开发及偷猎盗猎盗采，以及气候变化、外来入侵物种扩散风险加大等因素影响，生物遗传资源、渔业资源，以及重点保护、珍稀濒危和极小种群等陆地和海洋野生生物资源面临较大丧失风险。且受商品良种大面积推广、国外畜禽品种引进、地方特有生物资源保护力度不足等因素影响，大量地方品种、作物野生近缘种植物资源及其他生物种质资源也面临较大消失风险。</w:t>
      </w:r>
    </w:p>
    <w:p>
      <w:pPr>
        <w:pStyle w:val="7"/>
        <w:ind w:firstLine="632"/>
        <w:rPr>
          <w:color w:val="auto"/>
          <w:highlight w:val="none"/>
        </w:rPr>
      </w:pPr>
      <w:r>
        <w:rPr>
          <w:color w:val="auto"/>
          <w:highlight w:val="none"/>
        </w:rPr>
        <w:t>2.4</w:t>
      </w:r>
      <w:r>
        <w:rPr>
          <w:rFonts w:hint="eastAsia"/>
          <w:color w:val="auto"/>
          <w:highlight w:val="none"/>
        </w:rPr>
        <w:t>生物安全形势严峻</w:t>
      </w:r>
    </w:p>
    <w:p>
      <w:pPr>
        <w:ind w:firstLine="632"/>
        <w:rPr>
          <w:color w:val="auto"/>
          <w:highlight w:val="none"/>
        </w:rPr>
      </w:pPr>
      <w:r>
        <w:rPr>
          <w:rFonts w:hint="eastAsia"/>
          <w:color w:val="auto"/>
          <w:highlight w:val="none"/>
        </w:rPr>
        <w:t>外来入侵物种防控形势不容乐观，青岛市</w:t>
      </w:r>
      <w:r>
        <w:rPr>
          <w:color w:val="auto"/>
          <w:highlight w:val="none"/>
        </w:rPr>
        <w:t>已发现外来入侵</w:t>
      </w:r>
      <w:r>
        <w:rPr>
          <w:rFonts w:hint="eastAsia"/>
          <w:color w:val="auto"/>
          <w:highlight w:val="none"/>
        </w:rPr>
        <w:t>物种</w:t>
      </w:r>
      <w:r>
        <w:rPr>
          <w:color w:val="auto"/>
          <w:highlight w:val="none"/>
        </w:rPr>
        <w:t>70</w:t>
      </w:r>
      <w:r>
        <w:rPr>
          <w:rFonts w:hint="eastAsia"/>
          <w:color w:val="auto"/>
          <w:highlight w:val="none"/>
        </w:rPr>
        <w:t>余</w:t>
      </w:r>
      <w:r>
        <w:rPr>
          <w:color w:val="auto"/>
          <w:highlight w:val="none"/>
        </w:rPr>
        <w:t>种，</w:t>
      </w:r>
      <w:r>
        <w:rPr>
          <w:rFonts w:hint="eastAsia"/>
          <w:color w:val="auto"/>
          <w:highlight w:val="none"/>
        </w:rPr>
        <w:t>并呈扩散趋势。</w:t>
      </w:r>
      <w:r>
        <w:rPr>
          <w:color w:val="auto"/>
          <w:highlight w:val="none"/>
        </w:rPr>
        <w:t>垂序商陆、小蓬草、鬼针草</w:t>
      </w:r>
      <w:r>
        <w:rPr>
          <w:rFonts w:hint="eastAsia"/>
          <w:color w:val="auto"/>
          <w:highlight w:val="none"/>
        </w:rPr>
        <w:t>、加拿大一枝黄花等在山区、林缘等地普遍存在</w:t>
      </w:r>
      <w:r>
        <w:rPr>
          <w:color w:val="auto"/>
          <w:highlight w:val="none"/>
        </w:rPr>
        <w:t>，</w:t>
      </w:r>
      <w:r>
        <w:rPr>
          <w:rFonts w:hint="eastAsia"/>
          <w:color w:val="auto"/>
          <w:highlight w:val="none"/>
        </w:rPr>
        <w:t>松材线虫广泛扩散，互花米草时有复发不能彻底消除，不仅侵占了本土物种的生存空间，造成原生物种死亡和濒危，还造成了严重的经济损失。前沿生物技术带来新的环境安全隐患，以基因编辑、基因驱动、合成生物学为代表的前沿生物技术在产生巨大经济效益、造福人类的同时，也会带来潜在的健康和环境安全风险，例如：某些经过遗传修饰的物种，在环境释放后可能会对野生种群具有较高的入侵性，进而对遗传多样性及生态系统产生不可逆的影响。</w:t>
      </w:r>
    </w:p>
    <w:p>
      <w:pPr>
        <w:pStyle w:val="7"/>
        <w:ind w:firstLine="632"/>
        <w:rPr>
          <w:color w:val="auto"/>
          <w:highlight w:val="none"/>
        </w:rPr>
      </w:pPr>
      <w:r>
        <w:rPr>
          <w:color w:val="auto"/>
          <w:highlight w:val="none"/>
        </w:rPr>
        <w:t>2.5环境污染</w:t>
      </w:r>
      <w:r>
        <w:rPr>
          <w:rFonts w:hint="eastAsia"/>
          <w:color w:val="auto"/>
          <w:highlight w:val="none"/>
        </w:rPr>
        <w:t>治理成效不稳固，持续改善压力较大</w:t>
      </w:r>
    </w:p>
    <w:p>
      <w:pPr>
        <w:ind w:firstLine="632"/>
        <w:rPr>
          <w:color w:val="auto"/>
          <w:highlight w:val="none"/>
        </w:rPr>
      </w:pPr>
      <w:r>
        <w:rPr>
          <w:rFonts w:hint="eastAsia"/>
          <w:color w:val="auto"/>
          <w:highlight w:val="none"/>
        </w:rPr>
        <w:t>环境空气质量持续改善压力较大，臭氧浓度上升趋势未得到根本遏制，复合污染问题逐渐显现。地表水断面仍存在不能稳定达标的情况，水资源短缺、基础设施配套不完善也制约着水环境质量的持续改善。近岸海域水质未得到根本改善，部分海域水质超标风险较大，局部海域部分时段出现浒苔灾害。环境风险防范的形势依旧严峻，海上溢油事故、新基建、新污染物、塑料等可能带来的环境问题不容忽视。土壤、地下水、农业农村环境治理工作仍存在短板。</w:t>
      </w:r>
    </w:p>
    <w:p>
      <w:pPr>
        <w:pStyle w:val="4"/>
        <w:ind w:firstLine="632" w:firstLineChars="200"/>
        <w:rPr>
          <w:b w:val="0"/>
          <w:bCs w:val="0"/>
          <w:color w:val="auto"/>
          <w:sz w:val="32"/>
          <w:szCs w:val="32"/>
          <w:highlight w:val="none"/>
        </w:rPr>
      </w:pPr>
      <w:bookmarkStart w:id="37" w:name="_Toc163376222"/>
      <w:r>
        <w:rPr>
          <w:b w:val="0"/>
          <w:bCs w:val="0"/>
          <w:color w:val="auto"/>
          <w:sz w:val="32"/>
          <w:szCs w:val="32"/>
          <w:highlight w:val="none"/>
        </w:rPr>
        <w:t>三、生物多样性保护战略</w:t>
      </w:r>
      <w:bookmarkEnd w:id="37"/>
    </w:p>
    <w:p>
      <w:pPr>
        <w:pStyle w:val="5"/>
        <w:ind w:firstLine="632"/>
        <w:rPr>
          <w:rFonts w:ascii="楷体_GB2312" w:hAnsi="楷体_GB2312" w:eastAsia="楷体_GB2312" w:cs="楷体_GB2312"/>
          <w:b w:val="0"/>
          <w:bCs w:val="0"/>
          <w:color w:val="auto"/>
          <w:highlight w:val="none"/>
        </w:rPr>
      </w:pPr>
      <w:bookmarkStart w:id="38" w:name="_Toc396812360"/>
      <w:bookmarkStart w:id="39" w:name="_Toc358127776"/>
      <w:bookmarkStart w:id="40" w:name="_Toc531604420"/>
      <w:bookmarkStart w:id="41" w:name="_Toc366854587"/>
      <w:bookmarkStart w:id="42" w:name="_Toc338686578"/>
      <w:bookmarkStart w:id="43" w:name="_Toc354997026"/>
      <w:bookmarkStart w:id="44" w:name="_Toc163376223"/>
      <w:r>
        <w:rPr>
          <w:rFonts w:hint="eastAsia" w:ascii="楷体_GB2312" w:hAnsi="楷体_GB2312" w:eastAsia="楷体_GB2312" w:cs="楷体_GB2312"/>
          <w:b w:val="0"/>
          <w:bCs w:val="0"/>
          <w:color w:val="auto"/>
          <w:highlight w:val="none"/>
        </w:rPr>
        <w:t>（一）指导思想</w:t>
      </w:r>
      <w:bookmarkEnd w:id="38"/>
      <w:bookmarkEnd w:id="39"/>
      <w:bookmarkEnd w:id="40"/>
      <w:bookmarkEnd w:id="41"/>
      <w:bookmarkEnd w:id="42"/>
      <w:bookmarkEnd w:id="43"/>
      <w:bookmarkEnd w:id="44"/>
    </w:p>
    <w:p>
      <w:pPr>
        <w:ind w:firstLine="632"/>
        <w:rPr>
          <w:color w:val="auto"/>
          <w:highlight w:val="none"/>
        </w:rPr>
      </w:pPr>
      <w:bookmarkStart w:id="45" w:name="_Toc366854588"/>
      <w:bookmarkStart w:id="46" w:name="_Toc358127777"/>
      <w:bookmarkStart w:id="47" w:name="_Toc338686579"/>
      <w:bookmarkStart w:id="48" w:name="_Toc354997027"/>
      <w:r>
        <w:rPr>
          <w:rFonts w:hint="eastAsia"/>
          <w:color w:val="auto"/>
          <w:highlight w:val="none"/>
        </w:rPr>
        <w:t>以习近平新时代中国特色社会主义思想为指导，全面贯彻党的二十大精神，认真践行习近平生态文明思想，立足新发展阶段，坚持生态优先、绿色发展，以有效应对生物多样性面临的挑战、全面提升生物多样性保护水平为目标，构筑生物多样性保护网络、强化生物安全管理，不断提高生物多样性保护能力和管理水平，不断提升生态系统完整性、稳定性和恢复力，确保重要生态系统、生物物种和生物遗传资源得到全面保护，促进生物多样性保护理念更好融入生态文明建设全过程，满足人民群众对优美生态环境的向往，共建人与自然和谐共生的美丽青岛。</w:t>
      </w:r>
    </w:p>
    <w:p>
      <w:pPr>
        <w:pStyle w:val="5"/>
        <w:ind w:firstLine="632"/>
        <w:rPr>
          <w:rFonts w:ascii="楷体_GB2312" w:hAnsi="楷体_GB2312" w:eastAsia="楷体_GB2312" w:cs="楷体_GB2312"/>
          <w:b w:val="0"/>
          <w:bCs w:val="0"/>
          <w:color w:val="auto"/>
          <w:highlight w:val="none"/>
        </w:rPr>
      </w:pPr>
      <w:bookmarkStart w:id="49" w:name="_Toc163376224"/>
      <w:bookmarkStart w:id="50" w:name="_Toc396812361"/>
      <w:bookmarkStart w:id="51" w:name="_Toc531604421"/>
      <w:r>
        <w:rPr>
          <w:rFonts w:hint="eastAsia" w:ascii="楷体_GB2312" w:hAnsi="楷体_GB2312" w:eastAsia="楷体_GB2312" w:cs="楷体_GB2312"/>
          <w:b w:val="0"/>
          <w:bCs w:val="0"/>
          <w:color w:val="auto"/>
          <w:highlight w:val="none"/>
        </w:rPr>
        <w:t>（二）基本原则</w:t>
      </w:r>
      <w:bookmarkEnd w:id="45"/>
      <w:bookmarkEnd w:id="46"/>
      <w:bookmarkEnd w:id="47"/>
      <w:bookmarkEnd w:id="48"/>
      <w:bookmarkEnd w:id="49"/>
      <w:bookmarkEnd w:id="50"/>
      <w:bookmarkEnd w:id="51"/>
    </w:p>
    <w:p>
      <w:pPr>
        <w:pStyle w:val="6"/>
        <w:ind w:firstLine="632"/>
        <w:rPr>
          <w:rFonts w:ascii="楷体_GB2312" w:hAnsi="楷体_GB2312" w:eastAsia="楷体_GB2312" w:cs="楷体_GB2312"/>
          <w:b w:val="0"/>
          <w:bCs w:val="0"/>
          <w:color w:val="auto"/>
          <w:highlight w:val="none"/>
        </w:rPr>
      </w:pPr>
      <w:bookmarkStart w:id="52" w:name="_Toc531604422"/>
      <w:bookmarkStart w:id="53" w:name="_Toc366854589"/>
      <w:bookmarkStart w:id="54" w:name="_Toc396812362"/>
      <w:r>
        <w:rPr>
          <w:rFonts w:hint="eastAsia" w:ascii="楷体_GB2312" w:hAnsi="楷体_GB2312" w:eastAsia="楷体_GB2312" w:cs="楷体_GB2312"/>
          <w:b w:val="0"/>
          <w:bCs w:val="0"/>
          <w:color w:val="auto"/>
          <w:highlight w:val="none"/>
        </w:rPr>
        <w:t>1.尊重自然、保护优先</w:t>
      </w:r>
      <w:bookmarkEnd w:id="52"/>
      <w:bookmarkEnd w:id="53"/>
      <w:bookmarkEnd w:id="54"/>
    </w:p>
    <w:p>
      <w:pPr>
        <w:ind w:firstLine="632"/>
        <w:rPr>
          <w:color w:val="auto"/>
          <w:highlight w:val="none"/>
        </w:rPr>
      </w:pPr>
      <w:r>
        <w:rPr>
          <w:rFonts w:hint="eastAsia"/>
          <w:color w:val="auto"/>
          <w:highlight w:val="none"/>
        </w:rPr>
        <w:t>牢固树立尊重自然、顺应自然、保护自然的生态文明理念，遵循自然生态系统演替规律，充分发挥大自然的自我修复能力，避免人类对生态系统的过多干预。</w:t>
      </w:r>
      <w:r>
        <w:rPr>
          <w:color w:val="auto"/>
          <w:highlight w:val="none"/>
        </w:rPr>
        <w:t>在经济社会发展中</w:t>
      </w:r>
      <w:r>
        <w:rPr>
          <w:rFonts w:hint="eastAsia"/>
          <w:color w:val="auto"/>
          <w:highlight w:val="none"/>
        </w:rPr>
        <w:t>充分</w:t>
      </w:r>
      <w:r>
        <w:rPr>
          <w:color w:val="auto"/>
          <w:highlight w:val="none"/>
        </w:rPr>
        <w:t>考虑生物多样性保护，对</w:t>
      </w:r>
      <w:r>
        <w:rPr>
          <w:rFonts w:hint="eastAsia"/>
          <w:color w:val="auto"/>
          <w:highlight w:val="none"/>
        </w:rPr>
        <w:t>重要生态系统</w:t>
      </w:r>
      <w:r>
        <w:rPr>
          <w:color w:val="auto"/>
          <w:highlight w:val="none"/>
        </w:rPr>
        <w:t>、</w:t>
      </w:r>
      <w:r>
        <w:rPr>
          <w:rFonts w:hint="eastAsia"/>
          <w:color w:val="auto"/>
          <w:highlight w:val="none"/>
        </w:rPr>
        <w:t>生物物种及遗传资源实施有效保护，恢复和改善区域生态环境，保障生态安全</w:t>
      </w:r>
      <w:r>
        <w:rPr>
          <w:color w:val="auto"/>
          <w:highlight w:val="none"/>
        </w:rPr>
        <w:t>。</w:t>
      </w:r>
    </w:p>
    <w:p>
      <w:pPr>
        <w:pStyle w:val="6"/>
        <w:ind w:firstLine="632"/>
        <w:rPr>
          <w:rFonts w:ascii="楷体_GB2312" w:hAnsi="楷体_GB2312" w:eastAsia="楷体_GB2312" w:cs="楷体_GB2312"/>
          <w:b w:val="0"/>
          <w:bCs w:val="0"/>
          <w:color w:val="auto"/>
          <w:highlight w:val="none"/>
        </w:rPr>
      </w:pPr>
      <w:bookmarkStart w:id="55" w:name="_Toc396812363"/>
      <w:bookmarkStart w:id="56" w:name="_Toc366854590"/>
      <w:bookmarkStart w:id="57" w:name="_Toc531604423"/>
      <w:r>
        <w:rPr>
          <w:rFonts w:hint="eastAsia" w:ascii="楷体_GB2312" w:hAnsi="楷体_GB2312" w:eastAsia="楷体_GB2312" w:cs="楷体_GB2312"/>
          <w:b w:val="0"/>
          <w:bCs w:val="0"/>
          <w:color w:val="auto"/>
          <w:highlight w:val="none"/>
        </w:rPr>
        <w:t>2.持续利用</w:t>
      </w:r>
      <w:bookmarkEnd w:id="55"/>
      <w:bookmarkEnd w:id="56"/>
      <w:bookmarkEnd w:id="57"/>
      <w:r>
        <w:rPr>
          <w:rFonts w:hint="eastAsia" w:ascii="楷体_GB2312" w:hAnsi="楷体_GB2312" w:eastAsia="楷体_GB2312" w:cs="楷体_GB2312"/>
          <w:b w:val="0"/>
          <w:bCs w:val="0"/>
          <w:color w:val="auto"/>
          <w:highlight w:val="none"/>
        </w:rPr>
        <w:t>，惠益共享</w:t>
      </w:r>
    </w:p>
    <w:p>
      <w:pPr>
        <w:ind w:firstLine="632"/>
        <w:rPr>
          <w:color w:val="auto"/>
          <w:highlight w:val="none"/>
        </w:rPr>
      </w:pPr>
      <w:r>
        <w:rPr>
          <w:rFonts w:hint="eastAsia"/>
          <w:color w:val="auto"/>
          <w:highlight w:val="none"/>
        </w:rPr>
        <w:t>坚持野生物种管理和利用可持续，</w:t>
      </w:r>
      <w:r>
        <w:rPr>
          <w:color w:val="auto"/>
          <w:highlight w:val="none"/>
        </w:rPr>
        <w:t>科学、合理和有序地利用生物资源</w:t>
      </w:r>
      <w:r>
        <w:rPr>
          <w:rFonts w:hint="eastAsia"/>
          <w:color w:val="auto"/>
          <w:highlight w:val="none"/>
        </w:rPr>
        <w:t>，推广生物多样性友好做法，促进农业、渔业和林业生产系统的恢复力、生产力和长期效率，恢复、维持和增进自然对人类的贡献，改善人类健康和福祉，公平、公正分享利用遗传资源及其传统知识产生的惠益。</w:t>
      </w:r>
    </w:p>
    <w:p>
      <w:pPr>
        <w:pStyle w:val="6"/>
        <w:ind w:firstLine="632"/>
        <w:rPr>
          <w:rFonts w:ascii="楷体_GB2312" w:hAnsi="楷体_GB2312" w:eastAsia="楷体_GB2312" w:cs="楷体_GB2312"/>
          <w:b w:val="0"/>
          <w:bCs w:val="0"/>
          <w:color w:val="auto"/>
          <w:highlight w:val="none"/>
        </w:rPr>
      </w:pPr>
      <w:bookmarkStart w:id="58" w:name="_Toc366854594"/>
      <w:bookmarkStart w:id="59" w:name="_Toc396812366"/>
      <w:bookmarkStart w:id="60" w:name="_Toc531604424"/>
      <w:r>
        <w:rPr>
          <w:rFonts w:hint="eastAsia" w:ascii="楷体_GB2312" w:hAnsi="楷体_GB2312" w:eastAsia="楷体_GB2312" w:cs="楷体_GB2312"/>
          <w:b w:val="0"/>
          <w:bCs w:val="0"/>
          <w:color w:val="auto"/>
          <w:highlight w:val="none"/>
        </w:rPr>
        <w:t>3.统筹兼顾</w:t>
      </w:r>
      <w:bookmarkEnd w:id="58"/>
      <w:bookmarkEnd w:id="59"/>
      <w:bookmarkEnd w:id="60"/>
      <w:r>
        <w:rPr>
          <w:rFonts w:hint="eastAsia" w:ascii="楷体_GB2312" w:hAnsi="楷体_GB2312" w:eastAsia="楷体_GB2312" w:cs="楷体_GB2312"/>
          <w:b w:val="0"/>
          <w:bCs w:val="0"/>
          <w:color w:val="auto"/>
          <w:highlight w:val="none"/>
        </w:rPr>
        <w:t>，绿色发展</w:t>
      </w:r>
    </w:p>
    <w:p>
      <w:pPr>
        <w:ind w:firstLine="632"/>
        <w:rPr>
          <w:color w:val="auto"/>
          <w:highlight w:val="none"/>
        </w:rPr>
      </w:pPr>
      <w:r>
        <w:rPr>
          <w:rFonts w:hint="eastAsia"/>
          <w:color w:val="auto"/>
          <w:highlight w:val="none"/>
        </w:rPr>
        <w:t>坚持绿色高质量发展，</w:t>
      </w:r>
      <w:r>
        <w:rPr>
          <w:color w:val="auto"/>
          <w:highlight w:val="none"/>
        </w:rPr>
        <w:t>统筹协调生物多样性保护与经济</w:t>
      </w:r>
      <w:r>
        <w:rPr>
          <w:rFonts w:hint="eastAsia"/>
          <w:color w:val="auto"/>
          <w:highlight w:val="none"/>
        </w:rPr>
        <w:t>社会</w:t>
      </w:r>
      <w:r>
        <w:rPr>
          <w:color w:val="auto"/>
          <w:highlight w:val="none"/>
        </w:rPr>
        <w:t>发展的关系，</w:t>
      </w:r>
      <w:r>
        <w:rPr>
          <w:rFonts w:hint="eastAsia"/>
          <w:color w:val="auto"/>
          <w:highlight w:val="none"/>
        </w:rPr>
        <w:t>将生物多样性的保护和可持续利用纳入各级政府和部门的政策、法规、规划和发展进程，禁止掠夺式开发生物资源</w:t>
      </w:r>
      <w:r>
        <w:rPr>
          <w:color w:val="auto"/>
          <w:highlight w:val="none"/>
        </w:rPr>
        <w:t>，实现生物多样性保护与经济社会发展双赢。</w:t>
      </w:r>
    </w:p>
    <w:p>
      <w:pPr>
        <w:pStyle w:val="6"/>
        <w:ind w:firstLine="632"/>
        <w:rPr>
          <w:color w:val="auto"/>
          <w:highlight w:val="none"/>
        </w:rPr>
      </w:pPr>
      <w:bookmarkStart w:id="61" w:name="_Toc366854591"/>
      <w:bookmarkStart w:id="62" w:name="_Toc396812364"/>
      <w:bookmarkStart w:id="63" w:name="_Toc531604425"/>
      <w:r>
        <w:rPr>
          <w:rFonts w:hint="eastAsia" w:ascii="楷体_GB2312" w:hAnsi="楷体_GB2312" w:eastAsia="楷体_GB2312" w:cs="楷体_GB2312"/>
          <w:b w:val="0"/>
          <w:bCs w:val="0"/>
          <w:color w:val="auto"/>
          <w:highlight w:val="none"/>
        </w:rPr>
        <w:t>4.政府主导，全民参与</w:t>
      </w:r>
      <w:bookmarkEnd w:id="61"/>
      <w:bookmarkEnd w:id="62"/>
      <w:bookmarkEnd w:id="63"/>
    </w:p>
    <w:p>
      <w:pPr>
        <w:ind w:firstLine="632"/>
        <w:rPr>
          <w:color w:val="auto"/>
          <w:highlight w:val="none"/>
        </w:rPr>
      </w:pPr>
      <w:r>
        <w:rPr>
          <w:rFonts w:hint="eastAsia"/>
          <w:color w:val="auto"/>
          <w:highlight w:val="none"/>
        </w:rPr>
        <w:t>充分发挥政府的组织推动作用，综合运用法律、行政、经济、技术等手段，加大促进生物多样性保护与可持续利用的支持力度。广泛开展生物多样性保护教育宣传，</w:t>
      </w:r>
      <w:r>
        <w:rPr>
          <w:color w:val="auto"/>
          <w:highlight w:val="none"/>
        </w:rPr>
        <w:t>提高</w:t>
      </w:r>
      <w:r>
        <w:rPr>
          <w:rFonts w:hint="eastAsia"/>
          <w:color w:val="auto"/>
          <w:highlight w:val="none"/>
        </w:rPr>
        <w:t>全社会</w:t>
      </w:r>
      <w:r>
        <w:rPr>
          <w:color w:val="auto"/>
          <w:highlight w:val="none"/>
        </w:rPr>
        <w:t>生物多样性保护意识</w:t>
      </w:r>
      <w:r>
        <w:rPr>
          <w:rFonts w:hint="eastAsia"/>
          <w:color w:val="auto"/>
          <w:highlight w:val="none"/>
        </w:rPr>
        <w:t>。强化信息公开和舆论引导，推动</w:t>
      </w:r>
      <w:r>
        <w:rPr>
          <w:color w:val="auto"/>
          <w:highlight w:val="none"/>
        </w:rPr>
        <w:t>建立</w:t>
      </w:r>
      <w:r>
        <w:rPr>
          <w:rFonts w:hint="eastAsia"/>
          <w:color w:val="auto"/>
          <w:highlight w:val="none"/>
        </w:rPr>
        <w:t>政府主导，企业、社会组织和公众广泛</w:t>
      </w:r>
      <w:r>
        <w:rPr>
          <w:color w:val="auto"/>
          <w:highlight w:val="none"/>
        </w:rPr>
        <w:t>参与生物多样性保护</w:t>
      </w:r>
      <w:r>
        <w:rPr>
          <w:rFonts w:hint="eastAsia"/>
          <w:color w:val="auto"/>
          <w:highlight w:val="none"/>
        </w:rPr>
        <w:t>长效</w:t>
      </w:r>
      <w:r>
        <w:rPr>
          <w:color w:val="auto"/>
          <w:highlight w:val="none"/>
        </w:rPr>
        <w:t>机制</w:t>
      </w:r>
      <w:r>
        <w:rPr>
          <w:rFonts w:hint="eastAsia"/>
          <w:color w:val="auto"/>
          <w:highlight w:val="none"/>
        </w:rPr>
        <w:t>。</w:t>
      </w:r>
    </w:p>
    <w:p>
      <w:pPr>
        <w:pStyle w:val="5"/>
        <w:ind w:firstLine="632"/>
        <w:rPr>
          <w:rFonts w:ascii="楷体_GB2312" w:hAnsi="楷体_GB2312" w:eastAsia="楷体_GB2312" w:cs="楷体_GB2312"/>
          <w:b w:val="0"/>
          <w:bCs w:val="0"/>
          <w:color w:val="auto"/>
          <w:highlight w:val="none"/>
        </w:rPr>
      </w:pPr>
      <w:bookmarkStart w:id="64" w:name="_Toc354997028"/>
      <w:bookmarkStart w:id="65" w:name="_Toc163376225"/>
      <w:bookmarkStart w:id="66" w:name="_Toc338686580"/>
      <w:bookmarkStart w:id="67" w:name="_Toc358127778"/>
      <w:bookmarkStart w:id="68" w:name="_Toc366854595"/>
      <w:bookmarkStart w:id="69" w:name="_Toc531604427"/>
      <w:bookmarkStart w:id="70" w:name="_Toc396812367"/>
      <w:r>
        <w:rPr>
          <w:rFonts w:hint="eastAsia" w:ascii="楷体_GB2312" w:hAnsi="楷体_GB2312" w:eastAsia="楷体_GB2312" w:cs="楷体_GB2312"/>
          <w:b w:val="0"/>
          <w:bCs w:val="0"/>
          <w:color w:val="auto"/>
          <w:highlight w:val="none"/>
        </w:rPr>
        <w:t>（三）战略目标</w:t>
      </w:r>
      <w:bookmarkEnd w:id="64"/>
      <w:bookmarkEnd w:id="65"/>
      <w:bookmarkEnd w:id="66"/>
      <w:bookmarkEnd w:id="67"/>
      <w:bookmarkEnd w:id="68"/>
      <w:bookmarkEnd w:id="69"/>
      <w:bookmarkEnd w:id="70"/>
    </w:p>
    <w:p>
      <w:pPr>
        <w:pStyle w:val="6"/>
        <w:ind w:firstLine="632"/>
        <w:rPr>
          <w:color w:val="auto"/>
          <w:highlight w:val="none"/>
        </w:rPr>
      </w:pPr>
      <w:r>
        <w:rPr>
          <w:rFonts w:hint="eastAsia" w:ascii="楷体_GB2312" w:hAnsi="楷体_GB2312" w:eastAsia="楷体_GB2312" w:cs="楷体_GB2312"/>
          <w:b w:val="0"/>
          <w:bCs w:val="0"/>
          <w:color w:val="auto"/>
          <w:highlight w:val="none"/>
        </w:rPr>
        <w:t>1.近期目标</w:t>
      </w:r>
    </w:p>
    <w:p>
      <w:pPr>
        <w:ind w:firstLine="632"/>
        <w:rPr>
          <w:color w:val="auto"/>
          <w:highlight w:val="none"/>
        </w:rPr>
      </w:pPr>
      <w:r>
        <w:rPr>
          <w:rFonts w:hint="eastAsia"/>
          <w:color w:val="auto"/>
          <w:highlight w:val="none"/>
        </w:rPr>
        <w:t>到2</w:t>
      </w:r>
      <w:r>
        <w:rPr>
          <w:color w:val="auto"/>
          <w:highlight w:val="none"/>
        </w:rPr>
        <w:t>025</w:t>
      </w:r>
      <w:r>
        <w:rPr>
          <w:rFonts w:hint="eastAsia"/>
          <w:color w:val="auto"/>
          <w:highlight w:val="none"/>
        </w:rPr>
        <w:t>年，建立全市生物多样性保护协调机制，强化生态空间用途管制，严守生态保护红线和自然保护地边界，统筹就地保护和迁地保护，有序推进自然生态系统修复、恢复，推进实施生物多样性保护重大工程。夯实生物多样性保护基础，有序开展生物多样性保护优先区域生物多样性调查、评估以及生物遗传资源和生物多样性相关传统知识调查、登记，持续开展外来入侵物种调查、监测和预警，加强生物安全管理。</w:t>
      </w:r>
    </w:p>
    <w:p>
      <w:pPr>
        <w:ind w:firstLine="632"/>
        <w:rPr>
          <w:color w:val="auto"/>
          <w:highlight w:val="none"/>
        </w:rPr>
      </w:pPr>
      <w:r>
        <w:rPr>
          <w:rFonts w:hint="eastAsia"/>
          <w:color w:val="auto"/>
          <w:highlight w:val="none"/>
        </w:rPr>
        <w:t>全市森林覆盖率不低于1</w:t>
      </w:r>
      <w:r>
        <w:rPr>
          <w:color w:val="auto"/>
          <w:highlight w:val="none"/>
        </w:rPr>
        <w:t>5%</w:t>
      </w:r>
      <w:r>
        <w:rPr>
          <w:rFonts w:hint="eastAsia"/>
          <w:color w:val="auto"/>
          <w:highlight w:val="none"/>
        </w:rPr>
        <w:t>，珍稀</w:t>
      </w:r>
      <w:r>
        <w:rPr>
          <w:color w:val="auto"/>
          <w:highlight w:val="none"/>
        </w:rPr>
        <w:t>濒危物种95%以上得到保护</w:t>
      </w:r>
      <w:r>
        <w:rPr>
          <w:rFonts w:hint="eastAsia"/>
          <w:color w:val="auto"/>
          <w:highlight w:val="none"/>
        </w:rPr>
        <w:t>，城市建成区绿化覆盖率稳定在40%以上</w:t>
      </w:r>
      <w:r>
        <w:rPr>
          <w:color w:val="auto"/>
          <w:highlight w:val="none"/>
        </w:rPr>
        <w:t>，</w:t>
      </w:r>
      <w:r>
        <w:rPr>
          <w:rFonts w:hint="eastAsia"/>
          <w:color w:val="auto"/>
          <w:highlight w:val="none"/>
        </w:rPr>
        <w:t>自然保护地、生态保护红线面积不降低，自然岸线保有率不降低。</w:t>
      </w:r>
      <w:r>
        <w:rPr>
          <w:color w:val="auto"/>
          <w:highlight w:val="none"/>
        </w:rPr>
        <w:t>到2027年，生态环境质量</w:t>
      </w:r>
      <w:r>
        <w:rPr>
          <w:rFonts w:hint="eastAsia"/>
          <w:color w:val="auto"/>
          <w:highlight w:val="none"/>
        </w:rPr>
        <w:t>持续</w:t>
      </w:r>
      <w:r>
        <w:rPr>
          <w:color w:val="auto"/>
          <w:highlight w:val="none"/>
        </w:rPr>
        <w:t>向好，山水林田海岛湾生态系统服务功能</w:t>
      </w:r>
      <w:r>
        <w:rPr>
          <w:rFonts w:hint="eastAsia"/>
          <w:color w:val="auto"/>
          <w:highlight w:val="none"/>
        </w:rPr>
        <w:t>稳定恢复。</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2.中期目标</w:t>
      </w:r>
    </w:p>
    <w:p>
      <w:pPr>
        <w:ind w:firstLine="632"/>
        <w:rPr>
          <w:color w:val="auto"/>
          <w:highlight w:val="none"/>
        </w:rPr>
      </w:pPr>
      <w:r>
        <w:rPr>
          <w:rFonts w:hint="eastAsia"/>
          <w:color w:val="auto"/>
          <w:highlight w:val="none"/>
        </w:rPr>
        <w:t>到2</w:t>
      </w:r>
      <w:r>
        <w:rPr>
          <w:color w:val="auto"/>
          <w:highlight w:val="none"/>
        </w:rPr>
        <w:t>030</w:t>
      </w:r>
      <w:r>
        <w:rPr>
          <w:rFonts w:hint="eastAsia"/>
          <w:color w:val="auto"/>
          <w:highlight w:val="none"/>
        </w:rPr>
        <w:t>年，生物多样性保护法规、制度体系进一步完善，生物多样性保护协调机制建立健全，生物多样性主流化基本实现。生态空间得到有效管控，就地保护网络持续优化，重要生态系统及栖息地丧失趋势得到基本遏制，退化生态系统得到有效恢复，生态系统完整性和稳定性逐步提升；迁地保护体系不断完善，生物遗传资源得到有效保护；有害生物和外来入侵种的发生和蔓延得到有效控制，生态环境质量持续改善，生物多样性丧失威胁持续降低。基本实现野生物种、种质资源、遗传资源的管理和利用可持续，农业、渔业和林业领域得到可持续管理，生态系统功能和服务进一步提升，生物多样性可持续利用水平全面提升。完成全市陆域和近岸海域生物多样性本底调查和评估，生物多样性保护科学支撑和保障能力不断提升，生物多样性现代化治理体系基本建立。</w:t>
      </w:r>
    </w:p>
    <w:p>
      <w:pPr>
        <w:pStyle w:val="6"/>
        <w:ind w:firstLine="632"/>
        <w:rPr>
          <w:rFonts w:ascii="楷体_GB2312" w:hAnsi="楷体_GB2312" w:eastAsia="楷体_GB2312" w:cs="楷体_GB2312"/>
          <w:b w:val="0"/>
          <w:bCs w:val="0"/>
          <w:color w:val="auto"/>
          <w:highlight w:val="none"/>
        </w:rPr>
      </w:pPr>
      <w:bookmarkStart w:id="71" w:name="_Toc396812369"/>
      <w:bookmarkStart w:id="72" w:name="_Toc531604429"/>
      <w:bookmarkStart w:id="73" w:name="_Toc366854597"/>
      <w:r>
        <w:rPr>
          <w:rFonts w:hint="eastAsia" w:ascii="楷体_GB2312" w:hAnsi="楷体_GB2312" w:eastAsia="楷体_GB2312" w:cs="楷体_GB2312"/>
          <w:b w:val="0"/>
          <w:bCs w:val="0"/>
          <w:color w:val="auto"/>
          <w:highlight w:val="none"/>
        </w:rPr>
        <w:t>3.远景目标</w:t>
      </w:r>
      <w:bookmarkEnd w:id="71"/>
      <w:bookmarkEnd w:id="72"/>
      <w:bookmarkEnd w:id="73"/>
      <w:bookmarkStart w:id="74" w:name="_Hlk144831627"/>
    </w:p>
    <w:bookmarkEnd w:id="74"/>
    <w:p>
      <w:pPr>
        <w:ind w:firstLine="632"/>
        <w:rPr>
          <w:b/>
          <w:bCs/>
          <w:color w:val="auto"/>
          <w:highlight w:val="none"/>
        </w:rPr>
      </w:pPr>
      <w:bookmarkStart w:id="75" w:name="_Toc366854598"/>
      <w:bookmarkStart w:id="76" w:name="_Toc531604430"/>
      <w:bookmarkStart w:id="77" w:name="_Toc396812370"/>
      <w:r>
        <w:rPr>
          <w:rFonts w:hint="eastAsia"/>
          <w:color w:val="auto"/>
          <w:highlight w:val="none"/>
        </w:rPr>
        <w:t>到2</w:t>
      </w:r>
      <w:r>
        <w:rPr>
          <w:color w:val="auto"/>
          <w:highlight w:val="none"/>
        </w:rPr>
        <w:t>035</w:t>
      </w:r>
      <w:r>
        <w:rPr>
          <w:rFonts w:hint="eastAsia"/>
          <w:color w:val="auto"/>
          <w:highlight w:val="none"/>
        </w:rPr>
        <w:t>年，陆地和海洋生态系统的完整性、连通性、稳定性和复原力大幅增加，森林覆盖率、自然岸线保有率以及生态系统、物种和遗传多样性保持稳定或增加，典型生态系统、国家重点保护和濒危野生动植物物种及其栖息地得到全面保护，生物遗传资源获取与惠益分享、生物多样性可持续利用机制全面建立，生态系统碳汇能力稳固提升，保护生物多样性成为公民自觉行动。到2050年，全面形成绿色发展方式和生活方式，实现人与自然和谐共生的美好愿景。</w:t>
      </w:r>
    </w:p>
    <w:bookmarkEnd w:id="75"/>
    <w:bookmarkEnd w:id="76"/>
    <w:bookmarkEnd w:id="77"/>
    <w:p>
      <w:pPr>
        <w:pStyle w:val="5"/>
        <w:ind w:firstLine="632"/>
        <w:rPr>
          <w:rFonts w:ascii="楷体_GB2312" w:hAnsi="楷体_GB2312" w:eastAsia="楷体_GB2312" w:cs="楷体_GB2312"/>
          <w:b w:val="0"/>
          <w:bCs w:val="0"/>
          <w:color w:val="auto"/>
          <w:highlight w:val="none"/>
        </w:rPr>
      </w:pPr>
      <w:bookmarkStart w:id="78" w:name="baidusnap4"/>
      <w:bookmarkEnd w:id="78"/>
      <w:bookmarkStart w:id="79" w:name="baidusnap1"/>
      <w:bookmarkEnd w:id="79"/>
      <w:bookmarkStart w:id="80" w:name="_Toc163376226"/>
      <w:bookmarkStart w:id="81" w:name="_Toc396812371"/>
      <w:bookmarkStart w:id="82" w:name="_Toc338686581"/>
      <w:bookmarkStart w:id="83" w:name="_Toc366854599"/>
      <w:bookmarkStart w:id="84" w:name="_Toc354997029"/>
      <w:bookmarkStart w:id="85" w:name="_Toc358127779"/>
      <w:bookmarkStart w:id="86" w:name="_Toc531604431"/>
      <w:r>
        <w:rPr>
          <w:rFonts w:hint="eastAsia" w:ascii="楷体_GB2312" w:hAnsi="楷体_GB2312" w:eastAsia="楷体_GB2312" w:cs="楷体_GB2312"/>
          <w:b w:val="0"/>
          <w:bCs w:val="0"/>
          <w:color w:val="auto"/>
          <w:highlight w:val="none"/>
        </w:rPr>
        <w:t>（四）战略任务</w:t>
      </w:r>
      <w:bookmarkEnd w:id="80"/>
      <w:bookmarkEnd w:id="81"/>
      <w:bookmarkEnd w:id="82"/>
      <w:bookmarkEnd w:id="83"/>
      <w:bookmarkEnd w:id="84"/>
      <w:bookmarkEnd w:id="85"/>
      <w:bookmarkEnd w:id="86"/>
    </w:p>
    <w:p>
      <w:pPr>
        <w:pStyle w:val="6"/>
        <w:ind w:firstLine="632"/>
        <w:rPr>
          <w:rFonts w:ascii="楷体_GB2312" w:hAnsi="楷体_GB2312" w:eastAsia="楷体_GB2312" w:cs="楷体_GB2312"/>
          <w:b w:val="0"/>
          <w:bCs w:val="0"/>
          <w:color w:val="auto"/>
          <w:highlight w:val="none"/>
        </w:rPr>
      </w:pPr>
      <w:bookmarkStart w:id="87" w:name="_Toc396812372"/>
      <w:bookmarkStart w:id="88" w:name="_Toc531604432"/>
      <w:bookmarkStart w:id="89" w:name="_Toc366854600"/>
      <w:bookmarkStart w:id="90" w:name="_Toc532476939"/>
      <w:r>
        <w:rPr>
          <w:rFonts w:hint="eastAsia" w:ascii="楷体_GB2312" w:hAnsi="楷体_GB2312" w:eastAsia="楷体_GB2312" w:cs="楷体_GB2312"/>
          <w:b w:val="0"/>
          <w:bCs w:val="0"/>
          <w:color w:val="auto"/>
          <w:highlight w:val="none"/>
        </w:rPr>
        <w:t>1.推动生物多样性保护主流化</w:t>
      </w:r>
    </w:p>
    <w:p>
      <w:pPr>
        <w:ind w:firstLine="632"/>
        <w:rPr>
          <w:color w:val="auto"/>
          <w:highlight w:val="none"/>
        </w:rPr>
      </w:pPr>
      <w:r>
        <w:rPr>
          <w:rFonts w:hint="eastAsia"/>
          <w:color w:val="auto"/>
          <w:highlight w:val="none"/>
        </w:rPr>
        <w:t>完善生物多样性保护、自然保护地管理等相关地方性法规、规章制度及规划体系，建立健全生物多样性保护协调机制，将生物多样性保护纳入国民经济和社会发展规划，以及部门专项规划、行业规划，制定具体落实细则，推动建立相关专项规划、行业规划编制与实施的评估监督机制，推动其有效实施。</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2.减少对生物多样性的威胁</w:t>
      </w:r>
    </w:p>
    <w:p>
      <w:pPr>
        <w:ind w:firstLine="632"/>
        <w:rPr>
          <w:color w:val="auto"/>
          <w:highlight w:val="none"/>
        </w:rPr>
      </w:pPr>
      <w:r>
        <w:rPr>
          <w:rFonts w:hint="eastAsia"/>
          <w:color w:val="auto"/>
          <w:highlight w:val="none"/>
        </w:rPr>
        <w:t>进一步加强生态空间管控，持续优化就地保护网络，遏制重要生态系统及栖息地丧失趋势，恢复退化生态系统，进一步提升生态系统完整性和稳定性；进一步完善迁地保护体系，加强生物遗传资源保护；加强生物安全管理与风险防控，严防有害生物和外来入侵种的发生和蔓延；持续改善生态环境质量，提升生态系统气候韧性，降低生物多样性丧失威胁。</w:t>
      </w:r>
    </w:p>
    <w:p>
      <w:pPr>
        <w:pStyle w:val="6"/>
        <w:ind w:firstLine="632"/>
        <w:rPr>
          <w:color w:val="auto"/>
          <w:highlight w:val="none"/>
        </w:rPr>
      </w:pPr>
      <w:r>
        <w:rPr>
          <w:rFonts w:hint="eastAsia" w:ascii="楷体_GB2312" w:hAnsi="楷体_GB2312" w:eastAsia="楷体_GB2312" w:cs="楷体_GB2312"/>
          <w:b w:val="0"/>
          <w:bCs w:val="0"/>
          <w:color w:val="auto"/>
          <w:highlight w:val="none"/>
        </w:rPr>
        <w:t>3.提升生物多样性可持续利用与惠益共享水平</w:t>
      </w:r>
    </w:p>
    <w:p>
      <w:pPr>
        <w:ind w:firstLine="632"/>
        <w:rPr>
          <w:color w:val="auto"/>
          <w:highlight w:val="none"/>
        </w:rPr>
      </w:pPr>
      <w:r>
        <w:rPr>
          <w:rFonts w:hint="eastAsia"/>
          <w:color w:val="auto"/>
          <w:highlight w:val="none"/>
        </w:rPr>
        <w:t>实现野生物种、种质资源、遗传资源的管理和利用可持续；确保农业、渔业和林业领域得到可持续管理，提升生态系统的恢复力、生产力和长期效率，推进生态产品价值实现；城乡等人口密集地区绿地面积和质量大幅提高，增强本地生物多样性和生态系统完整性，促进城市化的可持续性；传承发展生物多样性相关传统知识，推动生物遗传资源获取和惠益分享公平、公正。</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4.加强生物多样性保护能力建设</w:t>
      </w:r>
    </w:p>
    <w:p>
      <w:pPr>
        <w:ind w:firstLine="632"/>
        <w:rPr>
          <w:color w:val="auto"/>
          <w:highlight w:val="none"/>
        </w:rPr>
      </w:pPr>
      <w:r>
        <w:rPr>
          <w:rFonts w:hint="eastAsia"/>
          <w:color w:val="auto"/>
          <w:highlight w:val="none"/>
        </w:rPr>
        <w:t>加强生物多样性保护基础设施建设和规范化管理，开展生物多样性本底调查和科学研究。进一步加强生物多样性监测能力建设，提高生物多样性预警和管理水平。建设生物多样性保护执法体系，推动各项法律法规和政策落地。加强生物物种资源出入境查验能力建设。</w:t>
      </w:r>
      <w:r>
        <w:rPr>
          <w:rFonts w:ascii="仿宋_GB2312" w:hAnsi="宋体" w:cs="仿宋_GB2312"/>
          <w:color w:val="auto"/>
          <w:kern w:val="0"/>
          <w:highlight w:val="none"/>
          <w:lang w:bidi="ar"/>
        </w:rPr>
        <w:t>建立外来入侵物种和病虫害的监测及预警体系，提升各领域</w:t>
      </w:r>
      <w:r>
        <w:rPr>
          <w:rFonts w:hint="eastAsia" w:ascii="仿宋_GB2312" w:hAnsi="宋体" w:cs="仿宋_GB2312"/>
          <w:color w:val="auto"/>
          <w:kern w:val="0"/>
          <w:highlight w:val="none"/>
          <w:lang w:bidi="ar"/>
        </w:rPr>
        <w:t>病虫害防治技术。</w:t>
      </w:r>
    </w:p>
    <w:p>
      <w:pPr>
        <w:pStyle w:val="6"/>
        <w:ind w:firstLine="632"/>
        <w:rPr>
          <w:color w:val="auto"/>
          <w:highlight w:val="none"/>
        </w:rPr>
      </w:pPr>
      <w:r>
        <w:rPr>
          <w:rFonts w:hint="eastAsia" w:ascii="楷体_GB2312" w:hAnsi="楷体_GB2312" w:eastAsia="楷体_GB2312" w:cs="楷体_GB2312"/>
          <w:b w:val="0"/>
          <w:bCs w:val="0"/>
          <w:color w:val="auto"/>
          <w:highlight w:val="none"/>
        </w:rPr>
        <w:t>5.提高全民保护和参与意识</w:t>
      </w:r>
    </w:p>
    <w:p>
      <w:pPr>
        <w:widowControl/>
        <w:ind w:firstLine="632"/>
        <w:jc w:val="left"/>
        <w:rPr>
          <w:color w:val="auto"/>
          <w:highlight w:val="none"/>
        </w:rPr>
      </w:pPr>
      <w:r>
        <w:rPr>
          <w:rFonts w:ascii="仿宋_GB2312" w:hAnsi="宋体" w:cs="仿宋_GB2312"/>
          <w:color w:val="auto"/>
          <w:kern w:val="0"/>
          <w:highlight w:val="none"/>
          <w:lang w:bidi="ar"/>
        </w:rPr>
        <w:t>加强全市生物多样性保护宣传教育，引导公众积</w:t>
      </w:r>
      <w:r>
        <w:rPr>
          <w:rFonts w:hint="eastAsia" w:ascii="仿宋_GB2312" w:hAnsi="宋体" w:cs="仿宋_GB2312"/>
          <w:color w:val="auto"/>
          <w:kern w:val="0"/>
          <w:highlight w:val="none"/>
          <w:lang w:bidi="ar"/>
        </w:rPr>
        <w:t>极参与生物多样性保护。构建生物多样性保护公众监督、举报平台，完善非政府组织和公众参与机制。倡导有利于生物多样性保护的生产、生活和消费方式，树立尊重自然、顺应自然、保护自然的生态文明理念。</w:t>
      </w:r>
    </w:p>
    <w:bookmarkEnd w:id="87"/>
    <w:bookmarkEnd w:id="88"/>
    <w:bookmarkEnd w:id="89"/>
    <w:bookmarkEnd w:id="90"/>
    <w:p>
      <w:pPr>
        <w:pStyle w:val="4"/>
        <w:ind w:firstLine="632" w:firstLineChars="200"/>
        <w:rPr>
          <w:b w:val="0"/>
          <w:bCs w:val="0"/>
          <w:color w:val="auto"/>
          <w:sz w:val="32"/>
          <w:szCs w:val="32"/>
          <w:highlight w:val="none"/>
        </w:rPr>
      </w:pPr>
      <w:bookmarkStart w:id="91" w:name="_Toc163376227"/>
      <w:r>
        <w:rPr>
          <w:b w:val="0"/>
          <w:bCs w:val="0"/>
          <w:color w:val="auto"/>
          <w:sz w:val="32"/>
          <w:szCs w:val="32"/>
          <w:highlight w:val="none"/>
        </w:rPr>
        <w:t>四、生物多样性保护优先区域</w:t>
      </w:r>
      <w:bookmarkEnd w:id="91"/>
    </w:p>
    <w:p>
      <w:pPr>
        <w:pStyle w:val="5"/>
        <w:ind w:firstLine="632"/>
        <w:rPr>
          <w:rFonts w:ascii="楷体_GB2312" w:hAnsi="楷体_GB2312" w:eastAsia="楷体_GB2312" w:cs="楷体_GB2312"/>
          <w:b w:val="0"/>
          <w:bCs w:val="0"/>
          <w:color w:val="auto"/>
          <w:highlight w:val="none"/>
        </w:rPr>
      </w:pPr>
      <w:bookmarkStart w:id="92" w:name="_Toc163376228"/>
      <w:r>
        <w:rPr>
          <w:rFonts w:hint="eastAsia" w:ascii="楷体_GB2312" w:hAnsi="楷体_GB2312" w:eastAsia="楷体_GB2312" w:cs="楷体_GB2312"/>
          <w:b w:val="0"/>
          <w:bCs w:val="0"/>
          <w:color w:val="auto"/>
          <w:highlight w:val="none"/>
        </w:rPr>
        <w:t>（一）陆地生物多样性保护优先区域调整方法</w:t>
      </w:r>
      <w:bookmarkEnd w:id="92"/>
    </w:p>
    <w:p>
      <w:pPr>
        <w:ind w:firstLine="632"/>
        <w:rPr>
          <w:rFonts w:eastAsia="黑体"/>
          <w:color w:val="auto"/>
          <w:highlight w:val="none"/>
        </w:rPr>
      </w:pPr>
      <w:r>
        <w:rPr>
          <w:rFonts w:hint="eastAsia"/>
          <w:color w:val="auto"/>
          <w:highlight w:val="none"/>
        </w:rPr>
        <w:t>根据青岛市最新生物多样性本地资源调查情况及生态环境现状，对照全市生态保护红线和生态空间分布区域范围，结合《青岛市生态环境“十四五”规划》等规划、方案，按照保持生态系统完整性和连通性，维持生态系统结构和服务功能的原则，对《行动计划》中确定的</w:t>
      </w:r>
      <w:r>
        <w:rPr>
          <w:color w:val="auto"/>
          <w:highlight w:val="none"/>
        </w:rPr>
        <w:t>陆地生物多样性保护</w:t>
      </w:r>
      <w:r>
        <w:rPr>
          <w:rFonts w:hint="eastAsia"/>
          <w:color w:val="auto"/>
          <w:highlight w:val="none"/>
        </w:rPr>
        <w:t>优先区域进行优化调整。青岛市陆地</w:t>
      </w:r>
      <w:r>
        <w:rPr>
          <w:color w:val="auto"/>
          <w:highlight w:val="none"/>
        </w:rPr>
        <w:t>生物多样性保护优先区域，见图1：</w:t>
      </w:r>
    </w:p>
    <w:p>
      <w:pPr>
        <w:adjustRightInd w:val="0"/>
        <w:snapToGrid w:val="0"/>
        <w:spacing w:line="240" w:lineRule="auto"/>
        <w:ind w:firstLine="0" w:firstLineChars="0"/>
        <w:jc w:val="center"/>
        <w:rPr>
          <w:color w:val="auto"/>
          <w:sz w:val="28"/>
          <w:highlight w:val="none"/>
        </w:rPr>
      </w:pPr>
      <w:r>
        <w:rPr>
          <w:rFonts w:hint="eastAsia"/>
          <w:color w:val="auto"/>
          <w:sz w:val="28"/>
          <w:highlight w:val="none"/>
        </w:rPr>
        <w:drawing>
          <wp:inline distT="0" distB="0" distL="114300" distR="114300">
            <wp:extent cx="5216525" cy="5765165"/>
            <wp:effectExtent l="0" t="0" r="3175" b="698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0"/>
                    <a:stretch>
                      <a:fillRect/>
                    </a:stretch>
                  </pic:blipFill>
                  <pic:spPr>
                    <a:xfrm>
                      <a:off x="0" y="0"/>
                      <a:ext cx="5216525" cy="5765165"/>
                    </a:xfrm>
                    <a:prstGeom prst="rect">
                      <a:avLst/>
                    </a:prstGeom>
                  </pic:spPr>
                </pic:pic>
              </a:graphicData>
            </a:graphic>
          </wp:inline>
        </w:drawing>
      </w:r>
    </w:p>
    <w:p>
      <w:pPr>
        <w:adjustRightInd w:val="0"/>
        <w:snapToGrid w:val="0"/>
        <w:ind w:firstLine="474"/>
        <w:jc w:val="center"/>
        <w:rPr>
          <w:color w:val="auto"/>
          <w:sz w:val="28"/>
          <w:highlight w:val="none"/>
        </w:rPr>
      </w:pPr>
      <w:r>
        <w:rPr>
          <w:rFonts w:eastAsia="仿宋"/>
          <w:b/>
          <w:color w:val="auto"/>
          <w:sz w:val="24"/>
          <w:szCs w:val="28"/>
          <w:highlight w:val="none"/>
        </w:rPr>
        <w:t>图1 青岛市陆地生物多样性保护优先区域</w:t>
      </w:r>
    </w:p>
    <w:p>
      <w:pPr>
        <w:pStyle w:val="5"/>
        <w:ind w:firstLine="632"/>
        <w:rPr>
          <w:rFonts w:ascii="楷体_GB2312" w:hAnsi="楷体_GB2312" w:eastAsia="楷体_GB2312" w:cs="楷体_GB2312"/>
          <w:b w:val="0"/>
          <w:bCs w:val="0"/>
          <w:color w:val="auto"/>
          <w:highlight w:val="none"/>
        </w:rPr>
      </w:pPr>
      <w:bookmarkStart w:id="93" w:name="_Toc163376229"/>
      <w:r>
        <w:rPr>
          <w:rFonts w:hint="eastAsia" w:ascii="楷体_GB2312" w:hAnsi="楷体_GB2312" w:eastAsia="楷体_GB2312" w:cs="楷体_GB2312"/>
          <w:b w:val="0"/>
          <w:bCs w:val="0"/>
          <w:color w:val="auto"/>
          <w:highlight w:val="none"/>
        </w:rPr>
        <w:t>（二）陆地生物多样性保护优先区域介绍</w:t>
      </w:r>
      <w:bookmarkEnd w:id="93"/>
    </w:p>
    <w:p>
      <w:pPr>
        <w:pStyle w:val="5"/>
        <w:ind w:firstLine="632"/>
        <w:rPr>
          <w:color w:val="auto"/>
          <w:highlight w:val="none"/>
        </w:rPr>
      </w:pPr>
      <w:r>
        <w:rPr>
          <w:rFonts w:hint="eastAsia" w:ascii="仿宋_GB2312" w:hAnsi="仿宋_GB2312" w:eastAsia="仿宋_GB2312" w:cs="仿宋_GB2312"/>
          <w:b w:val="0"/>
          <w:bCs w:val="0"/>
          <w:color w:val="auto"/>
          <w:highlight w:val="none"/>
        </w:rPr>
        <w:t>根据青岛市自然条件、社会经济状况与物种分布特点，划分为5个地理分区（青东岸丘陵区、青西岸丘陵区、青北岸平原区、青北丘陵区、青北平原区），以及13个陆地生物多样性保护优先区域（图1），13个优先区域隶属4个地理分区（表2）。</w:t>
      </w:r>
    </w:p>
    <w:p>
      <w:pPr>
        <w:ind w:firstLine="632"/>
        <w:rPr>
          <w:color w:val="auto"/>
          <w:highlight w:val="none"/>
        </w:rPr>
      </w:pPr>
    </w:p>
    <w:p>
      <w:pPr>
        <w:adjustRightInd w:val="0"/>
        <w:snapToGrid w:val="0"/>
        <w:ind w:firstLine="0" w:firstLineChars="0"/>
        <w:jc w:val="center"/>
        <w:rPr>
          <w:color w:val="auto"/>
          <w:sz w:val="28"/>
          <w:highlight w:val="none"/>
        </w:rPr>
      </w:pPr>
      <w:r>
        <w:rPr>
          <w:b/>
          <w:color w:val="auto"/>
          <w:sz w:val="24"/>
          <w:highlight w:val="none"/>
        </w:rPr>
        <w:t>表2 青岛市陆地生物多样性保护优先区域划分方案</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708"/>
        <w:gridCol w:w="1418"/>
        <w:gridCol w:w="3544"/>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562"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序号</w:t>
            </w:r>
          </w:p>
        </w:tc>
        <w:tc>
          <w:tcPr>
            <w:tcW w:w="1560"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生物多样性保护优先区域</w:t>
            </w:r>
          </w:p>
        </w:tc>
        <w:tc>
          <w:tcPr>
            <w:tcW w:w="708"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地理分区</w:t>
            </w:r>
          </w:p>
        </w:tc>
        <w:tc>
          <w:tcPr>
            <w:tcW w:w="1418"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分布区市</w:t>
            </w:r>
          </w:p>
        </w:tc>
        <w:tc>
          <w:tcPr>
            <w:tcW w:w="3544"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涉及村镇（社区）</w:t>
            </w:r>
          </w:p>
        </w:tc>
        <w:tc>
          <w:tcPr>
            <w:tcW w:w="1042"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面积（km</w:t>
            </w:r>
            <w:r>
              <w:rPr>
                <w:b/>
                <w:color w:val="auto"/>
                <w:kern w:val="0"/>
                <w:sz w:val="22"/>
                <w:szCs w:val="22"/>
                <w:highlight w:val="none"/>
                <w:vertAlign w:val="superscript"/>
              </w:rPr>
              <w:t>2</w:t>
            </w:r>
            <w:r>
              <w:rPr>
                <w:b/>
                <w:color w:val="auto"/>
                <w:kern w:val="0"/>
                <w:sz w:val="22"/>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1</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崂山-华楼山-三标山</w:t>
            </w:r>
          </w:p>
        </w:tc>
        <w:tc>
          <w:tcPr>
            <w:tcW w:w="708" w:type="dxa"/>
            <w:vMerge w:val="restart"/>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青东岸丘陵区</w:t>
            </w: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崂山区、李沧区、城阳区、即墨区</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棉花村、霞沟村、上峪村、下峪村、五龙涧村、</w:t>
            </w:r>
            <w:r>
              <w:rPr>
                <w:color w:val="auto"/>
                <w:kern w:val="0"/>
                <w:sz w:val="22"/>
                <w:szCs w:val="22"/>
                <w:highlight w:val="none"/>
              </w:rPr>
              <w:t>竹窝村、河东村、磅石村、卧龙村、南北岭村、上葛村、下葛村、青山村、黄山口村、北头村等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319.66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2</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浮山</w:t>
            </w:r>
          </w:p>
        </w:tc>
        <w:tc>
          <w:tcPr>
            <w:tcW w:w="708" w:type="dxa"/>
            <w:vMerge w:val="continue"/>
            <w:vAlign w:val="center"/>
          </w:tcPr>
          <w:p>
            <w:pPr>
              <w:widowControl/>
              <w:snapToGrid w:val="0"/>
              <w:ind w:firstLine="0" w:firstLineChars="0"/>
              <w:jc w:val="center"/>
              <w:rPr>
                <w:color w:val="auto"/>
                <w:kern w:val="0"/>
                <w:sz w:val="22"/>
                <w:szCs w:val="22"/>
                <w:highlight w:val="none"/>
              </w:rPr>
            </w:pP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崂山区、市南区</w:t>
            </w:r>
            <w:r>
              <w:rPr>
                <w:rFonts w:hint="eastAsia"/>
                <w:color w:val="auto"/>
                <w:kern w:val="0"/>
                <w:sz w:val="22"/>
                <w:szCs w:val="22"/>
                <w:highlight w:val="none"/>
              </w:rPr>
              <w:t>、市北区</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无</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3</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青岗岭-豹山-四舍山</w:t>
            </w:r>
          </w:p>
        </w:tc>
        <w:tc>
          <w:tcPr>
            <w:tcW w:w="708" w:type="dxa"/>
            <w:vMerge w:val="continue"/>
            <w:vAlign w:val="center"/>
          </w:tcPr>
          <w:p>
            <w:pPr>
              <w:widowControl/>
              <w:snapToGrid w:val="0"/>
              <w:ind w:firstLine="0" w:firstLineChars="0"/>
              <w:jc w:val="center"/>
              <w:rPr>
                <w:color w:val="auto"/>
                <w:kern w:val="0"/>
                <w:sz w:val="22"/>
                <w:szCs w:val="22"/>
                <w:highlight w:val="none"/>
              </w:rPr>
            </w:pP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即墨区</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青岗岭村、红星村、</w:t>
            </w:r>
            <w:r>
              <w:rPr>
                <w:rFonts w:hint="eastAsia"/>
                <w:color w:val="auto"/>
                <w:kern w:val="0"/>
                <w:sz w:val="22"/>
                <w:szCs w:val="22"/>
                <w:highlight w:val="none"/>
              </w:rPr>
              <w:t>水场村、西水场村、南邱家白庙、孙家白庙、李家白庙、姜家白庙、大汪村、射箭口村、</w:t>
            </w:r>
            <w:r>
              <w:rPr>
                <w:color w:val="auto"/>
                <w:kern w:val="0"/>
                <w:sz w:val="22"/>
                <w:szCs w:val="22"/>
                <w:highlight w:val="none"/>
              </w:rPr>
              <w:t>新桥村、</w:t>
            </w:r>
            <w:r>
              <w:rPr>
                <w:rFonts w:hint="eastAsia"/>
                <w:color w:val="auto"/>
                <w:kern w:val="0"/>
                <w:sz w:val="22"/>
                <w:szCs w:val="22"/>
                <w:highlight w:val="none"/>
              </w:rPr>
              <w:t>大任关村</w:t>
            </w:r>
            <w:r>
              <w:rPr>
                <w:color w:val="auto"/>
                <w:kern w:val="0"/>
                <w:sz w:val="22"/>
                <w:szCs w:val="22"/>
                <w:highlight w:val="none"/>
              </w:rPr>
              <w:t>鳌角石村、高戈庄村、</w:t>
            </w:r>
            <w:r>
              <w:rPr>
                <w:rFonts w:hint="eastAsia"/>
                <w:color w:val="auto"/>
                <w:kern w:val="0"/>
                <w:sz w:val="22"/>
                <w:szCs w:val="22"/>
                <w:highlight w:val="none"/>
              </w:rPr>
              <w:t>山里村等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58.99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4</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钱谷山-笔架山-宝华山</w:t>
            </w:r>
          </w:p>
        </w:tc>
        <w:tc>
          <w:tcPr>
            <w:tcW w:w="708" w:type="dxa"/>
            <w:vMerge w:val="continue"/>
            <w:vAlign w:val="center"/>
          </w:tcPr>
          <w:p>
            <w:pPr>
              <w:widowControl/>
              <w:snapToGrid w:val="0"/>
              <w:ind w:firstLine="0" w:firstLineChars="0"/>
              <w:jc w:val="center"/>
              <w:rPr>
                <w:color w:val="auto"/>
                <w:kern w:val="0"/>
                <w:sz w:val="22"/>
                <w:szCs w:val="22"/>
                <w:highlight w:val="none"/>
              </w:rPr>
            </w:pP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即墨区</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农林村、</w:t>
            </w:r>
            <w:r>
              <w:rPr>
                <w:rFonts w:hint="eastAsia"/>
                <w:color w:val="auto"/>
                <w:kern w:val="0"/>
                <w:sz w:val="22"/>
                <w:szCs w:val="22"/>
                <w:highlight w:val="none"/>
              </w:rPr>
              <w:t>山口村、</w:t>
            </w:r>
            <w:r>
              <w:rPr>
                <w:color w:val="auto"/>
                <w:kern w:val="0"/>
                <w:sz w:val="22"/>
                <w:szCs w:val="22"/>
                <w:highlight w:val="none"/>
              </w:rPr>
              <w:t>东龙湾头村、</w:t>
            </w:r>
            <w:r>
              <w:rPr>
                <w:rFonts w:hint="eastAsia"/>
                <w:color w:val="auto"/>
                <w:kern w:val="0"/>
                <w:sz w:val="22"/>
                <w:szCs w:val="22"/>
                <w:highlight w:val="none"/>
              </w:rPr>
              <w:t>夼子村、潘家村、</w:t>
            </w:r>
            <w:r>
              <w:rPr>
                <w:color w:val="auto"/>
                <w:kern w:val="0"/>
                <w:sz w:val="22"/>
                <w:szCs w:val="22"/>
                <w:highlight w:val="none"/>
              </w:rPr>
              <w:t>马山后村、</w:t>
            </w:r>
            <w:r>
              <w:rPr>
                <w:rFonts w:hint="eastAsia"/>
                <w:color w:val="auto"/>
                <w:kern w:val="0"/>
                <w:sz w:val="22"/>
                <w:szCs w:val="22"/>
                <w:highlight w:val="none"/>
              </w:rPr>
              <w:t>大桥村、小桥村、姜家屯村、</w:t>
            </w:r>
            <w:r>
              <w:rPr>
                <w:color w:val="auto"/>
                <w:kern w:val="0"/>
                <w:sz w:val="22"/>
                <w:szCs w:val="22"/>
                <w:highlight w:val="none"/>
              </w:rPr>
              <w:t>卧龙村</w:t>
            </w:r>
            <w:r>
              <w:rPr>
                <w:rFonts w:hint="eastAsia"/>
                <w:color w:val="auto"/>
                <w:kern w:val="0"/>
                <w:sz w:val="22"/>
                <w:szCs w:val="22"/>
                <w:highlight w:val="none"/>
              </w:rPr>
              <w:t>、西陆戈庄村</w:t>
            </w:r>
            <w:r>
              <w:rPr>
                <w:color w:val="auto"/>
                <w:kern w:val="0"/>
                <w:sz w:val="22"/>
                <w:szCs w:val="22"/>
                <w:highlight w:val="none"/>
              </w:rPr>
              <w:t>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78.23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5</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大泽山-招风顶-</w:t>
            </w:r>
            <w:r>
              <w:rPr>
                <w:rFonts w:hint="eastAsia"/>
                <w:color w:val="auto"/>
                <w:kern w:val="0"/>
                <w:sz w:val="22"/>
                <w:szCs w:val="22"/>
                <w:highlight w:val="none"/>
              </w:rPr>
              <w:t>两目山</w:t>
            </w:r>
          </w:p>
        </w:tc>
        <w:tc>
          <w:tcPr>
            <w:tcW w:w="708" w:type="dxa"/>
            <w:vMerge w:val="restart"/>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青北丘陵区</w:t>
            </w: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平度市</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山里石家村、九山后村、方家村、</w:t>
            </w:r>
            <w:r>
              <w:rPr>
                <w:color w:val="auto"/>
                <w:kern w:val="0"/>
                <w:sz w:val="22"/>
                <w:szCs w:val="22"/>
                <w:highlight w:val="none"/>
              </w:rPr>
              <w:t>青山村、</w:t>
            </w:r>
            <w:r>
              <w:rPr>
                <w:rFonts w:hint="eastAsia"/>
                <w:color w:val="auto"/>
                <w:kern w:val="0"/>
                <w:sz w:val="22"/>
                <w:szCs w:val="22"/>
                <w:highlight w:val="none"/>
              </w:rPr>
              <w:t>金家沟村、</w:t>
            </w:r>
            <w:r>
              <w:rPr>
                <w:color w:val="auto"/>
                <w:kern w:val="0"/>
                <w:sz w:val="22"/>
                <w:szCs w:val="22"/>
                <w:highlight w:val="none"/>
              </w:rPr>
              <w:t>沙窝村、</w:t>
            </w:r>
            <w:r>
              <w:rPr>
                <w:rFonts w:hint="eastAsia"/>
                <w:color w:val="auto"/>
                <w:kern w:val="0"/>
                <w:sz w:val="22"/>
                <w:szCs w:val="22"/>
                <w:highlight w:val="none"/>
              </w:rPr>
              <w:t>前涧村、后涧村、梁家村、满家村、所里头村、</w:t>
            </w:r>
            <w:r>
              <w:rPr>
                <w:color w:val="auto"/>
                <w:kern w:val="0"/>
                <w:sz w:val="22"/>
                <w:szCs w:val="22"/>
                <w:highlight w:val="none"/>
              </w:rPr>
              <w:t>口子村</w:t>
            </w:r>
            <w:r>
              <w:rPr>
                <w:rFonts w:hint="eastAsia"/>
                <w:color w:val="auto"/>
                <w:kern w:val="0"/>
                <w:sz w:val="22"/>
                <w:szCs w:val="22"/>
                <w:highlight w:val="none"/>
              </w:rPr>
              <w:t>、河庄口村、郑涧村、琥珀杨家村、东崖刘家村、东高家村</w:t>
            </w:r>
            <w:r>
              <w:rPr>
                <w:color w:val="auto"/>
                <w:kern w:val="0"/>
                <w:sz w:val="22"/>
                <w:szCs w:val="22"/>
                <w:highlight w:val="none"/>
              </w:rPr>
              <w:t>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156.72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6</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周家大山-大青山</w:t>
            </w:r>
          </w:p>
        </w:tc>
        <w:tc>
          <w:tcPr>
            <w:tcW w:w="708" w:type="dxa"/>
            <w:vMerge w:val="continue"/>
            <w:vAlign w:val="center"/>
          </w:tcPr>
          <w:p>
            <w:pPr>
              <w:widowControl/>
              <w:snapToGrid w:val="0"/>
              <w:ind w:firstLine="0" w:firstLineChars="0"/>
              <w:jc w:val="center"/>
              <w:rPr>
                <w:color w:val="auto"/>
                <w:kern w:val="0"/>
                <w:sz w:val="22"/>
                <w:szCs w:val="22"/>
                <w:highlight w:val="none"/>
              </w:rPr>
            </w:pP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平度市、莱西市</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北泊村、榛子沟村、小吴家村、</w:t>
            </w:r>
            <w:r>
              <w:rPr>
                <w:rFonts w:hint="eastAsia"/>
                <w:color w:val="auto"/>
                <w:kern w:val="0"/>
                <w:sz w:val="22"/>
                <w:szCs w:val="22"/>
                <w:highlight w:val="none"/>
              </w:rPr>
              <w:t>于新庄村</w:t>
            </w:r>
            <w:r>
              <w:rPr>
                <w:color w:val="auto"/>
                <w:kern w:val="0"/>
                <w:sz w:val="22"/>
                <w:szCs w:val="22"/>
                <w:highlight w:val="none"/>
              </w:rPr>
              <w:t>、涧里村</w:t>
            </w:r>
            <w:r>
              <w:rPr>
                <w:rFonts w:hint="eastAsia"/>
                <w:color w:val="auto"/>
                <w:kern w:val="0"/>
                <w:sz w:val="22"/>
                <w:szCs w:val="22"/>
                <w:highlight w:val="none"/>
              </w:rPr>
              <w:t>、山后村、邴家村</w:t>
            </w:r>
            <w:r>
              <w:rPr>
                <w:color w:val="auto"/>
                <w:kern w:val="0"/>
                <w:sz w:val="22"/>
                <w:szCs w:val="22"/>
                <w:highlight w:val="none"/>
              </w:rPr>
              <w:t>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63.91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7</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产芝水库湿地</w:t>
            </w:r>
          </w:p>
        </w:tc>
        <w:tc>
          <w:tcPr>
            <w:tcW w:w="708" w:type="dxa"/>
            <w:vMerge w:val="restart"/>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青北平原区</w:t>
            </w: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莱西市</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北七格庄村、敬格庄村、圈子村、西钟芝村、小淳于村、南七格庄村、产芝村、鱼池村、沟东村等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49.68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8</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姜山湿地</w:t>
            </w:r>
          </w:p>
        </w:tc>
        <w:tc>
          <w:tcPr>
            <w:tcW w:w="708" w:type="dxa"/>
            <w:vMerge w:val="continue"/>
            <w:vAlign w:val="center"/>
          </w:tcPr>
          <w:p>
            <w:pPr>
              <w:widowControl/>
              <w:snapToGrid w:val="0"/>
              <w:ind w:firstLine="0" w:firstLineChars="0"/>
              <w:jc w:val="center"/>
              <w:rPr>
                <w:color w:val="auto"/>
                <w:kern w:val="0"/>
                <w:sz w:val="22"/>
                <w:szCs w:val="22"/>
                <w:highlight w:val="none"/>
              </w:rPr>
            </w:pP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莱西市</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亭子口村、黄土台村等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9</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小珠山-陡楼山</w:t>
            </w:r>
          </w:p>
        </w:tc>
        <w:tc>
          <w:tcPr>
            <w:tcW w:w="708" w:type="dxa"/>
            <w:vMerge w:val="restart"/>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青西岸丘陵区</w:t>
            </w: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西海岸新区</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东山村、北山村、</w:t>
            </w:r>
            <w:r>
              <w:rPr>
                <w:rFonts w:hint="eastAsia"/>
                <w:color w:val="auto"/>
                <w:kern w:val="0"/>
                <w:sz w:val="22"/>
                <w:szCs w:val="22"/>
                <w:highlight w:val="none"/>
              </w:rPr>
              <w:t>西阿陀村、北阿陀、韩家台村、刘家庄村、木厂口村</w:t>
            </w:r>
            <w:r>
              <w:rPr>
                <w:color w:val="auto"/>
                <w:kern w:val="0"/>
                <w:sz w:val="22"/>
                <w:szCs w:val="22"/>
                <w:highlight w:val="none"/>
              </w:rPr>
              <w:t>、青石湾村</w:t>
            </w:r>
            <w:r>
              <w:rPr>
                <w:rFonts w:hint="eastAsia"/>
                <w:color w:val="auto"/>
                <w:kern w:val="0"/>
                <w:sz w:val="22"/>
                <w:szCs w:val="22"/>
                <w:highlight w:val="none"/>
              </w:rPr>
              <w:t>、独垛子村</w:t>
            </w:r>
            <w:r>
              <w:rPr>
                <w:color w:val="auto"/>
                <w:kern w:val="0"/>
                <w:sz w:val="22"/>
                <w:szCs w:val="22"/>
                <w:highlight w:val="none"/>
              </w:rPr>
              <w:t>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66.82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10</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大珠山-寨子山</w:t>
            </w:r>
          </w:p>
        </w:tc>
        <w:tc>
          <w:tcPr>
            <w:tcW w:w="708" w:type="dxa"/>
            <w:vMerge w:val="continue"/>
            <w:vAlign w:val="center"/>
          </w:tcPr>
          <w:p>
            <w:pPr>
              <w:widowControl/>
              <w:snapToGrid w:val="0"/>
              <w:ind w:firstLine="0" w:firstLineChars="0"/>
              <w:jc w:val="center"/>
              <w:rPr>
                <w:color w:val="auto"/>
                <w:kern w:val="0"/>
                <w:sz w:val="22"/>
                <w:szCs w:val="22"/>
                <w:highlight w:val="none"/>
              </w:rPr>
            </w:pP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西海岸新区</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东山张村</w:t>
            </w:r>
            <w:r>
              <w:rPr>
                <w:rFonts w:hint="eastAsia"/>
                <w:color w:val="auto"/>
                <w:kern w:val="0"/>
                <w:sz w:val="22"/>
                <w:szCs w:val="22"/>
                <w:highlight w:val="none"/>
              </w:rPr>
              <w:t>、</w:t>
            </w:r>
            <w:r>
              <w:rPr>
                <w:color w:val="auto"/>
                <w:kern w:val="0"/>
                <w:sz w:val="22"/>
                <w:szCs w:val="22"/>
                <w:highlight w:val="none"/>
              </w:rPr>
              <w:t>黄石坎村、高峪</w:t>
            </w:r>
            <w:r>
              <w:rPr>
                <w:rFonts w:hint="eastAsia"/>
                <w:color w:val="auto"/>
                <w:kern w:val="0"/>
                <w:sz w:val="22"/>
                <w:szCs w:val="22"/>
                <w:highlight w:val="none"/>
              </w:rPr>
              <w:t>村</w:t>
            </w:r>
            <w:r>
              <w:rPr>
                <w:color w:val="auto"/>
                <w:kern w:val="0"/>
                <w:sz w:val="22"/>
                <w:szCs w:val="22"/>
                <w:highlight w:val="none"/>
              </w:rPr>
              <w:t>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36.53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11</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铁橛山-尹家大山</w:t>
            </w:r>
          </w:p>
        </w:tc>
        <w:tc>
          <w:tcPr>
            <w:tcW w:w="708" w:type="dxa"/>
            <w:vMerge w:val="continue"/>
            <w:vAlign w:val="center"/>
          </w:tcPr>
          <w:p>
            <w:pPr>
              <w:widowControl/>
              <w:snapToGrid w:val="0"/>
              <w:ind w:firstLine="0" w:firstLineChars="0"/>
              <w:jc w:val="center"/>
              <w:rPr>
                <w:color w:val="auto"/>
                <w:kern w:val="0"/>
                <w:sz w:val="22"/>
                <w:szCs w:val="22"/>
                <w:highlight w:val="none"/>
              </w:rPr>
            </w:pP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西海岸新区</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后石沟村、大下庄村、新下庄村、宋家店子村、上沟村、墨城安村、小崮村、大崮村、马家屋子村、</w:t>
            </w:r>
            <w:r>
              <w:rPr>
                <w:color w:val="auto"/>
                <w:kern w:val="0"/>
                <w:sz w:val="22"/>
                <w:szCs w:val="22"/>
                <w:highlight w:val="none"/>
              </w:rPr>
              <w:t>小崮村、大崮村、北安子村等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81.37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12</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琅琊台-车轮山-黄道山</w:t>
            </w:r>
          </w:p>
        </w:tc>
        <w:tc>
          <w:tcPr>
            <w:tcW w:w="708" w:type="dxa"/>
            <w:vMerge w:val="continue"/>
            <w:vAlign w:val="center"/>
          </w:tcPr>
          <w:p>
            <w:pPr>
              <w:widowControl/>
              <w:snapToGrid w:val="0"/>
              <w:ind w:firstLine="0" w:firstLineChars="0"/>
              <w:jc w:val="center"/>
              <w:rPr>
                <w:color w:val="auto"/>
                <w:kern w:val="0"/>
                <w:sz w:val="22"/>
                <w:szCs w:val="22"/>
                <w:highlight w:val="none"/>
              </w:rPr>
            </w:pP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西海岸新区</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王家台后、黄道山村、岳宅村、五龙沟村、周家河村等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21.17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62"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1</w:t>
            </w:r>
            <w:r>
              <w:rPr>
                <w:color w:val="auto"/>
                <w:kern w:val="0"/>
                <w:sz w:val="22"/>
                <w:szCs w:val="22"/>
                <w:highlight w:val="none"/>
              </w:rPr>
              <w:t>3</w:t>
            </w:r>
          </w:p>
        </w:tc>
        <w:tc>
          <w:tcPr>
            <w:tcW w:w="1560"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陡崖子水库湿地</w:t>
            </w:r>
          </w:p>
        </w:tc>
        <w:tc>
          <w:tcPr>
            <w:tcW w:w="708" w:type="dxa"/>
            <w:vMerge w:val="continue"/>
            <w:vAlign w:val="center"/>
          </w:tcPr>
          <w:p>
            <w:pPr>
              <w:widowControl/>
              <w:snapToGrid w:val="0"/>
              <w:ind w:firstLine="0" w:firstLineChars="0"/>
              <w:jc w:val="center"/>
              <w:rPr>
                <w:color w:val="auto"/>
                <w:kern w:val="0"/>
                <w:sz w:val="22"/>
                <w:szCs w:val="22"/>
                <w:highlight w:val="none"/>
              </w:rPr>
            </w:pPr>
          </w:p>
        </w:tc>
        <w:tc>
          <w:tcPr>
            <w:tcW w:w="1418" w:type="dxa"/>
            <w:shd w:val="clear" w:color="auto" w:fill="auto"/>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西海岸新区</w:t>
            </w:r>
          </w:p>
        </w:tc>
        <w:tc>
          <w:tcPr>
            <w:tcW w:w="3544" w:type="dxa"/>
            <w:shd w:val="clear" w:color="auto" w:fill="auto"/>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东陡崖村、横河川村等</w:t>
            </w:r>
          </w:p>
        </w:tc>
        <w:tc>
          <w:tcPr>
            <w:tcW w:w="1042"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9</w:t>
            </w:r>
            <w:r>
              <w:rPr>
                <w:color w:val="auto"/>
                <w:kern w:val="0"/>
                <w:sz w:val="22"/>
                <w:szCs w:val="22"/>
                <w:highlight w:val="none"/>
              </w:rPr>
              <w:t>.60</w:t>
            </w:r>
          </w:p>
        </w:tc>
      </w:tr>
    </w:tbl>
    <w:p>
      <w:pPr>
        <w:adjustRightInd w:val="0"/>
        <w:snapToGrid w:val="0"/>
        <w:ind w:firstLine="0" w:firstLineChars="0"/>
        <w:rPr>
          <w:rFonts w:eastAsia="黑体"/>
          <w:color w:val="auto"/>
          <w:highlight w:val="none"/>
        </w:rPr>
      </w:pPr>
    </w:p>
    <w:p>
      <w:pPr>
        <w:pStyle w:val="6"/>
        <w:ind w:firstLine="632"/>
        <w:rPr>
          <w:rFonts w:ascii="楷体_GB2312" w:hAnsi="楷体_GB2312" w:eastAsia="楷体_GB2312" w:cs="楷体_GB2312"/>
          <w:b w:val="0"/>
          <w:bCs w:val="0"/>
          <w:color w:val="auto"/>
          <w:highlight w:val="none"/>
        </w:rPr>
      </w:pPr>
      <w:bookmarkStart w:id="94" w:name="_Toc531604399"/>
      <w:r>
        <w:rPr>
          <w:rFonts w:hint="eastAsia" w:ascii="楷体_GB2312" w:hAnsi="楷体_GB2312" w:eastAsia="楷体_GB2312" w:cs="楷体_GB2312"/>
          <w:b w:val="0"/>
          <w:bCs w:val="0"/>
          <w:color w:val="auto"/>
          <w:highlight w:val="none"/>
        </w:rPr>
        <w:t>1.青东岸丘陵区</w:t>
      </w:r>
      <w:bookmarkEnd w:id="94"/>
    </w:p>
    <w:p>
      <w:pPr>
        <w:pStyle w:val="7"/>
        <w:ind w:firstLine="632"/>
        <w:rPr>
          <w:color w:val="auto"/>
          <w:highlight w:val="none"/>
        </w:rPr>
      </w:pPr>
      <w:r>
        <w:rPr>
          <w:color w:val="auto"/>
          <w:highlight w:val="none"/>
        </w:rPr>
        <w:t>1.1崂山-华楼山-三标山生物多样性保护优先区域</w:t>
      </w:r>
    </w:p>
    <w:p>
      <w:pPr>
        <w:ind w:firstLine="632"/>
        <w:rPr>
          <w:color w:val="auto"/>
          <w:highlight w:val="none"/>
        </w:rPr>
      </w:pPr>
      <w:r>
        <w:rPr>
          <w:color w:val="auto"/>
          <w:highlight w:val="none"/>
        </w:rPr>
        <w:t>本区包括崂山、华楼山、三标山及周围支系山脉，面积319.66km</w:t>
      </w:r>
      <w:r>
        <w:rPr>
          <w:color w:val="auto"/>
          <w:highlight w:val="none"/>
          <w:vertAlign w:val="superscript"/>
        </w:rPr>
        <w:t>2</w:t>
      </w:r>
      <w:r>
        <w:rPr>
          <w:color w:val="auto"/>
          <w:highlight w:val="none"/>
        </w:rPr>
        <w:t>。主峰崂顶海拔1132.7 m，森林覆盖率68%。</w:t>
      </w:r>
    </w:p>
    <w:p>
      <w:pPr>
        <w:ind w:firstLine="632"/>
        <w:rPr>
          <w:color w:val="auto"/>
          <w:highlight w:val="none"/>
        </w:rPr>
      </w:pPr>
      <w:r>
        <w:rPr>
          <w:color w:val="auto"/>
          <w:highlight w:val="none"/>
        </w:rPr>
        <w:t>本区植物区系属于泛北极植物区系，中亚-日本森林植物亚区，华北植物亚区，辽东、山东丘陵植物亚区，以被子植物为主。植被类型可划分为针叶林、阔叶林、竹林、灌丛、灌草丛、草甸、水生植被和栽培植被等 8 个主要类型。野生动物</w:t>
      </w:r>
      <w:r>
        <w:rPr>
          <w:rFonts w:hint="eastAsia"/>
          <w:color w:val="auto"/>
          <w:highlight w:val="none"/>
        </w:rPr>
        <w:t>区系以</w:t>
      </w:r>
      <w:r>
        <w:rPr>
          <w:color w:val="auto"/>
          <w:highlight w:val="none"/>
        </w:rPr>
        <w:t>古北界</w:t>
      </w:r>
      <w:r>
        <w:rPr>
          <w:rFonts w:hint="eastAsia"/>
          <w:color w:val="auto"/>
          <w:highlight w:val="none"/>
        </w:rPr>
        <w:t>为主，少量东洋界和广布种</w:t>
      </w:r>
      <w:r>
        <w:rPr>
          <w:color w:val="auto"/>
          <w:highlight w:val="none"/>
        </w:rPr>
        <w:t>动物类群。本区是我国同纬度地区植物种类最多、植物区系成分最复杂的地带，也是山东物种多样性最丰富的区域。</w:t>
      </w:r>
    </w:p>
    <w:p>
      <w:pPr>
        <w:ind w:firstLine="632"/>
        <w:rPr>
          <w:color w:val="auto"/>
          <w:highlight w:val="none"/>
        </w:rPr>
      </w:pPr>
      <w:r>
        <w:rPr>
          <w:color w:val="auto"/>
          <w:highlight w:val="none"/>
        </w:rPr>
        <w:t>本区有</w:t>
      </w:r>
      <w:r>
        <w:rPr>
          <w:rFonts w:hint="eastAsia"/>
          <w:color w:val="auto"/>
          <w:highlight w:val="none"/>
        </w:rPr>
        <w:t>野生</w:t>
      </w:r>
      <w:r>
        <w:rPr>
          <w:color w:val="auto"/>
          <w:highlight w:val="none"/>
        </w:rPr>
        <w:t>维管束植物1200</w:t>
      </w:r>
      <w:r>
        <w:rPr>
          <w:rFonts w:hint="eastAsia"/>
          <w:color w:val="auto"/>
          <w:highlight w:val="none"/>
        </w:rPr>
        <w:t>余种，隶属于</w:t>
      </w:r>
      <w:r>
        <w:rPr>
          <w:color w:val="auto"/>
          <w:highlight w:val="none"/>
        </w:rPr>
        <w:t>46</w:t>
      </w:r>
      <w:r>
        <w:rPr>
          <w:rFonts w:hint="eastAsia"/>
          <w:color w:val="auto"/>
          <w:highlight w:val="none"/>
        </w:rPr>
        <w:t>目、</w:t>
      </w:r>
      <w:r>
        <w:rPr>
          <w:color w:val="auto"/>
          <w:highlight w:val="none"/>
        </w:rPr>
        <w:t>146</w:t>
      </w:r>
      <w:r>
        <w:rPr>
          <w:rFonts w:hint="eastAsia"/>
          <w:color w:val="auto"/>
          <w:highlight w:val="none"/>
        </w:rPr>
        <w:t>科、</w:t>
      </w:r>
      <w:r>
        <w:rPr>
          <w:color w:val="auto"/>
          <w:highlight w:val="none"/>
        </w:rPr>
        <w:t>597</w:t>
      </w:r>
      <w:r>
        <w:rPr>
          <w:rFonts w:hint="eastAsia"/>
          <w:color w:val="auto"/>
          <w:highlight w:val="none"/>
        </w:rPr>
        <w:t>属。其中，蕨类植物</w:t>
      </w:r>
      <w:r>
        <w:rPr>
          <w:color w:val="auto"/>
          <w:highlight w:val="none"/>
        </w:rPr>
        <w:t>16</w:t>
      </w:r>
      <w:r>
        <w:rPr>
          <w:rFonts w:hint="eastAsia"/>
          <w:color w:val="auto"/>
          <w:highlight w:val="none"/>
        </w:rPr>
        <w:t>科</w:t>
      </w:r>
      <w:r>
        <w:rPr>
          <w:color w:val="auto"/>
          <w:highlight w:val="none"/>
        </w:rPr>
        <w:t>27</w:t>
      </w:r>
      <w:r>
        <w:rPr>
          <w:rFonts w:hint="eastAsia"/>
          <w:color w:val="auto"/>
          <w:highlight w:val="none"/>
        </w:rPr>
        <w:t>属</w:t>
      </w:r>
      <w:r>
        <w:rPr>
          <w:color w:val="auto"/>
          <w:highlight w:val="none"/>
        </w:rPr>
        <w:t>48</w:t>
      </w:r>
      <w:r>
        <w:rPr>
          <w:rFonts w:hint="eastAsia"/>
          <w:color w:val="auto"/>
          <w:highlight w:val="none"/>
        </w:rPr>
        <w:t>种，裸子植物</w:t>
      </w:r>
      <w:r>
        <w:rPr>
          <w:color w:val="auto"/>
          <w:highlight w:val="none"/>
        </w:rPr>
        <w:t>5</w:t>
      </w:r>
      <w:r>
        <w:rPr>
          <w:rFonts w:hint="eastAsia"/>
          <w:color w:val="auto"/>
          <w:highlight w:val="none"/>
        </w:rPr>
        <w:t>科</w:t>
      </w:r>
      <w:r>
        <w:rPr>
          <w:color w:val="auto"/>
          <w:highlight w:val="none"/>
        </w:rPr>
        <w:t>18</w:t>
      </w:r>
      <w:r>
        <w:rPr>
          <w:rFonts w:hint="eastAsia"/>
          <w:color w:val="auto"/>
          <w:highlight w:val="none"/>
        </w:rPr>
        <w:t>属</w:t>
      </w:r>
      <w:r>
        <w:rPr>
          <w:color w:val="auto"/>
          <w:highlight w:val="none"/>
        </w:rPr>
        <w:t>46</w:t>
      </w:r>
      <w:r>
        <w:rPr>
          <w:rFonts w:hint="eastAsia"/>
          <w:color w:val="auto"/>
          <w:highlight w:val="none"/>
        </w:rPr>
        <w:t>种，被子植物</w:t>
      </w:r>
      <w:r>
        <w:rPr>
          <w:color w:val="auto"/>
          <w:highlight w:val="none"/>
        </w:rPr>
        <w:t>125</w:t>
      </w:r>
      <w:r>
        <w:rPr>
          <w:rFonts w:hint="eastAsia"/>
          <w:color w:val="auto"/>
          <w:highlight w:val="none"/>
        </w:rPr>
        <w:t>科</w:t>
      </w:r>
      <w:r>
        <w:rPr>
          <w:color w:val="auto"/>
          <w:highlight w:val="none"/>
        </w:rPr>
        <w:t>552</w:t>
      </w:r>
      <w:r>
        <w:rPr>
          <w:rFonts w:hint="eastAsia"/>
          <w:color w:val="auto"/>
          <w:highlight w:val="none"/>
        </w:rPr>
        <w:t>属</w:t>
      </w:r>
      <w:r>
        <w:rPr>
          <w:color w:val="auto"/>
          <w:highlight w:val="none"/>
        </w:rPr>
        <w:t>1100</w:t>
      </w:r>
      <w:r>
        <w:rPr>
          <w:rFonts w:hint="eastAsia"/>
          <w:color w:val="auto"/>
          <w:highlight w:val="none"/>
        </w:rPr>
        <w:t>余种。国家</w:t>
      </w:r>
      <w:r>
        <w:rPr>
          <w:rFonts w:hint="eastAsia" w:ascii="宋体" w:hAnsi="宋体" w:cs="宋体"/>
          <w:color w:val="auto"/>
          <w:highlight w:val="none"/>
        </w:rPr>
        <w:t>Ⅰ</w:t>
      </w:r>
      <w:r>
        <w:rPr>
          <w:rFonts w:hint="eastAsia"/>
          <w:color w:val="auto"/>
          <w:highlight w:val="none"/>
        </w:rPr>
        <w:t>级重点保护植物2种，包括银杏和水杉，均为半野生种；国家</w:t>
      </w:r>
      <w:r>
        <w:rPr>
          <w:rFonts w:hint="eastAsia" w:ascii="宋体" w:hAnsi="宋体" w:cs="宋体"/>
          <w:color w:val="auto"/>
          <w:highlight w:val="none"/>
        </w:rPr>
        <w:t>Ⅱ</w:t>
      </w:r>
      <w:r>
        <w:rPr>
          <w:rFonts w:hint="eastAsia"/>
          <w:color w:val="auto"/>
          <w:highlight w:val="none"/>
        </w:rPr>
        <w:t>级重点保护植</w:t>
      </w:r>
      <w:r>
        <w:rPr>
          <w:color w:val="auto"/>
          <w:highlight w:val="none"/>
        </w:rPr>
        <w:t>物 1</w:t>
      </w:r>
      <w:r>
        <w:rPr>
          <w:rFonts w:hint="eastAsia"/>
          <w:color w:val="auto"/>
          <w:highlight w:val="none"/>
        </w:rPr>
        <w:t>4</w:t>
      </w:r>
      <w:r>
        <w:rPr>
          <w:color w:val="auto"/>
          <w:highlight w:val="none"/>
        </w:rPr>
        <w:t xml:space="preserve"> 种</w:t>
      </w:r>
      <w:r>
        <w:rPr>
          <w:rFonts w:hint="eastAsia"/>
          <w:color w:val="auto"/>
          <w:highlight w:val="none"/>
        </w:rPr>
        <w:t>，包括青岛百合、紫点杓兰、白及、玫瑰、软枣猕猴桃、中华结缕草、山茴香、野大豆、珊瑚菜等。本区陆生脊椎</w:t>
      </w:r>
      <w:r>
        <w:rPr>
          <w:color w:val="auto"/>
          <w:highlight w:val="none"/>
        </w:rPr>
        <w:t>动物</w:t>
      </w:r>
      <w:r>
        <w:rPr>
          <w:rFonts w:hint="eastAsia"/>
          <w:color w:val="auto"/>
          <w:highlight w:val="none"/>
        </w:rPr>
        <w:t>共4纲</w:t>
      </w:r>
      <w:r>
        <w:rPr>
          <w:color w:val="auto"/>
          <w:highlight w:val="none"/>
        </w:rPr>
        <w:t>28</w:t>
      </w:r>
      <w:r>
        <w:rPr>
          <w:rFonts w:hint="eastAsia"/>
          <w:color w:val="auto"/>
          <w:highlight w:val="none"/>
        </w:rPr>
        <w:t>目7</w:t>
      </w:r>
      <w:r>
        <w:rPr>
          <w:color w:val="auto"/>
          <w:highlight w:val="none"/>
        </w:rPr>
        <w:t>2</w:t>
      </w:r>
      <w:r>
        <w:rPr>
          <w:rFonts w:hint="eastAsia"/>
          <w:color w:val="auto"/>
          <w:highlight w:val="none"/>
        </w:rPr>
        <w:t>科</w:t>
      </w:r>
      <w:r>
        <w:rPr>
          <w:color w:val="auto"/>
          <w:highlight w:val="none"/>
        </w:rPr>
        <w:t>258</w:t>
      </w:r>
      <w:r>
        <w:rPr>
          <w:rFonts w:hint="eastAsia"/>
          <w:color w:val="auto"/>
          <w:highlight w:val="none"/>
        </w:rPr>
        <w:t>种，其中鸟类1</w:t>
      </w:r>
      <w:r>
        <w:rPr>
          <w:color w:val="auto"/>
          <w:highlight w:val="none"/>
        </w:rPr>
        <w:t>9</w:t>
      </w:r>
      <w:r>
        <w:rPr>
          <w:rFonts w:hint="eastAsia"/>
          <w:color w:val="auto"/>
          <w:highlight w:val="none"/>
        </w:rPr>
        <w:t>目5</w:t>
      </w:r>
      <w:r>
        <w:rPr>
          <w:color w:val="auto"/>
          <w:highlight w:val="none"/>
        </w:rPr>
        <w:t>4</w:t>
      </w:r>
      <w:r>
        <w:rPr>
          <w:rFonts w:hint="eastAsia"/>
          <w:color w:val="auto"/>
          <w:highlight w:val="none"/>
        </w:rPr>
        <w:t>科2</w:t>
      </w:r>
      <w:r>
        <w:rPr>
          <w:color w:val="auto"/>
          <w:highlight w:val="none"/>
        </w:rPr>
        <w:t>21</w:t>
      </w:r>
      <w:r>
        <w:rPr>
          <w:rFonts w:hint="eastAsia"/>
          <w:color w:val="auto"/>
          <w:highlight w:val="none"/>
        </w:rPr>
        <w:t>种，兽类6目1</w:t>
      </w:r>
      <w:r>
        <w:rPr>
          <w:color w:val="auto"/>
          <w:highlight w:val="none"/>
        </w:rPr>
        <w:t>0</w:t>
      </w:r>
      <w:r>
        <w:rPr>
          <w:rFonts w:hint="eastAsia"/>
          <w:color w:val="auto"/>
          <w:highlight w:val="none"/>
        </w:rPr>
        <w:t>科1</w:t>
      </w:r>
      <w:r>
        <w:rPr>
          <w:color w:val="auto"/>
          <w:highlight w:val="none"/>
        </w:rPr>
        <w:t>6</w:t>
      </w:r>
      <w:r>
        <w:rPr>
          <w:rFonts w:hint="eastAsia"/>
          <w:color w:val="auto"/>
          <w:highlight w:val="none"/>
        </w:rPr>
        <w:t>种，两栖类1目3科5种，爬行类2目5科1</w:t>
      </w:r>
      <w:r>
        <w:rPr>
          <w:color w:val="auto"/>
          <w:highlight w:val="none"/>
        </w:rPr>
        <w:t>6</w:t>
      </w:r>
      <w:r>
        <w:rPr>
          <w:rFonts w:hint="eastAsia"/>
          <w:color w:val="auto"/>
          <w:highlight w:val="none"/>
        </w:rPr>
        <w:t>种；</w:t>
      </w:r>
      <w:r>
        <w:rPr>
          <w:color w:val="auto"/>
          <w:highlight w:val="none"/>
        </w:rPr>
        <w:t>国家</w:t>
      </w:r>
      <w:r>
        <w:rPr>
          <w:rFonts w:hint="eastAsia" w:ascii="宋体" w:hAnsi="宋体" w:cs="宋体"/>
          <w:color w:val="auto"/>
          <w:highlight w:val="none"/>
        </w:rPr>
        <w:t>Ⅰ级重点保护野生动物</w:t>
      </w:r>
      <w:r>
        <w:rPr>
          <w:color w:val="auto"/>
          <w:highlight w:val="none"/>
        </w:rPr>
        <w:t>3 种，</w:t>
      </w:r>
      <w:r>
        <w:rPr>
          <w:rFonts w:hint="eastAsia"/>
          <w:color w:val="auto"/>
          <w:highlight w:val="none"/>
        </w:rPr>
        <w:t>分别是黑鹳、东方白鹳、乌雕；</w:t>
      </w:r>
      <w:r>
        <w:rPr>
          <w:rFonts w:hint="eastAsia" w:ascii="宋体" w:hAnsi="宋体" w:cs="宋体"/>
          <w:color w:val="auto"/>
          <w:highlight w:val="none"/>
        </w:rPr>
        <w:t>Ⅱ</w:t>
      </w:r>
      <w:r>
        <w:rPr>
          <w:color w:val="auto"/>
          <w:highlight w:val="none"/>
        </w:rPr>
        <w:t>级</w:t>
      </w:r>
      <w:r>
        <w:rPr>
          <w:rFonts w:hint="eastAsia"/>
          <w:color w:val="auto"/>
          <w:highlight w:val="none"/>
        </w:rPr>
        <w:t>重点保护野生动物</w:t>
      </w:r>
      <w:r>
        <w:rPr>
          <w:color w:val="auto"/>
          <w:highlight w:val="none"/>
        </w:rPr>
        <w:t xml:space="preserve"> 38</w:t>
      </w:r>
      <w:r>
        <w:rPr>
          <w:rFonts w:hint="eastAsia"/>
          <w:color w:val="auto"/>
          <w:highlight w:val="none"/>
        </w:rPr>
        <w:t>种，包括鸳鸯、黑颈䴙䴘、白额雁、鹗、黑翅鸢、凤头鹰、赤腹鹰、苍鹰、雀鹰、普通鵟、北领角鸮、红角鸮、红隼、游隼、貉、豹猫、团花锦蛇等。此外，已发现大型真菌3纲15目52科105属262种；昆虫18目135科362属431种（含亚种），列入《有重要生态、科学、社会价值的陆生野生动物名录》的昆虫共4种，包括中华蜜蜂、大黄长角蛾、绿步甲和木棉梳角叩甲。</w:t>
      </w:r>
    </w:p>
    <w:p>
      <w:pPr>
        <w:ind w:firstLine="632"/>
        <w:rPr>
          <w:color w:val="auto"/>
          <w:highlight w:val="none"/>
        </w:rPr>
      </w:pPr>
      <w:r>
        <w:rPr>
          <w:color w:val="auto"/>
          <w:highlight w:val="none"/>
        </w:rPr>
        <w:t>本区暖温带森林生态系统典型，生物区系过渡特征明显，植物种类繁多、区系成分复杂、珍稀和特有植物种类多，而且特殊的地理位置、地貌和气候特征，也有多种亚热带成分植物在这里自然分布，如：山茶、苦树、糙叶树等。</w:t>
      </w:r>
    </w:p>
    <w:p>
      <w:pPr>
        <w:ind w:firstLine="632"/>
        <w:rPr>
          <w:color w:val="auto"/>
          <w:highlight w:val="none"/>
        </w:rPr>
      </w:pPr>
      <w:r>
        <w:rPr>
          <w:color w:val="auto"/>
          <w:highlight w:val="none"/>
        </w:rPr>
        <w:t>本区主要保护对象为森林生态系统</w:t>
      </w:r>
      <w:r>
        <w:rPr>
          <w:rFonts w:hint="eastAsia"/>
          <w:color w:val="auto"/>
          <w:highlight w:val="none"/>
        </w:rPr>
        <w:t>，以及重点保护、珍稀濒危、特有野生动植物、大型真菌、昆虫及遗传资源等</w:t>
      </w:r>
      <w:r>
        <w:rPr>
          <w:color w:val="auto"/>
          <w:highlight w:val="none"/>
        </w:rPr>
        <w:t>，包括：银杏、水杉、</w:t>
      </w:r>
      <w:r>
        <w:rPr>
          <w:rFonts w:hint="eastAsia"/>
          <w:color w:val="auto"/>
          <w:highlight w:val="none"/>
        </w:rPr>
        <w:t>紫点杓兰</w:t>
      </w:r>
      <w:r>
        <w:rPr>
          <w:color w:val="auto"/>
          <w:highlight w:val="none"/>
        </w:rPr>
        <w:t>、青岛百合、野大豆</w:t>
      </w:r>
      <w:r>
        <w:rPr>
          <w:rFonts w:hint="eastAsia"/>
          <w:color w:val="auto"/>
          <w:highlight w:val="none"/>
        </w:rPr>
        <w:t>等国家重点保护植物，黑鹳、东方</w:t>
      </w:r>
      <w:r>
        <w:rPr>
          <w:color w:val="auto"/>
          <w:highlight w:val="none"/>
        </w:rPr>
        <w:t>白鹤、</w:t>
      </w:r>
      <w:r>
        <w:rPr>
          <w:rFonts w:hint="eastAsia"/>
          <w:color w:val="auto"/>
          <w:highlight w:val="none"/>
        </w:rPr>
        <w:t>游隼、燕隼、雀鹰、苍鹰、赤腹鹰、雕鸮、北领角</w:t>
      </w:r>
      <w:r>
        <w:rPr>
          <w:rFonts w:hint="eastAsia" w:ascii="微软雅黑" w:hAnsi="微软雅黑" w:eastAsia="微软雅黑" w:cs="微软雅黑"/>
          <w:color w:val="auto"/>
          <w:highlight w:val="none"/>
        </w:rPr>
        <w:t>鸮</w:t>
      </w:r>
      <w:r>
        <w:rPr>
          <w:rFonts w:hint="eastAsia"/>
          <w:color w:val="auto"/>
          <w:highlight w:val="none"/>
        </w:rPr>
        <w:t>、鸳鸯、渡濑氏鼠耳蝠、野生貉</w:t>
      </w:r>
      <w:r>
        <w:rPr>
          <w:color w:val="auto"/>
          <w:highlight w:val="none"/>
        </w:rPr>
        <w:t>等</w:t>
      </w:r>
      <w:r>
        <w:rPr>
          <w:rFonts w:hint="eastAsia"/>
          <w:color w:val="auto"/>
          <w:highlight w:val="none"/>
        </w:rPr>
        <w:t>国家重点保护及珍稀濒危野生动物等，以及白腹蓝鹟、绿背姬鹟、白腹鸫、灰背鸫等省内罕见、少见的夏季繁殖林鸟，中华蜜蜂和大黄长角蛾等昆虫资源，以及灵芝、蛹虫草和粘盖乳牛肝菌等大型真菌资源</w:t>
      </w:r>
      <w:r>
        <w:rPr>
          <w:color w:val="auto"/>
          <w:highlight w:val="none"/>
        </w:rPr>
        <w:t>。</w:t>
      </w:r>
    </w:p>
    <w:p>
      <w:pPr>
        <w:pStyle w:val="7"/>
        <w:ind w:firstLine="632"/>
        <w:rPr>
          <w:color w:val="auto"/>
          <w:highlight w:val="none"/>
        </w:rPr>
      </w:pPr>
      <w:r>
        <w:rPr>
          <w:color w:val="auto"/>
          <w:highlight w:val="none"/>
        </w:rPr>
        <w:t>1.2浮山生物多样性保护优先区域</w:t>
      </w:r>
    </w:p>
    <w:p>
      <w:pPr>
        <w:ind w:firstLine="632"/>
        <w:rPr>
          <w:color w:val="auto"/>
          <w:highlight w:val="none"/>
        </w:rPr>
      </w:pPr>
      <w:r>
        <w:rPr>
          <w:rFonts w:hint="eastAsia"/>
          <w:color w:val="auto"/>
          <w:highlight w:val="none"/>
        </w:rPr>
        <w:t>本区</w:t>
      </w:r>
      <w:r>
        <w:rPr>
          <w:color w:val="auto"/>
          <w:highlight w:val="none"/>
        </w:rPr>
        <w:t>包括浮山部分区域，主峰海拔384 m，总面积4.21 km</w:t>
      </w:r>
      <w:r>
        <w:rPr>
          <w:color w:val="auto"/>
          <w:highlight w:val="none"/>
          <w:vertAlign w:val="superscript"/>
        </w:rPr>
        <w:t>2</w:t>
      </w:r>
      <w:r>
        <w:rPr>
          <w:color w:val="auto"/>
          <w:highlight w:val="none"/>
        </w:rPr>
        <w:t>，</w:t>
      </w:r>
      <w:r>
        <w:rPr>
          <w:rFonts w:hint="eastAsia"/>
          <w:color w:val="auto"/>
          <w:highlight w:val="none"/>
        </w:rPr>
        <w:t>主要</w:t>
      </w:r>
      <w:r>
        <w:rPr>
          <w:color w:val="auto"/>
          <w:highlight w:val="none"/>
        </w:rPr>
        <w:t>分布于崂山区</w:t>
      </w:r>
      <w:r>
        <w:rPr>
          <w:rFonts w:hint="eastAsia"/>
          <w:color w:val="auto"/>
          <w:highlight w:val="none"/>
        </w:rPr>
        <w:t>，小部分区域分布在</w:t>
      </w:r>
      <w:r>
        <w:rPr>
          <w:color w:val="auto"/>
          <w:highlight w:val="none"/>
        </w:rPr>
        <w:t>市南区</w:t>
      </w:r>
      <w:r>
        <w:rPr>
          <w:rFonts w:hint="eastAsia"/>
          <w:color w:val="auto"/>
          <w:highlight w:val="none"/>
        </w:rPr>
        <w:t>和市北区</w:t>
      </w:r>
      <w:r>
        <w:rPr>
          <w:color w:val="auto"/>
          <w:highlight w:val="none"/>
        </w:rPr>
        <w:t>。浮山植物区系为华北占优势，有东北、日本和亚热带组成，</w:t>
      </w:r>
      <w:r>
        <w:rPr>
          <w:rFonts w:hint="eastAsia"/>
          <w:color w:val="auto"/>
          <w:highlight w:val="none"/>
        </w:rPr>
        <w:t>已知约</w:t>
      </w:r>
      <w:r>
        <w:rPr>
          <w:color w:val="auto"/>
          <w:highlight w:val="none"/>
        </w:rPr>
        <w:t>有300</w:t>
      </w:r>
      <w:r>
        <w:rPr>
          <w:rFonts w:hint="eastAsia"/>
          <w:color w:val="auto"/>
          <w:highlight w:val="none"/>
        </w:rPr>
        <w:t>余</w:t>
      </w:r>
      <w:r>
        <w:rPr>
          <w:color w:val="auto"/>
          <w:highlight w:val="none"/>
        </w:rPr>
        <w:t>种，隶属于4纲、36目、85科、210属</w:t>
      </w:r>
      <w:r>
        <w:rPr>
          <w:rFonts w:hint="eastAsia"/>
          <w:color w:val="auto"/>
          <w:highlight w:val="none"/>
        </w:rPr>
        <w:t>。</w:t>
      </w:r>
      <w:r>
        <w:rPr>
          <w:color w:val="auto"/>
          <w:highlight w:val="none"/>
        </w:rPr>
        <w:t>其中</w:t>
      </w:r>
      <w:r>
        <w:rPr>
          <w:rFonts w:hint="eastAsia"/>
          <w:color w:val="auto"/>
          <w:highlight w:val="none"/>
        </w:rPr>
        <w:t>，</w:t>
      </w:r>
      <w:r>
        <w:rPr>
          <w:color w:val="auto"/>
          <w:highlight w:val="none"/>
        </w:rPr>
        <w:t>蕨类植物3种、裸子植物7种、被子植物290</w:t>
      </w:r>
      <w:r>
        <w:rPr>
          <w:rFonts w:hint="eastAsia"/>
          <w:color w:val="auto"/>
          <w:highlight w:val="none"/>
        </w:rPr>
        <w:t>余</w:t>
      </w:r>
      <w:r>
        <w:rPr>
          <w:color w:val="auto"/>
          <w:highlight w:val="none"/>
        </w:rPr>
        <w:t>种，以被子植物占优势。</w:t>
      </w:r>
      <w:r>
        <w:rPr>
          <w:rFonts w:hint="eastAsia"/>
          <w:color w:val="auto"/>
          <w:highlight w:val="none"/>
        </w:rPr>
        <w:t>本区未进行过系统的野生动物调查，但本区位于东亚-澳大利西亚候鸟迁飞路线上，是</w:t>
      </w:r>
      <w:r>
        <w:rPr>
          <w:color w:val="auto"/>
          <w:highlight w:val="none"/>
        </w:rPr>
        <w:t>重要的</w:t>
      </w:r>
      <w:r>
        <w:rPr>
          <w:rFonts w:hint="eastAsia"/>
          <w:color w:val="auto"/>
          <w:highlight w:val="none"/>
        </w:rPr>
        <w:t>猛禽</w:t>
      </w:r>
      <w:r>
        <w:rPr>
          <w:color w:val="auto"/>
          <w:highlight w:val="none"/>
        </w:rPr>
        <w:t>迁徙</w:t>
      </w:r>
      <w:r>
        <w:rPr>
          <w:rFonts w:hint="eastAsia"/>
          <w:color w:val="auto"/>
          <w:highlight w:val="none"/>
        </w:rPr>
        <w:t>过境和停歇、栖息地</w:t>
      </w:r>
      <w:r>
        <w:rPr>
          <w:color w:val="auto"/>
          <w:highlight w:val="none"/>
        </w:rPr>
        <w:t>，如：</w:t>
      </w:r>
      <w:r>
        <w:rPr>
          <w:rFonts w:hint="eastAsia"/>
          <w:color w:val="auto"/>
          <w:highlight w:val="none"/>
        </w:rPr>
        <w:t>乌雕、</w:t>
      </w:r>
      <w:r>
        <w:rPr>
          <w:color w:val="auto"/>
          <w:highlight w:val="none"/>
        </w:rPr>
        <w:t>松雀鹰、日本松雀鹰、雀鹰、苍鹰</w:t>
      </w:r>
      <w:r>
        <w:rPr>
          <w:rFonts w:hint="eastAsia"/>
          <w:color w:val="auto"/>
          <w:highlight w:val="none"/>
        </w:rPr>
        <w:t>、凤头蜂鹰、游隼、红隼、红脚隼、普通鵟</w:t>
      </w:r>
      <w:r>
        <w:rPr>
          <w:color w:val="auto"/>
          <w:highlight w:val="none"/>
        </w:rPr>
        <w:t>等，均为国家</w:t>
      </w:r>
      <w:r>
        <w:rPr>
          <w:rFonts w:hint="eastAsia"/>
          <w:color w:val="auto"/>
          <w:highlight w:val="none"/>
        </w:rPr>
        <w:t>重点</w:t>
      </w:r>
      <w:r>
        <w:rPr>
          <w:color w:val="auto"/>
          <w:highlight w:val="none"/>
        </w:rPr>
        <w:t>保护动物</w:t>
      </w:r>
      <w:r>
        <w:rPr>
          <w:rFonts w:hint="eastAsia"/>
          <w:color w:val="auto"/>
          <w:highlight w:val="none"/>
        </w:rPr>
        <w:t>。</w:t>
      </w:r>
    </w:p>
    <w:p>
      <w:pPr>
        <w:ind w:firstLine="632"/>
        <w:rPr>
          <w:color w:val="auto"/>
          <w:highlight w:val="none"/>
        </w:rPr>
      </w:pPr>
      <w:r>
        <w:rPr>
          <w:color w:val="auto"/>
          <w:highlight w:val="none"/>
        </w:rPr>
        <w:t>本区主要保护对象为森林生态系统、</w:t>
      </w:r>
      <w:r>
        <w:rPr>
          <w:rFonts w:hint="eastAsia"/>
          <w:color w:val="auto"/>
          <w:highlight w:val="none"/>
        </w:rPr>
        <w:t>重点保护、珍稀濒危及特有</w:t>
      </w:r>
      <w:r>
        <w:rPr>
          <w:color w:val="auto"/>
          <w:highlight w:val="none"/>
        </w:rPr>
        <w:t>野生动植物资源</w:t>
      </w:r>
      <w:r>
        <w:rPr>
          <w:rFonts w:hint="eastAsia"/>
          <w:color w:val="auto"/>
          <w:highlight w:val="none"/>
        </w:rPr>
        <w:t>等</w:t>
      </w:r>
      <w:r>
        <w:rPr>
          <w:color w:val="auto"/>
          <w:highlight w:val="none"/>
        </w:rPr>
        <w:t>，包括：山东茜草、山茱萸、骨碎补、汉城细辛</w:t>
      </w:r>
      <w:r>
        <w:rPr>
          <w:rFonts w:hint="eastAsia"/>
          <w:color w:val="auto"/>
          <w:highlight w:val="none"/>
        </w:rPr>
        <w:t>等野生植物资源，以及乌雕、</w:t>
      </w:r>
      <w:r>
        <w:rPr>
          <w:color w:val="auto"/>
          <w:highlight w:val="none"/>
        </w:rPr>
        <w:t>日本松雀鹰、雀鹰、苍鹰</w:t>
      </w:r>
      <w:r>
        <w:rPr>
          <w:rFonts w:hint="eastAsia"/>
          <w:color w:val="auto"/>
          <w:highlight w:val="none"/>
        </w:rPr>
        <w:t>、凤头蜂鹰、游隼、红隼、普通</w:t>
      </w:r>
      <w:r>
        <w:rPr>
          <w:rFonts w:hint="eastAsia" w:ascii="微软雅黑" w:hAnsi="微软雅黑" w:eastAsia="微软雅黑" w:cs="微软雅黑"/>
          <w:color w:val="auto"/>
          <w:highlight w:val="none"/>
        </w:rPr>
        <w:t>鵟</w:t>
      </w:r>
      <w:r>
        <w:rPr>
          <w:color w:val="auto"/>
          <w:highlight w:val="none"/>
        </w:rPr>
        <w:t>等</w:t>
      </w:r>
      <w:r>
        <w:rPr>
          <w:rFonts w:hint="eastAsia"/>
          <w:color w:val="auto"/>
          <w:highlight w:val="none"/>
        </w:rPr>
        <w:t>重点保护、珍稀</w:t>
      </w:r>
      <w:r>
        <w:rPr>
          <w:color w:val="auto"/>
          <w:highlight w:val="none"/>
        </w:rPr>
        <w:t>濒危及有重要生态、科学、社会价值物种。</w:t>
      </w:r>
    </w:p>
    <w:p>
      <w:pPr>
        <w:pStyle w:val="7"/>
        <w:ind w:firstLine="632"/>
        <w:rPr>
          <w:color w:val="auto"/>
          <w:highlight w:val="none"/>
        </w:rPr>
      </w:pPr>
      <w:r>
        <w:rPr>
          <w:color w:val="auto"/>
          <w:highlight w:val="none"/>
        </w:rPr>
        <w:t>1.3青岗岭-豹山-四舍山生物多样性保护优先区域</w:t>
      </w:r>
    </w:p>
    <w:p>
      <w:pPr>
        <w:ind w:firstLine="632"/>
        <w:rPr>
          <w:color w:val="auto"/>
          <w:highlight w:val="none"/>
        </w:rPr>
      </w:pPr>
      <w:r>
        <w:rPr>
          <w:color w:val="auto"/>
          <w:highlight w:val="none"/>
        </w:rPr>
        <w:t>本区位于崂山</w:t>
      </w:r>
      <w:r>
        <w:rPr>
          <w:rFonts w:hint="eastAsia"/>
          <w:color w:val="auto"/>
          <w:highlight w:val="none"/>
        </w:rPr>
        <w:t>山脉以北</w:t>
      </w:r>
      <w:r>
        <w:rPr>
          <w:color w:val="auto"/>
          <w:highlight w:val="none"/>
        </w:rPr>
        <w:t>，包括青岗岭、豹山、寨山、四舍山等山脉，</w:t>
      </w:r>
      <w:r>
        <w:rPr>
          <w:rFonts w:hint="eastAsia"/>
          <w:color w:val="auto"/>
          <w:highlight w:val="none"/>
        </w:rPr>
        <w:t>面积为5</w:t>
      </w:r>
      <w:r>
        <w:rPr>
          <w:color w:val="auto"/>
          <w:highlight w:val="none"/>
        </w:rPr>
        <w:t>8.99 km</w:t>
      </w:r>
      <w:r>
        <w:rPr>
          <w:color w:val="auto"/>
          <w:highlight w:val="none"/>
          <w:vertAlign w:val="superscript"/>
        </w:rPr>
        <w:t>2</w:t>
      </w:r>
      <w:r>
        <w:rPr>
          <w:rFonts w:hint="eastAsia"/>
          <w:color w:val="auto"/>
          <w:highlight w:val="none"/>
        </w:rPr>
        <w:t>，</w:t>
      </w:r>
      <w:r>
        <w:rPr>
          <w:color w:val="auto"/>
          <w:highlight w:val="none"/>
        </w:rPr>
        <w:t>均分布在即墨区，其中海拔较高的是豹山和四舍山。豹山主峰台子山，海拔311 m；四舍山主峰高326 m，是即墨境内第一高峰。</w:t>
      </w:r>
      <w:r>
        <w:rPr>
          <w:rFonts w:hint="eastAsia"/>
          <w:color w:val="auto"/>
          <w:highlight w:val="none"/>
        </w:rPr>
        <w:t>本区</w:t>
      </w:r>
      <w:r>
        <w:rPr>
          <w:color w:val="auto"/>
          <w:highlight w:val="none"/>
        </w:rPr>
        <w:t>为人工次生混交林，植物区系为泛北极植物区系，中亚-日本森林植物亚区和辽东、山东丘陵植物亚区。</w:t>
      </w:r>
      <w:r>
        <w:rPr>
          <w:rFonts w:hint="eastAsia"/>
          <w:color w:val="auto"/>
          <w:highlight w:val="none"/>
        </w:rPr>
        <w:t>本区未进行过系统全面的生物多样性本底资源调查。据初步数据资料，该区</w:t>
      </w:r>
      <w:r>
        <w:rPr>
          <w:color w:val="auto"/>
          <w:highlight w:val="none"/>
        </w:rPr>
        <w:t>有维管束植物37种，隶属于17目、25科、35属</w:t>
      </w:r>
      <w:r>
        <w:rPr>
          <w:rFonts w:hint="eastAsia"/>
          <w:color w:val="auto"/>
          <w:highlight w:val="none"/>
        </w:rPr>
        <w:t>。</w:t>
      </w:r>
      <w:r>
        <w:rPr>
          <w:color w:val="auto"/>
          <w:highlight w:val="none"/>
        </w:rPr>
        <w:t>其中</w:t>
      </w:r>
      <w:r>
        <w:rPr>
          <w:rFonts w:hint="eastAsia"/>
          <w:color w:val="auto"/>
          <w:highlight w:val="none"/>
        </w:rPr>
        <w:t>，</w:t>
      </w:r>
      <w:r>
        <w:rPr>
          <w:color w:val="auto"/>
          <w:highlight w:val="none"/>
        </w:rPr>
        <w:t>蕨类植物1种、裸子植物2种、被子植物34种，以被子植物为主。</w:t>
      </w:r>
      <w:r>
        <w:rPr>
          <w:rFonts w:hint="eastAsia"/>
          <w:color w:val="auto"/>
          <w:highlight w:val="none"/>
        </w:rPr>
        <w:t>此外，该区域位于东亚－澳大利西亚候鸟迁徙路线之上，每年迁徙季节有大量候鸟迁徙过境或停歇。</w:t>
      </w:r>
    </w:p>
    <w:p>
      <w:pPr>
        <w:ind w:firstLine="632"/>
        <w:rPr>
          <w:color w:val="auto"/>
          <w:highlight w:val="none"/>
        </w:rPr>
      </w:pPr>
      <w:r>
        <w:rPr>
          <w:rFonts w:hint="eastAsia"/>
          <w:color w:val="auto"/>
          <w:highlight w:val="none"/>
        </w:rPr>
        <w:t>本区</w:t>
      </w:r>
      <w:r>
        <w:rPr>
          <w:color w:val="auto"/>
          <w:highlight w:val="none"/>
        </w:rPr>
        <w:t>主要保护对象为森林生态系统</w:t>
      </w:r>
      <w:r>
        <w:rPr>
          <w:rFonts w:hint="eastAsia"/>
          <w:color w:val="auto"/>
          <w:highlight w:val="none"/>
        </w:rPr>
        <w:t>，重点保护、珍稀濒危、特有野生植物资源，以及栖息或迁徙过境、停歇的重点保护、珍稀濒危野生</w:t>
      </w:r>
      <w:r>
        <w:rPr>
          <w:color w:val="auto"/>
          <w:highlight w:val="none"/>
        </w:rPr>
        <w:t>动物资源，包括：</w:t>
      </w:r>
      <w:r>
        <w:rPr>
          <w:rFonts w:hint="eastAsia"/>
          <w:color w:val="auto"/>
          <w:highlight w:val="none"/>
        </w:rPr>
        <w:t>红隼、燕隼、苍鹰、雀鹰、普通</w:t>
      </w:r>
      <w:r>
        <w:rPr>
          <w:rFonts w:hint="eastAsia" w:ascii="微软雅黑" w:hAnsi="微软雅黑" w:eastAsia="微软雅黑" w:cs="微软雅黑"/>
          <w:color w:val="auto"/>
          <w:highlight w:val="none"/>
        </w:rPr>
        <w:t>鵟、</w:t>
      </w:r>
      <w:r>
        <w:rPr>
          <w:rFonts w:hint="eastAsia"/>
          <w:color w:val="auto"/>
          <w:highlight w:val="none"/>
        </w:rPr>
        <w:t>红角</w:t>
      </w:r>
      <w:r>
        <w:rPr>
          <w:rFonts w:hint="eastAsia" w:ascii="微软雅黑" w:hAnsi="微软雅黑" w:eastAsia="微软雅黑" w:cs="微软雅黑"/>
          <w:color w:val="auto"/>
          <w:highlight w:val="none"/>
        </w:rPr>
        <w:t>鸮</w:t>
      </w:r>
      <w:r>
        <w:rPr>
          <w:rFonts w:hint="eastAsia"/>
          <w:color w:val="auto"/>
          <w:highlight w:val="none"/>
        </w:rPr>
        <w:t>、纵纹腹小</w:t>
      </w:r>
      <w:r>
        <w:rPr>
          <w:rFonts w:hint="eastAsia" w:ascii="微软雅黑" w:hAnsi="微软雅黑" w:eastAsia="微软雅黑" w:cs="微软雅黑"/>
          <w:color w:val="auto"/>
          <w:highlight w:val="none"/>
        </w:rPr>
        <w:t>鸮</w:t>
      </w:r>
      <w:r>
        <w:rPr>
          <w:color w:val="auto"/>
          <w:highlight w:val="none"/>
        </w:rPr>
        <w:t>等有重要生态、科学、社会价值物种。</w:t>
      </w:r>
    </w:p>
    <w:p>
      <w:pPr>
        <w:pStyle w:val="7"/>
        <w:ind w:firstLine="632"/>
        <w:rPr>
          <w:color w:val="auto"/>
          <w:highlight w:val="none"/>
        </w:rPr>
      </w:pPr>
      <w:r>
        <w:rPr>
          <w:color w:val="auto"/>
          <w:highlight w:val="none"/>
        </w:rPr>
        <w:t>1.4钱谷山-笔架山-宝华山生物多样性保护优先区域</w:t>
      </w:r>
    </w:p>
    <w:p>
      <w:pPr>
        <w:ind w:firstLine="632"/>
        <w:rPr>
          <w:color w:val="auto"/>
          <w:highlight w:val="none"/>
        </w:rPr>
      </w:pPr>
      <w:r>
        <w:rPr>
          <w:color w:val="auto"/>
          <w:highlight w:val="none"/>
        </w:rPr>
        <w:t>本区位于鳌山湾四周，包括钱谷山、围子山、笔架山、王家山、黄山、宝华山等</w:t>
      </w:r>
      <w:r>
        <w:rPr>
          <w:rFonts w:hint="eastAsia"/>
          <w:color w:val="auto"/>
          <w:highlight w:val="none"/>
        </w:rPr>
        <w:t>山体</w:t>
      </w:r>
      <w:r>
        <w:rPr>
          <w:color w:val="auto"/>
          <w:highlight w:val="none"/>
        </w:rPr>
        <w:t>，</w:t>
      </w:r>
      <w:r>
        <w:rPr>
          <w:rFonts w:hint="eastAsia"/>
          <w:color w:val="auto"/>
          <w:highlight w:val="none"/>
        </w:rPr>
        <w:t>面积为78.23</w:t>
      </w:r>
      <w:r>
        <w:rPr>
          <w:color w:val="auto"/>
          <w:highlight w:val="none"/>
        </w:rPr>
        <w:t xml:space="preserve"> km</w:t>
      </w:r>
      <w:r>
        <w:rPr>
          <w:color w:val="auto"/>
          <w:highlight w:val="none"/>
          <w:vertAlign w:val="superscript"/>
        </w:rPr>
        <w:t>2</w:t>
      </w:r>
      <w:r>
        <w:rPr>
          <w:rFonts w:hint="eastAsia"/>
          <w:color w:val="auto"/>
          <w:highlight w:val="none"/>
        </w:rPr>
        <w:t>，</w:t>
      </w:r>
      <w:r>
        <w:rPr>
          <w:color w:val="auto"/>
          <w:highlight w:val="none"/>
        </w:rPr>
        <w:t>均分布在即墨区，属于丘陵区。钱谷山与围子山相连，钱谷山海拔268m，围子山海拔256 m；笔架山南连王家山，笔架山主峰海拔210 m，王家山海拔205m；黄山主峰海拔257 m。</w:t>
      </w:r>
    </w:p>
    <w:p>
      <w:pPr>
        <w:ind w:firstLine="632"/>
        <w:rPr>
          <w:color w:val="auto"/>
          <w:highlight w:val="none"/>
        </w:rPr>
      </w:pPr>
      <w:r>
        <w:rPr>
          <w:color w:val="auto"/>
          <w:highlight w:val="none"/>
        </w:rPr>
        <w:t>本区为人工次生混交林，植物区系为泛北极植物区系，中亚-日本森林植物亚区和辽东、山东丘陵植物亚区。</w:t>
      </w:r>
      <w:r>
        <w:rPr>
          <w:rFonts w:hint="eastAsia"/>
          <w:color w:val="auto"/>
          <w:highlight w:val="none"/>
        </w:rPr>
        <w:t>本区未进行系统全面的生物多样性本底资源调查</w:t>
      </w:r>
      <w:r>
        <w:rPr>
          <w:color w:val="auto"/>
          <w:highlight w:val="none"/>
        </w:rPr>
        <w:t>。</w:t>
      </w:r>
      <w:r>
        <w:rPr>
          <w:rFonts w:hint="eastAsia"/>
          <w:color w:val="auto"/>
          <w:highlight w:val="none"/>
        </w:rPr>
        <w:t>据初步数据资料，该区</w:t>
      </w:r>
      <w:r>
        <w:rPr>
          <w:color w:val="auto"/>
          <w:highlight w:val="none"/>
        </w:rPr>
        <w:t>有</w:t>
      </w:r>
      <w:r>
        <w:rPr>
          <w:rFonts w:hint="eastAsia"/>
          <w:color w:val="auto"/>
          <w:highlight w:val="none"/>
        </w:rPr>
        <w:t>野生</w:t>
      </w:r>
      <w:r>
        <w:rPr>
          <w:color w:val="auto"/>
          <w:highlight w:val="none"/>
        </w:rPr>
        <w:t>维管束植物62种，隶属于25目、32科、57属</w:t>
      </w:r>
      <w:r>
        <w:rPr>
          <w:rFonts w:hint="eastAsia"/>
          <w:color w:val="auto"/>
          <w:highlight w:val="none"/>
        </w:rPr>
        <w:t>。</w:t>
      </w:r>
      <w:r>
        <w:rPr>
          <w:color w:val="auto"/>
          <w:highlight w:val="none"/>
        </w:rPr>
        <w:t>其中</w:t>
      </w:r>
      <w:r>
        <w:rPr>
          <w:rFonts w:hint="eastAsia"/>
          <w:color w:val="auto"/>
          <w:highlight w:val="none"/>
        </w:rPr>
        <w:t>，</w:t>
      </w:r>
      <w:r>
        <w:rPr>
          <w:color w:val="auto"/>
          <w:highlight w:val="none"/>
        </w:rPr>
        <w:t>蕨类植物3种、裸子植物2种、被子植物57种。</w:t>
      </w:r>
      <w:r>
        <w:rPr>
          <w:rFonts w:hint="eastAsia"/>
          <w:color w:val="auto"/>
          <w:highlight w:val="none"/>
        </w:rPr>
        <w:t>本区位于东亚－澳大利西亚候鸟迁徙路线之上，每年迁徙季节有大量候鸟迁徙过境或停歇，其中不乏国家重点保护鸟类。</w:t>
      </w:r>
    </w:p>
    <w:p>
      <w:pPr>
        <w:ind w:firstLine="632"/>
        <w:rPr>
          <w:color w:val="auto"/>
          <w:highlight w:val="none"/>
        </w:rPr>
      </w:pPr>
      <w:r>
        <w:rPr>
          <w:color w:val="auto"/>
          <w:highlight w:val="none"/>
        </w:rPr>
        <w:t>本区主要保护对象为森林生态系统、</w:t>
      </w:r>
      <w:r>
        <w:rPr>
          <w:rFonts w:hint="eastAsia"/>
          <w:color w:val="auto"/>
          <w:highlight w:val="none"/>
        </w:rPr>
        <w:t>野生植物资源及栖息或迁徙过境、停歇的重点保护、珍稀濒危野生</w:t>
      </w:r>
      <w:r>
        <w:rPr>
          <w:color w:val="auto"/>
          <w:highlight w:val="none"/>
        </w:rPr>
        <w:t>动物资源，</w:t>
      </w:r>
      <w:r>
        <w:rPr>
          <w:rFonts w:hint="eastAsia"/>
          <w:color w:val="auto"/>
          <w:highlight w:val="none"/>
        </w:rPr>
        <w:t>如</w:t>
      </w:r>
      <w:r>
        <w:rPr>
          <w:color w:val="auto"/>
          <w:highlight w:val="none"/>
        </w:rPr>
        <w:t>：野花椒、白叶莓、</w:t>
      </w:r>
      <w:r>
        <w:rPr>
          <w:rFonts w:hint="eastAsia"/>
          <w:color w:val="auto"/>
          <w:highlight w:val="none"/>
        </w:rPr>
        <w:t>酸枣等野生植物资源，以及雕鸮</w:t>
      </w:r>
      <w:r>
        <w:rPr>
          <w:color w:val="auto"/>
          <w:highlight w:val="none"/>
        </w:rPr>
        <w:t>、</w:t>
      </w:r>
      <w:r>
        <w:rPr>
          <w:rFonts w:hint="eastAsia"/>
          <w:color w:val="auto"/>
          <w:highlight w:val="none"/>
        </w:rPr>
        <w:t>燕隼、雀鹰、苍鹰、黑鸢、普通</w:t>
      </w:r>
      <w:r>
        <w:rPr>
          <w:rFonts w:hint="eastAsia" w:ascii="微软雅黑" w:hAnsi="微软雅黑" w:eastAsia="微软雅黑" w:cs="微软雅黑"/>
          <w:color w:val="auto"/>
          <w:highlight w:val="none"/>
        </w:rPr>
        <w:t>鵟</w:t>
      </w:r>
      <w:r>
        <w:rPr>
          <w:color w:val="auto"/>
          <w:highlight w:val="none"/>
        </w:rPr>
        <w:t>等有重要生态、科学、社会价值物种。</w:t>
      </w:r>
    </w:p>
    <w:p>
      <w:pPr>
        <w:pStyle w:val="6"/>
        <w:ind w:firstLine="632"/>
        <w:rPr>
          <w:rFonts w:ascii="楷体_GB2312" w:hAnsi="楷体_GB2312" w:eastAsia="楷体_GB2312" w:cs="楷体_GB2312"/>
          <w:b w:val="0"/>
          <w:bCs w:val="0"/>
          <w:color w:val="auto"/>
          <w:highlight w:val="none"/>
        </w:rPr>
      </w:pPr>
      <w:bookmarkStart w:id="95" w:name="_Toc531604400"/>
      <w:r>
        <w:rPr>
          <w:rFonts w:hint="eastAsia" w:ascii="楷体_GB2312" w:hAnsi="楷体_GB2312" w:eastAsia="楷体_GB2312" w:cs="楷体_GB2312"/>
          <w:b w:val="0"/>
          <w:bCs w:val="0"/>
          <w:color w:val="auto"/>
          <w:highlight w:val="none"/>
        </w:rPr>
        <w:t>2.青北丘陵区</w:t>
      </w:r>
      <w:bookmarkEnd w:id="95"/>
    </w:p>
    <w:p>
      <w:pPr>
        <w:pStyle w:val="7"/>
        <w:ind w:firstLine="632"/>
        <w:rPr>
          <w:color w:val="auto"/>
          <w:highlight w:val="none"/>
        </w:rPr>
      </w:pPr>
      <w:r>
        <w:rPr>
          <w:color w:val="auto"/>
          <w:highlight w:val="none"/>
        </w:rPr>
        <w:t>2.1大泽山-招风顶-</w:t>
      </w:r>
      <w:r>
        <w:rPr>
          <w:rFonts w:hint="eastAsia"/>
          <w:color w:val="auto"/>
          <w:highlight w:val="none"/>
        </w:rPr>
        <w:t>两目山</w:t>
      </w:r>
      <w:r>
        <w:rPr>
          <w:color w:val="auto"/>
          <w:highlight w:val="none"/>
        </w:rPr>
        <w:t>生物多样性保护优先区域</w:t>
      </w:r>
    </w:p>
    <w:p>
      <w:pPr>
        <w:ind w:firstLine="632"/>
        <w:rPr>
          <w:color w:val="auto"/>
          <w:highlight w:val="none"/>
        </w:rPr>
      </w:pPr>
      <w:r>
        <w:rPr>
          <w:color w:val="auto"/>
          <w:highlight w:val="none"/>
        </w:rPr>
        <w:t>本区包括大泽山及周围支系山脉，如：大姑顶、招风顶和</w:t>
      </w:r>
      <w:r>
        <w:rPr>
          <w:rFonts w:hint="eastAsia"/>
          <w:color w:val="auto"/>
          <w:highlight w:val="none"/>
        </w:rPr>
        <w:t>两目山，面积为</w:t>
      </w:r>
      <w:r>
        <w:rPr>
          <w:color w:val="auto"/>
          <w:highlight w:val="none"/>
        </w:rPr>
        <w:t>156.72 km</w:t>
      </w:r>
      <w:r>
        <w:rPr>
          <w:color w:val="auto"/>
          <w:highlight w:val="none"/>
          <w:vertAlign w:val="superscript"/>
        </w:rPr>
        <w:t>2</w:t>
      </w:r>
      <w:r>
        <w:rPr>
          <w:color w:val="auto"/>
          <w:highlight w:val="none"/>
        </w:rPr>
        <w:t>。地势起伏大，北峰顶海拔735.8 m，最低处海拔仅50-70 m，起伏差达近700 m。支系山脉海拔较高的招风顶海拔513 m。植物区系分区上属泛北极植物区的中国</w:t>
      </w:r>
      <w:r>
        <w:rPr>
          <w:rFonts w:hint="eastAsia"/>
          <w:color w:val="auto"/>
          <w:highlight w:val="none"/>
        </w:rPr>
        <w:t>—</w:t>
      </w:r>
      <w:r>
        <w:rPr>
          <w:color w:val="auto"/>
          <w:highlight w:val="none"/>
        </w:rPr>
        <w:t>日本森林植物亚区</w:t>
      </w:r>
      <w:r>
        <w:rPr>
          <w:rFonts w:hint="eastAsia"/>
          <w:color w:val="auto"/>
          <w:highlight w:val="none"/>
        </w:rPr>
        <w:t>—</w:t>
      </w:r>
      <w:r>
        <w:rPr>
          <w:color w:val="auto"/>
          <w:highlight w:val="none"/>
        </w:rPr>
        <w:t>华北地区中的辽东、山东半岛亚地区，主要植被类型有：赤松天然林、针阔混交林、灌草丛。野生动物在我国动物地理区划中，属华北区黄淮平原亚区</w:t>
      </w:r>
      <w:r>
        <w:rPr>
          <w:rFonts w:hint="eastAsia"/>
          <w:color w:val="auto"/>
          <w:highlight w:val="none"/>
        </w:rPr>
        <w:t>。</w:t>
      </w:r>
    </w:p>
    <w:p>
      <w:pPr>
        <w:ind w:firstLine="632"/>
        <w:rPr>
          <w:color w:val="auto"/>
          <w:highlight w:val="none"/>
        </w:rPr>
      </w:pPr>
      <w:r>
        <w:rPr>
          <w:rFonts w:hint="eastAsia"/>
          <w:color w:val="auto"/>
          <w:highlight w:val="none"/>
        </w:rPr>
        <w:t>根据历史数据资料，</w:t>
      </w:r>
      <w:r>
        <w:rPr>
          <w:color w:val="auto"/>
          <w:highlight w:val="none"/>
        </w:rPr>
        <w:t>本区内有维管束植物115科425属800</w:t>
      </w:r>
      <w:r>
        <w:rPr>
          <w:rFonts w:hint="eastAsia"/>
          <w:color w:val="auto"/>
          <w:highlight w:val="none"/>
        </w:rPr>
        <w:t>余</w:t>
      </w:r>
      <w:r>
        <w:rPr>
          <w:color w:val="auto"/>
          <w:highlight w:val="none"/>
        </w:rPr>
        <w:t>种（含</w:t>
      </w:r>
      <w:r>
        <w:rPr>
          <w:rFonts w:hint="eastAsia"/>
          <w:color w:val="auto"/>
          <w:highlight w:val="none"/>
        </w:rPr>
        <w:t>亚种、变种和变型</w:t>
      </w:r>
      <w:r>
        <w:rPr>
          <w:color w:val="auto"/>
          <w:highlight w:val="none"/>
        </w:rPr>
        <w:t>）</w:t>
      </w:r>
      <w:r>
        <w:rPr>
          <w:rFonts w:hint="eastAsia"/>
          <w:color w:val="auto"/>
          <w:highlight w:val="none"/>
        </w:rPr>
        <w:t>。</w:t>
      </w:r>
      <w:r>
        <w:rPr>
          <w:color w:val="auto"/>
          <w:highlight w:val="none"/>
        </w:rPr>
        <w:t>其中</w:t>
      </w:r>
      <w:r>
        <w:rPr>
          <w:rFonts w:hint="eastAsia"/>
          <w:color w:val="auto"/>
          <w:highlight w:val="none"/>
        </w:rPr>
        <w:t>，</w:t>
      </w:r>
      <w:r>
        <w:rPr>
          <w:color w:val="auto"/>
          <w:highlight w:val="none"/>
        </w:rPr>
        <w:t>蕨类植物11科15属23种</w:t>
      </w:r>
      <w:r>
        <w:rPr>
          <w:rFonts w:hint="eastAsia"/>
          <w:color w:val="auto"/>
          <w:highlight w:val="none"/>
        </w:rPr>
        <w:t>，</w:t>
      </w:r>
      <w:r>
        <w:rPr>
          <w:color w:val="auto"/>
          <w:highlight w:val="none"/>
        </w:rPr>
        <w:t>裸子植物5科13属29种</w:t>
      </w:r>
      <w:r>
        <w:rPr>
          <w:rFonts w:hint="eastAsia"/>
          <w:color w:val="auto"/>
          <w:highlight w:val="none"/>
        </w:rPr>
        <w:t>，</w:t>
      </w:r>
      <w:r>
        <w:rPr>
          <w:color w:val="auto"/>
          <w:highlight w:val="none"/>
        </w:rPr>
        <w:t>被子植物99科397属760</w:t>
      </w:r>
      <w:r>
        <w:rPr>
          <w:rFonts w:hint="eastAsia"/>
          <w:color w:val="auto"/>
          <w:highlight w:val="none"/>
        </w:rPr>
        <w:t>余</w:t>
      </w:r>
      <w:r>
        <w:rPr>
          <w:color w:val="auto"/>
          <w:highlight w:val="none"/>
        </w:rPr>
        <w:t>种。国家</w:t>
      </w:r>
      <w:r>
        <w:rPr>
          <w:rFonts w:hint="eastAsia" w:ascii="宋体" w:hAnsi="宋体" w:cs="宋体"/>
          <w:color w:val="auto"/>
          <w:highlight w:val="none"/>
        </w:rPr>
        <w:t>Ⅰ</w:t>
      </w:r>
      <w:r>
        <w:rPr>
          <w:color w:val="auto"/>
          <w:highlight w:val="none"/>
        </w:rPr>
        <w:t>、</w:t>
      </w:r>
      <w:r>
        <w:rPr>
          <w:rFonts w:hint="eastAsia" w:ascii="宋体" w:hAnsi="宋体" w:cs="宋体"/>
          <w:color w:val="auto"/>
          <w:highlight w:val="none"/>
        </w:rPr>
        <w:t>Ⅱ</w:t>
      </w:r>
      <w:r>
        <w:rPr>
          <w:color w:val="auto"/>
          <w:highlight w:val="none"/>
        </w:rPr>
        <w:t>级</w:t>
      </w:r>
      <w:r>
        <w:rPr>
          <w:rFonts w:hint="eastAsia"/>
          <w:color w:val="auto"/>
          <w:highlight w:val="none"/>
        </w:rPr>
        <w:t>重点</w:t>
      </w:r>
      <w:r>
        <w:rPr>
          <w:color w:val="auto"/>
          <w:highlight w:val="none"/>
        </w:rPr>
        <w:t>保护植物5种，列入《濒危野生动植物种国际贸易公约》植物3种</w:t>
      </w:r>
      <w:r>
        <w:rPr>
          <w:rFonts w:hint="eastAsia"/>
          <w:color w:val="auto"/>
          <w:highlight w:val="none"/>
        </w:rPr>
        <w:t>。</w:t>
      </w:r>
      <w:r>
        <w:rPr>
          <w:color w:val="auto"/>
          <w:highlight w:val="none"/>
        </w:rPr>
        <w:t>本区野生动物（含淡水鱼类）有6纲41目191科900</w:t>
      </w:r>
      <w:r>
        <w:rPr>
          <w:rFonts w:hint="eastAsia"/>
          <w:color w:val="auto"/>
          <w:highlight w:val="none"/>
        </w:rPr>
        <w:t>余</w:t>
      </w:r>
      <w:r>
        <w:rPr>
          <w:color w:val="auto"/>
          <w:highlight w:val="none"/>
        </w:rPr>
        <w:t>种，国家</w:t>
      </w:r>
      <w:r>
        <w:rPr>
          <w:rFonts w:hint="eastAsia" w:ascii="宋体" w:hAnsi="宋体" w:cs="宋体"/>
          <w:color w:val="auto"/>
          <w:highlight w:val="none"/>
        </w:rPr>
        <w:t>Ⅰ</w:t>
      </w:r>
      <w:r>
        <w:rPr>
          <w:color w:val="auto"/>
          <w:highlight w:val="none"/>
        </w:rPr>
        <w:t>级重点保护野生动物8种，国家</w:t>
      </w:r>
      <w:r>
        <w:rPr>
          <w:rFonts w:hint="eastAsia" w:ascii="宋体" w:hAnsi="宋体" w:cs="宋体"/>
          <w:color w:val="auto"/>
          <w:highlight w:val="none"/>
        </w:rPr>
        <w:t>Ⅱ</w:t>
      </w:r>
      <w:r>
        <w:rPr>
          <w:color w:val="auto"/>
          <w:highlight w:val="none"/>
        </w:rPr>
        <w:t>级重点保护野生动物46种，列入</w:t>
      </w:r>
      <w:r>
        <w:rPr>
          <w:rFonts w:hint="eastAsia"/>
          <w:color w:val="auto"/>
          <w:highlight w:val="none"/>
        </w:rPr>
        <w:t>国家保护的《有重要生态、科学、社会价值的陆生野生动物名录》</w:t>
      </w:r>
      <w:r>
        <w:rPr>
          <w:color w:val="auto"/>
          <w:highlight w:val="none"/>
        </w:rPr>
        <w:t>的野生脊椎动物200</w:t>
      </w:r>
      <w:r>
        <w:rPr>
          <w:rFonts w:hint="eastAsia"/>
          <w:color w:val="auto"/>
          <w:highlight w:val="none"/>
        </w:rPr>
        <w:t>余</w:t>
      </w:r>
      <w:r>
        <w:rPr>
          <w:color w:val="auto"/>
          <w:highlight w:val="none"/>
        </w:rPr>
        <w:t>种。</w:t>
      </w:r>
    </w:p>
    <w:p>
      <w:pPr>
        <w:ind w:firstLine="632"/>
        <w:rPr>
          <w:color w:val="auto"/>
          <w:highlight w:val="none"/>
        </w:rPr>
      </w:pPr>
      <w:r>
        <w:rPr>
          <w:color w:val="auto"/>
          <w:highlight w:val="none"/>
        </w:rPr>
        <w:t>本区分布有大面积以赤松为主的针叶林和针阔混交林，生物多样性丰富。主要保护对象为赤松天然次生林</w:t>
      </w:r>
      <w:r>
        <w:rPr>
          <w:rFonts w:hint="eastAsia"/>
          <w:color w:val="auto"/>
          <w:highlight w:val="none"/>
        </w:rPr>
        <w:t>，重点保护、珍稀濒危及特有</w:t>
      </w:r>
      <w:r>
        <w:rPr>
          <w:color w:val="auto"/>
          <w:highlight w:val="none"/>
        </w:rPr>
        <w:t>野生</w:t>
      </w:r>
      <w:r>
        <w:rPr>
          <w:rFonts w:hint="eastAsia"/>
          <w:color w:val="auto"/>
          <w:highlight w:val="none"/>
        </w:rPr>
        <w:t>动</w:t>
      </w:r>
      <w:r>
        <w:rPr>
          <w:color w:val="auto"/>
          <w:highlight w:val="none"/>
        </w:rPr>
        <w:t>植物</w:t>
      </w:r>
      <w:r>
        <w:rPr>
          <w:rFonts w:hint="eastAsia"/>
          <w:color w:val="auto"/>
          <w:highlight w:val="none"/>
        </w:rPr>
        <w:t>、大型真菌、昆虫和遗传资源，如</w:t>
      </w:r>
      <w:r>
        <w:rPr>
          <w:color w:val="auto"/>
          <w:highlight w:val="none"/>
        </w:rPr>
        <w:t>：银杏、水杉、野大豆、中华结缕草</w:t>
      </w:r>
      <w:r>
        <w:rPr>
          <w:rFonts w:hint="eastAsia"/>
          <w:color w:val="auto"/>
          <w:highlight w:val="none"/>
        </w:rPr>
        <w:t>、青岛百合等国家重点保护野生植物，以及灰脸</w:t>
      </w:r>
      <w:r>
        <w:rPr>
          <w:rFonts w:hint="eastAsia" w:ascii="微软雅黑" w:hAnsi="微软雅黑" w:eastAsia="微软雅黑" w:cs="微软雅黑"/>
          <w:color w:val="auto"/>
          <w:highlight w:val="none"/>
        </w:rPr>
        <w:t>鵟</w:t>
      </w:r>
      <w:r>
        <w:rPr>
          <w:rFonts w:hint="eastAsia" w:ascii="仿宋_GB2312" w:hAnsi="仿宋_GB2312" w:cs="仿宋_GB2312"/>
          <w:color w:val="auto"/>
          <w:highlight w:val="none"/>
        </w:rPr>
        <w:t>鹰、松雀鹰、</w:t>
      </w:r>
      <w:r>
        <w:rPr>
          <w:rFonts w:hint="eastAsia"/>
          <w:color w:val="auto"/>
          <w:highlight w:val="none"/>
        </w:rPr>
        <w:t>赤腹鹰、北鹰鸮、蓝翡翠、灰斑鸠、鹰鹃、狗獾</w:t>
      </w:r>
      <w:r>
        <w:rPr>
          <w:color w:val="auto"/>
          <w:highlight w:val="none"/>
        </w:rPr>
        <w:t>等</w:t>
      </w:r>
      <w:r>
        <w:rPr>
          <w:rFonts w:hint="eastAsia"/>
          <w:color w:val="auto"/>
          <w:highlight w:val="none"/>
        </w:rPr>
        <w:t>国家重点保护、珍稀濒危或</w:t>
      </w:r>
      <w:r>
        <w:rPr>
          <w:color w:val="auto"/>
          <w:highlight w:val="none"/>
        </w:rPr>
        <w:t>有重要生态、科学、社会价值</w:t>
      </w:r>
      <w:r>
        <w:rPr>
          <w:rFonts w:hint="eastAsia"/>
          <w:color w:val="auto"/>
          <w:highlight w:val="none"/>
        </w:rPr>
        <w:t>的野生动物</w:t>
      </w:r>
      <w:r>
        <w:rPr>
          <w:color w:val="auto"/>
          <w:highlight w:val="none"/>
        </w:rPr>
        <w:t>。</w:t>
      </w:r>
    </w:p>
    <w:p>
      <w:pPr>
        <w:pStyle w:val="7"/>
        <w:ind w:firstLine="632"/>
        <w:rPr>
          <w:color w:val="auto"/>
          <w:highlight w:val="none"/>
        </w:rPr>
      </w:pPr>
      <w:r>
        <w:rPr>
          <w:color w:val="auto"/>
          <w:highlight w:val="none"/>
        </w:rPr>
        <w:t>2.2周家大山-大青山生物多样性保护优先区域</w:t>
      </w:r>
    </w:p>
    <w:p>
      <w:pPr>
        <w:ind w:firstLine="632"/>
        <w:rPr>
          <w:color w:val="auto"/>
          <w:highlight w:val="none"/>
        </w:rPr>
      </w:pPr>
      <w:r>
        <w:rPr>
          <w:color w:val="auto"/>
          <w:highlight w:val="none"/>
        </w:rPr>
        <w:t>本区分布于平度市和莱西市，由周家大山、北墅水库、大青山省级森林公园组成</w:t>
      </w:r>
      <w:r>
        <w:rPr>
          <w:rFonts w:hint="eastAsia"/>
          <w:color w:val="auto"/>
          <w:highlight w:val="none"/>
        </w:rPr>
        <w:t>，面积为</w:t>
      </w:r>
      <w:r>
        <w:rPr>
          <w:color w:val="auto"/>
          <w:highlight w:val="none"/>
        </w:rPr>
        <w:t>63.91 km</w:t>
      </w:r>
      <w:r>
        <w:rPr>
          <w:color w:val="auto"/>
          <w:highlight w:val="none"/>
          <w:vertAlign w:val="superscript"/>
        </w:rPr>
        <w:t>2</w:t>
      </w:r>
      <w:r>
        <w:rPr>
          <w:color w:val="auto"/>
          <w:highlight w:val="none"/>
        </w:rPr>
        <w:t>。大青山省级森林公园森林覆盖率95%以上，主峰大青山海拔278.8 m；周家大山主峰海拔427.8 m。本区主要是人工次生混交林，植物区系分区上属泛北极植物区的中国—日本森林植物亚区—华北地区中的辽东、山东半岛亚地区。</w:t>
      </w:r>
      <w:r>
        <w:rPr>
          <w:rFonts w:hint="eastAsia"/>
          <w:color w:val="auto"/>
          <w:highlight w:val="none"/>
        </w:rPr>
        <w:t>本区未进行系统全面的生物多样性本底资源调查</w:t>
      </w:r>
      <w:r>
        <w:rPr>
          <w:color w:val="auto"/>
          <w:highlight w:val="none"/>
        </w:rPr>
        <w:t>。</w:t>
      </w:r>
      <w:r>
        <w:rPr>
          <w:rFonts w:hint="eastAsia"/>
          <w:color w:val="auto"/>
          <w:highlight w:val="none"/>
        </w:rPr>
        <w:t>据初步数据资料，该区有木本植物294种，草本植物50余种，苔藓植物110余种，其中，国家重点保护植物7种；陆生野生动物142种，其中国家二级重点保护野生动物13种。</w:t>
      </w:r>
    </w:p>
    <w:p>
      <w:pPr>
        <w:ind w:firstLine="632"/>
        <w:rPr>
          <w:color w:val="auto"/>
          <w:highlight w:val="none"/>
        </w:rPr>
      </w:pPr>
      <w:r>
        <w:rPr>
          <w:color w:val="auto"/>
          <w:highlight w:val="none"/>
        </w:rPr>
        <w:t>本区四季分明、空气湿润、气候温和、雨量充沛，为各种物种提供良好的生存条件。主要保护对象为森林</w:t>
      </w:r>
      <w:r>
        <w:rPr>
          <w:rFonts w:hint="eastAsia"/>
          <w:color w:val="auto"/>
          <w:highlight w:val="none"/>
        </w:rPr>
        <w:t>和</w:t>
      </w:r>
      <w:r>
        <w:rPr>
          <w:color w:val="auto"/>
          <w:highlight w:val="none"/>
        </w:rPr>
        <w:t>湿地生态系统</w:t>
      </w:r>
      <w:r>
        <w:rPr>
          <w:rFonts w:hint="eastAsia"/>
          <w:color w:val="auto"/>
          <w:highlight w:val="none"/>
        </w:rPr>
        <w:t>，重点保护、珍稀濒危及特有</w:t>
      </w:r>
      <w:r>
        <w:rPr>
          <w:color w:val="auto"/>
          <w:highlight w:val="none"/>
        </w:rPr>
        <w:t>野生</w:t>
      </w:r>
      <w:r>
        <w:rPr>
          <w:rFonts w:hint="eastAsia"/>
          <w:color w:val="auto"/>
          <w:highlight w:val="none"/>
        </w:rPr>
        <w:t>植物、大型真菌资源、重点保护及珍稀濒危野生动物、遗传资源等</w:t>
      </w:r>
      <w:r>
        <w:rPr>
          <w:color w:val="auto"/>
          <w:highlight w:val="none"/>
        </w:rPr>
        <w:t>，</w:t>
      </w:r>
      <w:r>
        <w:rPr>
          <w:rFonts w:hint="eastAsia"/>
          <w:color w:val="auto"/>
          <w:highlight w:val="none"/>
        </w:rPr>
        <w:t>如</w:t>
      </w:r>
      <w:r>
        <w:rPr>
          <w:color w:val="auto"/>
          <w:highlight w:val="none"/>
        </w:rPr>
        <w:t>：</w:t>
      </w:r>
      <w:r>
        <w:rPr>
          <w:rFonts w:hint="eastAsia"/>
          <w:color w:val="auto"/>
          <w:highlight w:val="none"/>
        </w:rPr>
        <w:t>黄檀、山茱萸、黄芩、</w:t>
      </w:r>
      <w:r>
        <w:rPr>
          <w:color w:val="auto"/>
          <w:highlight w:val="none"/>
        </w:rPr>
        <w:t>凤头蜂鹰</w:t>
      </w:r>
      <w:r>
        <w:rPr>
          <w:rFonts w:hint="eastAsia"/>
          <w:color w:val="auto"/>
          <w:highlight w:val="none"/>
        </w:rPr>
        <w:t>、红隼、燕隼、狗獾</w:t>
      </w:r>
      <w:r>
        <w:rPr>
          <w:color w:val="auto"/>
          <w:highlight w:val="none"/>
        </w:rPr>
        <w:t>等。</w:t>
      </w:r>
    </w:p>
    <w:p>
      <w:pPr>
        <w:pStyle w:val="6"/>
        <w:ind w:firstLine="632"/>
        <w:rPr>
          <w:color w:val="auto"/>
          <w:highlight w:val="none"/>
        </w:rPr>
      </w:pPr>
      <w:r>
        <w:rPr>
          <w:rFonts w:hint="eastAsia" w:ascii="楷体_GB2312" w:hAnsi="楷体_GB2312" w:eastAsia="楷体_GB2312" w:cs="楷体_GB2312"/>
          <w:b w:val="0"/>
          <w:bCs w:val="0"/>
          <w:color w:val="auto"/>
          <w:highlight w:val="none"/>
        </w:rPr>
        <w:t>3.青北平原区</w:t>
      </w:r>
    </w:p>
    <w:p>
      <w:pPr>
        <w:pStyle w:val="7"/>
        <w:ind w:firstLine="632"/>
        <w:rPr>
          <w:color w:val="auto"/>
          <w:highlight w:val="none"/>
        </w:rPr>
      </w:pPr>
      <w:r>
        <w:rPr>
          <w:color w:val="auto"/>
          <w:highlight w:val="none"/>
        </w:rPr>
        <w:t>3.1</w:t>
      </w:r>
      <w:r>
        <w:rPr>
          <w:rFonts w:hint="eastAsia"/>
          <w:color w:val="auto"/>
          <w:highlight w:val="none"/>
        </w:rPr>
        <w:t>姜山湿地</w:t>
      </w:r>
      <w:r>
        <w:rPr>
          <w:color w:val="auto"/>
          <w:highlight w:val="none"/>
        </w:rPr>
        <w:t>生物多样性保护优先区域</w:t>
      </w:r>
    </w:p>
    <w:p>
      <w:pPr>
        <w:ind w:firstLine="632"/>
        <w:rPr>
          <w:color w:val="auto"/>
          <w:highlight w:val="none"/>
        </w:rPr>
      </w:pPr>
      <w:r>
        <w:rPr>
          <w:rFonts w:hint="eastAsia"/>
          <w:color w:val="auto"/>
          <w:highlight w:val="none"/>
        </w:rPr>
        <w:t>姜山湿地位于莱西市姜山镇，是胶东半岛最大的内陆湿地，也是青岛最大的沼泽湿地，具有重要的水源涵养、净化水质、调节气候和生物多样性维持等多种生态系统服务功能，被列入《青岛市重要湿地名录》（第一批）（青林字〔2020〕105号）。本区边界范围覆盖《青岛市重要湿地名录》中姜山堤湾水库湿地区域及周边生态空间，面积为</w:t>
      </w:r>
      <w:r>
        <w:rPr>
          <w:color w:val="auto"/>
          <w:highlight w:val="none"/>
        </w:rPr>
        <w:t>9.66 km</w:t>
      </w:r>
      <w:r>
        <w:rPr>
          <w:color w:val="auto"/>
          <w:highlight w:val="none"/>
          <w:vertAlign w:val="superscript"/>
        </w:rPr>
        <w:t>2</w:t>
      </w:r>
      <w:r>
        <w:rPr>
          <w:color w:val="auto"/>
          <w:highlight w:val="none"/>
        </w:rPr>
        <w:t>。</w:t>
      </w:r>
      <w:r>
        <w:rPr>
          <w:rFonts w:hint="eastAsia"/>
          <w:color w:val="auto"/>
          <w:highlight w:val="none"/>
        </w:rPr>
        <w:t>该区未进行系统全面的生物多样性本底资源调查，据历史数据资料，该区有陆生高等植物2</w:t>
      </w:r>
      <w:r>
        <w:rPr>
          <w:color w:val="auto"/>
          <w:highlight w:val="none"/>
        </w:rPr>
        <w:t>82</w:t>
      </w:r>
      <w:r>
        <w:rPr>
          <w:rFonts w:hint="eastAsia"/>
          <w:color w:val="auto"/>
          <w:highlight w:val="none"/>
        </w:rPr>
        <w:t>种，野生动物4</w:t>
      </w:r>
      <w:r>
        <w:rPr>
          <w:color w:val="auto"/>
          <w:highlight w:val="none"/>
        </w:rPr>
        <w:t>47</w:t>
      </w:r>
      <w:r>
        <w:rPr>
          <w:rFonts w:hint="eastAsia"/>
          <w:color w:val="auto"/>
          <w:highlight w:val="none"/>
        </w:rPr>
        <w:t>种，其中，国家重点保护野生动物2</w:t>
      </w:r>
      <w:r>
        <w:rPr>
          <w:color w:val="auto"/>
          <w:highlight w:val="none"/>
        </w:rPr>
        <w:t>0</w:t>
      </w:r>
      <w:r>
        <w:rPr>
          <w:rFonts w:hint="eastAsia"/>
          <w:color w:val="auto"/>
          <w:highlight w:val="none"/>
        </w:rPr>
        <w:t>余种。</w:t>
      </w:r>
    </w:p>
    <w:p>
      <w:pPr>
        <w:ind w:firstLine="632"/>
        <w:rPr>
          <w:color w:val="auto"/>
          <w:highlight w:val="none"/>
        </w:rPr>
      </w:pPr>
      <w:r>
        <w:rPr>
          <w:color w:val="auto"/>
          <w:highlight w:val="none"/>
        </w:rPr>
        <w:t>本区主要保护对象为湿地生态系统</w:t>
      </w:r>
      <w:r>
        <w:rPr>
          <w:rFonts w:hint="eastAsia"/>
          <w:color w:val="auto"/>
          <w:highlight w:val="none"/>
        </w:rPr>
        <w:t>，栖息或迁徙过境、停歇的珍稀濒危和国家重点保护野生动物，以及其他有</w:t>
      </w:r>
      <w:r>
        <w:rPr>
          <w:color w:val="auto"/>
          <w:highlight w:val="none"/>
        </w:rPr>
        <w:t>重要生态、科学、社会价值</w:t>
      </w:r>
      <w:r>
        <w:rPr>
          <w:rFonts w:hint="eastAsia"/>
          <w:color w:val="auto"/>
          <w:highlight w:val="none"/>
        </w:rPr>
        <w:t>的生物</w:t>
      </w:r>
      <w:r>
        <w:rPr>
          <w:color w:val="auto"/>
          <w:highlight w:val="none"/>
        </w:rPr>
        <w:t>物种</w:t>
      </w:r>
      <w:r>
        <w:rPr>
          <w:rFonts w:hint="eastAsia"/>
          <w:color w:val="auto"/>
          <w:highlight w:val="none"/>
        </w:rPr>
        <w:t>等</w:t>
      </w:r>
      <w:r>
        <w:rPr>
          <w:color w:val="auto"/>
          <w:highlight w:val="none"/>
        </w:rPr>
        <w:t>，</w:t>
      </w:r>
      <w:r>
        <w:rPr>
          <w:rFonts w:hint="eastAsia"/>
          <w:color w:val="auto"/>
          <w:highlight w:val="none"/>
        </w:rPr>
        <w:t>如</w:t>
      </w:r>
      <w:r>
        <w:rPr>
          <w:color w:val="auto"/>
          <w:highlight w:val="none"/>
        </w:rPr>
        <w:t>：</w:t>
      </w:r>
      <w:r>
        <w:rPr>
          <w:rFonts w:hint="eastAsia"/>
          <w:color w:val="auto"/>
          <w:highlight w:val="none"/>
        </w:rPr>
        <w:t>丹顶鹤、东方白鹳、大天鹅、灰鹤、震旦鸦雀、白眼潜鸭、游隼、大白鹭、夜鹭、雉鸡</w:t>
      </w:r>
      <w:r>
        <w:rPr>
          <w:color w:val="auto"/>
          <w:highlight w:val="none"/>
        </w:rPr>
        <w:t>等。</w:t>
      </w:r>
    </w:p>
    <w:p>
      <w:pPr>
        <w:pStyle w:val="7"/>
        <w:ind w:firstLine="632"/>
        <w:rPr>
          <w:color w:val="auto"/>
          <w:highlight w:val="none"/>
        </w:rPr>
      </w:pPr>
      <w:r>
        <w:rPr>
          <w:color w:val="auto"/>
          <w:highlight w:val="none"/>
        </w:rPr>
        <w:t>3.2</w:t>
      </w:r>
      <w:r>
        <w:rPr>
          <w:rFonts w:hint="eastAsia"/>
          <w:color w:val="auto"/>
          <w:highlight w:val="none"/>
        </w:rPr>
        <w:t>产芝水库湿地</w:t>
      </w:r>
      <w:r>
        <w:rPr>
          <w:color w:val="auto"/>
          <w:highlight w:val="none"/>
        </w:rPr>
        <w:t>生物多样性保护优先区域</w:t>
      </w:r>
    </w:p>
    <w:p>
      <w:pPr>
        <w:ind w:firstLine="632"/>
        <w:rPr>
          <w:color w:val="auto"/>
          <w:highlight w:val="none"/>
        </w:rPr>
      </w:pPr>
      <w:r>
        <w:rPr>
          <w:rFonts w:hint="eastAsia"/>
          <w:color w:val="auto"/>
          <w:highlight w:val="none"/>
        </w:rPr>
        <w:t>产芝水库湿地位于莱西市大沽河干流的中上游，是胶东半岛第一大水库，具有重要的水源涵养、净化水质、调节气候和生物多样性维持等多种生态系统服务功能，被列入《青岛市重要湿地名录》（第一批）（青林字〔2020〕105号）。本区边界范围覆盖《青岛市重要湿地名录》中产芝水库湿地区域和周边自然生态空间，面积</w:t>
      </w:r>
      <w:r>
        <w:rPr>
          <w:color w:val="auto"/>
          <w:highlight w:val="none"/>
        </w:rPr>
        <w:t>49.68 km</w:t>
      </w:r>
      <w:r>
        <w:rPr>
          <w:color w:val="auto"/>
          <w:highlight w:val="none"/>
          <w:vertAlign w:val="superscript"/>
        </w:rPr>
        <w:t>2</w:t>
      </w:r>
      <w:r>
        <w:rPr>
          <w:color w:val="auto"/>
          <w:highlight w:val="none"/>
        </w:rPr>
        <w:t>。</w:t>
      </w:r>
      <w:r>
        <w:rPr>
          <w:rFonts w:hint="eastAsia"/>
          <w:color w:val="auto"/>
          <w:highlight w:val="none"/>
        </w:rPr>
        <w:t>该区未进行系统全面的生物多样性本底资源调查。</w:t>
      </w:r>
    </w:p>
    <w:p>
      <w:pPr>
        <w:ind w:firstLine="632"/>
        <w:rPr>
          <w:color w:val="auto"/>
          <w:highlight w:val="none"/>
        </w:rPr>
      </w:pPr>
      <w:r>
        <w:rPr>
          <w:color w:val="auto"/>
          <w:highlight w:val="none"/>
        </w:rPr>
        <w:t>本区主要保护对象为湿地生态系统</w:t>
      </w:r>
      <w:r>
        <w:rPr>
          <w:rFonts w:hint="eastAsia"/>
          <w:color w:val="auto"/>
          <w:highlight w:val="none"/>
        </w:rPr>
        <w:t>，栖息或迁徙过境、停歇的珍稀濒危和国家重点保护野生动物，淡水水产、种质资源以及其他有</w:t>
      </w:r>
      <w:r>
        <w:rPr>
          <w:color w:val="auto"/>
          <w:highlight w:val="none"/>
        </w:rPr>
        <w:t>重要生态、科学、社会价值</w:t>
      </w:r>
      <w:r>
        <w:rPr>
          <w:rFonts w:hint="eastAsia"/>
          <w:color w:val="auto"/>
          <w:highlight w:val="none"/>
        </w:rPr>
        <w:t>的生物</w:t>
      </w:r>
      <w:r>
        <w:rPr>
          <w:color w:val="auto"/>
          <w:highlight w:val="none"/>
        </w:rPr>
        <w:t>物种</w:t>
      </w:r>
      <w:r>
        <w:rPr>
          <w:rFonts w:hint="eastAsia"/>
          <w:color w:val="auto"/>
          <w:highlight w:val="none"/>
        </w:rPr>
        <w:t>等</w:t>
      </w:r>
      <w:r>
        <w:rPr>
          <w:color w:val="auto"/>
          <w:highlight w:val="none"/>
        </w:rPr>
        <w:t>，</w:t>
      </w:r>
      <w:r>
        <w:rPr>
          <w:rFonts w:hint="eastAsia"/>
          <w:color w:val="auto"/>
          <w:highlight w:val="none"/>
        </w:rPr>
        <w:t>如</w:t>
      </w:r>
      <w:r>
        <w:rPr>
          <w:color w:val="auto"/>
          <w:highlight w:val="none"/>
        </w:rPr>
        <w:t>：</w:t>
      </w:r>
      <w:r>
        <w:rPr>
          <w:rFonts w:hint="eastAsia"/>
          <w:color w:val="auto"/>
          <w:highlight w:val="none"/>
        </w:rPr>
        <w:t>丹顶鹤、东方白鹳、大天鹅、黑脸琵鹭、白额雁、震旦鸦雀</w:t>
      </w:r>
      <w:r>
        <w:rPr>
          <w:color w:val="auto"/>
          <w:highlight w:val="none"/>
        </w:rPr>
        <w:t>等</w:t>
      </w:r>
      <w:r>
        <w:rPr>
          <w:rFonts w:hint="eastAsia"/>
          <w:color w:val="auto"/>
          <w:highlight w:val="none"/>
        </w:rPr>
        <w:t>野生动物，以及鳙鱼、大银鱼、乌鳢、黄颡鱼、芦苇、菖蒲等淡水水产种质资源</w:t>
      </w:r>
      <w:r>
        <w:rPr>
          <w:color w:val="auto"/>
          <w:highlight w:val="none"/>
        </w:rPr>
        <w:t>。</w:t>
      </w:r>
    </w:p>
    <w:p>
      <w:pPr>
        <w:pStyle w:val="6"/>
        <w:ind w:firstLine="632"/>
        <w:rPr>
          <w:rFonts w:ascii="楷体_GB2312" w:hAnsi="楷体_GB2312" w:eastAsia="楷体_GB2312" w:cs="楷体_GB2312"/>
          <w:b w:val="0"/>
          <w:bCs w:val="0"/>
          <w:color w:val="auto"/>
          <w:highlight w:val="none"/>
        </w:rPr>
      </w:pPr>
      <w:bookmarkStart w:id="96" w:name="_Toc531604401"/>
      <w:r>
        <w:rPr>
          <w:rFonts w:hint="eastAsia" w:ascii="楷体_GB2312" w:hAnsi="楷体_GB2312" w:eastAsia="楷体_GB2312" w:cs="楷体_GB2312"/>
          <w:b w:val="0"/>
          <w:bCs w:val="0"/>
          <w:color w:val="auto"/>
          <w:highlight w:val="none"/>
        </w:rPr>
        <w:t>4.青西岸丘陵区</w:t>
      </w:r>
      <w:bookmarkEnd w:id="96"/>
    </w:p>
    <w:p>
      <w:pPr>
        <w:pStyle w:val="7"/>
        <w:ind w:firstLine="632"/>
        <w:rPr>
          <w:color w:val="auto"/>
          <w:highlight w:val="none"/>
        </w:rPr>
      </w:pPr>
      <w:r>
        <w:rPr>
          <w:color w:val="auto"/>
          <w:highlight w:val="none"/>
        </w:rPr>
        <w:t>4.1小珠山-陡楼山生物多样性保护优先区域</w:t>
      </w:r>
    </w:p>
    <w:p>
      <w:pPr>
        <w:ind w:firstLine="632"/>
        <w:rPr>
          <w:color w:val="auto"/>
          <w:highlight w:val="none"/>
        </w:rPr>
      </w:pPr>
      <w:r>
        <w:rPr>
          <w:color w:val="auto"/>
          <w:highlight w:val="none"/>
        </w:rPr>
        <w:t>本区包括小珠山</w:t>
      </w:r>
      <w:r>
        <w:rPr>
          <w:rFonts w:hint="eastAsia"/>
          <w:color w:val="auto"/>
          <w:highlight w:val="none"/>
        </w:rPr>
        <w:t>及</w:t>
      </w:r>
      <w:r>
        <w:rPr>
          <w:color w:val="auto"/>
          <w:highlight w:val="none"/>
        </w:rPr>
        <w:t>周围支系山脉、青岛森林野生动物世界及陡楼山，</w:t>
      </w:r>
      <w:r>
        <w:rPr>
          <w:rFonts w:hint="eastAsia"/>
          <w:color w:val="auto"/>
          <w:highlight w:val="none"/>
        </w:rPr>
        <w:t>面积为</w:t>
      </w:r>
      <w:r>
        <w:rPr>
          <w:color w:val="auto"/>
          <w:highlight w:val="none"/>
        </w:rPr>
        <w:t>66.82 km</w:t>
      </w:r>
      <w:r>
        <w:rPr>
          <w:color w:val="auto"/>
          <w:highlight w:val="none"/>
          <w:vertAlign w:val="superscript"/>
        </w:rPr>
        <w:t>2</w:t>
      </w:r>
      <w:r>
        <w:rPr>
          <w:rFonts w:hint="eastAsia"/>
          <w:color w:val="auto"/>
          <w:highlight w:val="none"/>
        </w:rPr>
        <w:t>。</w:t>
      </w:r>
      <w:r>
        <w:rPr>
          <w:color w:val="auto"/>
          <w:highlight w:val="none"/>
        </w:rPr>
        <w:t>小珠山系崂山余脉跨越胶州湾向西南延伸的支脉，为花岗岩山地，海拔100 m以上的山峰有40余座，主峰大顶海拔725 m，为青岛西南最高峰。</w:t>
      </w:r>
      <w:r>
        <w:rPr>
          <w:rFonts w:hint="eastAsia"/>
          <w:color w:val="auto"/>
          <w:highlight w:val="none"/>
        </w:rPr>
        <w:t>小珠山是国家级森林公园</w:t>
      </w:r>
      <w:r>
        <w:rPr>
          <w:color w:val="auto"/>
          <w:highlight w:val="none"/>
        </w:rPr>
        <w:t>，森林覆盖率达到92%。陡楼山位于小珠山西，</w:t>
      </w:r>
      <w:r>
        <w:rPr>
          <w:rFonts w:hint="eastAsia"/>
          <w:color w:val="auto"/>
          <w:highlight w:val="none"/>
        </w:rPr>
        <w:t>最高</w:t>
      </w:r>
      <w:r>
        <w:rPr>
          <w:color w:val="auto"/>
          <w:highlight w:val="none"/>
        </w:rPr>
        <w:t>海拔</w:t>
      </w:r>
      <w:r>
        <w:rPr>
          <w:rFonts w:hint="eastAsia"/>
          <w:color w:val="auto"/>
          <w:highlight w:val="none"/>
        </w:rPr>
        <w:t>约</w:t>
      </w:r>
      <w:r>
        <w:rPr>
          <w:color w:val="auto"/>
          <w:highlight w:val="none"/>
        </w:rPr>
        <w:t>300 m，植被覆盖度较高。本区</w:t>
      </w:r>
      <w:r>
        <w:rPr>
          <w:rFonts w:hint="eastAsia"/>
          <w:color w:val="auto"/>
          <w:highlight w:val="none"/>
        </w:rPr>
        <w:t>以</w:t>
      </w:r>
      <w:r>
        <w:rPr>
          <w:color w:val="auto"/>
          <w:highlight w:val="none"/>
        </w:rPr>
        <w:t>天然次生林为主，植物区系分区上属泛北极植物区的中国</w:t>
      </w:r>
      <w:r>
        <w:rPr>
          <w:rFonts w:hint="eastAsia"/>
          <w:color w:val="auto"/>
          <w:highlight w:val="none"/>
        </w:rPr>
        <w:t>—</w:t>
      </w:r>
      <w:r>
        <w:rPr>
          <w:color w:val="auto"/>
          <w:highlight w:val="none"/>
        </w:rPr>
        <w:t>日本森林植物亚区</w:t>
      </w:r>
      <w:r>
        <w:rPr>
          <w:rFonts w:hint="eastAsia"/>
          <w:color w:val="auto"/>
          <w:highlight w:val="none"/>
        </w:rPr>
        <w:t>—</w:t>
      </w:r>
      <w:r>
        <w:rPr>
          <w:color w:val="auto"/>
          <w:highlight w:val="none"/>
        </w:rPr>
        <w:t>华北地区中的辽东、山东半岛亚地区。</w:t>
      </w:r>
      <w:r>
        <w:rPr>
          <w:rFonts w:hint="eastAsia"/>
          <w:color w:val="auto"/>
          <w:highlight w:val="none"/>
        </w:rPr>
        <w:t>本区未进行系统全面的生物多样性本底资源调查</w:t>
      </w:r>
      <w:r>
        <w:rPr>
          <w:color w:val="auto"/>
          <w:highlight w:val="none"/>
        </w:rPr>
        <w:t>。</w:t>
      </w:r>
      <w:r>
        <w:rPr>
          <w:rFonts w:hint="eastAsia"/>
          <w:color w:val="auto"/>
          <w:highlight w:val="none"/>
        </w:rPr>
        <w:t>据初步数据资料，</w:t>
      </w:r>
      <w:r>
        <w:rPr>
          <w:color w:val="auto"/>
          <w:highlight w:val="none"/>
        </w:rPr>
        <w:t>有维管束植物107种，隶属于30目、51科、94属</w:t>
      </w:r>
      <w:r>
        <w:rPr>
          <w:rFonts w:hint="eastAsia"/>
          <w:color w:val="auto"/>
          <w:highlight w:val="none"/>
        </w:rPr>
        <w:t>。</w:t>
      </w:r>
      <w:r>
        <w:rPr>
          <w:color w:val="auto"/>
          <w:highlight w:val="none"/>
        </w:rPr>
        <w:t>其中</w:t>
      </w:r>
      <w:r>
        <w:rPr>
          <w:rFonts w:hint="eastAsia"/>
          <w:color w:val="auto"/>
          <w:highlight w:val="none"/>
        </w:rPr>
        <w:t>，</w:t>
      </w:r>
      <w:r>
        <w:rPr>
          <w:color w:val="auto"/>
          <w:highlight w:val="none"/>
        </w:rPr>
        <w:t>蕨类植物4种、裸子植物2种、被子植物101种；野生动物50余种，其中兽类10余种、鸟类近30种、爬行类10余种、淡水鱼类近10种。</w:t>
      </w:r>
    </w:p>
    <w:p>
      <w:pPr>
        <w:ind w:firstLine="632"/>
        <w:rPr>
          <w:color w:val="auto"/>
          <w:highlight w:val="none"/>
        </w:rPr>
      </w:pPr>
      <w:r>
        <w:rPr>
          <w:color w:val="auto"/>
          <w:highlight w:val="none"/>
        </w:rPr>
        <w:t>本区属暖温带半湿润季风气候区，空气湿润、雨量充沛、温度适中、四季分明，带来了丰富的物种多样性。主要保护对象为森林生态系统</w:t>
      </w:r>
      <w:r>
        <w:rPr>
          <w:rFonts w:hint="eastAsia"/>
          <w:color w:val="auto"/>
          <w:highlight w:val="none"/>
        </w:rPr>
        <w:t>，重点保护、珍稀濒危及特有</w:t>
      </w:r>
      <w:r>
        <w:rPr>
          <w:color w:val="auto"/>
          <w:highlight w:val="none"/>
        </w:rPr>
        <w:t>野生植物</w:t>
      </w:r>
      <w:r>
        <w:rPr>
          <w:rFonts w:hint="eastAsia"/>
          <w:color w:val="auto"/>
          <w:highlight w:val="none"/>
        </w:rPr>
        <w:t>和大型真菌，重点保护、珍稀濒危野生动物资源等</w:t>
      </w:r>
      <w:r>
        <w:rPr>
          <w:color w:val="auto"/>
          <w:highlight w:val="none"/>
        </w:rPr>
        <w:t>，</w:t>
      </w:r>
      <w:r>
        <w:rPr>
          <w:rFonts w:hint="eastAsia"/>
          <w:color w:val="auto"/>
          <w:highlight w:val="none"/>
        </w:rPr>
        <w:t>如</w:t>
      </w:r>
      <w:r>
        <w:rPr>
          <w:color w:val="auto"/>
          <w:highlight w:val="none"/>
        </w:rPr>
        <w:t>：</w:t>
      </w:r>
      <w:r>
        <w:rPr>
          <w:rFonts w:hint="eastAsia"/>
          <w:color w:val="auto"/>
          <w:highlight w:val="none"/>
        </w:rPr>
        <w:t>水杉、紫椴、</w:t>
      </w:r>
      <w:r>
        <w:rPr>
          <w:color w:val="auto"/>
          <w:highlight w:val="none"/>
        </w:rPr>
        <w:t>皂荚、枫杨、山桃、北柴胡</w:t>
      </w:r>
      <w:r>
        <w:rPr>
          <w:rFonts w:hint="eastAsia"/>
          <w:color w:val="auto"/>
          <w:highlight w:val="none"/>
        </w:rPr>
        <w:t>等植物资源，以及游隼、红隼、黑翅鸢、</w:t>
      </w:r>
      <w:r>
        <w:rPr>
          <w:color w:val="auto"/>
          <w:highlight w:val="none"/>
        </w:rPr>
        <w:t>三宝鸟</w:t>
      </w:r>
      <w:r>
        <w:rPr>
          <w:rFonts w:hint="eastAsia"/>
          <w:color w:val="auto"/>
          <w:highlight w:val="none"/>
        </w:rPr>
        <w:t>、寿带、北短翅莺、绿鹭</w:t>
      </w:r>
      <w:r>
        <w:rPr>
          <w:color w:val="auto"/>
          <w:highlight w:val="none"/>
        </w:rPr>
        <w:t>等</w:t>
      </w:r>
      <w:r>
        <w:rPr>
          <w:rFonts w:hint="eastAsia"/>
          <w:color w:val="auto"/>
          <w:highlight w:val="none"/>
        </w:rPr>
        <w:t>重点保护或</w:t>
      </w:r>
      <w:r>
        <w:rPr>
          <w:color w:val="auto"/>
          <w:highlight w:val="none"/>
        </w:rPr>
        <w:t>有重要生态、科学、社会价值物种</w:t>
      </w:r>
      <w:r>
        <w:rPr>
          <w:rFonts w:hint="eastAsia"/>
          <w:color w:val="auto"/>
          <w:highlight w:val="none"/>
        </w:rPr>
        <w:t>等</w:t>
      </w:r>
      <w:r>
        <w:rPr>
          <w:color w:val="auto"/>
          <w:highlight w:val="none"/>
        </w:rPr>
        <w:t>。</w:t>
      </w:r>
    </w:p>
    <w:p>
      <w:pPr>
        <w:pStyle w:val="7"/>
        <w:ind w:firstLine="632"/>
        <w:rPr>
          <w:color w:val="auto"/>
          <w:highlight w:val="none"/>
        </w:rPr>
      </w:pPr>
      <w:r>
        <w:rPr>
          <w:color w:val="auto"/>
          <w:highlight w:val="none"/>
        </w:rPr>
        <w:t>4.2大珠山-寨子山生物多样性保护优先区域</w:t>
      </w:r>
    </w:p>
    <w:p>
      <w:pPr>
        <w:ind w:firstLine="632"/>
        <w:rPr>
          <w:color w:val="auto"/>
          <w:highlight w:val="none"/>
        </w:rPr>
      </w:pPr>
      <w:r>
        <w:rPr>
          <w:color w:val="auto"/>
          <w:highlight w:val="none"/>
        </w:rPr>
        <w:t>本区包括大珠山、周围支系山脉及寨子山，</w:t>
      </w:r>
      <w:r>
        <w:rPr>
          <w:rFonts w:hint="eastAsia"/>
          <w:color w:val="auto"/>
          <w:highlight w:val="none"/>
        </w:rPr>
        <w:t>面积为</w:t>
      </w:r>
      <w:r>
        <w:rPr>
          <w:color w:val="auto"/>
          <w:highlight w:val="none"/>
        </w:rPr>
        <w:t>36.53 km</w:t>
      </w:r>
      <w:r>
        <w:rPr>
          <w:color w:val="auto"/>
          <w:highlight w:val="none"/>
          <w:vertAlign w:val="superscript"/>
        </w:rPr>
        <w:t>2</w:t>
      </w:r>
      <w:r>
        <w:rPr>
          <w:rFonts w:hint="eastAsia"/>
          <w:color w:val="auto"/>
          <w:highlight w:val="none"/>
        </w:rPr>
        <w:t>。</w:t>
      </w:r>
      <w:r>
        <w:rPr>
          <w:color w:val="auto"/>
          <w:highlight w:val="none"/>
        </w:rPr>
        <w:t>大珠山主峰大砦顶海拔486 m，寨子山海拔100余m。本区的植被类型为暖温带人工次生落叶阔叶林和针阔混交林，大珠山划分为 7 个群丛组，无刺刺槐赤松群丛、刺槐黑松赤松群丛、赤松紫椴刺槐群丛、刺槐黑松盐肤木群丛、黑松黄连木群丛、黑松刺槐杜梨群丛和刺槐板栗黑松群丛。</w:t>
      </w:r>
      <w:r>
        <w:rPr>
          <w:rFonts w:hint="eastAsia"/>
          <w:color w:val="auto"/>
          <w:highlight w:val="none"/>
        </w:rPr>
        <w:t>本区未进行系统全面的生物多样性本地资源调查</w:t>
      </w:r>
      <w:r>
        <w:rPr>
          <w:color w:val="auto"/>
          <w:highlight w:val="none"/>
        </w:rPr>
        <w:t>。</w:t>
      </w:r>
      <w:r>
        <w:rPr>
          <w:rFonts w:hint="eastAsia"/>
          <w:color w:val="auto"/>
          <w:highlight w:val="none"/>
        </w:rPr>
        <w:t>据初步数据资料，</w:t>
      </w:r>
      <w:r>
        <w:rPr>
          <w:color w:val="auto"/>
          <w:highlight w:val="none"/>
        </w:rPr>
        <w:t>有维管束植物152种，隶属于27目、53科、102属</w:t>
      </w:r>
      <w:r>
        <w:rPr>
          <w:rFonts w:hint="eastAsia"/>
          <w:color w:val="auto"/>
          <w:highlight w:val="none"/>
        </w:rPr>
        <w:t>。</w:t>
      </w:r>
      <w:r>
        <w:rPr>
          <w:color w:val="auto"/>
          <w:highlight w:val="none"/>
        </w:rPr>
        <w:t>其中</w:t>
      </w:r>
      <w:r>
        <w:rPr>
          <w:rFonts w:hint="eastAsia"/>
          <w:color w:val="auto"/>
          <w:highlight w:val="none"/>
        </w:rPr>
        <w:t>，</w:t>
      </w:r>
      <w:r>
        <w:rPr>
          <w:color w:val="auto"/>
          <w:highlight w:val="none"/>
        </w:rPr>
        <w:t>蕨类植物2种、裸子植物3种、被子植物147种。</w:t>
      </w:r>
    </w:p>
    <w:p>
      <w:pPr>
        <w:ind w:firstLine="632"/>
        <w:rPr>
          <w:color w:val="auto"/>
          <w:highlight w:val="none"/>
        </w:rPr>
      </w:pPr>
      <w:r>
        <w:rPr>
          <w:color w:val="auto"/>
          <w:highlight w:val="none"/>
        </w:rPr>
        <w:t>本区属于暖温带季风气候区，具有湿润温凉、四季分明的海洋性气候特征，具有丰富的生物多样性。主要保护对象为森林生态系统</w:t>
      </w:r>
      <w:r>
        <w:rPr>
          <w:rFonts w:hint="eastAsia"/>
          <w:color w:val="auto"/>
          <w:highlight w:val="none"/>
        </w:rPr>
        <w:t>，</w:t>
      </w:r>
      <w:r>
        <w:rPr>
          <w:color w:val="auto"/>
          <w:highlight w:val="none"/>
        </w:rPr>
        <w:t>野生植物及</w:t>
      </w:r>
      <w:r>
        <w:rPr>
          <w:rFonts w:hint="eastAsia"/>
          <w:color w:val="auto"/>
          <w:highlight w:val="none"/>
        </w:rPr>
        <w:t>遗传</w:t>
      </w:r>
      <w:r>
        <w:rPr>
          <w:color w:val="auto"/>
          <w:highlight w:val="none"/>
        </w:rPr>
        <w:t>资源</w:t>
      </w:r>
      <w:r>
        <w:rPr>
          <w:rFonts w:hint="eastAsia"/>
          <w:color w:val="auto"/>
          <w:highlight w:val="none"/>
        </w:rPr>
        <w:t>，栖息或迁徙过境、停歇的重点保护及珍稀濒危野生动物等</w:t>
      </w:r>
      <w:r>
        <w:rPr>
          <w:color w:val="auto"/>
          <w:highlight w:val="none"/>
        </w:rPr>
        <w:t>，</w:t>
      </w:r>
      <w:r>
        <w:rPr>
          <w:rFonts w:hint="eastAsia"/>
          <w:color w:val="auto"/>
          <w:highlight w:val="none"/>
        </w:rPr>
        <w:t>如</w:t>
      </w:r>
      <w:r>
        <w:rPr>
          <w:color w:val="auto"/>
          <w:highlight w:val="none"/>
        </w:rPr>
        <w:t>：水杉、</w:t>
      </w:r>
      <w:r>
        <w:rPr>
          <w:rFonts w:hint="eastAsia"/>
          <w:color w:val="auto"/>
          <w:highlight w:val="none"/>
        </w:rPr>
        <w:t>迎红杜鹃、</w:t>
      </w:r>
      <w:r>
        <w:rPr>
          <w:color w:val="auto"/>
          <w:highlight w:val="none"/>
        </w:rPr>
        <w:t>垫状卷柏、野杏、紫椴</w:t>
      </w:r>
      <w:r>
        <w:rPr>
          <w:rFonts w:hint="eastAsia"/>
          <w:color w:val="auto"/>
          <w:highlight w:val="none"/>
        </w:rPr>
        <w:t>等植物资源，以及红隼、红角鸮、灰背鸫、四声杜鹃、雉鸡</w:t>
      </w:r>
      <w:r>
        <w:rPr>
          <w:color w:val="auto"/>
          <w:highlight w:val="none"/>
        </w:rPr>
        <w:t>等</w:t>
      </w:r>
      <w:r>
        <w:rPr>
          <w:rFonts w:hint="eastAsia"/>
          <w:color w:val="auto"/>
          <w:highlight w:val="none"/>
        </w:rPr>
        <w:t>重点保护或</w:t>
      </w:r>
      <w:r>
        <w:rPr>
          <w:color w:val="auto"/>
          <w:highlight w:val="none"/>
        </w:rPr>
        <w:t>有重要生态、科学、社会价值物种。</w:t>
      </w:r>
    </w:p>
    <w:p>
      <w:pPr>
        <w:pStyle w:val="7"/>
        <w:ind w:firstLine="632"/>
        <w:rPr>
          <w:color w:val="auto"/>
          <w:highlight w:val="none"/>
        </w:rPr>
      </w:pPr>
      <w:r>
        <w:rPr>
          <w:color w:val="auto"/>
          <w:highlight w:val="none"/>
        </w:rPr>
        <w:t>4.3铁橛山-尹家大山生物多样性保护优先区域</w:t>
      </w:r>
    </w:p>
    <w:p>
      <w:pPr>
        <w:ind w:firstLine="632"/>
        <w:rPr>
          <w:color w:val="auto"/>
          <w:highlight w:val="none"/>
        </w:rPr>
      </w:pPr>
      <w:r>
        <w:rPr>
          <w:color w:val="auto"/>
          <w:highlight w:val="none"/>
        </w:rPr>
        <w:t>本区包括铁橛山、尹家大山、窝驼山、周围支系山脉及铁山水库，</w:t>
      </w:r>
      <w:r>
        <w:rPr>
          <w:rFonts w:hint="eastAsia"/>
          <w:color w:val="auto"/>
          <w:highlight w:val="none"/>
        </w:rPr>
        <w:t>面积为</w:t>
      </w:r>
      <w:r>
        <w:rPr>
          <w:color w:val="auto"/>
          <w:highlight w:val="none"/>
        </w:rPr>
        <w:t>81.37km</w:t>
      </w:r>
      <w:r>
        <w:rPr>
          <w:color w:val="auto"/>
          <w:highlight w:val="none"/>
          <w:vertAlign w:val="superscript"/>
        </w:rPr>
        <w:t>2</w:t>
      </w:r>
      <w:r>
        <w:rPr>
          <w:rFonts w:hint="eastAsia"/>
          <w:color w:val="auto"/>
          <w:highlight w:val="none"/>
        </w:rPr>
        <w:t>。</w:t>
      </w:r>
      <w:r>
        <w:rPr>
          <w:color w:val="auto"/>
          <w:highlight w:val="none"/>
        </w:rPr>
        <w:t>其中</w:t>
      </w:r>
      <w:r>
        <w:rPr>
          <w:rFonts w:hint="eastAsia"/>
          <w:color w:val="auto"/>
          <w:highlight w:val="none"/>
        </w:rPr>
        <w:t>，</w:t>
      </w:r>
      <w:r>
        <w:rPr>
          <w:color w:val="auto"/>
          <w:highlight w:val="none"/>
        </w:rPr>
        <w:t>铁橛山海拔595 m，是青岛西南第二高山，森林覆盖率达95%。本区为暖温带人工次生落叶阔叶林和针阔混交林，</w:t>
      </w:r>
      <w:r>
        <w:rPr>
          <w:rFonts w:hint="eastAsia"/>
          <w:color w:val="auto"/>
          <w:highlight w:val="none"/>
        </w:rPr>
        <w:t>未进行系统全面的生物多样性本地资源调查</w:t>
      </w:r>
      <w:r>
        <w:rPr>
          <w:color w:val="auto"/>
          <w:highlight w:val="none"/>
        </w:rPr>
        <w:t>。</w:t>
      </w:r>
      <w:r>
        <w:rPr>
          <w:rFonts w:hint="eastAsia"/>
          <w:color w:val="auto"/>
          <w:highlight w:val="none"/>
        </w:rPr>
        <w:t>据初步数据资料，</w:t>
      </w:r>
      <w:r>
        <w:rPr>
          <w:color w:val="auto"/>
          <w:highlight w:val="none"/>
        </w:rPr>
        <w:t>有维管束植物152种，隶属于34目、53科、105属</w:t>
      </w:r>
      <w:r>
        <w:rPr>
          <w:rFonts w:hint="eastAsia"/>
          <w:color w:val="auto"/>
          <w:highlight w:val="none"/>
        </w:rPr>
        <w:t>。</w:t>
      </w:r>
      <w:r>
        <w:rPr>
          <w:color w:val="auto"/>
          <w:highlight w:val="none"/>
        </w:rPr>
        <w:t>其中</w:t>
      </w:r>
      <w:r>
        <w:rPr>
          <w:rFonts w:hint="eastAsia"/>
          <w:color w:val="auto"/>
          <w:highlight w:val="none"/>
        </w:rPr>
        <w:t>，</w:t>
      </w:r>
      <w:r>
        <w:rPr>
          <w:color w:val="auto"/>
          <w:highlight w:val="none"/>
        </w:rPr>
        <w:t>蕨类植物1种、裸子植物5种、被子植物99种，以被子植物为主。</w:t>
      </w:r>
    </w:p>
    <w:p>
      <w:pPr>
        <w:ind w:firstLine="632"/>
        <w:rPr>
          <w:color w:val="auto"/>
          <w:highlight w:val="none"/>
        </w:rPr>
      </w:pPr>
      <w:r>
        <w:rPr>
          <w:color w:val="auto"/>
          <w:highlight w:val="none"/>
        </w:rPr>
        <w:t>本区属于北温带季风气候区，地理位置独特，冬无严寒，夏无酷暑，孕育了丰富的物种多样性。主要保护对象为森林</w:t>
      </w:r>
      <w:r>
        <w:rPr>
          <w:rFonts w:hint="eastAsia"/>
          <w:color w:val="auto"/>
          <w:highlight w:val="none"/>
        </w:rPr>
        <w:t>和</w:t>
      </w:r>
      <w:r>
        <w:rPr>
          <w:color w:val="auto"/>
          <w:highlight w:val="none"/>
        </w:rPr>
        <w:t>湿地生态系统</w:t>
      </w:r>
      <w:r>
        <w:rPr>
          <w:rFonts w:hint="eastAsia"/>
          <w:color w:val="auto"/>
          <w:highlight w:val="none"/>
        </w:rPr>
        <w:t>，重点保护、珍稀濒危和特有</w:t>
      </w:r>
      <w:r>
        <w:rPr>
          <w:color w:val="auto"/>
          <w:highlight w:val="none"/>
        </w:rPr>
        <w:t>野生植物</w:t>
      </w:r>
      <w:r>
        <w:rPr>
          <w:rFonts w:hint="eastAsia"/>
          <w:color w:val="auto"/>
          <w:highlight w:val="none"/>
        </w:rPr>
        <w:t>、大型真菌，重点保护、珍稀濒危及</w:t>
      </w:r>
      <w:r>
        <w:rPr>
          <w:color w:val="auto"/>
          <w:highlight w:val="none"/>
        </w:rPr>
        <w:t>有重要生态、科学、社会价值</w:t>
      </w:r>
      <w:r>
        <w:rPr>
          <w:rFonts w:hint="eastAsia"/>
          <w:color w:val="auto"/>
          <w:highlight w:val="none"/>
        </w:rPr>
        <w:t>的野生动物等</w:t>
      </w:r>
      <w:r>
        <w:rPr>
          <w:color w:val="auto"/>
          <w:highlight w:val="none"/>
        </w:rPr>
        <w:t>，</w:t>
      </w:r>
      <w:r>
        <w:rPr>
          <w:rFonts w:hint="eastAsia"/>
          <w:color w:val="auto"/>
          <w:highlight w:val="none"/>
        </w:rPr>
        <w:t>如</w:t>
      </w:r>
      <w:r>
        <w:rPr>
          <w:color w:val="auto"/>
          <w:highlight w:val="none"/>
        </w:rPr>
        <w:t>：银杏、木犀、大白鹭、雀鹰、黑翅鸢</w:t>
      </w:r>
      <w:r>
        <w:rPr>
          <w:rFonts w:hint="eastAsia"/>
          <w:color w:val="auto"/>
          <w:highlight w:val="none"/>
        </w:rPr>
        <w:t>、红隼、鸳鸯、花脸鸭</w:t>
      </w:r>
      <w:r>
        <w:rPr>
          <w:color w:val="auto"/>
          <w:highlight w:val="none"/>
        </w:rPr>
        <w:t>等。</w:t>
      </w:r>
    </w:p>
    <w:p>
      <w:pPr>
        <w:pStyle w:val="7"/>
        <w:ind w:firstLine="632"/>
        <w:rPr>
          <w:color w:val="auto"/>
          <w:highlight w:val="none"/>
        </w:rPr>
      </w:pPr>
      <w:r>
        <w:rPr>
          <w:color w:val="auto"/>
          <w:highlight w:val="none"/>
        </w:rPr>
        <w:t>4.4</w:t>
      </w:r>
      <w:r>
        <w:rPr>
          <w:rFonts w:hint="eastAsia"/>
          <w:color w:val="auto"/>
          <w:highlight w:val="none"/>
        </w:rPr>
        <w:t>陡崖子水库湿地</w:t>
      </w:r>
      <w:r>
        <w:rPr>
          <w:color w:val="auto"/>
          <w:highlight w:val="none"/>
        </w:rPr>
        <w:t>生物多样性保护优先区域</w:t>
      </w:r>
    </w:p>
    <w:p>
      <w:pPr>
        <w:ind w:firstLine="632"/>
        <w:rPr>
          <w:color w:val="auto"/>
          <w:highlight w:val="none"/>
        </w:rPr>
      </w:pPr>
      <w:r>
        <w:rPr>
          <w:rFonts w:hint="eastAsia"/>
          <w:color w:val="auto"/>
          <w:highlight w:val="none"/>
        </w:rPr>
        <w:t>本区位于位于黄岛区藏马镇北横河上游，是大量雁鸭和其他水鸟的重要越冬地</w:t>
      </w:r>
      <w:r>
        <w:rPr>
          <w:color w:val="auto"/>
          <w:highlight w:val="none"/>
        </w:rPr>
        <w:t>，</w:t>
      </w:r>
      <w:r>
        <w:rPr>
          <w:rFonts w:hint="eastAsia"/>
          <w:color w:val="auto"/>
          <w:highlight w:val="none"/>
        </w:rPr>
        <w:t>具有重要的水源涵养、净化水质、调节气候和生物多样性维持等多种生态系统服务功能，被列入《青岛市重要湿地名录》（第一批）（青林字〔2020〕105号）。本区边界范围与《青岛市重要湿地名录》中陡崖子水库湿地区域范围基本一致，面积为</w:t>
      </w:r>
      <w:r>
        <w:rPr>
          <w:color w:val="auto"/>
          <w:highlight w:val="none"/>
        </w:rPr>
        <w:t>9.6 km</w:t>
      </w:r>
      <w:r>
        <w:rPr>
          <w:color w:val="auto"/>
          <w:highlight w:val="none"/>
          <w:vertAlign w:val="superscript"/>
        </w:rPr>
        <w:t>2</w:t>
      </w:r>
      <w:r>
        <w:rPr>
          <w:color w:val="auto"/>
          <w:highlight w:val="none"/>
        </w:rPr>
        <w:t>。</w:t>
      </w:r>
      <w:r>
        <w:rPr>
          <w:rFonts w:hint="eastAsia"/>
          <w:color w:val="auto"/>
          <w:highlight w:val="none"/>
        </w:rPr>
        <w:t>该区未进行系统全面的生物多样性本底资源调查。</w:t>
      </w:r>
    </w:p>
    <w:p>
      <w:pPr>
        <w:ind w:firstLine="632"/>
        <w:rPr>
          <w:color w:val="auto"/>
          <w:highlight w:val="none"/>
        </w:rPr>
      </w:pPr>
      <w:r>
        <w:rPr>
          <w:color w:val="auto"/>
          <w:highlight w:val="none"/>
        </w:rPr>
        <w:t>本区主要保护对象为湿地生态系统</w:t>
      </w:r>
      <w:r>
        <w:rPr>
          <w:rFonts w:hint="eastAsia"/>
          <w:color w:val="auto"/>
          <w:highlight w:val="none"/>
        </w:rPr>
        <w:t>，栖息、越冬或迁徙过境、停歇的珍稀濒危和国家重点保护野生动物，以及其他有</w:t>
      </w:r>
      <w:r>
        <w:rPr>
          <w:color w:val="auto"/>
          <w:highlight w:val="none"/>
        </w:rPr>
        <w:t>重要生态、科学、社会价值</w:t>
      </w:r>
      <w:r>
        <w:rPr>
          <w:rFonts w:hint="eastAsia"/>
          <w:color w:val="auto"/>
          <w:highlight w:val="none"/>
        </w:rPr>
        <w:t>的生物</w:t>
      </w:r>
      <w:r>
        <w:rPr>
          <w:color w:val="auto"/>
          <w:highlight w:val="none"/>
        </w:rPr>
        <w:t>物种</w:t>
      </w:r>
      <w:r>
        <w:rPr>
          <w:rFonts w:hint="eastAsia"/>
          <w:color w:val="auto"/>
          <w:highlight w:val="none"/>
        </w:rPr>
        <w:t>及淡水水产种质资源等</w:t>
      </w:r>
      <w:r>
        <w:rPr>
          <w:color w:val="auto"/>
          <w:highlight w:val="none"/>
        </w:rPr>
        <w:t>，</w:t>
      </w:r>
      <w:r>
        <w:rPr>
          <w:rFonts w:hint="eastAsia"/>
          <w:color w:val="auto"/>
          <w:highlight w:val="none"/>
        </w:rPr>
        <w:t>如</w:t>
      </w:r>
      <w:r>
        <w:rPr>
          <w:color w:val="auto"/>
          <w:highlight w:val="none"/>
        </w:rPr>
        <w:t>：</w:t>
      </w:r>
      <w:r>
        <w:rPr>
          <w:rFonts w:hint="eastAsia"/>
          <w:color w:val="auto"/>
          <w:highlight w:val="none"/>
        </w:rPr>
        <w:t>豆雁、绿头鸭、绿翅鸭、田鹀、黄喉鹀、金翅雀、红隼、小白鹭、雉鸡</w:t>
      </w:r>
      <w:r>
        <w:rPr>
          <w:color w:val="auto"/>
          <w:highlight w:val="none"/>
        </w:rPr>
        <w:t>等</w:t>
      </w:r>
      <w:r>
        <w:rPr>
          <w:rFonts w:hint="eastAsia"/>
          <w:color w:val="auto"/>
          <w:highlight w:val="none"/>
        </w:rPr>
        <w:t>野生脊椎动物，以及青</w:t>
      </w:r>
      <w:r>
        <w:rPr>
          <w:rFonts w:hint="eastAsia" w:ascii="微软雅黑" w:hAnsi="微软雅黑" w:eastAsia="微软雅黑" w:cs="微软雅黑"/>
          <w:color w:val="auto"/>
          <w:highlight w:val="none"/>
        </w:rPr>
        <w:t>鳉</w:t>
      </w:r>
      <w:r>
        <w:rPr>
          <w:rFonts w:hint="eastAsia" w:ascii="仿宋_GB2312" w:hAnsi="仿宋_GB2312" w:cs="仿宋_GB2312"/>
          <w:color w:val="auto"/>
          <w:highlight w:val="none"/>
        </w:rPr>
        <w:t>、鲢、鳙</w:t>
      </w:r>
      <w:r>
        <w:rPr>
          <w:rFonts w:hint="eastAsia"/>
          <w:color w:val="auto"/>
          <w:highlight w:val="none"/>
        </w:rPr>
        <w:t>、子陵吻</w:t>
      </w:r>
      <w:r>
        <w:rPr>
          <w:rFonts w:hint="eastAsia" w:ascii="微软雅黑" w:hAnsi="微软雅黑" w:eastAsia="微软雅黑" w:cs="微软雅黑"/>
          <w:color w:val="auto"/>
          <w:highlight w:val="none"/>
        </w:rPr>
        <w:t>鰕</w:t>
      </w:r>
      <w:r>
        <w:rPr>
          <w:rFonts w:hint="eastAsia" w:ascii="仿宋_GB2312" w:hAnsi="仿宋_GB2312" w:cs="仿宋_GB2312"/>
          <w:color w:val="auto"/>
          <w:highlight w:val="none"/>
        </w:rPr>
        <w:t>虎鱼等</w:t>
      </w:r>
      <w:r>
        <w:rPr>
          <w:rFonts w:hint="eastAsia"/>
          <w:color w:val="auto"/>
          <w:highlight w:val="none"/>
        </w:rPr>
        <w:t>淡水水产种质资源</w:t>
      </w:r>
      <w:r>
        <w:rPr>
          <w:color w:val="auto"/>
          <w:highlight w:val="none"/>
        </w:rPr>
        <w:t>。</w:t>
      </w:r>
    </w:p>
    <w:p>
      <w:pPr>
        <w:pStyle w:val="7"/>
        <w:ind w:firstLine="632"/>
        <w:rPr>
          <w:color w:val="auto"/>
          <w:highlight w:val="none"/>
        </w:rPr>
      </w:pPr>
      <w:r>
        <w:rPr>
          <w:color w:val="auto"/>
          <w:highlight w:val="none"/>
        </w:rPr>
        <w:t>4.5琅琊台-车轮山-黄道山生物多样性保护优先区域</w:t>
      </w:r>
    </w:p>
    <w:p>
      <w:pPr>
        <w:ind w:firstLine="632"/>
        <w:rPr>
          <w:color w:val="auto"/>
          <w:highlight w:val="none"/>
        </w:rPr>
      </w:pPr>
      <w:r>
        <w:rPr>
          <w:color w:val="auto"/>
          <w:highlight w:val="none"/>
        </w:rPr>
        <w:t>本区包括琅琊台风景区、车轮山、黄道山、牛蹄山，</w:t>
      </w:r>
      <w:r>
        <w:rPr>
          <w:rFonts w:hint="eastAsia"/>
          <w:color w:val="auto"/>
          <w:highlight w:val="none"/>
        </w:rPr>
        <w:t>面积为</w:t>
      </w:r>
      <w:r>
        <w:rPr>
          <w:color w:val="auto"/>
          <w:highlight w:val="none"/>
        </w:rPr>
        <w:t>21.17 km</w:t>
      </w:r>
      <w:r>
        <w:rPr>
          <w:color w:val="auto"/>
          <w:highlight w:val="none"/>
          <w:vertAlign w:val="superscript"/>
        </w:rPr>
        <w:t>2</w:t>
      </w:r>
      <w:r>
        <w:rPr>
          <w:rFonts w:hint="eastAsia"/>
          <w:color w:val="auto"/>
          <w:highlight w:val="none"/>
        </w:rPr>
        <w:t>。</w:t>
      </w:r>
      <w:r>
        <w:rPr>
          <w:color w:val="auto"/>
          <w:highlight w:val="none"/>
        </w:rPr>
        <w:t>琅琊台海拔高度 183.4 m，车轮山为大珠山余脉，海拔为近200 m，黄道山和牛蹄山海拔也近200 m。本区毗邻大海，气候适宜，4座山的森林覆盖率均达90%以上，植被类型为暖温带人工次生落叶阔叶林和针阔混交林。</w:t>
      </w:r>
      <w:r>
        <w:rPr>
          <w:rFonts w:hint="eastAsia"/>
          <w:color w:val="auto"/>
          <w:highlight w:val="none"/>
        </w:rPr>
        <w:t>未进行系统全面的生物多样性本底资源调查</w:t>
      </w:r>
      <w:r>
        <w:rPr>
          <w:color w:val="auto"/>
          <w:highlight w:val="none"/>
        </w:rPr>
        <w:t>。</w:t>
      </w:r>
      <w:r>
        <w:rPr>
          <w:rFonts w:hint="eastAsia"/>
          <w:color w:val="auto"/>
          <w:highlight w:val="none"/>
        </w:rPr>
        <w:t>据初步数据资料，</w:t>
      </w:r>
      <w:r>
        <w:rPr>
          <w:color w:val="auto"/>
          <w:highlight w:val="none"/>
        </w:rPr>
        <w:t>有维管束植物84种，隶属于22目、38科、76属</w:t>
      </w:r>
      <w:r>
        <w:rPr>
          <w:rFonts w:hint="eastAsia"/>
          <w:color w:val="auto"/>
          <w:highlight w:val="none"/>
        </w:rPr>
        <w:t>。</w:t>
      </w:r>
      <w:r>
        <w:rPr>
          <w:color w:val="auto"/>
          <w:highlight w:val="none"/>
        </w:rPr>
        <w:t>其中</w:t>
      </w:r>
      <w:r>
        <w:rPr>
          <w:rFonts w:hint="eastAsia"/>
          <w:color w:val="auto"/>
          <w:highlight w:val="none"/>
        </w:rPr>
        <w:t>，</w:t>
      </w:r>
      <w:r>
        <w:rPr>
          <w:color w:val="auto"/>
          <w:highlight w:val="none"/>
        </w:rPr>
        <w:t>裸子植物2种、被子植物82种，以被子植物为主。</w:t>
      </w:r>
    </w:p>
    <w:p>
      <w:pPr>
        <w:ind w:firstLine="632"/>
        <w:rPr>
          <w:color w:val="auto"/>
          <w:highlight w:val="none"/>
        </w:rPr>
      </w:pPr>
      <w:r>
        <w:rPr>
          <w:color w:val="auto"/>
          <w:highlight w:val="none"/>
        </w:rPr>
        <w:t>本区属于暖温带季风气候区，气候和地理位置独特，物种多样性较为丰富。主要保护对象为森林生态系统</w:t>
      </w:r>
      <w:r>
        <w:rPr>
          <w:rFonts w:hint="eastAsia"/>
          <w:color w:val="auto"/>
          <w:highlight w:val="none"/>
        </w:rPr>
        <w:t>，野生植物及种质资源，栖息或迁徙过境、停歇的重点保护、珍稀濒危野生</w:t>
      </w:r>
      <w:r>
        <w:rPr>
          <w:color w:val="auto"/>
          <w:highlight w:val="none"/>
        </w:rPr>
        <w:t>动物资源，</w:t>
      </w:r>
      <w:r>
        <w:rPr>
          <w:rFonts w:hint="eastAsia"/>
          <w:color w:val="auto"/>
          <w:highlight w:val="none"/>
        </w:rPr>
        <w:t>如</w:t>
      </w:r>
      <w:r>
        <w:rPr>
          <w:color w:val="auto"/>
          <w:highlight w:val="none"/>
        </w:rPr>
        <w:t>：</w:t>
      </w:r>
      <w:r>
        <w:rPr>
          <w:rFonts w:hint="eastAsia"/>
          <w:color w:val="auto"/>
          <w:highlight w:val="none"/>
        </w:rPr>
        <w:t>野大豆、桔梗、</w:t>
      </w:r>
      <w:r>
        <w:rPr>
          <w:color w:val="auto"/>
          <w:highlight w:val="none"/>
        </w:rPr>
        <w:t>香茶菜、白叶莓</w:t>
      </w:r>
      <w:r>
        <w:rPr>
          <w:rFonts w:hint="eastAsia"/>
          <w:color w:val="auto"/>
          <w:highlight w:val="none"/>
        </w:rPr>
        <w:t>等野生植物资源，以及红隼、凤头蜂鹰、雉鸡</w:t>
      </w:r>
      <w:r>
        <w:rPr>
          <w:color w:val="auto"/>
          <w:highlight w:val="none"/>
        </w:rPr>
        <w:t>等</w:t>
      </w:r>
      <w:r>
        <w:rPr>
          <w:rFonts w:hint="eastAsia"/>
          <w:color w:val="auto"/>
          <w:highlight w:val="none"/>
        </w:rPr>
        <w:t>重点保护或</w:t>
      </w:r>
      <w:r>
        <w:rPr>
          <w:color w:val="auto"/>
          <w:highlight w:val="none"/>
        </w:rPr>
        <w:t>有重要生态、科学、社会价值物种。</w:t>
      </w:r>
    </w:p>
    <w:p>
      <w:pPr>
        <w:pStyle w:val="5"/>
        <w:ind w:firstLine="632"/>
        <w:rPr>
          <w:rFonts w:ascii="楷体_GB2312" w:hAnsi="楷体_GB2312" w:eastAsia="楷体_GB2312" w:cs="楷体_GB2312"/>
          <w:b w:val="0"/>
          <w:bCs w:val="0"/>
          <w:color w:val="auto"/>
          <w:highlight w:val="none"/>
        </w:rPr>
      </w:pPr>
      <w:bookmarkStart w:id="97" w:name="_Toc163376230"/>
      <w:r>
        <w:rPr>
          <w:rFonts w:hint="eastAsia" w:ascii="楷体_GB2312" w:hAnsi="楷体_GB2312" w:eastAsia="楷体_GB2312" w:cs="楷体_GB2312"/>
          <w:b w:val="0"/>
          <w:bCs w:val="0"/>
          <w:color w:val="auto"/>
          <w:highlight w:val="none"/>
        </w:rPr>
        <w:t>（三）海洋与海岸带生物多样性保护优先区域调整方法</w:t>
      </w:r>
      <w:bookmarkEnd w:id="97"/>
    </w:p>
    <w:p>
      <w:pPr>
        <w:ind w:firstLine="632"/>
        <w:rPr>
          <w:rFonts w:eastAsia="黑体"/>
          <w:color w:val="auto"/>
          <w:highlight w:val="none"/>
        </w:rPr>
      </w:pPr>
      <w:r>
        <w:rPr>
          <w:rFonts w:hint="eastAsia"/>
          <w:color w:val="auto"/>
          <w:highlight w:val="none"/>
        </w:rPr>
        <w:t>根据青岛市最新生物多样性本底资源调查情况及生态环境现状，结合《山东省生物多样性保护战略与行动计划（2</w:t>
      </w:r>
      <w:r>
        <w:rPr>
          <w:color w:val="auto"/>
          <w:highlight w:val="none"/>
        </w:rPr>
        <w:t>021-2030</w:t>
      </w:r>
      <w:r>
        <w:rPr>
          <w:rFonts w:hint="eastAsia"/>
          <w:color w:val="auto"/>
          <w:highlight w:val="none"/>
        </w:rPr>
        <w:t>）》《青岛市生态环境“十四五”规划》等规划、方案，对《行动计划》中确定的海洋</w:t>
      </w:r>
      <w:r>
        <w:rPr>
          <w:color w:val="auto"/>
          <w:highlight w:val="none"/>
        </w:rPr>
        <w:t>生物多样性保护</w:t>
      </w:r>
      <w:r>
        <w:rPr>
          <w:rFonts w:hint="eastAsia"/>
          <w:color w:val="auto"/>
          <w:highlight w:val="none"/>
        </w:rPr>
        <w:t>优先区域进行优化调整，</w:t>
      </w:r>
      <w:r>
        <w:rPr>
          <w:color w:val="auto"/>
          <w:highlight w:val="none"/>
        </w:rPr>
        <w:t>得到</w:t>
      </w:r>
      <w:r>
        <w:rPr>
          <w:rFonts w:hint="eastAsia"/>
          <w:color w:val="auto"/>
          <w:highlight w:val="none"/>
        </w:rPr>
        <w:t>10</w:t>
      </w:r>
      <w:r>
        <w:rPr>
          <w:color w:val="auto"/>
          <w:highlight w:val="none"/>
        </w:rPr>
        <w:t>个海洋生物多样性保护优先区域，见图2。</w:t>
      </w:r>
    </w:p>
    <w:p>
      <w:pPr>
        <w:adjustRightInd w:val="0"/>
        <w:snapToGrid w:val="0"/>
        <w:spacing w:line="240" w:lineRule="auto"/>
        <w:ind w:firstLine="0" w:firstLineChars="0"/>
        <w:jc w:val="center"/>
        <w:rPr>
          <w:color w:val="auto"/>
          <w:sz w:val="28"/>
          <w:highlight w:val="none"/>
        </w:rPr>
      </w:pPr>
      <w:r>
        <w:rPr>
          <w:rFonts w:hint="eastAsia"/>
          <w:color w:val="auto"/>
          <w:sz w:val="28"/>
          <w:highlight w:val="none"/>
        </w:rPr>
        <w:drawing>
          <wp:inline distT="0" distB="0" distL="114300" distR="114300">
            <wp:extent cx="5216525" cy="4970780"/>
            <wp:effectExtent l="0" t="0" r="3175" b="1270"/>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11"/>
                    <a:stretch>
                      <a:fillRect/>
                    </a:stretch>
                  </pic:blipFill>
                  <pic:spPr>
                    <a:xfrm>
                      <a:off x="0" y="0"/>
                      <a:ext cx="5216525" cy="4970780"/>
                    </a:xfrm>
                    <a:prstGeom prst="rect">
                      <a:avLst/>
                    </a:prstGeom>
                  </pic:spPr>
                </pic:pic>
              </a:graphicData>
            </a:graphic>
          </wp:inline>
        </w:drawing>
      </w:r>
    </w:p>
    <w:p>
      <w:pPr>
        <w:adjustRightInd w:val="0"/>
        <w:snapToGrid w:val="0"/>
        <w:ind w:firstLine="474"/>
        <w:jc w:val="center"/>
        <w:rPr>
          <w:color w:val="auto"/>
          <w:sz w:val="28"/>
          <w:highlight w:val="none"/>
        </w:rPr>
      </w:pPr>
      <w:r>
        <w:rPr>
          <w:rFonts w:eastAsia="仿宋"/>
          <w:b/>
          <w:color w:val="auto"/>
          <w:sz w:val="24"/>
          <w:szCs w:val="28"/>
          <w:highlight w:val="none"/>
        </w:rPr>
        <w:t>图2 青岛市海洋生物多样性保护优先区域</w:t>
      </w:r>
    </w:p>
    <w:p>
      <w:pPr>
        <w:pStyle w:val="5"/>
        <w:ind w:firstLine="632"/>
        <w:rPr>
          <w:rFonts w:ascii="楷体_GB2312" w:hAnsi="楷体_GB2312" w:eastAsia="楷体_GB2312" w:cs="楷体_GB2312"/>
          <w:b w:val="0"/>
          <w:bCs w:val="0"/>
          <w:color w:val="auto"/>
          <w:highlight w:val="none"/>
        </w:rPr>
      </w:pPr>
      <w:bookmarkStart w:id="98" w:name="_Toc163376231"/>
      <w:r>
        <w:rPr>
          <w:rFonts w:hint="eastAsia" w:ascii="楷体_GB2312" w:hAnsi="楷体_GB2312" w:eastAsia="楷体_GB2312" w:cs="楷体_GB2312"/>
          <w:b w:val="0"/>
          <w:bCs w:val="0"/>
          <w:color w:val="auto"/>
          <w:highlight w:val="none"/>
        </w:rPr>
        <w:t>（四）海洋与海岸带生物多样性保护优先区域介绍</w:t>
      </w:r>
      <w:bookmarkEnd w:id="98"/>
    </w:p>
    <w:p>
      <w:pPr>
        <w:ind w:firstLine="632"/>
        <w:rPr>
          <w:color w:val="auto"/>
          <w:highlight w:val="none"/>
        </w:rPr>
      </w:pPr>
      <w:r>
        <w:rPr>
          <w:color w:val="auto"/>
          <w:highlight w:val="none"/>
        </w:rPr>
        <w:t>根据</w:t>
      </w:r>
      <w:r>
        <w:rPr>
          <w:rFonts w:hint="eastAsia"/>
          <w:color w:val="auto"/>
          <w:highlight w:val="none"/>
        </w:rPr>
        <w:t>10</w:t>
      </w:r>
      <w:r>
        <w:rPr>
          <w:color w:val="auto"/>
          <w:highlight w:val="none"/>
        </w:rPr>
        <w:t>个海洋</w:t>
      </w:r>
      <w:r>
        <w:rPr>
          <w:rFonts w:hint="eastAsia"/>
          <w:color w:val="auto"/>
          <w:highlight w:val="none"/>
        </w:rPr>
        <w:t>与海岸带</w:t>
      </w:r>
      <w:r>
        <w:rPr>
          <w:color w:val="auto"/>
          <w:highlight w:val="none"/>
        </w:rPr>
        <w:t>生物多样性保护优先区域（图2）的地理属性、位置分布和地形地貌，划分为三类：海岛、海湾、海洋，见表3。</w:t>
      </w:r>
    </w:p>
    <w:p>
      <w:pPr>
        <w:adjustRightInd w:val="0"/>
        <w:snapToGrid w:val="0"/>
        <w:ind w:firstLine="474"/>
        <w:jc w:val="center"/>
        <w:rPr>
          <w:b/>
          <w:color w:val="auto"/>
          <w:sz w:val="28"/>
          <w:highlight w:val="none"/>
        </w:rPr>
      </w:pPr>
      <w:r>
        <w:rPr>
          <w:b/>
          <w:color w:val="auto"/>
          <w:sz w:val="24"/>
          <w:highlight w:val="none"/>
        </w:rPr>
        <w:t>表3 青岛市</w:t>
      </w:r>
      <w:r>
        <w:rPr>
          <w:rFonts w:hint="eastAsia"/>
          <w:b/>
          <w:color w:val="auto"/>
          <w:sz w:val="24"/>
          <w:highlight w:val="none"/>
        </w:rPr>
        <w:t>海洋与海岸带</w:t>
      </w:r>
      <w:r>
        <w:rPr>
          <w:b/>
          <w:color w:val="auto"/>
          <w:sz w:val="24"/>
          <w:highlight w:val="none"/>
        </w:rPr>
        <w:t>生物多样性保护优先区域划分方案</w:t>
      </w:r>
    </w:p>
    <w:tbl>
      <w:tblPr>
        <w:tblStyle w:val="38"/>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984"/>
        <w:gridCol w:w="1276"/>
        <w:gridCol w:w="3032"/>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88"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序号</w:t>
            </w:r>
          </w:p>
        </w:tc>
        <w:tc>
          <w:tcPr>
            <w:tcW w:w="1984"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海洋生物多样性保护优先区域</w:t>
            </w:r>
          </w:p>
        </w:tc>
        <w:tc>
          <w:tcPr>
            <w:tcW w:w="1276"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地理类型</w:t>
            </w:r>
          </w:p>
        </w:tc>
        <w:tc>
          <w:tcPr>
            <w:tcW w:w="3032"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分布区市</w:t>
            </w:r>
          </w:p>
        </w:tc>
        <w:tc>
          <w:tcPr>
            <w:tcW w:w="1186" w:type="dxa"/>
            <w:shd w:val="clear" w:color="auto" w:fill="auto"/>
            <w:noWrap/>
            <w:vAlign w:val="center"/>
          </w:tcPr>
          <w:p>
            <w:pPr>
              <w:widowControl/>
              <w:snapToGrid w:val="0"/>
              <w:ind w:firstLine="0" w:firstLineChars="0"/>
              <w:jc w:val="center"/>
              <w:rPr>
                <w:b/>
                <w:color w:val="auto"/>
                <w:kern w:val="0"/>
                <w:sz w:val="22"/>
                <w:szCs w:val="22"/>
                <w:highlight w:val="none"/>
              </w:rPr>
            </w:pPr>
            <w:r>
              <w:rPr>
                <w:b/>
                <w:color w:val="auto"/>
                <w:kern w:val="0"/>
                <w:sz w:val="22"/>
                <w:szCs w:val="22"/>
                <w:highlight w:val="none"/>
              </w:rPr>
              <w:t>面积（km</w:t>
            </w:r>
            <w:r>
              <w:rPr>
                <w:b/>
                <w:color w:val="auto"/>
                <w:kern w:val="0"/>
                <w:sz w:val="22"/>
                <w:szCs w:val="22"/>
                <w:highlight w:val="none"/>
                <w:vertAlign w:val="superscript"/>
              </w:rPr>
              <w:t>2</w:t>
            </w:r>
            <w:r>
              <w:rPr>
                <w:b/>
                <w:color w:val="auto"/>
                <w:kern w:val="0"/>
                <w:sz w:val="22"/>
                <w:szCs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1</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大公岛</w:t>
            </w:r>
          </w:p>
        </w:tc>
        <w:tc>
          <w:tcPr>
            <w:tcW w:w="1276" w:type="dxa"/>
            <w:vMerge w:val="restart"/>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海岛</w:t>
            </w: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市南区</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16.03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2</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灵山岛</w:t>
            </w:r>
          </w:p>
        </w:tc>
        <w:tc>
          <w:tcPr>
            <w:tcW w:w="1276" w:type="dxa"/>
            <w:vMerge w:val="continue"/>
            <w:vAlign w:val="center"/>
          </w:tcPr>
          <w:p>
            <w:pPr>
              <w:widowControl/>
              <w:snapToGrid w:val="0"/>
              <w:ind w:firstLine="0" w:firstLineChars="0"/>
              <w:jc w:val="center"/>
              <w:rPr>
                <w:color w:val="auto"/>
                <w:kern w:val="0"/>
                <w:sz w:val="22"/>
                <w:szCs w:val="22"/>
                <w:highlight w:val="none"/>
              </w:rPr>
            </w:pP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西海岸新区</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214.53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3</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大小管岛</w:t>
            </w:r>
          </w:p>
        </w:tc>
        <w:tc>
          <w:tcPr>
            <w:tcW w:w="1276" w:type="dxa"/>
            <w:vMerge w:val="continue"/>
            <w:vAlign w:val="center"/>
          </w:tcPr>
          <w:p>
            <w:pPr>
              <w:widowControl/>
              <w:snapToGrid w:val="0"/>
              <w:ind w:firstLine="0" w:firstLineChars="0"/>
              <w:jc w:val="center"/>
              <w:rPr>
                <w:color w:val="auto"/>
                <w:kern w:val="0"/>
                <w:sz w:val="22"/>
                <w:szCs w:val="22"/>
                <w:highlight w:val="none"/>
              </w:rPr>
            </w:pP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即墨区</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35.38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4</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长岩门岛</w:t>
            </w:r>
          </w:p>
        </w:tc>
        <w:tc>
          <w:tcPr>
            <w:tcW w:w="1276" w:type="dxa"/>
            <w:vMerge w:val="continue"/>
            <w:vAlign w:val="center"/>
          </w:tcPr>
          <w:p>
            <w:pPr>
              <w:widowControl/>
              <w:snapToGrid w:val="0"/>
              <w:ind w:firstLine="0" w:firstLineChars="0"/>
              <w:jc w:val="center"/>
              <w:rPr>
                <w:color w:val="auto"/>
                <w:kern w:val="0"/>
                <w:sz w:val="22"/>
                <w:szCs w:val="22"/>
                <w:highlight w:val="none"/>
              </w:rPr>
            </w:pP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崂山区</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5</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潮连岛</w:t>
            </w:r>
          </w:p>
        </w:tc>
        <w:tc>
          <w:tcPr>
            <w:tcW w:w="1276" w:type="dxa"/>
            <w:vMerge w:val="continue"/>
            <w:vAlign w:val="center"/>
          </w:tcPr>
          <w:p>
            <w:pPr>
              <w:widowControl/>
              <w:snapToGrid w:val="0"/>
              <w:ind w:firstLine="0" w:firstLineChars="0"/>
              <w:jc w:val="center"/>
              <w:rPr>
                <w:color w:val="auto"/>
                <w:kern w:val="0"/>
                <w:sz w:val="22"/>
                <w:szCs w:val="22"/>
                <w:highlight w:val="none"/>
              </w:rPr>
            </w:pP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崂山区</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63.17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6</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胶州湾</w:t>
            </w:r>
          </w:p>
        </w:tc>
        <w:tc>
          <w:tcPr>
            <w:tcW w:w="1276" w:type="dxa"/>
            <w:vMerge w:val="restart"/>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海湾</w:t>
            </w: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李沧区、城阳区、胶州市</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199.56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7</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唐岛湾</w:t>
            </w:r>
          </w:p>
        </w:tc>
        <w:tc>
          <w:tcPr>
            <w:tcW w:w="1276" w:type="dxa"/>
            <w:vMerge w:val="continue"/>
            <w:vAlign w:val="center"/>
          </w:tcPr>
          <w:p>
            <w:pPr>
              <w:widowControl/>
              <w:snapToGrid w:val="0"/>
              <w:ind w:firstLine="0" w:firstLineChars="0"/>
              <w:jc w:val="center"/>
              <w:rPr>
                <w:color w:val="auto"/>
                <w:kern w:val="0"/>
                <w:sz w:val="22"/>
                <w:szCs w:val="22"/>
                <w:highlight w:val="none"/>
              </w:rPr>
            </w:pP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西海岸新区</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65.1</w:t>
            </w:r>
            <w:r>
              <w:rPr>
                <w:rFonts w:hint="eastAsia"/>
                <w:color w:val="auto"/>
                <w:kern w:val="0"/>
                <w:sz w:val="22"/>
                <w:szCs w:val="22"/>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8</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丁字湾</w:t>
            </w:r>
          </w:p>
        </w:tc>
        <w:tc>
          <w:tcPr>
            <w:tcW w:w="1276" w:type="dxa"/>
            <w:vMerge w:val="continue"/>
            <w:vAlign w:val="center"/>
          </w:tcPr>
          <w:p>
            <w:pPr>
              <w:widowControl/>
              <w:snapToGrid w:val="0"/>
              <w:ind w:firstLine="0" w:firstLineChars="0"/>
              <w:jc w:val="center"/>
              <w:rPr>
                <w:color w:val="auto"/>
                <w:kern w:val="0"/>
                <w:sz w:val="22"/>
                <w:szCs w:val="22"/>
                <w:highlight w:val="none"/>
              </w:rPr>
            </w:pP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即墨区</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58.16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9</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琅琊台湾</w:t>
            </w:r>
          </w:p>
        </w:tc>
        <w:tc>
          <w:tcPr>
            <w:tcW w:w="1276" w:type="dxa"/>
            <w:vMerge w:val="continue"/>
            <w:vAlign w:val="center"/>
          </w:tcPr>
          <w:p>
            <w:pPr>
              <w:widowControl/>
              <w:snapToGrid w:val="0"/>
              <w:ind w:firstLine="0" w:firstLineChars="0"/>
              <w:jc w:val="center"/>
              <w:rPr>
                <w:color w:val="auto"/>
                <w:kern w:val="0"/>
                <w:sz w:val="22"/>
                <w:szCs w:val="22"/>
                <w:highlight w:val="none"/>
              </w:rPr>
            </w:pP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西海岸新区</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49.74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88" w:type="dxa"/>
            <w:shd w:val="clear" w:color="auto" w:fill="auto"/>
            <w:noWrap/>
            <w:vAlign w:val="center"/>
          </w:tcPr>
          <w:p>
            <w:pPr>
              <w:widowControl/>
              <w:snapToGrid w:val="0"/>
              <w:ind w:firstLine="0" w:firstLineChars="0"/>
              <w:jc w:val="center"/>
              <w:rPr>
                <w:color w:val="auto"/>
                <w:kern w:val="0"/>
                <w:sz w:val="22"/>
                <w:szCs w:val="22"/>
                <w:highlight w:val="none"/>
              </w:rPr>
            </w:pPr>
            <w:r>
              <w:rPr>
                <w:rFonts w:hint="eastAsia"/>
                <w:color w:val="auto"/>
                <w:kern w:val="0"/>
                <w:sz w:val="22"/>
                <w:szCs w:val="22"/>
                <w:highlight w:val="none"/>
              </w:rPr>
              <w:t>10</w:t>
            </w:r>
          </w:p>
        </w:tc>
        <w:tc>
          <w:tcPr>
            <w:tcW w:w="1984"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文昌鱼保护区</w:t>
            </w:r>
          </w:p>
        </w:tc>
        <w:tc>
          <w:tcPr>
            <w:tcW w:w="1276"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海洋</w:t>
            </w:r>
          </w:p>
        </w:tc>
        <w:tc>
          <w:tcPr>
            <w:tcW w:w="3032"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市南区</w:t>
            </w:r>
          </w:p>
        </w:tc>
        <w:tc>
          <w:tcPr>
            <w:tcW w:w="1186" w:type="dxa"/>
            <w:shd w:val="clear" w:color="auto" w:fill="auto"/>
            <w:noWrap/>
            <w:vAlign w:val="center"/>
          </w:tcPr>
          <w:p>
            <w:pPr>
              <w:widowControl/>
              <w:snapToGrid w:val="0"/>
              <w:ind w:firstLine="0" w:firstLineChars="0"/>
              <w:jc w:val="center"/>
              <w:rPr>
                <w:color w:val="auto"/>
                <w:kern w:val="0"/>
                <w:sz w:val="22"/>
                <w:szCs w:val="22"/>
                <w:highlight w:val="none"/>
              </w:rPr>
            </w:pPr>
            <w:r>
              <w:rPr>
                <w:color w:val="auto"/>
                <w:kern w:val="0"/>
                <w:sz w:val="22"/>
                <w:szCs w:val="22"/>
                <w:highlight w:val="none"/>
              </w:rPr>
              <w:t>61.89</w:t>
            </w:r>
          </w:p>
        </w:tc>
      </w:tr>
    </w:tbl>
    <w:p>
      <w:pPr>
        <w:pStyle w:val="6"/>
        <w:ind w:firstLine="632"/>
        <w:rPr>
          <w:rFonts w:ascii="楷体_GB2312" w:hAnsi="楷体_GB2312" w:eastAsia="楷体_GB2312" w:cs="楷体_GB2312"/>
          <w:b w:val="0"/>
          <w:bCs w:val="0"/>
          <w:color w:val="auto"/>
          <w:highlight w:val="none"/>
        </w:rPr>
      </w:pPr>
      <w:bookmarkStart w:id="99" w:name="_Toc531604406"/>
      <w:r>
        <w:rPr>
          <w:rFonts w:hint="eastAsia" w:ascii="楷体_GB2312" w:hAnsi="楷体_GB2312" w:eastAsia="楷体_GB2312" w:cs="楷体_GB2312"/>
          <w:b w:val="0"/>
          <w:bCs w:val="0"/>
          <w:color w:val="auto"/>
          <w:highlight w:val="none"/>
        </w:rPr>
        <w:t>1.海岛</w:t>
      </w:r>
      <w:bookmarkEnd w:id="99"/>
    </w:p>
    <w:p>
      <w:pPr>
        <w:pStyle w:val="7"/>
        <w:ind w:firstLine="632"/>
        <w:rPr>
          <w:color w:val="auto"/>
          <w:highlight w:val="none"/>
        </w:rPr>
      </w:pPr>
      <w:r>
        <w:rPr>
          <w:color w:val="auto"/>
          <w:highlight w:val="none"/>
        </w:rPr>
        <w:t>1.1大公岛生物多样性保护优先区域</w:t>
      </w:r>
    </w:p>
    <w:p>
      <w:pPr>
        <w:ind w:firstLine="632"/>
        <w:rPr>
          <w:color w:val="auto"/>
          <w:highlight w:val="none"/>
        </w:rPr>
      </w:pPr>
      <w:r>
        <w:rPr>
          <w:color w:val="auto"/>
          <w:highlight w:val="none"/>
        </w:rPr>
        <w:t>大公岛地理位置优越，自然资源丰富，海域开阔，水质优良，海洋生物种类繁多，有多种鱼类和贝类生长，已建立省级自然保护区，总面积</w:t>
      </w:r>
      <w:r>
        <w:rPr>
          <w:rFonts w:hint="eastAsia"/>
          <w:color w:val="auto"/>
          <w:highlight w:val="none"/>
        </w:rPr>
        <w:t>16.03</w:t>
      </w:r>
      <w:r>
        <w:rPr>
          <w:color w:val="auto"/>
          <w:highlight w:val="none"/>
        </w:rPr>
        <w:t xml:space="preserve"> km</w:t>
      </w:r>
      <w:r>
        <w:rPr>
          <w:color w:val="auto"/>
          <w:highlight w:val="none"/>
          <w:vertAlign w:val="superscript"/>
        </w:rPr>
        <w:t>2</w:t>
      </w:r>
      <w:r>
        <w:rPr>
          <w:color w:val="auto"/>
          <w:highlight w:val="none"/>
        </w:rPr>
        <w:t>，包括：陆地和海洋两部分。</w:t>
      </w:r>
    </w:p>
    <w:p>
      <w:pPr>
        <w:autoSpaceDE w:val="0"/>
        <w:autoSpaceDN w:val="0"/>
        <w:adjustRightInd w:val="0"/>
        <w:ind w:firstLine="632"/>
        <w:jc w:val="left"/>
        <w:rPr>
          <w:color w:val="auto"/>
          <w:highlight w:val="none"/>
        </w:rPr>
      </w:pPr>
      <w:r>
        <w:rPr>
          <w:color w:val="auto"/>
          <w:highlight w:val="none"/>
        </w:rPr>
        <w:t>本区陆地面积0.17 km</w:t>
      </w:r>
      <w:r>
        <w:rPr>
          <w:color w:val="auto"/>
          <w:highlight w:val="none"/>
          <w:vertAlign w:val="superscript"/>
        </w:rPr>
        <w:t>2</w:t>
      </w:r>
      <w:r>
        <w:rPr>
          <w:color w:val="auto"/>
          <w:highlight w:val="none"/>
        </w:rPr>
        <w:t>，岛屿岸线长1.93 km。目前有维管束植物</w:t>
      </w:r>
      <w:r>
        <w:rPr>
          <w:rFonts w:hint="eastAsia"/>
          <w:color w:val="auto"/>
          <w:highlight w:val="none"/>
        </w:rPr>
        <w:t>30目48科124</w:t>
      </w:r>
      <w:r>
        <w:rPr>
          <w:color w:val="auto"/>
          <w:highlight w:val="none"/>
        </w:rPr>
        <w:t>种</w:t>
      </w:r>
      <w:r>
        <w:rPr>
          <w:rFonts w:hint="eastAsia"/>
          <w:color w:val="auto"/>
          <w:highlight w:val="none"/>
        </w:rPr>
        <w:t>。</w:t>
      </w:r>
      <w:r>
        <w:rPr>
          <w:color w:val="auto"/>
          <w:highlight w:val="none"/>
        </w:rPr>
        <w:t>其中</w:t>
      </w:r>
      <w:r>
        <w:rPr>
          <w:rFonts w:hint="eastAsia"/>
          <w:color w:val="auto"/>
          <w:highlight w:val="none"/>
        </w:rPr>
        <w:t>，</w:t>
      </w:r>
      <w:r>
        <w:rPr>
          <w:color w:val="auto"/>
          <w:highlight w:val="none"/>
        </w:rPr>
        <w:t>蕨类植物1种</w:t>
      </w:r>
      <w:r>
        <w:rPr>
          <w:rFonts w:hint="eastAsia"/>
          <w:color w:val="auto"/>
          <w:highlight w:val="none"/>
        </w:rPr>
        <w:t>，</w:t>
      </w:r>
      <w:r>
        <w:rPr>
          <w:color w:val="auto"/>
          <w:highlight w:val="none"/>
        </w:rPr>
        <w:t>裸子植物</w:t>
      </w:r>
      <w:r>
        <w:rPr>
          <w:rFonts w:hint="eastAsia"/>
          <w:color w:val="auto"/>
          <w:highlight w:val="none"/>
        </w:rPr>
        <w:t>5</w:t>
      </w:r>
      <w:r>
        <w:rPr>
          <w:color w:val="auto"/>
          <w:highlight w:val="none"/>
        </w:rPr>
        <w:t>种</w:t>
      </w:r>
      <w:r>
        <w:rPr>
          <w:rFonts w:hint="eastAsia"/>
          <w:color w:val="auto"/>
          <w:highlight w:val="none"/>
        </w:rPr>
        <w:t>，</w:t>
      </w:r>
      <w:r>
        <w:rPr>
          <w:color w:val="auto"/>
          <w:highlight w:val="none"/>
        </w:rPr>
        <w:t>被子植物</w:t>
      </w:r>
      <w:r>
        <w:rPr>
          <w:rFonts w:hint="eastAsia"/>
          <w:color w:val="auto"/>
          <w:highlight w:val="none"/>
        </w:rPr>
        <w:t>118</w:t>
      </w:r>
      <w:r>
        <w:rPr>
          <w:color w:val="auto"/>
          <w:highlight w:val="none"/>
        </w:rPr>
        <w:t>种</w:t>
      </w:r>
      <w:r>
        <w:rPr>
          <w:rFonts w:hint="eastAsia"/>
          <w:color w:val="auto"/>
          <w:highlight w:val="none"/>
        </w:rPr>
        <w:t>。</w:t>
      </w:r>
      <w:r>
        <w:rPr>
          <w:color w:val="auto"/>
          <w:highlight w:val="none"/>
        </w:rPr>
        <w:t>野生鸟类19</w:t>
      </w:r>
      <w:r>
        <w:rPr>
          <w:rFonts w:hint="eastAsia"/>
          <w:color w:val="auto"/>
          <w:highlight w:val="none"/>
        </w:rPr>
        <w:t>目</w:t>
      </w:r>
      <w:r>
        <w:rPr>
          <w:color w:val="auto"/>
          <w:highlight w:val="none"/>
        </w:rPr>
        <w:t>50</w:t>
      </w:r>
      <w:r>
        <w:rPr>
          <w:rFonts w:hint="eastAsia"/>
          <w:color w:val="auto"/>
          <w:highlight w:val="none"/>
        </w:rPr>
        <w:t>科</w:t>
      </w:r>
      <w:r>
        <w:rPr>
          <w:color w:val="auto"/>
          <w:highlight w:val="none"/>
        </w:rPr>
        <w:t>183</w:t>
      </w:r>
      <w:r>
        <w:rPr>
          <w:rFonts w:hint="eastAsia"/>
          <w:color w:val="auto"/>
          <w:highlight w:val="none"/>
        </w:rPr>
        <w:t>种</w:t>
      </w:r>
      <w:r>
        <w:rPr>
          <w:color w:val="auto"/>
          <w:highlight w:val="none"/>
        </w:rPr>
        <w:t>，其中</w:t>
      </w:r>
      <w:r>
        <w:rPr>
          <w:rFonts w:hint="eastAsia"/>
          <w:color w:val="auto"/>
          <w:highlight w:val="none"/>
        </w:rPr>
        <w:t>，国家I级重点保护野生动物4种，分别为白尾海雕、黄胸</w:t>
      </w:r>
      <w:r>
        <w:rPr>
          <w:rFonts w:hint="eastAsia" w:ascii="微软雅黑" w:hAnsi="微软雅黑" w:eastAsia="微软雅黑" w:cs="微软雅黑"/>
          <w:color w:val="auto"/>
          <w:highlight w:val="none"/>
        </w:rPr>
        <w:t>鹀</w:t>
      </w:r>
      <w:r>
        <w:rPr>
          <w:rFonts w:hint="eastAsia"/>
          <w:color w:val="auto"/>
          <w:highlight w:val="none"/>
        </w:rPr>
        <w:t>、乌雕、黄嘴白鹭；</w:t>
      </w:r>
      <w:r>
        <w:rPr>
          <w:color w:val="auto"/>
          <w:highlight w:val="none"/>
        </w:rPr>
        <w:t>国家</w:t>
      </w:r>
      <w:r>
        <w:rPr>
          <w:rFonts w:hint="eastAsia"/>
          <w:color w:val="auto"/>
          <w:highlight w:val="none"/>
        </w:rPr>
        <w:t>Ⅱ</w:t>
      </w:r>
      <w:r>
        <w:rPr>
          <w:color w:val="auto"/>
          <w:highlight w:val="none"/>
        </w:rPr>
        <w:t>级重点保护野生动物</w:t>
      </w:r>
      <w:r>
        <w:rPr>
          <w:rFonts w:hint="eastAsia"/>
          <w:color w:val="auto"/>
          <w:highlight w:val="none"/>
        </w:rPr>
        <w:t>23</w:t>
      </w:r>
      <w:r>
        <w:rPr>
          <w:color w:val="auto"/>
          <w:highlight w:val="none"/>
        </w:rPr>
        <w:t>种，</w:t>
      </w:r>
      <w:r>
        <w:rPr>
          <w:rFonts w:hint="eastAsia"/>
          <w:color w:val="auto"/>
          <w:highlight w:val="none"/>
        </w:rPr>
        <w:t>包括海鸬鹚、鸳鸯、小鸦鹃、鹗、凤头蜂鹰、赤腹鹰、日本松雀鹰、雀鹰、苍鹰、鹊鹞、白腹鹞、灰脸</w:t>
      </w:r>
      <w:r>
        <w:rPr>
          <w:rFonts w:hint="eastAsia" w:ascii="微软雅黑" w:hAnsi="微软雅黑" w:eastAsia="微软雅黑" w:cs="微软雅黑"/>
          <w:color w:val="auto"/>
          <w:highlight w:val="none"/>
        </w:rPr>
        <w:t>鵟</w:t>
      </w:r>
      <w:r>
        <w:rPr>
          <w:rFonts w:hint="eastAsia"/>
          <w:color w:val="auto"/>
          <w:highlight w:val="none"/>
        </w:rPr>
        <w:t>鹰、普通</w:t>
      </w:r>
      <w:r>
        <w:rPr>
          <w:rFonts w:hint="eastAsia" w:ascii="微软雅黑" w:hAnsi="微软雅黑" w:eastAsia="微软雅黑" w:cs="微软雅黑"/>
          <w:color w:val="auto"/>
          <w:highlight w:val="none"/>
        </w:rPr>
        <w:t>鵟</w:t>
      </w:r>
      <w:r>
        <w:rPr>
          <w:rFonts w:hint="eastAsia" w:ascii="仿宋_GB2312" w:hAnsi="仿宋_GB2312" w:cs="仿宋_GB2312"/>
          <w:color w:val="auto"/>
          <w:highlight w:val="none"/>
        </w:rPr>
        <w:t>、红角</w:t>
      </w:r>
      <w:r>
        <w:rPr>
          <w:rFonts w:hint="eastAsia" w:ascii="微软雅黑" w:hAnsi="微软雅黑" w:eastAsia="微软雅黑" w:cs="微软雅黑"/>
          <w:color w:val="auto"/>
          <w:highlight w:val="none"/>
        </w:rPr>
        <w:t>鸮</w:t>
      </w:r>
      <w:r>
        <w:rPr>
          <w:rFonts w:hint="eastAsia" w:ascii="仿宋_GB2312" w:hAnsi="仿宋_GB2312" w:cs="仿宋_GB2312"/>
          <w:color w:val="auto"/>
          <w:highlight w:val="none"/>
        </w:rPr>
        <w:t>、日本鹰</w:t>
      </w:r>
      <w:r>
        <w:rPr>
          <w:rFonts w:hint="eastAsia" w:ascii="微软雅黑" w:hAnsi="微软雅黑" w:eastAsia="微软雅黑" w:cs="微软雅黑"/>
          <w:color w:val="auto"/>
          <w:highlight w:val="none"/>
        </w:rPr>
        <w:t>鸮</w:t>
      </w:r>
      <w:r>
        <w:rPr>
          <w:rFonts w:hint="eastAsia" w:ascii="仿宋_GB2312" w:hAnsi="仿宋_GB2312" w:cs="仿宋_GB2312"/>
          <w:color w:val="auto"/>
          <w:highlight w:val="none"/>
        </w:rPr>
        <w:t>、红隼、红脚隼、燕隼、游隼、</w:t>
      </w:r>
      <w:r>
        <w:rPr>
          <w:rFonts w:hint="eastAsia"/>
          <w:color w:val="auto"/>
          <w:highlight w:val="none"/>
        </w:rPr>
        <w:t>红胁绣眼鸟、红喉歌鸲、黑鸢、长耳</w:t>
      </w:r>
      <w:r>
        <w:rPr>
          <w:rFonts w:hint="eastAsia" w:ascii="微软雅黑" w:hAnsi="微软雅黑" w:eastAsia="微软雅黑" w:cs="微软雅黑"/>
          <w:color w:val="auto"/>
          <w:highlight w:val="none"/>
        </w:rPr>
        <w:t>鸮</w:t>
      </w:r>
      <w:r>
        <w:rPr>
          <w:rFonts w:hint="eastAsia"/>
          <w:color w:val="auto"/>
          <w:highlight w:val="none"/>
        </w:rPr>
        <w:t>等。</w:t>
      </w:r>
      <w:r>
        <w:rPr>
          <w:color w:val="auto"/>
          <w:highlight w:val="none"/>
        </w:rPr>
        <w:t xml:space="preserve">IUCN </w:t>
      </w:r>
      <w:r>
        <w:rPr>
          <w:rFonts w:hint="eastAsia"/>
          <w:color w:val="auto"/>
          <w:highlight w:val="none"/>
        </w:rPr>
        <w:t>红色名录极危（CR）</w:t>
      </w:r>
      <w:r>
        <w:rPr>
          <w:color w:val="auto"/>
          <w:highlight w:val="none"/>
        </w:rPr>
        <w:t xml:space="preserve">1 </w:t>
      </w:r>
      <w:r>
        <w:rPr>
          <w:rFonts w:hint="eastAsia"/>
          <w:color w:val="auto"/>
          <w:highlight w:val="none"/>
        </w:rPr>
        <w:t>种即黄胸</w:t>
      </w:r>
      <w:r>
        <w:rPr>
          <w:rFonts w:hint="eastAsia" w:ascii="微软雅黑" w:hAnsi="微软雅黑" w:eastAsia="微软雅黑" w:cs="微软雅黑"/>
          <w:color w:val="auto"/>
          <w:highlight w:val="none"/>
        </w:rPr>
        <w:t>鹀</w:t>
      </w:r>
      <w:r>
        <w:rPr>
          <w:rFonts w:hint="eastAsia" w:ascii="仿宋_GB2312" w:hAnsi="仿宋_GB2312" w:cs="仿宋_GB2312"/>
          <w:color w:val="auto"/>
          <w:highlight w:val="none"/>
        </w:rPr>
        <w:t>，濒危（</w:t>
      </w:r>
      <w:r>
        <w:rPr>
          <w:color w:val="auto"/>
          <w:highlight w:val="none"/>
        </w:rPr>
        <w:t>EN</w:t>
      </w:r>
      <w:r>
        <w:rPr>
          <w:rFonts w:hint="eastAsia" w:ascii="仿宋_GB2312" w:hAnsi="仿宋_GB2312" w:cs="仿宋_GB2312"/>
          <w:color w:val="auto"/>
          <w:highlight w:val="none"/>
        </w:rPr>
        <w:t>）</w:t>
      </w:r>
      <w:r>
        <w:rPr>
          <w:color w:val="auto"/>
          <w:highlight w:val="none"/>
        </w:rPr>
        <w:t xml:space="preserve">1 </w:t>
      </w:r>
      <w:r>
        <w:rPr>
          <w:rFonts w:hint="eastAsia"/>
          <w:color w:val="auto"/>
          <w:highlight w:val="none"/>
        </w:rPr>
        <w:t>种即乌雕，易危（</w:t>
      </w:r>
      <w:r>
        <w:rPr>
          <w:color w:val="auto"/>
          <w:highlight w:val="none"/>
        </w:rPr>
        <w:t>VU</w:t>
      </w:r>
      <w:r>
        <w:rPr>
          <w:rFonts w:hint="eastAsia"/>
          <w:color w:val="auto"/>
          <w:highlight w:val="none"/>
        </w:rPr>
        <w:t>）</w:t>
      </w:r>
      <w:r>
        <w:rPr>
          <w:color w:val="auto"/>
          <w:highlight w:val="none"/>
        </w:rPr>
        <w:t xml:space="preserve">4 </w:t>
      </w:r>
      <w:r>
        <w:rPr>
          <w:rFonts w:hint="eastAsia"/>
          <w:color w:val="auto"/>
          <w:highlight w:val="none"/>
        </w:rPr>
        <w:t>种即黄嘴白鹭、东亚蝗莺、斑脸海番鸭、田</w:t>
      </w:r>
      <w:r>
        <w:rPr>
          <w:rFonts w:hint="eastAsia" w:ascii="微软雅黑" w:hAnsi="微软雅黑" w:eastAsia="微软雅黑" w:cs="微软雅黑"/>
          <w:color w:val="auto"/>
          <w:highlight w:val="none"/>
        </w:rPr>
        <w:t>鹀</w:t>
      </w:r>
      <w:r>
        <w:rPr>
          <w:rFonts w:hint="eastAsia" w:ascii="仿宋_GB2312" w:hAnsi="仿宋_GB2312" w:cs="仿宋_GB2312"/>
          <w:color w:val="auto"/>
          <w:highlight w:val="none"/>
        </w:rPr>
        <w:t>，近危（</w:t>
      </w:r>
      <w:r>
        <w:rPr>
          <w:color w:val="auto"/>
          <w:highlight w:val="none"/>
        </w:rPr>
        <w:t>NT</w:t>
      </w:r>
      <w:r>
        <w:rPr>
          <w:rFonts w:hint="eastAsia"/>
          <w:color w:val="auto"/>
          <w:highlight w:val="none"/>
        </w:rPr>
        <w:t>）</w:t>
      </w:r>
      <w:r>
        <w:rPr>
          <w:color w:val="auto"/>
          <w:highlight w:val="none"/>
        </w:rPr>
        <w:t xml:space="preserve">3 </w:t>
      </w:r>
      <w:r>
        <w:rPr>
          <w:rFonts w:hint="eastAsia"/>
          <w:color w:val="auto"/>
          <w:highlight w:val="none"/>
        </w:rPr>
        <w:t>种即黑海番鸭、白额鹱、黑叉尾海燕。</w:t>
      </w:r>
      <w:r>
        <w:rPr>
          <w:color w:val="auto"/>
          <w:highlight w:val="none"/>
        </w:rPr>
        <w:t>昆虫纲、爬行纲和兽纲野生动物未开展系统调查。</w:t>
      </w:r>
    </w:p>
    <w:p>
      <w:pPr>
        <w:ind w:firstLine="632"/>
        <w:rPr>
          <w:color w:val="auto"/>
          <w:highlight w:val="none"/>
        </w:rPr>
      </w:pPr>
      <w:r>
        <w:rPr>
          <w:color w:val="auto"/>
          <w:highlight w:val="none"/>
        </w:rPr>
        <w:t>本区海洋面积</w:t>
      </w:r>
      <w:r>
        <w:rPr>
          <w:rFonts w:hint="eastAsia"/>
          <w:color w:val="auto"/>
          <w:highlight w:val="none"/>
        </w:rPr>
        <w:t xml:space="preserve">15.86 </w:t>
      </w:r>
      <w:r>
        <w:rPr>
          <w:color w:val="auto"/>
          <w:highlight w:val="none"/>
        </w:rPr>
        <w:t>km</w:t>
      </w:r>
      <w:r>
        <w:rPr>
          <w:color w:val="auto"/>
          <w:highlight w:val="none"/>
          <w:vertAlign w:val="superscript"/>
        </w:rPr>
        <w:t>2</w:t>
      </w:r>
      <w:r>
        <w:rPr>
          <w:color w:val="auto"/>
          <w:highlight w:val="none"/>
        </w:rPr>
        <w:t>，浮游植物有</w:t>
      </w:r>
      <w:r>
        <w:rPr>
          <w:rFonts w:hint="eastAsia"/>
          <w:color w:val="auto"/>
          <w:highlight w:val="none"/>
        </w:rPr>
        <w:t>70</w:t>
      </w:r>
      <w:r>
        <w:rPr>
          <w:color w:val="auto"/>
          <w:highlight w:val="none"/>
        </w:rPr>
        <w:t>种，</w:t>
      </w:r>
      <w:r>
        <w:rPr>
          <w:rFonts w:hint="eastAsia"/>
          <w:color w:val="auto"/>
          <w:highlight w:val="none"/>
        </w:rPr>
        <w:t>包括硅藻57种、甲藻11种和金藻1种；</w:t>
      </w:r>
      <w:r>
        <w:rPr>
          <w:color w:val="auto"/>
          <w:highlight w:val="none"/>
        </w:rPr>
        <w:t>浮游动物</w:t>
      </w:r>
      <w:r>
        <w:rPr>
          <w:rFonts w:hint="eastAsia"/>
          <w:color w:val="auto"/>
          <w:highlight w:val="none"/>
        </w:rPr>
        <w:t>28</w:t>
      </w:r>
      <w:r>
        <w:rPr>
          <w:color w:val="auto"/>
          <w:highlight w:val="none"/>
        </w:rPr>
        <w:t>种，</w:t>
      </w:r>
      <w:r>
        <w:rPr>
          <w:rFonts w:hint="eastAsia"/>
          <w:color w:val="auto"/>
          <w:highlight w:val="none"/>
        </w:rPr>
        <w:t>包括毛颚类1种、水母类4种、栉板动物类1种、端足类3种、桡足类5种、被囊类1种、枝角类6种、浮游幼虫幼体7种；</w:t>
      </w:r>
      <w:r>
        <w:rPr>
          <w:color w:val="auto"/>
          <w:highlight w:val="none"/>
        </w:rPr>
        <w:t>大型底栖动物</w:t>
      </w:r>
      <w:r>
        <w:rPr>
          <w:rFonts w:hint="eastAsia"/>
          <w:color w:val="auto"/>
          <w:highlight w:val="none"/>
        </w:rPr>
        <w:t>43</w:t>
      </w:r>
      <w:r>
        <w:rPr>
          <w:color w:val="auto"/>
          <w:highlight w:val="none"/>
        </w:rPr>
        <w:t>种，</w:t>
      </w:r>
      <w:r>
        <w:rPr>
          <w:rFonts w:hint="eastAsia"/>
          <w:color w:val="auto"/>
          <w:highlight w:val="none"/>
        </w:rPr>
        <w:t>包括环节动物26种、节肢动物12种、棘皮动物3种、纽形动物和软体动物各1种；</w:t>
      </w:r>
      <w:r>
        <w:rPr>
          <w:color w:val="auto"/>
          <w:highlight w:val="none"/>
        </w:rPr>
        <w:t>游泳动物</w:t>
      </w:r>
      <w:r>
        <w:rPr>
          <w:rFonts w:hint="eastAsia"/>
          <w:color w:val="auto"/>
          <w:highlight w:val="none"/>
        </w:rPr>
        <w:t>47种，包括鱼类24种、甲壳类14种、头足类4种、棘皮类4种、贝类1种。</w:t>
      </w:r>
    </w:p>
    <w:p>
      <w:pPr>
        <w:autoSpaceDE w:val="0"/>
        <w:autoSpaceDN w:val="0"/>
        <w:adjustRightInd w:val="0"/>
        <w:ind w:firstLine="632"/>
        <w:jc w:val="left"/>
        <w:rPr>
          <w:color w:val="auto"/>
          <w:highlight w:val="none"/>
        </w:rPr>
      </w:pPr>
      <w:r>
        <w:rPr>
          <w:color w:val="auto"/>
          <w:highlight w:val="none"/>
        </w:rPr>
        <w:t>本区主要保护对象为海岛生态系统</w:t>
      </w:r>
      <w:r>
        <w:rPr>
          <w:rFonts w:hint="eastAsia"/>
          <w:color w:val="auto"/>
          <w:highlight w:val="none"/>
        </w:rPr>
        <w:t>、重点保护或珍稀濒危野生动物</w:t>
      </w:r>
      <w:r>
        <w:rPr>
          <w:color w:val="auto"/>
          <w:highlight w:val="none"/>
        </w:rPr>
        <w:t>和海洋生物资源，包括</w:t>
      </w:r>
      <w:r>
        <w:rPr>
          <w:rFonts w:hint="eastAsia"/>
          <w:color w:val="auto"/>
          <w:highlight w:val="none"/>
        </w:rPr>
        <w:t>黄胸</w:t>
      </w:r>
      <w:r>
        <w:rPr>
          <w:rFonts w:hint="eastAsia" w:ascii="微软雅黑" w:hAnsi="微软雅黑" w:eastAsia="微软雅黑" w:cs="微软雅黑"/>
          <w:color w:val="auto"/>
          <w:highlight w:val="none"/>
        </w:rPr>
        <w:t>鹀</w:t>
      </w:r>
      <w:r>
        <w:rPr>
          <w:rFonts w:hint="eastAsia" w:ascii="仿宋_GB2312" w:hAnsi="仿宋_GB2312" w:cs="仿宋_GB2312"/>
          <w:color w:val="auto"/>
          <w:highlight w:val="none"/>
        </w:rPr>
        <w:t>、黄嘴白鹭、</w:t>
      </w:r>
      <w:r>
        <w:rPr>
          <w:color w:val="auto"/>
          <w:highlight w:val="none"/>
        </w:rPr>
        <w:t>游隼、红隼、燕隼、赤腹鹰、</w:t>
      </w:r>
      <w:r>
        <w:rPr>
          <w:rFonts w:hint="eastAsia"/>
          <w:color w:val="auto"/>
          <w:highlight w:val="none"/>
        </w:rPr>
        <w:t>暗绿背</w:t>
      </w:r>
      <w:r>
        <w:rPr>
          <w:color w:val="auto"/>
          <w:highlight w:val="none"/>
        </w:rPr>
        <w:t>鸬鹚</w:t>
      </w:r>
      <w:r>
        <w:rPr>
          <w:rFonts w:hint="eastAsia"/>
          <w:color w:val="auto"/>
          <w:highlight w:val="none"/>
        </w:rPr>
        <w:t>、扁嘴海雀、白额鹱</w:t>
      </w:r>
      <w:r>
        <w:rPr>
          <w:color w:val="auto"/>
          <w:highlight w:val="none"/>
        </w:rPr>
        <w:t>等</w:t>
      </w:r>
      <w:r>
        <w:rPr>
          <w:rFonts w:hint="eastAsia"/>
          <w:color w:val="auto"/>
          <w:highlight w:val="none"/>
        </w:rPr>
        <w:t>珍稀濒危、重点保护</w:t>
      </w:r>
      <w:r>
        <w:rPr>
          <w:color w:val="auto"/>
          <w:highlight w:val="none"/>
        </w:rPr>
        <w:t>及有重要生态、科学、社会价值</w:t>
      </w:r>
      <w:r>
        <w:rPr>
          <w:rFonts w:hint="eastAsia"/>
          <w:color w:val="auto"/>
          <w:highlight w:val="none"/>
        </w:rPr>
        <w:t>的鸟类</w:t>
      </w:r>
      <w:r>
        <w:rPr>
          <w:color w:val="auto"/>
          <w:highlight w:val="none"/>
        </w:rPr>
        <w:t>，以及</w:t>
      </w:r>
      <w:r>
        <w:rPr>
          <w:rFonts w:hint="eastAsia"/>
          <w:color w:val="auto"/>
          <w:highlight w:val="none"/>
        </w:rPr>
        <w:t>鹰爪糙对虾、日本枪乌贼、罗氏海盘车、</w:t>
      </w:r>
      <w:r>
        <w:rPr>
          <w:color w:val="auto"/>
          <w:highlight w:val="none"/>
        </w:rPr>
        <w:t>双斑</w:t>
      </w:r>
      <w:r>
        <w:rPr>
          <w:rFonts w:hint="eastAsia" w:ascii="微软雅黑" w:hAnsi="微软雅黑" w:eastAsia="微软雅黑" w:cs="微软雅黑"/>
          <w:color w:val="auto"/>
          <w:highlight w:val="none"/>
        </w:rPr>
        <w:t>蟳</w:t>
      </w:r>
      <w:r>
        <w:rPr>
          <w:rFonts w:hint="eastAsia"/>
          <w:color w:val="auto"/>
          <w:highlight w:val="none"/>
        </w:rPr>
        <w:t>、黄</w:t>
      </w:r>
      <w:r>
        <w:rPr>
          <w:rFonts w:hint="eastAsia" w:ascii="微软雅黑" w:hAnsi="微软雅黑" w:eastAsia="微软雅黑" w:cs="微软雅黑"/>
          <w:color w:val="auto"/>
          <w:highlight w:val="none"/>
        </w:rPr>
        <w:t>鮟鱇</w:t>
      </w:r>
      <w:r>
        <w:rPr>
          <w:rFonts w:hint="eastAsia" w:ascii="仿宋_GB2312" w:hAnsi="仿宋_GB2312" w:cs="仿宋_GB2312"/>
          <w:color w:val="auto"/>
          <w:highlight w:val="none"/>
        </w:rPr>
        <w:t>、日本鲟、</w:t>
      </w:r>
      <w:r>
        <w:rPr>
          <w:rFonts w:hint="eastAsia"/>
          <w:color w:val="auto"/>
          <w:highlight w:val="none"/>
        </w:rPr>
        <w:t>长蛸、大泷六线鱼、细纹狮子鱼、白姑鱼、</w:t>
      </w:r>
      <w:r>
        <w:rPr>
          <w:rFonts w:hint="eastAsia" w:ascii="仿宋_GB2312" w:hAnsi="仿宋_GB2312" w:cs="仿宋_GB2312"/>
          <w:color w:val="auto"/>
          <w:highlight w:val="none"/>
        </w:rPr>
        <w:t>大泷六线鱼、葛氏长臂虾等海洋生物资源。</w:t>
      </w:r>
    </w:p>
    <w:p>
      <w:pPr>
        <w:pStyle w:val="7"/>
        <w:ind w:firstLine="632"/>
        <w:rPr>
          <w:color w:val="auto"/>
          <w:highlight w:val="none"/>
        </w:rPr>
      </w:pPr>
      <w:r>
        <w:rPr>
          <w:color w:val="auto"/>
          <w:highlight w:val="none"/>
        </w:rPr>
        <w:t>1.2灵山岛生物多样性保护优先区域</w:t>
      </w:r>
    </w:p>
    <w:p>
      <w:pPr>
        <w:ind w:firstLine="632"/>
        <w:rPr>
          <w:color w:val="auto"/>
          <w:highlight w:val="none"/>
        </w:rPr>
      </w:pPr>
      <w:r>
        <w:rPr>
          <w:color w:val="auto"/>
          <w:highlight w:val="none"/>
        </w:rPr>
        <w:t>灵山岛是青岛市陆地面积最大的海岛，为7.88 km</w:t>
      </w:r>
      <w:r>
        <w:rPr>
          <w:color w:val="auto"/>
          <w:highlight w:val="none"/>
          <w:vertAlign w:val="superscript"/>
        </w:rPr>
        <w:t>2</w:t>
      </w:r>
      <w:r>
        <w:rPr>
          <w:color w:val="auto"/>
          <w:highlight w:val="none"/>
        </w:rPr>
        <w:t>，同时，也是北方第一高岛，最高海拔513.6 m。目前已建立省级自然保护</w:t>
      </w:r>
      <w:r>
        <w:rPr>
          <w:rFonts w:hint="eastAsia"/>
          <w:color w:val="auto"/>
          <w:highlight w:val="none"/>
        </w:rPr>
        <w:t>区</w:t>
      </w:r>
      <w:r>
        <w:rPr>
          <w:color w:val="auto"/>
          <w:highlight w:val="none"/>
        </w:rPr>
        <w:t>和省级海洋特别保护区，保护区面积214.53 km</w:t>
      </w:r>
      <w:r>
        <w:rPr>
          <w:color w:val="auto"/>
          <w:highlight w:val="none"/>
          <w:vertAlign w:val="superscript"/>
        </w:rPr>
        <w:t>2</w:t>
      </w:r>
      <w:r>
        <w:rPr>
          <w:color w:val="auto"/>
          <w:highlight w:val="none"/>
        </w:rPr>
        <w:t>，即是海洋生物多样性保护优先区域范围。</w:t>
      </w:r>
    </w:p>
    <w:p>
      <w:pPr>
        <w:ind w:firstLine="632"/>
        <w:rPr>
          <w:color w:val="auto"/>
          <w:highlight w:val="none"/>
        </w:rPr>
      </w:pPr>
      <w:r>
        <w:rPr>
          <w:color w:val="auto"/>
          <w:highlight w:val="none"/>
        </w:rPr>
        <w:t>本区陆地面积7.88 km</w:t>
      </w:r>
      <w:r>
        <w:rPr>
          <w:color w:val="auto"/>
          <w:highlight w:val="none"/>
          <w:vertAlign w:val="superscript"/>
        </w:rPr>
        <w:t>2</w:t>
      </w:r>
      <w:r>
        <w:rPr>
          <w:color w:val="auto"/>
          <w:highlight w:val="none"/>
        </w:rPr>
        <w:t>，有维管束植物324种，隶属于81科</w:t>
      </w:r>
      <w:r>
        <w:rPr>
          <w:rFonts w:hint="eastAsia"/>
          <w:color w:val="auto"/>
          <w:highlight w:val="none"/>
        </w:rPr>
        <w:t>，</w:t>
      </w:r>
      <w:r>
        <w:rPr>
          <w:color w:val="auto"/>
          <w:highlight w:val="none"/>
        </w:rPr>
        <w:t>其中</w:t>
      </w:r>
      <w:r>
        <w:rPr>
          <w:rFonts w:hint="eastAsia"/>
          <w:color w:val="auto"/>
          <w:highlight w:val="none"/>
        </w:rPr>
        <w:t>，</w:t>
      </w:r>
      <w:r>
        <w:rPr>
          <w:color w:val="auto"/>
          <w:highlight w:val="none"/>
        </w:rPr>
        <w:t>菊科最多，共38种；禾木科29种，豆科28种。野生动物317种，其中</w:t>
      </w:r>
      <w:r>
        <w:rPr>
          <w:rFonts w:hint="eastAsia"/>
          <w:color w:val="auto"/>
          <w:highlight w:val="none"/>
        </w:rPr>
        <w:t>，</w:t>
      </w:r>
      <w:r>
        <w:rPr>
          <w:color w:val="auto"/>
          <w:highlight w:val="none"/>
        </w:rPr>
        <w:t>哺乳类8种、爬行类8种、鸟类300种。</w:t>
      </w:r>
      <w:r>
        <w:rPr>
          <w:rFonts w:hint="eastAsia"/>
          <w:color w:val="auto"/>
          <w:highlight w:val="none"/>
        </w:rPr>
        <w:t>其他生物类群，如昆虫等尚未做过全面系统的本底调查。</w:t>
      </w:r>
    </w:p>
    <w:p>
      <w:pPr>
        <w:ind w:firstLine="632"/>
        <w:rPr>
          <w:color w:val="auto"/>
          <w:highlight w:val="none"/>
        </w:rPr>
      </w:pPr>
      <w:r>
        <w:rPr>
          <w:color w:val="auto"/>
          <w:highlight w:val="none"/>
        </w:rPr>
        <w:t>本区海洋面积206.65 km</w:t>
      </w:r>
      <w:r>
        <w:rPr>
          <w:color w:val="auto"/>
          <w:highlight w:val="none"/>
          <w:vertAlign w:val="superscript"/>
        </w:rPr>
        <w:t>2</w:t>
      </w:r>
      <w:r>
        <w:rPr>
          <w:color w:val="auto"/>
          <w:highlight w:val="none"/>
        </w:rPr>
        <w:t>，目前浮游植物有48种，隶属于16目19科23属；浮游动物23种，隶属于10目20科20属；大型底栖动物34种，隶属15目31科33属；游泳动物76种，其中鱼类46种，甲壳类24种，软体类5 种和后鳃类1种。</w:t>
      </w:r>
    </w:p>
    <w:p>
      <w:pPr>
        <w:ind w:firstLine="632"/>
        <w:rPr>
          <w:color w:val="auto"/>
          <w:highlight w:val="none"/>
        </w:rPr>
      </w:pPr>
      <w:r>
        <w:rPr>
          <w:color w:val="auto"/>
          <w:highlight w:val="none"/>
        </w:rPr>
        <w:t>本区主要保护对象为海岛生态系统</w:t>
      </w:r>
      <w:r>
        <w:rPr>
          <w:rFonts w:hint="eastAsia"/>
          <w:color w:val="auto"/>
          <w:highlight w:val="none"/>
        </w:rPr>
        <w:t>，栖息或迁徙过境、停歇的重点保护、珍稀濒危野生</w:t>
      </w:r>
      <w:r>
        <w:rPr>
          <w:color w:val="auto"/>
          <w:highlight w:val="none"/>
        </w:rPr>
        <w:t>动物</w:t>
      </w:r>
      <w:r>
        <w:rPr>
          <w:rFonts w:hint="eastAsia"/>
          <w:color w:val="auto"/>
          <w:highlight w:val="none"/>
        </w:rPr>
        <w:t>以及</w:t>
      </w:r>
      <w:r>
        <w:rPr>
          <w:color w:val="auto"/>
          <w:highlight w:val="none"/>
        </w:rPr>
        <w:t>海洋生物资源</w:t>
      </w:r>
      <w:r>
        <w:rPr>
          <w:rFonts w:hint="eastAsia"/>
          <w:color w:val="auto"/>
          <w:highlight w:val="none"/>
        </w:rPr>
        <w:t>等</w:t>
      </w:r>
      <w:r>
        <w:rPr>
          <w:color w:val="auto"/>
          <w:highlight w:val="none"/>
        </w:rPr>
        <w:t>，包括</w:t>
      </w:r>
      <w:r>
        <w:rPr>
          <w:rFonts w:hint="eastAsia"/>
          <w:color w:val="auto"/>
          <w:highlight w:val="none"/>
        </w:rPr>
        <w:t>栗</w:t>
      </w:r>
      <w:r>
        <w:rPr>
          <w:rFonts w:hint="eastAsia" w:ascii="微软雅黑" w:hAnsi="微软雅黑" w:eastAsia="微软雅黑" w:cs="微软雅黑"/>
          <w:color w:val="auto"/>
          <w:highlight w:val="none"/>
        </w:rPr>
        <w:t>鳽</w:t>
      </w:r>
      <w:r>
        <w:rPr>
          <w:rFonts w:hint="eastAsia"/>
          <w:color w:val="auto"/>
          <w:highlight w:val="none"/>
        </w:rPr>
        <w:t>、黄胸</w:t>
      </w:r>
      <w:r>
        <w:rPr>
          <w:rFonts w:hint="eastAsia" w:ascii="微软雅黑" w:hAnsi="微软雅黑" w:eastAsia="微软雅黑" w:cs="微软雅黑"/>
          <w:color w:val="auto"/>
          <w:highlight w:val="none"/>
        </w:rPr>
        <w:t>鹀</w:t>
      </w:r>
      <w:r>
        <w:rPr>
          <w:rFonts w:hint="eastAsia"/>
          <w:color w:val="auto"/>
          <w:highlight w:val="none"/>
        </w:rPr>
        <w:t>、棕腹啄木鸟、比氏</w:t>
      </w:r>
      <w:r>
        <w:rPr>
          <w:rFonts w:hint="eastAsia" w:ascii="微软雅黑" w:hAnsi="微软雅黑" w:eastAsia="微软雅黑" w:cs="微软雅黑"/>
          <w:color w:val="auto"/>
          <w:highlight w:val="none"/>
        </w:rPr>
        <w:t>鹟</w:t>
      </w:r>
      <w:r>
        <w:rPr>
          <w:rFonts w:hint="eastAsia" w:ascii="仿宋_GB2312" w:hAnsi="仿宋_GB2312" w:cs="仿宋_GB2312"/>
          <w:color w:val="auto"/>
          <w:highlight w:val="none"/>
        </w:rPr>
        <w:t>莺、凤头蜂鹰、雀鹰、日本松雀鹰、游隼、海鸬鹚</w:t>
      </w:r>
      <w:r>
        <w:rPr>
          <w:rFonts w:hint="eastAsia"/>
          <w:color w:val="auto"/>
          <w:highlight w:val="none"/>
        </w:rPr>
        <w:t>等野生鸟类</w:t>
      </w:r>
      <w:r>
        <w:rPr>
          <w:color w:val="auto"/>
          <w:highlight w:val="none"/>
        </w:rPr>
        <w:t>，以及</w:t>
      </w:r>
      <w:r>
        <w:rPr>
          <w:rFonts w:hint="eastAsia" w:ascii="微软雅黑" w:hAnsi="微软雅黑" w:eastAsia="微软雅黑" w:cs="微软雅黑"/>
          <w:color w:val="auto"/>
          <w:highlight w:val="none"/>
        </w:rPr>
        <w:t>鳀</w:t>
      </w:r>
      <w:r>
        <w:rPr>
          <w:rFonts w:hint="eastAsia"/>
          <w:color w:val="auto"/>
          <w:highlight w:val="none"/>
        </w:rPr>
        <w:t>、玉筋鱼、星康吉鳗、鹰爪虾、戴氏赤虾、火枪乌贼等海洋水产资源。</w:t>
      </w:r>
    </w:p>
    <w:p>
      <w:pPr>
        <w:pStyle w:val="7"/>
        <w:ind w:firstLine="632"/>
        <w:rPr>
          <w:color w:val="auto"/>
          <w:highlight w:val="none"/>
        </w:rPr>
      </w:pPr>
      <w:r>
        <w:rPr>
          <w:color w:val="auto"/>
          <w:highlight w:val="none"/>
        </w:rPr>
        <w:t>1.3大小管岛生物多样性保护优先区域</w:t>
      </w:r>
    </w:p>
    <w:p>
      <w:pPr>
        <w:ind w:firstLine="632"/>
        <w:rPr>
          <w:color w:val="auto"/>
          <w:highlight w:val="none"/>
        </w:rPr>
      </w:pPr>
      <w:r>
        <w:rPr>
          <w:color w:val="auto"/>
          <w:highlight w:val="none"/>
        </w:rPr>
        <w:t>大小管岛陆地面积分别是0.58 km</w:t>
      </w:r>
      <w:r>
        <w:rPr>
          <w:color w:val="auto"/>
          <w:highlight w:val="none"/>
          <w:vertAlign w:val="superscript"/>
        </w:rPr>
        <w:t>2</w:t>
      </w:r>
      <w:r>
        <w:rPr>
          <w:color w:val="auto"/>
          <w:highlight w:val="none"/>
        </w:rPr>
        <w:t>、0.29 km</w:t>
      </w:r>
      <w:r>
        <w:rPr>
          <w:color w:val="auto"/>
          <w:highlight w:val="none"/>
          <w:vertAlign w:val="superscript"/>
        </w:rPr>
        <w:t>2</w:t>
      </w:r>
      <w:r>
        <w:rPr>
          <w:color w:val="auto"/>
          <w:highlight w:val="none"/>
        </w:rPr>
        <w:t>，目前</w:t>
      </w:r>
      <w:r>
        <w:rPr>
          <w:rFonts w:hint="eastAsia"/>
          <w:color w:val="auto"/>
          <w:highlight w:val="none"/>
        </w:rPr>
        <w:t>部分岛体及周边海域</w:t>
      </w:r>
      <w:r>
        <w:rPr>
          <w:color w:val="auto"/>
          <w:highlight w:val="none"/>
        </w:rPr>
        <w:t>已建立省级海洋</w:t>
      </w:r>
      <w:r>
        <w:rPr>
          <w:rFonts w:hint="eastAsia"/>
          <w:color w:val="auto"/>
          <w:highlight w:val="none"/>
        </w:rPr>
        <w:t>公园</w:t>
      </w:r>
      <w:r>
        <w:rPr>
          <w:color w:val="auto"/>
          <w:highlight w:val="none"/>
        </w:rPr>
        <w:t>，</w:t>
      </w:r>
      <w:r>
        <w:rPr>
          <w:rFonts w:hint="eastAsia"/>
          <w:color w:val="auto"/>
          <w:highlight w:val="none"/>
        </w:rPr>
        <w:t>海洋公园</w:t>
      </w:r>
      <w:r>
        <w:rPr>
          <w:color w:val="auto"/>
          <w:highlight w:val="none"/>
        </w:rPr>
        <w:t>面积</w:t>
      </w:r>
      <w:r>
        <w:rPr>
          <w:rFonts w:hint="eastAsia"/>
          <w:color w:val="auto"/>
          <w:highlight w:val="none"/>
        </w:rPr>
        <w:t>35.38</w:t>
      </w:r>
      <w:r>
        <w:rPr>
          <w:color w:val="auto"/>
          <w:highlight w:val="none"/>
        </w:rPr>
        <w:t xml:space="preserve"> km</w:t>
      </w:r>
      <w:r>
        <w:rPr>
          <w:color w:val="auto"/>
          <w:highlight w:val="none"/>
          <w:vertAlign w:val="superscript"/>
        </w:rPr>
        <w:t>2</w:t>
      </w:r>
      <w:r>
        <w:rPr>
          <w:color w:val="auto"/>
          <w:highlight w:val="none"/>
        </w:rPr>
        <w:t>，即是海洋生物多样性保护优先区域范围。大小管岛属暖温带季风气候，岛上植被繁茂，</w:t>
      </w:r>
      <w:r>
        <w:rPr>
          <w:rFonts w:hint="eastAsia"/>
          <w:color w:val="auto"/>
          <w:highlight w:val="none"/>
        </w:rPr>
        <w:t>是春秋季节候鸟迁徙过境的重要通道和短暂停留地。</w:t>
      </w:r>
    </w:p>
    <w:p>
      <w:pPr>
        <w:ind w:firstLine="632"/>
        <w:rPr>
          <w:color w:val="auto"/>
          <w:highlight w:val="none"/>
        </w:rPr>
      </w:pPr>
      <w:r>
        <w:rPr>
          <w:color w:val="auto"/>
          <w:highlight w:val="none"/>
        </w:rPr>
        <w:t>本区陆地面积为</w:t>
      </w:r>
      <w:r>
        <w:rPr>
          <w:rFonts w:hint="eastAsia"/>
          <w:color w:val="auto"/>
          <w:highlight w:val="none"/>
        </w:rPr>
        <w:t>0.28</w:t>
      </w:r>
      <w:r>
        <w:rPr>
          <w:color w:val="auto"/>
          <w:highlight w:val="none"/>
        </w:rPr>
        <w:t>km</w:t>
      </w:r>
      <w:r>
        <w:rPr>
          <w:color w:val="auto"/>
          <w:highlight w:val="none"/>
          <w:vertAlign w:val="superscript"/>
        </w:rPr>
        <w:t>2</w:t>
      </w:r>
      <w:r>
        <w:rPr>
          <w:color w:val="auto"/>
          <w:highlight w:val="none"/>
        </w:rPr>
        <w:t>，森林覆盖</w:t>
      </w:r>
      <w:r>
        <w:rPr>
          <w:rFonts w:hint="eastAsia"/>
          <w:color w:val="auto"/>
          <w:highlight w:val="none"/>
        </w:rPr>
        <w:t>率</w:t>
      </w:r>
      <w:r>
        <w:rPr>
          <w:color w:val="auto"/>
          <w:highlight w:val="none"/>
        </w:rPr>
        <w:t>约60%，其中野生木本植物有4种，草本植物有9种；人工栽培的木本植物有9种，草本植物有6种。由于地理环境特殊，大管岛上分布有亚热带常绿树种</w:t>
      </w:r>
      <w:r>
        <w:rPr>
          <w:rFonts w:hint="eastAsia"/>
          <w:color w:val="auto"/>
          <w:highlight w:val="none"/>
        </w:rPr>
        <w:t>山茶（耐冬）和红楠</w:t>
      </w:r>
      <w:r>
        <w:rPr>
          <w:color w:val="auto"/>
          <w:highlight w:val="none"/>
        </w:rPr>
        <w:t>，其中岛东侧有47棵山茶已有600多年。野生动物主要是鸟类，约有20种，春秋季有珍禽候鸟途经。</w:t>
      </w:r>
    </w:p>
    <w:p>
      <w:pPr>
        <w:ind w:firstLine="632"/>
        <w:rPr>
          <w:color w:val="auto"/>
          <w:highlight w:val="none"/>
        </w:rPr>
      </w:pPr>
      <w:r>
        <w:rPr>
          <w:color w:val="auto"/>
          <w:highlight w:val="none"/>
        </w:rPr>
        <w:t>本区海洋面积</w:t>
      </w:r>
      <w:r>
        <w:rPr>
          <w:rFonts w:hint="eastAsia"/>
          <w:color w:val="auto"/>
          <w:highlight w:val="none"/>
        </w:rPr>
        <w:t>35.10</w:t>
      </w:r>
      <w:r>
        <w:rPr>
          <w:color w:val="auto"/>
          <w:highlight w:val="none"/>
        </w:rPr>
        <w:t xml:space="preserve"> km</w:t>
      </w:r>
      <w:r>
        <w:rPr>
          <w:color w:val="auto"/>
          <w:highlight w:val="none"/>
          <w:vertAlign w:val="superscript"/>
        </w:rPr>
        <w:t>2</w:t>
      </w:r>
      <w:r>
        <w:rPr>
          <w:color w:val="auto"/>
          <w:highlight w:val="none"/>
        </w:rPr>
        <w:t>，</w:t>
      </w:r>
      <w:r>
        <w:rPr>
          <w:rFonts w:hint="eastAsia"/>
          <w:color w:val="auto"/>
          <w:highlight w:val="none"/>
        </w:rPr>
        <w:t>据初步调查统计，</w:t>
      </w:r>
      <w:r>
        <w:rPr>
          <w:color w:val="auto"/>
          <w:highlight w:val="none"/>
        </w:rPr>
        <w:t>浮游植物有33种，隶属于14目16科16属；浮游动物22种，隶属于9目18科18属；大型底栖动物25种，隶属12目22科24属；游泳动物未开展过系统地物种调查。</w:t>
      </w:r>
    </w:p>
    <w:p>
      <w:pPr>
        <w:ind w:firstLine="632"/>
        <w:rPr>
          <w:color w:val="auto"/>
          <w:highlight w:val="none"/>
        </w:rPr>
      </w:pPr>
      <w:r>
        <w:rPr>
          <w:color w:val="auto"/>
          <w:highlight w:val="none"/>
        </w:rPr>
        <w:t>本区主要保护对象为海岛生态系统</w:t>
      </w:r>
      <w:r>
        <w:rPr>
          <w:rFonts w:hint="eastAsia"/>
          <w:color w:val="auto"/>
          <w:highlight w:val="none"/>
        </w:rPr>
        <w:t>，野生植物资源，栖息或迁徙过境、停歇的重点保护、珍稀濒危野生</w:t>
      </w:r>
      <w:r>
        <w:rPr>
          <w:color w:val="auto"/>
          <w:highlight w:val="none"/>
        </w:rPr>
        <w:t>动物资源</w:t>
      </w:r>
      <w:r>
        <w:rPr>
          <w:rFonts w:hint="eastAsia"/>
          <w:color w:val="auto"/>
          <w:highlight w:val="none"/>
        </w:rPr>
        <w:t>以及</w:t>
      </w:r>
      <w:r>
        <w:rPr>
          <w:color w:val="auto"/>
          <w:highlight w:val="none"/>
        </w:rPr>
        <w:t>海洋生物资源</w:t>
      </w:r>
      <w:r>
        <w:rPr>
          <w:rFonts w:hint="eastAsia"/>
          <w:color w:val="auto"/>
          <w:highlight w:val="none"/>
        </w:rPr>
        <w:t>等</w:t>
      </w:r>
      <w:r>
        <w:rPr>
          <w:color w:val="auto"/>
          <w:highlight w:val="none"/>
        </w:rPr>
        <w:t>，包括</w:t>
      </w:r>
      <w:r>
        <w:rPr>
          <w:rFonts w:hint="eastAsia"/>
          <w:color w:val="auto"/>
          <w:highlight w:val="none"/>
        </w:rPr>
        <w:t>山茶、石竹、红楠等陆生植物，游隼、黑尾鸥、红隼等野生动物，以及三疣梭子蟹、葛氏长臂虾、海蜇虾、周氏新对虾、鲜明鼓虾、金乌贼等海洋水产资源</w:t>
      </w:r>
      <w:r>
        <w:rPr>
          <w:color w:val="auto"/>
          <w:highlight w:val="none"/>
        </w:rPr>
        <w:t>。</w:t>
      </w:r>
    </w:p>
    <w:p>
      <w:pPr>
        <w:pStyle w:val="7"/>
        <w:ind w:firstLine="632"/>
        <w:rPr>
          <w:color w:val="auto"/>
          <w:highlight w:val="none"/>
        </w:rPr>
      </w:pPr>
      <w:r>
        <w:rPr>
          <w:color w:val="auto"/>
          <w:highlight w:val="none"/>
        </w:rPr>
        <w:t>1.4长岩门岛生物多样性保护优先区域</w:t>
      </w:r>
    </w:p>
    <w:p>
      <w:pPr>
        <w:ind w:firstLine="632"/>
        <w:rPr>
          <w:color w:val="auto"/>
          <w:highlight w:val="none"/>
        </w:rPr>
      </w:pPr>
      <w:r>
        <w:rPr>
          <w:color w:val="auto"/>
          <w:highlight w:val="none"/>
        </w:rPr>
        <w:t>长门岩岛已建立省级特殊保护海岛，保护区面积为9.90 km</w:t>
      </w:r>
      <w:r>
        <w:rPr>
          <w:color w:val="auto"/>
          <w:highlight w:val="none"/>
          <w:vertAlign w:val="superscript"/>
        </w:rPr>
        <w:t>2</w:t>
      </w:r>
      <w:r>
        <w:rPr>
          <w:color w:val="auto"/>
          <w:highlight w:val="none"/>
        </w:rPr>
        <w:t>，即是海洋生物多样性保护优先区域范围。本区陆地面积0.16 km</w:t>
      </w:r>
      <w:r>
        <w:rPr>
          <w:color w:val="auto"/>
          <w:highlight w:val="none"/>
          <w:vertAlign w:val="superscript"/>
        </w:rPr>
        <w:t>2</w:t>
      </w:r>
      <w:r>
        <w:rPr>
          <w:color w:val="auto"/>
          <w:highlight w:val="none"/>
        </w:rPr>
        <w:t>，属暖温带气候，</w:t>
      </w:r>
      <w:r>
        <w:rPr>
          <w:rFonts w:hint="eastAsia"/>
          <w:color w:val="auto"/>
          <w:highlight w:val="none"/>
        </w:rPr>
        <w:t>尚未进行系统全面的陆地生物多样性资源本底调查。</w:t>
      </w:r>
      <w:r>
        <w:rPr>
          <w:color w:val="auto"/>
          <w:highlight w:val="none"/>
        </w:rPr>
        <w:t>因为特殊地理位置和环境，分布有亚热带常绿植物山茶和红楠。</w:t>
      </w:r>
      <w:r>
        <w:rPr>
          <w:rFonts w:hint="eastAsia"/>
          <w:color w:val="auto"/>
          <w:highlight w:val="none"/>
        </w:rPr>
        <w:t>其中，</w:t>
      </w:r>
      <w:r>
        <w:rPr>
          <w:color w:val="auto"/>
          <w:highlight w:val="none"/>
        </w:rPr>
        <w:t>山茶</w:t>
      </w:r>
      <w:r>
        <w:rPr>
          <w:rFonts w:hint="eastAsia"/>
          <w:color w:val="auto"/>
          <w:highlight w:val="none"/>
        </w:rPr>
        <w:t>有</w:t>
      </w:r>
      <w:r>
        <w:rPr>
          <w:color w:val="auto"/>
          <w:highlight w:val="none"/>
        </w:rPr>
        <w:t>645株，最老的山茶已1300多年</w:t>
      </w:r>
      <w:r>
        <w:rPr>
          <w:rFonts w:hint="eastAsia"/>
          <w:color w:val="auto"/>
          <w:highlight w:val="none"/>
        </w:rPr>
        <w:t>；</w:t>
      </w:r>
      <w:r>
        <w:rPr>
          <w:color w:val="auto"/>
          <w:highlight w:val="none"/>
        </w:rPr>
        <w:t>原生的红楠已基本绝迹，现存红楠均为砍伐后由树</w:t>
      </w:r>
      <w:r>
        <w:rPr>
          <w:rFonts w:hint="eastAsia"/>
          <w:color w:val="auto"/>
          <w:highlight w:val="none"/>
        </w:rPr>
        <w:t>桩</w:t>
      </w:r>
      <w:r>
        <w:rPr>
          <w:color w:val="auto"/>
          <w:highlight w:val="none"/>
        </w:rPr>
        <w:t>萌发的丛生枝条。此外，岛上还分布着最古老的树种之一</w:t>
      </w:r>
      <w:r>
        <w:rPr>
          <w:rFonts w:hint="eastAsia"/>
          <w:color w:val="auto"/>
          <w:highlight w:val="none"/>
        </w:rPr>
        <w:t>—</w:t>
      </w:r>
      <w:r>
        <w:rPr>
          <w:color w:val="auto"/>
          <w:highlight w:val="none"/>
        </w:rPr>
        <w:t>海枣，主要为人工栽培。</w:t>
      </w:r>
      <w:r>
        <w:rPr>
          <w:rFonts w:hint="eastAsia"/>
          <w:color w:val="auto"/>
          <w:highlight w:val="none"/>
        </w:rPr>
        <w:t>长门岩岛是青岛市最大的鸟岛，也是青岛唯一的鸟类繁殖岛，每年迁徙季，大量候鸟在此落脚休息；每年繁殖季，黄嘴白鹭、黑尾鸥、黑叉尾海燕等珍稀濒危、重点保护或</w:t>
      </w:r>
      <w:r>
        <w:rPr>
          <w:color w:val="auto"/>
          <w:highlight w:val="none"/>
        </w:rPr>
        <w:t>有重要生态、科学、社会价值</w:t>
      </w:r>
      <w:r>
        <w:rPr>
          <w:rFonts w:hint="eastAsia"/>
          <w:color w:val="auto"/>
          <w:highlight w:val="none"/>
        </w:rPr>
        <w:t>的野生鸟类在此繁殖。</w:t>
      </w:r>
    </w:p>
    <w:p>
      <w:pPr>
        <w:ind w:firstLine="632"/>
        <w:rPr>
          <w:color w:val="auto"/>
          <w:highlight w:val="none"/>
        </w:rPr>
      </w:pPr>
      <w:r>
        <w:rPr>
          <w:color w:val="auto"/>
          <w:highlight w:val="none"/>
        </w:rPr>
        <w:t>本区海洋面积9.74 km</w:t>
      </w:r>
      <w:r>
        <w:rPr>
          <w:color w:val="auto"/>
          <w:highlight w:val="none"/>
          <w:vertAlign w:val="superscript"/>
        </w:rPr>
        <w:t>2</w:t>
      </w:r>
      <w:r>
        <w:rPr>
          <w:color w:val="auto"/>
          <w:highlight w:val="none"/>
        </w:rPr>
        <w:t>，也未</w:t>
      </w:r>
      <w:r>
        <w:rPr>
          <w:rFonts w:hint="eastAsia"/>
          <w:color w:val="auto"/>
          <w:highlight w:val="none"/>
        </w:rPr>
        <w:t>全面</w:t>
      </w:r>
      <w:r>
        <w:rPr>
          <w:color w:val="auto"/>
          <w:highlight w:val="none"/>
        </w:rPr>
        <w:t>系统地</w:t>
      </w:r>
      <w:r>
        <w:rPr>
          <w:rFonts w:hint="eastAsia"/>
          <w:color w:val="auto"/>
          <w:highlight w:val="none"/>
        </w:rPr>
        <w:t>进行海洋生物多样性本底</w:t>
      </w:r>
      <w:r>
        <w:rPr>
          <w:color w:val="auto"/>
          <w:highlight w:val="none"/>
        </w:rPr>
        <w:t>调查。</w:t>
      </w:r>
    </w:p>
    <w:p>
      <w:pPr>
        <w:ind w:firstLine="632"/>
        <w:rPr>
          <w:rFonts w:ascii="仿宋_GB2312" w:hAnsi="仿宋_GB2312" w:cs="仿宋_GB2312"/>
          <w:color w:val="auto"/>
          <w:highlight w:val="none"/>
        </w:rPr>
      </w:pPr>
      <w:r>
        <w:rPr>
          <w:color w:val="auto"/>
          <w:highlight w:val="none"/>
        </w:rPr>
        <w:t>本区主要保护对象为海岛生态系统</w:t>
      </w:r>
      <w:r>
        <w:rPr>
          <w:rFonts w:hint="eastAsia"/>
          <w:color w:val="auto"/>
          <w:highlight w:val="none"/>
        </w:rPr>
        <w:t>，野生植物资源及古树名木，栖息、繁殖或迁徙过境、停歇的重点保护、珍稀濒危野生</w:t>
      </w:r>
      <w:r>
        <w:rPr>
          <w:color w:val="auto"/>
          <w:highlight w:val="none"/>
        </w:rPr>
        <w:t>动物资源</w:t>
      </w:r>
      <w:r>
        <w:rPr>
          <w:rFonts w:hint="eastAsia"/>
          <w:color w:val="auto"/>
          <w:highlight w:val="none"/>
        </w:rPr>
        <w:t>以及</w:t>
      </w:r>
      <w:r>
        <w:rPr>
          <w:color w:val="auto"/>
          <w:highlight w:val="none"/>
        </w:rPr>
        <w:t>海洋生物资源</w:t>
      </w:r>
      <w:r>
        <w:rPr>
          <w:rFonts w:hint="eastAsia"/>
          <w:color w:val="auto"/>
          <w:highlight w:val="none"/>
        </w:rPr>
        <w:t>等</w:t>
      </w:r>
      <w:r>
        <w:rPr>
          <w:color w:val="auto"/>
          <w:highlight w:val="none"/>
        </w:rPr>
        <w:t>，包括</w:t>
      </w:r>
      <w:r>
        <w:rPr>
          <w:rFonts w:hint="eastAsia"/>
          <w:color w:val="auto"/>
          <w:highlight w:val="none"/>
        </w:rPr>
        <w:t>山茶、红楠、海枣、大叶胡颓子等陆生植物资源，黄嘴白鹭、游隼、白额鹱、黑尾鸥、黑叉尾海燕、海鸬鹚、东亚蝗莺等珍稀濒危、重点保护或有重要生态、科学、社会价值的野生动物，以及许氏平</w:t>
      </w:r>
      <w:r>
        <w:rPr>
          <w:rFonts w:hint="eastAsia" w:ascii="微软雅黑" w:hAnsi="微软雅黑" w:eastAsia="微软雅黑" w:cs="微软雅黑"/>
          <w:color w:val="auto"/>
          <w:highlight w:val="none"/>
        </w:rPr>
        <w:t>鮋</w:t>
      </w:r>
      <w:r>
        <w:rPr>
          <w:rFonts w:hint="eastAsia" w:ascii="仿宋_GB2312" w:hAnsi="仿宋_GB2312" w:cs="仿宋_GB2312"/>
          <w:color w:val="auto"/>
          <w:highlight w:val="none"/>
        </w:rPr>
        <w:t>、海鳗、三疣梭子蟹、日本</w:t>
      </w:r>
      <w:r>
        <w:rPr>
          <w:rFonts w:hint="eastAsia" w:ascii="微软雅黑" w:hAnsi="微软雅黑" w:eastAsia="微软雅黑" w:cs="微软雅黑"/>
          <w:color w:val="auto"/>
          <w:highlight w:val="none"/>
        </w:rPr>
        <w:t>蟳</w:t>
      </w:r>
      <w:r>
        <w:rPr>
          <w:rFonts w:hint="eastAsia" w:ascii="仿宋_GB2312" w:hAnsi="仿宋_GB2312" w:cs="仿宋_GB2312"/>
          <w:color w:val="auto"/>
          <w:highlight w:val="none"/>
        </w:rPr>
        <w:t>等海洋生物资源。</w:t>
      </w:r>
    </w:p>
    <w:p>
      <w:pPr>
        <w:pStyle w:val="7"/>
        <w:ind w:firstLine="632"/>
        <w:rPr>
          <w:color w:val="auto"/>
          <w:highlight w:val="none"/>
        </w:rPr>
      </w:pPr>
      <w:r>
        <w:rPr>
          <w:color w:val="auto"/>
          <w:highlight w:val="none"/>
        </w:rPr>
        <w:t xml:space="preserve">1.5 </w:t>
      </w:r>
      <w:r>
        <w:rPr>
          <w:rFonts w:hint="eastAsia"/>
          <w:color w:val="auto"/>
          <w:highlight w:val="none"/>
        </w:rPr>
        <w:t>潮连岛</w:t>
      </w:r>
      <w:r>
        <w:rPr>
          <w:color w:val="auto"/>
          <w:highlight w:val="none"/>
        </w:rPr>
        <w:t>生物多样性保护优先区域</w:t>
      </w:r>
    </w:p>
    <w:p>
      <w:pPr>
        <w:ind w:firstLine="632"/>
        <w:rPr>
          <w:color w:val="auto"/>
          <w:highlight w:val="none"/>
        </w:rPr>
      </w:pPr>
      <w:r>
        <w:rPr>
          <w:rFonts w:hint="eastAsia"/>
          <w:color w:val="auto"/>
          <w:highlight w:val="none"/>
        </w:rPr>
        <w:t>本区面积63.17</w:t>
      </w:r>
      <w:r>
        <w:rPr>
          <w:color w:val="auto"/>
          <w:highlight w:val="none"/>
        </w:rPr>
        <w:t xml:space="preserve"> km</w:t>
      </w:r>
      <w:r>
        <w:rPr>
          <w:color w:val="auto"/>
          <w:highlight w:val="none"/>
          <w:vertAlign w:val="superscript"/>
        </w:rPr>
        <w:t>2</w:t>
      </w:r>
      <w:r>
        <w:rPr>
          <w:rFonts w:hint="eastAsia"/>
          <w:color w:val="auto"/>
          <w:highlight w:val="none"/>
        </w:rPr>
        <w:t>，包括陆域0.34</w:t>
      </w:r>
      <w:r>
        <w:rPr>
          <w:color w:val="auto"/>
          <w:highlight w:val="none"/>
        </w:rPr>
        <w:t xml:space="preserve"> km</w:t>
      </w:r>
      <w:r>
        <w:rPr>
          <w:color w:val="auto"/>
          <w:highlight w:val="none"/>
          <w:vertAlign w:val="superscript"/>
        </w:rPr>
        <w:t>2</w:t>
      </w:r>
      <w:r>
        <w:rPr>
          <w:color w:val="auto"/>
          <w:highlight w:val="none"/>
        </w:rPr>
        <w:t>，</w:t>
      </w:r>
      <w:r>
        <w:rPr>
          <w:rFonts w:hint="eastAsia"/>
          <w:color w:val="auto"/>
          <w:highlight w:val="none"/>
        </w:rPr>
        <w:t>海域62.83</w:t>
      </w:r>
      <w:r>
        <w:rPr>
          <w:color w:val="auto"/>
          <w:highlight w:val="none"/>
        </w:rPr>
        <w:t xml:space="preserve"> km</w:t>
      </w:r>
      <w:r>
        <w:rPr>
          <w:color w:val="auto"/>
          <w:highlight w:val="none"/>
          <w:vertAlign w:val="superscript"/>
        </w:rPr>
        <w:t>2</w:t>
      </w:r>
      <w:r>
        <w:rPr>
          <w:color w:val="auto"/>
          <w:highlight w:val="none"/>
        </w:rPr>
        <w:t>。</w:t>
      </w:r>
      <w:r>
        <w:rPr>
          <w:rFonts w:hint="eastAsia"/>
          <w:color w:val="auto"/>
          <w:highlight w:val="none"/>
        </w:rPr>
        <w:t>本区尚未开展系统全面的陆地和海洋生物多样性资源本底调查，但由于</w:t>
      </w:r>
      <w:r>
        <w:rPr>
          <w:color w:val="auto"/>
          <w:highlight w:val="none"/>
        </w:rPr>
        <w:t>气候</w:t>
      </w:r>
      <w:r>
        <w:rPr>
          <w:rFonts w:hint="eastAsia"/>
          <w:color w:val="auto"/>
          <w:highlight w:val="none"/>
        </w:rPr>
        <w:t>事宜</w:t>
      </w:r>
      <w:r>
        <w:rPr>
          <w:color w:val="auto"/>
          <w:highlight w:val="none"/>
        </w:rPr>
        <w:t>，</w:t>
      </w:r>
      <w:r>
        <w:rPr>
          <w:rFonts w:hint="eastAsia"/>
          <w:color w:val="auto"/>
          <w:highlight w:val="none"/>
        </w:rPr>
        <w:t>距离陆地较远且海岛南部植被较为丰富，每年春秋迁徙季，是大量跨海迁徙鸟类的重要停歇点。据初步观察统计，本区有各种迁徙鸟类124种，其中包括极危物种黄胸</w:t>
      </w:r>
      <w:r>
        <w:rPr>
          <w:rFonts w:hint="eastAsia" w:ascii="微软雅黑" w:hAnsi="微软雅黑" w:eastAsia="微软雅黑" w:cs="微软雅黑"/>
          <w:color w:val="auto"/>
          <w:highlight w:val="none"/>
        </w:rPr>
        <w:t>鹀</w:t>
      </w:r>
      <w:r>
        <w:rPr>
          <w:rFonts w:hint="eastAsia" w:ascii="仿宋_GB2312" w:hAnsi="仿宋_GB2312" w:cs="仿宋_GB2312"/>
          <w:color w:val="auto"/>
          <w:highlight w:val="none"/>
        </w:rPr>
        <w:t>，易危物种黄嘴白鹭、仙八色鸫，以及区域性少见物种赤胸鸫、赤颈鸫、北鹨，以及大群跨海迁徙的国家二级重点保护动物赤腹鹰、灰脸</w:t>
      </w:r>
      <w:r>
        <w:rPr>
          <w:rFonts w:hint="eastAsia" w:ascii="微软雅黑" w:hAnsi="微软雅黑" w:eastAsia="微软雅黑" w:cs="微软雅黑"/>
          <w:color w:val="auto"/>
          <w:highlight w:val="none"/>
        </w:rPr>
        <w:t>鵟</w:t>
      </w:r>
      <w:r>
        <w:rPr>
          <w:rFonts w:hint="eastAsia" w:ascii="仿宋_GB2312" w:hAnsi="仿宋_GB2312" w:cs="仿宋_GB2312"/>
          <w:color w:val="auto"/>
          <w:highlight w:val="none"/>
        </w:rPr>
        <w:t>鹰、阿穆尔隼等。</w:t>
      </w:r>
      <w:r>
        <w:rPr>
          <w:rFonts w:hint="eastAsia"/>
          <w:color w:val="auto"/>
          <w:highlight w:val="none"/>
        </w:rPr>
        <w:t>此外，本区也为扁嘴海雀、白额鹱、黑叉尾海燕等海鸟提供了繁殖栖息场所。</w:t>
      </w:r>
    </w:p>
    <w:p>
      <w:pPr>
        <w:ind w:firstLine="632"/>
        <w:rPr>
          <w:color w:val="auto"/>
          <w:highlight w:val="none"/>
        </w:rPr>
      </w:pPr>
      <w:r>
        <w:rPr>
          <w:color w:val="auto"/>
          <w:highlight w:val="none"/>
        </w:rPr>
        <w:t>本区主要保护对象为海岛生态系统</w:t>
      </w:r>
      <w:r>
        <w:rPr>
          <w:rFonts w:hint="eastAsia"/>
          <w:color w:val="auto"/>
          <w:highlight w:val="none"/>
        </w:rPr>
        <w:t>，栖息、繁殖或迁徙过境、停歇的重点保护、珍稀濒危野生</w:t>
      </w:r>
      <w:r>
        <w:rPr>
          <w:color w:val="auto"/>
          <w:highlight w:val="none"/>
        </w:rPr>
        <w:t>动物资源</w:t>
      </w:r>
      <w:r>
        <w:rPr>
          <w:rFonts w:hint="eastAsia"/>
          <w:color w:val="auto"/>
          <w:highlight w:val="none"/>
        </w:rPr>
        <w:t>以及</w:t>
      </w:r>
      <w:r>
        <w:rPr>
          <w:color w:val="auto"/>
          <w:highlight w:val="none"/>
        </w:rPr>
        <w:t>海洋生物资源</w:t>
      </w:r>
      <w:r>
        <w:rPr>
          <w:rFonts w:hint="eastAsia"/>
          <w:color w:val="auto"/>
          <w:highlight w:val="none"/>
        </w:rPr>
        <w:t>等</w:t>
      </w:r>
      <w:r>
        <w:rPr>
          <w:color w:val="auto"/>
          <w:highlight w:val="none"/>
        </w:rPr>
        <w:t>，包括</w:t>
      </w:r>
      <w:r>
        <w:rPr>
          <w:rFonts w:hint="eastAsia"/>
          <w:color w:val="auto"/>
          <w:highlight w:val="none"/>
        </w:rPr>
        <w:t>黄胸</w:t>
      </w:r>
      <w:r>
        <w:rPr>
          <w:rFonts w:hint="eastAsia" w:ascii="微软雅黑" w:hAnsi="微软雅黑" w:eastAsia="微软雅黑" w:cs="微软雅黑"/>
          <w:color w:val="auto"/>
          <w:highlight w:val="none"/>
        </w:rPr>
        <w:t>鹀</w:t>
      </w:r>
      <w:r>
        <w:rPr>
          <w:rFonts w:hint="eastAsia"/>
          <w:color w:val="auto"/>
          <w:highlight w:val="none"/>
        </w:rPr>
        <w:t>、黄嘴白鹭、仙八色鸫、赤腹鹰、</w:t>
      </w:r>
      <w:r>
        <w:rPr>
          <w:rFonts w:hint="eastAsia" w:ascii="仿宋_GB2312" w:hAnsi="仿宋_GB2312" w:cs="仿宋_GB2312"/>
          <w:color w:val="auto"/>
          <w:highlight w:val="none"/>
        </w:rPr>
        <w:t>灰脸</w:t>
      </w:r>
      <w:r>
        <w:rPr>
          <w:rFonts w:hint="eastAsia" w:ascii="微软雅黑" w:hAnsi="微软雅黑" w:eastAsia="微软雅黑" w:cs="微软雅黑"/>
          <w:color w:val="auto"/>
          <w:highlight w:val="none"/>
        </w:rPr>
        <w:t>鵟</w:t>
      </w:r>
      <w:r>
        <w:rPr>
          <w:rFonts w:hint="eastAsia" w:ascii="仿宋_GB2312" w:hAnsi="仿宋_GB2312" w:cs="仿宋_GB2312"/>
          <w:color w:val="auto"/>
          <w:highlight w:val="none"/>
        </w:rPr>
        <w:t>鹰、阿穆尔隼</w:t>
      </w:r>
      <w:r>
        <w:rPr>
          <w:rFonts w:hint="eastAsia"/>
          <w:color w:val="auto"/>
          <w:highlight w:val="none"/>
        </w:rPr>
        <w:t>、扁嘴海雀、白额鹱、东亚蝗莺等珍稀濒危、重点保护或有重要生态、科学、社会价值的野生动物，以及花</w:t>
      </w:r>
      <w:r>
        <w:rPr>
          <w:color w:val="auto"/>
          <w:highlight w:val="none"/>
        </w:rPr>
        <w:fldChar w:fldCharType="begin"/>
      </w:r>
      <w:r>
        <w:rPr>
          <w:color w:val="auto"/>
          <w:highlight w:val="none"/>
        </w:rPr>
        <w:instrText xml:space="preserve"> HYPERLINK "https://baike.baidu.com/item/%E9%B2%88%E9%B1%BC/0?fromModule=lemma_inlink" \t "_blank" </w:instrText>
      </w:r>
      <w:r>
        <w:rPr>
          <w:color w:val="auto"/>
          <w:highlight w:val="none"/>
        </w:rPr>
        <w:fldChar w:fldCharType="separate"/>
      </w:r>
      <w:r>
        <w:rPr>
          <w:rFonts w:hint="eastAsia"/>
          <w:color w:val="auto"/>
          <w:highlight w:val="none"/>
        </w:rPr>
        <w:t>鲈</w:t>
      </w:r>
      <w:r>
        <w:rPr>
          <w:rFonts w:hint="eastAsia"/>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HYPERLINK "https://baike.baidu.com/item/%E7%9C%9F%E9%B2%B7/1019588?fromModule=lemma_inlink" \t "_blank" </w:instrText>
      </w:r>
      <w:r>
        <w:rPr>
          <w:color w:val="auto"/>
          <w:highlight w:val="none"/>
        </w:rPr>
        <w:fldChar w:fldCharType="separate"/>
      </w:r>
      <w:r>
        <w:rPr>
          <w:rFonts w:hint="eastAsia"/>
          <w:color w:val="auto"/>
          <w:highlight w:val="none"/>
        </w:rPr>
        <w:t>真鲷</w:t>
      </w:r>
      <w:r>
        <w:rPr>
          <w:rFonts w:hint="eastAsia"/>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HYPERLINK "https://baike.baidu.com/item/%E9%BB%91%E9%B2%B7/633527?fromModule=lemma_inlink" \t "_blank" </w:instrText>
      </w:r>
      <w:r>
        <w:rPr>
          <w:color w:val="auto"/>
          <w:highlight w:val="none"/>
        </w:rPr>
        <w:fldChar w:fldCharType="separate"/>
      </w:r>
      <w:r>
        <w:rPr>
          <w:rFonts w:hint="eastAsia"/>
          <w:color w:val="auto"/>
          <w:highlight w:val="none"/>
        </w:rPr>
        <w:t>黑鲷</w:t>
      </w:r>
      <w:r>
        <w:rPr>
          <w:rFonts w:hint="eastAsia"/>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HYPERLINK "https://baike.baidu.com/item/%E9%B3%97%E9%B1%BC/0?fromModule=lemma_inlink" \t "_blank" </w:instrText>
      </w:r>
      <w:r>
        <w:rPr>
          <w:color w:val="auto"/>
          <w:highlight w:val="none"/>
        </w:rPr>
        <w:fldChar w:fldCharType="separate"/>
      </w:r>
      <w:r>
        <w:rPr>
          <w:rFonts w:hint="eastAsia"/>
          <w:color w:val="auto"/>
          <w:highlight w:val="none"/>
        </w:rPr>
        <w:t>鳗鱼</w:t>
      </w:r>
      <w:r>
        <w:rPr>
          <w:rFonts w:hint="eastAsia"/>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HYPERLINK "https://baike.baidu.com/item/%E7%89%99%E9%B2%86/679793?fromModule=lemma_inlink" \t "_blank" </w:instrText>
      </w:r>
      <w:r>
        <w:rPr>
          <w:color w:val="auto"/>
          <w:highlight w:val="none"/>
        </w:rPr>
        <w:fldChar w:fldCharType="separate"/>
      </w:r>
      <w:r>
        <w:rPr>
          <w:rFonts w:hint="eastAsia"/>
          <w:color w:val="auto"/>
          <w:highlight w:val="none"/>
        </w:rPr>
        <w:t>牙鲆</w:t>
      </w:r>
      <w:r>
        <w:rPr>
          <w:rFonts w:hint="eastAsia"/>
          <w:color w:val="auto"/>
          <w:highlight w:val="none"/>
        </w:rPr>
        <w:fldChar w:fldCharType="end"/>
      </w:r>
      <w:r>
        <w:rPr>
          <w:rFonts w:hint="eastAsia"/>
          <w:color w:val="auto"/>
          <w:highlight w:val="none"/>
        </w:rPr>
        <w:t>等</w:t>
      </w:r>
      <w:r>
        <w:rPr>
          <w:rFonts w:hint="eastAsia" w:ascii="仿宋_GB2312" w:hAnsi="仿宋_GB2312" w:cs="仿宋_GB2312"/>
          <w:color w:val="auto"/>
          <w:highlight w:val="none"/>
        </w:rPr>
        <w:t>海洋生物资源。</w:t>
      </w:r>
    </w:p>
    <w:p>
      <w:pPr>
        <w:pStyle w:val="6"/>
        <w:ind w:firstLine="632"/>
        <w:rPr>
          <w:rFonts w:ascii="楷体_GB2312" w:hAnsi="楷体_GB2312" w:eastAsia="楷体_GB2312" w:cs="楷体_GB2312"/>
          <w:b w:val="0"/>
          <w:bCs w:val="0"/>
          <w:color w:val="auto"/>
          <w:highlight w:val="none"/>
        </w:rPr>
      </w:pPr>
      <w:bookmarkStart w:id="100" w:name="_Toc531604407"/>
      <w:r>
        <w:rPr>
          <w:rFonts w:hint="eastAsia" w:ascii="楷体_GB2312" w:hAnsi="楷体_GB2312" w:eastAsia="楷体_GB2312" w:cs="楷体_GB2312"/>
          <w:b w:val="0"/>
          <w:bCs w:val="0"/>
          <w:color w:val="auto"/>
          <w:highlight w:val="none"/>
        </w:rPr>
        <w:t>2.海湾</w:t>
      </w:r>
      <w:bookmarkEnd w:id="100"/>
    </w:p>
    <w:p>
      <w:pPr>
        <w:pStyle w:val="7"/>
        <w:ind w:firstLine="632"/>
        <w:rPr>
          <w:color w:val="auto"/>
          <w:highlight w:val="none"/>
        </w:rPr>
      </w:pPr>
      <w:r>
        <w:rPr>
          <w:color w:val="auto"/>
          <w:highlight w:val="none"/>
        </w:rPr>
        <w:t>2.1胶州湾生物多样性保护优先区域</w:t>
      </w:r>
    </w:p>
    <w:p>
      <w:pPr>
        <w:ind w:firstLine="632"/>
        <w:rPr>
          <w:color w:val="auto"/>
          <w:highlight w:val="none"/>
        </w:rPr>
      </w:pPr>
      <w:r>
        <w:rPr>
          <w:color w:val="auto"/>
          <w:highlight w:val="none"/>
        </w:rPr>
        <w:t>胶州湾湿地是山东半岛南部最大的海湾河口湿地，被国际鸟类保护联盟列为国际重要鸟区，已经建立省级湿地公园；而胶州湾海域是许多种鱼类重要的洄游栖息地，具有丰富的海洋生物多样性</w:t>
      </w:r>
      <w:r>
        <w:rPr>
          <w:rFonts w:hint="eastAsia"/>
          <w:color w:val="auto"/>
          <w:highlight w:val="none"/>
        </w:rPr>
        <w:t>。本优先区域范围覆盖胶州湾大沽河口滩涂湿地、洋河口滩涂湿地等重要滨海湿地以及城阳鱼塘湿地等，面积199.56</w:t>
      </w:r>
      <w:r>
        <w:rPr>
          <w:color w:val="auto"/>
          <w:highlight w:val="none"/>
        </w:rPr>
        <w:t xml:space="preserve"> km</w:t>
      </w:r>
      <w:r>
        <w:rPr>
          <w:color w:val="auto"/>
          <w:highlight w:val="none"/>
          <w:vertAlign w:val="superscript"/>
        </w:rPr>
        <w:t>2</w:t>
      </w:r>
      <w:r>
        <w:rPr>
          <w:color w:val="auto"/>
          <w:highlight w:val="none"/>
        </w:rPr>
        <w:t>。</w:t>
      </w:r>
    </w:p>
    <w:p>
      <w:pPr>
        <w:ind w:firstLine="632"/>
        <w:rPr>
          <w:color w:val="auto"/>
          <w:highlight w:val="none"/>
        </w:rPr>
      </w:pPr>
      <w:r>
        <w:rPr>
          <w:color w:val="auto"/>
          <w:highlight w:val="none"/>
        </w:rPr>
        <w:t>本区陆地湿地植被覆盖率低，约20-30%，主要是草本植物。据调查观测有维管束植物20余种；野生动物分布主要是鸟类，有114种，隶属11目37科。本区海洋区域浮游植物有139种，</w:t>
      </w:r>
      <w:r>
        <w:rPr>
          <w:rFonts w:hint="eastAsia"/>
          <w:color w:val="auto"/>
          <w:highlight w:val="none"/>
        </w:rPr>
        <w:t>其中，硅藻1</w:t>
      </w:r>
      <w:r>
        <w:rPr>
          <w:color w:val="auto"/>
          <w:highlight w:val="none"/>
        </w:rPr>
        <w:t>10</w:t>
      </w:r>
      <w:r>
        <w:rPr>
          <w:rFonts w:hint="eastAsia"/>
          <w:color w:val="auto"/>
          <w:highlight w:val="none"/>
        </w:rPr>
        <w:t>种、甲藻2</w:t>
      </w:r>
      <w:r>
        <w:rPr>
          <w:color w:val="auto"/>
          <w:highlight w:val="none"/>
        </w:rPr>
        <w:t>7</w:t>
      </w:r>
      <w:r>
        <w:rPr>
          <w:rFonts w:hint="eastAsia"/>
          <w:color w:val="auto"/>
          <w:highlight w:val="none"/>
        </w:rPr>
        <w:t>种、金藻1种、蓝藻1种</w:t>
      </w:r>
      <w:r>
        <w:rPr>
          <w:color w:val="auto"/>
          <w:highlight w:val="none"/>
        </w:rPr>
        <w:t>；浮游动物162种，</w:t>
      </w:r>
      <w:r>
        <w:rPr>
          <w:rFonts w:hint="eastAsia"/>
          <w:color w:val="auto"/>
          <w:highlight w:val="none"/>
        </w:rPr>
        <w:t>其中，节肢动物4</w:t>
      </w:r>
      <w:r>
        <w:rPr>
          <w:color w:val="auto"/>
          <w:highlight w:val="none"/>
        </w:rPr>
        <w:t>9</w:t>
      </w:r>
      <w:r>
        <w:rPr>
          <w:rFonts w:hint="eastAsia"/>
          <w:color w:val="auto"/>
          <w:highlight w:val="none"/>
        </w:rPr>
        <w:t>种、腔肠动物4</w:t>
      </w:r>
      <w:r>
        <w:rPr>
          <w:color w:val="auto"/>
          <w:highlight w:val="none"/>
        </w:rPr>
        <w:t>8</w:t>
      </w:r>
      <w:r>
        <w:rPr>
          <w:rFonts w:hint="eastAsia"/>
          <w:color w:val="auto"/>
          <w:highlight w:val="none"/>
        </w:rPr>
        <w:t>种、尾索动物和毛颚动物各3种、软体动物和原生动物各2种、脊索动物1种、浮游幼虫幼体5</w:t>
      </w:r>
      <w:r>
        <w:rPr>
          <w:color w:val="auto"/>
          <w:highlight w:val="none"/>
        </w:rPr>
        <w:t>4</w:t>
      </w:r>
      <w:r>
        <w:rPr>
          <w:rFonts w:hint="eastAsia"/>
          <w:color w:val="auto"/>
          <w:highlight w:val="none"/>
        </w:rPr>
        <w:t>种</w:t>
      </w:r>
      <w:r>
        <w:rPr>
          <w:color w:val="auto"/>
          <w:highlight w:val="none"/>
        </w:rPr>
        <w:t>；大型底栖动物227种，</w:t>
      </w:r>
      <w:r>
        <w:rPr>
          <w:rFonts w:hint="eastAsia"/>
          <w:color w:val="auto"/>
          <w:highlight w:val="none"/>
        </w:rPr>
        <w:t>其中，节肢动物6</w:t>
      </w:r>
      <w:r>
        <w:rPr>
          <w:color w:val="auto"/>
          <w:highlight w:val="none"/>
        </w:rPr>
        <w:t>5</w:t>
      </w:r>
      <w:r>
        <w:rPr>
          <w:rFonts w:hint="eastAsia"/>
          <w:color w:val="auto"/>
          <w:highlight w:val="none"/>
        </w:rPr>
        <w:t>种、环节动物6</w:t>
      </w:r>
      <w:r>
        <w:rPr>
          <w:color w:val="auto"/>
          <w:highlight w:val="none"/>
        </w:rPr>
        <w:t>3</w:t>
      </w:r>
      <w:r>
        <w:rPr>
          <w:rFonts w:hint="eastAsia"/>
          <w:color w:val="auto"/>
          <w:highlight w:val="none"/>
        </w:rPr>
        <w:t>种、软体动物3</w:t>
      </w:r>
      <w:r>
        <w:rPr>
          <w:color w:val="auto"/>
          <w:highlight w:val="none"/>
        </w:rPr>
        <w:t>8</w:t>
      </w:r>
      <w:r>
        <w:rPr>
          <w:rFonts w:hint="eastAsia"/>
          <w:color w:val="auto"/>
          <w:highlight w:val="none"/>
        </w:rPr>
        <w:t>种、棘皮动物1</w:t>
      </w:r>
      <w:r>
        <w:rPr>
          <w:color w:val="auto"/>
          <w:highlight w:val="none"/>
        </w:rPr>
        <w:t>3</w:t>
      </w:r>
      <w:r>
        <w:rPr>
          <w:rFonts w:hint="eastAsia"/>
          <w:color w:val="auto"/>
          <w:highlight w:val="none"/>
        </w:rPr>
        <w:t>种、多毛动物1</w:t>
      </w:r>
      <w:r>
        <w:rPr>
          <w:color w:val="auto"/>
          <w:highlight w:val="none"/>
        </w:rPr>
        <w:t>0</w:t>
      </w:r>
      <w:r>
        <w:rPr>
          <w:rFonts w:hint="eastAsia"/>
          <w:color w:val="auto"/>
          <w:highlight w:val="none"/>
        </w:rPr>
        <w:t>种、脊索动物7种、刺胞动物3种、扁形动物和腔肠动物各2种、半索动物、尾索动物和纽形动物各1种，鱼类2</w:t>
      </w:r>
      <w:r>
        <w:rPr>
          <w:color w:val="auto"/>
          <w:highlight w:val="none"/>
        </w:rPr>
        <w:t>1</w:t>
      </w:r>
      <w:r>
        <w:rPr>
          <w:rFonts w:hint="eastAsia"/>
          <w:color w:val="auto"/>
          <w:highlight w:val="none"/>
        </w:rPr>
        <w:t>种；海洋鱼卵仔鱼6</w:t>
      </w:r>
      <w:r>
        <w:rPr>
          <w:color w:val="auto"/>
          <w:highlight w:val="none"/>
        </w:rPr>
        <w:t>0</w:t>
      </w:r>
      <w:r>
        <w:rPr>
          <w:rFonts w:hint="eastAsia"/>
          <w:color w:val="auto"/>
          <w:highlight w:val="none"/>
        </w:rPr>
        <w:t>种。</w:t>
      </w:r>
      <w:r>
        <w:rPr>
          <w:color w:val="auto"/>
          <w:highlight w:val="none"/>
        </w:rPr>
        <w:t xml:space="preserve"> </w:t>
      </w:r>
    </w:p>
    <w:p>
      <w:pPr>
        <w:ind w:firstLine="632"/>
        <w:rPr>
          <w:color w:val="auto"/>
          <w:highlight w:val="none"/>
        </w:rPr>
      </w:pPr>
      <w:r>
        <w:rPr>
          <w:color w:val="auto"/>
          <w:highlight w:val="none"/>
        </w:rPr>
        <w:t>本区主要保护对象为湿地生态系统</w:t>
      </w:r>
      <w:r>
        <w:rPr>
          <w:rFonts w:hint="eastAsia"/>
          <w:color w:val="auto"/>
          <w:highlight w:val="none"/>
        </w:rPr>
        <w:t>，国家重点保护、珍稀濒危及</w:t>
      </w:r>
      <w:r>
        <w:rPr>
          <w:color w:val="auto"/>
          <w:highlight w:val="none"/>
        </w:rPr>
        <w:t>有重要生态、科学、社会价值</w:t>
      </w:r>
      <w:r>
        <w:rPr>
          <w:rFonts w:hint="eastAsia"/>
          <w:color w:val="auto"/>
          <w:highlight w:val="none"/>
        </w:rPr>
        <w:t>的野生动物，</w:t>
      </w:r>
      <w:r>
        <w:rPr>
          <w:color w:val="auto"/>
          <w:highlight w:val="none"/>
        </w:rPr>
        <w:t>海洋生物资源</w:t>
      </w:r>
      <w:r>
        <w:rPr>
          <w:rFonts w:hint="eastAsia"/>
          <w:color w:val="auto"/>
          <w:highlight w:val="none"/>
        </w:rPr>
        <w:t>等</w:t>
      </w:r>
      <w:r>
        <w:rPr>
          <w:color w:val="auto"/>
          <w:highlight w:val="none"/>
        </w:rPr>
        <w:t>，</w:t>
      </w:r>
      <w:r>
        <w:rPr>
          <w:rFonts w:hint="eastAsia"/>
          <w:color w:val="auto"/>
          <w:highlight w:val="none"/>
        </w:rPr>
        <w:t>如：中华凤头燕鸥、遗鸥、黑嘴鸥，勺嘴鹬、白头鹤、白琵鹭等珍稀濒危和重点保护野生动物，以及短吻红舌鳎、多鳞</w:t>
      </w:r>
      <w:r>
        <w:rPr>
          <w:rFonts w:hint="eastAsia" w:ascii="微软雅黑" w:hAnsi="微软雅黑" w:eastAsia="微软雅黑" w:cs="微软雅黑"/>
          <w:color w:val="auto"/>
          <w:highlight w:val="none"/>
        </w:rPr>
        <w:t>鱚</w:t>
      </w:r>
      <w:r>
        <w:rPr>
          <w:rFonts w:hint="eastAsia" w:ascii="仿宋_GB2312" w:hAnsi="仿宋_GB2312" w:cs="仿宋_GB2312"/>
          <w:color w:val="auto"/>
          <w:highlight w:val="none"/>
        </w:rPr>
        <w:t>、凤鲚、黄姑鱼、尖海龙、蓝点马鲛、皮氏叫姑鱼、青鳞小沙丁、</w:t>
      </w:r>
      <w:r>
        <w:rPr>
          <w:rFonts w:hint="eastAsia" w:ascii="微软雅黑" w:hAnsi="微软雅黑" w:eastAsia="微软雅黑" w:cs="微软雅黑"/>
          <w:color w:val="auto"/>
          <w:highlight w:val="none"/>
        </w:rPr>
        <w:t>鳀</w:t>
      </w:r>
      <w:r>
        <w:rPr>
          <w:rFonts w:hint="eastAsia" w:ascii="仿宋_GB2312" w:hAnsi="仿宋_GB2312" w:cs="仿宋_GB2312"/>
          <w:color w:val="auto"/>
          <w:highlight w:val="none"/>
        </w:rPr>
        <w:t>鱼、绿鳍鱼、褐牙鲆、</w:t>
      </w:r>
      <w:r>
        <w:rPr>
          <w:rFonts w:hint="eastAsia" w:ascii="微软雅黑" w:hAnsi="微软雅黑" w:eastAsia="微软雅黑" w:cs="微软雅黑"/>
          <w:color w:val="auto"/>
          <w:highlight w:val="none"/>
        </w:rPr>
        <w:t>鲬</w:t>
      </w:r>
      <w:r>
        <w:rPr>
          <w:rFonts w:hint="eastAsia" w:ascii="仿宋_GB2312" w:hAnsi="仿宋_GB2312" w:cs="仿宋_GB2312"/>
          <w:color w:val="auto"/>
          <w:highlight w:val="none"/>
        </w:rPr>
        <w:t>、长蛇</w:t>
      </w:r>
      <w:r>
        <w:rPr>
          <w:rFonts w:hint="eastAsia" w:ascii="微软雅黑" w:hAnsi="微软雅黑" w:eastAsia="微软雅黑" w:cs="微软雅黑"/>
          <w:color w:val="auto"/>
          <w:highlight w:val="none"/>
        </w:rPr>
        <w:t>鯔</w:t>
      </w:r>
      <w:r>
        <w:rPr>
          <w:rFonts w:hint="eastAsia" w:ascii="仿宋_GB2312" w:hAnsi="仿宋_GB2312" w:cs="仿宋_GB2312"/>
          <w:color w:val="auto"/>
          <w:highlight w:val="none"/>
        </w:rPr>
        <w:t>和真鲷</w:t>
      </w:r>
      <w:r>
        <w:rPr>
          <w:rFonts w:hint="eastAsia"/>
          <w:color w:val="auto"/>
          <w:highlight w:val="none"/>
        </w:rPr>
        <w:t>等海洋生物资源。</w:t>
      </w:r>
    </w:p>
    <w:p>
      <w:pPr>
        <w:pStyle w:val="7"/>
        <w:ind w:firstLine="632"/>
        <w:rPr>
          <w:color w:val="auto"/>
          <w:highlight w:val="none"/>
        </w:rPr>
      </w:pPr>
      <w:r>
        <w:rPr>
          <w:color w:val="auto"/>
          <w:highlight w:val="none"/>
        </w:rPr>
        <w:t>2.2唐岛湾生物多样性保护优先区域</w:t>
      </w:r>
    </w:p>
    <w:p>
      <w:pPr>
        <w:ind w:firstLine="632"/>
        <w:rPr>
          <w:color w:val="auto"/>
          <w:highlight w:val="none"/>
        </w:rPr>
      </w:pPr>
      <w:r>
        <w:rPr>
          <w:color w:val="auto"/>
          <w:highlight w:val="none"/>
        </w:rPr>
        <w:t>唐岛湾湿地生物多样性丰富，生物类群是环胶州湾区域的典型代表</w:t>
      </w:r>
      <w:r>
        <w:rPr>
          <w:rFonts w:hint="eastAsia"/>
          <w:color w:val="auto"/>
          <w:highlight w:val="none"/>
        </w:rPr>
        <w:t>，是大量雁鸭和其他水鸟的重要越冬地</w:t>
      </w:r>
      <w:r>
        <w:rPr>
          <w:color w:val="auto"/>
          <w:highlight w:val="none"/>
        </w:rPr>
        <w:t>，已建立国家级湿地公园。同时，也建立了海洋特别保护区</w:t>
      </w:r>
      <w:r>
        <w:rPr>
          <w:rFonts w:hint="eastAsia"/>
          <w:color w:val="auto"/>
          <w:highlight w:val="none"/>
        </w:rPr>
        <w:t>。本区</w:t>
      </w:r>
      <w:r>
        <w:rPr>
          <w:color w:val="auto"/>
          <w:highlight w:val="none"/>
        </w:rPr>
        <w:t>总面积</w:t>
      </w:r>
      <w:r>
        <w:rPr>
          <w:rFonts w:hint="eastAsia"/>
          <w:color w:val="auto"/>
          <w:highlight w:val="none"/>
        </w:rPr>
        <w:t>为</w:t>
      </w:r>
      <w:r>
        <w:rPr>
          <w:color w:val="auto"/>
          <w:highlight w:val="none"/>
        </w:rPr>
        <w:t>65.1</w:t>
      </w:r>
      <w:r>
        <w:rPr>
          <w:rFonts w:hint="eastAsia"/>
          <w:color w:val="auto"/>
          <w:highlight w:val="none"/>
        </w:rPr>
        <w:t>3</w:t>
      </w:r>
      <w:r>
        <w:rPr>
          <w:color w:val="auto"/>
          <w:highlight w:val="none"/>
        </w:rPr>
        <w:t xml:space="preserve"> km</w:t>
      </w:r>
      <w:r>
        <w:rPr>
          <w:color w:val="auto"/>
          <w:highlight w:val="none"/>
          <w:vertAlign w:val="superscript"/>
        </w:rPr>
        <w:t>2</w:t>
      </w:r>
      <w:r>
        <w:rPr>
          <w:color w:val="auto"/>
          <w:highlight w:val="none"/>
        </w:rPr>
        <w:t>。</w:t>
      </w:r>
    </w:p>
    <w:p>
      <w:pPr>
        <w:ind w:firstLine="632"/>
        <w:rPr>
          <w:color w:val="auto"/>
          <w:highlight w:val="none"/>
        </w:rPr>
      </w:pPr>
      <w:r>
        <w:rPr>
          <w:rFonts w:hint="eastAsia"/>
          <w:color w:val="auto"/>
          <w:highlight w:val="none"/>
        </w:rPr>
        <w:t>据历史数据资料，</w:t>
      </w:r>
      <w:r>
        <w:rPr>
          <w:color w:val="auto"/>
          <w:highlight w:val="none"/>
        </w:rPr>
        <w:t>本区陆地区域有维管束植物7纲41目105科262属452种；野生动物280种，其中</w:t>
      </w:r>
      <w:r>
        <w:rPr>
          <w:rFonts w:hint="eastAsia"/>
          <w:color w:val="auto"/>
          <w:highlight w:val="none"/>
        </w:rPr>
        <w:t>，</w:t>
      </w:r>
      <w:r>
        <w:rPr>
          <w:color w:val="auto"/>
          <w:highlight w:val="none"/>
        </w:rPr>
        <w:t>野生脊椎动物5纲25目48科116属201种，无脊椎动物79种。本区海洋区域浮游植物有18目21科26属59种，浮游动物10目20科20属23种，大型底栖动物18目31科41属42种，游泳动物76种，其中</w:t>
      </w:r>
      <w:r>
        <w:rPr>
          <w:rFonts w:hint="eastAsia"/>
          <w:color w:val="auto"/>
          <w:highlight w:val="none"/>
        </w:rPr>
        <w:t>，</w:t>
      </w:r>
      <w:r>
        <w:rPr>
          <w:color w:val="auto"/>
          <w:highlight w:val="none"/>
        </w:rPr>
        <w:t>鱼类46种，甲壳类24种，软体类5 种和后鳃类1种。</w:t>
      </w:r>
    </w:p>
    <w:p>
      <w:pPr>
        <w:ind w:firstLine="632"/>
        <w:rPr>
          <w:color w:val="auto"/>
          <w:highlight w:val="none"/>
        </w:rPr>
      </w:pPr>
      <w:r>
        <w:rPr>
          <w:color w:val="auto"/>
          <w:highlight w:val="none"/>
        </w:rPr>
        <w:t>本区主要保护对象为湿地生态系统</w:t>
      </w:r>
      <w:r>
        <w:rPr>
          <w:rFonts w:hint="eastAsia"/>
          <w:color w:val="auto"/>
          <w:highlight w:val="none"/>
        </w:rPr>
        <w:t>，栖息、停歇或越冬的珍稀濒危及国家重点保护野生动物，</w:t>
      </w:r>
      <w:r>
        <w:rPr>
          <w:color w:val="auto"/>
          <w:highlight w:val="none"/>
        </w:rPr>
        <w:t>有重要生态、科学、社会价值</w:t>
      </w:r>
      <w:r>
        <w:rPr>
          <w:rFonts w:hint="eastAsia"/>
          <w:color w:val="auto"/>
          <w:highlight w:val="none"/>
        </w:rPr>
        <w:t>的生物物种</w:t>
      </w:r>
      <w:r>
        <w:rPr>
          <w:color w:val="auto"/>
          <w:highlight w:val="none"/>
        </w:rPr>
        <w:t>和海洋生物资源，</w:t>
      </w:r>
      <w:r>
        <w:rPr>
          <w:rFonts w:hint="eastAsia"/>
          <w:color w:val="auto"/>
          <w:highlight w:val="none"/>
        </w:rPr>
        <w:t>如：斑脸海番鸭、黑海番鸭、斑背潜鸭、红喉潜鸟、黑喉潜鸟、角</w:t>
      </w:r>
      <w:r>
        <w:rPr>
          <w:rFonts w:hint="eastAsia" w:ascii="微软雅黑" w:hAnsi="微软雅黑" w:eastAsia="微软雅黑" w:cs="微软雅黑"/>
          <w:color w:val="auto"/>
          <w:highlight w:val="none"/>
        </w:rPr>
        <w:t>鸊鷉</w:t>
      </w:r>
      <w:r>
        <w:rPr>
          <w:rFonts w:hint="eastAsia" w:ascii="仿宋_GB2312" w:hAnsi="仿宋_GB2312" w:cs="仿宋_GB2312"/>
          <w:color w:val="auto"/>
          <w:highlight w:val="none"/>
        </w:rPr>
        <w:t>等</w:t>
      </w:r>
      <w:r>
        <w:rPr>
          <w:rFonts w:hint="eastAsia"/>
          <w:color w:val="auto"/>
          <w:highlight w:val="none"/>
        </w:rPr>
        <w:t>越冬鸟类，以及灰尾漂鹬、戈氏金丝燕、红尾伯劳、大杜鹃、黄鼬等珍稀濒危或有重要生态、科学、社会价值的野生动物，以及星康吉鳗、白姑鱼、</w:t>
      </w:r>
      <w:r>
        <w:rPr>
          <w:rFonts w:hint="eastAsia" w:ascii="仿宋_GB2312" w:hAnsi="仿宋_GB2312" w:cs="仿宋_GB2312"/>
          <w:color w:val="auto"/>
          <w:highlight w:val="none"/>
        </w:rPr>
        <w:t>矛尾虾虎鱼、日本鲭、皮氏叫姑鱼、短吻红舌鳎等海洋生物资源。</w:t>
      </w:r>
    </w:p>
    <w:p>
      <w:pPr>
        <w:pStyle w:val="7"/>
        <w:ind w:firstLine="632"/>
        <w:rPr>
          <w:color w:val="auto"/>
          <w:highlight w:val="none"/>
        </w:rPr>
      </w:pPr>
      <w:r>
        <w:rPr>
          <w:color w:val="auto"/>
          <w:highlight w:val="none"/>
        </w:rPr>
        <w:t>2.3丁字湾生物多样性保护优先区域</w:t>
      </w:r>
    </w:p>
    <w:p>
      <w:pPr>
        <w:ind w:firstLine="632"/>
        <w:rPr>
          <w:color w:val="auto"/>
          <w:highlight w:val="none"/>
        </w:rPr>
      </w:pPr>
      <w:r>
        <w:rPr>
          <w:color w:val="auto"/>
          <w:highlight w:val="none"/>
        </w:rPr>
        <w:t>丁字湾位于青岛和烟台两市的交界处，</w:t>
      </w:r>
      <w:r>
        <w:rPr>
          <w:rFonts w:hint="eastAsia"/>
          <w:color w:val="auto"/>
          <w:highlight w:val="none"/>
        </w:rPr>
        <w:t>为半封闭性的潜水海湾，大部分水深2</w:t>
      </w:r>
      <w:r>
        <w:rPr>
          <w:color w:val="auto"/>
          <w:highlight w:val="none"/>
        </w:rPr>
        <w:t>-5</w:t>
      </w:r>
      <w:r>
        <w:rPr>
          <w:rFonts w:hint="eastAsia"/>
          <w:color w:val="auto"/>
          <w:highlight w:val="none"/>
        </w:rPr>
        <w:t>m，湾口最深处达2</w:t>
      </w:r>
      <w:r>
        <w:rPr>
          <w:color w:val="auto"/>
          <w:highlight w:val="none"/>
        </w:rPr>
        <w:t>0</w:t>
      </w:r>
      <w:r>
        <w:rPr>
          <w:rFonts w:hint="eastAsia"/>
          <w:color w:val="auto"/>
          <w:highlight w:val="none"/>
        </w:rPr>
        <w:t>m。</w:t>
      </w:r>
      <w:r>
        <w:rPr>
          <w:color w:val="auto"/>
          <w:highlight w:val="none"/>
        </w:rPr>
        <w:t>属海洋性气候，但因受五龙河谷地及莱阳盆地影响，季节性变较大</w:t>
      </w:r>
      <w:r>
        <w:rPr>
          <w:rFonts w:hint="eastAsia"/>
          <w:color w:val="auto"/>
          <w:highlight w:val="none"/>
        </w:rPr>
        <w:t>。</w:t>
      </w:r>
      <w:r>
        <w:rPr>
          <w:color w:val="auto"/>
          <w:highlight w:val="none"/>
        </w:rPr>
        <w:t>目前已建立省级重点滨海湿地，青岛</w:t>
      </w:r>
      <w:r>
        <w:rPr>
          <w:rFonts w:hint="eastAsia"/>
          <w:color w:val="auto"/>
          <w:highlight w:val="none"/>
        </w:rPr>
        <w:t>市</w:t>
      </w:r>
      <w:r>
        <w:rPr>
          <w:color w:val="auto"/>
          <w:highlight w:val="none"/>
        </w:rPr>
        <w:t>边界范围</w:t>
      </w:r>
      <w:r>
        <w:rPr>
          <w:rFonts w:hint="eastAsia"/>
          <w:color w:val="auto"/>
          <w:highlight w:val="none"/>
        </w:rPr>
        <w:t>内</w:t>
      </w:r>
      <w:r>
        <w:rPr>
          <w:color w:val="auto"/>
          <w:highlight w:val="none"/>
        </w:rPr>
        <w:t>的总面积为58.16 km</w:t>
      </w:r>
      <w:r>
        <w:rPr>
          <w:color w:val="auto"/>
          <w:highlight w:val="none"/>
          <w:vertAlign w:val="superscript"/>
        </w:rPr>
        <w:t>2</w:t>
      </w:r>
      <w:r>
        <w:rPr>
          <w:color w:val="auto"/>
          <w:highlight w:val="none"/>
        </w:rPr>
        <w:t>，</w:t>
      </w:r>
      <w:r>
        <w:rPr>
          <w:rFonts w:hint="eastAsia"/>
          <w:color w:val="auto"/>
          <w:highlight w:val="none"/>
        </w:rPr>
        <w:t>作</w:t>
      </w:r>
      <w:r>
        <w:rPr>
          <w:color w:val="auto"/>
          <w:highlight w:val="none"/>
        </w:rPr>
        <w:t>为</w:t>
      </w:r>
      <w:r>
        <w:rPr>
          <w:rFonts w:hint="eastAsia"/>
          <w:color w:val="auto"/>
          <w:highlight w:val="none"/>
        </w:rPr>
        <w:t>丁</w:t>
      </w:r>
      <w:r>
        <w:rPr>
          <w:color w:val="auto"/>
          <w:highlight w:val="none"/>
        </w:rPr>
        <w:t>字湾海洋生物多样性保护优先区域。</w:t>
      </w:r>
    </w:p>
    <w:p>
      <w:pPr>
        <w:ind w:firstLine="632"/>
        <w:rPr>
          <w:color w:val="auto"/>
          <w:highlight w:val="none"/>
        </w:rPr>
      </w:pPr>
      <w:r>
        <w:rPr>
          <w:rFonts w:hint="eastAsia"/>
          <w:color w:val="auto"/>
          <w:highlight w:val="none"/>
        </w:rPr>
        <w:t>本区野生高等植物和陆生脊椎动物尚未开展过系统全面的生物多样性本底调查。根据有关数据资料，</w:t>
      </w:r>
      <w:r>
        <w:rPr>
          <w:color w:val="auto"/>
          <w:highlight w:val="none"/>
        </w:rPr>
        <w:t>本区有浮游植物有13目16科18属33种，浮游动物5目12科12属14种，大型底栖动物7目11科11属11种</w:t>
      </w:r>
      <w:r>
        <w:rPr>
          <w:rFonts w:hint="eastAsia"/>
          <w:color w:val="auto"/>
          <w:highlight w:val="none"/>
        </w:rPr>
        <w:t>。</w:t>
      </w:r>
      <w:r>
        <w:rPr>
          <w:color w:val="auto"/>
          <w:highlight w:val="none"/>
        </w:rPr>
        <w:t>游泳动物未有详细的物种调查数据，根据研究数据，本区游泳动物中鱼类有17种。</w:t>
      </w:r>
    </w:p>
    <w:p>
      <w:pPr>
        <w:ind w:firstLine="632"/>
        <w:rPr>
          <w:color w:val="auto"/>
          <w:highlight w:val="none"/>
        </w:rPr>
      </w:pPr>
      <w:r>
        <w:rPr>
          <w:color w:val="auto"/>
          <w:highlight w:val="none"/>
        </w:rPr>
        <w:t>本区主要保护对象为湿地生态系统</w:t>
      </w:r>
      <w:r>
        <w:rPr>
          <w:rFonts w:hint="eastAsia"/>
          <w:color w:val="auto"/>
          <w:highlight w:val="none"/>
        </w:rPr>
        <w:t>，珍稀濒危、国家重点保护和有</w:t>
      </w:r>
      <w:r>
        <w:rPr>
          <w:color w:val="auto"/>
          <w:highlight w:val="none"/>
        </w:rPr>
        <w:t>重要生态、科学、社会价值</w:t>
      </w:r>
      <w:r>
        <w:rPr>
          <w:rFonts w:hint="eastAsia"/>
          <w:color w:val="auto"/>
          <w:highlight w:val="none"/>
        </w:rPr>
        <w:t>的野生动物及</w:t>
      </w:r>
      <w:r>
        <w:rPr>
          <w:color w:val="auto"/>
          <w:highlight w:val="none"/>
        </w:rPr>
        <w:t>海洋生物资源，包括</w:t>
      </w:r>
      <w:r>
        <w:rPr>
          <w:rFonts w:hint="eastAsia"/>
          <w:color w:val="auto"/>
          <w:highlight w:val="none"/>
        </w:rPr>
        <w:t>栖息、迁徙过境停歇或越冬的西伯利亚银鸥、红嘴鸥、小白鹭、苍鹭、金眶鸻、黑翅长脚鹬、斑嘴鸭等各种鸥鹭、</w:t>
      </w:r>
      <w:r>
        <w:rPr>
          <w:rFonts w:hint="eastAsia" w:ascii="微软雅黑" w:hAnsi="微软雅黑" w:eastAsia="微软雅黑" w:cs="微软雅黑"/>
          <w:color w:val="auto"/>
          <w:highlight w:val="none"/>
        </w:rPr>
        <w:t>鸻</w:t>
      </w:r>
      <w:r>
        <w:rPr>
          <w:rFonts w:hint="eastAsia" w:ascii="仿宋_GB2312" w:hAnsi="仿宋_GB2312" w:cs="仿宋_GB2312"/>
          <w:color w:val="auto"/>
          <w:highlight w:val="none"/>
        </w:rPr>
        <w:t>鹬、</w:t>
      </w:r>
      <w:r>
        <w:rPr>
          <w:rFonts w:hint="eastAsia"/>
          <w:color w:val="auto"/>
          <w:highlight w:val="none"/>
        </w:rPr>
        <w:t>雁鸭等野生动物，以及高眼鲽、方氏云</w:t>
      </w:r>
      <w:r>
        <w:rPr>
          <w:rFonts w:hint="eastAsia" w:ascii="微软雅黑" w:hAnsi="微软雅黑" w:eastAsia="微软雅黑" w:cs="微软雅黑"/>
          <w:color w:val="auto"/>
          <w:highlight w:val="none"/>
        </w:rPr>
        <w:t>鳚</w:t>
      </w:r>
      <w:r>
        <w:rPr>
          <w:color w:val="auto"/>
          <w:highlight w:val="none"/>
        </w:rPr>
        <w:t xml:space="preserve"> </w:t>
      </w:r>
      <w:r>
        <w:rPr>
          <w:rFonts w:hint="eastAsia"/>
          <w:color w:val="auto"/>
          <w:highlight w:val="none"/>
        </w:rPr>
        <w:t>、日本枪乌贼、带鱼、许氏平</w:t>
      </w:r>
      <w:r>
        <w:rPr>
          <w:rFonts w:hint="eastAsia" w:ascii="微软雅黑" w:hAnsi="微软雅黑" w:eastAsia="微软雅黑" w:cs="微软雅黑"/>
          <w:color w:val="auto"/>
          <w:highlight w:val="none"/>
        </w:rPr>
        <w:t>鲉</w:t>
      </w:r>
      <w:r>
        <w:rPr>
          <w:rFonts w:hint="eastAsia" w:ascii="仿宋_GB2312" w:hAnsi="仿宋_GB2312" w:cs="仿宋_GB2312"/>
          <w:color w:val="auto"/>
          <w:highlight w:val="none"/>
        </w:rPr>
        <w:t>、戴氏赤虾、</w:t>
      </w:r>
      <w:r>
        <w:rPr>
          <w:rFonts w:hint="eastAsia" w:ascii="微软雅黑" w:hAnsi="微软雅黑" w:eastAsia="微软雅黑" w:cs="微软雅黑"/>
          <w:color w:val="auto"/>
          <w:highlight w:val="none"/>
        </w:rPr>
        <w:t>鯷</w:t>
      </w:r>
      <w:r>
        <w:rPr>
          <w:rFonts w:hint="eastAsia" w:ascii="仿宋_GB2312" w:hAnsi="仿宋_GB2312" w:cs="仿宋_GB2312"/>
          <w:color w:val="auto"/>
          <w:highlight w:val="none"/>
        </w:rPr>
        <w:t>、口虾蛄、鹰爪虾、鲐、星康吉鳗、绿鳍鱼、蓝点马鲛、</w:t>
      </w:r>
      <w:r>
        <w:rPr>
          <w:rFonts w:hint="eastAsia"/>
          <w:color w:val="auto"/>
          <w:highlight w:val="none"/>
        </w:rPr>
        <w:t>长蛸、小黄鱼、太平洋褶柔鱼、日本</w:t>
      </w:r>
      <w:r>
        <w:rPr>
          <w:rFonts w:hint="eastAsia" w:ascii="微软雅黑" w:hAnsi="微软雅黑" w:eastAsia="微软雅黑" w:cs="微软雅黑"/>
          <w:color w:val="auto"/>
          <w:highlight w:val="none"/>
        </w:rPr>
        <w:t>蟳</w:t>
      </w:r>
      <w:r>
        <w:rPr>
          <w:rFonts w:hint="eastAsia" w:ascii="仿宋_GB2312" w:hAnsi="仿宋_GB2312" w:cs="仿宋_GB2312"/>
          <w:color w:val="auto"/>
          <w:highlight w:val="none"/>
        </w:rPr>
        <w:t>等海洋水产资源。</w:t>
      </w:r>
    </w:p>
    <w:p>
      <w:pPr>
        <w:pStyle w:val="7"/>
        <w:ind w:firstLine="632"/>
        <w:rPr>
          <w:color w:val="auto"/>
          <w:highlight w:val="none"/>
        </w:rPr>
      </w:pPr>
      <w:r>
        <w:rPr>
          <w:color w:val="auto"/>
          <w:highlight w:val="none"/>
        </w:rPr>
        <w:t>2.4琅琊台湾生物多样性保护优先区域</w:t>
      </w:r>
    </w:p>
    <w:p>
      <w:pPr>
        <w:ind w:firstLine="632"/>
        <w:rPr>
          <w:color w:val="auto"/>
          <w:highlight w:val="none"/>
        </w:rPr>
      </w:pPr>
      <w:r>
        <w:rPr>
          <w:color w:val="auto"/>
          <w:highlight w:val="none"/>
        </w:rPr>
        <w:t>琅琊台湾位于琅琊台西，泊里、琅琊镇南，毗邻董家口。目前已经建立海洋特别保护区，总面积为49.74 km</w:t>
      </w:r>
      <w:r>
        <w:rPr>
          <w:color w:val="auto"/>
          <w:highlight w:val="none"/>
          <w:vertAlign w:val="superscript"/>
        </w:rPr>
        <w:t>2</w:t>
      </w:r>
      <w:r>
        <w:rPr>
          <w:color w:val="auto"/>
          <w:highlight w:val="none"/>
        </w:rPr>
        <w:t>。</w:t>
      </w:r>
      <w:r>
        <w:rPr>
          <w:rFonts w:hint="eastAsia"/>
          <w:color w:val="auto"/>
          <w:highlight w:val="none"/>
        </w:rPr>
        <w:t>本区野生高等植物和脊椎动物尚未进行过系统全面的生物多样性本底调查。查阅有关数据资料，本区</w:t>
      </w:r>
      <w:r>
        <w:rPr>
          <w:color w:val="auto"/>
          <w:highlight w:val="none"/>
        </w:rPr>
        <w:t>有浮游植物有74种，隶属于20目、24科、29属；浮游动物32种，隶属于10目、21科、25属；大型底栖动物91种，隶属29目、70科、87属；游泳动物未有详细的物种调查数据，但根据2014年渔业资源生物量调查数据，琅琊台湾鱼类年均密度最高，达28 kg/h。</w:t>
      </w:r>
    </w:p>
    <w:p>
      <w:pPr>
        <w:ind w:firstLine="632"/>
        <w:rPr>
          <w:color w:val="auto"/>
          <w:highlight w:val="none"/>
        </w:rPr>
      </w:pPr>
      <w:r>
        <w:rPr>
          <w:color w:val="auto"/>
          <w:highlight w:val="none"/>
        </w:rPr>
        <w:t>本区主要保护对象为</w:t>
      </w:r>
      <w:r>
        <w:rPr>
          <w:rFonts w:hint="eastAsia"/>
          <w:color w:val="auto"/>
          <w:highlight w:val="none"/>
        </w:rPr>
        <w:t>湿地生态系统，珍稀濒危、国家重点保护和有</w:t>
      </w:r>
      <w:r>
        <w:rPr>
          <w:color w:val="auto"/>
          <w:highlight w:val="none"/>
        </w:rPr>
        <w:t>重要生态、科学、社会价值</w:t>
      </w:r>
      <w:r>
        <w:rPr>
          <w:rFonts w:hint="eastAsia"/>
          <w:color w:val="auto"/>
          <w:highlight w:val="none"/>
        </w:rPr>
        <w:t>的野生动物及</w:t>
      </w:r>
      <w:r>
        <w:rPr>
          <w:color w:val="auto"/>
          <w:highlight w:val="none"/>
        </w:rPr>
        <w:t>海洋生物资源，包括</w:t>
      </w:r>
      <w:r>
        <w:rPr>
          <w:rFonts w:hint="eastAsia"/>
          <w:color w:val="auto"/>
          <w:highlight w:val="none"/>
        </w:rPr>
        <w:t>栖息、迁徙过境停歇或越冬的各种鸥鹭、</w:t>
      </w:r>
      <w:r>
        <w:rPr>
          <w:rFonts w:hint="eastAsia" w:ascii="微软雅黑" w:hAnsi="微软雅黑" w:eastAsia="微软雅黑" w:cs="微软雅黑"/>
          <w:color w:val="auto"/>
          <w:highlight w:val="none"/>
        </w:rPr>
        <w:t>鸻</w:t>
      </w:r>
      <w:r>
        <w:rPr>
          <w:rFonts w:hint="eastAsia" w:ascii="仿宋_GB2312" w:hAnsi="仿宋_GB2312" w:cs="仿宋_GB2312"/>
          <w:color w:val="auto"/>
          <w:highlight w:val="none"/>
        </w:rPr>
        <w:t>鹬、</w:t>
      </w:r>
      <w:r>
        <w:rPr>
          <w:rFonts w:hint="eastAsia"/>
          <w:color w:val="auto"/>
          <w:highlight w:val="none"/>
        </w:rPr>
        <w:t>雁鸭等野生动物，以及中国对虾、日本对虾、六线鱼、褐牙鲆、三疣梭子蟹、金乌贼等海洋水产资源。</w:t>
      </w:r>
    </w:p>
    <w:p>
      <w:pPr>
        <w:pStyle w:val="6"/>
        <w:ind w:firstLine="632"/>
        <w:rPr>
          <w:rFonts w:ascii="楷体_GB2312" w:hAnsi="楷体_GB2312" w:eastAsia="楷体_GB2312" w:cs="楷体_GB2312"/>
          <w:b w:val="0"/>
          <w:bCs w:val="0"/>
          <w:color w:val="auto"/>
          <w:highlight w:val="none"/>
        </w:rPr>
      </w:pPr>
      <w:bookmarkStart w:id="101" w:name="_Toc531604408"/>
      <w:r>
        <w:rPr>
          <w:rFonts w:hint="eastAsia" w:ascii="楷体_GB2312" w:hAnsi="楷体_GB2312" w:eastAsia="楷体_GB2312" w:cs="楷体_GB2312"/>
          <w:b w:val="0"/>
          <w:bCs w:val="0"/>
          <w:color w:val="auto"/>
          <w:highlight w:val="none"/>
        </w:rPr>
        <w:t>3.海洋</w:t>
      </w:r>
      <w:bookmarkEnd w:id="101"/>
    </w:p>
    <w:p>
      <w:pPr>
        <w:pStyle w:val="7"/>
        <w:ind w:firstLine="632"/>
        <w:rPr>
          <w:b/>
          <w:color w:val="auto"/>
          <w:highlight w:val="none"/>
        </w:rPr>
      </w:pPr>
      <w:r>
        <w:rPr>
          <w:color w:val="auto"/>
          <w:highlight w:val="none"/>
        </w:rPr>
        <w:t>3.1文昌鱼保护区生物多样性保护优先区域</w:t>
      </w:r>
    </w:p>
    <w:p>
      <w:pPr>
        <w:ind w:firstLine="632"/>
        <w:rPr>
          <w:color w:val="auto"/>
          <w:highlight w:val="none"/>
        </w:rPr>
      </w:pPr>
      <w:r>
        <w:rPr>
          <w:color w:val="auto"/>
          <w:highlight w:val="none"/>
        </w:rPr>
        <w:t>文昌鱼保护区海域是国家二级保护水生野生动物文昌鱼的栖息地，同时也是多种鱼虾类的产卵、索饵、肥育场和鱼类洄游通道，其渔业地位十分重要和敏感。目前已建立</w:t>
      </w:r>
      <w:r>
        <w:rPr>
          <w:rFonts w:hint="eastAsia"/>
          <w:color w:val="auto"/>
          <w:highlight w:val="none"/>
        </w:rPr>
        <w:t>市级</w:t>
      </w:r>
      <w:r>
        <w:rPr>
          <w:color w:val="auto"/>
          <w:highlight w:val="none"/>
        </w:rPr>
        <w:t>自然保护区，总面积</w:t>
      </w:r>
      <w:r>
        <w:rPr>
          <w:rFonts w:hint="eastAsia"/>
          <w:color w:val="auto"/>
          <w:highlight w:val="none"/>
        </w:rPr>
        <w:t>61.81</w:t>
      </w:r>
      <w:r>
        <w:rPr>
          <w:color w:val="auto"/>
          <w:highlight w:val="none"/>
        </w:rPr>
        <w:t xml:space="preserve"> km</w:t>
      </w:r>
      <w:r>
        <w:rPr>
          <w:color w:val="auto"/>
          <w:highlight w:val="none"/>
          <w:vertAlign w:val="superscript"/>
        </w:rPr>
        <w:t>2</w:t>
      </w:r>
      <w:r>
        <w:rPr>
          <w:color w:val="auto"/>
          <w:highlight w:val="none"/>
        </w:rPr>
        <w:t>，即作为海洋生物多样性保护优先区域。</w:t>
      </w:r>
    </w:p>
    <w:p>
      <w:pPr>
        <w:ind w:firstLine="632"/>
        <w:rPr>
          <w:color w:val="auto"/>
          <w:highlight w:val="none"/>
        </w:rPr>
      </w:pPr>
      <w:r>
        <w:rPr>
          <w:color w:val="auto"/>
          <w:highlight w:val="none"/>
        </w:rPr>
        <w:t>本区有浮游植物有</w:t>
      </w:r>
      <w:r>
        <w:rPr>
          <w:rFonts w:hint="eastAsia"/>
          <w:color w:val="auto"/>
          <w:highlight w:val="none"/>
        </w:rPr>
        <w:t>70余</w:t>
      </w:r>
      <w:r>
        <w:rPr>
          <w:color w:val="auto"/>
          <w:highlight w:val="none"/>
        </w:rPr>
        <w:t>种，隶属于</w:t>
      </w:r>
      <w:r>
        <w:rPr>
          <w:rFonts w:hint="eastAsia"/>
          <w:color w:val="auto"/>
          <w:highlight w:val="none"/>
        </w:rPr>
        <w:t>硅藻和甲藻门</w:t>
      </w:r>
      <w:r>
        <w:rPr>
          <w:color w:val="auto"/>
          <w:highlight w:val="none"/>
        </w:rPr>
        <w:t>；浮游动物</w:t>
      </w:r>
      <w:r>
        <w:rPr>
          <w:rFonts w:hint="eastAsia"/>
          <w:color w:val="auto"/>
          <w:highlight w:val="none"/>
        </w:rPr>
        <w:t>20余</w:t>
      </w:r>
      <w:r>
        <w:rPr>
          <w:color w:val="auto"/>
          <w:highlight w:val="none"/>
        </w:rPr>
        <w:t>种，</w:t>
      </w:r>
      <w:r>
        <w:rPr>
          <w:rFonts w:hint="eastAsia"/>
          <w:color w:val="auto"/>
          <w:highlight w:val="none"/>
        </w:rPr>
        <w:t>包括桡足类、水蛭水母类、原生动物、毛颚类等；</w:t>
      </w:r>
      <w:r>
        <w:rPr>
          <w:color w:val="auto"/>
          <w:highlight w:val="none"/>
        </w:rPr>
        <w:t>大型底栖动物</w:t>
      </w:r>
      <w:r>
        <w:rPr>
          <w:rFonts w:hint="eastAsia"/>
          <w:color w:val="auto"/>
          <w:highlight w:val="none"/>
        </w:rPr>
        <w:t>20余</w:t>
      </w:r>
      <w:r>
        <w:rPr>
          <w:color w:val="auto"/>
          <w:highlight w:val="none"/>
        </w:rPr>
        <w:t>种，</w:t>
      </w:r>
      <w:r>
        <w:rPr>
          <w:rFonts w:hint="eastAsia"/>
          <w:color w:val="auto"/>
          <w:highlight w:val="none"/>
        </w:rPr>
        <w:t>隶属环节动物、节肢动物、棘皮动物和脊索动物4个门；</w:t>
      </w:r>
      <w:r>
        <w:rPr>
          <w:color w:val="auto"/>
          <w:highlight w:val="none"/>
        </w:rPr>
        <w:t>游泳动物</w:t>
      </w:r>
      <w:r>
        <w:rPr>
          <w:rFonts w:hint="eastAsia"/>
          <w:color w:val="auto"/>
          <w:highlight w:val="none"/>
        </w:rPr>
        <w:t>50余种，其中鱼类30余种，无脊椎动物20余种。</w:t>
      </w:r>
    </w:p>
    <w:p>
      <w:pPr>
        <w:ind w:firstLine="632"/>
        <w:rPr>
          <w:color w:val="auto"/>
          <w:highlight w:val="none"/>
        </w:rPr>
      </w:pPr>
      <w:r>
        <w:rPr>
          <w:color w:val="auto"/>
          <w:highlight w:val="none"/>
        </w:rPr>
        <w:t>本区主要保护对象是海洋生态系统及国家二级保护水生野生动物文昌鱼，包括该海域的底栖海洋生物资源和其生境，以及</w:t>
      </w:r>
      <w:r>
        <w:rPr>
          <w:rFonts w:hint="eastAsia"/>
          <w:color w:val="auto"/>
          <w:highlight w:val="none"/>
        </w:rPr>
        <w:t>玉筋鱼、方氏云</w:t>
      </w:r>
      <w:r>
        <w:rPr>
          <w:rFonts w:hint="eastAsia" w:ascii="微软雅黑" w:hAnsi="微软雅黑" w:eastAsia="微软雅黑" w:cs="微软雅黑"/>
          <w:color w:val="auto"/>
          <w:highlight w:val="none"/>
        </w:rPr>
        <w:t>鳚</w:t>
      </w:r>
      <w:r>
        <w:rPr>
          <w:rFonts w:hint="eastAsia" w:ascii="仿宋_GB2312" w:hAnsi="仿宋_GB2312" w:cs="仿宋_GB2312"/>
          <w:color w:val="auto"/>
          <w:highlight w:val="none"/>
        </w:rPr>
        <w:t>、蓝点马鲛、青鳞鱼、白姑鱼、皮氏叫姑鱼等海洋水产资源。</w:t>
      </w:r>
    </w:p>
    <w:p>
      <w:pPr>
        <w:pStyle w:val="4"/>
        <w:ind w:firstLine="632" w:firstLineChars="200"/>
        <w:rPr>
          <w:b w:val="0"/>
          <w:bCs w:val="0"/>
          <w:color w:val="auto"/>
          <w:sz w:val="32"/>
          <w:szCs w:val="32"/>
          <w:highlight w:val="none"/>
        </w:rPr>
      </w:pPr>
      <w:bookmarkStart w:id="102" w:name="_Toc163376232"/>
      <w:r>
        <w:rPr>
          <w:b w:val="0"/>
          <w:bCs w:val="0"/>
          <w:color w:val="auto"/>
          <w:sz w:val="32"/>
          <w:szCs w:val="32"/>
          <w:highlight w:val="none"/>
        </w:rPr>
        <w:t>五、生物多样性保护优先领域与行动</w:t>
      </w:r>
      <w:bookmarkEnd w:id="102"/>
    </w:p>
    <w:p>
      <w:pPr>
        <w:ind w:firstLine="632"/>
        <w:rPr>
          <w:color w:val="auto"/>
          <w:highlight w:val="none"/>
        </w:rPr>
      </w:pPr>
      <w:bookmarkStart w:id="103" w:name="_Toc373683581"/>
      <w:bookmarkStart w:id="104" w:name="_Toc358127799"/>
      <w:bookmarkStart w:id="105" w:name="_Toc396812396"/>
      <w:r>
        <w:rPr>
          <w:color w:val="auto"/>
          <w:highlight w:val="none"/>
        </w:rPr>
        <w:t>根据总体目标和战略任务，综合确定</w:t>
      </w:r>
      <w:r>
        <w:rPr>
          <w:rFonts w:hint="eastAsia"/>
          <w:color w:val="auto"/>
          <w:highlight w:val="none"/>
        </w:rPr>
        <w:t>青岛</w:t>
      </w:r>
      <w:r>
        <w:rPr>
          <w:color w:val="auto"/>
          <w:highlight w:val="none"/>
        </w:rPr>
        <w:t>市生物多样性保护的</w:t>
      </w:r>
      <w:r>
        <w:rPr>
          <w:rFonts w:hint="eastAsia"/>
          <w:color w:val="auto"/>
          <w:highlight w:val="none"/>
        </w:rPr>
        <w:t>四</w:t>
      </w:r>
      <w:r>
        <w:rPr>
          <w:color w:val="auto"/>
          <w:highlight w:val="none"/>
        </w:rPr>
        <w:t>个优先领域及</w:t>
      </w:r>
      <w:r>
        <w:rPr>
          <w:rFonts w:hint="eastAsia"/>
          <w:color w:val="auto"/>
          <w:highlight w:val="none"/>
        </w:rPr>
        <w:t>25</w:t>
      </w:r>
      <w:r>
        <w:rPr>
          <w:color w:val="auto"/>
          <w:highlight w:val="none"/>
        </w:rPr>
        <w:t>个优先行动。</w:t>
      </w:r>
    </w:p>
    <w:p>
      <w:pPr>
        <w:pStyle w:val="6"/>
        <w:ind w:firstLine="632"/>
        <w:rPr>
          <w:rFonts w:ascii="楷体_GB2312" w:hAnsi="楷体_GB2312" w:eastAsia="楷体_GB2312" w:cs="楷体_GB2312"/>
          <w:b w:val="0"/>
          <w:bCs w:val="0"/>
          <w:color w:val="auto"/>
          <w:highlight w:val="none"/>
        </w:rPr>
      </w:pPr>
      <w:bookmarkStart w:id="106" w:name="_Toc163376233"/>
      <w:r>
        <w:rPr>
          <w:rFonts w:hint="eastAsia" w:ascii="楷体_GB2312" w:hAnsi="楷体_GB2312" w:eastAsia="楷体_GB2312" w:cs="楷体_GB2312"/>
          <w:b w:val="0"/>
          <w:bCs w:val="0"/>
          <w:color w:val="auto"/>
          <w:highlight w:val="none"/>
        </w:rPr>
        <w:t>优先领域一：积极推进生物多样性主流化</w:t>
      </w:r>
      <w:bookmarkEnd w:id="106"/>
    </w:p>
    <w:bookmarkEnd w:id="103"/>
    <w:bookmarkEnd w:id="104"/>
    <w:bookmarkEnd w:id="105"/>
    <w:p>
      <w:pPr>
        <w:pStyle w:val="6"/>
        <w:ind w:firstLine="632"/>
        <w:rPr>
          <w:rFonts w:ascii="楷体_GB2312" w:hAnsi="楷体_GB2312" w:eastAsia="楷体_GB2312" w:cs="楷体_GB2312"/>
          <w:b w:val="0"/>
          <w:bCs w:val="0"/>
          <w:color w:val="auto"/>
          <w:highlight w:val="none"/>
        </w:rPr>
      </w:pPr>
      <w:bookmarkStart w:id="107" w:name="_Toc396812397"/>
      <w:bookmarkStart w:id="108" w:name="_Toc358127800"/>
      <w:bookmarkStart w:id="109" w:name="_Toc531604441"/>
      <w:bookmarkStart w:id="110" w:name="_Toc338686587"/>
      <w:bookmarkStart w:id="111" w:name="_Toc354997032"/>
      <w:bookmarkStart w:id="112" w:name="_Toc373683582"/>
      <w:r>
        <w:rPr>
          <w:rFonts w:hint="eastAsia" w:ascii="楷体_GB2312" w:hAnsi="楷体_GB2312" w:eastAsia="楷体_GB2312" w:cs="楷体_GB2312"/>
          <w:b w:val="0"/>
          <w:bCs w:val="0"/>
          <w:color w:val="auto"/>
          <w:highlight w:val="none"/>
        </w:rPr>
        <w:t>行动1：进一步完善生物多样性保护法规</w:t>
      </w:r>
      <w:bookmarkEnd w:id="107"/>
      <w:bookmarkEnd w:id="108"/>
      <w:bookmarkEnd w:id="109"/>
      <w:bookmarkEnd w:id="110"/>
      <w:bookmarkEnd w:id="111"/>
      <w:bookmarkEnd w:id="112"/>
      <w:r>
        <w:rPr>
          <w:rFonts w:hint="eastAsia" w:ascii="楷体_GB2312" w:hAnsi="楷体_GB2312" w:eastAsia="楷体_GB2312" w:cs="楷体_GB2312"/>
          <w:b w:val="0"/>
          <w:bCs w:val="0"/>
          <w:color w:val="auto"/>
          <w:highlight w:val="none"/>
        </w:rPr>
        <w:t>体系</w:t>
      </w:r>
    </w:p>
    <w:p>
      <w:pPr>
        <w:ind w:firstLine="632" w:firstLineChars="0"/>
        <w:rPr>
          <w:color w:val="auto"/>
          <w:highlight w:val="none"/>
        </w:rPr>
      </w:pPr>
      <w:r>
        <w:rPr>
          <w:color w:val="auto"/>
          <w:highlight w:val="none"/>
        </w:rPr>
        <w:t>梳理青岛市现有法律、法规中有关生物多样性保护的内容，</w:t>
      </w:r>
      <w:r>
        <w:rPr>
          <w:rFonts w:hint="eastAsia"/>
          <w:color w:val="auto"/>
          <w:highlight w:val="none"/>
        </w:rPr>
        <w:t>坚持保护优先、自然恢复为主，推动完善生物多样性保护和可持续利用、自然保护地管理、野外放生等有关地方性法规、条例</w:t>
      </w:r>
      <w:r>
        <w:rPr>
          <w:color w:val="auto"/>
          <w:highlight w:val="none"/>
        </w:rPr>
        <w:t>。加强生物多样性</w:t>
      </w:r>
      <w:r>
        <w:rPr>
          <w:rFonts w:hint="eastAsia"/>
          <w:color w:val="auto"/>
          <w:highlight w:val="none"/>
        </w:rPr>
        <w:t>保护</w:t>
      </w:r>
      <w:r>
        <w:rPr>
          <w:color w:val="auto"/>
          <w:highlight w:val="none"/>
        </w:rPr>
        <w:t>执法体系建设，</w:t>
      </w:r>
      <w:r>
        <w:rPr>
          <w:rFonts w:hint="eastAsia"/>
          <w:color w:val="auto"/>
          <w:highlight w:val="none"/>
        </w:rPr>
        <w:t>制定执法监管实施细则</w:t>
      </w:r>
      <w:r>
        <w:rPr>
          <w:color w:val="auto"/>
          <w:highlight w:val="none"/>
        </w:rPr>
        <w:t>。</w:t>
      </w:r>
      <w:r>
        <w:rPr>
          <w:rFonts w:hint="eastAsia"/>
          <w:color w:val="auto"/>
          <w:highlight w:val="none"/>
        </w:rPr>
        <w:t>到2</w:t>
      </w:r>
      <w:r>
        <w:rPr>
          <w:color w:val="auto"/>
          <w:highlight w:val="none"/>
        </w:rPr>
        <w:t>030</w:t>
      </w:r>
      <w:r>
        <w:rPr>
          <w:rFonts w:hint="eastAsia"/>
          <w:color w:val="auto"/>
          <w:highlight w:val="none"/>
        </w:rPr>
        <w:t>年，生物多样性保护与可持续利用法规体系基本完善。</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行动2：健全生物多样性保护体制机制</w:t>
      </w:r>
    </w:p>
    <w:p>
      <w:pPr>
        <w:ind w:firstLine="632" w:firstLineChars="0"/>
        <w:rPr>
          <w:color w:val="auto"/>
          <w:highlight w:val="none"/>
        </w:rPr>
      </w:pPr>
      <w:r>
        <w:rPr>
          <w:rFonts w:hint="eastAsia"/>
          <w:color w:val="auto"/>
          <w:highlight w:val="none"/>
        </w:rPr>
        <w:t>建立市级生物多样性保护协调机制，进一步明确各单位保护、管理和监督职责，统筹推进全市生物多样性保护，加强信息共享，将生物多样性保护充分纳入各级政府和有关部门的政策、决策及制度制定中。完善政府绩效考核制度，探索将生物多样性保护相关工作纳入政府考核体系。探索建立自然保护地生态保护补偿制度，探索将生物多样性保护恢复成效纳入生态补偿政策。推进落实生态环境损害赔偿制度。推行森林河流湖泊海湾休养生息，健全耕地休耕轮作制度。到2</w:t>
      </w:r>
      <w:r>
        <w:rPr>
          <w:color w:val="auto"/>
          <w:highlight w:val="none"/>
        </w:rPr>
        <w:t>030</w:t>
      </w:r>
      <w:r>
        <w:rPr>
          <w:rFonts w:hint="eastAsia"/>
          <w:color w:val="auto"/>
          <w:highlight w:val="none"/>
        </w:rPr>
        <w:t>年，生物多样性保护协调机制建立健全，制度体系基本完善。</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行动3：健全生物多样性保护规划体系</w:t>
      </w:r>
    </w:p>
    <w:p>
      <w:pPr>
        <w:ind w:firstLine="632"/>
        <w:rPr>
          <w:color w:val="auto"/>
          <w:highlight w:val="none"/>
        </w:rPr>
      </w:pPr>
      <w:r>
        <w:rPr>
          <w:color w:val="auto"/>
          <w:highlight w:val="none"/>
        </w:rPr>
        <w:t>将生物多样性保护</w:t>
      </w:r>
      <w:r>
        <w:rPr>
          <w:rFonts w:hint="eastAsia"/>
          <w:color w:val="auto"/>
          <w:highlight w:val="none"/>
        </w:rPr>
        <w:t>目标及其多重价值观持续纳入各级政府国民经济和社会发展规划及各有关领域中长期规划和行业发展规划，加强可持续管理，减少对生物多样性及生态系统完整性、稳定性和恢复力的负面影响。研究制定生物多样性调查监测、生物资源开发和可持续利用、生物安全管理、城市生物多样性保护等重点领域实施方案，加强监督落实。鼓励企业和社会组织自愿制定生物多样性保护行动计划。</w:t>
      </w:r>
      <w:bookmarkStart w:id="113" w:name="_Toc358127801"/>
      <w:bookmarkStart w:id="114" w:name="_Toc354997033"/>
      <w:bookmarkStart w:id="115" w:name="_Toc396812398"/>
      <w:bookmarkStart w:id="116" w:name="_Toc373683583"/>
      <w:bookmarkStart w:id="117" w:name="_Toc531604442"/>
      <w:r>
        <w:rPr>
          <w:rFonts w:hint="eastAsia"/>
          <w:color w:val="auto"/>
          <w:highlight w:val="none"/>
        </w:rPr>
        <w:t>到2</w:t>
      </w:r>
      <w:r>
        <w:rPr>
          <w:color w:val="auto"/>
          <w:highlight w:val="none"/>
        </w:rPr>
        <w:t>030</w:t>
      </w:r>
      <w:r>
        <w:rPr>
          <w:rFonts w:hint="eastAsia"/>
          <w:color w:val="auto"/>
          <w:highlight w:val="none"/>
        </w:rPr>
        <w:t>年，生物多样性保护规划体系进一步完善，工作系统性显著增强。</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行动4：加强生物多样性宣传教育</w:t>
      </w:r>
    </w:p>
    <w:p>
      <w:pPr>
        <w:ind w:firstLine="632"/>
        <w:rPr>
          <w:color w:val="auto"/>
          <w:highlight w:val="none"/>
        </w:rPr>
      </w:pPr>
      <w:r>
        <w:rPr>
          <w:rFonts w:hint="eastAsia"/>
          <w:color w:val="auto"/>
          <w:highlight w:val="none"/>
        </w:rPr>
        <w:t>充分发挥主流媒体宣传作用，积极调动新媒体力量，进一步加大宣传教育力度，广泛宣传、普及生物多样性保护相关法律法规和科学知识，及时通报相关违法犯罪行为，全面提升各级政府管理人员及全社会的生物多样性保护意识和能力。加强生物多样性相关自然博物馆、科普馆、自然教育基地建设，设立重点实验室、综合观测（监测）站、种质资源库（圃）等公众科学日，畅通公众获取生物多样性知识途径和渠道，提升科普教育的互动性和趣味性。到2030年，全社会生物多样性保护意识显著提升。</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行动5：倡导生物多样性保护全民行动</w:t>
      </w:r>
    </w:p>
    <w:p>
      <w:pPr>
        <w:ind w:firstLine="632"/>
        <w:rPr>
          <w:color w:val="auto"/>
          <w:highlight w:val="none"/>
        </w:rPr>
      </w:pPr>
      <w:r>
        <w:rPr>
          <w:rFonts w:hint="eastAsia"/>
          <w:color w:val="auto"/>
          <w:highlight w:val="none"/>
        </w:rPr>
        <w:t>推动建立政府主导、企业积极行动和公众广泛参与的生物多样性保护长效机制，保障企业、地方社区、妇女、青少年等不同群体在生物多样性决策中有充分、公平、有效的代表权和参与权。通过政府购买服务等形式，激励企事业单位、社会组织开展生物多样性保护咨询服务和法律援助活动。培育生物多样性友好型消费和生活方式，拒绝消费任何野生动物及其制品，保护身边的生物多样性。完善公众监督和举报机制，畅通生物多样性保护公众监督和举报渠道，引导公众对违法行为进行舆论监督，支持新闻媒体开展舆论监督。建立健全生物多样性公益诉讼机制，强化公众参与的司法保障。到2030年，生物多样性全民行动体系基本建立，公众生物多样性保护参与度大幅提升。</w:t>
      </w:r>
    </w:p>
    <w:bookmarkEnd w:id="113"/>
    <w:bookmarkEnd w:id="114"/>
    <w:bookmarkEnd w:id="115"/>
    <w:bookmarkEnd w:id="116"/>
    <w:bookmarkEnd w:id="117"/>
    <w:p>
      <w:pPr>
        <w:pStyle w:val="6"/>
        <w:ind w:firstLine="632"/>
        <w:rPr>
          <w:rFonts w:ascii="楷体_GB2312" w:hAnsi="楷体_GB2312" w:eastAsia="楷体_GB2312" w:cs="楷体_GB2312"/>
          <w:b w:val="0"/>
          <w:bCs w:val="0"/>
          <w:color w:val="auto"/>
          <w:highlight w:val="none"/>
        </w:rPr>
      </w:pPr>
      <w:bookmarkStart w:id="118" w:name="_Toc358127802"/>
      <w:bookmarkStart w:id="119" w:name="_Toc373683584"/>
      <w:bookmarkStart w:id="120" w:name="_Toc396812399"/>
      <w:bookmarkStart w:id="121" w:name="_Toc531604443"/>
      <w:bookmarkStart w:id="122" w:name="_Toc163376234"/>
      <w:r>
        <w:rPr>
          <w:rFonts w:hint="eastAsia" w:ascii="楷体_GB2312" w:hAnsi="楷体_GB2312" w:eastAsia="楷体_GB2312" w:cs="楷体_GB2312"/>
          <w:b w:val="0"/>
          <w:bCs w:val="0"/>
          <w:color w:val="auto"/>
          <w:highlight w:val="none"/>
        </w:rPr>
        <w:t>优先领域二：</w:t>
      </w:r>
      <w:bookmarkEnd w:id="118"/>
      <w:bookmarkEnd w:id="119"/>
      <w:bookmarkEnd w:id="120"/>
      <w:bookmarkEnd w:id="121"/>
      <w:r>
        <w:rPr>
          <w:rFonts w:hint="eastAsia" w:ascii="楷体_GB2312" w:hAnsi="楷体_GB2312" w:eastAsia="楷体_GB2312" w:cs="楷体_GB2312"/>
          <w:b w:val="0"/>
          <w:bCs w:val="0"/>
          <w:color w:val="auto"/>
          <w:highlight w:val="none"/>
        </w:rPr>
        <w:t>全力应对生物多样性丧失威胁</w:t>
      </w:r>
      <w:bookmarkEnd w:id="122"/>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行动6：严格生态空间利用管控</w:t>
      </w:r>
    </w:p>
    <w:p>
      <w:pPr>
        <w:ind w:firstLine="632"/>
        <w:rPr>
          <w:color w:val="auto"/>
          <w:highlight w:val="none"/>
        </w:rPr>
      </w:pPr>
      <w:r>
        <w:rPr>
          <w:rFonts w:hint="eastAsia"/>
          <w:color w:val="auto"/>
          <w:highlight w:val="none"/>
        </w:rPr>
        <w:t>优化国土开发和保护格局，健全生态保护红线和自然保护地监管体系，严守生态保护红线和自然保护地边界。加强对生物多样性保护优先区域的保护监督，筑牢重点生态功能区格局。实施国土空间分类管控，建立“三线一单”生态环境分区管控体系，将生物多样性作为陆地和海洋空间规划与治理的重要内容，纳入资源开发、产业发展、城乡建设、重大项目选址等的重要依据，严控生态功能重要区域和生态环境敏感区域用途改变。到2</w:t>
      </w:r>
      <w:r>
        <w:rPr>
          <w:color w:val="auto"/>
          <w:highlight w:val="none"/>
        </w:rPr>
        <w:t>030</w:t>
      </w:r>
      <w:r>
        <w:rPr>
          <w:rFonts w:hint="eastAsia"/>
          <w:color w:val="auto"/>
          <w:highlight w:val="none"/>
        </w:rPr>
        <w:t>年，重要生态空间得到有效管控，自然生态系统的原真性和完整性得以保持和恢复，生态保护红线面积不减少、功能不降低、性质不改变，大陆自然岸线保有率不低于3</w:t>
      </w:r>
      <w:r>
        <w:rPr>
          <w:color w:val="auto"/>
          <w:highlight w:val="none"/>
        </w:rPr>
        <w:t>5%</w:t>
      </w:r>
      <w:r>
        <w:rPr>
          <w:rFonts w:hint="eastAsia"/>
          <w:color w:val="auto"/>
          <w:highlight w:val="none"/>
        </w:rPr>
        <w:t>，重要生态系统及栖息地丧失趋势得到有效遏制。</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行动7：持续优化就地保护体系</w:t>
      </w:r>
    </w:p>
    <w:p>
      <w:pPr>
        <w:ind w:firstLine="632" w:firstLineChars="0"/>
        <w:rPr>
          <w:color w:val="auto"/>
          <w:highlight w:val="none"/>
        </w:rPr>
      </w:pPr>
      <w:r>
        <w:rPr>
          <w:rFonts w:hint="eastAsia"/>
          <w:color w:val="auto"/>
          <w:highlight w:val="none"/>
        </w:rPr>
        <w:t>（1）优化调整全市自然保护地体系，合理布局、建设物种保护空间体系，以珍稀濒危物种、旗舰物种和指示物种保护为重点保护对象，优化建设养护观测站，对其栖息生境实施不同保护措施。</w:t>
      </w:r>
    </w:p>
    <w:p>
      <w:pPr>
        <w:ind w:firstLine="632" w:firstLineChars="0"/>
        <w:rPr>
          <w:color w:val="auto"/>
          <w:highlight w:val="none"/>
        </w:rPr>
      </w:pPr>
      <w:r>
        <w:rPr>
          <w:rFonts w:hint="eastAsia"/>
          <w:color w:val="auto"/>
          <w:highlight w:val="none"/>
        </w:rPr>
        <w:t>（</w:t>
      </w:r>
      <w:r>
        <w:rPr>
          <w:color w:val="auto"/>
          <w:highlight w:val="none"/>
        </w:rPr>
        <w:t>2</w:t>
      </w:r>
      <w:r>
        <w:rPr>
          <w:rFonts w:hint="eastAsia"/>
          <w:color w:val="auto"/>
          <w:highlight w:val="none"/>
        </w:rPr>
        <w:t>）因地制宜科学构建生态廊道，以河流、海岸线、城市绿道为依托，通过保护、恢复和补缺造林等措施，建立连通各类自然保护地以及城市公园、山头公园、郊野公园等生态空间的景观生态廊道，形成一体化的生态保护网络。</w:t>
      </w:r>
    </w:p>
    <w:p>
      <w:pPr>
        <w:ind w:firstLine="632" w:firstLineChars="0"/>
        <w:rPr>
          <w:color w:val="auto"/>
          <w:highlight w:val="none"/>
        </w:rPr>
      </w:pPr>
      <w:r>
        <w:rPr>
          <w:rFonts w:hint="eastAsia"/>
          <w:color w:val="auto"/>
          <w:highlight w:val="none"/>
        </w:rPr>
        <w:t>（3）</w:t>
      </w:r>
      <w:r>
        <w:rPr>
          <w:color w:val="auto"/>
          <w:highlight w:val="none"/>
        </w:rPr>
        <w:t>选择</w:t>
      </w:r>
      <w:r>
        <w:rPr>
          <w:rFonts w:hint="eastAsia"/>
          <w:color w:val="auto"/>
          <w:highlight w:val="none"/>
        </w:rPr>
        <w:t>重要珍稀濒危物种、极小种群集中分布区、遗传资源破碎分布点以及</w:t>
      </w:r>
      <w:r>
        <w:rPr>
          <w:color w:val="auto"/>
          <w:highlight w:val="none"/>
        </w:rPr>
        <w:t>代表性的</w:t>
      </w:r>
      <w:r>
        <w:rPr>
          <w:rFonts w:hint="eastAsia"/>
          <w:color w:val="auto"/>
          <w:highlight w:val="none"/>
        </w:rPr>
        <w:t>典型</w:t>
      </w:r>
      <w:r>
        <w:rPr>
          <w:color w:val="auto"/>
          <w:highlight w:val="none"/>
        </w:rPr>
        <w:t>生态系统等关键区域或特殊地带，创建自然保护小区，</w:t>
      </w:r>
      <w:r>
        <w:rPr>
          <w:rFonts w:hint="eastAsia"/>
          <w:color w:val="auto"/>
          <w:highlight w:val="none"/>
        </w:rPr>
        <w:t>填补现有</w:t>
      </w:r>
      <w:r>
        <w:rPr>
          <w:color w:val="auto"/>
          <w:highlight w:val="none"/>
        </w:rPr>
        <w:t>自然保护</w:t>
      </w:r>
      <w:r>
        <w:rPr>
          <w:rFonts w:hint="eastAsia"/>
          <w:color w:val="auto"/>
          <w:highlight w:val="none"/>
        </w:rPr>
        <w:t>地保护空缺</w:t>
      </w:r>
      <w:r>
        <w:rPr>
          <w:color w:val="auto"/>
          <w:highlight w:val="none"/>
        </w:rPr>
        <w:t>。</w:t>
      </w:r>
    </w:p>
    <w:p>
      <w:pPr>
        <w:ind w:firstLine="632" w:firstLineChars="0"/>
        <w:rPr>
          <w:color w:val="auto"/>
          <w:highlight w:val="none"/>
        </w:rPr>
      </w:pPr>
      <w:r>
        <w:rPr>
          <w:rFonts w:hint="eastAsia"/>
          <w:color w:val="auto"/>
          <w:highlight w:val="none"/>
        </w:rPr>
        <w:t>（</w:t>
      </w:r>
      <w:r>
        <w:rPr>
          <w:color w:val="auto"/>
          <w:highlight w:val="none"/>
        </w:rPr>
        <w:t>4</w:t>
      </w:r>
      <w:r>
        <w:rPr>
          <w:rFonts w:hint="eastAsia"/>
          <w:color w:val="auto"/>
          <w:highlight w:val="none"/>
        </w:rPr>
        <w:t>）持续推进各级各类自然保护地等生态保护空间标准化、规范化建设，</w:t>
      </w:r>
      <w:r>
        <w:rPr>
          <w:color w:val="auto"/>
          <w:highlight w:val="none"/>
        </w:rPr>
        <w:t>完成各类保护区的总体规划和勘界定标，明确生物多样性保护范围和目标</w:t>
      </w:r>
      <w:r>
        <w:rPr>
          <w:rFonts w:hint="eastAsia"/>
          <w:color w:val="auto"/>
          <w:highlight w:val="none"/>
        </w:rPr>
        <w:t>。</w:t>
      </w:r>
    </w:p>
    <w:p>
      <w:pPr>
        <w:ind w:firstLine="632" w:firstLineChars="0"/>
        <w:rPr>
          <w:color w:val="auto"/>
          <w:highlight w:val="none"/>
        </w:rPr>
      </w:pPr>
      <w:r>
        <w:rPr>
          <w:rFonts w:hint="eastAsia"/>
          <w:color w:val="auto"/>
          <w:highlight w:val="none"/>
        </w:rPr>
        <w:t>（5）加强保护监管，明确各类自然保护地、重点生态功能区和生物多样性保护优先区域生物多样性保护和管控政策。</w:t>
      </w:r>
    </w:p>
    <w:p>
      <w:pPr>
        <w:ind w:firstLine="632" w:firstLineChars="0"/>
        <w:rPr>
          <w:color w:val="auto"/>
          <w:highlight w:val="none"/>
        </w:rPr>
      </w:pPr>
      <w:r>
        <w:rPr>
          <w:rFonts w:hint="eastAsia"/>
          <w:color w:val="auto"/>
          <w:highlight w:val="none"/>
        </w:rPr>
        <w:t>（6）到2</w:t>
      </w:r>
      <w:r>
        <w:rPr>
          <w:color w:val="auto"/>
          <w:highlight w:val="none"/>
        </w:rPr>
        <w:t>030</w:t>
      </w:r>
      <w:r>
        <w:rPr>
          <w:rFonts w:hint="eastAsia"/>
          <w:color w:val="auto"/>
          <w:highlight w:val="none"/>
        </w:rPr>
        <w:t>年，就地保护网络持续优化，至少3</w:t>
      </w:r>
      <w:r>
        <w:rPr>
          <w:color w:val="auto"/>
          <w:highlight w:val="none"/>
        </w:rPr>
        <w:t>0%</w:t>
      </w:r>
      <w:r>
        <w:rPr>
          <w:rFonts w:hint="eastAsia"/>
          <w:color w:val="auto"/>
          <w:highlight w:val="none"/>
        </w:rPr>
        <w:t>的陆地和内陆水域以及沿海和海洋生态系统得到有效保护和管理，重要生态系统及其栖息地完整性、稳定性、复原力逐步提升。</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行动8：推进重要生态系统保护和修复</w:t>
      </w:r>
    </w:p>
    <w:p>
      <w:pPr>
        <w:ind w:firstLine="632" w:firstLineChars="0"/>
        <w:rPr>
          <w:color w:val="auto"/>
          <w:highlight w:val="none"/>
        </w:rPr>
      </w:pPr>
      <w:r>
        <w:rPr>
          <w:rFonts w:hint="eastAsia"/>
          <w:color w:val="auto"/>
          <w:highlight w:val="none"/>
        </w:rPr>
        <w:t>坚持陆海统筹，以自然恢复为主，科学规范开展重点生态系统保护和修复工程建设，将生物多样性指标纳入工程绩效评价指标体系。</w:t>
      </w:r>
    </w:p>
    <w:p>
      <w:pPr>
        <w:ind w:firstLine="632"/>
        <w:rPr>
          <w:color w:val="auto"/>
          <w:highlight w:val="none"/>
        </w:rPr>
      </w:pPr>
      <w:r>
        <w:rPr>
          <w:rFonts w:hint="eastAsia"/>
          <w:color w:val="auto"/>
          <w:highlight w:val="none"/>
        </w:rPr>
        <w:t>（</w:t>
      </w:r>
      <w:r>
        <w:rPr>
          <w:color w:val="auto"/>
          <w:highlight w:val="none"/>
        </w:rPr>
        <w:t>1</w:t>
      </w:r>
      <w:r>
        <w:rPr>
          <w:rFonts w:hint="eastAsia"/>
          <w:color w:val="auto"/>
          <w:highlight w:val="none"/>
        </w:rPr>
        <w:t>）统筹考虑生态系统完整性、自然地理单元连续性和经济社会发展可持续性，持续推进陆域生态系统修复。针对崂山山系、大泽山山系、大青山山系、黄岛山群山系、即墨东部山群山系及城区山头等重点生态林区实施森林提质增效工程。坚持自然恢复为主，推进河流湖泊湿地生态修复，推动硬质护岸生态化改造和生态缓冲带修复，依托大沽河、北胶莱河、墨水河、泽河、洙河、吉利河等水系，建设河流型湿地。推进城市生态系统修复，优化完善城区道路和水系生态廊道，有机连接山头公园、郊野公园、森林公园和湿地公园等，减少人工管理干扰，恢复并增加城区绿地荒野化区域面积。到2</w:t>
      </w:r>
      <w:r>
        <w:rPr>
          <w:color w:val="auto"/>
          <w:highlight w:val="none"/>
        </w:rPr>
        <w:t>030</w:t>
      </w:r>
      <w:r>
        <w:rPr>
          <w:rFonts w:hint="eastAsia"/>
          <w:color w:val="auto"/>
          <w:highlight w:val="none"/>
        </w:rPr>
        <w:t>年，森林覆盖率完成上级下达指标，全市退化生态系统得到有效恢复，生态系统完整性、稳定性和功能大幅提升。</w:t>
      </w:r>
    </w:p>
    <w:p>
      <w:pPr>
        <w:ind w:firstLine="632"/>
        <w:rPr>
          <w:color w:val="auto"/>
          <w:highlight w:val="none"/>
        </w:rPr>
      </w:pPr>
      <w:r>
        <w:rPr>
          <w:rFonts w:hint="eastAsia"/>
          <w:color w:val="auto"/>
          <w:highlight w:val="none"/>
        </w:rPr>
        <w:t>（</w:t>
      </w:r>
      <w:r>
        <w:rPr>
          <w:color w:val="auto"/>
          <w:highlight w:val="none"/>
        </w:rPr>
        <w:t>2</w:t>
      </w:r>
      <w:r>
        <w:rPr>
          <w:rFonts w:hint="eastAsia"/>
          <w:color w:val="auto"/>
          <w:highlight w:val="none"/>
        </w:rPr>
        <w:t>）恢复、修复典型海洋生态系统，加强河口、滨海湿地、海藻场、海草床、牡蛎礁等近海生态系统修复和重建。严格保护自然岸线，清理整治非法占用自然岸线、滩涂湿地等行为，推进人工岸线生态化恢复，因地制宜逐步实施海堤开口、退堤还海等生态化整治与改造，促进生态减灾协同增效。持续加强海岛生态系统保护恢复，恢复海岛地形地貌、自然生态系统结构和功能，修复受损海岛生境及周边海域生态环境，实施海岛珍稀濒危物种保育和栖息地修复。到2</w:t>
      </w:r>
      <w:r>
        <w:rPr>
          <w:color w:val="auto"/>
          <w:highlight w:val="none"/>
        </w:rPr>
        <w:t>030</w:t>
      </w:r>
      <w:r>
        <w:rPr>
          <w:rFonts w:hint="eastAsia"/>
          <w:color w:val="auto"/>
          <w:highlight w:val="none"/>
        </w:rPr>
        <w:t>年，自然岸线保有率不低于35%，海洋生态系统完整性和稳定性不断提升。</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行动9：完善迁地保护体系</w:t>
      </w:r>
    </w:p>
    <w:p>
      <w:pPr>
        <w:ind w:firstLine="632" w:firstLineChars="0"/>
        <w:rPr>
          <w:color w:val="auto"/>
          <w:highlight w:val="none"/>
        </w:rPr>
      </w:pPr>
      <w:r>
        <w:rPr>
          <w:rFonts w:hint="eastAsia"/>
          <w:color w:val="auto"/>
          <w:highlight w:val="none"/>
        </w:rPr>
        <w:t>优化建设动植物园、珍稀濒危植物扩散和迁地保护心、野生动物救助保育站及养护观测站、种质资源库、菌种保藏中心等各类抢救性迁地保护设施，填补重要区域和重要物种保护空缺，完善生物资源迁地保护体系，强化野生生物遗传资源收集保藏。对于栖息地环境遭到严重破坏的重点物种，加强其替代生境研究和示范建设。做好迁地保护种群的档案建设和监测管理。到2</w:t>
      </w:r>
      <w:r>
        <w:rPr>
          <w:color w:val="auto"/>
          <w:highlight w:val="none"/>
        </w:rPr>
        <w:t>030</w:t>
      </w:r>
      <w:r>
        <w:rPr>
          <w:rFonts w:hint="eastAsia"/>
          <w:color w:val="auto"/>
          <w:highlight w:val="none"/>
        </w:rPr>
        <w:t>年，迁地保护体系更加完善，珍稀濒危野生动植物种群不断扩大，各类本土生物遗传资源基本得到保护。</w:t>
      </w:r>
    </w:p>
    <w:p>
      <w:pPr>
        <w:pStyle w:val="6"/>
        <w:ind w:firstLine="632"/>
        <w:rPr>
          <w:color w:val="auto"/>
          <w:highlight w:val="none"/>
        </w:rPr>
      </w:pPr>
      <w:r>
        <w:rPr>
          <w:rFonts w:hint="eastAsia" w:ascii="楷体_GB2312" w:hAnsi="楷体_GB2312" w:eastAsia="楷体_GB2312" w:cs="楷体_GB2312"/>
          <w:b w:val="0"/>
          <w:bCs w:val="0"/>
          <w:color w:val="auto"/>
          <w:highlight w:val="none"/>
        </w:rPr>
        <w:t>行动10：强化生物安全管理</w:t>
      </w:r>
    </w:p>
    <w:p>
      <w:pPr>
        <w:ind w:firstLine="632" w:firstLineChars="0"/>
        <w:rPr>
          <w:color w:val="auto"/>
          <w:highlight w:val="none"/>
        </w:rPr>
      </w:pPr>
      <w:r>
        <w:rPr>
          <w:rFonts w:hint="eastAsia"/>
          <w:color w:val="auto"/>
          <w:highlight w:val="none"/>
        </w:rPr>
        <w:t>完善生物安全防控协调机制和管理制度体系，统筹协调解决外来入侵种和有害生物防控重大问题。加强外来物种引入和生物技术产品环境释放审批管理，构建外来物种和生物技术产品环境释放风险评价和监管技术支撑体系，健全口岸生物安全防范体系。强化外来入侵物种和有害生物的识别、监测、预警，完善进出境重大动植物疫源疫病风险监测预警和应急反应体系。定期开展外来入侵物种调查，加强农田、渔业水域、森林、湿地、近岸海域、海岛等重点区域外来入侵种的调查、监测、预警、控制、评估、清除和生态修复等工作。针对松材线虫、互花米草、垂序商陆等重大危害物种，实现常态化、网格化管理，提升防治精准化、规范化水平。加强养殖（含水产养殖）外来物种或其他非本地物种管理，采取有效隔离措施，防止外来生物逃逸进入本地生态系统，禁止投放、放生外来物种或其他非本地物种。到2030年，形成生物安全联防联控机制，生物安全风险感知识别、监测预警、评估与防控能力显著提升，外来入侵物种的引入和定居率大幅降低，已知入侵物种危害基本得到控制。</w:t>
      </w:r>
    </w:p>
    <w:p>
      <w:pPr>
        <w:pStyle w:val="6"/>
        <w:ind w:firstLine="632"/>
        <w:rPr>
          <w:color w:val="auto"/>
          <w:highlight w:val="none"/>
        </w:rPr>
      </w:pPr>
      <w:r>
        <w:rPr>
          <w:rFonts w:hint="eastAsia" w:ascii="楷体_GB2312" w:hAnsi="楷体_GB2312" w:eastAsia="楷体_GB2312" w:cs="楷体_GB2312"/>
          <w:b w:val="0"/>
          <w:bCs w:val="0"/>
          <w:color w:val="auto"/>
          <w:highlight w:val="none"/>
        </w:rPr>
        <w:t>行动11：持续改善生态环境质量</w:t>
      </w:r>
    </w:p>
    <w:p>
      <w:pPr>
        <w:ind w:firstLine="632"/>
        <w:rPr>
          <w:color w:val="auto"/>
          <w:highlight w:val="none"/>
        </w:rPr>
      </w:pPr>
      <w:r>
        <w:rPr>
          <w:rFonts w:hint="eastAsia"/>
          <w:color w:val="auto"/>
          <w:highlight w:val="none"/>
        </w:rPr>
        <w:t>深入打好蓝天、碧水、净土污染防治攻坚战，持续推进“无废城市”建设，确保生态环境质量持续改善。到2</w:t>
      </w:r>
      <w:r>
        <w:rPr>
          <w:color w:val="auto"/>
          <w:highlight w:val="none"/>
        </w:rPr>
        <w:t>030</w:t>
      </w:r>
      <w:r>
        <w:rPr>
          <w:rFonts w:hint="eastAsia"/>
          <w:color w:val="auto"/>
          <w:highlight w:val="none"/>
        </w:rPr>
        <w:t>年，市区环境空气质量优良天数比率达到</w:t>
      </w:r>
      <w:r>
        <w:rPr>
          <w:color w:val="auto"/>
          <w:highlight w:val="none"/>
        </w:rPr>
        <w:t>90%</w:t>
      </w:r>
      <w:r>
        <w:rPr>
          <w:rFonts w:hint="eastAsia"/>
          <w:color w:val="auto"/>
          <w:highlight w:val="none"/>
        </w:rPr>
        <w:t>，地表水水质国控断面水质达到或好于</w:t>
      </w:r>
      <w:r>
        <w:rPr>
          <w:color w:val="auto"/>
          <w:highlight w:val="none"/>
        </w:rPr>
        <w:t>III</w:t>
      </w:r>
      <w:r>
        <w:rPr>
          <w:rFonts w:hint="eastAsia"/>
          <w:color w:val="auto"/>
          <w:highlight w:val="none"/>
        </w:rPr>
        <w:t>类比例达到</w:t>
      </w:r>
      <w:r>
        <w:rPr>
          <w:color w:val="auto"/>
          <w:highlight w:val="none"/>
        </w:rPr>
        <w:t>85%</w:t>
      </w:r>
      <w:r>
        <w:rPr>
          <w:rFonts w:hint="eastAsia"/>
          <w:color w:val="auto"/>
          <w:highlight w:val="none"/>
        </w:rPr>
        <w:t>，近岸海域水质优良比例稳定在</w:t>
      </w:r>
      <w:r>
        <w:rPr>
          <w:color w:val="auto"/>
          <w:highlight w:val="none"/>
        </w:rPr>
        <w:t>99%</w:t>
      </w:r>
      <w:r>
        <w:rPr>
          <w:rFonts w:hint="eastAsia"/>
          <w:color w:val="auto"/>
          <w:highlight w:val="none"/>
        </w:rPr>
        <w:t>之上，污染地块安全利用率达到</w:t>
      </w:r>
      <w:r>
        <w:rPr>
          <w:color w:val="auto"/>
          <w:highlight w:val="none"/>
        </w:rPr>
        <w:t>96%</w:t>
      </w:r>
      <w:r>
        <w:rPr>
          <w:rFonts w:hint="eastAsia"/>
          <w:color w:val="auto"/>
          <w:highlight w:val="none"/>
        </w:rPr>
        <w:t>，农业面源污染和塑料污染得到有效遏制，有毒有害化学物质等新污染物治理体系逐步健全，新污染物风险得到有效控制，最大程度减小环境污染对生物多样性的威胁。</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行动12：减少气候变化对生物多样性的不利影响</w:t>
      </w:r>
    </w:p>
    <w:p>
      <w:pPr>
        <w:ind w:firstLine="632"/>
        <w:rPr>
          <w:color w:val="auto"/>
          <w:highlight w:val="none"/>
        </w:rPr>
      </w:pPr>
      <w:r>
        <w:rPr>
          <w:rFonts w:hint="eastAsia"/>
          <w:color w:val="auto"/>
          <w:highlight w:val="none"/>
        </w:rPr>
        <w:t>强化生物多样性适应气候变化支撑体系建设，加大降碳减排力度，降低土地利用变化等人为活动碳排放，推动应对气候变化与生物多样性保护工作相融合，到2</w:t>
      </w:r>
      <w:r>
        <w:rPr>
          <w:color w:val="auto"/>
          <w:highlight w:val="none"/>
        </w:rPr>
        <w:t>030</w:t>
      </w:r>
      <w:r>
        <w:rPr>
          <w:rFonts w:hint="eastAsia"/>
          <w:color w:val="auto"/>
          <w:highlight w:val="none"/>
        </w:rPr>
        <w:t>年，减缓气候变化对生物多样性的不利影响，生态系统碳汇能力和气候韧性持续提升，应对气候变化与生物多样性保护协同增效稳步推进。</w:t>
      </w:r>
    </w:p>
    <w:p>
      <w:pPr>
        <w:ind w:firstLine="632"/>
        <w:rPr>
          <w:color w:val="auto"/>
          <w:highlight w:val="none"/>
        </w:rPr>
      </w:pPr>
      <w:r>
        <w:rPr>
          <w:rFonts w:hint="eastAsia"/>
          <w:color w:val="auto"/>
          <w:highlight w:val="none"/>
        </w:rPr>
        <w:t>（1）统筹产业结构调整，引导生产、生活方式绿色低碳转型，协同推进生态保护、降碳、扩绿和增长，全面推动经济社会绿色转型，减少温室气体排放。</w:t>
      </w:r>
    </w:p>
    <w:p>
      <w:pPr>
        <w:ind w:firstLine="632"/>
        <w:rPr>
          <w:color w:val="auto"/>
          <w:highlight w:val="none"/>
        </w:rPr>
      </w:pPr>
      <w:r>
        <w:rPr>
          <w:rFonts w:hint="eastAsia"/>
          <w:color w:val="auto"/>
          <w:highlight w:val="none"/>
        </w:rPr>
        <w:t>（2）探索实施基于自然的解决方案（NbS）和基于生态系统的方法（EbA），通过保护、修复和可持续管理自然和农业等经济社会系统，提升生态系统碳汇能力，推进生物多样性保护和气候变化应对协同增效。</w:t>
      </w:r>
    </w:p>
    <w:p>
      <w:pPr>
        <w:ind w:firstLine="632"/>
        <w:rPr>
          <w:color w:val="auto"/>
          <w:highlight w:val="none"/>
        </w:rPr>
      </w:pPr>
      <w:r>
        <w:rPr>
          <w:rFonts w:hint="eastAsia"/>
          <w:color w:val="auto"/>
          <w:highlight w:val="none"/>
        </w:rPr>
        <w:t>（</w:t>
      </w:r>
      <w:r>
        <w:rPr>
          <w:color w:val="auto"/>
          <w:highlight w:val="none"/>
        </w:rPr>
        <w:t>3</w:t>
      </w:r>
      <w:r>
        <w:rPr>
          <w:rFonts w:hint="eastAsia"/>
          <w:color w:val="auto"/>
          <w:highlight w:val="none"/>
        </w:rPr>
        <w:t>）建立生态系统碳汇监测核算体系，开展重要生态系统碳汇本底调查、碳储量评估、碳汇潜力分析，实施生态保护修复碳汇成效监测评估，开展固碳增汇技术攻关。</w:t>
      </w:r>
    </w:p>
    <w:p>
      <w:pPr>
        <w:ind w:firstLine="632"/>
        <w:rPr>
          <w:color w:val="auto"/>
          <w:highlight w:val="none"/>
        </w:rPr>
      </w:pPr>
      <w:r>
        <w:rPr>
          <w:rFonts w:hint="eastAsia"/>
          <w:color w:val="auto"/>
          <w:highlight w:val="none"/>
        </w:rPr>
        <w:t>（</w:t>
      </w:r>
      <w:r>
        <w:rPr>
          <w:color w:val="auto"/>
          <w:highlight w:val="none"/>
        </w:rPr>
        <w:t>4</w:t>
      </w:r>
      <w:r>
        <w:rPr>
          <w:rFonts w:hint="eastAsia"/>
          <w:color w:val="auto"/>
          <w:highlight w:val="none"/>
        </w:rPr>
        <w:t>）加强重大气象灾害对重要物种和生态系统的影响监测评估，研发推广农业、林业、渔业等领域气象灾害防御和适应方法，提升气候风险管理和防灾减灾救灾能力。</w:t>
      </w:r>
    </w:p>
    <w:p>
      <w:pPr>
        <w:ind w:firstLine="632"/>
        <w:rPr>
          <w:color w:val="auto"/>
          <w:highlight w:val="none"/>
        </w:rPr>
      </w:pPr>
      <w:r>
        <w:rPr>
          <w:rFonts w:hint="eastAsia"/>
          <w:color w:val="auto"/>
          <w:highlight w:val="none"/>
        </w:rPr>
        <w:t>（</w:t>
      </w:r>
      <w:r>
        <w:rPr>
          <w:color w:val="auto"/>
          <w:highlight w:val="none"/>
        </w:rPr>
        <w:t>5</w:t>
      </w:r>
      <w:r>
        <w:rPr>
          <w:rFonts w:hint="eastAsia"/>
          <w:color w:val="auto"/>
          <w:highlight w:val="none"/>
        </w:rPr>
        <w:t>）针对珍稀濒危、旗舰物种或极小种群物种，评估气候变化背景下物种分布区（迁徙路径）、种群大小、行为特征等的变化态势，提出重要物种适应气候变化的策略。</w:t>
      </w:r>
    </w:p>
    <w:p>
      <w:pPr>
        <w:pStyle w:val="6"/>
        <w:ind w:firstLine="632"/>
        <w:rPr>
          <w:rFonts w:ascii="楷体_GB2312" w:hAnsi="楷体_GB2312" w:eastAsia="楷体_GB2312" w:cs="楷体_GB2312"/>
          <w:b w:val="0"/>
          <w:bCs w:val="0"/>
          <w:color w:val="auto"/>
          <w:highlight w:val="none"/>
        </w:rPr>
      </w:pPr>
      <w:bookmarkStart w:id="123" w:name="_Toc531604445"/>
      <w:bookmarkStart w:id="124" w:name="_Toc396812401"/>
      <w:bookmarkStart w:id="125" w:name="_Toc373683586"/>
      <w:bookmarkStart w:id="126" w:name="_Toc163376235"/>
      <w:r>
        <w:rPr>
          <w:rFonts w:hint="eastAsia" w:ascii="楷体_GB2312" w:hAnsi="楷体_GB2312" w:eastAsia="楷体_GB2312" w:cs="楷体_GB2312"/>
          <w:b w:val="0"/>
          <w:bCs w:val="0"/>
          <w:color w:val="auto"/>
          <w:highlight w:val="none"/>
        </w:rPr>
        <w:t>优先领域三：</w:t>
      </w:r>
      <w:bookmarkEnd w:id="123"/>
      <w:bookmarkEnd w:id="124"/>
      <w:bookmarkEnd w:id="125"/>
      <w:r>
        <w:rPr>
          <w:rFonts w:hint="eastAsia" w:ascii="楷体_GB2312" w:hAnsi="楷体_GB2312" w:eastAsia="楷体_GB2312" w:cs="楷体_GB2312"/>
          <w:b w:val="0"/>
          <w:bCs w:val="0"/>
          <w:color w:val="auto"/>
          <w:highlight w:val="none"/>
        </w:rPr>
        <w:t>着力提升生物多样性可持续利用与惠益共享水平</w:t>
      </w:r>
      <w:bookmarkEnd w:id="126"/>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行动13：强化野生物种可持续管理</w:t>
      </w:r>
    </w:p>
    <w:p>
      <w:pPr>
        <w:ind w:firstLine="632"/>
        <w:rPr>
          <w:color w:val="auto"/>
          <w:highlight w:val="none"/>
        </w:rPr>
      </w:pPr>
      <w:r>
        <w:rPr>
          <w:rFonts w:hint="eastAsia"/>
          <w:color w:val="auto"/>
          <w:highlight w:val="none"/>
        </w:rPr>
        <w:t>进一步完善野生物种利用管理制度，实行差异化野生物种管理措施，基于调查监测结果及时对管理政策进行优化调整。加强食药用植物和菌物资源可持续利用管理，构建动态监测体系，形成可持续利用长效机制。持续完善内陆水域和海洋休禁渔、限额捕捞、总量管理等渔业资源养护管理制度。构建野生动物资源监测、危害防控、执法监管一体化机制，完善野生动物致害损失补偿政策，探索缓解人与野生动物冲突新途径。到2</w:t>
      </w:r>
      <w:r>
        <w:rPr>
          <w:color w:val="auto"/>
          <w:highlight w:val="none"/>
        </w:rPr>
        <w:t>030</w:t>
      </w:r>
      <w:r>
        <w:rPr>
          <w:rFonts w:hint="eastAsia"/>
          <w:color w:val="auto"/>
          <w:highlight w:val="none"/>
        </w:rPr>
        <w:t>年，野生物种可持续利用管理制度体系初步建成，地方社区生计和野生物种可持续利用习惯得到保护和鼓励。</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行动14：加强种质资源可持续利用</w:t>
      </w:r>
    </w:p>
    <w:p>
      <w:pPr>
        <w:ind w:firstLine="632"/>
        <w:rPr>
          <w:color w:val="auto"/>
          <w:highlight w:val="none"/>
        </w:rPr>
      </w:pPr>
      <w:r>
        <w:rPr>
          <w:rFonts w:hint="eastAsia"/>
          <w:color w:val="auto"/>
          <w:highlight w:val="none"/>
        </w:rPr>
        <w:t>完善种质资源保护体系，积极争取建设国家级或省级种质资源库（圃、保种场）。推进种质资源开发利用，加强对生物资源基因性状和功能的鉴别和筛选，发掘优质种质、优质基因，培育一批新作物、新品种、新品系，筛选一批有益微生物种质，推动种质资源转化为产业发展新优势。提升种业管理能力，健全区域化种子质量检测机构。加快建设良种繁育基地，扩大畜禽良种繁育规模；整合现有海洋生物种质资源，引进研发培育一批优质海洋生物种质，建设海洋渔业生物遗传育种基地。到2</w:t>
      </w:r>
      <w:r>
        <w:rPr>
          <w:color w:val="auto"/>
          <w:highlight w:val="none"/>
        </w:rPr>
        <w:t>030</w:t>
      </w:r>
      <w:r>
        <w:rPr>
          <w:rFonts w:hint="eastAsia"/>
          <w:color w:val="auto"/>
          <w:highlight w:val="none"/>
        </w:rPr>
        <w:t>年，种质资源可持续利用体系更加健全完善，保种、育种、供种能力全面提升，优质良种覆盖率稳步提高。</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行动15：推动遗传资源及相关传统知识惠益分享</w:t>
      </w:r>
    </w:p>
    <w:p>
      <w:pPr>
        <w:ind w:firstLine="632" w:firstLineChars="0"/>
        <w:rPr>
          <w:color w:val="auto"/>
          <w:highlight w:val="none"/>
        </w:rPr>
      </w:pPr>
      <w:r>
        <w:rPr>
          <w:rFonts w:hint="eastAsia"/>
          <w:color w:val="auto"/>
          <w:highlight w:val="none"/>
        </w:rPr>
        <w:t>（</w:t>
      </w:r>
      <w:r>
        <w:rPr>
          <w:color w:val="auto"/>
          <w:highlight w:val="none"/>
        </w:rPr>
        <w:t>1</w:t>
      </w:r>
      <w:r>
        <w:rPr>
          <w:rFonts w:hint="eastAsia"/>
          <w:color w:val="auto"/>
          <w:highlight w:val="none"/>
        </w:rPr>
        <w:t>）完善生物遗传资源获取和惠益分享法规政策，厘清权属、持有者与使用者的权利义务、获取及惠益分享方法等。完善获取、利用、进出境审批责任制和责任追究制，强化生物遗传资源对外提供和合作研究利用的监督管理。</w:t>
      </w:r>
    </w:p>
    <w:p>
      <w:pPr>
        <w:ind w:firstLine="632" w:firstLineChars="0"/>
        <w:rPr>
          <w:color w:val="auto"/>
          <w:highlight w:val="none"/>
        </w:rPr>
      </w:pPr>
      <w:r>
        <w:rPr>
          <w:rFonts w:hint="eastAsia"/>
          <w:color w:val="auto"/>
          <w:highlight w:val="none"/>
        </w:rPr>
        <w:t>（</w:t>
      </w:r>
      <w:r>
        <w:rPr>
          <w:color w:val="auto"/>
          <w:highlight w:val="none"/>
        </w:rPr>
        <w:t>2</w:t>
      </w:r>
      <w:r>
        <w:rPr>
          <w:rFonts w:hint="eastAsia"/>
          <w:color w:val="auto"/>
          <w:highlight w:val="none"/>
        </w:rPr>
        <w:t>）实施生物遗传资源调查登记，制定完善生物遗传资源目录，建立全市生物遗传资源信息平台，促进生物遗传资源获取、开发利用、进出境、知识产权保护、惠益分享等监管信息跨部门联通共享。</w:t>
      </w:r>
    </w:p>
    <w:p>
      <w:pPr>
        <w:ind w:firstLine="632" w:firstLineChars="0"/>
        <w:rPr>
          <w:color w:val="auto"/>
          <w:highlight w:val="none"/>
        </w:rPr>
      </w:pPr>
      <w:r>
        <w:rPr>
          <w:rFonts w:hint="eastAsia"/>
          <w:color w:val="auto"/>
          <w:highlight w:val="none"/>
        </w:rPr>
        <w:t>（</w:t>
      </w:r>
      <w:r>
        <w:rPr>
          <w:color w:val="auto"/>
          <w:highlight w:val="none"/>
        </w:rPr>
        <w:t>3</w:t>
      </w:r>
      <w:r>
        <w:rPr>
          <w:rFonts w:hint="eastAsia"/>
          <w:color w:val="auto"/>
          <w:highlight w:val="none"/>
        </w:rPr>
        <w:t>）推动传统知识传承发展，开展生物多样性保护和可持续利用相关传统知识调查编目，抢救性调查、挖掘和整理具有较高价值的传统知识，开展传统知识数字化、影像化记录研究，培育一批生物多样性相关传统知识教育体检基地。</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行动16：提升生态系统服务功能，推进生态产品价值实现</w:t>
      </w:r>
    </w:p>
    <w:p>
      <w:pPr>
        <w:ind w:firstLine="632" w:firstLineChars="0"/>
        <w:rPr>
          <w:color w:val="auto"/>
          <w:highlight w:val="none"/>
        </w:rPr>
      </w:pPr>
      <w:r>
        <w:rPr>
          <w:rFonts w:hint="eastAsia"/>
          <w:color w:val="auto"/>
          <w:highlight w:val="none"/>
        </w:rPr>
        <w:t>（1）通过基于自然的解决方案（N</w:t>
      </w:r>
      <w:r>
        <w:rPr>
          <w:color w:val="auto"/>
          <w:highlight w:val="none"/>
        </w:rPr>
        <w:t>bS</w:t>
      </w:r>
      <w:r>
        <w:rPr>
          <w:rFonts w:hint="eastAsia"/>
          <w:color w:val="auto"/>
          <w:highlight w:val="none"/>
        </w:rPr>
        <w:t>）和/或基于生态系统的方法（E</w:t>
      </w:r>
      <w:r>
        <w:rPr>
          <w:color w:val="auto"/>
          <w:highlight w:val="none"/>
        </w:rPr>
        <w:t>bS</w:t>
      </w:r>
      <w:r>
        <w:rPr>
          <w:rFonts w:hint="eastAsia"/>
          <w:color w:val="auto"/>
          <w:highlight w:val="none"/>
        </w:rPr>
        <w:t>），恢复、维持和增进陆地和海洋生态系统的完整性、稳定性和恢复力，提升生态系统服务功能，增加生态产品供给。</w:t>
      </w:r>
    </w:p>
    <w:p>
      <w:pPr>
        <w:ind w:firstLine="632" w:firstLineChars="0"/>
        <w:rPr>
          <w:color w:val="auto"/>
          <w:highlight w:val="none"/>
        </w:rPr>
      </w:pPr>
      <w:r>
        <w:rPr>
          <w:rFonts w:hint="eastAsia"/>
          <w:color w:val="auto"/>
          <w:highlight w:val="none"/>
        </w:rPr>
        <w:t>（2）探索行政区域单元生态产品总值和特定地域单元生态产品价值评价体系，推动生态产品总值（GEP）核算，探索将生态产品价值核算基础数据纳入国民经济核算体系。</w:t>
      </w:r>
    </w:p>
    <w:p>
      <w:pPr>
        <w:ind w:firstLine="632" w:firstLineChars="0"/>
        <w:rPr>
          <w:color w:val="auto"/>
          <w:highlight w:val="none"/>
        </w:rPr>
      </w:pPr>
      <w:r>
        <w:rPr>
          <w:rFonts w:hint="eastAsia"/>
          <w:color w:val="auto"/>
          <w:highlight w:val="none"/>
        </w:rPr>
        <w:t>（3）逐步建立生态产品价值实现机制，采取多样化模式和路径，因地制宜发展原生态种养、生态旅游、康养休闲、特色生物资源加工利用，拓展生态产品价值实现范围，推广生物多样性友好技术和传统做法，促进生态产品价值增值。</w:t>
      </w:r>
    </w:p>
    <w:p>
      <w:pPr>
        <w:pStyle w:val="6"/>
        <w:ind w:firstLine="632"/>
        <w:rPr>
          <w:color w:val="auto"/>
          <w:highlight w:val="none"/>
        </w:rPr>
      </w:pPr>
      <w:r>
        <w:rPr>
          <w:rFonts w:hint="eastAsia" w:ascii="楷体_GB2312" w:hAnsi="楷体_GB2312" w:eastAsia="楷体_GB2312" w:cs="楷体_GB2312"/>
          <w:b w:val="0"/>
          <w:bCs w:val="0"/>
          <w:color w:val="auto"/>
          <w:highlight w:val="none"/>
        </w:rPr>
        <w:t>行动17：加强行业可持续管理</w:t>
      </w:r>
    </w:p>
    <w:p>
      <w:pPr>
        <w:ind w:firstLine="632" w:firstLineChars="0"/>
        <w:rPr>
          <w:color w:val="auto"/>
          <w:highlight w:val="none"/>
        </w:rPr>
      </w:pPr>
      <w:r>
        <w:rPr>
          <w:rFonts w:hint="eastAsia"/>
          <w:color w:val="auto"/>
          <w:highlight w:val="none"/>
        </w:rPr>
        <w:t>（1）加快建立健全绿色低碳循环发展经济体系，优化产业结构、能源结构和用地结构，坚持保护优先、节约优先，提高自然资源利用效率。</w:t>
      </w:r>
    </w:p>
    <w:p>
      <w:pPr>
        <w:ind w:firstLine="632" w:firstLineChars="0"/>
        <w:rPr>
          <w:color w:val="auto"/>
          <w:highlight w:val="none"/>
        </w:rPr>
      </w:pPr>
      <w:r>
        <w:rPr>
          <w:rFonts w:hint="eastAsia"/>
          <w:color w:val="auto"/>
          <w:highlight w:val="none"/>
        </w:rPr>
        <w:t>（2）建立健全生物多样性影响评价制度，将对生物多样性的影响纳入资源开发利用、工程建设等项目全生命周期管理，鼓励金融机构将生物多样性影响评价纳入项目投融资决策。</w:t>
      </w:r>
    </w:p>
    <w:p>
      <w:pPr>
        <w:ind w:firstLine="632"/>
        <w:rPr>
          <w:color w:val="auto"/>
          <w:highlight w:val="none"/>
        </w:rPr>
      </w:pPr>
      <w:r>
        <w:rPr>
          <w:rFonts w:hint="eastAsia"/>
          <w:color w:val="auto"/>
          <w:highlight w:val="none"/>
        </w:rPr>
        <w:t>（2）推广可持续农业、林业和渔业，优先发展生态种养殖、共生种养等生物多样性友好做法，制定可持续生产标准指南，提升农、林、渔业生态系统的恢复力、长期效率和生产力，促进粮食安全，保护和恢复生物多样性，提升生态系统物质产品供给能力。</w:t>
      </w:r>
    </w:p>
    <w:p>
      <w:pPr>
        <w:pStyle w:val="6"/>
        <w:ind w:firstLine="632"/>
        <w:rPr>
          <w:color w:val="auto"/>
          <w:highlight w:val="none"/>
        </w:rPr>
      </w:pPr>
      <w:r>
        <w:rPr>
          <w:rFonts w:hint="eastAsia" w:ascii="楷体_GB2312" w:hAnsi="楷体_GB2312" w:eastAsia="楷体_GB2312" w:cs="楷体_GB2312"/>
          <w:b w:val="0"/>
          <w:bCs w:val="0"/>
          <w:color w:val="auto"/>
          <w:highlight w:val="none"/>
        </w:rPr>
        <w:t>行动18：保护城乡生物多样性，提升自然福祉</w:t>
      </w:r>
    </w:p>
    <w:p>
      <w:pPr>
        <w:ind w:firstLine="632"/>
        <w:rPr>
          <w:color w:val="auto"/>
          <w:highlight w:val="none"/>
        </w:rPr>
      </w:pPr>
      <w:r>
        <w:rPr>
          <w:rFonts w:hint="eastAsia"/>
          <w:color w:val="auto"/>
          <w:highlight w:val="none"/>
        </w:rPr>
        <w:t>（1）将生物多样性保护和可持续利用纳入城乡建设和发展整体进程，加强珍稀濒危物种、生态和景观敏感区、古树名木以及自然生态空间保护。</w:t>
      </w:r>
    </w:p>
    <w:p>
      <w:pPr>
        <w:ind w:firstLine="632"/>
        <w:rPr>
          <w:color w:val="auto"/>
          <w:highlight w:val="none"/>
        </w:rPr>
      </w:pPr>
      <w:r>
        <w:rPr>
          <w:rFonts w:hint="eastAsia"/>
          <w:color w:val="auto"/>
          <w:highlight w:val="none"/>
        </w:rPr>
        <w:t>（2）加大城乡和人口密集地区生态空间建设，提升城乡生态空间管理科学性，重视乡土物种利用，尽量减少城乡绿地管理过程中的人为干扰，保留自然荒野生境，提升绿地可持续利用水平。</w:t>
      </w:r>
    </w:p>
    <w:p>
      <w:pPr>
        <w:ind w:firstLine="632"/>
        <w:rPr>
          <w:color w:val="auto"/>
          <w:highlight w:val="none"/>
        </w:rPr>
      </w:pPr>
      <w:r>
        <w:rPr>
          <w:rFonts w:hint="eastAsia"/>
          <w:color w:val="auto"/>
          <w:highlight w:val="none"/>
        </w:rPr>
        <w:t>（</w:t>
      </w:r>
      <w:r>
        <w:rPr>
          <w:color w:val="auto"/>
          <w:highlight w:val="none"/>
        </w:rPr>
        <w:t>3</w:t>
      </w:r>
      <w:r>
        <w:rPr>
          <w:rFonts w:hint="eastAsia"/>
          <w:color w:val="auto"/>
          <w:highlight w:val="none"/>
        </w:rPr>
        <w:t>）推动开展城市规划区内生物多样性调查与监测，持续加强生态保护与恢复，完善自然和科普教育体系，创新生物多样性友好单元建设。</w:t>
      </w:r>
    </w:p>
    <w:p>
      <w:pPr>
        <w:ind w:firstLine="632"/>
        <w:rPr>
          <w:color w:val="auto"/>
          <w:highlight w:val="none"/>
        </w:rPr>
      </w:pPr>
      <w:r>
        <w:rPr>
          <w:rFonts w:hint="eastAsia"/>
          <w:color w:val="auto"/>
          <w:highlight w:val="none"/>
        </w:rPr>
        <w:t>（4）持续推进生态文明建设示范市区、“绿水青山就是金山银山”实践创新基地、美丽乡村等生态文明系列示范创建工作。</w:t>
      </w:r>
    </w:p>
    <w:p>
      <w:pPr>
        <w:pStyle w:val="5"/>
        <w:ind w:firstLine="632"/>
        <w:rPr>
          <w:rFonts w:ascii="楷体_GB2312" w:hAnsi="楷体_GB2312" w:eastAsia="楷体_GB2312" w:cs="楷体_GB2312"/>
          <w:b w:val="0"/>
          <w:bCs w:val="0"/>
          <w:color w:val="auto"/>
          <w:highlight w:val="none"/>
        </w:rPr>
      </w:pPr>
      <w:bookmarkStart w:id="127" w:name="_Toc163376236"/>
      <w:r>
        <w:rPr>
          <w:rFonts w:hint="eastAsia" w:ascii="楷体_GB2312" w:hAnsi="楷体_GB2312" w:eastAsia="楷体_GB2312" w:cs="楷体_GB2312"/>
          <w:b w:val="0"/>
          <w:bCs w:val="0"/>
          <w:color w:val="auto"/>
          <w:highlight w:val="none"/>
        </w:rPr>
        <w:t>优先领域四：切实加强生物多样性保护科学支撑和能力保障</w:t>
      </w:r>
      <w:bookmarkEnd w:id="127"/>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行动19：深化生物多样性本底资源调查</w:t>
      </w:r>
    </w:p>
    <w:p>
      <w:pPr>
        <w:ind w:firstLine="632"/>
        <w:rPr>
          <w:color w:val="auto"/>
          <w:highlight w:val="none"/>
        </w:rPr>
      </w:pPr>
      <w:r>
        <w:rPr>
          <w:rFonts w:hint="eastAsia"/>
          <w:color w:val="auto"/>
          <w:highlight w:val="none"/>
        </w:rPr>
        <w:t>（1）推进全市陆地和海洋生物多样性资源本底调查，加强内陆水域和海洋水生生物调查。到2</w:t>
      </w:r>
      <w:r>
        <w:rPr>
          <w:color w:val="auto"/>
          <w:highlight w:val="none"/>
        </w:rPr>
        <w:t>030</w:t>
      </w:r>
      <w:r>
        <w:rPr>
          <w:rFonts w:hint="eastAsia"/>
          <w:color w:val="auto"/>
          <w:highlight w:val="none"/>
        </w:rPr>
        <w:t>年，完成全市陆域生物多样性本底调查编目和重点遗传资源普查，基本摸清全市生物多样性底数。</w:t>
      </w:r>
    </w:p>
    <w:p>
      <w:pPr>
        <w:ind w:firstLine="632"/>
        <w:rPr>
          <w:color w:val="auto"/>
          <w:highlight w:val="none"/>
        </w:rPr>
      </w:pPr>
      <w:r>
        <w:rPr>
          <w:rFonts w:hint="eastAsia"/>
          <w:color w:val="auto"/>
          <w:highlight w:val="none"/>
        </w:rPr>
        <w:t>（2）以各级各类自然保护地、生物多样性保护优先区域、河流水系、近岸海域和重要物种栖息地等为重点，定期开展生物多样性调查，建立生物多样性长期连续观测机制，分析评估重点生物类群变化动态及其对气候变化的响应。</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行动20：推动生物多样性常态化监测</w:t>
      </w:r>
    </w:p>
    <w:p>
      <w:pPr>
        <w:ind w:firstLine="632"/>
        <w:rPr>
          <w:color w:val="auto"/>
          <w:highlight w:val="none"/>
        </w:rPr>
      </w:pPr>
      <w:r>
        <w:rPr>
          <w:rFonts w:hint="eastAsia"/>
          <w:color w:val="auto"/>
          <w:highlight w:val="none"/>
        </w:rPr>
        <w:t>加强生态系统和生物类群监测能力建设，构建和完善陆海统筹、“天地空”一体化的生物多样性监测网络，围绕重要生物类群及其栖息地、典型生态系统，优化生物多样性和生态系统监测指标体系并进行定期监测。加快推进卫星遥感和无人机航空遥感技术在生态系统状况调查评估中的应用。到2</w:t>
      </w:r>
      <w:r>
        <w:rPr>
          <w:color w:val="auto"/>
          <w:highlight w:val="none"/>
        </w:rPr>
        <w:t>030</w:t>
      </w:r>
      <w:r>
        <w:rPr>
          <w:rFonts w:hint="eastAsia"/>
          <w:color w:val="auto"/>
          <w:highlight w:val="none"/>
        </w:rPr>
        <w:t>年，实现重要生态系统和重点生物类群常态化监测，监测数据的科学性、准确性和可比性全面提升。</w:t>
      </w:r>
    </w:p>
    <w:p>
      <w:pPr>
        <w:pStyle w:val="6"/>
        <w:ind w:firstLine="632"/>
        <w:rPr>
          <w:color w:val="auto"/>
          <w:highlight w:val="none"/>
        </w:rPr>
      </w:pPr>
      <w:r>
        <w:rPr>
          <w:rFonts w:hint="eastAsia" w:ascii="楷体_GB2312" w:hAnsi="楷体_GB2312" w:eastAsia="楷体_GB2312" w:cs="楷体_GB2312"/>
          <w:b w:val="0"/>
          <w:bCs w:val="0"/>
          <w:color w:val="auto"/>
          <w:highlight w:val="none"/>
        </w:rPr>
        <w:t>行动21：建立健全生物多样性保护和监管平台</w:t>
      </w:r>
    </w:p>
    <w:p>
      <w:pPr>
        <w:ind w:firstLine="632"/>
        <w:rPr>
          <w:color w:val="auto"/>
          <w:highlight w:val="none"/>
        </w:rPr>
      </w:pPr>
      <w:r>
        <w:rPr>
          <w:rFonts w:hint="eastAsia"/>
          <w:color w:val="auto"/>
          <w:highlight w:val="none"/>
        </w:rPr>
        <w:t>应用云计算、物联网、空间数据库等信息技术手段，</w:t>
      </w:r>
      <w:r>
        <w:rPr>
          <w:color w:val="auto"/>
          <w:highlight w:val="none"/>
        </w:rPr>
        <w:t>建立青岛市生物多样性</w:t>
      </w:r>
      <w:r>
        <w:rPr>
          <w:rFonts w:hint="eastAsia"/>
          <w:color w:val="auto"/>
          <w:highlight w:val="none"/>
        </w:rPr>
        <w:t>保护和监管平台，充分整合利用各级各类生物物种、遗传资源数据库和信息系统，在保障生物遗传资源信息安全的前提下实现生物多样性基础数据共享、管理与更新。</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行动22：定期开展生物多样性评估</w:t>
      </w:r>
    </w:p>
    <w:p>
      <w:pPr>
        <w:ind w:firstLine="632"/>
        <w:rPr>
          <w:color w:val="auto"/>
          <w:highlight w:val="none"/>
        </w:rPr>
      </w:pPr>
      <w:r>
        <w:rPr>
          <w:rFonts w:hint="eastAsia"/>
          <w:color w:val="auto"/>
          <w:highlight w:val="none"/>
        </w:rPr>
        <w:t>（1）构建耦合生态系统、物种和遗传资源，涵盖生态系统类型、结构、功能、干扰以及物种生境等内容的生物多样性评估指标体系，建立反映生态环境质量的指示性物种清单。</w:t>
      </w:r>
    </w:p>
    <w:p>
      <w:pPr>
        <w:ind w:firstLine="632"/>
        <w:rPr>
          <w:color w:val="auto"/>
          <w:highlight w:val="none"/>
        </w:rPr>
      </w:pPr>
      <w:r>
        <w:rPr>
          <w:rFonts w:hint="eastAsia"/>
          <w:color w:val="auto"/>
          <w:highlight w:val="none"/>
        </w:rPr>
        <w:t>（2）结合生物多样性本地资源调查及常态化监测结果，定期开展自然保护地等重要区域，森林、湿地、海洋等典型生态系统以及重要物种和生物资源专项评估，按照要求做好全市生物多样性状况评估工作。</w:t>
      </w:r>
    </w:p>
    <w:p>
      <w:pPr>
        <w:ind w:firstLine="632"/>
        <w:rPr>
          <w:color w:val="auto"/>
          <w:highlight w:val="none"/>
        </w:rPr>
      </w:pPr>
      <w:r>
        <w:rPr>
          <w:rFonts w:hint="eastAsia"/>
          <w:color w:val="auto"/>
          <w:highlight w:val="none"/>
        </w:rPr>
        <w:t>（3）开展大型工程建设、资源开发利用、生物技术应用、外来物种入侵、气候变化、环境污染、自然灾害对生物多样性的影响评估，开展生物多样性保护恢复成效、生态系统服务功能及生物资源价值评估。</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行动23：加大执法和监督检查力度</w:t>
      </w:r>
    </w:p>
    <w:p>
      <w:pPr>
        <w:ind w:firstLine="632" w:firstLineChars="0"/>
        <w:rPr>
          <w:color w:val="auto"/>
          <w:highlight w:val="none"/>
        </w:rPr>
      </w:pPr>
      <w:r>
        <w:rPr>
          <w:rFonts w:hint="eastAsia"/>
          <w:color w:val="auto"/>
          <w:highlight w:val="none"/>
        </w:rPr>
        <w:t>（1）积极推进并持续加强生态保护红线、自然保护地、重点区域流域等生态空间生态环境质量状况、生物多样性保护监管，建立重要生态空间生态破坏定期遥感监测机制，实施最严格的自然保护地生态环境保护监管制度。</w:t>
      </w:r>
    </w:p>
    <w:p>
      <w:pPr>
        <w:ind w:firstLine="632" w:firstLineChars="0"/>
        <w:rPr>
          <w:color w:val="auto"/>
          <w:highlight w:val="none"/>
        </w:rPr>
      </w:pPr>
      <w:r>
        <w:rPr>
          <w:rFonts w:hint="eastAsia"/>
          <w:color w:val="auto"/>
          <w:highlight w:val="none"/>
        </w:rPr>
        <w:t>（2）定期组织开展海洋伏季休（禁）渔专项执法行动，清理取缔各种非法利用和破坏水生生物资源及其生态、生境的行为。</w:t>
      </w:r>
    </w:p>
    <w:p>
      <w:pPr>
        <w:ind w:firstLine="632" w:firstLineChars="0"/>
        <w:rPr>
          <w:color w:val="auto"/>
          <w:highlight w:val="none"/>
        </w:rPr>
      </w:pPr>
      <w:r>
        <w:rPr>
          <w:rFonts w:hint="eastAsia"/>
          <w:color w:val="auto"/>
          <w:highlight w:val="none"/>
        </w:rPr>
        <w:t>（3）健全联合执法机制，持续深入实施“绿盾”自然保护地强化监督、“碧海”海洋生态环境保护、“昆仑行动”等系列执法行动，持续严厉打击非法猎捕、采集、运输、交易野生动植物及其制品等违法行为，形成严打严防严管严控的高压态势，坚决制止和惩处破坏生态系统、物种和生物资源的行为。</w:t>
      </w:r>
    </w:p>
    <w:p>
      <w:pPr>
        <w:ind w:firstLine="632" w:firstLineChars="0"/>
        <w:rPr>
          <w:color w:val="auto"/>
          <w:highlight w:val="none"/>
        </w:rPr>
      </w:pPr>
      <w:r>
        <w:rPr>
          <w:rFonts w:hint="eastAsia"/>
          <w:color w:val="auto"/>
          <w:highlight w:val="none"/>
        </w:rPr>
        <w:t>（4）健全行政执法与刑事司法联动机制，建立健全案件分级管理、应急处置、挂牌督办等机制，对严重破坏重要生物物种、生物遗传资源等构成犯罪的依法追究刑事责任。</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行动24：探索建立多元化投融资机制</w:t>
      </w:r>
    </w:p>
    <w:p>
      <w:pPr>
        <w:ind w:firstLine="632" w:firstLineChars="0"/>
        <w:rPr>
          <w:color w:val="auto"/>
          <w:highlight w:val="none"/>
        </w:rPr>
      </w:pPr>
      <w:r>
        <w:rPr>
          <w:rFonts w:hint="eastAsia"/>
          <w:color w:val="auto"/>
          <w:highlight w:val="none"/>
        </w:rPr>
        <w:t>（1）建立健全资金投入机制，强化各级财政资源的统筹调动，加大对生物多样性保护的投入力度，将生物多样性的保护和管理经费列入本级财政预算，鼓励、支持、引导社会资金参与生物多样性保护。</w:t>
      </w:r>
    </w:p>
    <w:p>
      <w:pPr>
        <w:ind w:firstLine="632" w:firstLineChars="0"/>
        <w:rPr>
          <w:color w:val="auto"/>
          <w:highlight w:val="none"/>
        </w:rPr>
      </w:pPr>
      <w:r>
        <w:rPr>
          <w:rFonts w:hint="eastAsia"/>
          <w:color w:val="auto"/>
          <w:highlight w:val="none"/>
        </w:rPr>
        <w:t>（2）创新多元投融资机制，落实支持生物多样性保护的财税政策和融资政策，发展绿色金融，通过绿色信贷、绿色债券、绿色基金等金融产品的创新与开发，探索建立生物多样性保护和气候变化应对协同治理的绿色投融资模式。</w:t>
      </w:r>
    </w:p>
    <w:p>
      <w:pPr>
        <w:pStyle w:val="6"/>
        <w:ind w:firstLine="632"/>
        <w:rPr>
          <w:rFonts w:ascii="楷体_GB2312" w:hAnsi="楷体_GB2312" w:eastAsia="楷体_GB2312" w:cs="楷体_GB2312"/>
          <w:b w:val="0"/>
          <w:bCs w:val="0"/>
          <w:color w:val="auto"/>
          <w:highlight w:val="none"/>
        </w:rPr>
      </w:pPr>
      <w:r>
        <w:rPr>
          <w:rFonts w:hint="eastAsia" w:ascii="楷体_GB2312" w:hAnsi="楷体_GB2312" w:eastAsia="楷体_GB2312" w:cs="楷体_GB2312"/>
          <w:b w:val="0"/>
          <w:bCs w:val="0"/>
          <w:color w:val="auto"/>
          <w:highlight w:val="none"/>
        </w:rPr>
        <w:t>行动25：加强国内外合作与交流</w:t>
      </w:r>
    </w:p>
    <w:p>
      <w:pPr>
        <w:ind w:firstLine="632"/>
        <w:rPr>
          <w:color w:val="auto"/>
          <w:highlight w:val="none"/>
        </w:rPr>
      </w:pPr>
      <w:r>
        <w:rPr>
          <w:rFonts w:hint="eastAsia"/>
          <w:color w:val="auto"/>
          <w:highlight w:val="none"/>
        </w:rPr>
        <w:t>（1）积极对接国家生物多样性保护工作，加强与高等院校、科研机构、社会组织、企事业单位等有关机构的合作与交流，引入先进理念、经验和技术，在规划、计划、调查监测与评估、生态系统恢复、生物安全等领域加强联动。</w:t>
      </w:r>
    </w:p>
    <w:p>
      <w:pPr>
        <w:ind w:firstLine="632"/>
        <w:rPr>
          <w:color w:val="auto"/>
          <w:highlight w:val="none"/>
        </w:rPr>
      </w:pPr>
      <w:r>
        <w:rPr>
          <w:rFonts w:hint="eastAsia"/>
          <w:color w:val="auto"/>
          <w:highlight w:val="none"/>
        </w:rPr>
        <w:t>（2）深化国际交流与合作，支持、鼓励政府职能部门和有关机构申报生物多样性关键区域（KBA）、全球生物多样性热点地区等，吸引更多国际优质资源参与青岛市生物多样性保护。</w:t>
      </w:r>
    </w:p>
    <w:p>
      <w:pPr>
        <w:pStyle w:val="4"/>
        <w:ind w:firstLine="632" w:firstLineChars="200"/>
        <w:rPr>
          <w:b w:val="0"/>
          <w:bCs w:val="0"/>
          <w:color w:val="auto"/>
          <w:highlight w:val="none"/>
        </w:rPr>
      </w:pPr>
      <w:bookmarkStart w:id="128" w:name="_Toc531604472"/>
      <w:bookmarkStart w:id="129" w:name="_Toc163376237"/>
      <w:r>
        <w:rPr>
          <w:b w:val="0"/>
          <w:bCs w:val="0"/>
          <w:color w:val="auto"/>
          <w:sz w:val="32"/>
          <w:szCs w:val="32"/>
          <w:highlight w:val="none"/>
        </w:rPr>
        <w:t>六、保障措施</w:t>
      </w:r>
      <w:bookmarkEnd w:id="128"/>
      <w:bookmarkEnd w:id="129"/>
    </w:p>
    <w:p>
      <w:pPr>
        <w:pStyle w:val="6"/>
        <w:ind w:firstLine="632"/>
        <w:rPr>
          <w:rFonts w:ascii="楷体_GB2312" w:hAnsi="楷体_GB2312" w:eastAsia="楷体_GB2312" w:cs="楷体_GB2312"/>
          <w:b w:val="0"/>
          <w:bCs w:val="0"/>
          <w:color w:val="auto"/>
          <w:highlight w:val="none"/>
        </w:rPr>
      </w:pPr>
      <w:bookmarkStart w:id="130" w:name="_Toc531604473"/>
      <w:bookmarkStart w:id="131" w:name="_Toc354997049"/>
      <w:bookmarkStart w:id="132" w:name="_Toc396812431"/>
      <w:bookmarkStart w:id="133" w:name="_Toc358127834"/>
      <w:bookmarkStart w:id="134" w:name="_Toc338686621"/>
      <w:bookmarkStart w:id="135" w:name="_Toc163376238"/>
      <w:bookmarkStart w:id="136" w:name="_Toc366854662"/>
      <w:r>
        <w:rPr>
          <w:rFonts w:hint="eastAsia" w:ascii="楷体_GB2312" w:hAnsi="楷体_GB2312" w:eastAsia="楷体_GB2312" w:cs="楷体_GB2312"/>
          <w:b w:val="0"/>
          <w:bCs w:val="0"/>
          <w:color w:val="auto"/>
          <w:highlight w:val="none"/>
        </w:rPr>
        <w:t>（一）加强组织领导</w:t>
      </w:r>
      <w:bookmarkEnd w:id="130"/>
      <w:bookmarkEnd w:id="131"/>
      <w:bookmarkEnd w:id="132"/>
      <w:bookmarkEnd w:id="133"/>
      <w:bookmarkEnd w:id="134"/>
      <w:bookmarkEnd w:id="135"/>
      <w:bookmarkEnd w:id="136"/>
    </w:p>
    <w:p>
      <w:pPr>
        <w:ind w:firstLine="632"/>
        <w:rPr>
          <w:color w:val="auto"/>
          <w:highlight w:val="none"/>
        </w:rPr>
      </w:pPr>
      <w:r>
        <w:rPr>
          <w:rFonts w:hint="eastAsia"/>
          <w:color w:val="auto"/>
          <w:highlight w:val="none"/>
        </w:rPr>
        <w:t>建立市级生物多样性保护协调机制，统筹推进全市生物多样性保护，分解生物多样性保护目标任务，明确各单位保护、管理和监督职责，加强信息共享、部门联动、监督检查、预警预报、应急处置。各级党委和政府要严格落实生态环境保护党政同责、一岗双责，进一步加强相关组织建设、队伍建设和制度建设，切实担负起生物多样性保护责任。各有关部门要认真履行生物多样性保护职能，做好生物多样性保护考核奖惩工作，推动工作落实。</w:t>
      </w:r>
    </w:p>
    <w:p>
      <w:pPr>
        <w:pStyle w:val="5"/>
        <w:ind w:firstLine="632"/>
        <w:rPr>
          <w:rFonts w:ascii="楷体_GB2312" w:hAnsi="楷体_GB2312" w:eastAsia="楷体_GB2312" w:cs="楷体_GB2312"/>
          <w:b w:val="0"/>
          <w:bCs w:val="0"/>
          <w:color w:val="auto"/>
          <w:highlight w:val="none"/>
        </w:rPr>
      </w:pPr>
      <w:bookmarkStart w:id="137" w:name="_Toc531604474"/>
      <w:bookmarkStart w:id="138" w:name="_Toc396812432"/>
      <w:bookmarkStart w:id="139" w:name="_Toc366854663"/>
      <w:bookmarkStart w:id="140" w:name="_Toc354997050"/>
      <w:bookmarkStart w:id="141" w:name="_Toc358127835"/>
      <w:bookmarkStart w:id="142" w:name="_Toc338686622"/>
      <w:bookmarkStart w:id="143" w:name="_Toc163376239"/>
      <w:r>
        <w:rPr>
          <w:rFonts w:hint="eastAsia" w:ascii="楷体_GB2312" w:hAnsi="楷体_GB2312" w:eastAsia="楷体_GB2312" w:cs="楷体_GB2312"/>
          <w:b w:val="0"/>
          <w:bCs w:val="0"/>
          <w:color w:val="auto"/>
          <w:highlight w:val="none"/>
        </w:rPr>
        <w:t>（二）</w:t>
      </w:r>
      <w:bookmarkEnd w:id="137"/>
      <w:bookmarkEnd w:id="138"/>
      <w:bookmarkEnd w:id="139"/>
      <w:bookmarkEnd w:id="140"/>
      <w:bookmarkEnd w:id="141"/>
      <w:bookmarkEnd w:id="142"/>
      <w:r>
        <w:rPr>
          <w:rFonts w:hint="eastAsia" w:ascii="楷体_GB2312" w:hAnsi="楷体_GB2312" w:eastAsia="楷体_GB2312" w:cs="楷体_GB2312"/>
          <w:b w:val="0"/>
          <w:bCs w:val="0"/>
          <w:color w:val="auto"/>
          <w:highlight w:val="none"/>
        </w:rPr>
        <w:t>强化政策引领</w:t>
      </w:r>
      <w:bookmarkEnd w:id="143"/>
    </w:p>
    <w:p>
      <w:pPr>
        <w:ind w:firstLine="632"/>
        <w:rPr>
          <w:color w:val="auto"/>
          <w:highlight w:val="none"/>
        </w:rPr>
      </w:pPr>
      <w:bookmarkStart w:id="144" w:name="_Toc354997051"/>
      <w:bookmarkStart w:id="145" w:name="_Toc338686623"/>
      <w:bookmarkStart w:id="146" w:name="_Toc358127836"/>
      <w:r>
        <w:rPr>
          <w:rFonts w:hint="eastAsia"/>
          <w:color w:val="auto"/>
          <w:highlight w:val="none"/>
        </w:rPr>
        <w:t>强化生物多样性法治保障，</w:t>
      </w:r>
      <w:r>
        <w:rPr>
          <w:color w:val="auto"/>
          <w:highlight w:val="none"/>
        </w:rPr>
        <w:t>制定配套实施细则和政策措施，</w:t>
      </w:r>
      <w:r>
        <w:rPr>
          <w:rFonts w:hint="eastAsia"/>
          <w:color w:val="auto"/>
          <w:highlight w:val="none"/>
        </w:rPr>
        <w:t>充分发挥法治对生物多样性保护的引领、规范、保障作用，全面提高依法治理生物多样性能力水平。持续将生物多样性保护纳入各级、各有关领域中长期规划，完善生物多样性保护规划体系。建立健全生物多样性保护政策和标准，制定实施支持生物多样性保护的财税政策和融资政策，探索建立自然保护地生态保护补偿制度，落实生态环境损害赔偿制度，探索开展有利于生物多样性保护的政策和制度创新。综合运用法律、经济和行政手段，推动各项政策落实。</w:t>
      </w:r>
    </w:p>
    <w:p>
      <w:pPr>
        <w:pStyle w:val="5"/>
        <w:ind w:firstLine="632"/>
        <w:rPr>
          <w:color w:val="auto"/>
          <w:highlight w:val="none"/>
        </w:rPr>
      </w:pPr>
      <w:bookmarkStart w:id="147" w:name="_Toc531604475"/>
      <w:bookmarkStart w:id="148" w:name="_Toc366854664"/>
      <w:bookmarkStart w:id="149" w:name="_Toc396812433"/>
      <w:bookmarkStart w:id="150" w:name="_Toc163376240"/>
      <w:r>
        <w:rPr>
          <w:rFonts w:hint="eastAsia" w:ascii="楷体_GB2312" w:hAnsi="楷体_GB2312" w:eastAsia="楷体_GB2312" w:cs="楷体_GB2312"/>
          <w:b w:val="0"/>
          <w:bCs w:val="0"/>
          <w:color w:val="auto"/>
          <w:highlight w:val="none"/>
        </w:rPr>
        <w:t>（三）</w:t>
      </w:r>
      <w:bookmarkEnd w:id="144"/>
      <w:bookmarkEnd w:id="145"/>
      <w:bookmarkEnd w:id="146"/>
      <w:bookmarkEnd w:id="147"/>
      <w:bookmarkEnd w:id="148"/>
      <w:bookmarkEnd w:id="149"/>
      <w:r>
        <w:rPr>
          <w:rFonts w:hint="eastAsia" w:ascii="楷体_GB2312" w:hAnsi="楷体_GB2312" w:eastAsia="楷体_GB2312" w:cs="楷体_GB2312"/>
          <w:b w:val="0"/>
          <w:bCs w:val="0"/>
          <w:color w:val="auto"/>
          <w:highlight w:val="none"/>
        </w:rPr>
        <w:t>强化科技与人才支撑</w:t>
      </w:r>
      <w:bookmarkEnd w:id="150"/>
    </w:p>
    <w:p>
      <w:pPr>
        <w:ind w:firstLine="632"/>
        <w:rPr>
          <w:color w:val="auto"/>
          <w:highlight w:val="none"/>
        </w:rPr>
      </w:pPr>
      <w:r>
        <w:rPr>
          <w:rFonts w:hint="eastAsia"/>
          <w:color w:val="auto"/>
          <w:highlight w:val="none"/>
        </w:rPr>
        <w:t>加强生物多样性大样地、养护观测站、生态质量综合监测站、森林生态系统定位研究站等科研基础设施建设，搭建生物多样性保护科研监测平台，</w:t>
      </w:r>
      <w:r>
        <w:rPr>
          <w:color w:val="auto"/>
          <w:highlight w:val="none"/>
        </w:rPr>
        <w:t>进一步提高生物多样性调查、评估和监测预警能力</w:t>
      </w:r>
      <w:r>
        <w:rPr>
          <w:rFonts w:hint="eastAsia"/>
          <w:color w:val="auto"/>
          <w:highlight w:val="none"/>
        </w:rPr>
        <w:t>建设。充分发挥高等院校、科研院所的科研教学和人力资源优势，加强生物多样性人才培养和学术交流，加大对生物多样性调查监测、生态修复等领域科技成果、关键技术的推广应用力度。完善人才选拔机制和管理办法，建设高素质专业化人才队伍。</w:t>
      </w:r>
    </w:p>
    <w:p>
      <w:pPr>
        <w:pStyle w:val="5"/>
        <w:ind w:firstLine="632"/>
        <w:rPr>
          <w:rFonts w:ascii="楷体_GB2312" w:hAnsi="楷体_GB2312" w:eastAsia="楷体_GB2312" w:cs="楷体_GB2312"/>
          <w:b w:val="0"/>
          <w:bCs w:val="0"/>
          <w:color w:val="auto"/>
          <w:highlight w:val="none"/>
        </w:rPr>
      </w:pPr>
      <w:bookmarkStart w:id="151" w:name="_Toc358127837"/>
      <w:bookmarkStart w:id="152" w:name="_Toc338686624"/>
      <w:bookmarkStart w:id="153" w:name="_Toc396812434"/>
      <w:bookmarkStart w:id="154" w:name="_Toc531604476"/>
      <w:bookmarkStart w:id="155" w:name="_Toc366854665"/>
      <w:bookmarkStart w:id="156" w:name="_Toc354997052"/>
      <w:bookmarkStart w:id="157" w:name="_Toc163376241"/>
      <w:r>
        <w:rPr>
          <w:rFonts w:hint="eastAsia" w:ascii="楷体_GB2312" w:hAnsi="楷体_GB2312" w:eastAsia="楷体_GB2312" w:cs="楷体_GB2312"/>
          <w:b w:val="0"/>
          <w:bCs w:val="0"/>
          <w:color w:val="auto"/>
          <w:highlight w:val="none"/>
        </w:rPr>
        <w:t>（四）加大资金</w:t>
      </w:r>
      <w:bookmarkEnd w:id="151"/>
      <w:bookmarkEnd w:id="152"/>
      <w:bookmarkEnd w:id="153"/>
      <w:bookmarkEnd w:id="154"/>
      <w:bookmarkEnd w:id="155"/>
      <w:bookmarkEnd w:id="156"/>
      <w:r>
        <w:rPr>
          <w:rFonts w:hint="eastAsia" w:ascii="楷体_GB2312" w:hAnsi="楷体_GB2312" w:eastAsia="楷体_GB2312" w:cs="楷体_GB2312"/>
          <w:b w:val="0"/>
          <w:bCs w:val="0"/>
          <w:color w:val="auto"/>
          <w:highlight w:val="none"/>
        </w:rPr>
        <w:t>保障</w:t>
      </w:r>
      <w:bookmarkEnd w:id="157"/>
    </w:p>
    <w:p>
      <w:pPr>
        <w:ind w:firstLine="632"/>
        <w:rPr>
          <w:color w:val="auto"/>
          <w:highlight w:val="none"/>
        </w:rPr>
      </w:pPr>
      <w:r>
        <w:rPr>
          <w:rFonts w:hint="eastAsia"/>
          <w:color w:val="auto"/>
          <w:highlight w:val="none"/>
        </w:rPr>
        <w:t>积极争取国家及省有关政策支持，加大资源调动力度，各级政府将生物多样性保护经费列入财政预算。</w:t>
      </w:r>
      <w:r>
        <w:rPr>
          <w:color w:val="auto"/>
          <w:highlight w:val="none"/>
        </w:rPr>
        <w:t>拓宽</w:t>
      </w:r>
      <w:r>
        <w:rPr>
          <w:rFonts w:hint="eastAsia"/>
          <w:color w:val="auto"/>
          <w:highlight w:val="none"/>
        </w:rPr>
        <w:t>资金来源</w:t>
      </w:r>
      <w:r>
        <w:rPr>
          <w:color w:val="auto"/>
          <w:highlight w:val="none"/>
        </w:rPr>
        <w:t>渠道，</w:t>
      </w:r>
      <w:r>
        <w:rPr>
          <w:rFonts w:hint="eastAsia"/>
          <w:color w:val="auto"/>
          <w:highlight w:val="none"/>
        </w:rPr>
        <w:t>实现政府投入、企业捐助、社会各界支持的多元化投融资机制，切实发挥政府资金带动效应和引导作用，整合生物多样性保护现有分散资金，提高资金使用效率。充分发挥价格、税收、信贷等经济杠杆作用，引导社会力量参与生物多样性保护。</w:t>
      </w:r>
    </w:p>
    <w:p>
      <w:pPr>
        <w:adjustRightInd w:val="0"/>
        <w:snapToGrid w:val="0"/>
        <w:ind w:firstLine="632"/>
        <w:rPr>
          <w:rFonts w:eastAsia="黑体"/>
          <w:color w:val="auto"/>
          <w:highlight w:val="none"/>
        </w:rPr>
        <w:sectPr>
          <w:footerReference r:id="rId8" w:type="default"/>
          <w:pgSz w:w="11906" w:h="16838"/>
          <w:pgMar w:top="1701" w:right="1474" w:bottom="1701" w:left="1588" w:header="851" w:footer="1418" w:gutter="0"/>
          <w:cols w:space="425" w:num="1"/>
          <w:docGrid w:type="linesAndChars" w:linePitch="610" w:charSpace="-849"/>
        </w:sectPr>
      </w:pPr>
    </w:p>
    <w:p>
      <w:pPr>
        <w:pStyle w:val="4"/>
        <w:rPr>
          <w:b w:val="0"/>
          <w:bCs w:val="0"/>
          <w:color w:val="auto"/>
          <w:sz w:val="32"/>
          <w:szCs w:val="32"/>
          <w:highlight w:val="none"/>
        </w:rPr>
      </w:pPr>
      <w:bookmarkStart w:id="158" w:name="_Toc531604479"/>
      <w:bookmarkStart w:id="159" w:name="_Toc163376242"/>
      <w:r>
        <w:rPr>
          <w:b w:val="0"/>
          <w:bCs w:val="0"/>
          <w:color w:val="auto"/>
          <w:sz w:val="32"/>
          <w:szCs w:val="32"/>
          <w:highlight w:val="none"/>
        </w:rPr>
        <w:t>附录：</w:t>
      </w:r>
      <w:bookmarkEnd w:id="158"/>
      <w:r>
        <w:rPr>
          <w:rFonts w:hint="eastAsia"/>
          <w:b w:val="0"/>
          <w:bCs w:val="0"/>
          <w:color w:val="auto"/>
          <w:sz w:val="32"/>
          <w:szCs w:val="32"/>
          <w:highlight w:val="none"/>
        </w:rPr>
        <w:t>近期重点项目清单</w:t>
      </w:r>
      <w:bookmarkEnd w:id="159"/>
    </w:p>
    <w:p>
      <w:pPr>
        <w:pStyle w:val="5"/>
        <w:ind w:firstLine="632"/>
        <w:rPr>
          <w:rFonts w:ascii="楷体_GB2312" w:hAnsi="楷体_GB2312" w:eastAsia="楷体_GB2312" w:cs="楷体_GB2312"/>
          <w:b w:val="0"/>
          <w:bCs w:val="0"/>
          <w:color w:val="auto"/>
          <w:highlight w:val="none"/>
        </w:rPr>
      </w:pPr>
      <w:bookmarkStart w:id="160" w:name="_Toc163376243"/>
      <w:bookmarkStart w:id="161" w:name="_Toc3304956"/>
      <w:bookmarkStart w:id="162" w:name="_Toc532476987"/>
      <w:r>
        <w:rPr>
          <w:rFonts w:hint="eastAsia" w:ascii="楷体_GB2312" w:hAnsi="楷体_GB2312" w:eastAsia="楷体_GB2312" w:cs="楷体_GB2312"/>
          <w:b w:val="0"/>
          <w:bCs w:val="0"/>
          <w:color w:val="auto"/>
          <w:highlight w:val="none"/>
        </w:rPr>
        <w:t>项目1：建立健全市级生物多样性保护体制机制</w:t>
      </w:r>
      <w:bookmarkEnd w:id="160"/>
    </w:p>
    <w:p>
      <w:pPr>
        <w:ind w:firstLine="632"/>
        <w:rPr>
          <w:color w:val="auto"/>
          <w:highlight w:val="none"/>
        </w:rPr>
      </w:pPr>
      <w:r>
        <w:rPr>
          <w:rFonts w:hint="eastAsia"/>
          <w:color w:val="auto"/>
          <w:highlight w:val="none"/>
        </w:rPr>
        <w:t>内容：建立市级生物多样性保护协调机制，明确各单位保护、管理和监督职责，加强信息共享。完善政府绩效考核制度，健全自然保护地生态保护补偿制度，推进落实生态环境损害赔偿制度。</w:t>
      </w:r>
    </w:p>
    <w:p>
      <w:pPr>
        <w:pStyle w:val="5"/>
        <w:ind w:firstLine="632"/>
        <w:rPr>
          <w:color w:val="auto"/>
          <w:highlight w:val="none"/>
        </w:rPr>
      </w:pPr>
      <w:bookmarkStart w:id="163" w:name="_Toc163376244"/>
      <w:r>
        <w:rPr>
          <w:rFonts w:hint="eastAsia" w:ascii="楷体_GB2312" w:hAnsi="楷体_GB2312" w:eastAsia="楷体_GB2312" w:cs="楷体_GB2312"/>
          <w:b w:val="0"/>
          <w:bCs w:val="0"/>
          <w:color w:val="auto"/>
          <w:highlight w:val="none"/>
        </w:rPr>
        <w:t>项目2：</w:t>
      </w:r>
      <w:bookmarkEnd w:id="161"/>
      <w:bookmarkEnd w:id="162"/>
      <w:r>
        <w:rPr>
          <w:rFonts w:hint="eastAsia" w:ascii="楷体_GB2312" w:hAnsi="楷体_GB2312" w:eastAsia="楷体_GB2312" w:cs="楷体_GB2312"/>
          <w:b w:val="0"/>
          <w:bCs w:val="0"/>
          <w:color w:val="auto"/>
          <w:highlight w:val="none"/>
        </w:rPr>
        <w:t>陆地生物多样性优先区域生物多样性调查与编目</w:t>
      </w:r>
      <w:bookmarkEnd w:id="163"/>
    </w:p>
    <w:p>
      <w:pPr>
        <w:ind w:firstLine="632"/>
        <w:rPr>
          <w:color w:val="auto"/>
          <w:highlight w:val="none"/>
        </w:rPr>
      </w:pPr>
      <w:r>
        <w:rPr>
          <w:color w:val="auto"/>
          <w:highlight w:val="none"/>
        </w:rPr>
        <w:t>内容：</w:t>
      </w:r>
      <w:r>
        <w:rPr>
          <w:rFonts w:hint="eastAsia"/>
          <w:color w:val="auto"/>
          <w:highlight w:val="none"/>
        </w:rPr>
        <w:t>逐步完成全市陆地生物多样性保护优先区域本底调查及编目，包括生物物种种类、种群数量及分布，生态系统类型、面积和保护状况等，评估生物多样性受威胁状况，提出各优先区域重点物种和重要区域后续观测计划、保护对策建议以及气候变化适应策略</w:t>
      </w:r>
      <w:r>
        <w:rPr>
          <w:color w:val="auto"/>
          <w:highlight w:val="none"/>
        </w:rPr>
        <w:t>。</w:t>
      </w:r>
    </w:p>
    <w:p>
      <w:pPr>
        <w:pStyle w:val="5"/>
        <w:ind w:firstLine="632"/>
        <w:rPr>
          <w:rFonts w:ascii="楷体_GB2312" w:hAnsi="楷体_GB2312" w:eastAsia="楷体_GB2312" w:cs="楷体_GB2312"/>
          <w:b w:val="0"/>
          <w:bCs w:val="0"/>
          <w:color w:val="auto"/>
          <w:highlight w:val="none"/>
        </w:rPr>
      </w:pPr>
      <w:bookmarkStart w:id="164" w:name="_Toc532476988"/>
      <w:bookmarkStart w:id="165" w:name="_Toc3304957"/>
      <w:bookmarkStart w:id="166" w:name="_Toc163376245"/>
      <w:r>
        <w:rPr>
          <w:rFonts w:hint="eastAsia" w:ascii="楷体_GB2312" w:hAnsi="楷体_GB2312" w:eastAsia="楷体_GB2312" w:cs="楷体_GB2312"/>
          <w:b w:val="0"/>
          <w:bCs w:val="0"/>
          <w:color w:val="auto"/>
          <w:highlight w:val="none"/>
        </w:rPr>
        <w:t>项目3：海洋生物多样性本底调查</w:t>
      </w:r>
      <w:bookmarkEnd w:id="164"/>
      <w:bookmarkEnd w:id="165"/>
      <w:r>
        <w:rPr>
          <w:rFonts w:hint="eastAsia" w:ascii="楷体_GB2312" w:hAnsi="楷体_GB2312" w:eastAsia="楷体_GB2312" w:cs="楷体_GB2312"/>
          <w:b w:val="0"/>
          <w:bCs w:val="0"/>
          <w:color w:val="auto"/>
          <w:highlight w:val="none"/>
        </w:rPr>
        <w:t>与编目</w:t>
      </w:r>
      <w:bookmarkEnd w:id="166"/>
    </w:p>
    <w:p>
      <w:pPr>
        <w:ind w:firstLine="632"/>
        <w:rPr>
          <w:color w:val="auto"/>
          <w:highlight w:val="none"/>
        </w:rPr>
      </w:pPr>
      <w:r>
        <w:rPr>
          <w:color w:val="auto"/>
          <w:highlight w:val="none"/>
        </w:rPr>
        <w:t>内容：</w:t>
      </w:r>
      <w:r>
        <w:rPr>
          <w:rFonts w:hint="eastAsia"/>
          <w:color w:val="auto"/>
          <w:highlight w:val="none"/>
        </w:rPr>
        <w:t>以10个海洋与海岸带生物多样性保护优先区域为重点，开展海洋生物多样性本底调查与编目，基本</w:t>
      </w:r>
      <w:r>
        <w:rPr>
          <w:color w:val="auto"/>
          <w:highlight w:val="none"/>
        </w:rPr>
        <w:t>摸清全市</w:t>
      </w:r>
      <w:r>
        <w:rPr>
          <w:rFonts w:hint="eastAsia"/>
          <w:color w:val="auto"/>
          <w:highlight w:val="none"/>
        </w:rPr>
        <w:t>主要海洋生态系统生物资源的种类、</w:t>
      </w:r>
      <w:r>
        <w:rPr>
          <w:color w:val="auto"/>
          <w:highlight w:val="none"/>
        </w:rPr>
        <w:t>数量、分布</w:t>
      </w:r>
      <w:r>
        <w:rPr>
          <w:rFonts w:hint="eastAsia"/>
          <w:color w:val="auto"/>
          <w:highlight w:val="none"/>
        </w:rPr>
        <w:t>、受威胁因素等，分析评价生物多样性现状及保护状况，提出资源可持续利用与保护建议。</w:t>
      </w:r>
    </w:p>
    <w:p>
      <w:pPr>
        <w:pStyle w:val="5"/>
        <w:ind w:firstLine="632"/>
        <w:rPr>
          <w:rFonts w:ascii="楷体_GB2312" w:hAnsi="楷体_GB2312" w:eastAsia="楷体_GB2312" w:cs="楷体_GB2312"/>
          <w:b w:val="0"/>
          <w:bCs w:val="0"/>
          <w:color w:val="auto"/>
          <w:highlight w:val="none"/>
        </w:rPr>
      </w:pPr>
      <w:bookmarkStart w:id="167" w:name="_Toc163376246"/>
      <w:r>
        <w:rPr>
          <w:rFonts w:hint="eastAsia" w:ascii="楷体_GB2312" w:hAnsi="楷体_GB2312" w:eastAsia="楷体_GB2312" w:cs="楷体_GB2312"/>
          <w:b w:val="0"/>
          <w:bCs w:val="0"/>
          <w:color w:val="auto"/>
          <w:highlight w:val="none"/>
        </w:rPr>
        <w:t>项目4：内陆水域水生生物资源调查与编目</w:t>
      </w:r>
      <w:bookmarkEnd w:id="167"/>
    </w:p>
    <w:p>
      <w:pPr>
        <w:ind w:firstLine="632"/>
        <w:rPr>
          <w:color w:val="auto"/>
          <w:highlight w:val="none"/>
        </w:rPr>
      </w:pPr>
      <w:r>
        <w:rPr>
          <w:color w:val="auto"/>
          <w:highlight w:val="none"/>
        </w:rPr>
        <w:t>内容：</w:t>
      </w:r>
      <w:r>
        <w:rPr>
          <w:rFonts w:hint="eastAsia"/>
          <w:color w:val="auto"/>
          <w:highlight w:val="none"/>
        </w:rPr>
        <w:t>对北胶莱河流域、大沽河流域、沿海诸河流域的主要河流水系、水库，开展水生生物资源的种类、种群数量和生境质量调查并编目，评估主要水生生物资源状况，特别是鱼类资源多样性及受威胁状况，并提出保护对策。</w:t>
      </w:r>
    </w:p>
    <w:p>
      <w:pPr>
        <w:pStyle w:val="5"/>
        <w:ind w:firstLine="632"/>
        <w:rPr>
          <w:rFonts w:ascii="楷体_GB2312" w:hAnsi="楷体_GB2312" w:eastAsia="楷体_GB2312" w:cs="楷体_GB2312"/>
          <w:b w:val="0"/>
          <w:bCs w:val="0"/>
          <w:color w:val="auto"/>
          <w:highlight w:val="none"/>
        </w:rPr>
      </w:pPr>
      <w:bookmarkStart w:id="168" w:name="_Toc163376247"/>
      <w:r>
        <w:rPr>
          <w:rFonts w:hint="eastAsia" w:ascii="楷体_GB2312" w:hAnsi="楷体_GB2312" w:eastAsia="楷体_GB2312" w:cs="楷体_GB2312"/>
          <w:b w:val="0"/>
          <w:bCs w:val="0"/>
          <w:color w:val="auto"/>
          <w:highlight w:val="none"/>
        </w:rPr>
        <w:t>项目5：推动开展城市生物多样性本底调查与编目</w:t>
      </w:r>
      <w:bookmarkEnd w:id="168"/>
    </w:p>
    <w:p>
      <w:pPr>
        <w:ind w:firstLine="632"/>
        <w:rPr>
          <w:color w:val="auto"/>
          <w:highlight w:val="none"/>
        </w:rPr>
      </w:pPr>
      <w:r>
        <w:rPr>
          <w:color w:val="auto"/>
          <w:highlight w:val="none"/>
        </w:rPr>
        <w:t>内容：</w:t>
      </w:r>
      <w:r>
        <w:rPr>
          <w:rFonts w:hint="eastAsia"/>
          <w:color w:val="auto"/>
          <w:highlight w:val="none"/>
        </w:rPr>
        <w:t>依托未纳入优先区域的城市公园、自然公园、山头公园、郊野公园和口袋公园等，推动开展城市生物多样性本底调查与编目，查明城市生物资源的种类、数量及分布等。</w:t>
      </w:r>
    </w:p>
    <w:p>
      <w:pPr>
        <w:pStyle w:val="5"/>
        <w:ind w:firstLine="632"/>
        <w:rPr>
          <w:rFonts w:ascii="楷体_GB2312" w:hAnsi="楷体_GB2312" w:eastAsia="楷体_GB2312" w:cs="楷体_GB2312"/>
          <w:b w:val="0"/>
          <w:bCs w:val="0"/>
          <w:color w:val="auto"/>
          <w:highlight w:val="none"/>
        </w:rPr>
      </w:pPr>
      <w:bookmarkStart w:id="169" w:name="_Toc163376248"/>
      <w:r>
        <w:rPr>
          <w:rFonts w:hint="eastAsia" w:ascii="楷体_GB2312" w:hAnsi="楷体_GB2312" w:eastAsia="楷体_GB2312" w:cs="楷体_GB2312"/>
          <w:b w:val="0"/>
          <w:bCs w:val="0"/>
          <w:color w:val="auto"/>
          <w:highlight w:val="none"/>
        </w:rPr>
        <w:t>项目6：建立健全青岛市生物多样性监测网络</w:t>
      </w:r>
      <w:bookmarkEnd w:id="169"/>
    </w:p>
    <w:p>
      <w:pPr>
        <w:ind w:firstLine="632"/>
        <w:rPr>
          <w:color w:val="auto"/>
          <w:highlight w:val="none"/>
        </w:rPr>
      </w:pPr>
      <w:r>
        <w:rPr>
          <w:color w:val="auto"/>
          <w:highlight w:val="none"/>
        </w:rPr>
        <w:t>内容：</w:t>
      </w:r>
      <w:r>
        <w:rPr>
          <w:rFonts w:hint="eastAsia"/>
          <w:color w:val="auto"/>
          <w:highlight w:val="none"/>
        </w:rPr>
        <w:t>结合生物多样性本底调查结果，整合现有监测基础，建设重点区域和重要物种定位观测站和观测样区，推广卫星遥感和无人机遥感在生物多样性保护和监测中的应用，构建“天-地-空”一体化的生物多样性监测网络，建立健全生物多样性观测监测体系，提升监测水平和预警能力。</w:t>
      </w:r>
    </w:p>
    <w:p>
      <w:pPr>
        <w:pStyle w:val="5"/>
        <w:ind w:firstLine="632"/>
        <w:rPr>
          <w:rFonts w:ascii="楷体_GB2312" w:hAnsi="楷体_GB2312" w:eastAsia="楷体_GB2312" w:cs="楷体_GB2312"/>
          <w:b w:val="0"/>
          <w:bCs w:val="0"/>
          <w:color w:val="auto"/>
          <w:highlight w:val="none"/>
        </w:rPr>
      </w:pPr>
      <w:bookmarkStart w:id="170" w:name="_Toc163376249"/>
      <w:r>
        <w:rPr>
          <w:rFonts w:hint="eastAsia" w:ascii="楷体_GB2312" w:hAnsi="楷体_GB2312" w:eastAsia="楷体_GB2312" w:cs="楷体_GB2312"/>
          <w:b w:val="0"/>
          <w:bCs w:val="0"/>
          <w:color w:val="auto"/>
          <w:highlight w:val="none"/>
        </w:rPr>
        <w:t>项目7：建设青岛市生物多样性数字化信息平台</w:t>
      </w:r>
      <w:bookmarkEnd w:id="170"/>
    </w:p>
    <w:p>
      <w:pPr>
        <w:ind w:firstLine="632"/>
        <w:rPr>
          <w:color w:val="auto"/>
          <w:highlight w:val="none"/>
        </w:rPr>
      </w:pPr>
      <w:r>
        <w:rPr>
          <w:color w:val="auto"/>
          <w:highlight w:val="none"/>
        </w:rPr>
        <w:t>内容：</w:t>
      </w:r>
      <w:r>
        <w:rPr>
          <w:rFonts w:hint="eastAsia"/>
          <w:color w:val="auto"/>
          <w:highlight w:val="none"/>
        </w:rPr>
        <w:t>应用云计算、物联网等信息化手段，充分整合林业、生态环境、自然资源、农业农村、水利等相关部门各级各类生物物种、遗传资源数据库和信息系统等信息平台，建设青岛市生物多样性数字化信息平台，在保障生物遗传资源信息安全的前提下实现生物多样性保护和监测、监管数据查询、管理、更新与共享。</w:t>
      </w:r>
    </w:p>
    <w:p>
      <w:pPr>
        <w:pStyle w:val="5"/>
        <w:ind w:firstLine="632"/>
        <w:rPr>
          <w:rFonts w:ascii="楷体_GB2312" w:hAnsi="楷体_GB2312" w:eastAsia="楷体_GB2312" w:cs="楷体_GB2312"/>
          <w:b w:val="0"/>
          <w:bCs w:val="0"/>
          <w:color w:val="auto"/>
          <w:highlight w:val="none"/>
        </w:rPr>
      </w:pPr>
      <w:bookmarkStart w:id="171" w:name="_Toc163376250"/>
      <w:r>
        <w:rPr>
          <w:rFonts w:hint="eastAsia" w:ascii="楷体_GB2312" w:hAnsi="楷体_GB2312" w:eastAsia="楷体_GB2312" w:cs="楷体_GB2312"/>
          <w:b w:val="0"/>
          <w:bCs w:val="0"/>
          <w:color w:val="auto"/>
          <w:highlight w:val="none"/>
        </w:rPr>
        <w:t>项目8：自然保护地规范化建设</w:t>
      </w:r>
      <w:bookmarkEnd w:id="171"/>
    </w:p>
    <w:p>
      <w:pPr>
        <w:ind w:firstLine="632"/>
        <w:rPr>
          <w:color w:val="auto"/>
          <w:highlight w:val="none"/>
        </w:rPr>
      </w:pPr>
      <w:r>
        <w:rPr>
          <w:color w:val="auto"/>
          <w:highlight w:val="none"/>
        </w:rPr>
        <w:t>内容：</w:t>
      </w:r>
      <w:r>
        <w:rPr>
          <w:rFonts w:hint="eastAsia"/>
          <w:color w:val="auto"/>
          <w:highlight w:val="none"/>
        </w:rPr>
        <w:t>持续优化自然保护地体系，按照国家法律法规及相关政策、标准，加强对自然保护地和优先区域的管理，推进保护空间标准化、规范化建设，更新完善各级自然保护地总体规划</w:t>
      </w:r>
      <w:r>
        <w:rPr>
          <w:color w:val="auto"/>
          <w:highlight w:val="none"/>
        </w:rPr>
        <w:t>，</w:t>
      </w:r>
      <w:r>
        <w:rPr>
          <w:rFonts w:hint="eastAsia"/>
          <w:color w:val="auto"/>
          <w:highlight w:val="none"/>
        </w:rPr>
        <w:t>加强自然保护地基础设施和数字化管理系统建设，提升对自然生态系统、野生生物及其栖息地等的就地保护水平。</w:t>
      </w:r>
    </w:p>
    <w:p>
      <w:pPr>
        <w:pStyle w:val="5"/>
        <w:ind w:firstLine="632"/>
        <w:rPr>
          <w:rFonts w:ascii="楷体_GB2312" w:hAnsi="楷体_GB2312" w:eastAsia="楷体_GB2312" w:cs="楷体_GB2312"/>
          <w:b w:val="0"/>
          <w:bCs w:val="0"/>
          <w:color w:val="auto"/>
          <w:highlight w:val="none"/>
        </w:rPr>
      </w:pPr>
      <w:bookmarkStart w:id="172" w:name="_Toc163376251"/>
      <w:r>
        <w:rPr>
          <w:rFonts w:hint="eastAsia" w:ascii="楷体_GB2312" w:hAnsi="楷体_GB2312" w:eastAsia="楷体_GB2312" w:cs="楷体_GB2312"/>
          <w:b w:val="0"/>
          <w:bCs w:val="0"/>
          <w:color w:val="auto"/>
          <w:highlight w:val="none"/>
        </w:rPr>
        <w:t>项目9：自然保护小区创建</w:t>
      </w:r>
      <w:bookmarkEnd w:id="172"/>
    </w:p>
    <w:p>
      <w:pPr>
        <w:ind w:firstLine="632"/>
        <w:rPr>
          <w:color w:val="auto"/>
          <w:highlight w:val="none"/>
        </w:rPr>
      </w:pPr>
      <w:r>
        <w:rPr>
          <w:color w:val="auto"/>
          <w:highlight w:val="none"/>
        </w:rPr>
        <w:t>内容：</w:t>
      </w:r>
      <w:r>
        <w:rPr>
          <w:rFonts w:hint="eastAsia"/>
          <w:color w:val="auto"/>
          <w:highlight w:val="none"/>
        </w:rPr>
        <w:t>借鉴国内外自然保护小区成功创建经验，</w:t>
      </w:r>
      <w:r>
        <w:rPr>
          <w:color w:val="auto"/>
          <w:highlight w:val="none"/>
        </w:rPr>
        <w:t>选择</w:t>
      </w:r>
      <w:r>
        <w:rPr>
          <w:rFonts w:hint="eastAsia"/>
          <w:color w:val="auto"/>
          <w:highlight w:val="none"/>
        </w:rPr>
        <w:t>重要珍稀濒危物种、极小种群集中分布区、遗传资源破碎分布点以及</w:t>
      </w:r>
      <w:r>
        <w:rPr>
          <w:color w:val="auto"/>
          <w:highlight w:val="none"/>
        </w:rPr>
        <w:t>代表性的</w:t>
      </w:r>
      <w:r>
        <w:rPr>
          <w:rFonts w:hint="eastAsia"/>
          <w:color w:val="auto"/>
          <w:highlight w:val="none"/>
        </w:rPr>
        <w:t>典型</w:t>
      </w:r>
      <w:r>
        <w:rPr>
          <w:color w:val="auto"/>
          <w:highlight w:val="none"/>
        </w:rPr>
        <w:t>生态系统等关键区域或特殊地带，创建自然保护小区，</w:t>
      </w:r>
      <w:r>
        <w:rPr>
          <w:rFonts w:hint="eastAsia"/>
          <w:color w:val="auto"/>
          <w:highlight w:val="none"/>
        </w:rPr>
        <w:t>填补现有</w:t>
      </w:r>
      <w:r>
        <w:rPr>
          <w:color w:val="auto"/>
          <w:highlight w:val="none"/>
        </w:rPr>
        <w:t>自然保护</w:t>
      </w:r>
      <w:r>
        <w:rPr>
          <w:rFonts w:hint="eastAsia"/>
          <w:color w:val="auto"/>
          <w:highlight w:val="none"/>
        </w:rPr>
        <w:t>地保护空缺，重点在红岛河套以及胶州大沽河两岸区域建设</w:t>
      </w:r>
      <w:r>
        <w:rPr>
          <w:rFonts w:hint="eastAsia" w:ascii="微软雅黑" w:hAnsi="微软雅黑" w:eastAsia="微软雅黑" w:cs="微软雅黑"/>
          <w:color w:val="auto"/>
          <w:highlight w:val="none"/>
        </w:rPr>
        <w:t>鸻</w:t>
      </w:r>
      <w:r>
        <w:rPr>
          <w:rFonts w:hint="eastAsia" w:ascii="仿宋_GB2312" w:hAnsi="仿宋_GB2312" w:cs="仿宋_GB2312"/>
          <w:color w:val="auto"/>
          <w:highlight w:val="none"/>
        </w:rPr>
        <w:t>鹬</w:t>
      </w:r>
      <w:r>
        <w:rPr>
          <w:rFonts w:hint="eastAsia"/>
          <w:color w:val="auto"/>
          <w:highlight w:val="none"/>
        </w:rPr>
        <w:t>和燕鸥类保护小区，通过自然恢复和适当人工干预，吸引水鸟重新回来繁殖</w:t>
      </w:r>
      <w:r>
        <w:rPr>
          <w:color w:val="auto"/>
          <w:highlight w:val="none"/>
        </w:rPr>
        <w:t>。</w:t>
      </w:r>
      <w:r>
        <w:rPr>
          <w:rFonts w:hint="eastAsia"/>
          <w:color w:val="auto"/>
          <w:highlight w:val="none"/>
        </w:rPr>
        <w:t>到2</w:t>
      </w:r>
      <w:r>
        <w:rPr>
          <w:color w:val="auto"/>
          <w:highlight w:val="none"/>
        </w:rPr>
        <w:t>030</w:t>
      </w:r>
      <w:r>
        <w:rPr>
          <w:rFonts w:hint="eastAsia"/>
          <w:color w:val="auto"/>
          <w:highlight w:val="none"/>
        </w:rPr>
        <w:t>年，至少完成5个自然保护小区创建。</w:t>
      </w:r>
    </w:p>
    <w:p>
      <w:pPr>
        <w:pStyle w:val="5"/>
        <w:ind w:firstLine="632"/>
        <w:rPr>
          <w:color w:val="auto"/>
          <w:highlight w:val="none"/>
        </w:rPr>
      </w:pPr>
      <w:bookmarkStart w:id="173" w:name="_Toc163376252"/>
      <w:r>
        <w:rPr>
          <w:rFonts w:hint="eastAsia" w:ascii="楷体_GB2312" w:hAnsi="楷体_GB2312" w:eastAsia="楷体_GB2312" w:cs="楷体_GB2312"/>
          <w:b w:val="0"/>
          <w:bCs w:val="0"/>
          <w:color w:val="auto"/>
          <w:highlight w:val="none"/>
        </w:rPr>
        <w:t>项目10：城市再野化建设</w:t>
      </w:r>
      <w:bookmarkEnd w:id="173"/>
    </w:p>
    <w:p>
      <w:pPr>
        <w:ind w:firstLine="632"/>
        <w:rPr>
          <w:color w:val="auto"/>
          <w:highlight w:val="none"/>
        </w:rPr>
      </w:pPr>
      <w:r>
        <w:rPr>
          <w:color w:val="auto"/>
          <w:highlight w:val="none"/>
        </w:rPr>
        <w:t>内容：</w:t>
      </w:r>
      <w:r>
        <w:rPr>
          <w:rFonts w:hint="eastAsia"/>
          <w:color w:val="auto"/>
          <w:highlight w:val="none"/>
        </w:rPr>
        <w:t>依托城市公园绿地、森林公园、郊野公园、山头公园及口袋公园等城市绿色空间，针对历史时期重要物种栖息地、繁殖地、停歇地等，减少人工管理干预，恢复退化的城市植物群落，修复提升自然栖息地环境，恢复增加城市荒野化区域面积，划定生境保护小区，为重要生物提供更稳定的生境和栖息环境，提升城市地区生态系统的稳定性和服务功能，改善城市居民的健康和福祉。</w:t>
      </w:r>
    </w:p>
    <w:p>
      <w:pPr>
        <w:pStyle w:val="5"/>
        <w:ind w:firstLine="632"/>
        <w:rPr>
          <w:color w:val="auto"/>
          <w:highlight w:val="none"/>
        </w:rPr>
      </w:pPr>
      <w:bookmarkStart w:id="174" w:name="_Toc163376253"/>
      <w:r>
        <w:rPr>
          <w:rFonts w:hint="eastAsia" w:ascii="楷体_GB2312" w:hAnsi="楷体_GB2312" w:eastAsia="楷体_GB2312" w:cs="楷体_GB2312"/>
          <w:b w:val="0"/>
          <w:bCs w:val="0"/>
          <w:color w:val="auto"/>
          <w:highlight w:val="none"/>
        </w:rPr>
        <w:t>项目11：外来入侵物种防控</w:t>
      </w:r>
      <w:bookmarkEnd w:id="174"/>
    </w:p>
    <w:p>
      <w:pPr>
        <w:ind w:firstLine="632"/>
        <w:rPr>
          <w:rFonts w:ascii="仿宋_GB2312" w:hAnsi="仿宋_GB2312" w:cs="仿宋_GB2312"/>
          <w:color w:val="auto"/>
          <w:highlight w:val="none"/>
        </w:rPr>
      </w:pPr>
      <w:r>
        <w:rPr>
          <w:color w:val="auto"/>
          <w:highlight w:val="none"/>
        </w:rPr>
        <w:t>内容：</w:t>
      </w:r>
      <w:r>
        <w:rPr>
          <w:rFonts w:hint="eastAsia"/>
          <w:color w:val="auto"/>
          <w:highlight w:val="none"/>
        </w:rPr>
        <w:t>到2</w:t>
      </w:r>
      <w:r>
        <w:rPr>
          <w:color w:val="auto"/>
          <w:highlight w:val="none"/>
        </w:rPr>
        <w:t>023</w:t>
      </w:r>
      <w:r>
        <w:rPr>
          <w:rFonts w:hint="eastAsia"/>
          <w:color w:val="auto"/>
          <w:highlight w:val="none"/>
        </w:rPr>
        <w:t>年底，基本摸清全市外来入侵物种的种类、数量、分布范围、发生面积、危害程度等情况，构建外来入侵物种信息数据库。建立健全</w:t>
      </w:r>
      <w:r>
        <w:rPr>
          <w:rFonts w:hint="eastAsia" w:ascii="仿宋_GB2312"/>
          <w:color w:val="auto"/>
          <w:highlight w:val="none"/>
        </w:rPr>
        <w:t>外来物种入侵防控体制</w:t>
      </w:r>
      <w:r>
        <w:rPr>
          <w:rFonts w:hint="eastAsia" w:ascii="仿宋_GB2312" w:hAnsi="黑体"/>
          <w:bCs/>
          <w:color w:val="auto"/>
          <w:highlight w:val="none"/>
        </w:rPr>
        <w:t>机制，推进外来入侵物种持续动态监测、即时防控，</w:t>
      </w:r>
      <w:r>
        <w:rPr>
          <w:rFonts w:hint="eastAsia" w:ascii="仿宋_GB2312" w:hAnsi="仿宋_GB2312" w:cs="仿宋_GB2312"/>
          <w:color w:val="auto"/>
          <w:highlight w:val="none"/>
        </w:rPr>
        <w:t>到203</w:t>
      </w:r>
      <w:r>
        <w:rPr>
          <w:rFonts w:ascii="仿宋_GB2312" w:hAnsi="仿宋_GB2312" w:cs="仿宋_GB2312"/>
          <w:color w:val="auto"/>
          <w:highlight w:val="none"/>
        </w:rPr>
        <w:t>0</w:t>
      </w:r>
      <w:r>
        <w:rPr>
          <w:rFonts w:hint="eastAsia" w:ascii="仿宋_GB2312" w:hAnsi="仿宋_GB2312" w:cs="仿宋_GB2312"/>
          <w:color w:val="auto"/>
          <w:highlight w:val="none"/>
        </w:rPr>
        <w:t>年，外来物种入侵防控体制机制更加健全，重大危害入侵物种扩散趋势基本得到遏制。</w:t>
      </w:r>
    </w:p>
    <w:p>
      <w:pPr>
        <w:pStyle w:val="5"/>
        <w:ind w:firstLine="632"/>
        <w:rPr>
          <w:rFonts w:ascii="楷体_GB2312" w:hAnsi="楷体_GB2312" w:eastAsia="楷体_GB2312" w:cs="楷体_GB2312"/>
          <w:b w:val="0"/>
          <w:bCs w:val="0"/>
          <w:color w:val="auto"/>
          <w:highlight w:val="none"/>
        </w:rPr>
      </w:pPr>
      <w:bookmarkStart w:id="175" w:name="_Toc163376254"/>
      <w:r>
        <w:rPr>
          <w:rFonts w:hint="eastAsia" w:ascii="楷体_GB2312" w:hAnsi="楷体_GB2312" w:eastAsia="楷体_GB2312" w:cs="楷体_GB2312"/>
          <w:b w:val="0"/>
          <w:bCs w:val="0"/>
          <w:color w:val="auto"/>
          <w:highlight w:val="none"/>
        </w:rPr>
        <w:t>项目12：农林畜牧业重大有害生物防控</w:t>
      </w:r>
      <w:bookmarkEnd w:id="175"/>
    </w:p>
    <w:p>
      <w:pPr>
        <w:ind w:firstLine="632"/>
        <w:rPr>
          <w:color w:val="auto"/>
          <w:highlight w:val="none"/>
        </w:rPr>
      </w:pPr>
      <w:r>
        <w:rPr>
          <w:color w:val="auto"/>
          <w:highlight w:val="none"/>
        </w:rPr>
        <w:t>内容：</w:t>
      </w:r>
      <w:r>
        <w:rPr>
          <w:rFonts w:hint="eastAsia"/>
          <w:color w:val="auto"/>
          <w:highlight w:val="none"/>
        </w:rPr>
        <w:t>深入开展松材线虫病防治攻坚行动，加强美国白蛾等重大食叶害虫综合防治，加强林业植物检疫工作。健全农作物病虫害防治体系，针对蚜虫、</w:t>
      </w:r>
      <w:r>
        <w:rPr>
          <w:color w:val="auto"/>
          <w:highlight w:val="none"/>
          <w:shd w:val="clear" w:color="auto" w:fill="FFFFFF"/>
        </w:rPr>
        <w:t>玉米蓟马</w:t>
      </w:r>
      <w:r>
        <w:rPr>
          <w:rFonts w:hint="eastAsia"/>
          <w:color w:val="auto"/>
          <w:highlight w:val="none"/>
          <w:shd w:val="clear" w:color="auto" w:fill="FFFFFF"/>
        </w:rPr>
        <w:t>、</w:t>
      </w:r>
      <w:r>
        <w:rPr>
          <w:color w:val="auto"/>
          <w:highlight w:val="none"/>
          <w:shd w:val="clear" w:color="auto" w:fill="FFFFFF"/>
        </w:rPr>
        <w:t>烟粉虱、白粉虱</w:t>
      </w:r>
      <w:r>
        <w:rPr>
          <w:rFonts w:hint="eastAsia"/>
          <w:color w:val="auto"/>
          <w:highlight w:val="none"/>
          <w:shd w:val="clear" w:color="auto" w:fill="FFFFFF"/>
        </w:rPr>
        <w:t>、</w:t>
      </w:r>
      <w:r>
        <w:rPr>
          <w:color w:val="auto"/>
          <w:highlight w:val="none"/>
          <w:shd w:val="clear" w:color="auto" w:fill="FFFFFF"/>
        </w:rPr>
        <w:t>苹果黄蚜</w:t>
      </w:r>
      <w:r>
        <w:rPr>
          <w:rFonts w:hint="eastAsia"/>
          <w:color w:val="auto"/>
          <w:highlight w:val="none"/>
          <w:shd w:val="clear" w:color="auto" w:fill="FFFFFF"/>
        </w:rPr>
        <w:t>等农作物害虫</w:t>
      </w:r>
      <w:r>
        <w:rPr>
          <w:rFonts w:hint="eastAsia"/>
          <w:color w:val="auto"/>
          <w:highlight w:val="none"/>
        </w:rPr>
        <w:t>加强监测预警预报，提高绿色防控覆盖率。加强畜禽预防免疫，加大动物疫情监测的密度和频率，尤其要加强非洲猪瘟、高致病性禽流感、口蹄疫等重大动物疫病以及布鲁氏菌病、炭疽等多种人兽共患病病种监测，及时分析动物疫情发展态势，排除疫情隐患。</w:t>
      </w:r>
    </w:p>
    <w:p>
      <w:pPr>
        <w:pStyle w:val="5"/>
        <w:ind w:firstLine="632"/>
        <w:rPr>
          <w:rFonts w:ascii="楷体_GB2312" w:hAnsi="楷体_GB2312" w:eastAsia="楷体_GB2312" w:cs="楷体_GB2312"/>
          <w:b w:val="0"/>
          <w:bCs w:val="0"/>
          <w:color w:val="auto"/>
          <w:highlight w:val="none"/>
        </w:rPr>
      </w:pPr>
      <w:bookmarkStart w:id="176" w:name="_Toc163376255"/>
      <w:r>
        <w:rPr>
          <w:rFonts w:hint="eastAsia" w:ascii="楷体_GB2312" w:hAnsi="楷体_GB2312" w:eastAsia="楷体_GB2312" w:cs="楷体_GB2312"/>
          <w:b w:val="0"/>
          <w:bCs w:val="0"/>
          <w:color w:val="auto"/>
          <w:highlight w:val="none"/>
        </w:rPr>
        <w:t>项目13：规范野外放生行为</w:t>
      </w:r>
      <w:bookmarkEnd w:id="176"/>
    </w:p>
    <w:p>
      <w:pPr>
        <w:ind w:firstLine="632"/>
        <w:rPr>
          <w:color w:val="auto"/>
          <w:highlight w:val="none"/>
        </w:rPr>
      </w:pPr>
      <w:r>
        <w:rPr>
          <w:color w:val="auto"/>
          <w:highlight w:val="none"/>
        </w:rPr>
        <w:t>内容：</w:t>
      </w:r>
      <w:r>
        <w:rPr>
          <w:rFonts w:hint="eastAsia"/>
          <w:color w:val="auto"/>
          <w:highlight w:val="none"/>
        </w:rPr>
        <w:t>制定野生动物放生管理规定，划定野外放生区域，规范野外放生行为，防范外来物种侵害，保护生物安全和生态环境。</w:t>
      </w:r>
    </w:p>
    <w:p>
      <w:pPr>
        <w:pStyle w:val="5"/>
        <w:ind w:firstLine="632"/>
        <w:rPr>
          <w:rFonts w:ascii="楷体_GB2312" w:hAnsi="楷体_GB2312" w:eastAsia="楷体_GB2312" w:cs="楷体_GB2312"/>
          <w:b w:val="0"/>
          <w:bCs w:val="0"/>
          <w:color w:val="auto"/>
          <w:highlight w:val="none"/>
        </w:rPr>
      </w:pPr>
      <w:bookmarkStart w:id="177" w:name="_Toc163376256"/>
      <w:r>
        <w:rPr>
          <w:rFonts w:hint="eastAsia" w:ascii="楷体_GB2312" w:hAnsi="楷体_GB2312" w:eastAsia="楷体_GB2312" w:cs="楷体_GB2312"/>
          <w:b w:val="0"/>
          <w:bCs w:val="0"/>
          <w:color w:val="auto"/>
          <w:highlight w:val="none"/>
        </w:rPr>
        <w:t>项目14：外来物种口岸防控</w:t>
      </w:r>
      <w:bookmarkEnd w:id="177"/>
    </w:p>
    <w:p>
      <w:pPr>
        <w:ind w:firstLine="632"/>
        <w:rPr>
          <w:color w:val="auto"/>
          <w:highlight w:val="none"/>
        </w:rPr>
      </w:pPr>
      <w:r>
        <w:rPr>
          <w:color w:val="auto"/>
          <w:highlight w:val="none"/>
        </w:rPr>
        <w:t>内容：</w:t>
      </w:r>
      <w:r>
        <w:rPr>
          <w:rFonts w:hint="eastAsia"/>
          <w:color w:val="auto"/>
          <w:highlight w:val="none"/>
        </w:rPr>
        <w:t>开展“严防外来物种入侵三年专项行动”“国门利剑”“跨境电商寄递‘异宠’综合治理”等行动，加强对国门生物安全相关违法违规行为的打击力度。</w:t>
      </w:r>
    </w:p>
    <w:p>
      <w:pPr>
        <w:pStyle w:val="5"/>
        <w:ind w:firstLine="632"/>
        <w:rPr>
          <w:rFonts w:ascii="楷体_GB2312" w:hAnsi="楷体_GB2312" w:eastAsia="楷体_GB2312" w:cs="楷体_GB2312"/>
          <w:b w:val="0"/>
          <w:bCs w:val="0"/>
          <w:color w:val="auto"/>
          <w:highlight w:val="none"/>
        </w:rPr>
      </w:pPr>
      <w:bookmarkStart w:id="178" w:name="_Toc163376257"/>
      <w:r>
        <w:rPr>
          <w:rFonts w:hint="eastAsia" w:ascii="楷体_GB2312" w:hAnsi="楷体_GB2312" w:eastAsia="楷体_GB2312" w:cs="楷体_GB2312"/>
          <w:b w:val="0"/>
          <w:bCs w:val="0"/>
          <w:color w:val="auto"/>
          <w:highlight w:val="none"/>
        </w:rPr>
        <w:t>项目15：林草种质资源普查与收集</w:t>
      </w:r>
      <w:bookmarkEnd w:id="178"/>
    </w:p>
    <w:p>
      <w:pPr>
        <w:ind w:firstLine="632"/>
        <w:rPr>
          <w:color w:val="auto"/>
          <w:highlight w:val="none"/>
        </w:rPr>
      </w:pPr>
      <w:r>
        <w:rPr>
          <w:color w:val="auto"/>
          <w:highlight w:val="none"/>
        </w:rPr>
        <w:t>内容：</w:t>
      </w:r>
      <w:r>
        <w:rPr>
          <w:rFonts w:hint="eastAsia"/>
          <w:color w:val="auto"/>
          <w:highlight w:val="none"/>
        </w:rPr>
        <w:t>开展乡土树种、草本植物种质资源普查和收集，建立健全林草种质资源保存利用体系、林木良种选育推广体系以及种质资源动态监测等技术体系。</w:t>
      </w:r>
    </w:p>
    <w:p>
      <w:pPr>
        <w:pStyle w:val="5"/>
        <w:ind w:firstLine="632"/>
        <w:rPr>
          <w:rFonts w:ascii="楷体_GB2312" w:hAnsi="楷体_GB2312" w:eastAsia="楷体_GB2312" w:cs="楷体_GB2312"/>
          <w:b w:val="0"/>
          <w:bCs w:val="0"/>
          <w:color w:val="auto"/>
          <w:highlight w:val="none"/>
        </w:rPr>
      </w:pPr>
      <w:bookmarkStart w:id="179" w:name="_Toc163376258"/>
      <w:r>
        <w:rPr>
          <w:rFonts w:hint="eastAsia" w:ascii="楷体_GB2312" w:hAnsi="楷体_GB2312" w:eastAsia="楷体_GB2312" w:cs="楷体_GB2312"/>
          <w:b w:val="0"/>
          <w:bCs w:val="0"/>
          <w:color w:val="auto"/>
          <w:highlight w:val="none"/>
        </w:rPr>
        <w:t>项目16：渔业种质资源数据库和信息系统</w:t>
      </w:r>
      <w:bookmarkEnd w:id="179"/>
    </w:p>
    <w:p>
      <w:pPr>
        <w:ind w:firstLine="632"/>
        <w:rPr>
          <w:color w:val="auto"/>
          <w:highlight w:val="none"/>
        </w:rPr>
      </w:pPr>
      <w:r>
        <w:rPr>
          <w:color w:val="auto"/>
          <w:highlight w:val="none"/>
        </w:rPr>
        <w:t>内容：</w:t>
      </w:r>
      <w:r>
        <w:rPr>
          <w:rFonts w:hint="eastAsia"/>
          <w:color w:val="auto"/>
          <w:highlight w:val="none"/>
        </w:rPr>
        <w:t>开展渔业种质资源数量和分布的调查，整合国家级和省级原良种数量、类型和分布等信息，建设青岛市渔业种质资源数据库和信息系统，为开展渔业种质资源管理、保护、评价和利用提供支撑。</w:t>
      </w:r>
    </w:p>
    <w:p>
      <w:pPr>
        <w:pStyle w:val="5"/>
        <w:ind w:firstLine="632"/>
        <w:rPr>
          <w:rFonts w:ascii="楷体_GB2312" w:hAnsi="楷体_GB2312" w:eastAsia="楷体_GB2312" w:cs="楷体_GB2312"/>
          <w:b w:val="0"/>
          <w:bCs w:val="0"/>
          <w:color w:val="auto"/>
          <w:highlight w:val="none"/>
        </w:rPr>
      </w:pPr>
      <w:bookmarkStart w:id="180" w:name="_Toc163376259"/>
      <w:r>
        <w:rPr>
          <w:rFonts w:hint="eastAsia" w:ascii="楷体_GB2312" w:hAnsi="楷体_GB2312" w:eastAsia="楷体_GB2312" w:cs="楷体_GB2312"/>
          <w:b w:val="0"/>
          <w:bCs w:val="0"/>
          <w:color w:val="auto"/>
          <w:highlight w:val="none"/>
        </w:rPr>
        <w:t>项目17：生态廊道建设</w:t>
      </w:r>
      <w:bookmarkEnd w:id="180"/>
    </w:p>
    <w:p>
      <w:pPr>
        <w:ind w:firstLine="632"/>
        <w:rPr>
          <w:color w:val="auto"/>
          <w:highlight w:val="none"/>
        </w:rPr>
      </w:pPr>
      <w:r>
        <w:rPr>
          <w:color w:val="auto"/>
          <w:highlight w:val="none"/>
        </w:rPr>
        <w:t>内容：以</w:t>
      </w:r>
      <w:r>
        <w:rPr>
          <w:rFonts w:hint="eastAsia"/>
          <w:color w:val="auto"/>
          <w:highlight w:val="none"/>
        </w:rPr>
        <w:t>城市绿道</w:t>
      </w:r>
      <w:r>
        <w:rPr>
          <w:color w:val="auto"/>
          <w:highlight w:val="none"/>
        </w:rPr>
        <w:t>、</w:t>
      </w:r>
      <w:r>
        <w:rPr>
          <w:rFonts w:hint="eastAsia"/>
          <w:color w:val="auto"/>
          <w:highlight w:val="none"/>
        </w:rPr>
        <w:t>主要</w:t>
      </w:r>
      <w:r>
        <w:rPr>
          <w:color w:val="auto"/>
          <w:highlight w:val="none"/>
        </w:rPr>
        <w:t>河流</w:t>
      </w:r>
      <w:r>
        <w:rPr>
          <w:rFonts w:hint="eastAsia"/>
          <w:color w:val="auto"/>
          <w:highlight w:val="none"/>
        </w:rPr>
        <w:t>及支流、海岸线</w:t>
      </w:r>
      <w:r>
        <w:rPr>
          <w:color w:val="auto"/>
          <w:highlight w:val="none"/>
        </w:rPr>
        <w:t>为依托</w:t>
      </w:r>
      <w:r>
        <w:rPr>
          <w:rFonts w:hint="eastAsia"/>
          <w:color w:val="auto"/>
          <w:highlight w:val="none"/>
        </w:rPr>
        <w:t>，通过保护、恢复拓宽、</w:t>
      </w:r>
      <w:r>
        <w:rPr>
          <w:color w:val="auto"/>
          <w:highlight w:val="none"/>
        </w:rPr>
        <w:t>补缺造林等措施，</w:t>
      </w:r>
      <w:r>
        <w:rPr>
          <w:rFonts w:hint="eastAsia"/>
          <w:color w:val="auto"/>
          <w:highlight w:val="none"/>
        </w:rPr>
        <w:t>统筹规划并恢复、</w:t>
      </w:r>
      <w:r>
        <w:rPr>
          <w:color w:val="auto"/>
          <w:highlight w:val="none"/>
        </w:rPr>
        <w:t>建立连通</w:t>
      </w:r>
      <w:r>
        <w:rPr>
          <w:rFonts w:hint="eastAsia"/>
          <w:color w:val="auto"/>
          <w:highlight w:val="none"/>
        </w:rPr>
        <w:t>山体等</w:t>
      </w:r>
      <w:r>
        <w:rPr>
          <w:color w:val="auto"/>
          <w:highlight w:val="none"/>
        </w:rPr>
        <w:t>各类大型生态斑块的生态廊道</w:t>
      </w:r>
      <w:r>
        <w:rPr>
          <w:rFonts w:hint="eastAsia"/>
          <w:color w:val="auto"/>
          <w:highlight w:val="none"/>
        </w:rPr>
        <w:t>。重点建设北胶莱河、大沽河、小沽河、墨水河、白沙河、洋河、风河、白马河等水系生态廊道和以胶州湾为核心的海岸线生态带。</w:t>
      </w:r>
    </w:p>
    <w:p>
      <w:pPr>
        <w:pStyle w:val="5"/>
        <w:ind w:firstLine="632"/>
        <w:rPr>
          <w:rFonts w:ascii="楷体_GB2312" w:hAnsi="楷体_GB2312" w:eastAsia="楷体_GB2312" w:cs="楷体_GB2312"/>
          <w:b w:val="0"/>
          <w:bCs w:val="0"/>
          <w:color w:val="auto"/>
          <w:highlight w:val="none"/>
        </w:rPr>
      </w:pPr>
      <w:bookmarkStart w:id="181" w:name="_Toc163376260"/>
      <w:r>
        <w:rPr>
          <w:rFonts w:hint="eastAsia" w:ascii="楷体_GB2312" w:hAnsi="楷体_GB2312" w:eastAsia="楷体_GB2312" w:cs="楷体_GB2312"/>
          <w:b w:val="0"/>
          <w:bCs w:val="0"/>
          <w:color w:val="auto"/>
          <w:highlight w:val="none"/>
        </w:rPr>
        <w:t>项目18：生态修复造林工程</w:t>
      </w:r>
      <w:bookmarkEnd w:id="181"/>
    </w:p>
    <w:p>
      <w:pPr>
        <w:ind w:firstLine="632"/>
        <w:rPr>
          <w:color w:val="auto"/>
          <w:highlight w:val="none"/>
        </w:rPr>
      </w:pPr>
      <w:r>
        <w:rPr>
          <w:color w:val="auto"/>
          <w:highlight w:val="none"/>
        </w:rPr>
        <w:t>内容：</w:t>
      </w:r>
      <w:r>
        <w:rPr>
          <w:rFonts w:hint="eastAsia"/>
          <w:color w:val="auto"/>
          <w:highlight w:val="none"/>
        </w:rPr>
        <w:t>对以崂山山系、大泽山山系、大青山山系、黄岛山群山系、即墨东部山群山系等</w:t>
      </w:r>
      <w:r>
        <w:rPr>
          <w:color w:val="auto"/>
          <w:highlight w:val="none"/>
        </w:rPr>
        <w:t>5</w:t>
      </w:r>
      <w:r>
        <w:rPr>
          <w:rFonts w:hint="eastAsia"/>
          <w:color w:val="auto"/>
          <w:highlight w:val="none"/>
        </w:rPr>
        <w:t>处集中连片区域为主的宜林荒山荒地、火烧迹地、疏林地实施生态修复造林工程。</w:t>
      </w:r>
    </w:p>
    <w:p>
      <w:pPr>
        <w:pStyle w:val="5"/>
        <w:ind w:firstLine="632"/>
        <w:rPr>
          <w:rFonts w:ascii="楷体_GB2312" w:hAnsi="楷体_GB2312" w:eastAsia="楷体_GB2312" w:cs="楷体_GB2312"/>
          <w:b w:val="0"/>
          <w:bCs w:val="0"/>
          <w:color w:val="auto"/>
          <w:highlight w:val="none"/>
        </w:rPr>
      </w:pPr>
      <w:bookmarkStart w:id="182" w:name="_Toc163376261"/>
      <w:r>
        <w:rPr>
          <w:rFonts w:hint="eastAsia" w:ascii="楷体_GB2312" w:hAnsi="楷体_GB2312" w:eastAsia="楷体_GB2312" w:cs="楷体_GB2312"/>
          <w:b w:val="0"/>
          <w:bCs w:val="0"/>
          <w:color w:val="auto"/>
          <w:highlight w:val="none"/>
        </w:rPr>
        <w:t>项目19：内陆湿地生态修复</w:t>
      </w:r>
      <w:bookmarkEnd w:id="182"/>
    </w:p>
    <w:p>
      <w:pPr>
        <w:ind w:firstLine="632"/>
        <w:rPr>
          <w:color w:val="auto"/>
          <w:highlight w:val="none"/>
        </w:rPr>
      </w:pPr>
      <w:r>
        <w:rPr>
          <w:color w:val="auto"/>
          <w:highlight w:val="none"/>
        </w:rPr>
        <w:t>内容：开展河湖</w:t>
      </w:r>
      <w:r>
        <w:rPr>
          <w:rFonts w:hint="eastAsia"/>
          <w:color w:val="auto"/>
          <w:highlight w:val="none"/>
        </w:rPr>
        <w:t>湿地硬质护岸生态化改造、</w:t>
      </w:r>
      <w:r>
        <w:rPr>
          <w:color w:val="auto"/>
          <w:highlight w:val="none"/>
        </w:rPr>
        <w:t>岸带整治</w:t>
      </w:r>
      <w:r>
        <w:rPr>
          <w:rFonts w:hint="eastAsia"/>
          <w:color w:val="auto"/>
          <w:highlight w:val="none"/>
        </w:rPr>
        <w:t>和生态缓冲带修复，维持并恢复河流、</w:t>
      </w:r>
      <w:r>
        <w:rPr>
          <w:color w:val="auto"/>
          <w:highlight w:val="none"/>
        </w:rPr>
        <w:t>水库、湖泊、坑塘等周边地势平缓地区的</w:t>
      </w:r>
      <w:r>
        <w:rPr>
          <w:rFonts w:hint="eastAsia"/>
          <w:color w:val="auto"/>
          <w:highlight w:val="none"/>
        </w:rPr>
        <w:t>漫</w:t>
      </w:r>
      <w:r>
        <w:rPr>
          <w:color w:val="auto"/>
          <w:highlight w:val="none"/>
        </w:rPr>
        <w:t>滩和</w:t>
      </w:r>
      <w:r>
        <w:rPr>
          <w:rFonts w:hint="eastAsia"/>
          <w:color w:val="auto"/>
          <w:highlight w:val="none"/>
        </w:rPr>
        <w:t>荒草灌丛</w:t>
      </w:r>
      <w:r>
        <w:rPr>
          <w:color w:val="auto"/>
          <w:highlight w:val="none"/>
        </w:rPr>
        <w:t>栖息地</w:t>
      </w:r>
      <w:r>
        <w:rPr>
          <w:rFonts w:hint="eastAsia"/>
          <w:color w:val="auto"/>
          <w:highlight w:val="none"/>
        </w:rPr>
        <w:t>；推进姜山湿地、产芝水库、少海湿地等湿地自然恢复，减少人为</w:t>
      </w:r>
      <w:r>
        <w:rPr>
          <w:color w:val="auto"/>
          <w:highlight w:val="none"/>
        </w:rPr>
        <w:t>干扰，维持其固有的生态</w:t>
      </w:r>
      <w:r>
        <w:rPr>
          <w:rFonts w:hint="eastAsia"/>
          <w:color w:val="auto"/>
          <w:highlight w:val="none"/>
        </w:rPr>
        <w:t>结构、</w:t>
      </w:r>
      <w:r>
        <w:rPr>
          <w:color w:val="auto"/>
          <w:highlight w:val="none"/>
        </w:rPr>
        <w:t>功能和食物链</w:t>
      </w:r>
      <w:r>
        <w:rPr>
          <w:rFonts w:hint="eastAsia"/>
          <w:color w:val="auto"/>
          <w:highlight w:val="none"/>
        </w:rPr>
        <w:t>；依托大沽河、北胶莱河、墨水河、泽河、洙河、白马河、吉利河等水系，恢复建设一批河流型湿地。到2</w:t>
      </w:r>
      <w:r>
        <w:rPr>
          <w:color w:val="auto"/>
          <w:highlight w:val="none"/>
        </w:rPr>
        <w:t>030</w:t>
      </w:r>
      <w:r>
        <w:rPr>
          <w:rFonts w:hint="eastAsia"/>
          <w:color w:val="auto"/>
          <w:highlight w:val="none"/>
        </w:rPr>
        <w:t>年，新建小微、河流型湿地2</w:t>
      </w:r>
      <w:r>
        <w:rPr>
          <w:color w:val="auto"/>
          <w:highlight w:val="none"/>
        </w:rPr>
        <w:t>0</w:t>
      </w:r>
      <w:r>
        <w:rPr>
          <w:rFonts w:hint="eastAsia"/>
          <w:color w:val="auto"/>
          <w:highlight w:val="none"/>
        </w:rPr>
        <w:t>处。</w:t>
      </w:r>
    </w:p>
    <w:p>
      <w:pPr>
        <w:pStyle w:val="5"/>
        <w:ind w:firstLine="632"/>
        <w:rPr>
          <w:rFonts w:ascii="楷体_GB2312" w:hAnsi="楷体_GB2312" w:eastAsia="楷体_GB2312" w:cs="楷体_GB2312"/>
          <w:b w:val="0"/>
          <w:bCs w:val="0"/>
          <w:color w:val="auto"/>
          <w:highlight w:val="none"/>
        </w:rPr>
      </w:pPr>
      <w:bookmarkStart w:id="183" w:name="_Toc163376262"/>
      <w:r>
        <w:rPr>
          <w:rFonts w:hint="eastAsia" w:ascii="楷体_GB2312" w:hAnsi="楷体_GB2312" w:eastAsia="楷体_GB2312" w:cs="楷体_GB2312"/>
          <w:b w:val="0"/>
          <w:bCs w:val="0"/>
          <w:color w:val="auto"/>
          <w:highlight w:val="none"/>
        </w:rPr>
        <w:t>项目20：滨海湿地生态修复</w:t>
      </w:r>
      <w:bookmarkEnd w:id="183"/>
    </w:p>
    <w:p>
      <w:pPr>
        <w:ind w:firstLine="632"/>
        <w:rPr>
          <w:color w:val="auto"/>
          <w:highlight w:val="none"/>
        </w:rPr>
      </w:pPr>
      <w:r>
        <w:rPr>
          <w:color w:val="auto"/>
          <w:highlight w:val="none"/>
        </w:rPr>
        <w:t>内容：</w:t>
      </w:r>
      <w:r>
        <w:rPr>
          <w:rFonts w:hint="eastAsia"/>
          <w:color w:val="auto"/>
          <w:highlight w:val="none"/>
        </w:rPr>
        <w:t>推动北胶莱河、大沽河、墨水河、洋河、风河、</w:t>
      </w:r>
      <w:r>
        <w:rPr>
          <w:color w:val="auto"/>
          <w:highlight w:val="none"/>
        </w:rPr>
        <w:t>祥茂河、桃源河</w:t>
      </w:r>
      <w:r>
        <w:rPr>
          <w:rFonts w:hint="eastAsia"/>
          <w:color w:val="auto"/>
          <w:highlight w:val="none"/>
        </w:rPr>
        <w:t>等河流入海口湿地生态修复，通过采取退围还海、退养还滩以及</w:t>
      </w:r>
      <w:r>
        <w:rPr>
          <w:color w:val="auto"/>
          <w:highlight w:val="none"/>
        </w:rPr>
        <w:t>种植柽柳、碱蓬</w:t>
      </w:r>
      <w:r>
        <w:rPr>
          <w:rFonts w:hint="eastAsia"/>
          <w:color w:val="auto"/>
          <w:highlight w:val="none"/>
        </w:rPr>
        <w:t>等原生植被等措施，恢复河口生态系统</w:t>
      </w:r>
      <w:r>
        <w:rPr>
          <w:color w:val="auto"/>
          <w:highlight w:val="none"/>
        </w:rPr>
        <w:t>自然</w:t>
      </w:r>
      <w:r>
        <w:rPr>
          <w:rFonts w:hint="eastAsia"/>
          <w:color w:val="auto"/>
          <w:highlight w:val="none"/>
        </w:rPr>
        <w:t>植被和</w:t>
      </w:r>
      <w:r>
        <w:rPr>
          <w:color w:val="auto"/>
          <w:highlight w:val="none"/>
        </w:rPr>
        <w:t>滩涂生境</w:t>
      </w:r>
      <w:r>
        <w:rPr>
          <w:rFonts w:hint="eastAsia"/>
          <w:color w:val="auto"/>
          <w:highlight w:val="none"/>
        </w:rPr>
        <w:t>及其自然生态过程，逐步恢复生物栖息地。</w:t>
      </w:r>
    </w:p>
    <w:p>
      <w:pPr>
        <w:pStyle w:val="5"/>
        <w:ind w:firstLine="632"/>
        <w:rPr>
          <w:rFonts w:ascii="楷体_GB2312" w:hAnsi="楷体_GB2312" w:eastAsia="楷体_GB2312" w:cs="楷体_GB2312"/>
          <w:b w:val="0"/>
          <w:bCs w:val="0"/>
          <w:color w:val="auto"/>
          <w:highlight w:val="none"/>
        </w:rPr>
      </w:pPr>
      <w:bookmarkStart w:id="184" w:name="_Toc163376263"/>
      <w:r>
        <w:rPr>
          <w:rFonts w:hint="eastAsia" w:ascii="楷体_GB2312" w:hAnsi="楷体_GB2312" w:eastAsia="楷体_GB2312" w:cs="楷体_GB2312"/>
          <w:b w:val="0"/>
          <w:bCs w:val="0"/>
          <w:color w:val="auto"/>
          <w:highlight w:val="none"/>
        </w:rPr>
        <w:t>项目21：海岸线整治修复与保护</w:t>
      </w:r>
      <w:bookmarkEnd w:id="184"/>
    </w:p>
    <w:p>
      <w:pPr>
        <w:ind w:firstLine="632"/>
        <w:rPr>
          <w:color w:val="auto"/>
          <w:highlight w:val="none"/>
        </w:rPr>
      </w:pPr>
      <w:r>
        <w:rPr>
          <w:color w:val="auto"/>
          <w:highlight w:val="none"/>
        </w:rPr>
        <w:t>内容：严格海岸线保护与利用规划管理，对海岸线实施分类保护、利用与整治修复，</w:t>
      </w:r>
      <w:r>
        <w:rPr>
          <w:rFonts w:hint="eastAsia"/>
          <w:color w:val="auto"/>
          <w:highlight w:val="none"/>
        </w:rPr>
        <w:t>采取海岸侵蚀防护等措施，维持基岩、砂砾质岸滩岸线稳定，建设海岸生态防护绿地，严控旅游基础设施规模。积极推进人工岸线生态化改造，开展重点海湾生态保护与自然岸线修复。</w:t>
      </w:r>
    </w:p>
    <w:p>
      <w:pPr>
        <w:pStyle w:val="5"/>
        <w:ind w:firstLine="632"/>
        <w:rPr>
          <w:rFonts w:ascii="楷体_GB2312" w:hAnsi="楷体_GB2312" w:eastAsia="楷体_GB2312" w:cs="楷体_GB2312"/>
          <w:b w:val="0"/>
          <w:bCs w:val="0"/>
          <w:color w:val="auto"/>
          <w:highlight w:val="none"/>
        </w:rPr>
      </w:pPr>
      <w:bookmarkStart w:id="185" w:name="_Toc163376264"/>
      <w:r>
        <w:rPr>
          <w:rFonts w:hint="eastAsia" w:ascii="楷体_GB2312" w:hAnsi="楷体_GB2312" w:eastAsia="楷体_GB2312" w:cs="楷体_GB2312"/>
          <w:b w:val="0"/>
          <w:bCs w:val="0"/>
          <w:color w:val="auto"/>
          <w:highlight w:val="none"/>
        </w:rPr>
        <w:t>项目22：实施海岛保护修复工程</w:t>
      </w:r>
      <w:bookmarkEnd w:id="185"/>
    </w:p>
    <w:p>
      <w:pPr>
        <w:ind w:firstLine="632"/>
        <w:rPr>
          <w:color w:val="auto"/>
          <w:highlight w:val="none"/>
        </w:rPr>
      </w:pPr>
      <w:r>
        <w:rPr>
          <w:color w:val="auto"/>
          <w:highlight w:val="none"/>
        </w:rPr>
        <w:t>内容：</w:t>
      </w:r>
      <w:r>
        <w:rPr>
          <w:rFonts w:hint="eastAsia"/>
          <w:color w:val="auto"/>
          <w:highlight w:val="none"/>
        </w:rPr>
        <w:t>开展生态岛礁工程，改善海岛生态环境和基础设施，恢复受损海岛地形地貌和生态系统。加强海岛综合管理，严格保护海岛自然生态系统、珍稀濒危特有物种及其生境。实施小管岛整治修复，推进灵山岛自然植被、生态系统和原始风貌恢复。</w:t>
      </w:r>
    </w:p>
    <w:p>
      <w:pPr>
        <w:pStyle w:val="5"/>
        <w:ind w:firstLine="632"/>
        <w:rPr>
          <w:rFonts w:ascii="楷体_GB2312" w:hAnsi="楷体_GB2312" w:eastAsia="楷体_GB2312" w:cs="楷体_GB2312"/>
          <w:b w:val="0"/>
          <w:bCs w:val="0"/>
          <w:color w:val="auto"/>
          <w:highlight w:val="none"/>
        </w:rPr>
      </w:pPr>
      <w:bookmarkStart w:id="186" w:name="_Toc163376265"/>
      <w:r>
        <w:rPr>
          <w:rFonts w:hint="eastAsia" w:ascii="楷体_GB2312" w:hAnsi="楷体_GB2312" w:eastAsia="楷体_GB2312" w:cs="楷体_GB2312"/>
          <w:b w:val="0"/>
          <w:bCs w:val="0"/>
          <w:color w:val="auto"/>
          <w:highlight w:val="none"/>
        </w:rPr>
        <w:t>项目23：典型海草（藻）床生态系统保护修复</w:t>
      </w:r>
      <w:bookmarkEnd w:id="186"/>
    </w:p>
    <w:p>
      <w:pPr>
        <w:ind w:firstLine="632"/>
        <w:rPr>
          <w:color w:val="auto"/>
          <w:highlight w:val="none"/>
        </w:rPr>
      </w:pPr>
      <w:r>
        <w:rPr>
          <w:color w:val="auto"/>
          <w:highlight w:val="none"/>
        </w:rPr>
        <w:t>内容：</w:t>
      </w:r>
      <w:r>
        <w:rPr>
          <w:rFonts w:hint="eastAsia"/>
          <w:color w:val="auto"/>
          <w:highlight w:val="none"/>
        </w:rPr>
        <w:t>开展海草（藻）床分布调查，禁止对现有海草床区域进行围填海、掠夺式捕捞等人为破坏。探索唐岛湾海草床生态系统的保护和修复，维护海岸带生态系统结构和功能稳定。</w:t>
      </w:r>
    </w:p>
    <w:p>
      <w:pPr>
        <w:pStyle w:val="5"/>
        <w:ind w:firstLine="632"/>
        <w:rPr>
          <w:rFonts w:ascii="楷体_GB2312" w:hAnsi="楷体_GB2312" w:eastAsia="楷体_GB2312" w:cs="楷体_GB2312"/>
          <w:b w:val="0"/>
          <w:bCs w:val="0"/>
          <w:color w:val="auto"/>
          <w:highlight w:val="none"/>
        </w:rPr>
      </w:pPr>
      <w:bookmarkStart w:id="187" w:name="_Toc163376266"/>
      <w:r>
        <w:rPr>
          <w:rFonts w:hint="eastAsia" w:ascii="楷体_GB2312" w:hAnsi="楷体_GB2312" w:eastAsia="楷体_GB2312" w:cs="楷体_GB2312"/>
          <w:b w:val="0"/>
          <w:bCs w:val="0"/>
          <w:color w:val="auto"/>
          <w:highlight w:val="none"/>
        </w:rPr>
        <w:t>项目24：推动生态化海洋牧场建设</w:t>
      </w:r>
      <w:bookmarkEnd w:id="187"/>
    </w:p>
    <w:p>
      <w:pPr>
        <w:ind w:firstLine="632"/>
        <w:rPr>
          <w:color w:val="auto"/>
          <w:highlight w:val="none"/>
        </w:rPr>
      </w:pPr>
      <w:r>
        <w:rPr>
          <w:color w:val="auto"/>
          <w:highlight w:val="none"/>
        </w:rPr>
        <w:t>内容：</w:t>
      </w:r>
      <w:r>
        <w:rPr>
          <w:rFonts w:hint="eastAsia"/>
          <w:color w:val="auto"/>
          <w:highlight w:val="none"/>
        </w:rPr>
        <w:t>科学实施海洋生物资源养护，推动生态化海洋牧场建设，以生态型海洋牧场建设、海洋牧场产业绿色发展带动海洋生境修复和水生生物资源养护。</w:t>
      </w:r>
    </w:p>
    <w:p>
      <w:pPr>
        <w:pStyle w:val="5"/>
        <w:ind w:firstLine="632"/>
        <w:rPr>
          <w:rFonts w:ascii="楷体_GB2312" w:hAnsi="楷体_GB2312" w:eastAsia="楷体_GB2312" w:cs="楷体_GB2312"/>
          <w:b w:val="0"/>
          <w:bCs w:val="0"/>
          <w:color w:val="auto"/>
          <w:highlight w:val="none"/>
        </w:rPr>
      </w:pPr>
      <w:bookmarkStart w:id="188" w:name="_Toc163376267"/>
      <w:r>
        <w:rPr>
          <w:rFonts w:hint="eastAsia" w:ascii="楷体_GB2312" w:hAnsi="楷体_GB2312" w:eastAsia="楷体_GB2312" w:cs="楷体_GB2312"/>
          <w:b w:val="0"/>
          <w:bCs w:val="0"/>
          <w:color w:val="auto"/>
          <w:highlight w:val="none"/>
        </w:rPr>
        <w:t>项目25：生物多样性保护与气候变化应对协同增效</w:t>
      </w:r>
      <w:bookmarkEnd w:id="188"/>
    </w:p>
    <w:p>
      <w:pPr>
        <w:ind w:firstLine="632"/>
        <w:rPr>
          <w:color w:val="auto"/>
          <w:highlight w:val="none"/>
        </w:rPr>
      </w:pPr>
      <w:r>
        <w:rPr>
          <w:rFonts w:hint="eastAsia"/>
          <w:color w:val="auto"/>
          <w:highlight w:val="none"/>
        </w:rPr>
        <w:t>内容：制定协同治理政策制度框架，以生物多样性保护和气候变化应对协同治理为目标制定国民经济和社会发展战略、行动计划和各类规划等。推动基于自然的解决方案（Nb</w:t>
      </w:r>
      <w:r>
        <w:rPr>
          <w:color w:val="auto"/>
          <w:highlight w:val="none"/>
        </w:rPr>
        <w:t>S</w:t>
      </w:r>
      <w:r>
        <w:rPr>
          <w:rFonts w:hint="eastAsia"/>
          <w:color w:val="auto"/>
          <w:highlight w:val="none"/>
        </w:rPr>
        <w:t>）或者基于生态系统的解决方案（</w:t>
      </w:r>
      <w:r>
        <w:rPr>
          <w:color w:val="auto"/>
          <w:highlight w:val="none"/>
        </w:rPr>
        <w:t>E</w:t>
      </w:r>
      <w:r>
        <w:rPr>
          <w:rFonts w:hint="eastAsia"/>
          <w:color w:val="auto"/>
          <w:highlight w:val="none"/>
        </w:rPr>
        <w:t>b</w:t>
      </w:r>
      <w:r>
        <w:rPr>
          <w:color w:val="auto"/>
          <w:highlight w:val="none"/>
        </w:rPr>
        <w:t>S</w:t>
      </w:r>
      <w:r>
        <w:rPr>
          <w:rFonts w:hint="eastAsia"/>
          <w:color w:val="auto"/>
          <w:highlight w:val="none"/>
        </w:rPr>
        <w:t>）协同治理，加强生态系统修复生物多样性保护和气候变化应对协同效应研究，提高生态系统多样性、完整性、稳定性和恢复力，保护生物多样性，增加生态系统碳汇能力。</w:t>
      </w:r>
      <w:r>
        <w:rPr>
          <w:color w:val="auto"/>
          <w:highlight w:val="none"/>
        </w:rPr>
        <w:t xml:space="preserve"> </w:t>
      </w:r>
    </w:p>
    <w:p>
      <w:pPr>
        <w:pStyle w:val="5"/>
        <w:ind w:firstLine="632"/>
        <w:rPr>
          <w:rFonts w:ascii="楷体_GB2312" w:hAnsi="楷体_GB2312" w:eastAsia="楷体_GB2312" w:cs="楷体_GB2312"/>
          <w:b w:val="0"/>
          <w:bCs w:val="0"/>
          <w:color w:val="auto"/>
          <w:highlight w:val="none"/>
        </w:rPr>
      </w:pPr>
      <w:bookmarkStart w:id="189" w:name="_Toc163376268"/>
      <w:r>
        <w:rPr>
          <w:rFonts w:hint="eastAsia" w:ascii="楷体_GB2312" w:hAnsi="楷体_GB2312" w:eastAsia="楷体_GB2312" w:cs="楷体_GB2312"/>
          <w:b w:val="0"/>
          <w:bCs w:val="0"/>
          <w:color w:val="auto"/>
          <w:highlight w:val="none"/>
        </w:rPr>
        <w:t>项目26：生物多样性可持续利用试点示范</w:t>
      </w:r>
      <w:bookmarkEnd w:id="189"/>
    </w:p>
    <w:p>
      <w:pPr>
        <w:ind w:firstLine="632"/>
        <w:rPr>
          <w:color w:val="auto"/>
          <w:highlight w:val="none"/>
        </w:rPr>
      </w:pPr>
      <w:r>
        <w:rPr>
          <w:rFonts w:hint="eastAsia"/>
          <w:color w:val="auto"/>
          <w:highlight w:val="none"/>
        </w:rPr>
        <w:t>内容：持续推进生态文明建设示范市区、“绿水青山就是金山银山”实践创新基地、美丽乡村等生态文明系列示范创建工作，创新建设生物多样性友好社区、生物多样性可持续利用基地。梯次推进“美丽海湾”建设，到2</w:t>
      </w:r>
      <w:r>
        <w:rPr>
          <w:color w:val="auto"/>
          <w:highlight w:val="none"/>
        </w:rPr>
        <w:t>025</w:t>
      </w:r>
      <w:r>
        <w:rPr>
          <w:rFonts w:hint="eastAsia"/>
          <w:color w:val="auto"/>
          <w:highlight w:val="none"/>
        </w:rPr>
        <w:t>年，</w:t>
      </w:r>
      <w:r>
        <w:rPr>
          <w:color w:val="auto"/>
          <w:highlight w:val="none"/>
        </w:rPr>
        <w:t>将崂山湾区、西岸前海湾区基本建成</w:t>
      </w:r>
      <w:r>
        <w:rPr>
          <w:rFonts w:hint="eastAsia"/>
          <w:color w:val="auto"/>
          <w:highlight w:val="none"/>
        </w:rPr>
        <w:t>“</w:t>
      </w:r>
      <w:r>
        <w:rPr>
          <w:color w:val="auto"/>
          <w:highlight w:val="none"/>
        </w:rPr>
        <w:t>美丽海湾</w:t>
      </w:r>
      <w:r>
        <w:rPr>
          <w:rFonts w:hint="eastAsia"/>
          <w:color w:val="auto"/>
          <w:highlight w:val="none"/>
        </w:rPr>
        <w:t>”；到2</w:t>
      </w:r>
      <w:r>
        <w:rPr>
          <w:color w:val="auto"/>
          <w:highlight w:val="none"/>
        </w:rPr>
        <w:t>030</w:t>
      </w:r>
      <w:r>
        <w:rPr>
          <w:rFonts w:hint="eastAsia"/>
          <w:color w:val="auto"/>
          <w:highlight w:val="none"/>
        </w:rPr>
        <w:t>年，</w:t>
      </w:r>
      <w:r>
        <w:rPr>
          <w:color w:val="auto"/>
          <w:highlight w:val="none"/>
        </w:rPr>
        <w:t>将东岸前海、胶州湾、古镇口-董家口湾区基本建成</w:t>
      </w:r>
      <w:r>
        <w:rPr>
          <w:rFonts w:hint="eastAsia"/>
          <w:color w:val="auto"/>
          <w:highlight w:val="none"/>
        </w:rPr>
        <w:t>“</w:t>
      </w:r>
      <w:r>
        <w:rPr>
          <w:color w:val="auto"/>
          <w:highlight w:val="none"/>
        </w:rPr>
        <w:t>美丽海湾</w:t>
      </w:r>
      <w:r>
        <w:rPr>
          <w:rFonts w:hint="eastAsia"/>
          <w:color w:val="auto"/>
          <w:highlight w:val="none"/>
        </w:rPr>
        <w:t>”。</w:t>
      </w:r>
    </w:p>
    <w:p>
      <w:pPr>
        <w:pStyle w:val="5"/>
        <w:ind w:firstLine="632"/>
        <w:rPr>
          <w:color w:val="auto"/>
          <w:highlight w:val="none"/>
        </w:rPr>
      </w:pPr>
      <w:bookmarkStart w:id="190" w:name="_Toc163376269"/>
      <w:r>
        <w:rPr>
          <w:rFonts w:hint="eastAsia" w:ascii="楷体_GB2312" w:hAnsi="楷体_GB2312" w:eastAsia="楷体_GB2312" w:cs="楷体_GB2312"/>
          <w:b w:val="0"/>
          <w:bCs w:val="0"/>
          <w:color w:val="auto"/>
          <w:highlight w:val="none"/>
        </w:rPr>
        <w:t>项目27：推动生态产品价值实现</w:t>
      </w:r>
      <w:bookmarkEnd w:id="190"/>
    </w:p>
    <w:p>
      <w:pPr>
        <w:ind w:firstLine="632"/>
        <w:rPr>
          <w:color w:val="auto"/>
          <w:highlight w:val="none"/>
        </w:rPr>
      </w:pPr>
      <w:r>
        <w:rPr>
          <w:color w:val="auto"/>
          <w:highlight w:val="none"/>
        </w:rPr>
        <w:t>内容：</w:t>
      </w:r>
      <w:r>
        <w:rPr>
          <w:rFonts w:hint="eastAsia"/>
          <w:color w:val="auto"/>
          <w:highlight w:val="none"/>
        </w:rPr>
        <w:t>开展全市生态产品总值（GEP）核算，探索推进特定地域单元的生态产品价值核算，探索推进生物多样性、林业碳汇、“蓝碳”等陆地和海洋生态产品价值实现，通过可持续利用满足人类需求。</w:t>
      </w:r>
    </w:p>
    <w:p>
      <w:pPr>
        <w:pStyle w:val="5"/>
        <w:ind w:firstLine="632"/>
        <w:rPr>
          <w:rFonts w:ascii="楷体_GB2312" w:hAnsi="楷体_GB2312" w:eastAsia="楷体_GB2312" w:cs="楷体_GB2312"/>
          <w:b w:val="0"/>
          <w:bCs w:val="0"/>
          <w:color w:val="auto"/>
          <w:highlight w:val="none"/>
        </w:rPr>
      </w:pPr>
      <w:bookmarkStart w:id="191" w:name="_Toc163376270"/>
      <w:r>
        <w:rPr>
          <w:rFonts w:hint="eastAsia" w:ascii="楷体_GB2312" w:hAnsi="楷体_GB2312" w:eastAsia="楷体_GB2312" w:cs="楷体_GB2312"/>
          <w:b w:val="0"/>
          <w:bCs w:val="0"/>
          <w:color w:val="auto"/>
          <w:highlight w:val="none"/>
        </w:rPr>
        <w:t>项目28：健全生物多样性保护政策法规体系</w:t>
      </w:r>
      <w:bookmarkEnd w:id="191"/>
    </w:p>
    <w:p>
      <w:pPr>
        <w:ind w:firstLine="632"/>
        <w:rPr>
          <w:color w:val="auto"/>
          <w:highlight w:val="none"/>
        </w:rPr>
      </w:pPr>
      <w:r>
        <w:rPr>
          <w:color w:val="auto"/>
          <w:highlight w:val="none"/>
        </w:rPr>
        <w:t>内容：梳理青岛市现有法律、法规中有关生物多样性保护的内容，</w:t>
      </w:r>
      <w:r>
        <w:rPr>
          <w:rFonts w:hint="eastAsia"/>
          <w:color w:val="auto"/>
          <w:highlight w:val="none"/>
        </w:rPr>
        <w:t>推动完善生物多样性保护和可持续利用、自然保护地管理、野外放生等有关地方性法规、条例，制定执法监管实施细则</w:t>
      </w:r>
      <w:r>
        <w:rPr>
          <w:color w:val="auto"/>
          <w:highlight w:val="none"/>
        </w:rPr>
        <w:t>。</w:t>
      </w:r>
    </w:p>
    <w:p>
      <w:pPr>
        <w:pStyle w:val="5"/>
        <w:ind w:firstLine="632"/>
        <w:rPr>
          <w:rFonts w:ascii="楷体_GB2312" w:hAnsi="楷体_GB2312" w:eastAsia="楷体_GB2312" w:cs="楷体_GB2312"/>
          <w:b w:val="0"/>
          <w:bCs w:val="0"/>
          <w:color w:val="auto"/>
          <w:highlight w:val="none"/>
        </w:rPr>
      </w:pPr>
      <w:bookmarkStart w:id="192" w:name="_Toc163376271"/>
      <w:r>
        <w:rPr>
          <w:rFonts w:hint="eastAsia" w:ascii="楷体_GB2312" w:hAnsi="楷体_GB2312" w:eastAsia="楷体_GB2312" w:cs="楷体_GB2312"/>
          <w:b w:val="0"/>
          <w:bCs w:val="0"/>
          <w:color w:val="auto"/>
          <w:highlight w:val="none"/>
        </w:rPr>
        <w:t>项目29：执法和监督能力提升</w:t>
      </w:r>
      <w:bookmarkEnd w:id="192"/>
    </w:p>
    <w:p>
      <w:pPr>
        <w:ind w:firstLine="632" w:firstLineChars="0"/>
        <w:rPr>
          <w:color w:val="auto"/>
          <w:highlight w:val="none"/>
        </w:rPr>
      </w:pPr>
      <w:r>
        <w:rPr>
          <w:color w:val="auto"/>
          <w:highlight w:val="none"/>
        </w:rPr>
        <w:t>内容：</w:t>
      </w:r>
      <w:r>
        <w:rPr>
          <w:rFonts w:hint="eastAsia"/>
          <w:color w:val="auto"/>
          <w:highlight w:val="none"/>
        </w:rPr>
        <w:t>健全联合执法机制，持续深入实施“绿盾”自然保护地强化监督、“碧海”海洋生态环境保护、“昆仑行动”等系列执法行动，定期组织开展海洋伏季休（禁）渔专项执法行动，持续严厉打击非法猎捕、采集、运输、交易野生动植物及其制品等违法行为。结合遥感等技术手段，提升各级各类自然保护地和生态空间监管能力。</w:t>
      </w:r>
    </w:p>
    <w:p>
      <w:pPr>
        <w:pStyle w:val="5"/>
        <w:ind w:firstLine="632"/>
        <w:rPr>
          <w:color w:val="auto"/>
          <w:highlight w:val="none"/>
        </w:rPr>
      </w:pPr>
      <w:bookmarkStart w:id="193" w:name="_Toc163376272"/>
      <w:r>
        <w:rPr>
          <w:rFonts w:hint="eastAsia" w:ascii="楷体_GB2312" w:hAnsi="楷体_GB2312" w:eastAsia="楷体_GB2312" w:cs="楷体_GB2312"/>
          <w:b w:val="0"/>
          <w:bCs w:val="0"/>
          <w:color w:val="auto"/>
          <w:highlight w:val="none"/>
        </w:rPr>
        <w:t>项目30：生物多样性人才培养</w:t>
      </w:r>
      <w:bookmarkEnd w:id="193"/>
    </w:p>
    <w:p>
      <w:pPr>
        <w:ind w:firstLine="632"/>
        <w:rPr>
          <w:color w:val="auto"/>
          <w:highlight w:val="none"/>
        </w:rPr>
      </w:pPr>
      <w:r>
        <w:rPr>
          <w:color w:val="auto"/>
          <w:highlight w:val="none"/>
        </w:rPr>
        <w:t>内容：</w:t>
      </w:r>
      <w:r>
        <w:rPr>
          <w:rFonts w:hint="eastAsia"/>
          <w:color w:val="auto"/>
          <w:highlight w:val="none"/>
        </w:rPr>
        <w:t>加强驻青高校、科研院所、企事业单位生物多样性领域人才培养，加强国内外学术、实践经验交流，提升生物多样性保护相关工作人员科技水平。</w:t>
      </w:r>
    </w:p>
    <w:p>
      <w:pPr>
        <w:pStyle w:val="5"/>
        <w:ind w:firstLine="632"/>
        <w:rPr>
          <w:rFonts w:ascii="楷体_GB2312" w:hAnsi="楷体_GB2312" w:eastAsia="楷体_GB2312" w:cs="楷体_GB2312"/>
          <w:b w:val="0"/>
          <w:bCs w:val="0"/>
          <w:color w:val="auto"/>
          <w:highlight w:val="none"/>
        </w:rPr>
      </w:pPr>
      <w:bookmarkStart w:id="194" w:name="_Toc163376273"/>
      <w:r>
        <w:rPr>
          <w:rFonts w:hint="eastAsia" w:ascii="楷体_GB2312" w:hAnsi="楷体_GB2312" w:eastAsia="楷体_GB2312" w:cs="楷体_GB2312"/>
          <w:b w:val="0"/>
          <w:bCs w:val="0"/>
          <w:color w:val="auto"/>
          <w:highlight w:val="none"/>
        </w:rPr>
        <w:t>项目31：生物多样性知识传播工程</w:t>
      </w:r>
      <w:bookmarkEnd w:id="194"/>
    </w:p>
    <w:p>
      <w:pPr>
        <w:ind w:firstLine="632" w:firstLineChars="0"/>
        <w:rPr>
          <w:color w:val="auto"/>
          <w:highlight w:val="none"/>
        </w:rPr>
      </w:pPr>
      <w:r>
        <w:rPr>
          <w:color w:val="auto"/>
          <w:highlight w:val="none"/>
        </w:rPr>
        <w:t>内容：</w:t>
      </w:r>
      <w:r>
        <w:rPr>
          <w:rFonts w:hint="eastAsia"/>
          <w:color w:val="auto"/>
          <w:highlight w:val="none"/>
        </w:rPr>
        <w:t>推动自然保护地管理机构设立生物多样性展区、展示牌等。加强生物多样性相关自然博物馆、科普馆、自然教育基地建设，设立重点实验室、综合观测（监测）站、种质资源库（圃）等公众科学日。推动生物多样性科普教育书籍出版，制作一批生物多样性保护宣传教育视频。</w:t>
      </w:r>
    </w:p>
    <w:p>
      <w:pPr>
        <w:ind w:firstLine="632"/>
        <w:rPr>
          <w:color w:val="auto"/>
          <w:highlight w:val="none"/>
        </w:rPr>
      </w:pPr>
    </w:p>
    <w:p>
      <w:pPr>
        <w:ind w:firstLine="632"/>
        <w:rPr>
          <w:color w:val="auto"/>
          <w:highlight w:val="none"/>
        </w:rPr>
      </w:pPr>
    </w:p>
    <w:p>
      <w:pPr>
        <w:ind w:firstLine="0" w:firstLineChars="0"/>
        <w:rPr>
          <w:color w:val="auto"/>
          <w:highlight w:val="none"/>
        </w:rPr>
      </w:pPr>
    </w:p>
    <w:p>
      <w:pPr>
        <w:ind w:firstLine="632"/>
        <w:rPr>
          <w:color w:val="auto"/>
          <w:highlight w:val="none"/>
        </w:rPr>
      </w:pPr>
    </w:p>
    <w:p>
      <w:pPr>
        <w:spacing w:line="720" w:lineRule="exact"/>
        <w:ind w:firstLine="632"/>
        <w:rPr>
          <w:color w:val="auto"/>
          <w:highlight w:val="none"/>
        </w:rPr>
      </w:pPr>
    </w:p>
    <w:tbl>
      <w:tblPr>
        <w:tblStyle w:val="38"/>
        <w:tblW w:w="0" w:type="auto"/>
        <w:tblInd w:w="0" w:type="dxa"/>
        <w:tblBorders>
          <w:top w:val="single" w:color="000000" w:sz="12" w:space="0"/>
          <w:left w:val="single" w:color="FFFFFF" w:sz="4" w:space="0"/>
          <w:bottom w:val="single" w:color="000000" w:sz="12" w:space="0"/>
          <w:right w:val="single" w:color="FFFFFF" w:sz="4" w:space="0"/>
          <w:insideH w:val="single" w:color="000000" w:sz="4" w:space="0"/>
          <w:insideV w:val="none" w:color="auto" w:sz="0" w:space="0"/>
        </w:tblBorders>
        <w:tblLayout w:type="fixed"/>
        <w:tblCellMar>
          <w:top w:w="0" w:type="dxa"/>
          <w:left w:w="108" w:type="dxa"/>
          <w:bottom w:w="0" w:type="dxa"/>
          <w:right w:w="108" w:type="dxa"/>
        </w:tblCellMar>
      </w:tblPr>
      <w:tblGrid>
        <w:gridCol w:w="8946"/>
      </w:tblGrid>
      <w:tr>
        <w:tblPrEx>
          <w:tblBorders>
            <w:top w:val="single" w:color="000000" w:sz="12" w:space="0"/>
            <w:left w:val="single" w:color="FFFFFF" w:sz="4" w:space="0"/>
            <w:bottom w:val="single" w:color="000000" w:sz="12" w:space="0"/>
            <w:right w:val="single" w:color="FFFFFF" w:sz="4" w:space="0"/>
            <w:insideH w:val="single" w:color="000000" w:sz="4" w:space="0"/>
            <w:insideV w:val="none" w:color="auto" w:sz="0" w:space="0"/>
          </w:tblBorders>
          <w:tblCellMar>
            <w:top w:w="0" w:type="dxa"/>
            <w:left w:w="108" w:type="dxa"/>
            <w:bottom w:w="0" w:type="dxa"/>
            <w:right w:w="108" w:type="dxa"/>
          </w:tblCellMar>
        </w:tblPrEx>
        <w:trPr>
          <w:trHeight w:val="567" w:hRule="atLeast"/>
        </w:trPr>
        <w:tc>
          <w:tcPr>
            <w:tcW w:w="8946" w:type="dxa"/>
            <w:tcBorders>
              <w:top w:val="single" w:color="000000" w:sz="12" w:space="0"/>
              <w:left w:val="single" w:color="FFFFFF" w:sz="4" w:space="0"/>
              <w:bottom w:val="single" w:color="000000" w:sz="12" w:space="0"/>
              <w:right w:val="single" w:color="FFFFFF" w:sz="4" w:space="0"/>
            </w:tcBorders>
            <w:vAlign w:val="center"/>
          </w:tcPr>
          <w:p>
            <w:pPr>
              <w:tabs>
                <w:tab w:val="left" w:pos="7560"/>
              </w:tabs>
              <w:ind w:firstLine="138" w:firstLineChars="50"/>
              <w:rPr>
                <w:rFonts w:ascii="仿宋_GB2312"/>
                <w:color w:val="auto"/>
                <w:sz w:val="28"/>
                <w:szCs w:val="28"/>
                <w:highlight w:val="none"/>
              </w:rPr>
            </w:pPr>
            <w:r>
              <w:rPr>
                <w:rFonts w:hint="eastAsia" w:ascii="仿宋_GB2312" w:cs="仿宋_GB2312"/>
                <w:color w:val="auto"/>
                <w:sz w:val="28"/>
                <w:szCs w:val="28"/>
                <w:highlight w:val="none"/>
              </w:rPr>
              <w:t>青岛市生态环境局办公室　　　             2024年5月17日印发</w:t>
            </w:r>
          </w:p>
        </w:tc>
      </w:tr>
    </w:tbl>
    <w:p>
      <w:pPr>
        <w:spacing w:line="14" w:lineRule="exact"/>
        <w:ind w:firstLine="632"/>
        <w:rPr>
          <w:color w:val="auto"/>
          <w:highlight w:val="none"/>
        </w:rPr>
      </w:pPr>
    </w:p>
    <w:sectPr>
      <w:pgSz w:w="11906" w:h="16838"/>
      <w:pgMar w:top="1701" w:right="1474" w:bottom="1701" w:left="1588" w:header="851" w:footer="1418" w:gutter="0"/>
      <w:cols w:space="425" w:num="1"/>
      <w:docGrid w:type="linesAndChars" w:linePitch="610"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KTJ+ZCZFZ1-6">
    <w:altName w:val="Segoe Print"/>
    <w:panose1 w:val="00000000000000000000"/>
    <w:charset w:val="00"/>
    <w:family w:val="roman"/>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WinCharSetFFFF-H">
    <w:altName w:val="仿宋"/>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方正楷体_GB2312">
    <w:altName w:val="楷体_GB2312"/>
    <w:panose1 w:val="00000000000000000000"/>
    <w:charset w:val="86"/>
    <w:family w:val="auto"/>
    <w:pitch w:val="default"/>
    <w:sig w:usb0="00000000" w:usb1="00000000" w:usb2="00000012"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4422"/>
        <w:tab w:val="clear" w:pos="4153"/>
      </w:tabs>
      <w:ind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ind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4"/>
                      <w:ind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0" w:firstLineChars="0"/>
      <w:jc w:val="center"/>
      <w:rPr>
        <w:sz w:val="21"/>
      </w:rPr>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ind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420"/>
      <w:jc w:val="center"/>
      <w:rPr>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ind w:firstLine="0" w:firstLineChars="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ind w:firstLine="632"/>
      </w:pPr>
      <w:r>
        <w:separator/>
      </w:r>
    </w:p>
  </w:footnote>
  <w:footnote w:type="continuationSeparator" w:id="5">
    <w:p>
      <w:pPr>
        <w:spacing w:line="240" w:lineRule="auto"/>
        <w:ind w:firstLine="632"/>
      </w:pPr>
      <w:r>
        <w:continuationSeparator/>
      </w:r>
    </w:p>
  </w:footnote>
  <w:footnote w:id="0">
    <w:p>
      <w:pPr>
        <w:pStyle w:val="29"/>
      </w:pPr>
      <w:r>
        <w:rPr>
          <w:rStyle w:val="52"/>
        </w:rPr>
        <w:footnoteRef/>
      </w:r>
      <w:r>
        <w:t xml:space="preserve"> </w:t>
      </w:r>
      <w:r>
        <w:rPr>
          <w:rFonts w:hint="eastAsia"/>
        </w:rPr>
        <w:t>森林面积为2022年国家林业和草原局发布数据。</w:t>
      </w:r>
    </w:p>
  </w:footnote>
  <w:footnote w:id="1">
    <w:p>
      <w:pPr>
        <w:pStyle w:val="29"/>
        <w:rPr>
          <w:rFonts w:hint="eastAsia"/>
          <w:highlight w:val="none"/>
        </w:rPr>
      </w:pPr>
      <w:r>
        <w:rPr>
          <w:rStyle w:val="52"/>
          <w:highlight w:val="none"/>
        </w:rPr>
        <w:footnoteRef/>
      </w:r>
      <w:r>
        <w:rPr>
          <w:highlight w:val="none"/>
        </w:rPr>
        <w:t xml:space="preserve"> </w:t>
      </w:r>
      <w:r>
        <w:rPr>
          <w:rFonts w:hint="eastAsia"/>
          <w:highlight w:val="none"/>
        </w:rPr>
        <w:t>该数据为截至2024年1月底调查数据。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xOWJhODBhMGU1ZjYxMjQ0YmMxYjJhNWI5ZmNlZDUifQ=="/>
  </w:docVars>
  <w:rsids>
    <w:rsidRoot w:val="006E1A83"/>
    <w:rsid w:val="00001731"/>
    <w:rsid w:val="000019C0"/>
    <w:rsid w:val="00001CB2"/>
    <w:rsid w:val="00002096"/>
    <w:rsid w:val="00002348"/>
    <w:rsid w:val="0000362A"/>
    <w:rsid w:val="00006388"/>
    <w:rsid w:val="00006A07"/>
    <w:rsid w:val="00007456"/>
    <w:rsid w:val="000075AC"/>
    <w:rsid w:val="000075DB"/>
    <w:rsid w:val="00007F68"/>
    <w:rsid w:val="0001006F"/>
    <w:rsid w:val="000112AC"/>
    <w:rsid w:val="00011461"/>
    <w:rsid w:val="0001194C"/>
    <w:rsid w:val="0001255C"/>
    <w:rsid w:val="0001288A"/>
    <w:rsid w:val="00014BBB"/>
    <w:rsid w:val="00014C96"/>
    <w:rsid w:val="0001518B"/>
    <w:rsid w:val="0001575F"/>
    <w:rsid w:val="000157EA"/>
    <w:rsid w:val="00015E17"/>
    <w:rsid w:val="0001791E"/>
    <w:rsid w:val="000204DE"/>
    <w:rsid w:val="00020998"/>
    <w:rsid w:val="000210BC"/>
    <w:rsid w:val="00021A45"/>
    <w:rsid w:val="0002268A"/>
    <w:rsid w:val="00022C55"/>
    <w:rsid w:val="000233F6"/>
    <w:rsid w:val="000238C1"/>
    <w:rsid w:val="0002397E"/>
    <w:rsid w:val="000242D9"/>
    <w:rsid w:val="00024459"/>
    <w:rsid w:val="00024474"/>
    <w:rsid w:val="00024C59"/>
    <w:rsid w:val="000250CB"/>
    <w:rsid w:val="000253A5"/>
    <w:rsid w:val="00025ADF"/>
    <w:rsid w:val="00026459"/>
    <w:rsid w:val="00026809"/>
    <w:rsid w:val="00026DD2"/>
    <w:rsid w:val="0003034B"/>
    <w:rsid w:val="0003054D"/>
    <w:rsid w:val="0003074C"/>
    <w:rsid w:val="000307F7"/>
    <w:rsid w:val="000309DD"/>
    <w:rsid w:val="00030BC0"/>
    <w:rsid w:val="00031567"/>
    <w:rsid w:val="00031896"/>
    <w:rsid w:val="00031AB3"/>
    <w:rsid w:val="000326EE"/>
    <w:rsid w:val="000328EC"/>
    <w:rsid w:val="00032B96"/>
    <w:rsid w:val="00033074"/>
    <w:rsid w:val="000330F9"/>
    <w:rsid w:val="000336D5"/>
    <w:rsid w:val="0003407A"/>
    <w:rsid w:val="00034100"/>
    <w:rsid w:val="00034330"/>
    <w:rsid w:val="00034C41"/>
    <w:rsid w:val="00034D50"/>
    <w:rsid w:val="00034FB7"/>
    <w:rsid w:val="00035A0C"/>
    <w:rsid w:val="00037202"/>
    <w:rsid w:val="00037355"/>
    <w:rsid w:val="00037724"/>
    <w:rsid w:val="00037F8A"/>
    <w:rsid w:val="00040A10"/>
    <w:rsid w:val="00040D15"/>
    <w:rsid w:val="0004173E"/>
    <w:rsid w:val="00041B15"/>
    <w:rsid w:val="0004206E"/>
    <w:rsid w:val="0004212D"/>
    <w:rsid w:val="000424B1"/>
    <w:rsid w:val="00042F19"/>
    <w:rsid w:val="000435D8"/>
    <w:rsid w:val="00043973"/>
    <w:rsid w:val="00043A83"/>
    <w:rsid w:val="00043BF5"/>
    <w:rsid w:val="000469C5"/>
    <w:rsid w:val="00046DB2"/>
    <w:rsid w:val="00050235"/>
    <w:rsid w:val="000507CA"/>
    <w:rsid w:val="00051E7E"/>
    <w:rsid w:val="00051F62"/>
    <w:rsid w:val="00053D0E"/>
    <w:rsid w:val="00053E5B"/>
    <w:rsid w:val="000547D4"/>
    <w:rsid w:val="000548C1"/>
    <w:rsid w:val="00055272"/>
    <w:rsid w:val="00055A09"/>
    <w:rsid w:val="00055B44"/>
    <w:rsid w:val="00056214"/>
    <w:rsid w:val="00056A9F"/>
    <w:rsid w:val="000574D8"/>
    <w:rsid w:val="00057844"/>
    <w:rsid w:val="000607D5"/>
    <w:rsid w:val="00061356"/>
    <w:rsid w:val="0006171C"/>
    <w:rsid w:val="0006266D"/>
    <w:rsid w:val="00063119"/>
    <w:rsid w:val="000639DF"/>
    <w:rsid w:val="00065D0D"/>
    <w:rsid w:val="000665F4"/>
    <w:rsid w:val="000668E7"/>
    <w:rsid w:val="00066BEA"/>
    <w:rsid w:val="0006725C"/>
    <w:rsid w:val="000672A2"/>
    <w:rsid w:val="000673FB"/>
    <w:rsid w:val="00070311"/>
    <w:rsid w:val="000704F0"/>
    <w:rsid w:val="00073C62"/>
    <w:rsid w:val="00074164"/>
    <w:rsid w:val="00074764"/>
    <w:rsid w:val="00074E55"/>
    <w:rsid w:val="00075095"/>
    <w:rsid w:val="0007621E"/>
    <w:rsid w:val="000773C2"/>
    <w:rsid w:val="000779CB"/>
    <w:rsid w:val="0008135F"/>
    <w:rsid w:val="00082B72"/>
    <w:rsid w:val="00084410"/>
    <w:rsid w:val="00084790"/>
    <w:rsid w:val="000865DB"/>
    <w:rsid w:val="0008677D"/>
    <w:rsid w:val="00086CEB"/>
    <w:rsid w:val="00087BD9"/>
    <w:rsid w:val="00090A2C"/>
    <w:rsid w:val="00090B70"/>
    <w:rsid w:val="0009127C"/>
    <w:rsid w:val="00091883"/>
    <w:rsid w:val="00091895"/>
    <w:rsid w:val="000927BF"/>
    <w:rsid w:val="00092C08"/>
    <w:rsid w:val="00093A13"/>
    <w:rsid w:val="0009558A"/>
    <w:rsid w:val="000955B6"/>
    <w:rsid w:val="00096524"/>
    <w:rsid w:val="0009678B"/>
    <w:rsid w:val="00097B7B"/>
    <w:rsid w:val="000A037D"/>
    <w:rsid w:val="000A0A91"/>
    <w:rsid w:val="000A1052"/>
    <w:rsid w:val="000A13EF"/>
    <w:rsid w:val="000A187E"/>
    <w:rsid w:val="000A1BE4"/>
    <w:rsid w:val="000A2786"/>
    <w:rsid w:val="000A2DA5"/>
    <w:rsid w:val="000A43E6"/>
    <w:rsid w:val="000A48AD"/>
    <w:rsid w:val="000A58B8"/>
    <w:rsid w:val="000A6838"/>
    <w:rsid w:val="000A6D85"/>
    <w:rsid w:val="000A6FCD"/>
    <w:rsid w:val="000A7125"/>
    <w:rsid w:val="000A7E97"/>
    <w:rsid w:val="000B001C"/>
    <w:rsid w:val="000B0139"/>
    <w:rsid w:val="000B1039"/>
    <w:rsid w:val="000B1843"/>
    <w:rsid w:val="000B1BAF"/>
    <w:rsid w:val="000B3F92"/>
    <w:rsid w:val="000B4308"/>
    <w:rsid w:val="000B4C51"/>
    <w:rsid w:val="000B5A87"/>
    <w:rsid w:val="000B65BB"/>
    <w:rsid w:val="000B7DAE"/>
    <w:rsid w:val="000C0AD2"/>
    <w:rsid w:val="000C113C"/>
    <w:rsid w:val="000C14E6"/>
    <w:rsid w:val="000C285B"/>
    <w:rsid w:val="000C2944"/>
    <w:rsid w:val="000C29C4"/>
    <w:rsid w:val="000C2F85"/>
    <w:rsid w:val="000C34BA"/>
    <w:rsid w:val="000C4650"/>
    <w:rsid w:val="000C4B28"/>
    <w:rsid w:val="000C4CFE"/>
    <w:rsid w:val="000C5618"/>
    <w:rsid w:val="000C570E"/>
    <w:rsid w:val="000C5F4A"/>
    <w:rsid w:val="000C64D2"/>
    <w:rsid w:val="000C6564"/>
    <w:rsid w:val="000C6C2B"/>
    <w:rsid w:val="000C6DC2"/>
    <w:rsid w:val="000D0654"/>
    <w:rsid w:val="000D11FB"/>
    <w:rsid w:val="000D1724"/>
    <w:rsid w:val="000D18B8"/>
    <w:rsid w:val="000D210E"/>
    <w:rsid w:val="000D214B"/>
    <w:rsid w:val="000D28C9"/>
    <w:rsid w:val="000D2974"/>
    <w:rsid w:val="000D29F5"/>
    <w:rsid w:val="000D30D4"/>
    <w:rsid w:val="000D33A4"/>
    <w:rsid w:val="000D457F"/>
    <w:rsid w:val="000D4F5D"/>
    <w:rsid w:val="000D51D9"/>
    <w:rsid w:val="000D5603"/>
    <w:rsid w:val="000D60C1"/>
    <w:rsid w:val="000D67F8"/>
    <w:rsid w:val="000D6C13"/>
    <w:rsid w:val="000D6D74"/>
    <w:rsid w:val="000D78CE"/>
    <w:rsid w:val="000D7A5B"/>
    <w:rsid w:val="000E00AB"/>
    <w:rsid w:val="000E08E3"/>
    <w:rsid w:val="000E1353"/>
    <w:rsid w:val="000E1A75"/>
    <w:rsid w:val="000E1C1F"/>
    <w:rsid w:val="000E1F13"/>
    <w:rsid w:val="000E292A"/>
    <w:rsid w:val="000E31A4"/>
    <w:rsid w:val="000E3A38"/>
    <w:rsid w:val="000E3AD1"/>
    <w:rsid w:val="000E490E"/>
    <w:rsid w:val="000E5C04"/>
    <w:rsid w:val="000E5FB9"/>
    <w:rsid w:val="000E65C6"/>
    <w:rsid w:val="000E6E73"/>
    <w:rsid w:val="000E734A"/>
    <w:rsid w:val="000E77A5"/>
    <w:rsid w:val="000F04C1"/>
    <w:rsid w:val="000F0616"/>
    <w:rsid w:val="000F0C89"/>
    <w:rsid w:val="000F0D62"/>
    <w:rsid w:val="000F1A83"/>
    <w:rsid w:val="000F2B7C"/>
    <w:rsid w:val="000F36D1"/>
    <w:rsid w:val="000F41EF"/>
    <w:rsid w:val="000F4805"/>
    <w:rsid w:val="000F50D5"/>
    <w:rsid w:val="000F5396"/>
    <w:rsid w:val="000F5953"/>
    <w:rsid w:val="000F7637"/>
    <w:rsid w:val="000F7B4F"/>
    <w:rsid w:val="000F7CED"/>
    <w:rsid w:val="001010F1"/>
    <w:rsid w:val="0010247D"/>
    <w:rsid w:val="00102AF0"/>
    <w:rsid w:val="001030E2"/>
    <w:rsid w:val="001052F8"/>
    <w:rsid w:val="00105368"/>
    <w:rsid w:val="0010609D"/>
    <w:rsid w:val="0010678F"/>
    <w:rsid w:val="00106A9A"/>
    <w:rsid w:val="00106B75"/>
    <w:rsid w:val="001078DD"/>
    <w:rsid w:val="00110866"/>
    <w:rsid w:val="001109C9"/>
    <w:rsid w:val="00110DD9"/>
    <w:rsid w:val="00110E52"/>
    <w:rsid w:val="00111D2E"/>
    <w:rsid w:val="00111EF4"/>
    <w:rsid w:val="00112B75"/>
    <w:rsid w:val="0011322D"/>
    <w:rsid w:val="001135A9"/>
    <w:rsid w:val="0011377C"/>
    <w:rsid w:val="00113869"/>
    <w:rsid w:val="00113A5E"/>
    <w:rsid w:val="00113CB7"/>
    <w:rsid w:val="00114A58"/>
    <w:rsid w:val="00114DF5"/>
    <w:rsid w:val="001159AE"/>
    <w:rsid w:val="00115DAF"/>
    <w:rsid w:val="00116891"/>
    <w:rsid w:val="00116C17"/>
    <w:rsid w:val="001175B0"/>
    <w:rsid w:val="00120569"/>
    <w:rsid w:val="00120EF2"/>
    <w:rsid w:val="0012127F"/>
    <w:rsid w:val="00121700"/>
    <w:rsid w:val="00121734"/>
    <w:rsid w:val="0012175D"/>
    <w:rsid w:val="00121A04"/>
    <w:rsid w:val="00121DD7"/>
    <w:rsid w:val="0012306C"/>
    <w:rsid w:val="0012313E"/>
    <w:rsid w:val="0012426A"/>
    <w:rsid w:val="0012510C"/>
    <w:rsid w:val="00125279"/>
    <w:rsid w:val="0012571F"/>
    <w:rsid w:val="00125DAC"/>
    <w:rsid w:val="0012600A"/>
    <w:rsid w:val="00127347"/>
    <w:rsid w:val="00127EAB"/>
    <w:rsid w:val="00130DDE"/>
    <w:rsid w:val="00131A87"/>
    <w:rsid w:val="001323A7"/>
    <w:rsid w:val="00132953"/>
    <w:rsid w:val="00132AE4"/>
    <w:rsid w:val="00134513"/>
    <w:rsid w:val="0013451F"/>
    <w:rsid w:val="00134926"/>
    <w:rsid w:val="00135A37"/>
    <w:rsid w:val="001366DA"/>
    <w:rsid w:val="0013692E"/>
    <w:rsid w:val="001373B4"/>
    <w:rsid w:val="00140414"/>
    <w:rsid w:val="00140589"/>
    <w:rsid w:val="00140B62"/>
    <w:rsid w:val="00142069"/>
    <w:rsid w:val="00142AAC"/>
    <w:rsid w:val="00142AE8"/>
    <w:rsid w:val="00142D24"/>
    <w:rsid w:val="00144D2B"/>
    <w:rsid w:val="00144E17"/>
    <w:rsid w:val="0014540F"/>
    <w:rsid w:val="00145E6B"/>
    <w:rsid w:val="00145F1E"/>
    <w:rsid w:val="00146E68"/>
    <w:rsid w:val="001470C9"/>
    <w:rsid w:val="0014755D"/>
    <w:rsid w:val="00152476"/>
    <w:rsid w:val="00152714"/>
    <w:rsid w:val="001534C4"/>
    <w:rsid w:val="00153F26"/>
    <w:rsid w:val="00154AF6"/>
    <w:rsid w:val="001556ED"/>
    <w:rsid w:val="00160799"/>
    <w:rsid w:val="00160BC9"/>
    <w:rsid w:val="0016105E"/>
    <w:rsid w:val="001611DD"/>
    <w:rsid w:val="0016155B"/>
    <w:rsid w:val="00161826"/>
    <w:rsid w:val="00161BE7"/>
    <w:rsid w:val="00161F1A"/>
    <w:rsid w:val="0016204B"/>
    <w:rsid w:val="0016261D"/>
    <w:rsid w:val="001635FA"/>
    <w:rsid w:val="00163AA7"/>
    <w:rsid w:val="0016429F"/>
    <w:rsid w:val="001644A2"/>
    <w:rsid w:val="0016477C"/>
    <w:rsid w:val="001648E8"/>
    <w:rsid w:val="001654E7"/>
    <w:rsid w:val="00165AFF"/>
    <w:rsid w:val="00165F5A"/>
    <w:rsid w:val="00165FEB"/>
    <w:rsid w:val="00166475"/>
    <w:rsid w:val="00167D7B"/>
    <w:rsid w:val="00170019"/>
    <w:rsid w:val="0017256D"/>
    <w:rsid w:val="00173441"/>
    <w:rsid w:val="0017392C"/>
    <w:rsid w:val="0017394C"/>
    <w:rsid w:val="00174DA1"/>
    <w:rsid w:val="0017561F"/>
    <w:rsid w:val="0017761A"/>
    <w:rsid w:val="001827A4"/>
    <w:rsid w:val="00182AFB"/>
    <w:rsid w:val="0018394F"/>
    <w:rsid w:val="001848C5"/>
    <w:rsid w:val="001848D5"/>
    <w:rsid w:val="00185668"/>
    <w:rsid w:val="00186EE3"/>
    <w:rsid w:val="00187340"/>
    <w:rsid w:val="00190661"/>
    <w:rsid w:val="0019086A"/>
    <w:rsid w:val="00190A11"/>
    <w:rsid w:val="00190BEC"/>
    <w:rsid w:val="0019135A"/>
    <w:rsid w:val="00191E4F"/>
    <w:rsid w:val="00192155"/>
    <w:rsid w:val="00193E91"/>
    <w:rsid w:val="0019490B"/>
    <w:rsid w:val="00194DA8"/>
    <w:rsid w:val="0019515A"/>
    <w:rsid w:val="00195C8F"/>
    <w:rsid w:val="001967BF"/>
    <w:rsid w:val="00196CC5"/>
    <w:rsid w:val="00196F8C"/>
    <w:rsid w:val="00196FC2"/>
    <w:rsid w:val="001976C3"/>
    <w:rsid w:val="00197E21"/>
    <w:rsid w:val="001A0132"/>
    <w:rsid w:val="001A08BA"/>
    <w:rsid w:val="001A08F7"/>
    <w:rsid w:val="001A1E78"/>
    <w:rsid w:val="001A1EA7"/>
    <w:rsid w:val="001A4685"/>
    <w:rsid w:val="001A48E2"/>
    <w:rsid w:val="001A4969"/>
    <w:rsid w:val="001A4C81"/>
    <w:rsid w:val="001A6174"/>
    <w:rsid w:val="001A63D2"/>
    <w:rsid w:val="001A6465"/>
    <w:rsid w:val="001A6E71"/>
    <w:rsid w:val="001A7872"/>
    <w:rsid w:val="001B0025"/>
    <w:rsid w:val="001B0185"/>
    <w:rsid w:val="001B0396"/>
    <w:rsid w:val="001B0430"/>
    <w:rsid w:val="001B0892"/>
    <w:rsid w:val="001B0B4C"/>
    <w:rsid w:val="001B238B"/>
    <w:rsid w:val="001B2DEB"/>
    <w:rsid w:val="001B36C6"/>
    <w:rsid w:val="001B44E8"/>
    <w:rsid w:val="001B4A77"/>
    <w:rsid w:val="001B5A52"/>
    <w:rsid w:val="001B6337"/>
    <w:rsid w:val="001B74E4"/>
    <w:rsid w:val="001B79AE"/>
    <w:rsid w:val="001C0742"/>
    <w:rsid w:val="001C082A"/>
    <w:rsid w:val="001C0B11"/>
    <w:rsid w:val="001C1D80"/>
    <w:rsid w:val="001C2220"/>
    <w:rsid w:val="001C2235"/>
    <w:rsid w:val="001C2C45"/>
    <w:rsid w:val="001C2CD2"/>
    <w:rsid w:val="001C3589"/>
    <w:rsid w:val="001C4595"/>
    <w:rsid w:val="001C4859"/>
    <w:rsid w:val="001C4AE0"/>
    <w:rsid w:val="001C5035"/>
    <w:rsid w:val="001C5E13"/>
    <w:rsid w:val="001C5EAD"/>
    <w:rsid w:val="001C6BC9"/>
    <w:rsid w:val="001C6E5A"/>
    <w:rsid w:val="001C6ED6"/>
    <w:rsid w:val="001C788E"/>
    <w:rsid w:val="001D0F99"/>
    <w:rsid w:val="001D18BF"/>
    <w:rsid w:val="001D1ED1"/>
    <w:rsid w:val="001D205E"/>
    <w:rsid w:val="001D353A"/>
    <w:rsid w:val="001D6397"/>
    <w:rsid w:val="001D6EB2"/>
    <w:rsid w:val="001D7BB8"/>
    <w:rsid w:val="001E0FDF"/>
    <w:rsid w:val="001E17FF"/>
    <w:rsid w:val="001E1812"/>
    <w:rsid w:val="001E1A07"/>
    <w:rsid w:val="001E2B5B"/>
    <w:rsid w:val="001E3CA4"/>
    <w:rsid w:val="001E4037"/>
    <w:rsid w:val="001E5E32"/>
    <w:rsid w:val="001E6A60"/>
    <w:rsid w:val="001E6FD2"/>
    <w:rsid w:val="001F05E6"/>
    <w:rsid w:val="001F0A23"/>
    <w:rsid w:val="001F0D5D"/>
    <w:rsid w:val="001F0F10"/>
    <w:rsid w:val="001F16C3"/>
    <w:rsid w:val="001F1B36"/>
    <w:rsid w:val="001F298E"/>
    <w:rsid w:val="001F3ACF"/>
    <w:rsid w:val="001F3ED3"/>
    <w:rsid w:val="001F5686"/>
    <w:rsid w:val="001F63DE"/>
    <w:rsid w:val="001F6402"/>
    <w:rsid w:val="001F6676"/>
    <w:rsid w:val="001F6953"/>
    <w:rsid w:val="001F6FA1"/>
    <w:rsid w:val="002002A0"/>
    <w:rsid w:val="002009B6"/>
    <w:rsid w:val="002016E3"/>
    <w:rsid w:val="00202256"/>
    <w:rsid w:val="0020319A"/>
    <w:rsid w:val="0020376D"/>
    <w:rsid w:val="00203B22"/>
    <w:rsid w:val="002045AF"/>
    <w:rsid w:val="002045DF"/>
    <w:rsid w:val="00205CEC"/>
    <w:rsid w:val="00207357"/>
    <w:rsid w:val="00207D51"/>
    <w:rsid w:val="00207DC8"/>
    <w:rsid w:val="00210072"/>
    <w:rsid w:val="0021225C"/>
    <w:rsid w:val="0021335C"/>
    <w:rsid w:val="00213390"/>
    <w:rsid w:val="002141BD"/>
    <w:rsid w:val="002148F6"/>
    <w:rsid w:val="00215001"/>
    <w:rsid w:val="002158E7"/>
    <w:rsid w:val="002159C1"/>
    <w:rsid w:val="0021612A"/>
    <w:rsid w:val="00216656"/>
    <w:rsid w:val="00216B55"/>
    <w:rsid w:val="00216CC5"/>
    <w:rsid w:val="00217890"/>
    <w:rsid w:val="00217E82"/>
    <w:rsid w:val="002204DB"/>
    <w:rsid w:val="00220525"/>
    <w:rsid w:val="00220F0A"/>
    <w:rsid w:val="00221313"/>
    <w:rsid w:val="00221BF5"/>
    <w:rsid w:val="00221DD1"/>
    <w:rsid w:val="00221EDE"/>
    <w:rsid w:val="0022377C"/>
    <w:rsid w:val="00225113"/>
    <w:rsid w:val="00225200"/>
    <w:rsid w:val="00225B64"/>
    <w:rsid w:val="00225F4F"/>
    <w:rsid w:val="00226652"/>
    <w:rsid w:val="00230949"/>
    <w:rsid w:val="00230D62"/>
    <w:rsid w:val="00231325"/>
    <w:rsid w:val="00231D65"/>
    <w:rsid w:val="00233B2D"/>
    <w:rsid w:val="0023498B"/>
    <w:rsid w:val="00235411"/>
    <w:rsid w:val="002365E6"/>
    <w:rsid w:val="00236BC2"/>
    <w:rsid w:val="00237074"/>
    <w:rsid w:val="002375F8"/>
    <w:rsid w:val="0023776D"/>
    <w:rsid w:val="00237D8E"/>
    <w:rsid w:val="002403B4"/>
    <w:rsid w:val="0024298F"/>
    <w:rsid w:val="00243143"/>
    <w:rsid w:val="002440FF"/>
    <w:rsid w:val="002446CD"/>
    <w:rsid w:val="00244C7E"/>
    <w:rsid w:val="00245833"/>
    <w:rsid w:val="002467A0"/>
    <w:rsid w:val="002467C5"/>
    <w:rsid w:val="00246DAC"/>
    <w:rsid w:val="002470B7"/>
    <w:rsid w:val="002474FA"/>
    <w:rsid w:val="00247BD1"/>
    <w:rsid w:val="0025009A"/>
    <w:rsid w:val="00250872"/>
    <w:rsid w:val="00250BB7"/>
    <w:rsid w:val="00251D81"/>
    <w:rsid w:val="00254AEA"/>
    <w:rsid w:val="002550C1"/>
    <w:rsid w:val="002551FF"/>
    <w:rsid w:val="00255DD7"/>
    <w:rsid w:val="00256801"/>
    <w:rsid w:val="00256CF8"/>
    <w:rsid w:val="00260019"/>
    <w:rsid w:val="00260144"/>
    <w:rsid w:val="00260AFE"/>
    <w:rsid w:val="00260E8C"/>
    <w:rsid w:val="002611E0"/>
    <w:rsid w:val="00263010"/>
    <w:rsid w:val="00263B4B"/>
    <w:rsid w:val="00264374"/>
    <w:rsid w:val="002645B3"/>
    <w:rsid w:val="0026593F"/>
    <w:rsid w:val="002665B5"/>
    <w:rsid w:val="00266868"/>
    <w:rsid w:val="002670AC"/>
    <w:rsid w:val="00267D40"/>
    <w:rsid w:val="00270650"/>
    <w:rsid w:val="002716CC"/>
    <w:rsid w:val="00271866"/>
    <w:rsid w:val="00271D4C"/>
    <w:rsid w:val="00272BB4"/>
    <w:rsid w:val="00272C1E"/>
    <w:rsid w:val="00273E32"/>
    <w:rsid w:val="00274357"/>
    <w:rsid w:val="002745AA"/>
    <w:rsid w:val="002745CE"/>
    <w:rsid w:val="0027462A"/>
    <w:rsid w:val="00274790"/>
    <w:rsid w:val="002752E3"/>
    <w:rsid w:val="00275B9B"/>
    <w:rsid w:val="00276138"/>
    <w:rsid w:val="00276DD6"/>
    <w:rsid w:val="0027715A"/>
    <w:rsid w:val="00277C3A"/>
    <w:rsid w:val="00277DC5"/>
    <w:rsid w:val="002808A6"/>
    <w:rsid w:val="00281705"/>
    <w:rsid w:val="002819DA"/>
    <w:rsid w:val="00281FE5"/>
    <w:rsid w:val="00282CFA"/>
    <w:rsid w:val="00283CE1"/>
    <w:rsid w:val="00286A39"/>
    <w:rsid w:val="00287753"/>
    <w:rsid w:val="002877EA"/>
    <w:rsid w:val="00287805"/>
    <w:rsid w:val="00287E4F"/>
    <w:rsid w:val="00291FC9"/>
    <w:rsid w:val="00292DA3"/>
    <w:rsid w:val="002945B4"/>
    <w:rsid w:val="00294B68"/>
    <w:rsid w:val="00295212"/>
    <w:rsid w:val="00295628"/>
    <w:rsid w:val="002A07FA"/>
    <w:rsid w:val="002A173A"/>
    <w:rsid w:val="002A1BC2"/>
    <w:rsid w:val="002A2706"/>
    <w:rsid w:val="002A284D"/>
    <w:rsid w:val="002A29A2"/>
    <w:rsid w:val="002A2BBB"/>
    <w:rsid w:val="002A2EAF"/>
    <w:rsid w:val="002A314B"/>
    <w:rsid w:val="002A3CF0"/>
    <w:rsid w:val="002A4477"/>
    <w:rsid w:val="002A4F9D"/>
    <w:rsid w:val="002A50AD"/>
    <w:rsid w:val="002A5239"/>
    <w:rsid w:val="002A54C4"/>
    <w:rsid w:val="002A6058"/>
    <w:rsid w:val="002A659A"/>
    <w:rsid w:val="002A792D"/>
    <w:rsid w:val="002A7991"/>
    <w:rsid w:val="002A7D9A"/>
    <w:rsid w:val="002B0311"/>
    <w:rsid w:val="002B0FF9"/>
    <w:rsid w:val="002B1028"/>
    <w:rsid w:val="002B1F58"/>
    <w:rsid w:val="002B228E"/>
    <w:rsid w:val="002B26AD"/>
    <w:rsid w:val="002B285A"/>
    <w:rsid w:val="002B2982"/>
    <w:rsid w:val="002B2C94"/>
    <w:rsid w:val="002B4C23"/>
    <w:rsid w:val="002B507F"/>
    <w:rsid w:val="002B5DB1"/>
    <w:rsid w:val="002B631A"/>
    <w:rsid w:val="002B659B"/>
    <w:rsid w:val="002B780B"/>
    <w:rsid w:val="002B781A"/>
    <w:rsid w:val="002B7824"/>
    <w:rsid w:val="002C0A5E"/>
    <w:rsid w:val="002C0A9E"/>
    <w:rsid w:val="002C1EBC"/>
    <w:rsid w:val="002C23BB"/>
    <w:rsid w:val="002C3427"/>
    <w:rsid w:val="002C39A0"/>
    <w:rsid w:val="002C4D1F"/>
    <w:rsid w:val="002C5182"/>
    <w:rsid w:val="002C5252"/>
    <w:rsid w:val="002C5495"/>
    <w:rsid w:val="002C563C"/>
    <w:rsid w:val="002C5974"/>
    <w:rsid w:val="002C6AF6"/>
    <w:rsid w:val="002C6CD8"/>
    <w:rsid w:val="002C73D6"/>
    <w:rsid w:val="002C7A2B"/>
    <w:rsid w:val="002D0B11"/>
    <w:rsid w:val="002D0B15"/>
    <w:rsid w:val="002D10A6"/>
    <w:rsid w:val="002D185E"/>
    <w:rsid w:val="002D2BFB"/>
    <w:rsid w:val="002D3BC1"/>
    <w:rsid w:val="002D4174"/>
    <w:rsid w:val="002D5259"/>
    <w:rsid w:val="002D6421"/>
    <w:rsid w:val="002D7576"/>
    <w:rsid w:val="002D7E2D"/>
    <w:rsid w:val="002D7EB2"/>
    <w:rsid w:val="002E0566"/>
    <w:rsid w:val="002E0AE9"/>
    <w:rsid w:val="002E0FC2"/>
    <w:rsid w:val="002E198D"/>
    <w:rsid w:val="002E2384"/>
    <w:rsid w:val="002E2A2C"/>
    <w:rsid w:val="002E311C"/>
    <w:rsid w:val="002E3C4A"/>
    <w:rsid w:val="002E3D26"/>
    <w:rsid w:val="002E3DFE"/>
    <w:rsid w:val="002E3EA6"/>
    <w:rsid w:val="002E3F22"/>
    <w:rsid w:val="002E4288"/>
    <w:rsid w:val="002E428E"/>
    <w:rsid w:val="002E4470"/>
    <w:rsid w:val="002E4916"/>
    <w:rsid w:val="002E4BFD"/>
    <w:rsid w:val="002E53D3"/>
    <w:rsid w:val="002E62CD"/>
    <w:rsid w:val="002E62F7"/>
    <w:rsid w:val="002E6EFC"/>
    <w:rsid w:val="002E7C24"/>
    <w:rsid w:val="002F1E27"/>
    <w:rsid w:val="002F2037"/>
    <w:rsid w:val="002F3616"/>
    <w:rsid w:val="002F4B72"/>
    <w:rsid w:val="002F5E9D"/>
    <w:rsid w:val="002F65B3"/>
    <w:rsid w:val="002F712A"/>
    <w:rsid w:val="002F78FF"/>
    <w:rsid w:val="002F7B29"/>
    <w:rsid w:val="002F7E1B"/>
    <w:rsid w:val="00300451"/>
    <w:rsid w:val="0030089E"/>
    <w:rsid w:val="0030107B"/>
    <w:rsid w:val="00301CC8"/>
    <w:rsid w:val="00301F38"/>
    <w:rsid w:val="00304594"/>
    <w:rsid w:val="00304762"/>
    <w:rsid w:val="00304D4B"/>
    <w:rsid w:val="003050A1"/>
    <w:rsid w:val="003050B0"/>
    <w:rsid w:val="00305409"/>
    <w:rsid w:val="00305CF7"/>
    <w:rsid w:val="003061D9"/>
    <w:rsid w:val="00306671"/>
    <w:rsid w:val="003068F1"/>
    <w:rsid w:val="00306A3E"/>
    <w:rsid w:val="00306B9C"/>
    <w:rsid w:val="00306E7B"/>
    <w:rsid w:val="00307507"/>
    <w:rsid w:val="00307B8D"/>
    <w:rsid w:val="00307D43"/>
    <w:rsid w:val="0031234F"/>
    <w:rsid w:val="00313748"/>
    <w:rsid w:val="003138AF"/>
    <w:rsid w:val="00316662"/>
    <w:rsid w:val="003166D2"/>
    <w:rsid w:val="003167F3"/>
    <w:rsid w:val="0031750B"/>
    <w:rsid w:val="003176BD"/>
    <w:rsid w:val="003201D4"/>
    <w:rsid w:val="003205D3"/>
    <w:rsid w:val="00321FD0"/>
    <w:rsid w:val="00323E62"/>
    <w:rsid w:val="0032409B"/>
    <w:rsid w:val="003243FB"/>
    <w:rsid w:val="00324DA8"/>
    <w:rsid w:val="00324ED6"/>
    <w:rsid w:val="003276E3"/>
    <w:rsid w:val="00327808"/>
    <w:rsid w:val="00327A28"/>
    <w:rsid w:val="00330874"/>
    <w:rsid w:val="00330879"/>
    <w:rsid w:val="0033139F"/>
    <w:rsid w:val="003327C1"/>
    <w:rsid w:val="00333450"/>
    <w:rsid w:val="003334E3"/>
    <w:rsid w:val="00334554"/>
    <w:rsid w:val="003348ED"/>
    <w:rsid w:val="00335538"/>
    <w:rsid w:val="003358F2"/>
    <w:rsid w:val="00336624"/>
    <w:rsid w:val="003378EC"/>
    <w:rsid w:val="0034118E"/>
    <w:rsid w:val="003411C4"/>
    <w:rsid w:val="00341BC9"/>
    <w:rsid w:val="00342A01"/>
    <w:rsid w:val="00343937"/>
    <w:rsid w:val="00344229"/>
    <w:rsid w:val="00344538"/>
    <w:rsid w:val="0034473C"/>
    <w:rsid w:val="0034558D"/>
    <w:rsid w:val="00345672"/>
    <w:rsid w:val="0034645E"/>
    <w:rsid w:val="003474B6"/>
    <w:rsid w:val="00350532"/>
    <w:rsid w:val="0035071E"/>
    <w:rsid w:val="00350B8F"/>
    <w:rsid w:val="0035149B"/>
    <w:rsid w:val="00351688"/>
    <w:rsid w:val="00351D9B"/>
    <w:rsid w:val="00352350"/>
    <w:rsid w:val="00352B94"/>
    <w:rsid w:val="00353482"/>
    <w:rsid w:val="00355861"/>
    <w:rsid w:val="00356168"/>
    <w:rsid w:val="00356AFE"/>
    <w:rsid w:val="00356E74"/>
    <w:rsid w:val="00357072"/>
    <w:rsid w:val="0035745F"/>
    <w:rsid w:val="003575FE"/>
    <w:rsid w:val="00357A56"/>
    <w:rsid w:val="00357F6E"/>
    <w:rsid w:val="003602F6"/>
    <w:rsid w:val="00360E82"/>
    <w:rsid w:val="00361479"/>
    <w:rsid w:val="0036326B"/>
    <w:rsid w:val="00363432"/>
    <w:rsid w:val="003651B2"/>
    <w:rsid w:val="003652F7"/>
    <w:rsid w:val="00365AFF"/>
    <w:rsid w:val="00366C66"/>
    <w:rsid w:val="00367003"/>
    <w:rsid w:val="00367A65"/>
    <w:rsid w:val="00371886"/>
    <w:rsid w:val="003719B4"/>
    <w:rsid w:val="003722AB"/>
    <w:rsid w:val="00372C9A"/>
    <w:rsid w:val="00374409"/>
    <w:rsid w:val="00374E83"/>
    <w:rsid w:val="00375218"/>
    <w:rsid w:val="003753B8"/>
    <w:rsid w:val="00375B1A"/>
    <w:rsid w:val="003762DB"/>
    <w:rsid w:val="003778F2"/>
    <w:rsid w:val="00377EC6"/>
    <w:rsid w:val="00380887"/>
    <w:rsid w:val="003815C1"/>
    <w:rsid w:val="00381982"/>
    <w:rsid w:val="00381BC9"/>
    <w:rsid w:val="003824C8"/>
    <w:rsid w:val="003825B3"/>
    <w:rsid w:val="003825FE"/>
    <w:rsid w:val="00382F11"/>
    <w:rsid w:val="0038313D"/>
    <w:rsid w:val="003833AE"/>
    <w:rsid w:val="003834A4"/>
    <w:rsid w:val="003835A1"/>
    <w:rsid w:val="003838A9"/>
    <w:rsid w:val="00383935"/>
    <w:rsid w:val="00384C28"/>
    <w:rsid w:val="003851C0"/>
    <w:rsid w:val="00385645"/>
    <w:rsid w:val="00385FFB"/>
    <w:rsid w:val="00387AEE"/>
    <w:rsid w:val="00387CD6"/>
    <w:rsid w:val="003906B1"/>
    <w:rsid w:val="0039100C"/>
    <w:rsid w:val="0039172A"/>
    <w:rsid w:val="00391B57"/>
    <w:rsid w:val="0039281A"/>
    <w:rsid w:val="00392BDD"/>
    <w:rsid w:val="00393484"/>
    <w:rsid w:val="00393D23"/>
    <w:rsid w:val="0039484B"/>
    <w:rsid w:val="00394AB3"/>
    <w:rsid w:val="003950CA"/>
    <w:rsid w:val="00396463"/>
    <w:rsid w:val="003968FA"/>
    <w:rsid w:val="00397106"/>
    <w:rsid w:val="0039752F"/>
    <w:rsid w:val="00397AB1"/>
    <w:rsid w:val="00397AEF"/>
    <w:rsid w:val="003A01B6"/>
    <w:rsid w:val="003A01E3"/>
    <w:rsid w:val="003A0393"/>
    <w:rsid w:val="003A073F"/>
    <w:rsid w:val="003A1826"/>
    <w:rsid w:val="003A2181"/>
    <w:rsid w:val="003A35AA"/>
    <w:rsid w:val="003A3761"/>
    <w:rsid w:val="003A3B1F"/>
    <w:rsid w:val="003A4DFB"/>
    <w:rsid w:val="003A5466"/>
    <w:rsid w:val="003A6D2E"/>
    <w:rsid w:val="003B12BF"/>
    <w:rsid w:val="003B1D58"/>
    <w:rsid w:val="003B2CB1"/>
    <w:rsid w:val="003B3DF7"/>
    <w:rsid w:val="003B52A9"/>
    <w:rsid w:val="003B555B"/>
    <w:rsid w:val="003B568D"/>
    <w:rsid w:val="003B598B"/>
    <w:rsid w:val="003B5B48"/>
    <w:rsid w:val="003B5B98"/>
    <w:rsid w:val="003B6271"/>
    <w:rsid w:val="003C0181"/>
    <w:rsid w:val="003C0208"/>
    <w:rsid w:val="003C0319"/>
    <w:rsid w:val="003C17E5"/>
    <w:rsid w:val="003C1FC9"/>
    <w:rsid w:val="003C3047"/>
    <w:rsid w:val="003C32AD"/>
    <w:rsid w:val="003C4829"/>
    <w:rsid w:val="003C5800"/>
    <w:rsid w:val="003C584E"/>
    <w:rsid w:val="003C5A5B"/>
    <w:rsid w:val="003C5DBD"/>
    <w:rsid w:val="003C5DEE"/>
    <w:rsid w:val="003C61C2"/>
    <w:rsid w:val="003C696C"/>
    <w:rsid w:val="003C6D2C"/>
    <w:rsid w:val="003C770B"/>
    <w:rsid w:val="003C78B4"/>
    <w:rsid w:val="003C7C7A"/>
    <w:rsid w:val="003C7FE4"/>
    <w:rsid w:val="003D1411"/>
    <w:rsid w:val="003D1A12"/>
    <w:rsid w:val="003D2C18"/>
    <w:rsid w:val="003D4176"/>
    <w:rsid w:val="003D423E"/>
    <w:rsid w:val="003D45C5"/>
    <w:rsid w:val="003D5648"/>
    <w:rsid w:val="003D58F0"/>
    <w:rsid w:val="003D5AA3"/>
    <w:rsid w:val="003D6443"/>
    <w:rsid w:val="003D6770"/>
    <w:rsid w:val="003D749B"/>
    <w:rsid w:val="003D7961"/>
    <w:rsid w:val="003D7D83"/>
    <w:rsid w:val="003E05E4"/>
    <w:rsid w:val="003E1B5D"/>
    <w:rsid w:val="003E3053"/>
    <w:rsid w:val="003E3393"/>
    <w:rsid w:val="003E3DE0"/>
    <w:rsid w:val="003E4C51"/>
    <w:rsid w:val="003E4CD3"/>
    <w:rsid w:val="003E559A"/>
    <w:rsid w:val="003E58A2"/>
    <w:rsid w:val="003E5A48"/>
    <w:rsid w:val="003E5EE8"/>
    <w:rsid w:val="003E6BE4"/>
    <w:rsid w:val="003F14D6"/>
    <w:rsid w:val="003F1D61"/>
    <w:rsid w:val="003F1F5C"/>
    <w:rsid w:val="003F35FD"/>
    <w:rsid w:val="003F471A"/>
    <w:rsid w:val="003F48F3"/>
    <w:rsid w:val="003F4AA2"/>
    <w:rsid w:val="003F4CBD"/>
    <w:rsid w:val="003F59E7"/>
    <w:rsid w:val="003F66D9"/>
    <w:rsid w:val="003F6C78"/>
    <w:rsid w:val="003F72D2"/>
    <w:rsid w:val="003F7F97"/>
    <w:rsid w:val="004010DF"/>
    <w:rsid w:val="00401249"/>
    <w:rsid w:val="004014D0"/>
    <w:rsid w:val="00401762"/>
    <w:rsid w:val="0040230E"/>
    <w:rsid w:val="00402615"/>
    <w:rsid w:val="0040335B"/>
    <w:rsid w:val="00403572"/>
    <w:rsid w:val="00403B6E"/>
    <w:rsid w:val="00403E4D"/>
    <w:rsid w:val="00403F03"/>
    <w:rsid w:val="00404E54"/>
    <w:rsid w:val="00405AB1"/>
    <w:rsid w:val="00405B25"/>
    <w:rsid w:val="0040613C"/>
    <w:rsid w:val="00406146"/>
    <w:rsid w:val="00406AD5"/>
    <w:rsid w:val="00406DF4"/>
    <w:rsid w:val="0040708D"/>
    <w:rsid w:val="0041039A"/>
    <w:rsid w:val="00411585"/>
    <w:rsid w:val="00411694"/>
    <w:rsid w:val="004122FF"/>
    <w:rsid w:val="00412A01"/>
    <w:rsid w:val="00414707"/>
    <w:rsid w:val="004149A0"/>
    <w:rsid w:val="00415B14"/>
    <w:rsid w:val="00415E82"/>
    <w:rsid w:val="00416F0B"/>
    <w:rsid w:val="0041724C"/>
    <w:rsid w:val="00420094"/>
    <w:rsid w:val="004207B6"/>
    <w:rsid w:val="004207C6"/>
    <w:rsid w:val="0042112A"/>
    <w:rsid w:val="00421324"/>
    <w:rsid w:val="0042218A"/>
    <w:rsid w:val="00422639"/>
    <w:rsid w:val="00422BCB"/>
    <w:rsid w:val="00422F11"/>
    <w:rsid w:val="00423242"/>
    <w:rsid w:val="004237EB"/>
    <w:rsid w:val="004241AD"/>
    <w:rsid w:val="0042448B"/>
    <w:rsid w:val="00425FAF"/>
    <w:rsid w:val="0042657A"/>
    <w:rsid w:val="00430B32"/>
    <w:rsid w:val="004322C7"/>
    <w:rsid w:val="00433AB2"/>
    <w:rsid w:val="00434B68"/>
    <w:rsid w:val="00434E77"/>
    <w:rsid w:val="0043569A"/>
    <w:rsid w:val="004371B5"/>
    <w:rsid w:val="00440255"/>
    <w:rsid w:val="0044044C"/>
    <w:rsid w:val="00440880"/>
    <w:rsid w:val="00442B7C"/>
    <w:rsid w:val="00443478"/>
    <w:rsid w:val="00443CAC"/>
    <w:rsid w:val="004442DA"/>
    <w:rsid w:val="00445E1B"/>
    <w:rsid w:val="00446719"/>
    <w:rsid w:val="004477FF"/>
    <w:rsid w:val="00447BA9"/>
    <w:rsid w:val="00447E01"/>
    <w:rsid w:val="004517C8"/>
    <w:rsid w:val="00451E66"/>
    <w:rsid w:val="004523B3"/>
    <w:rsid w:val="004542C5"/>
    <w:rsid w:val="00454731"/>
    <w:rsid w:val="00454F60"/>
    <w:rsid w:val="00455666"/>
    <w:rsid w:val="00455AF5"/>
    <w:rsid w:val="00455DF1"/>
    <w:rsid w:val="00456F8A"/>
    <w:rsid w:val="0045759B"/>
    <w:rsid w:val="00457F6A"/>
    <w:rsid w:val="00460A96"/>
    <w:rsid w:val="00460F27"/>
    <w:rsid w:val="00461E1D"/>
    <w:rsid w:val="0046236F"/>
    <w:rsid w:val="00463A90"/>
    <w:rsid w:val="00463FAF"/>
    <w:rsid w:val="004655E9"/>
    <w:rsid w:val="00465E25"/>
    <w:rsid w:val="00466784"/>
    <w:rsid w:val="00470635"/>
    <w:rsid w:val="00470AEB"/>
    <w:rsid w:val="00471034"/>
    <w:rsid w:val="00472C94"/>
    <w:rsid w:val="00474710"/>
    <w:rsid w:val="004747DD"/>
    <w:rsid w:val="0047483D"/>
    <w:rsid w:val="00474E56"/>
    <w:rsid w:val="004751F3"/>
    <w:rsid w:val="00475571"/>
    <w:rsid w:val="004755CB"/>
    <w:rsid w:val="004762E0"/>
    <w:rsid w:val="004764C9"/>
    <w:rsid w:val="00476B6F"/>
    <w:rsid w:val="00476C2B"/>
    <w:rsid w:val="0047778A"/>
    <w:rsid w:val="00477C17"/>
    <w:rsid w:val="004810BC"/>
    <w:rsid w:val="004819A2"/>
    <w:rsid w:val="00482D1C"/>
    <w:rsid w:val="00483253"/>
    <w:rsid w:val="00483EB2"/>
    <w:rsid w:val="00484F13"/>
    <w:rsid w:val="004853EA"/>
    <w:rsid w:val="00486531"/>
    <w:rsid w:val="00486961"/>
    <w:rsid w:val="00487E17"/>
    <w:rsid w:val="00490CBF"/>
    <w:rsid w:val="0049166D"/>
    <w:rsid w:val="00491675"/>
    <w:rsid w:val="004919C9"/>
    <w:rsid w:val="004922DF"/>
    <w:rsid w:val="00493CA3"/>
    <w:rsid w:val="00493F87"/>
    <w:rsid w:val="004941C7"/>
    <w:rsid w:val="004942AE"/>
    <w:rsid w:val="004945FC"/>
    <w:rsid w:val="0049741F"/>
    <w:rsid w:val="00497A4C"/>
    <w:rsid w:val="004A1A03"/>
    <w:rsid w:val="004A426A"/>
    <w:rsid w:val="004A5660"/>
    <w:rsid w:val="004A644F"/>
    <w:rsid w:val="004B15DA"/>
    <w:rsid w:val="004B16D3"/>
    <w:rsid w:val="004B173C"/>
    <w:rsid w:val="004B2AC5"/>
    <w:rsid w:val="004B2EAE"/>
    <w:rsid w:val="004B31CF"/>
    <w:rsid w:val="004B3287"/>
    <w:rsid w:val="004B4207"/>
    <w:rsid w:val="004B4462"/>
    <w:rsid w:val="004B4677"/>
    <w:rsid w:val="004B4F2F"/>
    <w:rsid w:val="004B5349"/>
    <w:rsid w:val="004B6F72"/>
    <w:rsid w:val="004B7345"/>
    <w:rsid w:val="004B7503"/>
    <w:rsid w:val="004B7D49"/>
    <w:rsid w:val="004B7E8D"/>
    <w:rsid w:val="004C0077"/>
    <w:rsid w:val="004C08E8"/>
    <w:rsid w:val="004C0E3C"/>
    <w:rsid w:val="004C20DD"/>
    <w:rsid w:val="004C2731"/>
    <w:rsid w:val="004C296A"/>
    <w:rsid w:val="004C2E28"/>
    <w:rsid w:val="004C3056"/>
    <w:rsid w:val="004C3474"/>
    <w:rsid w:val="004C3728"/>
    <w:rsid w:val="004C4193"/>
    <w:rsid w:val="004C4FFD"/>
    <w:rsid w:val="004C5170"/>
    <w:rsid w:val="004C5542"/>
    <w:rsid w:val="004C5A11"/>
    <w:rsid w:val="004D001A"/>
    <w:rsid w:val="004D117A"/>
    <w:rsid w:val="004D147C"/>
    <w:rsid w:val="004D1D0C"/>
    <w:rsid w:val="004D2D44"/>
    <w:rsid w:val="004D305D"/>
    <w:rsid w:val="004D30BB"/>
    <w:rsid w:val="004D30C1"/>
    <w:rsid w:val="004D38FC"/>
    <w:rsid w:val="004D3962"/>
    <w:rsid w:val="004D3A9F"/>
    <w:rsid w:val="004D3F04"/>
    <w:rsid w:val="004D4FB8"/>
    <w:rsid w:val="004D6F9F"/>
    <w:rsid w:val="004D7AE0"/>
    <w:rsid w:val="004D7D38"/>
    <w:rsid w:val="004E0022"/>
    <w:rsid w:val="004E0913"/>
    <w:rsid w:val="004E0DDC"/>
    <w:rsid w:val="004E0F5F"/>
    <w:rsid w:val="004E1A4E"/>
    <w:rsid w:val="004E1C24"/>
    <w:rsid w:val="004E2926"/>
    <w:rsid w:val="004E2FCD"/>
    <w:rsid w:val="004E3329"/>
    <w:rsid w:val="004E60E2"/>
    <w:rsid w:val="004E664E"/>
    <w:rsid w:val="004F133E"/>
    <w:rsid w:val="004F13E6"/>
    <w:rsid w:val="004F1671"/>
    <w:rsid w:val="004F267A"/>
    <w:rsid w:val="004F2D2F"/>
    <w:rsid w:val="004F2D4A"/>
    <w:rsid w:val="004F2E32"/>
    <w:rsid w:val="004F325B"/>
    <w:rsid w:val="004F3436"/>
    <w:rsid w:val="004F39A6"/>
    <w:rsid w:val="004F4AA6"/>
    <w:rsid w:val="004F5BA4"/>
    <w:rsid w:val="004F6047"/>
    <w:rsid w:val="004F7F94"/>
    <w:rsid w:val="00500B7F"/>
    <w:rsid w:val="00500BD2"/>
    <w:rsid w:val="005016DC"/>
    <w:rsid w:val="00502416"/>
    <w:rsid w:val="00503F7E"/>
    <w:rsid w:val="005056F0"/>
    <w:rsid w:val="005061E8"/>
    <w:rsid w:val="00506983"/>
    <w:rsid w:val="00506A3E"/>
    <w:rsid w:val="00507656"/>
    <w:rsid w:val="00507705"/>
    <w:rsid w:val="00507D37"/>
    <w:rsid w:val="00507E35"/>
    <w:rsid w:val="00510E3A"/>
    <w:rsid w:val="005120AE"/>
    <w:rsid w:val="005125A6"/>
    <w:rsid w:val="005129C5"/>
    <w:rsid w:val="00513330"/>
    <w:rsid w:val="00514235"/>
    <w:rsid w:val="0051434A"/>
    <w:rsid w:val="005167BD"/>
    <w:rsid w:val="005167EC"/>
    <w:rsid w:val="00516F6F"/>
    <w:rsid w:val="0051798B"/>
    <w:rsid w:val="00520A58"/>
    <w:rsid w:val="0052313E"/>
    <w:rsid w:val="005244CA"/>
    <w:rsid w:val="00524626"/>
    <w:rsid w:val="00524A94"/>
    <w:rsid w:val="00524E58"/>
    <w:rsid w:val="005255E0"/>
    <w:rsid w:val="005266C2"/>
    <w:rsid w:val="00526E85"/>
    <w:rsid w:val="00527089"/>
    <w:rsid w:val="00527C61"/>
    <w:rsid w:val="005301F4"/>
    <w:rsid w:val="00530235"/>
    <w:rsid w:val="0053065E"/>
    <w:rsid w:val="005311B9"/>
    <w:rsid w:val="0053180B"/>
    <w:rsid w:val="00532BE1"/>
    <w:rsid w:val="00533163"/>
    <w:rsid w:val="005347A3"/>
    <w:rsid w:val="00535688"/>
    <w:rsid w:val="00535E44"/>
    <w:rsid w:val="00536104"/>
    <w:rsid w:val="0053775B"/>
    <w:rsid w:val="005403D2"/>
    <w:rsid w:val="00540701"/>
    <w:rsid w:val="0054082C"/>
    <w:rsid w:val="00540BC9"/>
    <w:rsid w:val="00540D5D"/>
    <w:rsid w:val="00540E24"/>
    <w:rsid w:val="0054110A"/>
    <w:rsid w:val="00543B35"/>
    <w:rsid w:val="00544EC8"/>
    <w:rsid w:val="00546543"/>
    <w:rsid w:val="005466CE"/>
    <w:rsid w:val="00547152"/>
    <w:rsid w:val="00550249"/>
    <w:rsid w:val="00550720"/>
    <w:rsid w:val="00550A2B"/>
    <w:rsid w:val="00550C19"/>
    <w:rsid w:val="00550DF2"/>
    <w:rsid w:val="0055116F"/>
    <w:rsid w:val="005512F0"/>
    <w:rsid w:val="00551541"/>
    <w:rsid w:val="00551A7F"/>
    <w:rsid w:val="00552327"/>
    <w:rsid w:val="0055247F"/>
    <w:rsid w:val="005525F0"/>
    <w:rsid w:val="005533FE"/>
    <w:rsid w:val="00553A4F"/>
    <w:rsid w:val="00554092"/>
    <w:rsid w:val="00554212"/>
    <w:rsid w:val="00554762"/>
    <w:rsid w:val="00554B4D"/>
    <w:rsid w:val="00555435"/>
    <w:rsid w:val="005557EB"/>
    <w:rsid w:val="0055593D"/>
    <w:rsid w:val="0055704B"/>
    <w:rsid w:val="0055728B"/>
    <w:rsid w:val="00557D7A"/>
    <w:rsid w:val="00560714"/>
    <w:rsid w:val="00560DD5"/>
    <w:rsid w:val="005614B5"/>
    <w:rsid w:val="005617D1"/>
    <w:rsid w:val="00561A1A"/>
    <w:rsid w:val="00562891"/>
    <w:rsid w:val="005629B2"/>
    <w:rsid w:val="00562EDB"/>
    <w:rsid w:val="00563102"/>
    <w:rsid w:val="005632E2"/>
    <w:rsid w:val="00563E3A"/>
    <w:rsid w:val="00564227"/>
    <w:rsid w:val="00566C89"/>
    <w:rsid w:val="00566DFC"/>
    <w:rsid w:val="005674D7"/>
    <w:rsid w:val="005706C8"/>
    <w:rsid w:val="00571B5B"/>
    <w:rsid w:val="00572363"/>
    <w:rsid w:val="00572467"/>
    <w:rsid w:val="00572F5D"/>
    <w:rsid w:val="0057316A"/>
    <w:rsid w:val="005738B5"/>
    <w:rsid w:val="005739A1"/>
    <w:rsid w:val="00574307"/>
    <w:rsid w:val="00574972"/>
    <w:rsid w:val="00574A77"/>
    <w:rsid w:val="0057507E"/>
    <w:rsid w:val="005755E4"/>
    <w:rsid w:val="00575E73"/>
    <w:rsid w:val="005760D7"/>
    <w:rsid w:val="00576B5E"/>
    <w:rsid w:val="00576E73"/>
    <w:rsid w:val="0057704A"/>
    <w:rsid w:val="0057706A"/>
    <w:rsid w:val="005774B8"/>
    <w:rsid w:val="005775B7"/>
    <w:rsid w:val="00577BF0"/>
    <w:rsid w:val="005801C9"/>
    <w:rsid w:val="00580323"/>
    <w:rsid w:val="005817BD"/>
    <w:rsid w:val="00581FAF"/>
    <w:rsid w:val="0058293A"/>
    <w:rsid w:val="00582B59"/>
    <w:rsid w:val="00582B87"/>
    <w:rsid w:val="00582CE0"/>
    <w:rsid w:val="00584268"/>
    <w:rsid w:val="005844A4"/>
    <w:rsid w:val="00587885"/>
    <w:rsid w:val="00587FBC"/>
    <w:rsid w:val="00590021"/>
    <w:rsid w:val="005905DD"/>
    <w:rsid w:val="00590BBE"/>
    <w:rsid w:val="005915AB"/>
    <w:rsid w:val="005915AC"/>
    <w:rsid w:val="00591A47"/>
    <w:rsid w:val="00591B26"/>
    <w:rsid w:val="00591BB8"/>
    <w:rsid w:val="005920F2"/>
    <w:rsid w:val="00592716"/>
    <w:rsid w:val="00594650"/>
    <w:rsid w:val="0059465F"/>
    <w:rsid w:val="005946C0"/>
    <w:rsid w:val="005947D1"/>
    <w:rsid w:val="00594A05"/>
    <w:rsid w:val="00594D65"/>
    <w:rsid w:val="00594DB3"/>
    <w:rsid w:val="00594F1B"/>
    <w:rsid w:val="0059505B"/>
    <w:rsid w:val="005954EA"/>
    <w:rsid w:val="0059754A"/>
    <w:rsid w:val="00597A02"/>
    <w:rsid w:val="005A0963"/>
    <w:rsid w:val="005A0BD8"/>
    <w:rsid w:val="005A1E98"/>
    <w:rsid w:val="005A2278"/>
    <w:rsid w:val="005A4560"/>
    <w:rsid w:val="005A5344"/>
    <w:rsid w:val="005A5895"/>
    <w:rsid w:val="005A5975"/>
    <w:rsid w:val="005A6654"/>
    <w:rsid w:val="005A6657"/>
    <w:rsid w:val="005A6795"/>
    <w:rsid w:val="005A6E05"/>
    <w:rsid w:val="005A774B"/>
    <w:rsid w:val="005A7D5F"/>
    <w:rsid w:val="005A7DE3"/>
    <w:rsid w:val="005A7E21"/>
    <w:rsid w:val="005A7E64"/>
    <w:rsid w:val="005A7EB1"/>
    <w:rsid w:val="005A7EDF"/>
    <w:rsid w:val="005B00CA"/>
    <w:rsid w:val="005B148C"/>
    <w:rsid w:val="005B1BA5"/>
    <w:rsid w:val="005B223E"/>
    <w:rsid w:val="005B239F"/>
    <w:rsid w:val="005B460E"/>
    <w:rsid w:val="005B5E9C"/>
    <w:rsid w:val="005B773D"/>
    <w:rsid w:val="005B792E"/>
    <w:rsid w:val="005B7B25"/>
    <w:rsid w:val="005C015A"/>
    <w:rsid w:val="005C0E49"/>
    <w:rsid w:val="005C26F5"/>
    <w:rsid w:val="005C3EA8"/>
    <w:rsid w:val="005C4134"/>
    <w:rsid w:val="005C4BAE"/>
    <w:rsid w:val="005C5AC7"/>
    <w:rsid w:val="005C7FE7"/>
    <w:rsid w:val="005D018B"/>
    <w:rsid w:val="005D09B6"/>
    <w:rsid w:val="005D0C26"/>
    <w:rsid w:val="005D1419"/>
    <w:rsid w:val="005D1478"/>
    <w:rsid w:val="005D2491"/>
    <w:rsid w:val="005D25B0"/>
    <w:rsid w:val="005D293C"/>
    <w:rsid w:val="005D2E4E"/>
    <w:rsid w:val="005D38CE"/>
    <w:rsid w:val="005D39BC"/>
    <w:rsid w:val="005D40AC"/>
    <w:rsid w:val="005D4199"/>
    <w:rsid w:val="005D456A"/>
    <w:rsid w:val="005D59FA"/>
    <w:rsid w:val="005D5D38"/>
    <w:rsid w:val="005D638C"/>
    <w:rsid w:val="005D6888"/>
    <w:rsid w:val="005D6CE3"/>
    <w:rsid w:val="005D6DBC"/>
    <w:rsid w:val="005D7336"/>
    <w:rsid w:val="005D774D"/>
    <w:rsid w:val="005D7DEC"/>
    <w:rsid w:val="005E021C"/>
    <w:rsid w:val="005E086F"/>
    <w:rsid w:val="005E2154"/>
    <w:rsid w:val="005E2E9A"/>
    <w:rsid w:val="005E44A4"/>
    <w:rsid w:val="005E4A1B"/>
    <w:rsid w:val="005E50CD"/>
    <w:rsid w:val="005E521A"/>
    <w:rsid w:val="005E5F5A"/>
    <w:rsid w:val="005E64B3"/>
    <w:rsid w:val="005E6564"/>
    <w:rsid w:val="005E6EA6"/>
    <w:rsid w:val="005E74D9"/>
    <w:rsid w:val="005E794E"/>
    <w:rsid w:val="005E7C75"/>
    <w:rsid w:val="005E7CFC"/>
    <w:rsid w:val="005F0AB2"/>
    <w:rsid w:val="005F0D51"/>
    <w:rsid w:val="005F2F05"/>
    <w:rsid w:val="005F3012"/>
    <w:rsid w:val="005F38F9"/>
    <w:rsid w:val="005F3A5F"/>
    <w:rsid w:val="005F4299"/>
    <w:rsid w:val="005F5C71"/>
    <w:rsid w:val="005F6083"/>
    <w:rsid w:val="0060033D"/>
    <w:rsid w:val="00600718"/>
    <w:rsid w:val="006020CF"/>
    <w:rsid w:val="00602D2D"/>
    <w:rsid w:val="00603C2E"/>
    <w:rsid w:val="006042CD"/>
    <w:rsid w:val="00605230"/>
    <w:rsid w:val="00605501"/>
    <w:rsid w:val="006056B2"/>
    <w:rsid w:val="00605821"/>
    <w:rsid w:val="00605E96"/>
    <w:rsid w:val="0060605A"/>
    <w:rsid w:val="006061E8"/>
    <w:rsid w:val="00606356"/>
    <w:rsid w:val="00606BCA"/>
    <w:rsid w:val="00607804"/>
    <w:rsid w:val="006078A1"/>
    <w:rsid w:val="00607E4D"/>
    <w:rsid w:val="006117D4"/>
    <w:rsid w:val="006122AA"/>
    <w:rsid w:val="00612798"/>
    <w:rsid w:val="00612BF4"/>
    <w:rsid w:val="006135F4"/>
    <w:rsid w:val="006139DD"/>
    <w:rsid w:val="00613A1D"/>
    <w:rsid w:val="006149FD"/>
    <w:rsid w:val="00615109"/>
    <w:rsid w:val="0061654E"/>
    <w:rsid w:val="00616E70"/>
    <w:rsid w:val="006176F0"/>
    <w:rsid w:val="006179DD"/>
    <w:rsid w:val="00620789"/>
    <w:rsid w:val="00620C2F"/>
    <w:rsid w:val="006226D9"/>
    <w:rsid w:val="0062293B"/>
    <w:rsid w:val="00622BDB"/>
    <w:rsid w:val="00623BBD"/>
    <w:rsid w:val="006272EA"/>
    <w:rsid w:val="00627831"/>
    <w:rsid w:val="00627B5D"/>
    <w:rsid w:val="00627C08"/>
    <w:rsid w:val="00630046"/>
    <w:rsid w:val="006308D7"/>
    <w:rsid w:val="00630FE7"/>
    <w:rsid w:val="00631718"/>
    <w:rsid w:val="00631854"/>
    <w:rsid w:val="006335EE"/>
    <w:rsid w:val="00633C2F"/>
    <w:rsid w:val="00633D13"/>
    <w:rsid w:val="00633F2F"/>
    <w:rsid w:val="00635237"/>
    <w:rsid w:val="00635776"/>
    <w:rsid w:val="00635DDD"/>
    <w:rsid w:val="00636C20"/>
    <w:rsid w:val="006372D9"/>
    <w:rsid w:val="00637BA0"/>
    <w:rsid w:val="00637D38"/>
    <w:rsid w:val="00637D6D"/>
    <w:rsid w:val="00637F9B"/>
    <w:rsid w:val="006407FF"/>
    <w:rsid w:val="00640917"/>
    <w:rsid w:val="006409F2"/>
    <w:rsid w:val="00641670"/>
    <w:rsid w:val="00642722"/>
    <w:rsid w:val="00642CB0"/>
    <w:rsid w:val="006439E1"/>
    <w:rsid w:val="00643F2C"/>
    <w:rsid w:val="00644FC4"/>
    <w:rsid w:val="006455B2"/>
    <w:rsid w:val="00645778"/>
    <w:rsid w:val="006468BB"/>
    <w:rsid w:val="006470EE"/>
    <w:rsid w:val="0064755D"/>
    <w:rsid w:val="00647B21"/>
    <w:rsid w:val="00647E69"/>
    <w:rsid w:val="006504B1"/>
    <w:rsid w:val="006510B8"/>
    <w:rsid w:val="006510F2"/>
    <w:rsid w:val="00652FBA"/>
    <w:rsid w:val="0065320B"/>
    <w:rsid w:val="00653285"/>
    <w:rsid w:val="006535AB"/>
    <w:rsid w:val="00656E14"/>
    <w:rsid w:val="006570FB"/>
    <w:rsid w:val="00661061"/>
    <w:rsid w:val="00661131"/>
    <w:rsid w:val="00661473"/>
    <w:rsid w:val="0066177C"/>
    <w:rsid w:val="00661FFF"/>
    <w:rsid w:val="006624FC"/>
    <w:rsid w:val="006626A5"/>
    <w:rsid w:val="006629C2"/>
    <w:rsid w:val="006632AC"/>
    <w:rsid w:val="0066367D"/>
    <w:rsid w:val="006636B6"/>
    <w:rsid w:val="0066469A"/>
    <w:rsid w:val="00664A93"/>
    <w:rsid w:val="0066582E"/>
    <w:rsid w:val="00667668"/>
    <w:rsid w:val="0066785F"/>
    <w:rsid w:val="00670169"/>
    <w:rsid w:val="00670291"/>
    <w:rsid w:val="006703EA"/>
    <w:rsid w:val="00670698"/>
    <w:rsid w:val="00671951"/>
    <w:rsid w:val="00671F9B"/>
    <w:rsid w:val="00672300"/>
    <w:rsid w:val="00672621"/>
    <w:rsid w:val="00672744"/>
    <w:rsid w:val="00672A4A"/>
    <w:rsid w:val="00673262"/>
    <w:rsid w:val="006736B1"/>
    <w:rsid w:val="00673D82"/>
    <w:rsid w:val="00675CF8"/>
    <w:rsid w:val="006762E6"/>
    <w:rsid w:val="0067686F"/>
    <w:rsid w:val="006777CB"/>
    <w:rsid w:val="00681926"/>
    <w:rsid w:val="00681A02"/>
    <w:rsid w:val="00682235"/>
    <w:rsid w:val="0068228C"/>
    <w:rsid w:val="00682B83"/>
    <w:rsid w:val="006838CC"/>
    <w:rsid w:val="00683C3E"/>
    <w:rsid w:val="00684005"/>
    <w:rsid w:val="00685996"/>
    <w:rsid w:val="00685BFC"/>
    <w:rsid w:val="00686C7C"/>
    <w:rsid w:val="0069040F"/>
    <w:rsid w:val="00690565"/>
    <w:rsid w:val="00690ABA"/>
    <w:rsid w:val="0069253A"/>
    <w:rsid w:val="006931E7"/>
    <w:rsid w:val="006932DA"/>
    <w:rsid w:val="00693C2F"/>
    <w:rsid w:val="006940E3"/>
    <w:rsid w:val="0069640E"/>
    <w:rsid w:val="00696927"/>
    <w:rsid w:val="006976C9"/>
    <w:rsid w:val="0069776F"/>
    <w:rsid w:val="00697AD2"/>
    <w:rsid w:val="00697D2A"/>
    <w:rsid w:val="006A1479"/>
    <w:rsid w:val="006A1F93"/>
    <w:rsid w:val="006A33CD"/>
    <w:rsid w:val="006A3547"/>
    <w:rsid w:val="006A46D2"/>
    <w:rsid w:val="006A5F62"/>
    <w:rsid w:val="006A65AB"/>
    <w:rsid w:val="006A75A5"/>
    <w:rsid w:val="006B04E5"/>
    <w:rsid w:val="006B091A"/>
    <w:rsid w:val="006B0D72"/>
    <w:rsid w:val="006B14FE"/>
    <w:rsid w:val="006B16BF"/>
    <w:rsid w:val="006B1B06"/>
    <w:rsid w:val="006B1CD8"/>
    <w:rsid w:val="006B1EE3"/>
    <w:rsid w:val="006B2064"/>
    <w:rsid w:val="006B21F9"/>
    <w:rsid w:val="006B2383"/>
    <w:rsid w:val="006B2672"/>
    <w:rsid w:val="006B2D62"/>
    <w:rsid w:val="006B3335"/>
    <w:rsid w:val="006B35AB"/>
    <w:rsid w:val="006B4473"/>
    <w:rsid w:val="006B4CBE"/>
    <w:rsid w:val="006B5DD6"/>
    <w:rsid w:val="006B70E5"/>
    <w:rsid w:val="006B7164"/>
    <w:rsid w:val="006B7C57"/>
    <w:rsid w:val="006C0FB9"/>
    <w:rsid w:val="006C1177"/>
    <w:rsid w:val="006C1644"/>
    <w:rsid w:val="006C18A9"/>
    <w:rsid w:val="006C1A91"/>
    <w:rsid w:val="006C1FD5"/>
    <w:rsid w:val="006C2302"/>
    <w:rsid w:val="006C2DD5"/>
    <w:rsid w:val="006C317B"/>
    <w:rsid w:val="006C404A"/>
    <w:rsid w:val="006C45C1"/>
    <w:rsid w:val="006C45E1"/>
    <w:rsid w:val="006C46D6"/>
    <w:rsid w:val="006C52B9"/>
    <w:rsid w:val="006C5343"/>
    <w:rsid w:val="006C5C6F"/>
    <w:rsid w:val="006C6B5C"/>
    <w:rsid w:val="006C7228"/>
    <w:rsid w:val="006C7DD8"/>
    <w:rsid w:val="006D0087"/>
    <w:rsid w:val="006D010E"/>
    <w:rsid w:val="006D02C7"/>
    <w:rsid w:val="006D0B76"/>
    <w:rsid w:val="006D0BDC"/>
    <w:rsid w:val="006D0F42"/>
    <w:rsid w:val="006D137C"/>
    <w:rsid w:val="006D1E3C"/>
    <w:rsid w:val="006D1E85"/>
    <w:rsid w:val="006D3CD4"/>
    <w:rsid w:val="006D4BB2"/>
    <w:rsid w:val="006D5EC8"/>
    <w:rsid w:val="006D6BF3"/>
    <w:rsid w:val="006D6C1C"/>
    <w:rsid w:val="006D7D99"/>
    <w:rsid w:val="006E146F"/>
    <w:rsid w:val="006E1A83"/>
    <w:rsid w:val="006E1F69"/>
    <w:rsid w:val="006E2035"/>
    <w:rsid w:val="006E25C0"/>
    <w:rsid w:val="006E62CC"/>
    <w:rsid w:val="006E67CE"/>
    <w:rsid w:val="006E6A4B"/>
    <w:rsid w:val="006E6E54"/>
    <w:rsid w:val="006E7768"/>
    <w:rsid w:val="006F0575"/>
    <w:rsid w:val="006F0BCD"/>
    <w:rsid w:val="006F1659"/>
    <w:rsid w:val="006F1D0C"/>
    <w:rsid w:val="006F304B"/>
    <w:rsid w:val="006F42ED"/>
    <w:rsid w:val="006F475E"/>
    <w:rsid w:val="006F4D44"/>
    <w:rsid w:val="006F506B"/>
    <w:rsid w:val="006F59FB"/>
    <w:rsid w:val="006F5DB7"/>
    <w:rsid w:val="006F612C"/>
    <w:rsid w:val="006F6F89"/>
    <w:rsid w:val="006F7118"/>
    <w:rsid w:val="006F7863"/>
    <w:rsid w:val="00700142"/>
    <w:rsid w:val="00700678"/>
    <w:rsid w:val="00700DB8"/>
    <w:rsid w:val="007019AD"/>
    <w:rsid w:val="00702414"/>
    <w:rsid w:val="00702A6F"/>
    <w:rsid w:val="00702E15"/>
    <w:rsid w:val="00702ECB"/>
    <w:rsid w:val="0070341A"/>
    <w:rsid w:val="00704560"/>
    <w:rsid w:val="00705946"/>
    <w:rsid w:val="00705EA1"/>
    <w:rsid w:val="00706709"/>
    <w:rsid w:val="00706E9C"/>
    <w:rsid w:val="00707C71"/>
    <w:rsid w:val="00710C5E"/>
    <w:rsid w:val="00711C50"/>
    <w:rsid w:val="0071306B"/>
    <w:rsid w:val="007159BB"/>
    <w:rsid w:val="00715E6E"/>
    <w:rsid w:val="00715EB4"/>
    <w:rsid w:val="00716095"/>
    <w:rsid w:val="00716A14"/>
    <w:rsid w:val="00716D45"/>
    <w:rsid w:val="007173D4"/>
    <w:rsid w:val="007177A6"/>
    <w:rsid w:val="007177EE"/>
    <w:rsid w:val="0072030F"/>
    <w:rsid w:val="00721592"/>
    <w:rsid w:val="007215EC"/>
    <w:rsid w:val="00721929"/>
    <w:rsid w:val="00721D00"/>
    <w:rsid w:val="00721EA0"/>
    <w:rsid w:val="00722225"/>
    <w:rsid w:val="00722E4C"/>
    <w:rsid w:val="00723255"/>
    <w:rsid w:val="00723721"/>
    <w:rsid w:val="00726441"/>
    <w:rsid w:val="00727367"/>
    <w:rsid w:val="00727A79"/>
    <w:rsid w:val="00727F1E"/>
    <w:rsid w:val="00730787"/>
    <w:rsid w:val="00732FAB"/>
    <w:rsid w:val="0073360C"/>
    <w:rsid w:val="00734B56"/>
    <w:rsid w:val="007353A6"/>
    <w:rsid w:val="007356EA"/>
    <w:rsid w:val="007358E6"/>
    <w:rsid w:val="00735C2D"/>
    <w:rsid w:val="0073620B"/>
    <w:rsid w:val="00736FB4"/>
    <w:rsid w:val="007378E2"/>
    <w:rsid w:val="007401E4"/>
    <w:rsid w:val="007403E6"/>
    <w:rsid w:val="007411CD"/>
    <w:rsid w:val="007413C8"/>
    <w:rsid w:val="00741B4A"/>
    <w:rsid w:val="00743592"/>
    <w:rsid w:val="007436FA"/>
    <w:rsid w:val="007437BE"/>
    <w:rsid w:val="00744322"/>
    <w:rsid w:val="00745055"/>
    <w:rsid w:val="007458B7"/>
    <w:rsid w:val="00745B68"/>
    <w:rsid w:val="00745FD4"/>
    <w:rsid w:val="007462C3"/>
    <w:rsid w:val="0074695F"/>
    <w:rsid w:val="00746DD6"/>
    <w:rsid w:val="00747B1D"/>
    <w:rsid w:val="00750533"/>
    <w:rsid w:val="007526BD"/>
    <w:rsid w:val="0075331D"/>
    <w:rsid w:val="007538FC"/>
    <w:rsid w:val="00755021"/>
    <w:rsid w:val="007559C9"/>
    <w:rsid w:val="00756403"/>
    <w:rsid w:val="0076001D"/>
    <w:rsid w:val="007609E7"/>
    <w:rsid w:val="0076161B"/>
    <w:rsid w:val="00761885"/>
    <w:rsid w:val="00761FA5"/>
    <w:rsid w:val="007622F3"/>
    <w:rsid w:val="00763015"/>
    <w:rsid w:val="00763A61"/>
    <w:rsid w:val="00763E25"/>
    <w:rsid w:val="00764113"/>
    <w:rsid w:val="00764181"/>
    <w:rsid w:val="00764498"/>
    <w:rsid w:val="007648DB"/>
    <w:rsid w:val="00764901"/>
    <w:rsid w:val="00764A44"/>
    <w:rsid w:val="00764DCE"/>
    <w:rsid w:val="007653B8"/>
    <w:rsid w:val="0076669C"/>
    <w:rsid w:val="0076688A"/>
    <w:rsid w:val="007670CB"/>
    <w:rsid w:val="0076747B"/>
    <w:rsid w:val="00767E98"/>
    <w:rsid w:val="00770AD6"/>
    <w:rsid w:val="00770FD7"/>
    <w:rsid w:val="00771E92"/>
    <w:rsid w:val="00772D63"/>
    <w:rsid w:val="00773026"/>
    <w:rsid w:val="00773320"/>
    <w:rsid w:val="0077385D"/>
    <w:rsid w:val="00773BAC"/>
    <w:rsid w:val="00773D7B"/>
    <w:rsid w:val="00773D93"/>
    <w:rsid w:val="00774030"/>
    <w:rsid w:val="0077438F"/>
    <w:rsid w:val="0077457B"/>
    <w:rsid w:val="00775538"/>
    <w:rsid w:val="00777CD1"/>
    <w:rsid w:val="00780333"/>
    <w:rsid w:val="00780D99"/>
    <w:rsid w:val="007826A6"/>
    <w:rsid w:val="0078291A"/>
    <w:rsid w:val="00782B59"/>
    <w:rsid w:val="007838FF"/>
    <w:rsid w:val="00785145"/>
    <w:rsid w:val="00785D3D"/>
    <w:rsid w:val="007860A0"/>
    <w:rsid w:val="007860A7"/>
    <w:rsid w:val="007865E3"/>
    <w:rsid w:val="00786AAA"/>
    <w:rsid w:val="00786D90"/>
    <w:rsid w:val="00787286"/>
    <w:rsid w:val="0078788F"/>
    <w:rsid w:val="0079095E"/>
    <w:rsid w:val="00790E1C"/>
    <w:rsid w:val="00791099"/>
    <w:rsid w:val="00791D8A"/>
    <w:rsid w:val="0079249B"/>
    <w:rsid w:val="00792774"/>
    <w:rsid w:val="007927C9"/>
    <w:rsid w:val="00792F1F"/>
    <w:rsid w:val="007932B5"/>
    <w:rsid w:val="007933E4"/>
    <w:rsid w:val="00793E82"/>
    <w:rsid w:val="00794739"/>
    <w:rsid w:val="00794A0F"/>
    <w:rsid w:val="00794A18"/>
    <w:rsid w:val="00795C9A"/>
    <w:rsid w:val="00797195"/>
    <w:rsid w:val="00797465"/>
    <w:rsid w:val="007A022D"/>
    <w:rsid w:val="007A076E"/>
    <w:rsid w:val="007A1CA0"/>
    <w:rsid w:val="007A2440"/>
    <w:rsid w:val="007A31E8"/>
    <w:rsid w:val="007A3371"/>
    <w:rsid w:val="007A3391"/>
    <w:rsid w:val="007A40CE"/>
    <w:rsid w:val="007A4A7B"/>
    <w:rsid w:val="007A4F9A"/>
    <w:rsid w:val="007A592A"/>
    <w:rsid w:val="007A6164"/>
    <w:rsid w:val="007A6B85"/>
    <w:rsid w:val="007A78F5"/>
    <w:rsid w:val="007B0AF2"/>
    <w:rsid w:val="007B1E69"/>
    <w:rsid w:val="007B2966"/>
    <w:rsid w:val="007B345C"/>
    <w:rsid w:val="007B78BA"/>
    <w:rsid w:val="007B79D2"/>
    <w:rsid w:val="007B7EA5"/>
    <w:rsid w:val="007C0B12"/>
    <w:rsid w:val="007C0B7F"/>
    <w:rsid w:val="007C1AB2"/>
    <w:rsid w:val="007C21C2"/>
    <w:rsid w:val="007C322C"/>
    <w:rsid w:val="007C3546"/>
    <w:rsid w:val="007C3666"/>
    <w:rsid w:val="007C4957"/>
    <w:rsid w:val="007C4E4B"/>
    <w:rsid w:val="007C4F9F"/>
    <w:rsid w:val="007C677B"/>
    <w:rsid w:val="007D02A2"/>
    <w:rsid w:val="007D1B0D"/>
    <w:rsid w:val="007D1EE0"/>
    <w:rsid w:val="007D24DD"/>
    <w:rsid w:val="007D25B7"/>
    <w:rsid w:val="007D2EC3"/>
    <w:rsid w:val="007D31A5"/>
    <w:rsid w:val="007D3B42"/>
    <w:rsid w:val="007D4431"/>
    <w:rsid w:val="007D490D"/>
    <w:rsid w:val="007D5828"/>
    <w:rsid w:val="007D5870"/>
    <w:rsid w:val="007D601A"/>
    <w:rsid w:val="007D6423"/>
    <w:rsid w:val="007D664D"/>
    <w:rsid w:val="007D669D"/>
    <w:rsid w:val="007E145D"/>
    <w:rsid w:val="007E17B6"/>
    <w:rsid w:val="007E200E"/>
    <w:rsid w:val="007E3AA9"/>
    <w:rsid w:val="007E42B1"/>
    <w:rsid w:val="007E5CAD"/>
    <w:rsid w:val="007E634D"/>
    <w:rsid w:val="007E6EF5"/>
    <w:rsid w:val="007E79C4"/>
    <w:rsid w:val="007F2A26"/>
    <w:rsid w:val="007F31A4"/>
    <w:rsid w:val="007F35A0"/>
    <w:rsid w:val="007F40F1"/>
    <w:rsid w:val="007F4140"/>
    <w:rsid w:val="007F4714"/>
    <w:rsid w:val="007F4946"/>
    <w:rsid w:val="007F4EC7"/>
    <w:rsid w:val="007F595E"/>
    <w:rsid w:val="007F7F75"/>
    <w:rsid w:val="008019AC"/>
    <w:rsid w:val="00801E6B"/>
    <w:rsid w:val="0080221D"/>
    <w:rsid w:val="00802881"/>
    <w:rsid w:val="008043E6"/>
    <w:rsid w:val="00804459"/>
    <w:rsid w:val="00804AA9"/>
    <w:rsid w:val="00805067"/>
    <w:rsid w:val="00805CF7"/>
    <w:rsid w:val="00806C63"/>
    <w:rsid w:val="00807B6D"/>
    <w:rsid w:val="0081115B"/>
    <w:rsid w:val="008119FD"/>
    <w:rsid w:val="00812300"/>
    <w:rsid w:val="008127D0"/>
    <w:rsid w:val="00813251"/>
    <w:rsid w:val="008137EE"/>
    <w:rsid w:val="00815BB5"/>
    <w:rsid w:val="00816E89"/>
    <w:rsid w:val="00816F1D"/>
    <w:rsid w:val="0081713C"/>
    <w:rsid w:val="0081773E"/>
    <w:rsid w:val="00820392"/>
    <w:rsid w:val="0082148D"/>
    <w:rsid w:val="00821A4A"/>
    <w:rsid w:val="00821D7F"/>
    <w:rsid w:val="00821EE4"/>
    <w:rsid w:val="00823395"/>
    <w:rsid w:val="0082388B"/>
    <w:rsid w:val="0082532D"/>
    <w:rsid w:val="00826895"/>
    <w:rsid w:val="00826B1C"/>
    <w:rsid w:val="00826B93"/>
    <w:rsid w:val="00826D09"/>
    <w:rsid w:val="00827990"/>
    <w:rsid w:val="008303B4"/>
    <w:rsid w:val="0083064A"/>
    <w:rsid w:val="00831271"/>
    <w:rsid w:val="008326FA"/>
    <w:rsid w:val="008328E0"/>
    <w:rsid w:val="00833250"/>
    <w:rsid w:val="008333BA"/>
    <w:rsid w:val="008337FB"/>
    <w:rsid w:val="008339D5"/>
    <w:rsid w:val="00834DBD"/>
    <w:rsid w:val="00834F74"/>
    <w:rsid w:val="0083519F"/>
    <w:rsid w:val="00835750"/>
    <w:rsid w:val="008363E7"/>
    <w:rsid w:val="00836701"/>
    <w:rsid w:val="008367D8"/>
    <w:rsid w:val="00836A6B"/>
    <w:rsid w:val="00837EA8"/>
    <w:rsid w:val="00841129"/>
    <w:rsid w:val="0084150B"/>
    <w:rsid w:val="008424DB"/>
    <w:rsid w:val="00842BBD"/>
    <w:rsid w:val="00842CC6"/>
    <w:rsid w:val="008437F5"/>
    <w:rsid w:val="00843A45"/>
    <w:rsid w:val="00843B93"/>
    <w:rsid w:val="00843C99"/>
    <w:rsid w:val="0084424E"/>
    <w:rsid w:val="00844B89"/>
    <w:rsid w:val="00846C1C"/>
    <w:rsid w:val="00847239"/>
    <w:rsid w:val="00852516"/>
    <w:rsid w:val="00853F47"/>
    <w:rsid w:val="00854F76"/>
    <w:rsid w:val="00855130"/>
    <w:rsid w:val="008556E7"/>
    <w:rsid w:val="008559FB"/>
    <w:rsid w:val="00855DF2"/>
    <w:rsid w:val="008563AD"/>
    <w:rsid w:val="008575C2"/>
    <w:rsid w:val="00857C59"/>
    <w:rsid w:val="0086054E"/>
    <w:rsid w:val="00860A90"/>
    <w:rsid w:val="00862371"/>
    <w:rsid w:val="00862456"/>
    <w:rsid w:val="00862EE2"/>
    <w:rsid w:val="00863153"/>
    <w:rsid w:val="008638AA"/>
    <w:rsid w:val="008659D2"/>
    <w:rsid w:val="00865DA9"/>
    <w:rsid w:val="00865DC2"/>
    <w:rsid w:val="008662AF"/>
    <w:rsid w:val="00866CAE"/>
    <w:rsid w:val="008673D7"/>
    <w:rsid w:val="008716AA"/>
    <w:rsid w:val="0087185F"/>
    <w:rsid w:val="00871CB1"/>
    <w:rsid w:val="00872114"/>
    <w:rsid w:val="00872537"/>
    <w:rsid w:val="00873152"/>
    <w:rsid w:val="00873688"/>
    <w:rsid w:val="00874BBF"/>
    <w:rsid w:val="00876BAB"/>
    <w:rsid w:val="00877971"/>
    <w:rsid w:val="00877B82"/>
    <w:rsid w:val="00877D9A"/>
    <w:rsid w:val="0088058F"/>
    <w:rsid w:val="00881242"/>
    <w:rsid w:val="008812D4"/>
    <w:rsid w:val="00881886"/>
    <w:rsid w:val="00881CB5"/>
    <w:rsid w:val="00882060"/>
    <w:rsid w:val="008828F4"/>
    <w:rsid w:val="00884B2A"/>
    <w:rsid w:val="00884B7D"/>
    <w:rsid w:val="00884B9A"/>
    <w:rsid w:val="008852F2"/>
    <w:rsid w:val="00885583"/>
    <w:rsid w:val="008856C2"/>
    <w:rsid w:val="00885A3C"/>
    <w:rsid w:val="008868F7"/>
    <w:rsid w:val="0088704B"/>
    <w:rsid w:val="00887574"/>
    <w:rsid w:val="008877C4"/>
    <w:rsid w:val="00887CC0"/>
    <w:rsid w:val="00887D3C"/>
    <w:rsid w:val="008902AC"/>
    <w:rsid w:val="0089060B"/>
    <w:rsid w:val="00891A95"/>
    <w:rsid w:val="00891AC6"/>
    <w:rsid w:val="00891AF6"/>
    <w:rsid w:val="0089269F"/>
    <w:rsid w:val="008926B7"/>
    <w:rsid w:val="008926EF"/>
    <w:rsid w:val="00892819"/>
    <w:rsid w:val="0089342E"/>
    <w:rsid w:val="00893800"/>
    <w:rsid w:val="008941B6"/>
    <w:rsid w:val="00894C70"/>
    <w:rsid w:val="008969E3"/>
    <w:rsid w:val="00896B14"/>
    <w:rsid w:val="00896EA5"/>
    <w:rsid w:val="00897022"/>
    <w:rsid w:val="00897183"/>
    <w:rsid w:val="008A03FD"/>
    <w:rsid w:val="008A12EC"/>
    <w:rsid w:val="008A13B7"/>
    <w:rsid w:val="008A1413"/>
    <w:rsid w:val="008A1883"/>
    <w:rsid w:val="008A284B"/>
    <w:rsid w:val="008A395A"/>
    <w:rsid w:val="008A3C9D"/>
    <w:rsid w:val="008A3E9E"/>
    <w:rsid w:val="008A4D8E"/>
    <w:rsid w:val="008A4DFF"/>
    <w:rsid w:val="008A6CA9"/>
    <w:rsid w:val="008A740E"/>
    <w:rsid w:val="008A7581"/>
    <w:rsid w:val="008B0722"/>
    <w:rsid w:val="008B1671"/>
    <w:rsid w:val="008B3F87"/>
    <w:rsid w:val="008B547E"/>
    <w:rsid w:val="008B5B85"/>
    <w:rsid w:val="008B62D1"/>
    <w:rsid w:val="008B687A"/>
    <w:rsid w:val="008B7599"/>
    <w:rsid w:val="008C08A6"/>
    <w:rsid w:val="008C0A25"/>
    <w:rsid w:val="008C19B9"/>
    <w:rsid w:val="008C1B23"/>
    <w:rsid w:val="008C24BE"/>
    <w:rsid w:val="008C5205"/>
    <w:rsid w:val="008C5D3B"/>
    <w:rsid w:val="008C628A"/>
    <w:rsid w:val="008C67DA"/>
    <w:rsid w:val="008C70D7"/>
    <w:rsid w:val="008D0414"/>
    <w:rsid w:val="008D2E71"/>
    <w:rsid w:val="008D2EE2"/>
    <w:rsid w:val="008D3B7B"/>
    <w:rsid w:val="008D3CBC"/>
    <w:rsid w:val="008D41C0"/>
    <w:rsid w:val="008D519D"/>
    <w:rsid w:val="008D5477"/>
    <w:rsid w:val="008D600F"/>
    <w:rsid w:val="008D6827"/>
    <w:rsid w:val="008D7EFC"/>
    <w:rsid w:val="008E049E"/>
    <w:rsid w:val="008E1253"/>
    <w:rsid w:val="008E1EE0"/>
    <w:rsid w:val="008E25C4"/>
    <w:rsid w:val="008E3805"/>
    <w:rsid w:val="008E3D2C"/>
    <w:rsid w:val="008E406E"/>
    <w:rsid w:val="008E56C5"/>
    <w:rsid w:val="008E5880"/>
    <w:rsid w:val="008E636F"/>
    <w:rsid w:val="008E6C41"/>
    <w:rsid w:val="008E7920"/>
    <w:rsid w:val="008F1D14"/>
    <w:rsid w:val="008F220F"/>
    <w:rsid w:val="008F24DD"/>
    <w:rsid w:val="008F28B5"/>
    <w:rsid w:val="008F2FC0"/>
    <w:rsid w:val="008F364A"/>
    <w:rsid w:val="008F4335"/>
    <w:rsid w:val="008F4B0A"/>
    <w:rsid w:val="008F4D1B"/>
    <w:rsid w:val="008F56EE"/>
    <w:rsid w:val="008F69FA"/>
    <w:rsid w:val="008F6DA2"/>
    <w:rsid w:val="008F745D"/>
    <w:rsid w:val="008F773E"/>
    <w:rsid w:val="00900986"/>
    <w:rsid w:val="00900A5F"/>
    <w:rsid w:val="00902093"/>
    <w:rsid w:val="009022B9"/>
    <w:rsid w:val="00902C1E"/>
    <w:rsid w:val="009037F3"/>
    <w:rsid w:val="00903DAD"/>
    <w:rsid w:val="00904122"/>
    <w:rsid w:val="00905772"/>
    <w:rsid w:val="009057BB"/>
    <w:rsid w:val="009059AE"/>
    <w:rsid w:val="00905CB0"/>
    <w:rsid w:val="00905CD2"/>
    <w:rsid w:val="00905E91"/>
    <w:rsid w:val="0090621C"/>
    <w:rsid w:val="00906AD8"/>
    <w:rsid w:val="00911116"/>
    <w:rsid w:val="00911C27"/>
    <w:rsid w:val="00911F4C"/>
    <w:rsid w:val="0091255B"/>
    <w:rsid w:val="00913C42"/>
    <w:rsid w:val="009143E9"/>
    <w:rsid w:val="00914831"/>
    <w:rsid w:val="009148A6"/>
    <w:rsid w:val="009150F5"/>
    <w:rsid w:val="00915269"/>
    <w:rsid w:val="00915976"/>
    <w:rsid w:val="00915D82"/>
    <w:rsid w:val="00916C26"/>
    <w:rsid w:val="00916E85"/>
    <w:rsid w:val="00917E80"/>
    <w:rsid w:val="00920405"/>
    <w:rsid w:val="00920893"/>
    <w:rsid w:val="00920B40"/>
    <w:rsid w:val="00920EA7"/>
    <w:rsid w:val="00921224"/>
    <w:rsid w:val="009217D9"/>
    <w:rsid w:val="00922031"/>
    <w:rsid w:val="009232AF"/>
    <w:rsid w:val="00923BF7"/>
    <w:rsid w:val="00923D3F"/>
    <w:rsid w:val="00924CEF"/>
    <w:rsid w:val="009250E4"/>
    <w:rsid w:val="00925A36"/>
    <w:rsid w:val="00925ABE"/>
    <w:rsid w:val="00926E90"/>
    <w:rsid w:val="00926EF2"/>
    <w:rsid w:val="0092718F"/>
    <w:rsid w:val="00927599"/>
    <w:rsid w:val="009312F6"/>
    <w:rsid w:val="00931A31"/>
    <w:rsid w:val="00932C9D"/>
    <w:rsid w:val="00932FAE"/>
    <w:rsid w:val="00933A1E"/>
    <w:rsid w:val="00934E62"/>
    <w:rsid w:val="00935076"/>
    <w:rsid w:val="0093630A"/>
    <w:rsid w:val="0093648E"/>
    <w:rsid w:val="009368FA"/>
    <w:rsid w:val="00936D58"/>
    <w:rsid w:val="00936ED3"/>
    <w:rsid w:val="009411A2"/>
    <w:rsid w:val="0094137F"/>
    <w:rsid w:val="00941C71"/>
    <w:rsid w:val="00942262"/>
    <w:rsid w:val="00943A29"/>
    <w:rsid w:val="00944E15"/>
    <w:rsid w:val="00945252"/>
    <w:rsid w:val="009458A7"/>
    <w:rsid w:val="00946061"/>
    <w:rsid w:val="0094673E"/>
    <w:rsid w:val="00946A26"/>
    <w:rsid w:val="00947C7B"/>
    <w:rsid w:val="00950369"/>
    <w:rsid w:val="009508EB"/>
    <w:rsid w:val="0095176E"/>
    <w:rsid w:val="00951BC6"/>
    <w:rsid w:val="00951DB1"/>
    <w:rsid w:val="009522DD"/>
    <w:rsid w:val="0095252A"/>
    <w:rsid w:val="00953738"/>
    <w:rsid w:val="009544AA"/>
    <w:rsid w:val="00954EE1"/>
    <w:rsid w:val="00955362"/>
    <w:rsid w:val="00955BC7"/>
    <w:rsid w:val="00955E23"/>
    <w:rsid w:val="0095658A"/>
    <w:rsid w:val="009567D2"/>
    <w:rsid w:val="00956F54"/>
    <w:rsid w:val="00961B78"/>
    <w:rsid w:val="00962A72"/>
    <w:rsid w:val="00963A11"/>
    <w:rsid w:val="00963C45"/>
    <w:rsid w:val="0096578C"/>
    <w:rsid w:val="009657F9"/>
    <w:rsid w:val="00965E35"/>
    <w:rsid w:val="00966A48"/>
    <w:rsid w:val="009677E3"/>
    <w:rsid w:val="00967B00"/>
    <w:rsid w:val="00967F6C"/>
    <w:rsid w:val="00970071"/>
    <w:rsid w:val="00970CEB"/>
    <w:rsid w:val="009712B7"/>
    <w:rsid w:val="009716CA"/>
    <w:rsid w:val="0097185A"/>
    <w:rsid w:val="0097283E"/>
    <w:rsid w:val="00973280"/>
    <w:rsid w:val="00973B3F"/>
    <w:rsid w:val="009744C6"/>
    <w:rsid w:val="00974724"/>
    <w:rsid w:val="009759BE"/>
    <w:rsid w:val="00975CC1"/>
    <w:rsid w:val="009765C4"/>
    <w:rsid w:val="00976DDB"/>
    <w:rsid w:val="00977F18"/>
    <w:rsid w:val="00980A63"/>
    <w:rsid w:val="00980BF4"/>
    <w:rsid w:val="009813A6"/>
    <w:rsid w:val="00981483"/>
    <w:rsid w:val="00981D23"/>
    <w:rsid w:val="00982232"/>
    <w:rsid w:val="00982E28"/>
    <w:rsid w:val="009847FF"/>
    <w:rsid w:val="009849FA"/>
    <w:rsid w:val="009855DA"/>
    <w:rsid w:val="00986D77"/>
    <w:rsid w:val="00986DA0"/>
    <w:rsid w:val="0098751F"/>
    <w:rsid w:val="00987949"/>
    <w:rsid w:val="00991A8F"/>
    <w:rsid w:val="00991B30"/>
    <w:rsid w:val="00991D89"/>
    <w:rsid w:val="0099260A"/>
    <w:rsid w:val="00992B34"/>
    <w:rsid w:val="0099305B"/>
    <w:rsid w:val="00993856"/>
    <w:rsid w:val="0099499E"/>
    <w:rsid w:val="0099515C"/>
    <w:rsid w:val="00995829"/>
    <w:rsid w:val="00996364"/>
    <w:rsid w:val="00996D8E"/>
    <w:rsid w:val="00997105"/>
    <w:rsid w:val="0099748A"/>
    <w:rsid w:val="009A0BAA"/>
    <w:rsid w:val="009A3184"/>
    <w:rsid w:val="009A322F"/>
    <w:rsid w:val="009A3291"/>
    <w:rsid w:val="009A33DD"/>
    <w:rsid w:val="009A3C3E"/>
    <w:rsid w:val="009A3C57"/>
    <w:rsid w:val="009A5168"/>
    <w:rsid w:val="009A54EB"/>
    <w:rsid w:val="009A5BB4"/>
    <w:rsid w:val="009A5FB8"/>
    <w:rsid w:val="009A6B51"/>
    <w:rsid w:val="009A7325"/>
    <w:rsid w:val="009B031B"/>
    <w:rsid w:val="009B0503"/>
    <w:rsid w:val="009B15DB"/>
    <w:rsid w:val="009B254D"/>
    <w:rsid w:val="009B2766"/>
    <w:rsid w:val="009B2AD5"/>
    <w:rsid w:val="009B3E3C"/>
    <w:rsid w:val="009B41EB"/>
    <w:rsid w:val="009B51C4"/>
    <w:rsid w:val="009B5BCB"/>
    <w:rsid w:val="009B6DA2"/>
    <w:rsid w:val="009B7367"/>
    <w:rsid w:val="009C0410"/>
    <w:rsid w:val="009C0DDC"/>
    <w:rsid w:val="009C103C"/>
    <w:rsid w:val="009C12D7"/>
    <w:rsid w:val="009C2620"/>
    <w:rsid w:val="009C31BD"/>
    <w:rsid w:val="009C3E32"/>
    <w:rsid w:val="009C433E"/>
    <w:rsid w:val="009C4629"/>
    <w:rsid w:val="009C4697"/>
    <w:rsid w:val="009C49A2"/>
    <w:rsid w:val="009C4DDD"/>
    <w:rsid w:val="009C5D55"/>
    <w:rsid w:val="009C61AB"/>
    <w:rsid w:val="009C77C3"/>
    <w:rsid w:val="009D071F"/>
    <w:rsid w:val="009D1814"/>
    <w:rsid w:val="009D1868"/>
    <w:rsid w:val="009D2264"/>
    <w:rsid w:val="009D2394"/>
    <w:rsid w:val="009D2BCF"/>
    <w:rsid w:val="009D4DCC"/>
    <w:rsid w:val="009D4FD7"/>
    <w:rsid w:val="009D5B90"/>
    <w:rsid w:val="009D6275"/>
    <w:rsid w:val="009D6294"/>
    <w:rsid w:val="009D67BB"/>
    <w:rsid w:val="009D72CC"/>
    <w:rsid w:val="009D75BF"/>
    <w:rsid w:val="009E117A"/>
    <w:rsid w:val="009E2886"/>
    <w:rsid w:val="009E2FA9"/>
    <w:rsid w:val="009E4221"/>
    <w:rsid w:val="009E430F"/>
    <w:rsid w:val="009E4586"/>
    <w:rsid w:val="009E49E6"/>
    <w:rsid w:val="009E59F0"/>
    <w:rsid w:val="009E6DB0"/>
    <w:rsid w:val="009E708F"/>
    <w:rsid w:val="009E76B6"/>
    <w:rsid w:val="009E7AA6"/>
    <w:rsid w:val="009F0711"/>
    <w:rsid w:val="009F14B0"/>
    <w:rsid w:val="009F15A7"/>
    <w:rsid w:val="009F195D"/>
    <w:rsid w:val="009F2AF4"/>
    <w:rsid w:val="009F2CC8"/>
    <w:rsid w:val="009F2CF1"/>
    <w:rsid w:val="009F376F"/>
    <w:rsid w:val="009F3813"/>
    <w:rsid w:val="009F38B7"/>
    <w:rsid w:val="009F4CCA"/>
    <w:rsid w:val="009F4CF5"/>
    <w:rsid w:val="009F5422"/>
    <w:rsid w:val="009F5908"/>
    <w:rsid w:val="009F5C55"/>
    <w:rsid w:val="009F63B4"/>
    <w:rsid w:val="009F6646"/>
    <w:rsid w:val="009F6843"/>
    <w:rsid w:val="00A00036"/>
    <w:rsid w:val="00A01196"/>
    <w:rsid w:val="00A013CF"/>
    <w:rsid w:val="00A021D3"/>
    <w:rsid w:val="00A02899"/>
    <w:rsid w:val="00A02C0F"/>
    <w:rsid w:val="00A033A8"/>
    <w:rsid w:val="00A03547"/>
    <w:rsid w:val="00A03595"/>
    <w:rsid w:val="00A0382E"/>
    <w:rsid w:val="00A0403B"/>
    <w:rsid w:val="00A04893"/>
    <w:rsid w:val="00A065F6"/>
    <w:rsid w:val="00A067A5"/>
    <w:rsid w:val="00A06C8A"/>
    <w:rsid w:val="00A06D4A"/>
    <w:rsid w:val="00A070BC"/>
    <w:rsid w:val="00A109AF"/>
    <w:rsid w:val="00A1202C"/>
    <w:rsid w:val="00A12B85"/>
    <w:rsid w:val="00A1385D"/>
    <w:rsid w:val="00A13BC4"/>
    <w:rsid w:val="00A1622C"/>
    <w:rsid w:val="00A1643D"/>
    <w:rsid w:val="00A16845"/>
    <w:rsid w:val="00A16B86"/>
    <w:rsid w:val="00A16E04"/>
    <w:rsid w:val="00A176B1"/>
    <w:rsid w:val="00A22216"/>
    <w:rsid w:val="00A22AB3"/>
    <w:rsid w:val="00A22BB9"/>
    <w:rsid w:val="00A23319"/>
    <w:rsid w:val="00A236D2"/>
    <w:rsid w:val="00A24849"/>
    <w:rsid w:val="00A25EA6"/>
    <w:rsid w:val="00A26E24"/>
    <w:rsid w:val="00A2731F"/>
    <w:rsid w:val="00A27CFD"/>
    <w:rsid w:val="00A27D82"/>
    <w:rsid w:val="00A303D0"/>
    <w:rsid w:val="00A31430"/>
    <w:rsid w:val="00A31B5F"/>
    <w:rsid w:val="00A32D5C"/>
    <w:rsid w:val="00A32E19"/>
    <w:rsid w:val="00A33974"/>
    <w:rsid w:val="00A348C7"/>
    <w:rsid w:val="00A36530"/>
    <w:rsid w:val="00A36D56"/>
    <w:rsid w:val="00A378D0"/>
    <w:rsid w:val="00A37F11"/>
    <w:rsid w:val="00A40749"/>
    <w:rsid w:val="00A40F4B"/>
    <w:rsid w:val="00A425B1"/>
    <w:rsid w:val="00A42789"/>
    <w:rsid w:val="00A42C37"/>
    <w:rsid w:val="00A43010"/>
    <w:rsid w:val="00A43447"/>
    <w:rsid w:val="00A43538"/>
    <w:rsid w:val="00A4380B"/>
    <w:rsid w:val="00A43BBD"/>
    <w:rsid w:val="00A44E09"/>
    <w:rsid w:val="00A45AB1"/>
    <w:rsid w:val="00A45C63"/>
    <w:rsid w:val="00A46DA4"/>
    <w:rsid w:val="00A47910"/>
    <w:rsid w:val="00A50695"/>
    <w:rsid w:val="00A5099B"/>
    <w:rsid w:val="00A50DA5"/>
    <w:rsid w:val="00A51051"/>
    <w:rsid w:val="00A517BD"/>
    <w:rsid w:val="00A53983"/>
    <w:rsid w:val="00A53DEB"/>
    <w:rsid w:val="00A54353"/>
    <w:rsid w:val="00A5480F"/>
    <w:rsid w:val="00A55B62"/>
    <w:rsid w:val="00A55F8A"/>
    <w:rsid w:val="00A56900"/>
    <w:rsid w:val="00A56B9E"/>
    <w:rsid w:val="00A60D37"/>
    <w:rsid w:val="00A61FCC"/>
    <w:rsid w:val="00A62423"/>
    <w:rsid w:val="00A62592"/>
    <w:rsid w:val="00A6260E"/>
    <w:rsid w:val="00A62EF1"/>
    <w:rsid w:val="00A63700"/>
    <w:rsid w:val="00A63FDF"/>
    <w:rsid w:val="00A6441D"/>
    <w:rsid w:val="00A64804"/>
    <w:rsid w:val="00A64A1A"/>
    <w:rsid w:val="00A65038"/>
    <w:rsid w:val="00A652F8"/>
    <w:rsid w:val="00A65C7E"/>
    <w:rsid w:val="00A674F4"/>
    <w:rsid w:val="00A707FD"/>
    <w:rsid w:val="00A711FC"/>
    <w:rsid w:val="00A7194F"/>
    <w:rsid w:val="00A721C2"/>
    <w:rsid w:val="00A722BF"/>
    <w:rsid w:val="00A72562"/>
    <w:rsid w:val="00A72BB1"/>
    <w:rsid w:val="00A731DD"/>
    <w:rsid w:val="00A73624"/>
    <w:rsid w:val="00A73A69"/>
    <w:rsid w:val="00A7409C"/>
    <w:rsid w:val="00A74567"/>
    <w:rsid w:val="00A76FFE"/>
    <w:rsid w:val="00A81818"/>
    <w:rsid w:val="00A82E58"/>
    <w:rsid w:val="00A831DB"/>
    <w:rsid w:val="00A83D42"/>
    <w:rsid w:val="00A840C1"/>
    <w:rsid w:val="00A842DB"/>
    <w:rsid w:val="00A84E76"/>
    <w:rsid w:val="00A856A7"/>
    <w:rsid w:val="00A871F4"/>
    <w:rsid w:val="00A87E7C"/>
    <w:rsid w:val="00A87FF1"/>
    <w:rsid w:val="00A90A48"/>
    <w:rsid w:val="00A90E0F"/>
    <w:rsid w:val="00A914C0"/>
    <w:rsid w:val="00A9344A"/>
    <w:rsid w:val="00A934F6"/>
    <w:rsid w:val="00A93BBD"/>
    <w:rsid w:val="00A95375"/>
    <w:rsid w:val="00A9561B"/>
    <w:rsid w:val="00A95AA7"/>
    <w:rsid w:val="00A96D56"/>
    <w:rsid w:val="00A97D1C"/>
    <w:rsid w:val="00A97D5E"/>
    <w:rsid w:val="00AA1870"/>
    <w:rsid w:val="00AA1FC7"/>
    <w:rsid w:val="00AA23D1"/>
    <w:rsid w:val="00AA2C04"/>
    <w:rsid w:val="00AA2D00"/>
    <w:rsid w:val="00AA31B4"/>
    <w:rsid w:val="00AA3606"/>
    <w:rsid w:val="00AA4A84"/>
    <w:rsid w:val="00AA55F7"/>
    <w:rsid w:val="00AA5F3C"/>
    <w:rsid w:val="00AA6160"/>
    <w:rsid w:val="00AA62FF"/>
    <w:rsid w:val="00AA6810"/>
    <w:rsid w:val="00AA6964"/>
    <w:rsid w:val="00AA6C89"/>
    <w:rsid w:val="00AB0175"/>
    <w:rsid w:val="00AB0C5A"/>
    <w:rsid w:val="00AB4A67"/>
    <w:rsid w:val="00AB4BA3"/>
    <w:rsid w:val="00AB4C0E"/>
    <w:rsid w:val="00AB626E"/>
    <w:rsid w:val="00AB64CF"/>
    <w:rsid w:val="00AB6C4E"/>
    <w:rsid w:val="00AC0306"/>
    <w:rsid w:val="00AC0C9A"/>
    <w:rsid w:val="00AC0F04"/>
    <w:rsid w:val="00AC1153"/>
    <w:rsid w:val="00AC1AED"/>
    <w:rsid w:val="00AC282F"/>
    <w:rsid w:val="00AC2CD8"/>
    <w:rsid w:val="00AC387F"/>
    <w:rsid w:val="00AC529F"/>
    <w:rsid w:val="00AC62AF"/>
    <w:rsid w:val="00AC6A05"/>
    <w:rsid w:val="00AC737C"/>
    <w:rsid w:val="00AD0B56"/>
    <w:rsid w:val="00AD180B"/>
    <w:rsid w:val="00AD26ED"/>
    <w:rsid w:val="00AD27ED"/>
    <w:rsid w:val="00AD3AD3"/>
    <w:rsid w:val="00AD3DC6"/>
    <w:rsid w:val="00AD4957"/>
    <w:rsid w:val="00AD60F1"/>
    <w:rsid w:val="00AD7B7F"/>
    <w:rsid w:val="00AE0132"/>
    <w:rsid w:val="00AE02AF"/>
    <w:rsid w:val="00AE0A93"/>
    <w:rsid w:val="00AE0BDA"/>
    <w:rsid w:val="00AE17C4"/>
    <w:rsid w:val="00AE195A"/>
    <w:rsid w:val="00AE5570"/>
    <w:rsid w:val="00AE5D5E"/>
    <w:rsid w:val="00AE63E2"/>
    <w:rsid w:val="00AE6997"/>
    <w:rsid w:val="00AE69DD"/>
    <w:rsid w:val="00AF01D5"/>
    <w:rsid w:val="00AF0AD2"/>
    <w:rsid w:val="00AF18C7"/>
    <w:rsid w:val="00AF2404"/>
    <w:rsid w:val="00AF25A0"/>
    <w:rsid w:val="00AF2FE1"/>
    <w:rsid w:val="00AF44CD"/>
    <w:rsid w:val="00AF51DF"/>
    <w:rsid w:val="00AF62BD"/>
    <w:rsid w:val="00AF636B"/>
    <w:rsid w:val="00AF69C5"/>
    <w:rsid w:val="00AF6C57"/>
    <w:rsid w:val="00AF772B"/>
    <w:rsid w:val="00B000AE"/>
    <w:rsid w:val="00B00BFE"/>
    <w:rsid w:val="00B00D6D"/>
    <w:rsid w:val="00B01A5B"/>
    <w:rsid w:val="00B027F6"/>
    <w:rsid w:val="00B03283"/>
    <w:rsid w:val="00B033FB"/>
    <w:rsid w:val="00B04215"/>
    <w:rsid w:val="00B04397"/>
    <w:rsid w:val="00B0460A"/>
    <w:rsid w:val="00B04890"/>
    <w:rsid w:val="00B0494D"/>
    <w:rsid w:val="00B05716"/>
    <w:rsid w:val="00B076B9"/>
    <w:rsid w:val="00B10CB6"/>
    <w:rsid w:val="00B112D9"/>
    <w:rsid w:val="00B11396"/>
    <w:rsid w:val="00B12AD8"/>
    <w:rsid w:val="00B12F38"/>
    <w:rsid w:val="00B14317"/>
    <w:rsid w:val="00B157CF"/>
    <w:rsid w:val="00B15E34"/>
    <w:rsid w:val="00B16508"/>
    <w:rsid w:val="00B175C7"/>
    <w:rsid w:val="00B200AE"/>
    <w:rsid w:val="00B207A2"/>
    <w:rsid w:val="00B20C93"/>
    <w:rsid w:val="00B2125E"/>
    <w:rsid w:val="00B21383"/>
    <w:rsid w:val="00B213A8"/>
    <w:rsid w:val="00B21DAB"/>
    <w:rsid w:val="00B22A80"/>
    <w:rsid w:val="00B22D3B"/>
    <w:rsid w:val="00B238B4"/>
    <w:rsid w:val="00B23E48"/>
    <w:rsid w:val="00B241BE"/>
    <w:rsid w:val="00B24291"/>
    <w:rsid w:val="00B24E84"/>
    <w:rsid w:val="00B259D8"/>
    <w:rsid w:val="00B25A1A"/>
    <w:rsid w:val="00B262BA"/>
    <w:rsid w:val="00B26C11"/>
    <w:rsid w:val="00B26E5F"/>
    <w:rsid w:val="00B27AC5"/>
    <w:rsid w:val="00B27E9A"/>
    <w:rsid w:val="00B31A19"/>
    <w:rsid w:val="00B31EB6"/>
    <w:rsid w:val="00B3322B"/>
    <w:rsid w:val="00B3375C"/>
    <w:rsid w:val="00B33A74"/>
    <w:rsid w:val="00B3454D"/>
    <w:rsid w:val="00B348B5"/>
    <w:rsid w:val="00B353DF"/>
    <w:rsid w:val="00B361E0"/>
    <w:rsid w:val="00B363A1"/>
    <w:rsid w:val="00B36A08"/>
    <w:rsid w:val="00B4096F"/>
    <w:rsid w:val="00B4104B"/>
    <w:rsid w:val="00B41EF6"/>
    <w:rsid w:val="00B41F82"/>
    <w:rsid w:val="00B42887"/>
    <w:rsid w:val="00B42A0C"/>
    <w:rsid w:val="00B433CE"/>
    <w:rsid w:val="00B43C8E"/>
    <w:rsid w:val="00B44381"/>
    <w:rsid w:val="00B446A4"/>
    <w:rsid w:val="00B44F16"/>
    <w:rsid w:val="00B46AB0"/>
    <w:rsid w:val="00B46D9F"/>
    <w:rsid w:val="00B46ED9"/>
    <w:rsid w:val="00B47599"/>
    <w:rsid w:val="00B47BBF"/>
    <w:rsid w:val="00B5196D"/>
    <w:rsid w:val="00B52158"/>
    <w:rsid w:val="00B52556"/>
    <w:rsid w:val="00B52836"/>
    <w:rsid w:val="00B52AFA"/>
    <w:rsid w:val="00B53F0D"/>
    <w:rsid w:val="00B546E1"/>
    <w:rsid w:val="00B54754"/>
    <w:rsid w:val="00B55AB9"/>
    <w:rsid w:val="00B55BB8"/>
    <w:rsid w:val="00B56393"/>
    <w:rsid w:val="00B563C8"/>
    <w:rsid w:val="00B56AF4"/>
    <w:rsid w:val="00B6053D"/>
    <w:rsid w:val="00B60C24"/>
    <w:rsid w:val="00B617C2"/>
    <w:rsid w:val="00B62722"/>
    <w:rsid w:val="00B62F0B"/>
    <w:rsid w:val="00B6306E"/>
    <w:rsid w:val="00B63D3D"/>
    <w:rsid w:val="00B65A7A"/>
    <w:rsid w:val="00B66128"/>
    <w:rsid w:val="00B67B38"/>
    <w:rsid w:val="00B67FAC"/>
    <w:rsid w:val="00B7088F"/>
    <w:rsid w:val="00B70AD7"/>
    <w:rsid w:val="00B72C5C"/>
    <w:rsid w:val="00B73A9F"/>
    <w:rsid w:val="00B73F62"/>
    <w:rsid w:val="00B73FFD"/>
    <w:rsid w:val="00B74247"/>
    <w:rsid w:val="00B75725"/>
    <w:rsid w:val="00B7701A"/>
    <w:rsid w:val="00B8048E"/>
    <w:rsid w:val="00B80B68"/>
    <w:rsid w:val="00B80C5F"/>
    <w:rsid w:val="00B81B47"/>
    <w:rsid w:val="00B82607"/>
    <w:rsid w:val="00B82F4C"/>
    <w:rsid w:val="00B83C5A"/>
    <w:rsid w:val="00B83F66"/>
    <w:rsid w:val="00B84960"/>
    <w:rsid w:val="00B869CB"/>
    <w:rsid w:val="00B8739B"/>
    <w:rsid w:val="00B878EA"/>
    <w:rsid w:val="00B87968"/>
    <w:rsid w:val="00B904AE"/>
    <w:rsid w:val="00B90C07"/>
    <w:rsid w:val="00B91585"/>
    <w:rsid w:val="00B917AC"/>
    <w:rsid w:val="00B92BDE"/>
    <w:rsid w:val="00B92D72"/>
    <w:rsid w:val="00B92E85"/>
    <w:rsid w:val="00B932F7"/>
    <w:rsid w:val="00B94AD0"/>
    <w:rsid w:val="00B95908"/>
    <w:rsid w:val="00B97326"/>
    <w:rsid w:val="00BA0609"/>
    <w:rsid w:val="00BA0735"/>
    <w:rsid w:val="00BA09C8"/>
    <w:rsid w:val="00BA140A"/>
    <w:rsid w:val="00BA2859"/>
    <w:rsid w:val="00BA3E11"/>
    <w:rsid w:val="00BA44E9"/>
    <w:rsid w:val="00BA4842"/>
    <w:rsid w:val="00BA51A1"/>
    <w:rsid w:val="00BA5234"/>
    <w:rsid w:val="00BA5697"/>
    <w:rsid w:val="00BA6105"/>
    <w:rsid w:val="00BA616F"/>
    <w:rsid w:val="00BA621B"/>
    <w:rsid w:val="00BA6257"/>
    <w:rsid w:val="00BA648A"/>
    <w:rsid w:val="00BA66F0"/>
    <w:rsid w:val="00BA7C07"/>
    <w:rsid w:val="00BA7E83"/>
    <w:rsid w:val="00BB0CF3"/>
    <w:rsid w:val="00BB0E11"/>
    <w:rsid w:val="00BB1CBA"/>
    <w:rsid w:val="00BB29FB"/>
    <w:rsid w:val="00BB2C5B"/>
    <w:rsid w:val="00BB3C95"/>
    <w:rsid w:val="00BB5315"/>
    <w:rsid w:val="00BB5693"/>
    <w:rsid w:val="00BB5707"/>
    <w:rsid w:val="00BB5D82"/>
    <w:rsid w:val="00BB6044"/>
    <w:rsid w:val="00BC0166"/>
    <w:rsid w:val="00BC041C"/>
    <w:rsid w:val="00BC0434"/>
    <w:rsid w:val="00BC0D2D"/>
    <w:rsid w:val="00BC1159"/>
    <w:rsid w:val="00BC1A2A"/>
    <w:rsid w:val="00BC2093"/>
    <w:rsid w:val="00BC26D9"/>
    <w:rsid w:val="00BC364A"/>
    <w:rsid w:val="00BC4E90"/>
    <w:rsid w:val="00BC4F45"/>
    <w:rsid w:val="00BC6191"/>
    <w:rsid w:val="00BC79CD"/>
    <w:rsid w:val="00BC7D4B"/>
    <w:rsid w:val="00BC7FA1"/>
    <w:rsid w:val="00BD1934"/>
    <w:rsid w:val="00BD1D17"/>
    <w:rsid w:val="00BD280E"/>
    <w:rsid w:val="00BD2A9F"/>
    <w:rsid w:val="00BD2F9F"/>
    <w:rsid w:val="00BD35AB"/>
    <w:rsid w:val="00BD3D42"/>
    <w:rsid w:val="00BD470E"/>
    <w:rsid w:val="00BD5894"/>
    <w:rsid w:val="00BD65DE"/>
    <w:rsid w:val="00BD6CD2"/>
    <w:rsid w:val="00BE005C"/>
    <w:rsid w:val="00BE04DD"/>
    <w:rsid w:val="00BE0B44"/>
    <w:rsid w:val="00BE0DAA"/>
    <w:rsid w:val="00BE10C4"/>
    <w:rsid w:val="00BE11A7"/>
    <w:rsid w:val="00BE12C3"/>
    <w:rsid w:val="00BE2EA1"/>
    <w:rsid w:val="00BE31BE"/>
    <w:rsid w:val="00BE323A"/>
    <w:rsid w:val="00BE3620"/>
    <w:rsid w:val="00BE3B5C"/>
    <w:rsid w:val="00BE41CF"/>
    <w:rsid w:val="00BE4954"/>
    <w:rsid w:val="00BE56E8"/>
    <w:rsid w:val="00BE57F9"/>
    <w:rsid w:val="00BE5C1E"/>
    <w:rsid w:val="00BE63A9"/>
    <w:rsid w:val="00BE6762"/>
    <w:rsid w:val="00BE6B26"/>
    <w:rsid w:val="00BE6DEB"/>
    <w:rsid w:val="00BE713F"/>
    <w:rsid w:val="00BF0262"/>
    <w:rsid w:val="00BF0308"/>
    <w:rsid w:val="00BF2A85"/>
    <w:rsid w:val="00BF38A4"/>
    <w:rsid w:val="00BF50AD"/>
    <w:rsid w:val="00BF5D60"/>
    <w:rsid w:val="00BF5FE9"/>
    <w:rsid w:val="00BF68DC"/>
    <w:rsid w:val="00BF6ECA"/>
    <w:rsid w:val="00BF721D"/>
    <w:rsid w:val="00C00B21"/>
    <w:rsid w:val="00C00CA1"/>
    <w:rsid w:val="00C01F83"/>
    <w:rsid w:val="00C02134"/>
    <w:rsid w:val="00C0304D"/>
    <w:rsid w:val="00C03376"/>
    <w:rsid w:val="00C03815"/>
    <w:rsid w:val="00C03817"/>
    <w:rsid w:val="00C057F2"/>
    <w:rsid w:val="00C05A91"/>
    <w:rsid w:val="00C1038C"/>
    <w:rsid w:val="00C11442"/>
    <w:rsid w:val="00C12137"/>
    <w:rsid w:val="00C13E90"/>
    <w:rsid w:val="00C15A67"/>
    <w:rsid w:val="00C15FB2"/>
    <w:rsid w:val="00C161D1"/>
    <w:rsid w:val="00C1654F"/>
    <w:rsid w:val="00C1685D"/>
    <w:rsid w:val="00C16B48"/>
    <w:rsid w:val="00C16BE9"/>
    <w:rsid w:val="00C17113"/>
    <w:rsid w:val="00C17805"/>
    <w:rsid w:val="00C17E7D"/>
    <w:rsid w:val="00C20680"/>
    <w:rsid w:val="00C2126C"/>
    <w:rsid w:val="00C21DE5"/>
    <w:rsid w:val="00C21EDA"/>
    <w:rsid w:val="00C22EDB"/>
    <w:rsid w:val="00C22F63"/>
    <w:rsid w:val="00C23C7C"/>
    <w:rsid w:val="00C25663"/>
    <w:rsid w:val="00C2648D"/>
    <w:rsid w:val="00C305CF"/>
    <w:rsid w:val="00C312FF"/>
    <w:rsid w:val="00C319CF"/>
    <w:rsid w:val="00C32764"/>
    <w:rsid w:val="00C32A4C"/>
    <w:rsid w:val="00C339A2"/>
    <w:rsid w:val="00C33B0C"/>
    <w:rsid w:val="00C33BDF"/>
    <w:rsid w:val="00C343A4"/>
    <w:rsid w:val="00C34951"/>
    <w:rsid w:val="00C355AB"/>
    <w:rsid w:val="00C356E6"/>
    <w:rsid w:val="00C36971"/>
    <w:rsid w:val="00C37656"/>
    <w:rsid w:val="00C407ED"/>
    <w:rsid w:val="00C40BE7"/>
    <w:rsid w:val="00C40C1D"/>
    <w:rsid w:val="00C40CEE"/>
    <w:rsid w:val="00C4109D"/>
    <w:rsid w:val="00C41B05"/>
    <w:rsid w:val="00C420C4"/>
    <w:rsid w:val="00C4210F"/>
    <w:rsid w:val="00C43C48"/>
    <w:rsid w:val="00C44230"/>
    <w:rsid w:val="00C44EE5"/>
    <w:rsid w:val="00C45393"/>
    <w:rsid w:val="00C4646F"/>
    <w:rsid w:val="00C476DA"/>
    <w:rsid w:val="00C47C2C"/>
    <w:rsid w:val="00C47DEE"/>
    <w:rsid w:val="00C50AA7"/>
    <w:rsid w:val="00C51890"/>
    <w:rsid w:val="00C52E34"/>
    <w:rsid w:val="00C53144"/>
    <w:rsid w:val="00C533C4"/>
    <w:rsid w:val="00C53EE7"/>
    <w:rsid w:val="00C540A7"/>
    <w:rsid w:val="00C55486"/>
    <w:rsid w:val="00C5566B"/>
    <w:rsid w:val="00C55BDB"/>
    <w:rsid w:val="00C55C03"/>
    <w:rsid w:val="00C562CF"/>
    <w:rsid w:val="00C564E7"/>
    <w:rsid w:val="00C571A6"/>
    <w:rsid w:val="00C5795E"/>
    <w:rsid w:val="00C57EFB"/>
    <w:rsid w:val="00C60609"/>
    <w:rsid w:val="00C606EA"/>
    <w:rsid w:val="00C60ACF"/>
    <w:rsid w:val="00C617FB"/>
    <w:rsid w:val="00C61C2E"/>
    <w:rsid w:val="00C646B4"/>
    <w:rsid w:val="00C65049"/>
    <w:rsid w:val="00C6536A"/>
    <w:rsid w:val="00C65705"/>
    <w:rsid w:val="00C670C2"/>
    <w:rsid w:val="00C70464"/>
    <w:rsid w:val="00C704DF"/>
    <w:rsid w:val="00C70B76"/>
    <w:rsid w:val="00C71955"/>
    <w:rsid w:val="00C71F82"/>
    <w:rsid w:val="00C72B55"/>
    <w:rsid w:val="00C73044"/>
    <w:rsid w:val="00C73DA6"/>
    <w:rsid w:val="00C73F58"/>
    <w:rsid w:val="00C749F6"/>
    <w:rsid w:val="00C74FFE"/>
    <w:rsid w:val="00C75348"/>
    <w:rsid w:val="00C75826"/>
    <w:rsid w:val="00C76D6F"/>
    <w:rsid w:val="00C77350"/>
    <w:rsid w:val="00C775A7"/>
    <w:rsid w:val="00C77957"/>
    <w:rsid w:val="00C823A0"/>
    <w:rsid w:val="00C8318B"/>
    <w:rsid w:val="00C83411"/>
    <w:rsid w:val="00C83830"/>
    <w:rsid w:val="00C83C4B"/>
    <w:rsid w:val="00C84FCF"/>
    <w:rsid w:val="00C85294"/>
    <w:rsid w:val="00C85AF5"/>
    <w:rsid w:val="00C86519"/>
    <w:rsid w:val="00C868BA"/>
    <w:rsid w:val="00C87BB0"/>
    <w:rsid w:val="00C87F0B"/>
    <w:rsid w:val="00C912A4"/>
    <w:rsid w:val="00C91B8F"/>
    <w:rsid w:val="00C927ED"/>
    <w:rsid w:val="00C92962"/>
    <w:rsid w:val="00C939E4"/>
    <w:rsid w:val="00C942DA"/>
    <w:rsid w:val="00C94374"/>
    <w:rsid w:val="00C952FD"/>
    <w:rsid w:val="00C95915"/>
    <w:rsid w:val="00C95CB8"/>
    <w:rsid w:val="00C95DD6"/>
    <w:rsid w:val="00C966B3"/>
    <w:rsid w:val="00C96791"/>
    <w:rsid w:val="00C96901"/>
    <w:rsid w:val="00C9750D"/>
    <w:rsid w:val="00C97752"/>
    <w:rsid w:val="00C97EA1"/>
    <w:rsid w:val="00CA0CF1"/>
    <w:rsid w:val="00CA0F9F"/>
    <w:rsid w:val="00CA1A9D"/>
    <w:rsid w:val="00CA246C"/>
    <w:rsid w:val="00CA28BE"/>
    <w:rsid w:val="00CA31A6"/>
    <w:rsid w:val="00CA361E"/>
    <w:rsid w:val="00CA4190"/>
    <w:rsid w:val="00CA458F"/>
    <w:rsid w:val="00CA45D2"/>
    <w:rsid w:val="00CA4927"/>
    <w:rsid w:val="00CA4F3F"/>
    <w:rsid w:val="00CA5016"/>
    <w:rsid w:val="00CA5B54"/>
    <w:rsid w:val="00CA62AC"/>
    <w:rsid w:val="00CA685F"/>
    <w:rsid w:val="00CA702C"/>
    <w:rsid w:val="00CA7C68"/>
    <w:rsid w:val="00CA7CC4"/>
    <w:rsid w:val="00CB0C89"/>
    <w:rsid w:val="00CB192A"/>
    <w:rsid w:val="00CB1C14"/>
    <w:rsid w:val="00CB1F85"/>
    <w:rsid w:val="00CB4316"/>
    <w:rsid w:val="00CB47EF"/>
    <w:rsid w:val="00CB4A90"/>
    <w:rsid w:val="00CB4E3F"/>
    <w:rsid w:val="00CB5736"/>
    <w:rsid w:val="00CB5C3F"/>
    <w:rsid w:val="00CB6126"/>
    <w:rsid w:val="00CB6359"/>
    <w:rsid w:val="00CB651A"/>
    <w:rsid w:val="00CB66B5"/>
    <w:rsid w:val="00CB6EF5"/>
    <w:rsid w:val="00CC083A"/>
    <w:rsid w:val="00CC0B5F"/>
    <w:rsid w:val="00CC1466"/>
    <w:rsid w:val="00CC15BA"/>
    <w:rsid w:val="00CC240B"/>
    <w:rsid w:val="00CC316C"/>
    <w:rsid w:val="00CC31EF"/>
    <w:rsid w:val="00CC3E61"/>
    <w:rsid w:val="00CC48F2"/>
    <w:rsid w:val="00CC497B"/>
    <w:rsid w:val="00CC4BFB"/>
    <w:rsid w:val="00CC4C68"/>
    <w:rsid w:val="00CC50F5"/>
    <w:rsid w:val="00CC5481"/>
    <w:rsid w:val="00CC677D"/>
    <w:rsid w:val="00CC6953"/>
    <w:rsid w:val="00CC6C44"/>
    <w:rsid w:val="00CC7AB4"/>
    <w:rsid w:val="00CC7B05"/>
    <w:rsid w:val="00CD0701"/>
    <w:rsid w:val="00CD3739"/>
    <w:rsid w:val="00CD41EA"/>
    <w:rsid w:val="00CD4744"/>
    <w:rsid w:val="00CD493B"/>
    <w:rsid w:val="00CD4B1F"/>
    <w:rsid w:val="00CD4C89"/>
    <w:rsid w:val="00CD50C9"/>
    <w:rsid w:val="00CD54EE"/>
    <w:rsid w:val="00CD623B"/>
    <w:rsid w:val="00CD64EF"/>
    <w:rsid w:val="00CD6BB8"/>
    <w:rsid w:val="00CD6EBC"/>
    <w:rsid w:val="00CE008D"/>
    <w:rsid w:val="00CE0E73"/>
    <w:rsid w:val="00CE1505"/>
    <w:rsid w:val="00CE1F47"/>
    <w:rsid w:val="00CE4207"/>
    <w:rsid w:val="00CE4CA6"/>
    <w:rsid w:val="00CE6865"/>
    <w:rsid w:val="00CE6923"/>
    <w:rsid w:val="00CE6B87"/>
    <w:rsid w:val="00CF052B"/>
    <w:rsid w:val="00CF0B66"/>
    <w:rsid w:val="00CF125E"/>
    <w:rsid w:val="00CF15E9"/>
    <w:rsid w:val="00CF2A7F"/>
    <w:rsid w:val="00CF3EF4"/>
    <w:rsid w:val="00CF40D3"/>
    <w:rsid w:val="00CF41E9"/>
    <w:rsid w:val="00CF4A54"/>
    <w:rsid w:val="00CF568E"/>
    <w:rsid w:val="00CF57EB"/>
    <w:rsid w:val="00CF6799"/>
    <w:rsid w:val="00CF75D5"/>
    <w:rsid w:val="00CF795A"/>
    <w:rsid w:val="00CF7A53"/>
    <w:rsid w:val="00CF7C6F"/>
    <w:rsid w:val="00CF7F30"/>
    <w:rsid w:val="00D004A0"/>
    <w:rsid w:val="00D01390"/>
    <w:rsid w:val="00D02E57"/>
    <w:rsid w:val="00D03246"/>
    <w:rsid w:val="00D036C5"/>
    <w:rsid w:val="00D036D5"/>
    <w:rsid w:val="00D03782"/>
    <w:rsid w:val="00D03C0F"/>
    <w:rsid w:val="00D053AB"/>
    <w:rsid w:val="00D071A3"/>
    <w:rsid w:val="00D0753E"/>
    <w:rsid w:val="00D079BF"/>
    <w:rsid w:val="00D07C17"/>
    <w:rsid w:val="00D07C39"/>
    <w:rsid w:val="00D1034D"/>
    <w:rsid w:val="00D11F02"/>
    <w:rsid w:val="00D1268D"/>
    <w:rsid w:val="00D12D85"/>
    <w:rsid w:val="00D133A9"/>
    <w:rsid w:val="00D13431"/>
    <w:rsid w:val="00D13545"/>
    <w:rsid w:val="00D138B4"/>
    <w:rsid w:val="00D13C6C"/>
    <w:rsid w:val="00D13DD4"/>
    <w:rsid w:val="00D13F31"/>
    <w:rsid w:val="00D13F69"/>
    <w:rsid w:val="00D15894"/>
    <w:rsid w:val="00D15B2B"/>
    <w:rsid w:val="00D16630"/>
    <w:rsid w:val="00D16643"/>
    <w:rsid w:val="00D16EBE"/>
    <w:rsid w:val="00D17034"/>
    <w:rsid w:val="00D1787D"/>
    <w:rsid w:val="00D20320"/>
    <w:rsid w:val="00D2039B"/>
    <w:rsid w:val="00D20B0F"/>
    <w:rsid w:val="00D20D2E"/>
    <w:rsid w:val="00D21089"/>
    <w:rsid w:val="00D2227E"/>
    <w:rsid w:val="00D2310D"/>
    <w:rsid w:val="00D23FA3"/>
    <w:rsid w:val="00D2511B"/>
    <w:rsid w:val="00D25751"/>
    <w:rsid w:val="00D258EF"/>
    <w:rsid w:val="00D267F6"/>
    <w:rsid w:val="00D26EDC"/>
    <w:rsid w:val="00D27D1D"/>
    <w:rsid w:val="00D3051F"/>
    <w:rsid w:val="00D3056E"/>
    <w:rsid w:val="00D30C27"/>
    <w:rsid w:val="00D30D78"/>
    <w:rsid w:val="00D310B3"/>
    <w:rsid w:val="00D3129A"/>
    <w:rsid w:val="00D317C1"/>
    <w:rsid w:val="00D32A7A"/>
    <w:rsid w:val="00D32FFB"/>
    <w:rsid w:val="00D34129"/>
    <w:rsid w:val="00D34DDE"/>
    <w:rsid w:val="00D352EA"/>
    <w:rsid w:val="00D35364"/>
    <w:rsid w:val="00D36F8B"/>
    <w:rsid w:val="00D37BE9"/>
    <w:rsid w:val="00D400CE"/>
    <w:rsid w:val="00D4377D"/>
    <w:rsid w:val="00D43D15"/>
    <w:rsid w:val="00D43DE9"/>
    <w:rsid w:val="00D44625"/>
    <w:rsid w:val="00D449CF"/>
    <w:rsid w:val="00D44E88"/>
    <w:rsid w:val="00D45390"/>
    <w:rsid w:val="00D45481"/>
    <w:rsid w:val="00D468D4"/>
    <w:rsid w:val="00D4703D"/>
    <w:rsid w:val="00D47CBF"/>
    <w:rsid w:val="00D5081C"/>
    <w:rsid w:val="00D51201"/>
    <w:rsid w:val="00D51520"/>
    <w:rsid w:val="00D53988"/>
    <w:rsid w:val="00D53B9C"/>
    <w:rsid w:val="00D53E69"/>
    <w:rsid w:val="00D55040"/>
    <w:rsid w:val="00D55682"/>
    <w:rsid w:val="00D56393"/>
    <w:rsid w:val="00D571F4"/>
    <w:rsid w:val="00D577C7"/>
    <w:rsid w:val="00D57B9B"/>
    <w:rsid w:val="00D57D9A"/>
    <w:rsid w:val="00D61681"/>
    <w:rsid w:val="00D61BAD"/>
    <w:rsid w:val="00D61C3C"/>
    <w:rsid w:val="00D61E13"/>
    <w:rsid w:val="00D6213C"/>
    <w:rsid w:val="00D629E6"/>
    <w:rsid w:val="00D62EF4"/>
    <w:rsid w:val="00D630F4"/>
    <w:rsid w:val="00D63188"/>
    <w:rsid w:val="00D63BF5"/>
    <w:rsid w:val="00D64336"/>
    <w:rsid w:val="00D64BA6"/>
    <w:rsid w:val="00D64CF9"/>
    <w:rsid w:val="00D6545F"/>
    <w:rsid w:val="00D65778"/>
    <w:rsid w:val="00D657C7"/>
    <w:rsid w:val="00D66831"/>
    <w:rsid w:val="00D668DB"/>
    <w:rsid w:val="00D67F87"/>
    <w:rsid w:val="00D706A8"/>
    <w:rsid w:val="00D709F6"/>
    <w:rsid w:val="00D7105A"/>
    <w:rsid w:val="00D720A2"/>
    <w:rsid w:val="00D72B3D"/>
    <w:rsid w:val="00D72CAC"/>
    <w:rsid w:val="00D72FB3"/>
    <w:rsid w:val="00D737AF"/>
    <w:rsid w:val="00D73B25"/>
    <w:rsid w:val="00D742CC"/>
    <w:rsid w:val="00D74C2D"/>
    <w:rsid w:val="00D776FA"/>
    <w:rsid w:val="00D77906"/>
    <w:rsid w:val="00D80270"/>
    <w:rsid w:val="00D80ACE"/>
    <w:rsid w:val="00D80E1C"/>
    <w:rsid w:val="00D8137E"/>
    <w:rsid w:val="00D814B4"/>
    <w:rsid w:val="00D822F4"/>
    <w:rsid w:val="00D8491F"/>
    <w:rsid w:val="00D84F95"/>
    <w:rsid w:val="00D85984"/>
    <w:rsid w:val="00D865EF"/>
    <w:rsid w:val="00D86F3E"/>
    <w:rsid w:val="00D86FD6"/>
    <w:rsid w:val="00D8787C"/>
    <w:rsid w:val="00D90018"/>
    <w:rsid w:val="00D90732"/>
    <w:rsid w:val="00D938AC"/>
    <w:rsid w:val="00D956C2"/>
    <w:rsid w:val="00D95F72"/>
    <w:rsid w:val="00D96E5F"/>
    <w:rsid w:val="00D97D50"/>
    <w:rsid w:val="00D97F18"/>
    <w:rsid w:val="00DA0A81"/>
    <w:rsid w:val="00DA0AD3"/>
    <w:rsid w:val="00DA1F0B"/>
    <w:rsid w:val="00DA3499"/>
    <w:rsid w:val="00DA380B"/>
    <w:rsid w:val="00DA39F4"/>
    <w:rsid w:val="00DA41CA"/>
    <w:rsid w:val="00DA55AD"/>
    <w:rsid w:val="00DA63CF"/>
    <w:rsid w:val="00DA63E1"/>
    <w:rsid w:val="00DA6686"/>
    <w:rsid w:val="00DA7516"/>
    <w:rsid w:val="00DA76AB"/>
    <w:rsid w:val="00DB035E"/>
    <w:rsid w:val="00DB03DB"/>
    <w:rsid w:val="00DB2081"/>
    <w:rsid w:val="00DB2A91"/>
    <w:rsid w:val="00DB3548"/>
    <w:rsid w:val="00DB387F"/>
    <w:rsid w:val="00DB3E3E"/>
    <w:rsid w:val="00DB4020"/>
    <w:rsid w:val="00DB4891"/>
    <w:rsid w:val="00DB5154"/>
    <w:rsid w:val="00DB5318"/>
    <w:rsid w:val="00DB5A70"/>
    <w:rsid w:val="00DB6218"/>
    <w:rsid w:val="00DB6348"/>
    <w:rsid w:val="00DB7BF2"/>
    <w:rsid w:val="00DC027D"/>
    <w:rsid w:val="00DC1880"/>
    <w:rsid w:val="00DC1BB5"/>
    <w:rsid w:val="00DC29AD"/>
    <w:rsid w:val="00DC2C9F"/>
    <w:rsid w:val="00DC310D"/>
    <w:rsid w:val="00DC38AA"/>
    <w:rsid w:val="00DC41BF"/>
    <w:rsid w:val="00DC42F3"/>
    <w:rsid w:val="00DC44F5"/>
    <w:rsid w:val="00DC71CA"/>
    <w:rsid w:val="00DC7B50"/>
    <w:rsid w:val="00DC7E22"/>
    <w:rsid w:val="00DD012E"/>
    <w:rsid w:val="00DD041C"/>
    <w:rsid w:val="00DD0739"/>
    <w:rsid w:val="00DD0E80"/>
    <w:rsid w:val="00DD0E90"/>
    <w:rsid w:val="00DD129A"/>
    <w:rsid w:val="00DD1627"/>
    <w:rsid w:val="00DD1B85"/>
    <w:rsid w:val="00DD1C6F"/>
    <w:rsid w:val="00DD1F6D"/>
    <w:rsid w:val="00DD2263"/>
    <w:rsid w:val="00DD270C"/>
    <w:rsid w:val="00DD2E5C"/>
    <w:rsid w:val="00DD33AD"/>
    <w:rsid w:val="00DD394D"/>
    <w:rsid w:val="00DD3A2A"/>
    <w:rsid w:val="00DD3F69"/>
    <w:rsid w:val="00DD54A2"/>
    <w:rsid w:val="00DD608E"/>
    <w:rsid w:val="00DE0544"/>
    <w:rsid w:val="00DE0C8C"/>
    <w:rsid w:val="00DE0F30"/>
    <w:rsid w:val="00DE2ACF"/>
    <w:rsid w:val="00DE2D57"/>
    <w:rsid w:val="00DE2ED7"/>
    <w:rsid w:val="00DE2F72"/>
    <w:rsid w:val="00DE325C"/>
    <w:rsid w:val="00DE36E1"/>
    <w:rsid w:val="00DE39C6"/>
    <w:rsid w:val="00DE42F2"/>
    <w:rsid w:val="00DE5E1B"/>
    <w:rsid w:val="00DE679E"/>
    <w:rsid w:val="00DE68DB"/>
    <w:rsid w:val="00DE699E"/>
    <w:rsid w:val="00DE75B2"/>
    <w:rsid w:val="00DE7CAC"/>
    <w:rsid w:val="00DF029F"/>
    <w:rsid w:val="00DF154F"/>
    <w:rsid w:val="00DF3436"/>
    <w:rsid w:val="00DF37BE"/>
    <w:rsid w:val="00DF501B"/>
    <w:rsid w:val="00DF51BB"/>
    <w:rsid w:val="00DF528F"/>
    <w:rsid w:val="00DF543B"/>
    <w:rsid w:val="00DF55D8"/>
    <w:rsid w:val="00DF65EB"/>
    <w:rsid w:val="00DF6862"/>
    <w:rsid w:val="00DF6A02"/>
    <w:rsid w:val="00DF75B9"/>
    <w:rsid w:val="00DF7FB5"/>
    <w:rsid w:val="00E00138"/>
    <w:rsid w:val="00E00291"/>
    <w:rsid w:val="00E00606"/>
    <w:rsid w:val="00E00748"/>
    <w:rsid w:val="00E00CF6"/>
    <w:rsid w:val="00E01000"/>
    <w:rsid w:val="00E011B6"/>
    <w:rsid w:val="00E01F4B"/>
    <w:rsid w:val="00E02398"/>
    <w:rsid w:val="00E02F53"/>
    <w:rsid w:val="00E03AE6"/>
    <w:rsid w:val="00E03CAD"/>
    <w:rsid w:val="00E0439E"/>
    <w:rsid w:val="00E04626"/>
    <w:rsid w:val="00E04BA3"/>
    <w:rsid w:val="00E059EB"/>
    <w:rsid w:val="00E065EE"/>
    <w:rsid w:val="00E06DD4"/>
    <w:rsid w:val="00E075C7"/>
    <w:rsid w:val="00E10DD0"/>
    <w:rsid w:val="00E10EAA"/>
    <w:rsid w:val="00E117DF"/>
    <w:rsid w:val="00E11916"/>
    <w:rsid w:val="00E11FA9"/>
    <w:rsid w:val="00E131AA"/>
    <w:rsid w:val="00E131D9"/>
    <w:rsid w:val="00E14483"/>
    <w:rsid w:val="00E147CF"/>
    <w:rsid w:val="00E156F9"/>
    <w:rsid w:val="00E15872"/>
    <w:rsid w:val="00E16BE3"/>
    <w:rsid w:val="00E16C82"/>
    <w:rsid w:val="00E16FD8"/>
    <w:rsid w:val="00E17528"/>
    <w:rsid w:val="00E2028F"/>
    <w:rsid w:val="00E20A95"/>
    <w:rsid w:val="00E21C97"/>
    <w:rsid w:val="00E2244F"/>
    <w:rsid w:val="00E22BBA"/>
    <w:rsid w:val="00E22C50"/>
    <w:rsid w:val="00E22F73"/>
    <w:rsid w:val="00E24315"/>
    <w:rsid w:val="00E24F20"/>
    <w:rsid w:val="00E2510B"/>
    <w:rsid w:val="00E256FA"/>
    <w:rsid w:val="00E2638E"/>
    <w:rsid w:val="00E264E8"/>
    <w:rsid w:val="00E26995"/>
    <w:rsid w:val="00E26E50"/>
    <w:rsid w:val="00E279BE"/>
    <w:rsid w:val="00E27C97"/>
    <w:rsid w:val="00E306FF"/>
    <w:rsid w:val="00E3296A"/>
    <w:rsid w:val="00E32C19"/>
    <w:rsid w:val="00E34FE4"/>
    <w:rsid w:val="00E374BB"/>
    <w:rsid w:val="00E37669"/>
    <w:rsid w:val="00E378FE"/>
    <w:rsid w:val="00E37C6E"/>
    <w:rsid w:val="00E37D74"/>
    <w:rsid w:val="00E42576"/>
    <w:rsid w:val="00E42B8D"/>
    <w:rsid w:val="00E42E1B"/>
    <w:rsid w:val="00E43468"/>
    <w:rsid w:val="00E4347D"/>
    <w:rsid w:val="00E4352B"/>
    <w:rsid w:val="00E4400E"/>
    <w:rsid w:val="00E44C03"/>
    <w:rsid w:val="00E450DD"/>
    <w:rsid w:val="00E45F1F"/>
    <w:rsid w:val="00E46BE5"/>
    <w:rsid w:val="00E46EDE"/>
    <w:rsid w:val="00E471BB"/>
    <w:rsid w:val="00E47910"/>
    <w:rsid w:val="00E50196"/>
    <w:rsid w:val="00E5282D"/>
    <w:rsid w:val="00E52C2A"/>
    <w:rsid w:val="00E52F55"/>
    <w:rsid w:val="00E53E16"/>
    <w:rsid w:val="00E53EE5"/>
    <w:rsid w:val="00E53EFC"/>
    <w:rsid w:val="00E54202"/>
    <w:rsid w:val="00E54637"/>
    <w:rsid w:val="00E54E92"/>
    <w:rsid w:val="00E552F0"/>
    <w:rsid w:val="00E55636"/>
    <w:rsid w:val="00E564A8"/>
    <w:rsid w:val="00E5717B"/>
    <w:rsid w:val="00E57785"/>
    <w:rsid w:val="00E57A9A"/>
    <w:rsid w:val="00E57DB7"/>
    <w:rsid w:val="00E603C6"/>
    <w:rsid w:val="00E60CA8"/>
    <w:rsid w:val="00E613D8"/>
    <w:rsid w:val="00E61849"/>
    <w:rsid w:val="00E61F34"/>
    <w:rsid w:val="00E63039"/>
    <w:rsid w:val="00E63660"/>
    <w:rsid w:val="00E642D9"/>
    <w:rsid w:val="00E642FA"/>
    <w:rsid w:val="00E64478"/>
    <w:rsid w:val="00E66139"/>
    <w:rsid w:val="00E6627C"/>
    <w:rsid w:val="00E6645D"/>
    <w:rsid w:val="00E664EA"/>
    <w:rsid w:val="00E669EA"/>
    <w:rsid w:val="00E674CD"/>
    <w:rsid w:val="00E67E65"/>
    <w:rsid w:val="00E7025A"/>
    <w:rsid w:val="00E718D0"/>
    <w:rsid w:val="00E71A98"/>
    <w:rsid w:val="00E73E3D"/>
    <w:rsid w:val="00E7448E"/>
    <w:rsid w:val="00E75E7E"/>
    <w:rsid w:val="00E75F54"/>
    <w:rsid w:val="00E76ABE"/>
    <w:rsid w:val="00E77712"/>
    <w:rsid w:val="00E77E38"/>
    <w:rsid w:val="00E8009F"/>
    <w:rsid w:val="00E8017B"/>
    <w:rsid w:val="00E801AD"/>
    <w:rsid w:val="00E80DBE"/>
    <w:rsid w:val="00E80FBA"/>
    <w:rsid w:val="00E81490"/>
    <w:rsid w:val="00E81967"/>
    <w:rsid w:val="00E81969"/>
    <w:rsid w:val="00E8381A"/>
    <w:rsid w:val="00E849B5"/>
    <w:rsid w:val="00E84B12"/>
    <w:rsid w:val="00E84FD0"/>
    <w:rsid w:val="00E85D19"/>
    <w:rsid w:val="00E860CA"/>
    <w:rsid w:val="00E86118"/>
    <w:rsid w:val="00E864D4"/>
    <w:rsid w:val="00E86AF6"/>
    <w:rsid w:val="00E87ADE"/>
    <w:rsid w:val="00E87C0B"/>
    <w:rsid w:val="00E87D3C"/>
    <w:rsid w:val="00E901EE"/>
    <w:rsid w:val="00E90A2C"/>
    <w:rsid w:val="00E90E3C"/>
    <w:rsid w:val="00E91525"/>
    <w:rsid w:val="00E918E1"/>
    <w:rsid w:val="00E9254F"/>
    <w:rsid w:val="00E92A8C"/>
    <w:rsid w:val="00E92C2E"/>
    <w:rsid w:val="00E947E9"/>
    <w:rsid w:val="00E95453"/>
    <w:rsid w:val="00E9549C"/>
    <w:rsid w:val="00E95AE6"/>
    <w:rsid w:val="00E97441"/>
    <w:rsid w:val="00E97D1C"/>
    <w:rsid w:val="00EA0312"/>
    <w:rsid w:val="00EA1BDF"/>
    <w:rsid w:val="00EA2226"/>
    <w:rsid w:val="00EA281B"/>
    <w:rsid w:val="00EA2A72"/>
    <w:rsid w:val="00EA2D53"/>
    <w:rsid w:val="00EA2FEB"/>
    <w:rsid w:val="00EA3104"/>
    <w:rsid w:val="00EA368E"/>
    <w:rsid w:val="00EA433B"/>
    <w:rsid w:val="00EA43DA"/>
    <w:rsid w:val="00EA4B7B"/>
    <w:rsid w:val="00EA4F76"/>
    <w:rsid w:val="00EA527E"/>
    <w:rsid w:val="00EA5D0A"/>
    <w:rsid w:val="00EA67E5"/>
    <w:rsid w:val="00EA68F6"/>
    <w:rsid w:val="00EA7172"/>
    <w:rsid w:val="00EA75D2"/>
    <w:rsid w:val="00EA7A31"/>
    <w:rsid w:val="00EB121E"/>
    <w:rsid w:val="00EB152F"/>
    <w:rsid w:val="00EB2E1D"/>
    <w:rsid w:val="00EB3366"/>
    <w:rsid w:val="00EB3461"/>
    <w:rsid w:val="00EB3A02"/>
    <w:rsid w:val="00EB61AF"/>
    <w:rsid w:val="00EB67F7"/>
    <w:rsid w:val="00EB6E2B"/>
    <w:rsid w:val="00EB7306"/>
    <w:rsid w:val="00EC249E"/>
    <w:rsid w:val="00EC2952"/>
    <w:rsid w:val="00EC2C98"/>
    <w:rsid w:val="00EC2D05"/>
    <w:rsid w:val="00EC44CB"/>
    <w:rsid w:val="00EC49F6"/>
    <w:rsid w:val="00EC507F"/>
    <w:rsid w:val="00EC6131"/>
    <w:rsid w:val="00EC7537"/>
    <w:rsid w:val="00ED0253"/>
    <w:rsid w:val="00ED089E"/>
    <w:rsid w:val="00ED10D5"/>
    <w:rsid w:val="00ED111A"/>
    <w:rsid w:val="00ED1531"/>
    <w:rsid w:val="00ED16A8"/>
    <w:rsid w:val="00ED23F6"/>
    <w:rsid w:val="00ED2843"/>
    <w:rsid w:val="00ED3DA8"/>
    <w:rsid w:val="00ED4462"/>
    <w:rsid w:val="00ED450B"/>
    <w:rsid w:val="00ED4845"/>
    <w:rsid w:val="00ED4B36"/>
    <w:rsid w:val="00ED5653"/>
    <w:rsid w:val="00ED5905"/>
    <w:rsid w:val="00ED615E"/>
    <w:rsid w:val="00ED6BC0"/>
    <w:rsid w:val="00ED72A4"/>
    <w:rsid w:val="00ED74D8"/>
    <w:rsid w:val="00ED7861"/>
    <w:rsid w:val="00EE070B"/>
    <w:rsid w:val="00EE0EE5"/>
    <w:rsid w:val="00EE0EEC"/>
    <w:rsid w:val="00EE152C"/>
    <w:rsid w:val="00EE1DB5"/>
    <w:rsid w:val="00EE2484"/>
    <w:rsid w:val="00EE33A1"/>
    <w:rsid w:val="00EE3B33"/>
    <w:rsid w:val="00EE3B82"/>
    <w:rsid w:val="00EE407E"/>
    <w:rsid w:val="00EE40D0"/>
    <w:rsid w:val="00EE45B4"/>
    <w:rsid w:val="00EE4689"/>
    <w:rsid w:val="00EE478A"/>
    <w:rsid w:val="00EE4D5A"/>
    <w:rsid w:val="00EE65B6"/>
    <w:rsid w:val="00EE66F3"/>
    <w:rsid w:val="00EE6951"/>
    <w:rsid w:val="00EE6F3F"/>
    <w:rsid w:val="00EE717C"/>
    <w:rsid w:val="00EE73FD"/>
    <w:rsid w:val="00EE7603"/>
    <w:rsid w:val="00EE7CF8"/>
    <w:rsid w:val="00EF0643"/>
    <w:rsid w:val="00EF0B1D"/>
    <w:rsid w:val="00EF0C94"/>
    <w:rsid w:val="00EF0E78"/>
    <w:rsid w:val="00EF183C"/>
    <w:rsid w:val="00EF2411"/>
    <w:rsid w:val="00EF2B86"/>
    <w:rsid w:val="00EF39C9"/>
    <w:rsid w:val="00EF49AB"/>
    <w:rsid w:val="00EF616B"/>
    <w:rsid w:val="00EF77A5"/>
    <w:rsid w:val="00EF7FB6"/>
    <w:rsid w:val="00F001C9"/>
    <w:rsid w:val="00F00A4E"/>
    <w:rsid w:val="00F00BA7"/>
    <w:rsid w:val="00F03372"/>
    <w:rsid w:val="00F03587"/>
    <w:rsid w:val="00F0399A"/>
    <w:rsid w:val="00F043F2"/>
    <w:rsid w:val="00F0447F"/>
    <w:rsid w:val="00F04562"/>
    <w:rsid w:val="00F05F84"/>
    <w:rsid w:val="00F068AF"/>
    <w:rsid w:val="00F07948"/>
    <w:rsid w:val="00F10152"/>
    <w:rsid w:val="00F108D7"/>
    <w:rsid w:val="00F10BDC"/>
    <w:rsid w:val="00F11C4D"/>
    <w:rsid w:val="00F134C1"/>
    <w:rsid w:val="00F135C3"/>
    <w:rsid w:val="00F136B9"/>
    <w:rsid w:val="00F13AD9"/>
    <w:rsid w:val="00F168F1"/>
    <w:rsid w:val="00F21ADE"/>
    <w:rsid w:val="00F21C26"/>
    <w:rsid w:val="00F23739"/>
    <w:rsid w:val="00F238A3"/>
    <w:rsid w:val="00F23F64"/>
    <w:rsid w:val="00F25A79"/>
    <w:rsid w:val="00F26928"/>
    <w:rsid w:val="00F270E2"/>
    <w:rsid w:val="00F27D30"/>
    <w:rsid w:val="00F31191"/>
    <w:rsid w:val="00F316DF"/>
    <w:rsid w:val="00F318A9"/>
    <w:rsid w:val="00F31B3A"/>
    <w:rsid w:val="00F31FAB"/>
    <w:rsid w:val="00F320EE"/>
    <w:rsid w:val="00F32593"/>
    <w:rsid w:val="00F32C6C"/>
    <w:rsid w:val="00F32FEC"/>
    <w:rsid w:val="00F34141"/>
    <w:rsid w:val="00F345C0"/>
    <w:rsid w:val="00F348BA"/>
    <w:rsid w:val="00F3516D"/>
    <w:rsid w:val="00F35514"/>
    <w:rsid w:val="00F35FE3"/>
    <w:rsid w:val="00F361E4"/>
    <w:rsid w:val="00F36519"/>
    <w:rsid w:val="00F36A9F"/>
    <w:rsid w:val="00F36B59"/>
    <w:rsid w:val="00F37E67"/>
    <w:rsid w:val="00F403F3"/>
    <w:rsid w:val="00F4116F"/>
    <w:rsid w:val="00F41D92"/>
    <w:rsid w:val="00F4267B"/>
    <w:rsid w:val="00F429A6"/>
    <w:rsid w:val="00F42F80"/>
    <w:rsid w:val="00F45171"/>
    <w:rsid w:val="00F45607"/>
    <w:rsid w:val="00F4679A"/>
    <w:rsid w:val="00F500BD"/>
    <w:rsid w:val="00F5085B"/>
    <w:rsid w:val="00F51086"/>
    <w:rsid w:val="00F5235D"/>
    <w:rsid w:val="00F527FD"/>
    <w:rsid w:val="00F53E77"/>
    <w:rsid w:val="00F54E53"/>
    <w:rsid w:val="00F566C5"/>
    <w:rsid w:val="00F56911"/>
    <w:rsid w:val="00F57235"/>
    <w:rsid w:val="00F6075D"/>
    <w:rsid w:val="00F61ED6"/>
    <w:rsid w:val="00F61F85"/>
    <w:rsid w:val="00F62A9C"/>
    <w:rsid w:val="00F630A8"/>
    <w:rsid w:val="00F63B3B"/>
    <w:rsid w:val="00F64406"/>
    <w:rsid w:val="00F64DE3"/>
    <w:rsid w:val="00F65591"/>
    <w:rsid w:val="00F660C2"/>
    <w:rsid w:val="00F67629"/>
    <w:rsid w:val="00F67CA6"/>
    <w:rsid w:val="00F701DE"/>
    <w:rsid w:val="00F70A88"/>
    <w:rsid w:val="00F70FB7"/>
    <w:rsid w:val="00F733F4"/>
    <w:rsid w:val="00F735B5"/>
    <w:rsid w:val="00F74B5F"/>
    <w:rsid w:val="00F75487"/>
    <w:rsid w:val="00F761AC"/>
    <w:rsid w:val="00F7760D"/>
    <w:rsid w:val="00F8014B"/>
    <w:rsid w:val="00F803EB"/>
    <w:rsid w:val="00F80A9A"/>
    <w:rsid w:val="00F80CF8"/>
    <w:rsid w:val="00F81024"/>
    <w:rsid w:val="00F81C4D"/>
    <w:rsid w:val="00F81E3D"/>
    <w:rsid w:val="00F82923"/>
    <w:rsid w:val="00F82D0E"/>
    <w:rsid w:val="00F8324A"/>
    <w:rsid w:val="00F83CC0"/>
    <w:rsid w:val="00F83D02"/>
    <w:rsid w:val="00F84114"/>
    <w:rsid w:val="00F842F1"/>
    <w:rsid w:val="00F84CE2"/>
    <w:rsid w:val="00F8558D"/>
    <w:rsid w:val="00F85E2C"/>
    <w:rsid w:val="00F86202"/>
    <w:rsid w:val="00F86627"/>
    <w:rsid w:val="00F86BBD"/>
    <w:rsid w:val="00F86F8A"/>
    <w:rsid w:val="00F878E3"/>
    <w:rsid w:val="00F90187"/>
    <w:rsid w:val="00F91805"/>
    <w:rsid w:val="00F92E2F"/>
    <w:rsid w:val="00F92F00"/>
    <w:rsid w:val="00F93DB2"/>
    <w:rsid w:val="00F93F85"/>
    <w:rsid w:val="00F93F91"/>
    <w:rsid w:val="00F94501"/>
    <w:rsid w:val="00F950E2"/>
    <w:rsid w:val="00F9512B"/>
    <w:rsid w:val="00F95130"/>
    <w:rsid w:val="00F95ED2"/>
    <w:rsid w:val="00F96B48"/>
    <w:rsid w:val="00F96C63"/>
    <w:rsid w:val="00F97454"/>
    <w:rsid w:val="00FA0FA8"/>
    <w:rsid w:val="00FA14E0"/>
    <w:rsid w:val="00FA16CB"/>
    <w:rsid w:val="00FA1F92"/>
    <w:rsid w:val="00FA2983"/>
    <w:rsid w:val="00FA2F59"/>
    <w:rsid w:val="00FA3ED6"/>
    <w:rsid w:val="00FA4192"/>
    <w:rsid w:val="00FA473A"/>
    <w:rsid w:val="00FA5464"/>
    <w:rsid w:val="00FA5565"/>
    <w:rsid w:val="00FA58EB"/>
    <w:rsid w:val="00FA60D4"/>
    <w:rsid w:val="00FA7016"/>
    <w:rsid w:val="00FA7129"/>
    <w:rsid w:val="00FA7594"/>
    <w:rsid w:val="00FA77D8"/>
    <w:rsid w:val="00FA7E1F"/>
    <w:rsid w:val="00FB0E7F"/>
    <w:rsid w:val="00FB1D17"/>
    <w:rsid w:val="00FB1E33"/>
    <w:rsid w:val="00FB2BC4"/>
    <w:rsid w:val="00FB2D42"/>
    <w:rsid w:val="00FB2F0D"/>
    <w:rsid w:val="00FB3318"/>
    <w:rsid w:val="00FB370E"/>
    <w:rsid w:val="00FB38FD"/>
    <w:rsid w:val="00FB45F0"/>
    <w:rsid w:val="00FB4847"/>
    <w:rsid w:val="00FB57BF"/>
    <w:rsid w:val="00FB5944"/>
    <w:rsid w:val="00FB5B25"/>
    <w:rsid w:val="00FB5B80"/>
    <w:rsid w:val="00FB6AE0"/>
    <w:rsid w:val="00FB757D"/>
    <w:rsid w:val="00FC13A3"/>
    <w:rsid w:val="00FC2C07"/>
    <w:rsid w:val="00FC3408"/>
    <w:rsid w:val="00FC342A"/>
    <w:rsid w:val="00FC45BE"/>
    <w:rsid w:val="00FC4A4A"/>
    <w:rsid w:val="00FC4C82"/>
    <w:rsid w:val="00FC4C85"/>
    <w:rsid w:val="00FC63D2"/>
    <w:rsid w:val="00FC74F6"/>
    <w:rsid w:val="00FC7BEE"/>
    <w:rsid w:val="00FD048D"/>
    <w:rsid w:val="00FD0720"/>
    <w:rsid w:val="00FD135C"/>
    <w:rsid w:val="00FD1BF7"/>
    <w:rsid w:val="00FD26C4"/>
    <w:rsid w:val="00FD295B"/>
    <w:rsid w:val="00FD2E5B"/>
    <w:rsid w:val="00FD3E24"/>
    <w:rsid w:val="00FD469F"/>
    <w:rsid w:val="00FD48EB"/>
    <w:rsid w:val="00FD5732"/>
    <w:rsid w:val="00FD577F"/>
    <w:rsid w:val="00FD70BD"/>
    <w:rsid w:val="00FE0052"/>
    <w:rsid w:val="00FE037F"/>
    <w:rsid w:val="00FE10A0"/>
    <w:rsid w:val="00FE2A33"/>
    <w:rsid w:val="00FE2F49"/>
    <w:rsid w:val="00FE354E"/>
    <w:rsid w:val="00FE3A95"/>
    <w:rsid w:val="00FE5641"/>
    <w:rsid w:val="00FE5851"/>
    <w:rsid w:val="00FE5DBC"/>
    <w:rsid w:val="00FE5F1D"/>
    <w:rsid w:val="00FE6076"/>
    <w:rsid w:val="00FE6B94"/>
    <w:rsid w:val="00FE6D4F"/>
    <w:rsid w:val="00FF0B77"/>
    <w:rsid w:val="00FF0EAD"/>
    <w:rsid w:val="00FF2057"/>
    <w:rsid w:val="00FF2612"/>
    <w:rsid w:val="00FF2AE1"/>
    <w:rsid w:val="00FF3237"/>
    <w:rsid w:val="00FF33BF"/>
    <w:rsid w:val="00FF40DE"/>
    <w:rsid w:val="00FF41ED"/>
    <w:rsid w:val="00FF49C1"/>
    <w:rsid w:val="00FF5549"/>
    <w:rsid w:val="00FF5580"/>
    <w:rsid w:val="00FF5761"/>
    <w:rsid w:val="00FF5A15"/>
    <w:rsid w:val="00FF6826"/>
    <w:rsid w:val="00FF712A"/>
    <w:rsid w:val="00FF7166"/>
    <w:rsid w:val="00FF7630"/>
    <w:rsid w:val="00FF7FAA"/>
    <w:rsid w:val="0A5B0B2E"/>
    <w:rsid w:val="0BE9549C"/>
    <w:rsid w:val="0D710A2D"/>
    <w:rsid w:val="17FF44C5"/>
    <w:rsid w:val="1A921347"/>
    <w:rsid w:val="1B960143"/>
    <w:rsid w:val="1D056603"/>
    <w:rsid w:val="1F471A8C"/>
    <w:rsid w:val="1FAC16FB"/>
    <w:rsid w:val="26433984"/>
    <w:rsid w:val="284C690E"/>
    <w:rsid w:val="29463B62"/>
    <w:rsid w:val="295D20F0"/>
    <w:rsid w:val="2ADF173D"/>
    <w:rsid w:val="2C8120E3"/>
    <w:rsid w:val="2C8D005C"/>
    <w:rsid w:val="2E7E753E"/>
    <w:rsid w:val="2EAD4DBF"/>
    <w:rsid w:val="316D51E0"/>
    <w:rsid w:val="334E255D"/>
    <w:rsid w:val="35773495"/>
    <w:rsid w:val="3A5B15D7"/>
    <w:rsid w:val="3B397075"/>
    <w:rsid w:val="3C9B2A38"/>
    <w:rsid w:val="3D3F32A1"/>
    <w:rsid w:val="3E3F74C2"/>
    <w:rsid w:val="409F38FD"/>
    <w:rsid w:val="42972ADE"/>
    <w:rsid w:val="4B841AD9"/>
    <w:rsid w:val="4C8D609E"/>
    <w:rsid w:val="4D1352BD"/>
    <w:rsid w:val="4F5D2DEA"/>
    <w:rsid w:val="50C0797B"/>
    <w:rsid w:val="529E60AD"/>
    <w:rsid w:val="55384A5B"/>
    <w:rsid w:val="57E66A29"/>
    <w:rsid w:val="59EE000A"/>
    <w:rsid w:val="5BB807B9"/>
    <w:rsid w:val="5E0018AB"/>
    <w:rsid w:val="60832885"/>
    <w:rsid w:val="60CC4D9F"/>
    <w:rsid w:val="61742CFE"/>
    <w:rsid w:val="61FE2C1E"/>
    <w:rsid w:val="64B81C21"/>
    <w:rsid w:val="6DB620A5"/>
    <w:rsid w:val="6E2C53A5"/>
    <w:rsid w:val="6FB9327C"/>
    <w:rsid w:val="70A1703D"/>
    <w:rsid w:val="73EE4A67"/>
    <w:rsid w:val="751A0B85"/>
    <w:rsid w:val="77707790"/>
    <w:rsid w:val="782357A0"/>
    <w:rsid w:val="78CC4A03"/>
    <w:rsid w:val="7CD52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name="Normal Indent"/>
    <w:lsdException w:qFormat="1" w:unhideWhenUsed="0" w:uiPriority="0" w:name="footnote text"/>
    <w:lsdException w:qFormat="1" w:unhideWhenUsed="0" w:uiPriority="0" w:name="annotation text"/>
    <w:lsdException w:qFormat="1" w:uiPriority="0" w:semiHidden="0" w:name="header"/>
    <w:lsdException w:qFormat="1" w:unhideWhenUsed="0" w:uiPriority="0"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qFormat="1" w:unhideWhenUsed="0" w:uiPriority="0" w:semiHidden="0"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qFormat="1" w:unhideWhenUsed="0" w:uiPriority="0" w:semiHidden="0" w:name="Table List 2"/>
    <w:lsdException w:qFormat="1" w:unhideWhenUsed="0" w:uiPriority="0" w:semiHidden="0" w:name="Table List 3"/>
    <w:lsdException w:uiPriority="99" w:name="Table List 4"/>
    <w:lsdException w:qFormat="1" w:unhideWhenUsed="0" w:uiPriority="0" w:semiHidden="0"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qFormat="1"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ind w:firstLine="200" w:firstLineChars="200"/>
      <w:jc w:val="both"/>
    </w:pPr>
    <w:rPr>
      <w:rFonts w:ascii="Times New Roman" w:hAnsi="Times New Roman" w:eastAsia="仿宋_GB2312" w:cs="Times New Roman"/>
      <w:kern w:val="2"/>
      <w:sz w:val="32"/>
      <w:szCs w:val="32"/>
      <w:lang w:val="en-US" w:eastAsia="zh-CN" w:bidi="ar-SA"/>
    </w:rPr>
  </w:style>
  <w:style w:type="paragraph" w:styleId="4">
    <w:name w:val="heading 1"/>
    <w:basedOn w:val="1"/>
    <w:next w:val="1"/>
    <w:link w:val="53"/>
    <w:autoRedefine/>
    <w:qFormat/>
    <w:uiPriority w:val="0"/>
    <w:pPr>
      <w:keepNext/>
      <w:keepLines/>
      <w:ind w:firstLine="0" w:firstLineChars="0"/>
      <w:outlineLvl w:val="0"/>
    </w:pPr>
    <w:rPr>
      <w:rFonts w:ascii="Calibri" w:hAnsi="Calibri" w:eastAsia="黑体"/>
      <w:b/>
      <w:bCs/>
      <w:kern w:val="44"/>
      <w:sz w:val="36"/>
      <w:szCs w:val="44"/>
    </w:rPr>
  </w:style>
  <w:style w:type="paragraph" w:styleId="5">
    <w:name w:val="heading 2"/>
    <w:basedOn w:val="1"/>
    <w:next w:val="1"/>
    <w:link w:val="91"/>
    <w:autoRedefine/>
    <w:unhideWhenUsed/>
    <w:qFormat/>
    <w:uiPriority w:val="0"/>
    <w:pPr>
      <w:keepNext/>
      <w:keepLines/>
      <w:ind w:firstLine="634"/>
      <w:outlineLvl w:val="1"/>
    </w:pPr>
    <w:rPr>
      <w:rFonts w:eastAsia="楷体" w:asciiTheme="majorHAnsi" w:hAnsiTheme="majorHAnsi" w:cstheme="majorBidi"/>
      <w:b/>
      <w:bCs/>
    </w:rPr>
  </w:style>
  <w:style w:type="paragraph" w:styleId="6">
    <w:name w:val="heading 3"/>
    <w:basedOn w:val="1"/>
    <w:next w:val="1"/>
    <w:link w:val="92"/>
    <w:autoRedefine/>
    <w:unhideWhenUsed/>
    <w:qFormat/>
    <w:uiPriority w:val="0"/>
    <w:pPr>
      <w:keepNext/>
      <w:keepLines/>
      <w:ind w:firstLine="634"/>
      <w:outlineLvl w:val="2"/>
    </w:pPr>
    <w:rPr>
      <w:b/>
      <w:bCs/>
    </w:rPr>
  </w:style>
  <w:style w:type="paragraph" w:styleId="7">
    <w:name w:val="heading 4"/>
    <w:basedOn w:val="1"/>
    <w:next w:val="1"/>
    <w:link w:val="54"/>
    <w:autoRedefine/>
    <w:unhideWhenUsed/>
    <w:qFormat/>
    <w:uiPriority w:val="0"/>
    <w:pPr>
      <w:keepNext/>
      <w:keepLines/>
      <w:outlineLvl w:val="3"/>
    </w:pPr>
    <w:rPr>
      <w:rFonts w:ascii="Calibri Light" w:hAnsi="Calibri Light"/>
      <w:bCs/>
      <w:szCs w:val="28"/>
    </w:rPr>
  </w:style>
  <w:style w:type="paragraph" w:styleId="8">
    <w:name w:val="heading 5"/>
    <w:basedOn w:val="1"/>
    <w:next w:val="1"/>
    <w:link w:val="93"/>
    <w:autoRedefine/>
    <w:qFormat/>
    <w:uiPriority w:val="0"/>
    <w:pPr>
      <w:keepNext/>
      <w:keepLines/>
      <w:spacing w:before="280" w:after="290" w:line="376" w:lineRule="auto"/>
      <w:outlineLvl w:val="4"/>
    </w:pPr>
    <w:rPr>
      <w:b/>
      <w:bCs/>
      <w:sz w:val="28"/>
      <w:szCs w:val="28"/>
    </w:rPr>
  </w:style>
  <w:style w:type="paragraph" w:styleId="9">
    <w:name w:val="heading 6"/>
    <w:basedOn w:val="1"/>
    <w:next w:val="1"/>
    <w:link w:val="94"/>
    <w:autoRedefine/>
    <w:qFormat/>
    <w:uiPriority w:val="0"/>
    <w:pPr>
      <w:keepNext/>
      <w:keepLines/>
      <w:spacing w:before="240" w:after="64" w:line="320" w:lineRule="auto"/>
      <w:outlineLvl w:val="5"/>
    </w:pPr>
    <w:rPr>
      <w:rFonts w:ascii="Arial" w:hAnsi="Arial" w:eastAsia="黑体"/>
      <w:b/>
      <w:bCs/>
      <w:sz w:val="24"/>
      <w:szCs w:val="24"/>
    </w:rPr>
  </w:style>
  <w:style w:type="character" w:default="1" w:styleId="45">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eastAsia="Arial Unicode MS" w:cs="Arial Unicode MS"/>
      <w:color w:val="000000"/>
    </w:rPr>
  </w:style>
  <w:style w:type="paragraph" w:styleId="3">
    <w:name w:val="Body Text Indent"/>
    <w:basedOn w:val="1"/>
    <w:next w:val="1"/>
    <w:link w:val="113"/>
    <w:autoRedefine/>
    <w:qFormat/>
    <w:uiPriority w:val="0"/>
    <w:pPr>
      <w:spacing w:after="120"/>
      <w:ind w:left="420" w:leftChars="200"/>
    </w:pPr>
    <w:rPr>
      <w:sz w:val="21"/>
      <w:szCs w:val="21"/>
    </w:rPr>
  </w:style>
  <w:style w:type="paragraph" w:styleId="10">
    <w:name w:val="toc 7"/>
    <w:basedOn w:val="1"/>
    <w:next w:val="1"/>
    <w:autoRedefine/>
    <w:qFormat/>
    <w:uiPriority w:val="39"/>
    <w:pPr>
      <w:ind w:left="1920"/>
      <w:jc w:val="left"/>
    </w:pPr>
    <w:rPr>
      <w:rFonts w:asciiTheme="minorHAnsi" w:hAnsiTheme="minorHAnsi" w:cstheme="minorHAnsi"/>
      <w:sz w:val="18"/>
      <w:szCs w:val="18"/>
    </w:rPr>
  </w:style>
  <w:style w:type="paragraph" w:styleId="11">
    <w:name w:val="Normal Indent"/>
    <w:basedOn w:val="1"/>
    <w:autoRedefine/>
    <w:semiHidden/>
    <w:unhideWhenUsed/>
    <w:qFormat/>
    <w:uiPriority w:val="99"/>
    <w:pPr>
      <w:spacing w:line="240" w:lineRule="auto"/>
      <w:ind w:firstLine="420"/>
    </w:pPr>
    <w:rPr>
      <w:rFonts w:ascii="Calibri" w:hAnsi="Calibri" w:eastAsia="黑体" w:cs="黑体"/>
      <w:sz w:val="21"/>
      <w:szCs w:val="24"/>
    </w:rPr>
  </w:style>
  <w:style w:type="paragraph" w:styleId="12">
    <w:name w:val="caption"/>
    <w:basedOn w:val="1"/>
    <w:next w:val="1"/>
    <w:autoRedefine/>
    <w:unhideWhenUsed/>
    <w:qFormat/>
    <w:uiPriority w:val="0"/>
    <w:pPr>
      <w:jc w:val="center"/>
    </w:pPr>
    <w:rPr>
      <w:rFonts w:eastAsia="仿宋" w:cstheme="majorBidi"/>
      <w:b/>
      <w:sz w:val="24"/>
      <w:szCs w:val="20"/>
    </w:rPr>
  </w:style>
  <w:style w:type="paragraph" w:styleId="13">
    <w:name w:val="Document Map"/>
    <w:basedOn w:val="1"/>
    <w:link w:val="89"/>
    <w:autoRedefine/>
    <w:semiHidden/>
    <w:unhideWhenUsed/>
    <w:qFormat/>
    <w:uiPriority w:val="0"/>
    <w:rPr>
      <w:rFonts w:ascii="宋体"/>
      <w:sz w:val="18"/>
      <w:szCs w:val="18"/>
    </w:rPr>
  </w:style>
  <w:style w:type="paragraph" w:styleId="14">
    <w:name w:val="annotation text"/>
    <w:basedOn w:val="1"/>
    <w:link w:val="111"/>
    <w:autoRedefine/>
    <w:semiHidden/>
    <w:qFormat/>
    <w:uiPriority w:val="0"/>
    <w:pPr>
      <w:ind w:firstLine="412"/>
      <w:jc w:val="left"/>
    </w:pPr>
    <w:rPr>
      <w:sz w:val="21"/>
      <w:szCs w:val="21"/>
    </w:rPr>
  </w:style>
  <w:style w:type="paragraph" w:styleId="15">
    <w:name w:val="Body Text"/>
    <w:basedOn w:val="1"/>
    <w:link w:val="104"/>
    <w:autoRedefine/>
    <w:qFormat/>
    <w:uiPriority w:val="0"/>
    <w:pPr>
      <w:ind w:firstLine="560"/>
    </w:pPr>
    <w:rPr>
      <w:sz w:val="28"/>
      <w:szCs w:val="28"/>
      <w:lang w:val="zh-CN"/>
    </w:rPr>
  </w:style>
  <w:style w:type="paragraph" w:styleId="16">
    <w:name w:val="List 2"/>
    <w:basedOn w:val="1"/>
    <w:autoRedefine/>
    <w:qFormat/>
    <w:uiPriority w:val="0"/>
    <w:pPr>
      <w:spacing w:line="312" w:lineRule="auto"/>
      <w:ind w:left="840" w:hanging="420"/>
    </w:pPr>
    <w:rPr>
      <w:sz w:val="24"/>
      <w:szCs w:val="20"/>
    </w:rPr>
  </w:style>
  <w:style w:type="paragraph" w:styleId="17">
    <w:name w:val="toc 5"/>
    <w:basedOn w:val="1"/>
    <w:next w:val="1"/>
    <w:autoRedefine/>
    <w:qFormat/>
    <w:uiPriority w:val="39"/>
    <w:pPr>
      <w:ind w:left="1280"/>
      <w:jc w:val="left"/>
    </w:pPr>
    <w:rPr>
      <w:rFonts w:asciiTheme="minorHAnsi" w:hAnsiTheme="minorHAnsi" w:cstheme="minorHAnsi"/>
      <w:sz w:val="18"/>
      <w:szCs w:val="18"/>
    </w:rPr>
  </w:style>
  <w:style w:type="paragraph" w:styleId="18">
    <w:name w:val="toc 3"/>
    <w:basedOn w:val="1"/>
    <w:next w:val="1"/>
    <w:autoRedefine/>
    <w:unhideWhenUsed/>
    <w:qFormat/>
    <w:uiPriority w:val="39"/>
    <w:pPr>
      <w:ind w:left="640"/>
      <w:jc w:val="left"/>
    </w:pPr>
    <w:rPr>
      <w:rFonts w:asciiTheme="minorHAnsi" w:hAnsiTheme="minorHAnsi" w:cstheme="minorHAnsi"/>
      <w:i/>
      <w:iCs/>
      <w:sz w:val="20"/>
      <w:szCs w:val="20"/>
    </w:rPr>
  </w:style>
  <w:style w:type="paragraph" w:styleId="19">
    <w:name w:val="Plain Text"/>
    <w:basedOn w:val="1"/>
    <w:link w:val="97"/>
    <w:autoRedefine/>
    <w:qFormat/>
    <w:uiPriority w:val="0"/>
    <w:rPr>
      <w:rFonts w:ascii="宋体" w:hAnsi="Courier New" w:cs="Courier New"/>
      <w:kern w:val="0"/>
      <w:sz w:val="20"/>
      <w:szCs w:val="21"/>
    </w:rPr>
  </w:style>
  <w:style w:type="paragraph" w:styleId="20">
    <w:name w:val="toc 8"/>
    <w:basedOn w:val="1"/>
    <w:next w:val="1"/>
    <w:autoRedefine/>
    <w:qFormat/>
    <w:uiPriority w:val="39"/>
    <w:pPr>
      <w:ind w:left="2240"/>
      <w:jc w:val="left"/>
    </w:pPr>
    <w:rPr>
      <w:rFonts w:asciiTheme="minorHAnsi" w:hAnsiTheme="minorHAnsi" w:cstheme="minorHAnsi"/>
      <w:sz w:val="18"/>
      <w:szCs w:val="18"/>
    </w:rPr>
  </w:style>
  <w:style w:type="paragraph" w:styleId="21">
    <w:name w:val="Date"/>
    <w:basedOn w:val="1"/>
    <w:next w:val="1"/>
    <w:link w:val="58"/>
    <w:autoRedefine/>
    <w:unhideWhenUsed/>
    <w:qFormat/>
    <w:uiPriority w:val="0"/>
    <w:pPr>
      <w:ind w:left="100" w:leftChars="2500"/>
    </w:pPr>
  </w:style>
  <w:style w:type="paragraph" w:styleId="22">
    <w:name w:val="Body Text Indent 2"/>
    <w:basedOn w:val="1"/>
    <w:link w:val="172"/>
    <w:autoRedefine/>
    <w:qFormat/>
    <w:uiPriority w:val="0"/>
    <w:pPr>
      <w:spacing w:before="120" w:after="120" w:line="360" w:lineRule="auto"/>
      <w:ind w:firstLine="446" w:firstLineChars="186"/>
    </w:pPr>
    <w:rPr>
      <w:rFonts w:ascii="宋体" w:hAnsi="宋体"/>
      <w:sz w:val="24"/>
      <w:szCs w:val="24"/>
    </w:rPr>
  </w:style>
  <w:style w:type="paragraph" w:styleId="23">
    <w:name w:val="Balloon Text"/>
    <w:basedOn w:val="1"/>
    <w:link w:val="59"/>
    <w:autoRedefine/>
    <w:semiHidden/>
    <w:unhideWhenUsed/>
    <w:qFormat/>
    <w:uiPriority w:val="0"/>
    <w:rPr>
      <w:sz w:val="18"/>
      <w:szCs w:val="18"/>
    </w:rPr>
  </w:style>
  <w:style w:type="paragraph" w:styleId="24">
    <w:name w:val="footer"/>
    <w:basedOn w:val="1"/>
    <w:link w:val="55"/>
    <w:autoRedefine/>
    <w:qFormat/>
    <w:uiPriority w:val="0"/>
    <w:pPr>
      <w:tabs>
        <w:tab w:val="center" w:pos="4153"/>
        <w:tab w:val="right" w:pos="8306"/>
      </w:tabs>
      <w:snapToGrid w:val="0"/>
      <w:jc w:val="left"/>
    </w:pPr>
    <w:rPr>
      <w:sz w:val="18"/>
      <w:szCs w:val="18"/>
    </w:rPr>
  </w:style>
  <w:style w:type="paragraph" w:styleId="25">
    <w:name w:val="header"/>
    <w:basedOn w:val="1"/>
    <w:link w:val="57"/>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39"/>
    <w:pPr>
      <w:tabs>
        <w:tab w:val="right" w:leader="dot" w:pos="8834"/>
      </w:tabs>
      <w:spacing w:before="120" w:after="120"/>
      <w:ind w:firstLine="0" w:firstLineChars="0"/>
      <w:jc w:val="left"/>
    </w:pPr>
    <w:rPr>
      <w:rFonts w:asciiTheme="minorHAnsi" w:hAnsiTheme="minorHAnsi" w:cstheme="minorHAnsi"/>
      <w:b/>
      <w:bCs/>
      <w:caps/>
      <w:sz w:val="20"/>
      <w:szCs w:val="20"/>
    </w:rPr>
  </w:style>
  <w:style w:type="paragraph" w:styleId="27">
    <w:name w:val="toc 4"/>
    <w:basedOn w:val="1"/>
    <w:next w:val="1"/>
    <w:autoRedefine/>
    <w:qFormat/>
    <w:uiPriority w:val="39"/>
    <w:pPr>
      <w:ind w:left="960"/>
      <w:jc w:val="left"/>
    </w:pPr>
    <w:rPr>
      <w:rFonts w:asciiTheme="minorHAnsi" w:hAnsiTheme="minorHAnsi" w:cstheme="minorHAnsi"/>
      <w:sz w:val="18"/>
      <w:szCs w:val="18"/>
    </w:rPr>
  </w:style>
  <w:style w:type="paragraph" w:styleId="28">
    <w:name w:val="Subtitle"/>
    <w:basedOn w:val="1"/>
    <w:next w:val="1"/>
    <w:link w:val="153"/>
    <w:autoRedefine/>
    <w:qFormat/>
    <w:uiPriority w:val="0"/>
    <w:pPr>
      <w:spacing w:before="240" w:after="60" w:line="312" w:lineRule="auto"/>
      <w:jc w:val="center"/>
      <w:outlineLvl w:val="1"/>
    </w:pPr>
    <w:rPr>
      <w:rFonts w:ascii="Cambria" w:hAnsi="Cambria"/>
      <w:b/>
      <w:bCs/>
      <w:kern w:val="28"/>
    </w:rPr>
  </w:style>
  <w:style w:type="paragraph" w:styleId="29">
    <w:name w:val="footnote text"/>
    <w:basedOn w:val="1"/>
    <w:link w:val="148"/>
    <w:autoRedefine/>
    <w:semiHidden/>
    <w:qFormat/>
    <w:uiPriority w:val="0"/>
    <w:pPr>
      <w:snapToGrid w:val="0"/>
      <w:ind w:firstLine="352"/>
      <w:jc w:val="left"/>
    </w:pPr>
    <w:rPr>
      <w:sz w:val="18"/>
      <w:szCs w:val="18"/>
    </w:rPr>
  </w:style>
  <w:style w:type="paragraph" w:styleId="30">
    <w:name w:val="toc 6"/>
    <w:basedOn w:val="1"/>
    <w:next w:val="1"/>
    <w:autoRedefine/>
    <w:qFormat/>
    <w:uiPriority w:val="39"/>
    <w:pPr>
      <w:ind w:left="1600"/>
      <w:jc w:val="left"/>
    </w:pPr>
    <w:rPr>
      <w:rFonts w:asciiTheme="minorHAnsi" w:hAnsiTheme="minorHAnsi" w:cstheme="minorHAnsi"/>
      <w:sz w:val="18"/>
      <w:szCs w:val="18"/>
    </w:rPr>
  </w:style>
  <w:style w:type="paragraph" w:styleId="31">
    <w:name w:val="Body Text Indent 3"/>
    <w:basedOn w:val="1"/>
    <w:link w:val="184"/>
    <w:autoRedefine/>
    <w:qFormat/>
    <w:uiPriority w:val="0"/>
    <w:pPr>
      <w:spacing w:before="120" w:after="120" w:line="312" w:lineRule="auto"/>
      <w:ind w:left="420" w:leftChars="200"/>
    </w:pPr>
    <w:rPr>
      <w:bCs/>
      <w:sz w:val="16"/>
      <w:szCs w:val="16"/>
    </w:rPr>
  </w:style>
  <w:style w:type="paragraph" w:styleId="32">
    <w:name w:val="toc 2"/>
    <w:basedOn w:val="1"/>
    <w:next w:val="1"/>
    <w:link w:val="107"/>
    <w:autoRedefine/>
    <w:qFormat/>
    <w:uiPriority w:val="39"/>
    <w:pPr>
      <w:tabs>
        <w:tab w:val="right" w:leader="dot" w:pos="8834"/>
      </w:tabs>
      <w:ind w:left="318" w:firstLine="0" w:firstLineChars="0"/>
      <w:jc w:val="left"/>
    </w:pPr>
    <w:rPr>
      <w:rFonts w:asciiTheme="minorHAnsi" w:hAnsiTheme="minorHAnsi" w:cstheme="minorHAnsi"/>
      <w:smallCaps/>
      <w:sz w:val="20"/>
      <w:szCs w:val="20"/>
    </w:rPr>
  </w:style>
  <w:style w:type="paragraph" w:styleId="33">
    <w:name w:val="toc 9"/>
    <w:basedOn w:val="1"/>
    <w:next w:val="1"/>
    <w:autoRedefine/>
    <w:qFormat/>
    <w:uiPriority w:val="39"/>
    <w:pPr>
      <w:ind w:left="2560"/>
      <w:jc w:val="left"/>
    </w:pPr>
    <w:rPr>
      <w:rFonts w:asciiTheme="minorHAnsi" w:hAnsiTheme="minorHAnsi" w:cstheme="minorHAnsi"/>
      <w:sz w:val="18"/>
      <w:szCs w:val="18"/>
    </w:rPr>
  </w:style>
  <w:style w:type="paragraph" w:styleId="34">
    <w:name w:val="HTML Preformatted"/>
    <w:basedOn w:val="1"/>
    <w:link w:val="11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paragraph" w:styleId="35">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36">
    <w:name w:val="Title"/>
    <w:basedOn w:val="1"/>
    <w:next w:val="1"/>
    <w:link w:val="151"/>
    <w:autoRedefine/>
    <w:qFormat/>
    <w:uiPriority w:val="0"/>
    <w:pPr>
      <w:spacing w:before="240" w:after="60"/>
      <w:jc w:val="center"/>
      <w:outlineLvl w:val="0"/>
    </w:pPr>
    <w:rPr>
      <w:rFonts w:ascii="Cambria" w:hAnsi="Cambria"/>
      <w:b/>
      <w:bCs/>
      <w:lang w:val="zh-CN"/>
    </w:rPr>
  </w:style>
  <w:style w:type="paragraph" w:styleId="37">
    <w:name w:val="annotation subject"/>
    <w:basedOn w:val="14"/>
    <w:next w:val="14"/>
    <w:link w:val="112"/>
    <w:autoRedefine/>
    <w:semiHidden/>
    <w:qFormat/>
    <w:uiPriority w:val="0"/>
    <w:rPr>
      <w:b/>
      <w:bCs/>
    </w:rPr>
  </w:style>
  <w:style w:type="table" w:styleId="39">
    <w:name w:val="Table Grid"/>
    <w:basedOn w:val="38"/>
    <w:autoRedefine/>
    <w:qFormat/>
    <w:uiPriority w:val="0"/>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0">
    <w:name w:val="Table Theme"/>
    <w:basedOn w:val="3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1">
    <w:name w:val="Table Simple 2"/>
    <w:basedOn w:val="38"/>
    <w:autoRedefine/>
    <w:qFormat/>
    <w:uiPriority w:val="0"/>
    <w:pPr>
      <w:widowControl w:val="0"/>
      <w:jc w:val="both"/>
    </w:pPr>
    <w:tblPr/>
    <w:tblStylePr w:type="firstRow">
      <w:rPr>
        <w:rFonts w:cs="Times New Roman"/>
        <w:b/>
        <w:bCs/>
      </w:rPr>
      <w:tblPr/>
      <w:tcPr>
        <w:tcBorders>
          <w:bottom w:val="single" w:color="000000" w:sz="12" w:space="0"/>
          <w:tl2br w:val="nil"/>
          <w:tr2bl w:val="nil"/>
        </w:tcBorders>
      </w:tcPr>
    </w:tblStylePr>
    <w:tblStylePr w:type="lastRow">
      <w:rPr>
        <w:rFonts w:cs="Times New Roman"/>
        <w:b/>
        <w:bCs/>
        <w:color w:val="auto"/>
      </w:rPr>
      <w:tblPr/>
      <w:tcPr>
        <w:tcBorders>
          <w:top w:val="single" w:color="000000" w:sz="6" w:space="0"/>
          <w:tl2br w:val="nil"/>
          <w:tr2bl w:val="nil"/>
        </w:tcBorders>
      </w:tcPr>
    </w:tblStylePr>
    <w:tblStylePr w:type="firstCol">
      <w:rPr>
        <w:rFonts w:cs="Times New Roman"/>
        <w:b/>
        <w:bCs/>
      </w:rPr>
      <w:tblPr/>
      <w:tcPr>
        <w:tcBorders>
          <w:right w:val="single" w:color="000000" w:sz="12" w:space="0"/>
          <w:tl2br w:val="nil"/>
          <w:tr2bl w:val="nil"/>
        </w:tcBorders>
      </w:tcPr>
    </w:tblStylePr>
    <w:tblStylePr w:type="lastCol">
      <w:rPr>
        <w:rFonts w:cs="Times New Roman"/>
        <w:b/>
        <w:bCs/>
      </w:rPr>
      <w:tblPr/>
      <w:tcPr>
        <w:tcBorders>
          <w:left w:val="single" w:color="000000" w:sz="6" w:space="0"/>
          <w:tl2br w:val="nil"/>
          <w:tr2bl w:val="nil"/>
        </w:tcBorders>
      </w:tcPr>
    </w:tblStylePr>
    <w:tblStylePr w:type="neCell">
      <w:rPr>
        <w:rFonts w:cs="Times New Roman"/>
        <w:b/>
        <w:bCs/>
      </w:rPr>
      <w:tblPr/>
      <w:tcPr>
        <w:tcBorders>
          <w:left w:val="nil"/>
          <w:tl2br w:val="nil"/>
          <w:tr2bl w:val="nil"/>
        </w:tcBorders>
      </w:tcPr>
    </w:tblStylePr>
    <w:tblStylePr w:type="swCell">
      <w:rPr>
        <w:rFonts w:cs="Times New Roman"/>
        <w:b/>
        <w:bCs/>
      </w:rPr>
      <w:tblPr/>
      <w:tcPr>
        <w:tcBorders>
          <w:top w:val="nil"/>
          <w:tl2br w:val="nil"/>
          <w:tr2bl w:val="nil"/>
        </w:tcBorders>
      </w:tcPr>
    </w:tblStylePr>
  </w:style>
  <w:style w:type="table" w:styleId="42">
    <w:name w:val="Table List 2"/>
    <w:basedOn w:val="38"/>
    <w:autoRedefine/>
    <w:qFormat/>
    <w:uiPriority w:val="0"/>
    <w:pPr>
      <w:widowControl w:val="0"/>
      <w:jc w:val="both"/>
    </w:pPr>
    <w:tblPr>
      <w:tblBorders>
        <w:bottom w:val="single" w:color="808080" w:sz="12" w:space="0"/>
      </w:tblBorders>
    </w:tblPr>
    <w:tblStylePr w:type="firstRow">
      <w:rPr>
        <w:rFonts w:cs="Times New Roman"/>
        <w:b/>
        <w:bCs/>
        <w:color w:val="FFFFFF"/>
      </w:rPr>
      <w:tblPr/>
      <w:tcPr>
        <w:tcBorders>
          <w:bottom w:val="single" w:color="000000" w:sz="6" w:space="0"/>
          <w:tl2br w:val="nil"/>
          <w:tr2bl w:val="nil"/>
        </w:tcBorders>
        <w:shd w:val="pct75" w:color="008080" w:fill="008000"/>
      </w:tcPr>
    </w:tblStylePr>
    <w:tblStylePr w:type="lastRow">
      <w:rPr>
        <w:rFonts w:cs="Times New Roman"/>
      </w:rPr>
      <w:tblPr/>
      <w:tcPr>
        <w:tcBorders>
          <w:top w:val="single" w:color="000000" w:sz="6" w:space="0"/>
          <w:tl2br w:val="nil"/>
          <w:tr2bl w:val="nil"/>
        </w:tcBorders>
      </w:tcPr>
    </w:tblStylePr>
    <w:tblStylePr w:type="band1Horz">
      <w:rPr>
        <w:rFonts w:cs="Times New Roman"/>
        <w:color w:val="auto"/>
      </w:rPr>
      <w:tblPr/>
      <w:tcPr>
        <w:tcBorders>
          <w:tl2br w:val="nil"/>
          <w:tr2bl w:val="nil"/>
        </w:tcBorders>
        <w:shd w:val="pct20" w:color="00FF00" w:fill="FFFFFF"/>
      </w:tcPr>
    </w:tblStylePr>
    <w:tblStylePr w:type="band2Horz">
      <w:rPr>
        <w:rFonts w:cs="Times New Roman"/>
        <w:color w:val="auto"/>
      </w:rPr>
      <w:tblPr/>
      <w:tcPr>
        <w:tcBorders>
          <w:tl2br w:val="nil"/>
          <w:tr2bl w:val="nil"/>
        </w:tcBorders>
      </w:tcPr>
    </w:tblStylePr>
    <w:tblStylePr w:type="swCell">
      <w:rPr>
        <w:rFonts w:cs="Times New Roman"/>
        <w:b/>
        <w:bCs/>
      </w:rPr>
      <w:tblPr/>
      <w:tcPr>
        <w:tcBorders>
          <w:tl2br w:val="nil"/>
          <w:tr2bl w:val="nil"/>
        </w:tcBorders>
      </w:tcPr>
    </w:tblStylePr>
  </w:style>
  <w:style w:type="table" w:styleId="43">
    <w:name w:val="Table List 3"/>
    <w:basedOn w:val="38"/>
    <w:autoRedefine/>
    <w:qFormat/>
    <w:uiPriority w:val="0"/>
    <w:pPr>
      <w:widowControl w:val="0"/>
      <w:jc w:val="both"/>
    </w:pPr>
    <w:tblPr>
      <w:tblBorders>
        <w:top w:val="single" w:color="000000" w:sz="12" w:space="0"/>
        <w:bottom w:val="single" w:color="000000" w:sz="12" w:space="0"/>
        <w:insideH w:val="single" w:color="000000" w:sz="6" w:space="0"/>
      </w:tblBorders>
    </w:tblPr>
    <w:tblStylePr w:type="firstRow">
      <w:rPr>
        <w:rFonts w:cs="Times New Roman"/>
        <w:b/>
        <w:bCs/>
        <w:color w:val="000080"/>
      </w:rPr>
      <w:tblPr/>
      <w:tcPr>
        <w:tcBorders>
          <w:bottom w:val="single" w:color="000000" w:sz="12" w:space="0"/>
          <w:tl2br w:val="nil"/>
          <w:tr2bl w:val="nil"/>
        </w:tcBorders>
      </w:tcPr>
    </w:tblStylePr>
    <w:tblStylePr w:type="lastRow">
      <w:rPr>
        <w:rFonts w:cs="Times New Roman"/>
      </w:rPr>
      <w:tblPr/>
      <w:tcPr>
        <w:tcBorders>
          <w:top w:val="single" w:color="000000" w:sz="12" w:space="0"/>
          <w:tl2br w:val="nil"/>
          <w:tr2bl w:val="nil"/>
        </w:tcBorders>
      </w:tcPr>
    </w:tblStylePr>
    <w:tblStylePr w:type="swCell">
      <w:rPr>
        <w:rFonts w:cs="Times New Roman"/>
        <w:i/>
        <w:iCs/>
        <w:color w:val="000080"/>
      </w:rPr>
      <w:tblPr/>
      <w:tcPr>
        <w:tcBorders>
          <w:tl2br w:val="nil"/>
          <w:tr2bl w:val="nil"/>
        </w:tcBorders>
      </w:tcPr>
    </w:tblStylePr>
  </w:style>
  <w:style w:type="table" w:styleId="44">
    <w:name w:val="Table List 5"/>
    <w:basedOn w:val="38"/>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rFonts w:cs="Times New Roman"/>
        <w:b/>
        <w:bCs/>
      </w:rPr>
      <w:tblPr/>
      <w:tcPr>
        <w:tcBorders>
          <w:bottom w:val="single" w:color="000000" w:sz="12" w:space="0"/>
          <w:tl2br w:val="nil"/>
          <w:tr2bl w:val="nil"/>
        </w:tcBorders>
      </w:tcPr>
    </w:tblStylePr>
    <w:tblStylePr w:type="firstCol">
      <w:rPr>
        <w:rFonts w:cs="Times New Roman"/>
        <w:b/>
        <w:bCs/>
      </w:rPr>
      <w:tblPr/>
      <w:tcPr>
        <w:tcBorders>
          <w:tl2br w:val="nil"/>
          <w:tr2bl w:val="nil"/>
        </w:tcBorders>
      </w:tcPr>
    </w:tblStylePr>
  </w:style>
  <w:style w:type="character" w:styleId="46">
    <w:name w:val="Strong"/>
    <w:autoRedefine/>
    <w:qFormat/>
    <w:uiPriority w:val="0"/>
    <w:rPr>
      <w:b/>
      <w:bCs/>
    </w:rPr>
  </w:style>
  <w:style w:type="character" w:styleId="47">
    <w:name w:val="page number"/>
    <w:basedOn w:val="45"/>
    <w:autoRedefine/>
    <w:qFormat/>
    <w:uiPriority w:val="0"/>
  </w:style>
  <w:style w:type="character" w:styleId="48">
    <w:name w:val="FollowedHyperlink"/>
    <w:autoRedefine/>
    <w:qFormat/>
    <w:uiPriority w:val="0"/>
    <w:rPr>
      <w:color w:val="800080"/>
      <w:u w:val="single"/>
    </w:rPr>
  </w:style>
  <w:style w:type="character" w:styleId="49">
    <w:name w:val="Emphasis"/>
    <w:autoRedefine/>
    <w:qFormat/>
    <w:uiPriority w:val="0"/>
    <w:rPr>
      <w:color w:val="auto"/>
    </w:rPr>
  </w:style>
  <w:style w:type="character" w:styleId="50">
    <w:name w:val="Hyperlink"/>
    <w:autoRedefine/>
    <w:unhideWhenUsed/>
    <w:qFormat/>
    <w:uiPriority w:val="99"/>
    <w:rPr>
      <w:color w:val="0563C1"/>
      <w:u w:val="single"/>
    </w:rPr>
  </w:style>
  <w:style w:type="character" w:styleId="51">
    <w:name w:val="annotation reference"/>
    <w:autoRedefine/>
    <w:semiHidden/>
    <w:qFormat/>
    <w:uiPriority w:val="0"/>
    <w:rPr>
      <w:sz w:val="21"/>
      <w:szCs w:val="21"/>
    </w:rPr>
  </w:style>
  <w:style w:type="character" w:styleId="52">
    <w:name w:val="footnote reference"/>
    <w:autoRedefine/>
    <w:semiHidden/>
    <w:qFormat/>
    <w:uiPriority w:val="0"/>
    <w:rPr>
      <w:vertAlign w:val="superscript"/>
    </w:rPr>
  </w:style>
  <w:style w:type="character" w:customStyle="1" w:styleId="53">
    <w:name w:val="标题 1 字符"/>
    <w:link w:val="4"/>
    <w:autoRedefine/>
    <w:qFormat/>
    <w:uiPriority w:val="0"/>
    <w:rPr>
      <w:rFonts w:ascii="Calibri" w:hAnsi="Calibri" w:eastAsia="黑体"/>
      <w:b/>
      <w:bCs/>
      <w:kern w:val="44"/>
      <w:sz w:val="36"/>
      <w:szCs w:val="44"/>
    </w:rPr>
  </w:style>
  <w:style w:type="character" w:customStyle="1" w:styleId="54">
    <w:name w:val="标题 4 字符"/>
    <w:link w:val="7"/>
    <w:autoRedefine/>
    <w:qFormat/>
    <w:uiPriority w:val="0"/>
    <w:rPr>
      <w:rFonts w:ascii="Calibri Light" w:hAnsi="Calibri Light" w:eastAsia="仿宋_GB2312"/>
      <w:bCs/>
      <w:kern w:val="2"/>
      <w:sz w:val="32"/>
      <w:szCs w:val="28"/>
    </w:rPr>
  </w:style>
  <w:style w:type="character" w:customStyle="1" w:styleId="55">
    <w:name w:val="页脚 字符"/>
    <w:link w:val="24"/>
    <w:autoRedefine/>
    <w:qFormat/>
    <w:uiPriority w:val="0"/>
    <w:rPr>
      <w:rFonts w:ascii="Times New Roman" w:hAnsi="Times New Roman" w:eastAsia="宋体" w:cs="Times New Roman"/>
      <w:sz w:val="18"/>
      <w:szCs w:val="18"/>
    </w:rPr>
  </w:style>
  <w:style w:type="paragraph" w:customStyle="1" w:styleId="56">
    <w:name w:val="默认段落字体 Para Char Char Char Char Char Char Char"/>
    <w:basedOn w:val="1"/>
    <w:autoRedefine/>
    <w:qFormat/>
    <w:uiPriority w:val="0"/>
    <w:rPr>
      <w:sz w:val="21"/>
      <w:szCs w:val="24"/>
    </w:rPr>
  </w:style>
  <w:style w:type="character" w:customStyle="1" w:styleId="57">
    <w:name w:val="页眉 字符"/>
    <w:link w:val="25"/>
    <w:autoRedefine/>
    <w:qFormat/>
    <w:uiPriority w:val="0"/>
    <w:rPr>
      <w:rFonts w:ascii="Times New Roman" w:hAnsi="Times New Roman"/>
      <w:kern w:val="2"/>
      <w:sz w:val="18"/>
      <w:szCs w:val="18"/>
    </w:rPr>
  </w:style>
  <w:style w:type="character" w:customStyle="1" w:styleId="58">
    <w:name w:val="日期 字符"/>
    <w:link w:val="21"/>
    <w:autoRedefine/>
    <w:qFormat/>
    <w:uiPriority w:val="0"/>
    <w:rPr>
      <w:rFonts w:ascii="Times New Roman" w:hAnsi="Times New Roman"/>
      <w:kern w:val="2"/>
      <w:sz w:val="32"/>
      <w:szCs w:val="32"/>
    </w:rPr>
  </w:style>
  <w:style w:type="character" w:customStyle="1" w:styleId="59">
    <w:name w:val="批注框文本 字符"/>
    <w:link w:val="23"/>
    <w:autoRedefine/>
    <w:semiHidden/>
    <w:qFormat/>
    <w:uiPriority w:val="0"/>
    <w:rPr>
      <w:rFonts w:ascii="Times New Roman" w:hAnsi="Times New Roman"/>
      <w:kern w:val="2"/>
      <w:sz w:val="18"/>
      <w:szCs w:val="18"/>
    </w:rPr>
  </w:style>
  <w:style w:type="paragraph" w:customStyle="1" w:styleId="60">
    <w:name w:val="font5"/>
    <w:basedOn w:val="1"/>
    <w:autoRedefine/>
    <w:qFormat/>
    <w:uiPriority w:val="0"/>
    <w:pPr>
      <w:widowControl/>
      <w:spacing w:before="100" w:beforeAutospacing="1" w:after="100" w:afterAutospacing="1"/>
      <w:jc w:val="left"/>
    </w:pPr>
    <w:rPr>
      <w:color w:val="000000"/>
      <w:kern w:val="0"/>
      <w:sz w:val="22"/>
      <w:szCs w:val="22"/>
    </w:rPr>
  </w:style>
  <w:style w:type="paragraph" w:customStyle="1" w:styleId="6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color w:val="000000"/>
      <w:kern w:val="0"/>
      <w:sz w:val="21"/>
      <w:szCs w:val="21"/>
    </w:rPr>
  </w:style>
  <w:style w:type="paragraph" w:customStyle="1" w:styleId="63">
    <w:name w:val="font8"/>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4">
    <w:name w:val="font9"/>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65">
    <w:name w:val="font10"/>
    <w:basedOn w:val="1"/>
    <w:autoRedefine/>
    <w:qFormat/>
    <w:uiPriority w:val="0"/>
    <w:pPr>
      <w:widowControl/>
      <w:spacing w:before="100" w:beforeAutospacing="1" w:after="100" w:afterAutospacing="1"/>
      <w:jc w:val="left"/>
    </w:pPr>
    <w:rPr>
      <w:b/>
      <w:bCs/>
      <w:color w:val="000000"/>
      <w:kern w:val="0"/>
      <w:sz w:val="22"/>
      <w:szCs w:val="22"/>
    </w:rPr>
  </w:style>
  <w:style w:type="paragraph" w:customStyle="1" w:styleId="66">
    <w:name w:val="font11"/>
    <w:basedOn w:val="1"/>
    <w:autoRedefine/>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67">
    <w:name w:val="font12"/>
    <w:basedOn w:val="1"/>
    <w:autoRedefine/>
    <w:qFormat/>
    <w:uiPriority w:val="0"/>
    <w:pPr>
      <w:widowControl/>
      <w:spacing w:before="100" w:beforeAutospacing="1" w:after="100" w:afterAutospacing="1"/>
      <w:jc w:val="left"/>
    </w:pPr>
    <w:rPr>
      <w:b/>
      <w:bCs/>
      <w:color w:val="000000"/>
      <w:kern w:val="0"/>
      <w:sz w:val="22"/>
      <w:szCs w:val="22"/>
    </w:rPr>
  </w:style>
  <w:style w:type="paragraph" w:customStyle="1" w:styleId="68">
    <w:name w:val="font13"/>
    <w:basedOn w:val="1"/>
    <w:autoRedefine/>
    <w:qFormat/>
    <w:uiPriority w:val="0"/>
    <w:pPr>
      <w:widowControl/>
      <w:spacing w:before="100" w:beforeAutospacing="1" w:after="100" w:afterAutospacing="1"/>
      <w:jc w:val="left"/>
    </w:pPr>
    <w:rPr>
      <w:color w:val="FF0000"/>
      <w:kern w:val="0"/>
      <w:sz w:val="22"/>
      <w:szCs w:val="22"/>
    </w:rPr>
  </w:style>
  <w:style w:type="paragraph" w:customStyle="1" w:styleId="69">
    <w:name w:val="font14"/>
    <w:basedOn w:val="1"/>
    <w:autoRedefine/>
    <w:qFormat/>
    <w:uiPriority w:val="0"/>
    <w:pPr>
      <w:widowControl/>
      <w:spacing w:before="100" w:beforeAutospacing="1" w:after="100" w:afterAutospacing="1"/>
      <w:jc w:val="left"/>
    </w:pPr>
    <w:rPr>
      <w:rFonts w:ascii="宋体" w:hAnsi="宋体" w:cs="宋体"/>
      <w:color w:val="FF0000"/>
      <w:kern w:val="0"/>
      <w:sz w:val="22"/>
      <w:szCs w:val="22"/>
    </w:rPr>
  </w:style>
  <w:style w:type="paragraph" w:customStyle="1" w:styleId="70">
    <w:name w:val="font15"/>
    <w:basedOn w:val="1"/>
    <w:autoRedefine/>
    <w:qFormat/>
    <w:uiPriority w:val="0"/>
    <w:pPr>
      <w:widowControl/>
      <w:spacing w:before="100" w:beforeAutospacing="1" w:after="100" w:afterAutospacing="1"/>
      <w:jc w:val="left"/>
    </w:pPr>
    <w:rPr>
      <w:rFonts w:ascii="宋体" w:hAnsi="宋体" w:cs="宋体"/>
      <w:color w:val="FF0000"/>
      <w:kern w:val="0"/>
      <w:sz w:val="21"/>
      <w:szCs w:val="21"/>
    </w:rPr>
  </w:style>
  <w:style w:type="paragraph" w:customStyle="1" w:styleId="71">
    <w:name w:val="font16"/>
    <w:basedOn w:val="1"/>
    <w:autoRedefine/>
    <w:qFormat/>
    <w:uiPriority w:val="0"/>
    <w:pPr>
      <w:widowControl/>
      <w:spacing w:before="100" w:beforeAutospacing="1" w:after="100" w:afterAutospacing="1"/>
      <w:jc w:val="left"/>
    </w:pPr>
    <w:rPr>
      <w:rFonts w:ascii="宋体" w:hAnsi="宋体" w:cs="宋体"/>
      <w:color w:val="FF0000"/>
      <w:kern w:val="0"/>
      <w:sz w:val="22"/>
      <w:szCs w:val="22"/>
    </w:rPr>
  </w:style>
  <w:style w:type="paragraph" w:customStyle="1" w:styleId="72">
    <w:name w:val="xl63"/>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3">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74">
    <w:name w:val="xl65"/>
    <w:basedOn w:val="1"/>
    <w:autoRedefine/>
    <w:qFormat/>
    <w:uiPriority w:val="0"/>
    <w:pPr>
      <w:widowControl/>
      <w:spacing w:before="100" w:beforeAutospacing="1" w:after="100" w:afterAutospacing="1"/>
      <w:jc w:val="center"/>
    </w:pPr>
    <w:rPr>
      <w:kern w:val="0"/>
      <w:sz w:val="21"/>
      <w:szCs w:val="21"/>
    </w:rPr>
  </w:style>
  <w:style w:type="paragraph" w:customStyle="1" w:styleId="75">
    <w:name w:val="xl66"/>
    <w:basedOn w:val="1"/>
    <w:autoRedefine/>
    <w:qFormat/>
    <w:uiPriority w:val="0"/>
    <w:pPr>
      <w:widowControl/>
      <w:spacing w:before="100" w:beforeAutospacing="1" w:after="100" w:afterAutospacing="1"/>
      <w:jc w:val="center"/>
    </w:pPr>
    <w:rPr>
      <w:kern w:val="0"/>
      <w:sz w:val="24"/>
      <w:szCs w:val="24"/>
    </w:rPr>
  </w:style>
  <w:style w:type="paragraph" w:customStyle="1" w:styleId="76">
    <w:name w:val="xl67"/>
    <w:basedOn w:val="1"/>
    <w:autoRedefine/>
    <w:qFormat/>
    <w:uiPriority w:val="0"/>
    <w:pPr>
      <w:widowControl/>
      <w:spacing w:before="100" w:beforeAutospacing="1" w:after="100" w:afterAutospacing="1"/>
      <w:jc w:val="center"/>
    </w:pPr>
    <w:rPr>
      <w:b/>
      <w:bCs/>
      <w:kern w:val="0"/>
      <w:sz w:val="24"/>
      <w:szCs w:val="24"/>
    </w:rPr>
  </w:style>
  <w:style w:type="paragraph" w:customStyle="1" w:styleId="77">
    <w:name w:val="xl68"/>
    <w:basedOn w:val="1"/>
    <w:autoRedefine/>
    <w:qFormat/>
    <w:uiPriority w:val="0"/>
    <w:pPr>
      <w:widowControl/>
      <w:spacing w:before="100" w:beforeAutospacing="1" w:after="100" w:afterAutospacing="1"/>
      <w:jc w:val="center"/>
    </w:pPr>
    <w:rPr>
      <w:kern w:val="0"/>
      <w:sz w:val="24"/>
      <w:szCs w:val="24"/>
    </w:rPr>
  </w:style>
  <w:style w:type="paragraph" w:customStyle="1" w:styleId="78">
    <w:name w:val="xl69"/>
    <w:basedOn w:val="1"/>
    <w:autoRedefine/>
    <w:qFormat/>
    <w:uiPriority w:val="0"/>
    <w:pPr>
      <w:widowControl/>
      <w:spacing w:before="100" w:beforeAutospacing="1" w:after="100" w:afterAutospacing="1"/>
      <w:jc w:val="center"/>
    </w:pPr>
    <w:rPr>
      <w:color w:val="FF0000"/>
      <w:kern w:val="0"/>
      <w:sz w:val="24"/>
      <w:szCs w:val="24"/>
    </w:rPr>
  </w:style>
  <w:style w:type="paragraph" w:customStyle="1" w:styleId="79">
    <w:name w:val="xl70"/>
    <w:basedOn w:val="1"/>
    <w:autoRedefine/>
    <w:qFormat/>
    <w:uiPriority w:val="0"/>
    <w:pPr>
      <w:widowControl/>
      <w:spacing w:before="100" w:beforeAutospacing="1" w:after="100" w:afterAutospacing="1"/>
      <w:jc w:val="left"/>
    </w:pPr>
    <w:rPr>
      <w:rFonts w:ascii="宋体" w:hAnsi="宋体" w:cs="宋体"/>
      <w:color w:val="FF0000"/>
      <w:kern w:val="0"/>
      <w:sz w:val="24"/>
      <w:szCs w:val="24"/>
    </w:rPr>
  </w:style>
  <w:style w:type="paragraph" w:customStyle="1" w:styleId="80">
    <w:name w:val="xl71"/>
    <w:basedOn w:val="1"/>
    <w:autoRedefine/>
    <w:qFormat/>
    <w:uiPriority w:val="0"/>
    <w:pPr>
      <w:widowControl/>
      <w:spacing w:before="100" w:beforeAutospacing="1" w:after="100" w:afterAutospacing="1"/>
      <w:jc w:val="center"/>
    </w:pPr>
    <w:rPr>
      <w:rFonts w:ascii="宋体" w:hAnsi="宋体" w:cs="宋体"/>
      <w:color w:val="FF0000"/>
      <w:kern w:val="0"/>
      <w:sz w:val="24"/>
      <w:szCs w:val="24"/>
    </w:rPr>
  </w:style>
  <w:style w:type="paragraph" w:customStyle="1" w:styleId="81">
    <w:name w:val="xl72"/>
    <w:basedOn w:val="1"/>
    <w:autoRedefine/>
    <w:qFormat/>
    <w:uiPriority w:val="0"/>
    <w:pPr>
      <w:widowControl/>
      <w:spacing w:before="100" w:beforeAutospacing="1" w:after="100" w:afterAutospacing="1"/>
      <w:jc w:val="center"/>
    </w:pPr>
    <w:rPr>
      <w:color w:val="FF0000"/>
      <w:kern w:val="0"/>
      <w:sz w:val="21"/>
      <w:szCs w:val="21"/>
    </w:rPr>
  </w:style>
  <w:style w:type="paragraph" w:customStyle="1" w:styleId="82">
    <w:name w:val="xl73"/>
    <w:basedOn w:val="1"/>
    <w:autoRedefine/>
    <w:qFormat/>
    <w:uiPriority w:val="0"/>
    <w:pPr>
      <w:widowControl/>
      <w:spacing w:before="100" w:beforeAutospacing="1" w:after="100" w:afterAutospacing="1"/>
      <w:jc w:val="center"/>
    </w:pPr>
    <w:rPr>
      <w:color w:val="FF0000"/>
      <w:kern w:val="0"/>
      <w:sz w:val="24"/>
      <w:szCs w:val="24"/>
    </w:rPr>
  </w:style>
  <w:style w:type="paragraph" w:customStyle="1" w:styleId="83">
    <w:name w:val="xl7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84">
    <w:name w:val="xl75"/>
    <w:basedOn w:val="1"/>
    <w:autoRedefine/>
    <w:qFormat/>
    <w:uiPriority w:val="0"/>
    <w:pPr>
      <w:widowControl/>
      <w:spacing w:before="100" w:beforeAutospacing="1" w:after="100" w:afterAutospacing="1"/>
      <w:jc w:val="center"/>
    </w:pPr>
    <w:rPr>
      <w:kern w:val="0"/>
      <w:sz w:val="24"/>
      <w:szCs w:val="24"/>
    </w:rPr>
  </w:style>
  <w:style w:type="paragraph" w:customStyle="1" w:styleId="85">
    <w:name w:val="xl76"/>
    <w:basedOn w:val="1"/>
    <w:autoRedefine/>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86">
    <w:name w:val="xl77"/>
    <w:basedOn w:val="1"/>
    <w:autoRedefine/>
    <w:qFormat/>
    <w:uiPriority w:val="0"/>
    <w:pPr>
      <w:widowControl/>
      <w:spacing w:before="100" w:beforeAutospacing="1" w:after="100" w:afterAutospacing="1"/>
      <w:jc w:val="center"/>
    </w:pPr>
    <w:rPr>
      <w:color w:val="FF0000"/>
      <w:kern w:val="0"/>
      <w:sz w:val="21"/>
      <w:szCs w:val="21"/>
    </w:rPr>
  </w:style>
  <w:style w:type="paragraph" w:customStyle="1" w:styleId="87">
    <w:name w:val="xl78"/>
    <w:basedOn w:val="1"/>
    <w:autoRedefine/>
    <w:qFormat/>
    <w:uiPriority w:val="0"/>
    <w:pPr>
      <w:widowControl/>
      <w:spacing w:before="100" w:beforeAutospacing="1" w:after="100" w:afterAutospacing="1"/>
      <w:jc w:val="center"/>
    </w:pPr>
    <w:rPr>
      <w:kern w:val="0"/>
      <w:sz w:val="21"/>
      <w:szCs w:val="21"/>
    </w:rPr>
  </w:style>
  <w:style w:type="character" w:customStyle="1" w:styleId="88">
    <w:name w:val="访问过的超链接1"/>
    <w:autoRedefine/>
    <w:semiHidden/>
    <w:unhideWhenUsed/>
    <w:qFormat/>
    <w:uiPriority w:val="99"/>
    <w:rPr>
      <w:color w:val="954F72"/>
      <w:u w:val="single"/>
    </w:rPr>
  </w:style>
  <w:style w:type="character" w:customStyle="1" w:styleId="89">
    <w:name w:val="文档结构图 字符"/>
    <w:basedOn w:val="45"/>
    <w:link w:val="13"/>
    <w:autoRedefine/>
    <w:semiHidden/>
    <w:qFormat/>
    <w:uiPriority w:val="0"/>
    <w:rPr>
      <w:rFonts w:ascii="宋体" w:hAnsi="Times New Roman"/>
      <w:kern w:val="2"/>
      <w:sz w:val="18"/>
      <w:szCs w:val="18"/>
    </w:rPr>
  </w:style>
  <w:style w:type="paragraph" w:styleId="90">
    <w:name w:val="List Paragraph"/>
    <w:basedOn w:val="1"/>
    <w:autoRedefine/>
    <w:qFormat/>
    <w:uiPriority w:val="34"/>
    <w:pPr>
      <w:ind w:firstLine="420"/>
    </w:pPr>
  </w:style>
  <w:style w:type="character" w:customStyle="1" w:styleId="91">
    <w:name w:val="标题 2 字符"/>
    <w:basedOn w:val="45"/>
    <w:link w:val="5"/>
    <w:autoRedefine/>
    <w:qFormat/>
    <w:uiPriority w:val="0"/>
    <w:rPr>
      <w:rFonts w:eastAsia="楷体" w:asciiTheme="majorHAnsi" w:hAnsiTheme="majorHAnsi" w:cstheme="majorBidi"/>
      <w:b/>
      <w:bCs/>
      <w:kern w:val="2"/>
      <w:sz w:val="32"/>
      <w:szCs w:val="32"/>
    </w:rPr>
  </w:style>
  <w:style w:type="character" w:customStyle="1" w:styleId="92">
    <w:name w:val="标题 3 字符"/>
    <w:basedOn w:val="45"/>
    <w:link w:val="6"/>
    <w:autoRedefine/>
    <w:qFormat/>
    <w:uiPriority w:val="0"/>
    <w:rPr>
      <w:rFonts w:eastAsia="仿宋_GB2312"/>
      <w:b/>
      <w:bCs/>
      <w:kern w:val="2"/>
      <w:sz w:val="32"/>
      <w:szCs w:val="32"/>
    </w:rPr>
  </w:style>
  <w:style w:type="character" w:customStyle="1" w:styleId="93">
    <w:name w:val="标题 5 字符"/>
    <w:basedOn w:val="45"/>
    <w:link w:val="8"/>
    <w:autoRedefine/>
    <w:qFormat/>
    <w:uiPriority w:val="0"/>
    <w:rPr>
      <w:rFonts w:ascii="Times New Roman" w:hAnsi="Times New Roman"/>
      <w:b/>
      <w:bCs/>
      <w:kern w:val="2"/>
      <w:sz w:val="28"/>
      <w:szCs w:val="28"/>
    </w:rPr>
  </w:style>
  <w:style w:type="character" w:customStyle="1" w:styleId="94">
    <w:name w:val="标题 6 字符"/>
    <w:basedOn w:val="45"/>
    <w:link w:val="9"/>
    <w:autoRedefine/>
    <w:qFormat/>
    <w:uiPriority w:val="0"/>
    <w:rPr>
      <w:rFonts w:ascii="Arial" w:hAnsi="Arial" w:eastAsia="黑体"/>
      <w:b/>
      <w:bCs/>
      <w:kern w:val="2"/>
      <w:sz w:val="24"/>
      <w:szCs w:val="24"/>
    </w:rPr>
  </w:style>
  <w:style w:type="character" w:customStyle="1" w:styleId="95">
    <w:name w:val="fontstyle01"/>
    <w:basedOn w:val="45"/>
    <w:autoRedefine/>
    <w:qFormat/>
    <w:uiPriority w:val="0"/>
    <w:rPr>
      <w:rFonts w:hint="default" w:ascii="仿宋" w:hAnsi="仿宋"/>
      <w:color w:val="000000"/>
      <w:sz w:val="28"/>
      <w:szCs w:val="28"/>
    </w:rPr>
  </w:style>
  <w:style w:type="character" w:customStyle="1" w:styleId="96">
    <w:name w:val="fontstyle21"/>
    <w:basedOn w:val="45"/>
    <w:autoRedefine/>
    <w:qFormat/>
    <w:uiPriority w:val="0"/>
    <w:rPr>
      <w:rFonts w:hint="default" w:ascii="TimesNewRomanPSMT" w:hAnsi="TimesNewRomanPSMT"/>
      <w:color w:val="000000"/>
      <w:sz w:val="28"/>
      <w:szCs w:val="28"/>
    </w:rPr>
  </w:style>
  <w:style w:type="character" w:customStyle="1" w:styleId="97">
    <w:name w:val="纯文本 字符"/>
    <w:link w:val="19"/>
    <w:autoRedefine/>
    <w:qFormat/>
    <w:uiPriority w:val="0"/>
    <w:rPr>
      <w:rFonts w:ascii="宋体" w:hAnsi="Courier New" w:cs="Courier New"/>
      <w:szCs w:val="21"/>
    </w:rPr>
  </w:style>
  <w:style w:type="character" w:customStyle="1" w:styleId="98">
    <w:name w:val="纯文本 Char1"/>
    <w:basedOn w:val="45"/>
    <w:autoRedefine/>
    <w:semiHidden/>
    <w:qFormat/>
    <w:uiPriority w:val="99"/>
    <w:rPr>
      <w:rFonts w:ascii="宋体" w:hAnsi="Courier New" w:cs="Courier New"/>
      <w:kern w:val="2"/>
      <w:sz w:val="21"/>
      <w:szCs w:val="21"/>
    </w:rPr>
  </w:style>
  <w:style w:type="character" w:styleId="99">
    <w:name w:val="Placeholder Text"/>
    <w:basedOn w:val="45"/>
    <w:autoRedefine/>
    <w:semiHidden/>
    <w:qFormat/>
    <w:uiPriority w:val="99"/>
    <w:rPr>
      <w:color w:val="808080"/>
    </w:rPr>
  </w:style>
  <w:style w:type="paragraph" w:customStyle="1" w:styleId="100">
    <w:name w:val="Char"/>
    <w:basedOn w:val="1"/>
    <w:autoRedefine/>
    <w:qFormat/>
    <w:uiPriority w:val="0"/>
  </w:style>
  <w:style w:type="character" w:customStyle="1" w:styleId="101">
    <w:name w:val="apple-style-span"/>
    <w:basedOn w:val="45"/>
    <w:autoRedefine/>
    <w:qFormat/>
    <w:uiPriority w:val="0"/>
  </w:style>
  <w:style w:type="paragraph" w:customStyle="1" w:styleId="102">
    <w:name w:val="Char1"/>
    <w:basedOn w:val="1"/>
    <w:autoRedefine/>
    <w:qFormat/>
    <w:uiPriority w:val="0"/>
  </w:style>
  <w:style w:type="paragraph" w:customStyle="1" w:styleId="103">
    <w:name w:val="Char2"/>
    <w:basedOn w:val="1"/>
    <w:autoRedefine/>
    <w:qFormat/>
    <w:uiPriority w:val="0"/>
  </w:style>
  <w:style w:type="character" w:customStyle="1" w:styleId="104">
    <w:name w:val="正文文本 字符"/>
    <w:basedOn w:val="45"/>
    <w:link w:val="15"/>
    <w:autoRedefine/>
    <w:qFormat/>
    <w:uiPriority w:val="0"/>
    <w:rPr>
      <w:rFonts w:ascii="Times New Roman" w:hAnsi="Times New Roman"/>
      <w:kern w:val="2"/>
      <w:sz w:val="28"/>
      <w:szCs w:val="28"/>
      <w:lang w:val="zh-CN" w:eastAsia="zh-CN"/>
    </w:rPr>
  </w:style>
  <w:style w:type="paragraph" w:customStyle="1" w:styleId="105">
    <w:name w:val="Char3"/>
    <w:basedOn w:val="1"/>
    <w:autoRedefine/>
    <w:qFormat/>
    <w:uiPriority w:val="0"/>
  </w:style>
  <w:style w:type="character" w:customStyle="1" w:styleId="106">
    <w:name w:val="Char Char101"/>
    <w:autoRedefine/>
    <w:qFormat/>
    <w:uiPriority w:val="0"/>
    <w:rPr>
      <w:rFonts w:ascii="Times New Roman" w:hAnsi="Times New Roman" w:cs="Times New Roman"/>
      <w:kern w:val="2"/>
      <w:sz w:val="28"/>
      <w:szCs w:val="28"/>
    </w:rPr>
  </w:style>
  <w:style w:type="character" w:customStyle="1" w:styleId="107">
    <w:name w:val="TOC 2 字符"/>
    <w:link w:val="32"/>
    <w:autoRedefine/>
    <w:qFormat/>
    <w:locked/>
    <w:uiPriority w:val="39"/>
    <w:rPr>
      <w:rFonts w:eastAsia="仿宋_GB2312" w:asciiTheme="minorHAnsi" w:hAnsiTheme="minorHAnsi" w:cstheme="minorHAnsi"/>
      <w:smallCaps/>
      <w:kern w:val="2"/>
    </w:rPr>
  </w:style>
  <w:style w:type="paragraph" w:customStyle="1" w:styleId="108">
    <w:name w:val="Char4"/>
    <w:basedOn w:val="1"/>
    <w:autoRedefine/>
    <w:qFormat/>
    <w:uiPriority w:val="0"/>
  </w:style>
  <w:style w:type="paragraph" w:customStyle="1" w:styleId="109">
    <w:name w:val="Char5"/>
    <w:basedOn w:val="1"/>
    <w:autoRedefine/>
    <w:qFormat/>
    <w:uiPriority w:val="0"/>
  </w:style>
  <w:style w:type="paragraph" w:customStyle="1" w:styleId="110">
    <w:name w:val="Char6"/>
    <w:basedOn w:val="1"/>
    <w:autoRedefine/>
    <w:qFormat/>
    <w:uiPriority w:val="0"/>
  </w:style>
  <w:style w:type="character" w:customStyle="1" w:styleId="111">
    <w:name w:val="批注文字 字符"/>
    <w:basedOn w:val="45"/>
    <w:link w:val="14"/>
    <w:autoRedefine/>
    <w:semiHidden/>
    <w:qFormat/>
    <w:uiPriority w:val="0"/>
    <w:rPr>
      <w:rFonts w:eastAsia="仿宋_GB2312"/>
      <w:kern w:val="2"/>
      <w:sz w:val="21"/>
      <w:szCs w:val="21"/>
    </w:rPr>
  </w:style>
  <w:style w:type="character" w:customStyle="1" w:styleId="112">
    <w:name w:val="批注主题 字符"/>
    <w:basedOn w:val="111"/>
    <w:link w:val="37"/>
    <w:autoRedefine/>
    <w:semiHidden/>
    <w:qFormat/>
    <w:uiPriority w:val="0"/>
    <w:rPr>
      <w:rFonts w:ascii="Times New Roman" w:hAnsi="Times New Roman" w:eastAsia="仿宋_GB2312"/>
      <w:b/>
      <w:bCs/>
      <w:kern w:val="2"/>
      <w:sz w:val="21"/>
      <w:szCs w:val="21"/>
    </w:rPr>
  </w:style>
  <w:style w:type="character" w:customStyle="1" w:styleId="113">
    <w:name w:val="正文文本缩进 字符"/>
    <w:basedOn w:val="45"/>
    <w:link w:val="3"/>
    <w:autoRedefine/>
    <w:qFormat/>
    <w:uiPriority w:val="0"/>
    <w:rPr>
      <w:rFonts w:ascii="Times New Roman" w:hAnsi="Times New Roman"/>
      <w:kern w:val="2"/>
      <w:sz w:val="21"/>
      <w:szCs w:val="21"/>
    </w:rPr>
  </w:style>
  <w:style w:type="paragraph" w:customStyle="1" w:styleId="114">
    <w:name w:val="Char7"/>
    <w:basedOn w:val="1"/>
    <w:autoRedefine/>
    <w:qFormat/>
    <w:uiPriority w:val="0"/>
  </w:style>
  <w:style w:type="character" w:customStyle="1" w:styleId="115">
    <w:name w:val="HTML 预设格式 字符"/>
    <w:basedOn w:val="45"/>
    <w:link w:val="34"/>
    <w:autoRedefine/>
    <w:qFormat/>
    <w:uiPriority w:val="0"/>
    <w:rPr>
      <w:rFonts w:ascii="Arial" w:hAnsi="Arial" w:cs="Arial"/>
      <w:sz w:val="24"/>
      <w:szCs w:val="24"/>
    </w:rPr>
  </w:style>
  <w:style w:type="character" w:customStyle="1" w:styleId="116">
    <w:name w:val="mod-title ml-5"/>
    <w:basedOn w:val="45"/>
    <w:autoRedefine/>
    <w:qFormat/>
    <w:uiPriority w:val="0"/>
  </w:style>
  <w:style w:type="paragraph" w:customStyle="1" w:styleId="117">
    <w:name w:val="Char8"/>
    <w:basedOn w:val="1"/>
    <w:autoRedefine/>
    <w:qFormat/>
    <w:uiPriority w:val="0"/>
  </w:style>
  <w:style w:type="paragraph" w:customStyle="1" w:styleId="118">
    <w:name w:val="样式 标题 4 +"/>
    <w:basedOn w:val="7"/>
    <w:autoRedefine/>
    <w:qFormat/>
    <w:uiPriority w:val="0"/>
    <w:pPr>
      <w:spacing w:before="120" w:after="120" w:line="240" w:lineRule="auto"/>
      <w:jc w:val="left"/>
    </w:pPr>
    <w:rPr>
      <w:rFonts w:ascii="Arial" w:hAnsi="Arial" w:cs="Arial"/>
      <w:b/>
      <w:bCs w:val="0"/>
      <w:kern w:val="0"/>
      <w:sz w:val="24"/>
      <w:szCs w:val="24"/>
    </w:rPr>
  </w:style>
  <w:style w:type="paragraph" w:customStyle="1" w:styleId="119">
    <w:name w:val="样式 标题 5 +"/>
    <w:basedOn w:val="8"/>
    <w:autoRedefine/>
    <w:qFormat/>
    <w:uiPriority w:val="0"/>
    <w:pPr>
      <w:spacing w:before="120" w:after="120" w:line="240" w:lineRule="auto"/>
    </w:pPr>
    <w:rPr>
      <w:b w:val="0"/>
      <w:bCs w:val="0"/>
      <w:kern w:val="0"/>
      <w:sz w:val="24"/>
      <w:szCs w:val="24"/>
    </w:rPr>
  </w:style>
  <w:style w:type="paragraph" w:customStyle="1" w:styleId="120">
    <w:name w:val="xl2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21">
    <w:name w:val="xl25"/>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b/>
      <w:bCs/>
      <w:color w:val="FF0000"/>
      <w:kern w:val="0"/>
      <w:sz w:val="18"/>
      <w:szCs w:val="18"/>
    </w:rPr>
  </w:style>
  <w:style w:type="paragraph" w:customStyle="1" w:styleId="122">
    <w:name w:val="xl2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kern w:val="0"/>
      <w:sz w:val="18"/>
      <w:szCs w:val="18"/>
    </w:rPr>
  </w:style>
  <w:style w:type="paragraph" w:customStyle="1" w:styleId="123">
    <w:name w:val="xl2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kern w:val="0"/>
      <w:sz w:val="18"/>
      <w:szCs w:val="18"/>
    </w:rPr>
  </w:style>
  <w:style w:type="paragraph" w:customStyle="1" w:styleId="124">
    <w:name w:val="xl2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i/>
      <w:iCs/>
      <w:kern w:val="0"/>
      <w:sz w:val="18"/>
      <w:szCs w:val="18"/>
    </w:rPr>
  </w:style>
  <w:style w:type="paragraph" w:customStyle="1" w:styleId="125">
    <w:name w:val="xl2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kern w:val="0"/>
      <w:sz w:val="18"/>
      <w:szCs w:val="18"/>
    </w:rPr>
  </w:style>
  <w:style w:type="paragraph" w:customStyle="1" w:styleId="126">
    <w:name w:val="xl3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kern w:val="0"/>
      <w:sz w:val="18"/>
      <w:szCs w:val="18"/>
    </w:rPr>
  </w:style>
  <w:style w:type="paragraph" w:customStyle="1" w:styleId="127">
    <w:name w:val="xl3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i/>
      <w:iCs/>
      <w:kern w:val="0"/>
      <w:sz w:val="18"/>
      <w:szCs w:val="18"/>
    </w:rPr>
  </w:style>
  <w:style w:type="paragraph" w:customStyle="1" w:styleId="128">
    <w:name w:val="xl3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b/>
      <w:bCs/>
      <w:kern w:val="0"/>
      <w:sz w:val="18"/>
      <w:szCs w:val="18"/>
    </w:rPr>
  </w:style>
  <w:style w:type="paragraph" w:customStyle="1" w:styleId="129">
    <w:name w:val="xl3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i/>
      <w:iCs/>
      <w:kern w:val="0"/>
      <w:sz w:val="18"/>
      <w:szCs w:val="18"/>
    </w:rPr>
  </w:style>
  <w:style w:type="paragraph" w:customStyle="1" w:styleId="13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18"/>
      <w:szCs w:val="18"/>
    </w:rPr>
  </w:style>
  <w:style w:type="paragraph" w:customStyle="1" w:styleId="131">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2">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i/>
      <w:iCs/>
      <w:kern w:val="0"/>
      <w:sz w:val="18"/>
      <w:szCs w:val="18"/>
    </w:rPr>
  </w:style>
  <w:style w:type="paragraph" w:customStyle="1" w:styleId="133">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34">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8"/>
      <w:szCs w:val="18"/>
    </w:rPr>
  </w:style>
  <w:style w:type="paragraph" w:customStyle="1" w:styleId="135">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i/>
      <w:iCs/>
      <w:kern w:val="0"/>
      <w:sz w:val="18"/>
      <w:szCs w:val="18"/>
    </w:rPr>
  </w:style>
  <w:style w:type="paragraph" w:customStyle="1" w:styleId="13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7">
    <w:name w:val="xl4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0000FF"/>
      <w:spacing w:before="100" w:beforeAutospacing="1" w:after="100" w:afterAutospacing="1"/>
      <w:jc w:val="left"/>
    </w:pPr>
    <w:rPr>
      <w:rFonts w:ascii="宋体" w:hAnsi="宋体" w:cs="宋体"/>
      <w:kern w:val="0"/>
      <w:sz w:val="18"/>
      <w:szCs w:val="18"/>
    </w:rPr>
  </w:style>
  <w:style w:type="paragraph" w:customStyle="1" w:styleId="138">
    <w:name w:val="xl4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kern w:val="0"/>
      <w:sz w:val="18"/>
      <w:szCs w:val="18"/>
    </w:rPr>
  </w:style>
  <w:style w:type="paragraph" w:customStyle="1" w:styleId="139">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18"/>
      <w:szCs w:val="18"/>
    </w:rPr>
  </w:style>
  <w:style w:type="paragraph" w:customStyle="1" w:styleId="140">
    <w:name w:val="xl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141">
    <w:name w:val="xl4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42">
    <w:name w:val="xl46"/>
    <w:basedOn w:val="1"/>
    <w:autoRedefine/>
    <w:qFormat/>
    <w:uiPriority w:val="0"/>
    <w:pPr>
      <w:widowControl/>
      <w:spacing w:before="100" w:beforeAutospacing="1" w:after="100" w:afterAutospacing="1"/>
      <w:jc w:val="left"/>
    </w:pPr>
    <w:rPr>
      <w:i/>
      <w:iCs/>
      <w:kern w:val="0"/>
      <w:sz w:val="18"/>
      <w:szCs w:val="18"/>
    </w:rPr>
  </w:style>
  <w:style w:type="paragraph" w:customStyle="1" w:styleId="143">
    <w:name w:val="xl4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44">
    <w:name w:val="xl4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5">
    <w:name w:val="xl4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6">
    <w:name w:val="xl50"/>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i/>
      <w:iCs/>
      <w:kern w:val="0"/>
      <w:sz w:val="18"/>
      <w:szCs w:val="18"/>
    </w:rPr>
  </w:style>
  <w:style w:type="paragraph" w:customStyle="1" w:styleId="147">
    <w:name w:val="英文图题"/>
    <w:autoRedefine/>
    <w:qFormat/>
    <w:uiPriority w:val="0"/>
    <w:pPr>
      <w:widowControl w:val="0"/>
      <w:tabs>
        <w:tab w:val="left" w:pos="567"/>
      </w:tabs>
      <w:overflowPunct w:val="0"/>
      <w:autoSpaceDE w:val="0"/>
      <w:autoSpaceDN w:val="0"/>
      <w:adjustRightInd w:val="0"/>
      <w:snapToGrid w:val="0"/>
    </w:pPr>
    <w:rPr>
      <w:rFonts w:ascii="Times New Roman" w:hAnsi="Times New Roman" w:eastAsia="宋体" w:cs="Times New Roman"/>
      <w:kern w:val="18"/>
      <w:sz w:val="18"/>
      <w:lang w:val="en-US" w:eastAsia="zh-CN" w:bidi="ar-SA"/>
    </w:rPr>
  </w:style>
  <w:style w:type="character" w:customStyle="1" w:styleId="148">
    <w:name w:val="脚注文本 字符"/>
    <w:basedOn w:val="45"/>
    <w:link w:val="29"/>
    <w:autoRedefine/>
    <w:semiHidden/>
    <w:qFormat/>
    <w:uiPriority w:val="0"/>
    <w:rPr>
      <w:rFonts w:eastAsia="仿宋_GB2312"/>
      <w:kern w:val="2"/>
      <w:sz w:val="18"/>
      <w:szCs w:val="18"/>
    </w:rPr>
  </w:style>
  <w:style w:type="character" w:customStyle="1" w:styleId="149">
    <w:name w:val="style1"/>
    <w:basedOn w:val="45"/>
    <w:autoRedefine/>
    <w:qFormat/>
    <w:uiPriority w:val="0"/>
  </w:style>
  <w:style w:type="paragraph" w:customStyle="1" w:styleId="150">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51">
    <w:name w:val="标题 字符"/>
    <w:basedOn w:val="45"/>
    <w:link w:val="36"/>
    <w:autoRedefine/>
    <w:qFormat/>
    <w:uiPriority w:val="0"/>
    <w:rPr>
      <w:rFonts w:ascii="Cambria" w:hAnsi="Cambria"/>
      <w:b/>
      <w:bCs/>
      <w:kern w:val="2"/>
      <w:sz w:val="32"/>
      <w:szCs w:val="32"/>
      <w:lang w:val="zh-CN" w:eastAsia="zh-CN"/>
    </w:rPr>
  </w:style>
  <w:style w:type="paragraph" w:customStyle="1" w:styleId="152">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153">
    <w:name w:val="副标题 字符"/>
    <w:basedOn w:val="45"/>
    <w:link w:val="28"/>
    <w:autoRedefine/>
    <w:qFormat/>
    <w:uiPriority w:val="0"/>
    <w:rPr>
      <w:rFonts w:ascii="Cambria" w:hAnsi="Cambria"/>
      <w:b/>
      <w:bCs/>
      <w:kern w:val="28"/>
      <w:sz w:val="32"/>
      <w:szCs w:val="32"/>
    </w:rPr>
  </w:style>
  <w:style w:type="character" w:customStyle="1" w:styleId="154">
    <w:name w:val="不明显强调1"/>
    <w:autoRedefine/>
    <w:qFormat/>
    <w:uiPriority w:val="0"/>
    <w:rPr>
      <w:i/>
      <w:iCs/>
      <w:color w:val="808080"/>
    </w:rPr>
  </w:style>
  <w:style w:type="paragraph" w:customStyle="1" w:styleId="155">
    <w:name w:val="TOC 标题1"/>
    <w:basedOn w:val="4"/>
    <w:next w:val="1"/>
    <w:autoRedefine/>
    <w:qFormat/>
    <w:uiPriority w:val="0"/>
    <w:pPr>
      <w:widowControl/>
      <w:spacing w:before="480" w:line="276" w:lineRule="auto"/>
      <w:jc w:val="center"/>
      <w:outlineLvl w:val="9"/>
    </w:pPr>
    <w:rPr>
      <w:rFonts w:ascii="Cambria" w:hAnsi="Cambria" w:eastAsia="宋体"/>
      <w:color w:val="365F91"/>
      <w:kern w:val="0"/>
      <w:sz w:val="30"/>
      <w:szCs w:val="28"/>
    </w:rPr>
  </w:style>
  <w:style w:type="character" w:customStyle="1" w:styleId="156">
    <w:name w:val="Body Text Char"/>
    <w:autoRedefine/>
    <w:qFormat/>
    <w:locked/>
    <w:uiPriority w:val="0"/>
    <w:rPr>
      <w:rFonts w:eastAsia="宋体"/>
      <w:kern w:val="2"/>
      <w:sz w:val="28"/>
      <w:szCs w:val="28"/>
      <w:lang w:val="en-US" w:eastAsia="zh-CN" w:bidi="ar-SA"/>
    </w:rPr>
  </w:style>
  <w:style w:type="character" w:customStyle="1" w:styleId="157">
    <w:name w:val="Heading 1 Char"/>
    <w:autoRedefine/>
    <w:qFormat/>
    <w:locked/>
    <w:uiPriority w:val="0"/>
    <w:rPr>
      <w:rFonts w:ascii="Times New Roman" w:hAnsi="Times New Roman" w:eastAsia="宋体" w:cs="Times New Roman"/>
      <w:b/>
      <w:bCs/>
      <w:kern w:val="44"/>
      <w:sz w:val="28"/>
      <w:szCs w:val="28"/>
    </w:rPr>
  </w:style>
  <w:style w:type="paragraph" w:customStyle="1" w:styleId="158">
    <w:name w:val="列出段落1"/>
    <w:basedOn w:val="1"/>
    <w:autoRedefine/>
    <w:qFormat/>
    <w:uiPriority w:val="0"/>
    <w:pPr>
      <w:spacing w:line="312" w:lineRule="auto"/>
      <w:ind w:firstLine="420"/>
    </w:pPr>
    <w:rPr>
      <w:rFonts w:ascii="Calibri" w:hAnsi="Calibri"/>
      <w:sz w:val="24"/>
      <w:szCs w:val="22"/>
    </w:rPr>
  </w:style>
  <w:style w:type="paragraph" w:customStyle="1" w:styleId="159">
    <w:name w:val="TOC 标题11"/>
    <w:basedOn w:val="4"/>
    <w:next w:val="1"/>
    <w:autoRedefine/>
    <w:qFormat/>
    <w:uiPriority w:val="0"/>
    <w:pPr>
      <w:widowControl/>
      <w:spacing w:line="276" w:lineRule="auto"/>
      <w:jc w:val="center"/>
      <w:outlineLvl w:val="9"/>
    </w:pPr>
    <w:rPr>
      <w:rFonts w:ascii="Cambria" w:hAnsi="Cambria" w:eastAsia="宋体"/>
      <w:color w:val="365F91"/>
      <w:kern w:val="0"/>
      <w:sz w:val="30"/>
      <w:szCs w:val="28"/>
    </w:rPr>
  </w:style>
  <w:style w:type="paragraph" w:customStyle="1" w:styleId="160">
    <w:name w:val="样式 小四 黑色 段前: 0 磅 段后: 0 磅 首行缩进:  2 字符1"/>
    <w:basedOn w:val="1"/>
    <w:autoRedefine/>
    <w:qFormat/>
    <w:uiPriority w:val="0"/>
    <w:pPr>
      <w:spacing w:line="312" w:lineRule="auto"/>
      <w:ind w:firstLine="480"/>
    </w:pPr>
    <w:rPr>
      <w:rFonts w:cs="宋体"/>
      <w:color w:val="000000"/>
      <w:sz w:val="24"/>
      <w:szCs w:val="20"/>
    </w:rPr>
  </w:style>
  <w:style w:type="paragraph" w:customStyle="1" w:styleId="161">
    <w:name w:val="图头"/>
    <w:basedOn w:val="1"/>
    <w:autoRedefine/>
    <w:qFormat/>
    <w:uiPriority w:val="0"/>
    <w:pPr>
      <w:spacing w:afterLines="100" w:line="312" w:lineRule="auto"/>
      <w:jc w:val="center"/>
    </w:pPr>
    <w:rPr>
      <w:rFonts w:eastAsia="黑体"/>
      <w:bCs/>
      <w:sz w:val="24"/>
      <w:szCs w:val="24"/>
    </w:rPr>
  </w:style>
  <w:style w:type="character" w:customStyle="1" w:styleId="162">
    <w:name w:val="Footer Char"/>
    <w:autoRedefine/>
    <w:qFormat/>
    <w:locked/>
    <w:uiPriority w:val="0"/>
    <w:rPr>
      <w:rFonts w:ascii="Times New Roman" w:hAnsi="Times New Roman" w:eastAsia="宋体" w:cs="Times New Roman"/>
      <w:bCs/>
      <w:sz w:val="18"/>
      <w:szCs w:val="18"/>
    </w:rPr>
  </w:style>
  <w:style w:type="paragraph" w:customStyle="1" w:styleId="163">
    <w:name w:val="表内正文"/>
    <w:basedOn w:val="1"/>
    <w:autoRedefine/>
    <w:qFormat/>
    <w:uiPriority w:val="0"/>
    <w:pPr>
      <w:widowControl/>
      <w:jc w:val="center"/>
    </w:pPr>
    <w:rPr>
      <w:color w:val="000000"/>
      <w:kern w:val="0"/>
      <w:sz w:val="18"/>
      <w:szCs w:val="18"/>
    </w:rPr>
  </w:style>
  <w:style w:type="paragraph" w:customStyle="1" w:styleId="164">
    <w:name w:val="表头"/>
    <w:basedOn w:val="1"/>
    <w:autoRedefine/>
    <w:qFormat/>
    <w:uiPriority w:val="0"/>
    <w:pPr>
      <w:spacing w:beforeLines="50" w:line="312" w:lineRule="auto"/>
      <w:jc w:val="center"/>
    </w:pPr>
    <w:rPr>
      <w:rFonts w:eastAsia="黑体"/>
      <w:bCs/>
      <w:color w:val="000000"/>
      <w:sz w:val="24"/>
      <w:szCs w:val="24"/>
    </w:rPr>
  </w:style>
  <w:style w:type="paragraph" w:customStyle="1" w:styleId="165">
    <w:name w:val="5号表内正文"/>
    <w:basedOn w:val="163"/>
    <w:next w:val="1"/>
    <w:autoRedefine/>
    <w:qFormat/>
    <w:uiPriority w:val="0"/>
    <w:rPr>
      <w:sz w:val="21"/>
    </w:rPr>
  </w:style>
  <w:style w:type="paragraph" w:customStyle="1" w:styleId="166">
    <w:name w:val="图"/>
    <w:basedOn w:val="19"/>
    <w:autoRedefine/>
    <w:qFormat/>
    <w:uiPriority w:val="0"/>
    <w:pPr>
      <w:jc w:val="center"/>
    </w:pPr>
    <w:rPr>
      <w:rFonts w:ascii="Times New Roman" w:hAnsi="Times New Roman" w:cs="Times New Roman"/>
      <w:kern w:val="2"/>
      <w:sz w:val="24"/>
      <w:szCs w:val="20"/>
    </w:rPr>
  </w:style>
  <w:style w:type="paragraph" w:customStyle="1" w:styleId="167">
    <w:name w:val="默认段落字体 Para Char Char Char Char"/>
    <w:basedOn w:val="1"/>
    <w:autoRedefine/>
    <w:qFormat/>
    <w:uiPriority w:val="0"/>
    <w:pPr>
      <w:spacing w:line="360" w:lineRule="auto"/>
    </w:pPr>
    <w:rPr>
      <w:rFonts w:ascii="宋体" w:hAnsi="宋体" w:cs="宋体"/>
      <w:sz w:val="24"/>
      <w:szCs w:val="24"/>
    </w:rPr>
  </w:style>
  <w:style w:type="paragraph" w:customStyle="1" w:styleId="168">
    <w:name w:val="Char Char Char Char"/>
    <w:basedOn w:val="1"/>
    <w:autoRedefine/>
    <w:qFormat/>
    <w:uiPriority w:val="0"/>
    <w:rPr>
      <w:sz w:val="21"/>
      <w:szCs w:val="24"/>
    </w:rPr>
  </w:style>
  <w:style w:type="table" w:customStyle="1" w:styleId="169">
    <w:name w:val="Table Grid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
    <w:name w:val="表格样式1"/>
    <w:basedOn w:val="40"/>
    <w:autoRedefine/>
    <w:qFormat/>
    <w:uiPriority w:val="0"/>
  </w:style>
  <w:style w:type="paragraph" w:customStyle="1" w:styleId="171">
    <w:name w:val="表1"/>
    <w:basedOn w:val="1"/>
    <w:autoRedefine/>
    <w:qFormat/>
    <w:uiPriority w:val="0"/>
    <w:pPr>
      <w:spacing w:before="40" w:after="120" w:line="240" w:lineRule="atLeast"/>
      <w:jc w:val="center"/>
    </w:pPr>
    <w:rPr>
      <w:sz w:val="21"/>
      <w:szCs w:val="20"/>
    </w:rPr>
  </w:style>
  <w:style w:type="character" w:customStyle="1" w:styleId="172">
    <w:name w:val="正文文本缩进 2 字符"/>
    <w:basedOn w:val="45"/>
    <w:link w:val="22"/>
    <w:autoRedefine/>
    <w:qFormat/>
    <w:uiPriority w:val="0"/>
    <w:rPr>
      <w:rFonts w:ascii="宋体" w:hAnsi="宋体"/>
      <w:kern w:val="2"/>
      <w:sz w:val="24"/>
      <w:szCs w:val="24"/>
    </w:rPr>
  </w:style>
  <w:style w:type="character" w:customStyle="1" w:styleId="173">
    <w:name w:val="Char Char7"/>
    <w:autoRedefine/>
    <w:qFormat/>
    <w:uiPriority w:val="0"/>
    <w:rPr>
      <w:rFonts w:cs="Times New Roman"/>
      <w:kern w:val="2"/>
      <w:sz w:val="18"/>
      <w:szCs w:val="18"/>
    </w:rPr>
  </w:style>
  <w:style w:type="paragraph" w:customStyle="1" w:styleId="174">
    <w:name w:val="xl79"/>
    <w:basedOn w:val="1"/>
    <w:autoRedefine/>
    <w:qFormat/>
    <w:uiPriority w:val="0"/>
    <w:pPr>
      <w:widowControl/>
      <w:spacing w:before="100" w:beforeAutospacing="1" w:after="100" w:afterAutospacing="1" w:line="312" w:lineRule="auto"/>
      <w:jc w:val="center"/>
    </w:pPr>
    <w:rPr>
      <w:rFonts w:ascii="宋体" w:hAnsi="宋体" w:cs="宋体"/>
      <w:kern w:val="0"/>
      <w:sz w:val="24"/>
      <w:szCs w:val="24"/>
    </w:rPr>
  </w:style>
  <w:style w:type="paragraph" w:customStyle="1" w:styleId="175">
    <w:name w:val="xl80"/>
    <w:basedOn w:val="1"/>
    <w:autoRedefine/>
    <w:qFormat/>
    <w:uiPriority w:val="0"/>
    <w:pPr>
      <w:widowControl/>
      <w:pBdr>
        <w:bottom w:val="single" w:color="auto" w:sz="8" w:space="0"/>
      </w:pBdr>
      <w:spacing w:before="100" w:beforeAutospacing="1" w:after="100" w:afterAutospacing="1" w:line="312" w:lineRule="auto"/>
      <w:jc w:val="center"/>
    </w:pPr>
    <w:rPr>
      <w:rFonts w:ascii="宋体" w:hAnsi="宋体" w:cs="宋体"/>
      <w:kern w:val="0"/>
      <w:sz w:val="24"/>
      <w:szCs w:val="24"/>
    </w:rPr>
  </w:style>
  <w:style w:type="paragraph" w:customStyle="1" w:styleId="176">
    <w:name w:val="xl81"/>
    <w:basedOn w:val="1"/>
    <w:autoRedefine/>
    <w:qFormat/>
    <w:uiPriority w:val="0"/>
    <w:pPr>
      <w:widowControl/>
      <w:pBdr>
        <w:top w:val="single" w:color="auto" w:sz="8" w:space="0"/>
        <w:bottom w:val="single" w:color="auto" w:sz="4" w:space="0"/>
      </w:pBdr>
      <w:spacing w:before="100" w:beforeAutospacing="1" w:after="100" w:afterAutospacing="1" w:line="312" w:lineRule="auto"/>
      <w:jc w:val="center"/>
    </w:pPr>
    <w:rPr>
      <w:rFonts w:ascii="Arial" w:hAnsi="Arial" w:cs="Arial"/>
      <w:kern w:val="0"/>
      <w:sz w:val="20"/>
      <w:szCs w:val="20"/>
    </w:rPr>
  </w:style>
  <w:style w:type="paragraph" w:customStyle="1" w:styleId="177">
    <w:name w:val="xl82"/>
    <w:basedOn w:val="1"/>
    <w:autoRedefine/>
    <w:qFormat/>
    <w:uiPriority w:val="0"/>
    <w:pPr>
      <w:widowControl/>
      <w:spacing w:before="100" w:beforeAutospacing="1" w:after="100" w:afterAutospacing="1" w:line="312" w:lineRule="auto"/>
      <w:jc w:val="center"/>
    </w:pPr>
    <w:rPr>
      <w:rFonts w:ascii="Arial" w:hAnsi="Arial" w:cs="Arial"/>
      <w:kern w:val="0"/>
      <w:sz w:val="20"/>
      <w:szCs w:val="20"/>
    </w:rPr>
  </w:style>
  <w:style w:type="paragraph" w:customStyle="1" w:styleId="178">
    <w:name w:val="xl83"/>
    <w:basedOn w:val="1"/>
    <w:autoRedefine/>
    <w:qFormat/>
    <w:uiPriority w:val="0"/>
    <w:pPr>
      <w:widowControl/>
      <w:pBdr>
        <w:bottom w:val="single" w:color="auto" w:sz="8" w:space="0"/>
      </w:pBdr>
      <w:spacing w:before="100" w:beforeAutospacing="1" w:after="100" w:afterAutospacing="1" w:line="312" w:lineRule="auto"/>
      <w:jc w:val="center"/>
    </w:pPr>
    <w:rPr>
      <w:rFonts w:ascii="Arial" w:hAnsi="Arial" w:cs="Arial"/>
      <w:kern w:val="0"/>
      <w:sz w:val="20"/>
      <w:szCs w:val="20"/>
    </w:rPr>
  </w:style>
  <w:style w:type="paragraph" w:customStyle="1" w:styleId="179">
    <w:name w:val="xl84"/>
    <w:basedOn w:val="1"/>
    <w:autoRedefine/>
    <w:qFormat/>
    <w:uiPriority w:val="0"/>
    <w:pPr>
      <w:widowControl/>
      <w:spacing w:before="100" w:beforeAutospacing="1" w:after="100" w:afterAutospacing="1" w:line="312" w:lineRule="auto"/>
      <w:jc w:val="center"/>
    </w:pPr>
    <w:rPr>
      <w:rFonts w:ascii="Arial" w:hAnsi="Arial" w:cs="Arial"/>
      <w:kern w:val="0"/>
      <w:sz w:val="20"/>
      <w:szCs w:val="20"/>
    </w:rPr>
  </w:style>
  <w:style w:type="paragraph" w:customStyle="1" w:styleId="180">
    <w:name w:val="xl85"/>
    <w:basedOn w:val="1"/>
    <w:autoRedefine/>
    <w:qFormat/>
    <w:uiPriority w:val="0"/>
    <w:pPr>
      <w:widowControl/>
      <w:spacing w:before="100" w:beforeAutospacing="1" w:after="100" w:afterAutospacing="1" w:line="312" w:lineRule="auto"/>
      <w:jc w:val="center"/>
    </w:pPr>
    <w:rPr>
      <w:rFonts w:ascii="Arial" w:hAnsi="Arial" w:cs="Arial"/>
      <w:kern w:val="0"/>
      <w:sz w:val="20"/>
      <w:szCs w:val="20"/>
    </w:rPr>
  </w:style>
  <w:style w:type="paragraph" w:customStyle="1" w:styleId="181">
    <w:name w:val="xl86"/>
    <w:basedOn w:val="1"/>
    <w:autoRedefine/>
    <w:qFormat/>
    <w:uiPriority w:val="0"/>
    <w:pPr>
      <w:widowControl/>
      <w:pBdr>
        <w:bottom w:val="single" w:color="auto" w:sz="8" w:space="0"/>
      </w:pBdr>
      <w:spacing w:before="100" w:beforeAutospacing="1" w:after="100" w:afterAutospacing="1" w:line="312" w:lineRule="auto"/>
      <w:jc w:val="center"/>
    </w:pPr>
    <w:rPr>
      <w:rFonts w:ascii="Arial" w:hAnsi="Arial" w:cs="Arial"/>
      <w:kern w:val="0"/>
      <w:sz w:val="20"/>
      <w:szCs w:val="20"/>
    </w:rPr>
  </w:style>
  <w:style w:type="paragraph" w:customStyle="1" w:styleId="182">
    <w:name w:val="xl87"/>
    <w:basedOn w:val="1"/>
    <w:autoRedefine/>
    <w:qFormat/>
    <w:uiPriority w:val="0"/>
    <w:pPr>
      <w:widowControl/>
      <w:pBdr>
        <w:bottom w:val="single" w:color="auto" w:sz="8" w:space="0"/>
      </w:pBdr>
      <w:spacing w:before="100" w:beforeAutospacing="1" w:after="100" w:afterAutospacing="1" w:line="312" w:lineRule="auto"/>
      <w:jc w:val="center"/>
    </w:pPr>
    <w:rPr>
      <w:rFonts w:ascii="Arial" w:hAnsi="Arial" w:cs="Arial"/>
      <w:kern w:val="0"/>
      <w:sz w:val="20"/>
      <w:szCs w:val="20"/>
    </w:rPr>
  </w:style>
  <w:style w:type="table" w:customStyle="1" w:styleId="183">
    <w:name w:val="表格样式2"/>
    <w:basedOn w:val="170"/>
    <w:autoRedefine/>
    <w:qFormat/>
    <w:uiPriority w:val="0"/>
    <w:pPr>
      <w:jc w:val="center"/>
    </w:pPr>
    <w:tblPr>
      <w:tblBorders>
        <w:top w:val="single" w:color="auto" w:sz="12" w:space="0"/>
        <w:bottom w:val="single" w:color="auto" w:sz="12" w:space="0"/>
      </w:tblBorders>
    </w:tblPr>
  </w:style>
  <w:style w:type="character" w:customStyle="1" w:styleId="184">
    <w:name w:val="正文文本缩进 3 字符"/>
    <w:basedOn w:val="45"/>
    <w:link w:val="31"/>
    <w:autoRedefine/>
    <w:qFormat/>
    <w:uiPriority w:val="0"/>
    <w:rPr>
      <w:rFonts w:ascii="Times New Roman" w:hAnsi="Times New Roman"/>
      <w:bCs/>
      <w:kern w:val="2"/>
      <w:sz w:val="16"/>
      <w:szCs w:val="16"/>
    </w:rPr>
  </w:style>
  <w:style w:type="paragraph" w:customStyle="1" w:styleId="185">
    <w:name w:val="样式 正文－大吉　仿宋_GB2312 四号 黑色 行距: 固定值 25 磅 首行缩进:  2 字符 + 首行缩进:  2 字符 ..."/>
    <w:basedOn w:val="1"/>
    <w:autoRedefine/>
    <w:qFormat/>
    <w:uiPriority w:val="0"/>
    <w:pPr>
      <w:tabs>
        <w:tab w:val="left" w:pos="0"/>
      </w:tabs>
      <w:spacing w:line="400" w:lineRule="exact"/>
      <w:ind w:firstLine="480"/>
    </w:pPr>
    <w:rPr>
      <w:rFonts w:ascii="仿宋_GB2312"/>
      <w:color w:val="000000"/>
      <w:sz w:val="24"/>
      <w:szCs w:val="20"/>
    </w:rPr>
  </w:style>
  <w:style w:type="table" w:customStyle="1" w:styleId="186">
    <w:name w:val="123"/>
    <w:autoRedefine/>
    <w:qFormat/>
    <w:uiPriority w:val="0"/>
    <w:pPr>
      <w:widowControl w:val="0"/>
      <w:jc w:val="both"/>
    </w:pPr>
    <w:tblPr>
      <w:tblCellMar>
        <w:top w:w="0" w:type="dxa"/>
        <w:left w:w="108" w:type="dxa"/>
        <w:bottom w:w="0" w:type="dxa"/>
        <w:right w:w="108" w:type="dxa"/>
      </w:tblCellMar>
    </w:tblPr>
  </w:style>
  <w:style w:type="paragraph" w:customStyle="1" w:styleId="187">
    <w:name w:val="CM24"/>
    <w:basedOn w:val="1"/>
    <w:next w:val="1"/>
    <w:autoRedefine/>
    <w:qFormat/>
    <w:uiPriority w:val="0"/>
    <w:pPr>
      <w:autoSpaceDE w:val="0"/>
      <w:autoSpaceDN w:val="0"/>
      <w:adjustRightInd w:val="0"/>
      <w:spacing w:line="313" w:lineRule="atLeast"/>
      <w:jc w:val="left"/>
    </w:pPr>
    <w:rPr>
      <w:kern w:val="0"/>
      <w:sz w:val="24"/>
      <w:szCs w:val="24"/>
    </w:rPr>
  </w:style>
  <w:style w:type="paragraph" w:customStyle="1" w:styleId="188">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89">
    <w:name w:val="正文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0">
    <w:name w:val="正文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标题4"/>
    <w:basedOn w:val="1"/>
    <w:next w:val="1"/>
    <w:autoRedefine/>
    <w:qFormat/>
    <w:uiPriority w:val="0"/>
    <w:pPr>
      <w:wordWrap w:val="0"/>
      <w:autoSpaceDE w:val="0"/>
      <w:adjustRightInd w:val="0"/>
      <w:spacing w:line="400" w:lineRule="atLeast"/>
      <w:ind w:firstLine="567"/>
      <w:textAlignment w:val="bottom"/>
    </w:pPr>
    <w:rPr>
      <w:rFonts w:ascii="宋体"/>
      <w:b/>
      <w:kern w:val="0"/>
      <w:sz w:val="24"/>
      <w:szCs w:val="20"/>
    </w:rPr>
  </w:style>
  <w:style w:type="paragraph" w:customStyle="1" w:styleId="192">
    <w:name w:val="1"/>
    <w:basedOn w:val="6"/>
    <w:link w:val="194"/>
    <w:autoRedefine/>
    <w:qFormat/>
    <w:uiPriority w:val="0"/>
    <w:pPr>
      <w:spacing w:before="50" w:beforeLines="50" w:after="50" w:afterLines="50" w:line="240" w:lineRule="auto"/>
      <w:jc w:val="left"/>
    </w:pPr>
    <w:rPr>
      <w:rFonts w:ascii="Calibri" w:hAnsi="Calibri"/>
      <w:sz w:val="28"/>
      <w:szCs w:val="28"/>
    </w:rPr>
  </w:style>
  <w:style w:type="paragraph" w:customStyle="1" w:styleId="193">
    <w:name w:val="2"/>
    <w:basedOn w:val="7"/>
    <w:link w:val="196"/>
    <w:autoRedefine/>
    <w:qFormat/>
    <w:uiPriority w:val="0"/>
    <w:pPr>
      <w:spacing w:line="240" w:lineRule="auto"/>
      <w:jc w:val="left"/>
    </w:pPr>
    <w:rPr>
      <w:rFonts w:ascii="Cambria" w:hAnsi="Cambria"/>
      <w:sz w:val="24"/>
      <w:szCs w:val="24"/>
    </w:rPr>
  </w:style>
  <w:style w:type="character" w:customStyle="1" w:styleId="194">
    <w:name w:val="1 Char"/>
    <w:link w:val="192"/>
    <w:autoRedefine/>
    <w:qFormat/>
    <w:locked/>
    <w:uiPriority w:val="0"/>
    <w:rPr>
      <w:b/>
      <w:bCs/>
      <w:kern w:val="2"/>
      <w:sz w:val="28"/>
      <w:szCs w:val="28"/>
    </w:rPr>
  </w:style>
  <w:style w:type="paragraph" w:customStyle="1" w:styleId="195">
    <w:name w:val="3"/>
    <w:basedOn w:val="8"/>
    <w:link w:val="197"/>
    <w:autoRedefine/>
    <w:qFormat/>
    <w:uiPriority w:val="0"/>
    <w:pPr>
      <w:spacing w:before="0" w:after="0" w:line="240" w:lineRule="auto"/>
    </w:pPr>
    <w:rPr>
      <w:rFonts w:ascii="Calibri" w:hAnsi="Calibri"/>
      <w:sz w:val="21"/>
      <w:szCs w:val="21"/>
    </w:rPr>
  </w:style>
  <w:style w:type="character" w:customStyle="1" w:styleId="196">
    <w:name w:val="2 Char"/>
    <w:link w:val="193"/>
    <w:autoRedefine/>
    <w:qFormat/>
    <w:locked/>
    <w:uiPriority w:val="0"/>
    <w:rPr>
      <w:rFonts w:ascii="Cambria" w:hAnsi="Cambria"/>
      <w:b/>
      <w:bCs/>
      <w:kern w:val="2"/>
      <w:sz w:val="24"/>
      <w:szCs w:val="24"/>
    </w:rPr>
  </w:style>
  <w:style w:type="character" w:customStyle="1" w:styleId="197">
    <w:name w:val="3 Char"/>
    <w:link w:val="195"/>
    <w:autoRedefine/>
    <w:qFormat/>
    <w:locked/>
    <w:uiPriority w:val="0"/>
    <w:rPr>
      <w:b/>
      <w:bCs/>
      <w:kern w:val="2"/>
      <w:sz w:val="21"/>
      <w:szCs w:val="21"/>
    </w:rPr>
  </w:style>
  <w:style w:type="character" w:customStyle="1" w:styleId="198">
    <w:name w:val="apple-converted-space"/>
    <w:autoRedefine/>
    <w:qFormat/>
    <w:uiPriority w:val="0"/>
  </w:style>
  <w:style w:type="character" w:customStyle="1" w:styleId="199">
    <w:name w:val="Title Char"/>
    <w:autoRedefine/>
    <w:qFormat/>
    <w:locked/>
    <w:uiPriority w:val="0"/>
    <w:rPr>
      <w:rFonts w:ascii="Cambria" w:hAnsi="Cambria" w:eastAsia="宋体" w:cs="Times New Roman"/>
      <w:b/>
      <w:bCs/>
      <w:sz w:val="32"/>
      <w:szCs w:val="32"/>
      <w:lang w:val="zh-CN" w:eastAsia="zh-CN"/>
    </w:rPr>
  </w:style>
  <w:style w:type="character" w:customStyle="1" w:styleId="200">
    <w:name w:val="Char Char9"/>
    <w:autoRedefine/>
    <w:semiHidden/>
    <w:qFormat/>
    <w:locked/>
    <w:uiPriority w:val="0"/>
    <w:rPr>
      <w:rFonts w:eastAsia="宋体"/>
      <w:kern w:val="2"/>
      <w:sz w:val="21"/>
      <w:szCs w:val="21"/>
      <w:lang w:val="en-US" w:eastAsia="zh-CN" w:bidi="ar-SA"/>
    </w:rPr>
  </w:style>
  <w:style w:type="character" w:customStyle="1" w:styleId="201">
    <w:name w:val="Char Char12"/>
    <w:autoRedefine/>
    <w:qFormat/>
    <w:locked/>
    <w:uiPriority w:val="0"/>
    <w:rPr>
      <w:rFonts w:eastAsia="宋体"/>
      <w:kern w:val="2"/>
      <w:sz w:val="28"/>
      <w:szCs w:val="28"/>
      <w:lang w:val="zh-CN" w:eastAsia="zh-CN" w:bidi="ar-SA"/>
    </w:rPr>
  </w:style>
  <w:style w:type="character" w:customStyle="1" w:styleId="202">
    <w:name w:val="Char Char11"/>
    <w:autoRedefine/>
    <w:qFormat/>
    <w:locked/>
    <w:uiPriority w:val="0"/>
    <w:rPr>
      <w:rFonts w:eastAsia="宋体"/>
      <w:smallCaps/>
      <w:kern w:val="2"/>
      <w:lang w:val="en-US" w:eastAsia="zh-CN" w:bidi="ar-SA"/>
    </w:rPr>
  </w:style>
  <w:style w:type="character" w:customStyle="1" w:styleId="203">
    <w:name w:val="Char Char17"/>
    <w:autoRedefine/>
    <w:qFormat/>
    <w:locked/>
    <w:uiPriority w:val="0"/>
    <w:rPr>
      <w:rFonts w:eastAsia="宋体"/>
      <w:b/>
      <w:bCs/>
      <w:kern w:val="2"/>
      <w:sz w:val="28"/>
      <w:szCs w:val="28"/>
      <w:lang w:val="en-US" w:eastAsia="zh-CN" w:bidi="ar-SA"/>
    </w:rPr>
  </w:style>
  <w:style w:type="character" w:customStyle="1" w:styleId="204">
    <w:name w:val="Char Char16"/>
    <w:autoRedefine/>
    <w:qFormat/>
    <w:locked/>
    <w:uiPriority w:val="0"/>
    <w:rPr>
      <w:rFonts w:ascii="Arial" w:hAnsi="Arial" w:eastAsia="黑体"/>
      <w:b/>
      <w:bCs/>
      <w:kern w:val="2"/>
      <w:sz w:val="24"/>
      <w:szCs w:val="24"/>
      <w:lang w:val="en-US" w:eastAsia="zh-CN" w:bidi="ar-SA"/>
    </w:rPr>
  </w:style>
  <w:style w:type="character" w:customStyle="1" w:styleId="205">
    <w:name w:val="Char Char21"/>
    <w:autoRedefine/>
    <w:qFormat/>
    <w:uiPriority w:val="0"/>
    <w:rPr>
      <w:rFonts w:eastAsia="宋体"/>
      <w:b/>
      <w:bCs/>
      <w:kern w:val="44"/>
      <w:sz w:val="28"/>
      <w:szCs w:val="28"/>
      <w:lang w:val="en-US" w:eastAsia="zh-CN" w:bidi="ar-SA"/>
    </w:rPr>
  </w:style>
  <w:style w:type="character" w:customStyle="1" w:styleId="206">
    <w:name w:val="Char Char4"/>
    <w:autoRedefine/>
    <w:qFormat/>
    <w:uiPriority w:val="0"/>
    <w:rPr>
      <w:rFonts w:ascii="Cambria" w:hAnsi="Cambria" w:eastAsia="宋体"/>
      <w:b/>
      <w:bCs/>
      <w:kern w:val="2"/>
      <w:sz w:val="32"/>
      <w:szCs w:val="32"/>
      <w:lang w:val="zh-CN" w:eastAsia="zh-CN" w:bidi="ar-SA"/>
    </w:rPr>
  </w:style>
  <w:style w:type="character" w:customStyle="1" w:styleId="207">
    <w:name w:val="Char Char14"/>
    <w:autoRedefine/>
    <w:qFormat/>
    <w:uiPriority w:val="0"/>
    <w:rPr>
      <w:rFonts w:eastAsia="宋体"/>
      <w:kern w:val="2"/>
      <w:sz w:val="18"/>
      <w:szCs w:val="18"/>
      <w:lang w:val="en-US" w:eastAsia="zh-CN" w:bidi="ar-SA"/>
    </w:rPr>
  </w:style>
  <w:style w:type="character" w:customStyle="1" w:styleId="208">
    <w:name w:val="Char Char20"/>
    <w:autoRedefine/>
    <w:qFormat/>
    <w:locked/>
    <w:uiPriority w:val="0"/>
    <w:rPr>
      <w:rFonts w:ascii="Arial" w:hAnsi="Arial" w:eastAsia="宋体" w:cs="Arial"/>
      <w:b/>
      <w:bCs/>
      <w:kern w:val="2"/>
      <w:sz w:val="24"/>
      <w:szCs w:val="24"/>
      <w:lang w:val="en-US" w:eastAsia="zh-CN" w:bidi="ar-SA"/>
    </w:rPr>
  </w:style>
  <w:style w:type="character" w:customStyle="1" w:styleId="209">
    <w:name w:val="Char Char19"/>
    <w:autoRedefine/>
    <w:qFormat/>
    <w:locked/>
    <w:uiPriority w:val="0"/>
    <w:rPr>
      <w:rFonts w:eastAsia="宋体"/>
      <w:b/>
      <w:bCs/>
      <w:kern w:val="2"/>
      <w:sz w:val="24"/>
      <w:szCs w:val="24"/>
      <w:lang w:val="en-US" w:eastAsia="zh-CN" w:bidi="ar-SA"/>
    </w:rPr>
  </w:style>
  <w:style w:type="character" w:customStyle="1" w:styleId="210">
    <w:name w:val="Char Char18"/>
    <w:autoRedefine/>
    <w:qFormat/>
    <w:locked/>
    <w:uiPriority w:val="0"/>
    <w:rPr>
      <w:rFonts w:ascii="Arial" w:hAnsi="Arial" w:eastAsia="黑体" w:cs="Arial"/>
      <w:b/>
      <w:bCs/>
      <w:kern w:val="2"/>
      <w:sz w:val="28"/>
      <w:szCs w:val="28"/>
      <w:lang w:val="en-US" w:eastAsia="zh-CN" w:bidi="ar-SA"/>
    </w:rPr>
  </w:style>
  <w:style w:type="paragraph" w:customStyle="1" w:styleId="211">
    <w:name w:val="List Paragraph1"/>
    <w:basedOn w:val="1"/>
    <w:autoRedefine/>
    <w:qFormat/>
    <w:uiPriority w:val="0"/>
    <w:pPr>
      <w:spacing w:line="312" w:lineRule="auto"/>
      <w:ind w:firstLine="420"/>
    </w:pPr>
    <w:rPr>
      <w:rFonts w:ascii="Calibri" w:hAnsi="Calibri"/>
      <w:sz w:val="24"/>
      <w:szCs w:val="22"/>
    </w:rPr>
  </w:style>
  <w:style w:type="paragraph" w:customStyle="1" w:styleId="212">
    <w:name w:val="TOC Heading1"/>
    <w:basedOn w:val="4"/>
    <w:next w:val="1"/>
    <w:autoRedefine/>
    <w:qFormat/>
    <w:uiPriority w:val="0"/>
    <w:pPr>
      <w:widowControl/>
      <w:spacing w:line="276" w:lineRule="auto"/>
      <w:ind w:firstLine="200" w:firstLineChars="200"/>
      <w:jc w:val="left"/>
      <w:outlineLvl w:val="9"/>
    </w:pPr>
    <w:rPr>
      <w:rFonts w:ascii="Cambria" w:hAnsi="Cambria" w:eastAsia="宋体"/>
      <w:color w:val="365F91"/>
      <w:kern w:val="0"/>
      <w:sz w:val="28"/>
      <w:szCs w:val="28"/>
    </w:rPr>
  </w:style>
  <w:style w:type="character" w:customStyle="1" w:styleId="213">
    <w:name w:val="Char Char10"/>
    <w:autoRedefine/>
    <w:qFormat/>
    <w:locked/>
    <w:uiPriority w:val="0"/>
    <w:rPr>
      <w:rFonts w:eastAsia="宋体"/>
      <w:kern w:val="2"/>
      <w:sz w:val="18"/>
      <w:szCs w:val="18"/>
      <w:lang w:val="en-US" w:eastAsia="zh-CN" w:bidi="ar-SA"/>
    </w:rPr>
  </w:style>
  <w:style w:type="character" w:customStyle="1" w:styleId="214">
    <w:name w:val="Char Char13"/>
    <w:autoRedefine/>
    <w:semiHidden/>
    <w:qFormat/>
    <w:locked/>
    <w:uiPriority w:val="0"/>
    <w:rPr>
      <w:rFonts w:eastAsia="宋体"/>
      <w:kern w:val="2"/>
      <w:sz w:val="21"/>
      <w:szCs w:val="21"/>
      <w:lang w:val="en-US" w:eastAsia="zh-CN" w:bidi="ar-SA"/>
    </w:rPr>
  </w:style>
  <w:style w:type="character" w:customStyle="1" w:styleId="215">
    <w:name w:val="Char Char5"/>
    <w:autoRedefine/>
    <w:qFormat/>
    <w:locked/>
    <w:uiPriority w:val="0"/>
    <w:rPr>
      <w:rFonts w:eastAsia="宋体"/>
      <w:kern w:val="2"/>
      <w:sz w:val="21"/>
      <w:szCs w:val="21"/>
      <w:lang w:val="en-US" w:eastAsia="zh-CN" w:bidi="ar-SA"/>
    </w:rPr>
  </w:style>
  <w:style w:type="character" w:customStyle="1" w:styleId="216">
    <w:name w:val="Char Char15"/>
    <w:autoRedefine/>
    <w:semiHidden/>
    <w:qFormat/>
    <w:locked/>
    <w:uiPriority w:val="0"/>
    <w:rPr>
      <w:rFonts w:eastAsia="宋体"/>
      <w:kern w:val="2"/>
      <w:sz w:val="18"/>
      <w:szCs w:val="18"/>
      <w:lang w:val="en-US" w:eastAsia="zh-CN" w:bidi="ar-SA"/>
    </w:rPr>
  </w:style>
  <w:style w:type="character" w:customStyle="1" w:styleId="217">
    <w:name w:val="Char Char6"/>
    <w:autoRedefine/>
    <w:qFormat/>
    <w:locked/>
    <w:uiPriority w:val="0"/>
    <w:rPr>
      <w:rFonts w:eastAsia="宋体"/>
      <w:kern w:val="2"/>
      <w:sz w:val="18"/>
      <w:szCs w:val="18"/>
      <w:lang w:val="en-US" w:eastAsia="zh-CN" w:bidi="ar-SA"/>
    </w:rPr>
  </w:style>
  <w:style w:type="character" w:customStyle="1" w:styleId="218">
    <w:name w:val="Char Char8"/>
    <w:autoRedefine/>
    <w:semiHidden/>
    <w:qFormat/>
    <w:locked/>
    <w:uiPriority w:val="0"/>
    <w:rPr>
      <w:rFonts w:eastAsia="宋体"/>
      <w:b/>
      <w:bCs/>
      <w:kern w:val="2"/>
      <w:sz w:val="21"/>
      <w:szCs w:val="21"/>
      <w:lang w:val="en-US" w:eastAsia="zh-CN" w:bidi="ar-SA"/>
    </w:rPr>
  </w:style>
  <w:style w:type="character" w:customStyle="1" w:styleId="219">
    <w:name w:val="word"/>
    <w:basedOn w:val="45"/>
    <w:autoRedefine/>
    <w:qFormat/>
    <w:uiPriority w:val="0"/>
  </w:style>
  <w:style w:type="paragraph" w:customStyle="1" w:styleId="220">
    <w:name w:val="Char Char34"/>
    <w:basedOn w:val="1"/>
    <w:autoRedefine/>
    <w:qFormat/>
    <w:uiPriority w:val="0"/>
  </w:style>
  <w:style w:type="character" w:customStyle="1" w:styleId="221">
    <w:name w:val="Heading 1 Char1"/>
    <w:autoRedefine/>
    <w:qFormat/>
    <w:locked/>
    <w:uiPriority w:val="0"/>
    <w:rPr>
      <w:rFonts w:ascii="Times New Roman" w:hAnsi="Times New Roman" w:eastAsia="宋体" w:cs="Times New Roman"/>
      <w:b/>
      <w:bCs/>
      <w:kern w:val="44"/>
      <w:sz w:val="28"/>
      <w:szCs w:val="28"/>
    </w:rPr>
  </w:style>
  <w:style w:type="character" w:customStyle="1" w:styleId="222">
    <w:name w:val="Char Char38"/>
    <w:autoRedefine/>
    <w:qFormat/>
    <w:locked/>
    <w:uiPriority w:val="0"/>
    <w:rPr>
      <w:rFonts w:eastAsia="宋体"/>
      <w:b/>
      <w:bCs/>
      <w:kern w:val="2"/>
      <w:sz w:val="24"/>
      <w:szCs w:val="24"/>
      <w:lang w:val="en-US" w:eastAsia="zh-CN" w:bidi="ar-SA"/>
    </w:rPr>
  </w:style>
  <w:style w:type="paragraph" w:customStyle="1" w:styleId="223">
    <w:name w:val="reader-word-layer reader-word-s2-5 reader-word-s2-1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24">
    <w:name w:val="reader-word-layer reader-word-s3-25"/>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25">
    <w:name w:val="reader-word-layer reader-word-s3-3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26">
    <w:name w:val="font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27">
    <w:name w:val="Char Char Char Char Char Char Char Char Char Char"/>
    <w:basedOn w:val="1"/>
    <w:autoRedefine/>
    <w:qFormat/>
    <w:uiPriority w:val="0"/>
    <w:rPr>
      <w:rFonts w:ascii="仿宋_GB2312"/>
      <w:b/>
    </w:rPr>
  </w:style>
  <w:style w:type="character" w:customStyle="1" w:styleId="228">
    <w:name w:val="fontstyle31"/>
    <w:basedOn w:val="45"/>
    <w:autoRedefine/>
    <w:qFormat/>
    <w:uiPriority w:val="0"/>
    <w:rPr>
      <w:rFonts w:hint="default" w:ascii="KTJ+ZCZFZ1-6" w:hAnsi="KTJ+ZCZFZ1-6"/>
      <w:color w:val="231F20"/>
      <w:sz w:val="18"/>
      <w:szCs w:val="18"/>
    </w:rPr>
  </w:style>
  <w:style w:type="paragraph" w:customStyle="1" w:styleId="229">
    <w:name w:val="修订1"/>
    <w:autoRedefine/>
    <w:hidden/>
    <w:semiHidden/>
    <w:qFormat/>
    <w:uiPriority w:val="99"/>
    <w:rPr>
      <w:rFonts w:ascii="Times New Roman" w:hAnsi="Times New Roman" w:eastAsia="宋体" w:cs="Times New Roman"/>
      <w:kern w:val="2"/>
      <w:sz w:val="32"/>
      <w:szCs w:val="32"/>
      <w:lang w:val="en-US" w:eastAsia="zh-CN" w:bidi="ar-SA"/>
    </w:rPr>
  </w:style>
  <w:style w:type="character" w:customStyle="1" w:styleId="230">
    <w:name w:val="明显参考1"/>
    <w:basedOn w:val="45"/>
    <w:autoRedefine/>
    <w:qFormat/>
    <w:uiPriority w:val="32"/>
    <w:rPr>
      <w:b/>
      <w:bCs/>
      <w:smallCaps/>
      <w:color w:val="4F81BD" w:themeColor="accent1"/>
      <w:spacing w:val="5"/>
      <w14:textFill>
        <w14:solidFill>
          <w14:schemeClr w14:val="accent1"/>
        </w14:solidFill>
      </w14:textFill>
    </w:rPr>
  </w:style>
  <w:style w:type="character" w:customStyle="1" w:styleId="231">
    <w:name w:val="未处理的提及1"/>
    <w:basedOn w:val="45"/>
    <w:autoRedefine/>
    <w:semiHidden/>
    <w:unhideWhenUsed/>
    <w:qFormat/>
    <w:uiPriority w:val="99"/>
    <w:rPr>
      <w:color w:val="605E5C"/>
      <w:shd w:val="clear" w:color="auto" w:fill="E1DFDD"/>
    </w:rPr>
  </w:style>
  <w:style w:type="paragraph" w:customStyle="1" w:styleId="232">
    <w:name w:val="修订2"/>
    <w:autoRedefine/>
    <w:hidden/>
    <w:unhideWhenUsed/>
    <w:qFormat/>
    <w:uiPriority w:val="99"/>
    <w:rPr>
      <w:rFonts w:ascii="Times New Roman" w:hAnsi="Times New Roman" w:eastAsia="仿宋_GB2312" w:cs="Times New Roman"/>
      <w:kern w:val="2"/>
      <w:sz w:val="32"/>
      <w:szCs w:val="32"/>
      <w:lang w:val="en-US" w:eastAsia="zh-CN" w:bidi="ar-SA"/>
    </w:rPr>
  </w:style>
  <w:style w:type="paragraph" w:customStyle="1" w:styleId="233">
    <w:name w:val="修订3"/>
    <w:autoRedefine/>
    <w:hidden/>
    <w:unhideWhenUsed/>
    <w:qFormat/>
    <w:uiPriority w:val="99"/>
    <w:rPr>
      <w:rFonts w:ascii="Times New Roman" w:hAnsi="Times New Roman" w:eastAsia="仿宋_GB2312" w:cs="Times New Roman"/>
      <w:kern w:val="2"/>
      <w:sz w:val="32"/>
      <w:szCs w:val="32"/>
      <w:lang w:val="en-US" w:eastAsia="zh-CN" w:bidi="ar-SA"/>
    </w:rPr>
  </w:style>
  <w:style w:type="character" w:customStyle="1" w:styleId="234">
    <w:name w:val="text_as7wo"/>
    <w:basedOn w:val="45"/>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87CF33-2E3D-4F3B-8F05-9AADD99E4FBB}">
  <ds:schemaRefs/>
</ds:datastoreItem>
</file>

<file path=docProps/app.xml><?xml version="1.0" encoding="utf-8"?>
<Properties xmlns="http://schemas.openxmlformats.org/officeDocument/2006/extended-properties" xmlns:vt="http://schemas.openxmlformats.org/officeDocument/2006/docPropsVTypes">
  <Template>Normal</Template>
  <Pages>84</Pages>
  <Words>40482</Words>
  <Characters>43345</Characters>
  <Lines>350</Lines>
  <Paragraphs>98</Paragraphs>
  <TotalTime>6</TotalTime>
  <ScaleCrop>false</ScaleCrop>
  <LinksUpToDate>false</LinksUpToDate>
  <CharactersWithSpaces>43799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2024-05-24T02:47:00Z</dcterms:created>
  <dc:creator>sylviahsu</dc:creator>
  <cp:lastModifiedBy>Tian</cp:lastModifiedBy>
  <cp:lastPrinted>2024-05-08T02:04:00Z</cp:lastPrinted>
  <dcterms:modified xsi:type="dcterms:W3CDTF">2024-06-11T01:50:41Z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684B9D8F1F864CBDAC972BF495D12823_13</vt:lpwstr>
  </property>
</Properties>
</file>