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Pr>
    </w:p>
    <w:p>
      <w:pPr>
        <w:snapToGrid w:val="0"/>
        <w:spacing w:line="560" w:lineRule="exact"/>
        <w:jc w:val="center"/>
        <w:rPr>
          <w:rFonts w:hint="eastAsia" w:ascii="方正小标宋简体" w:hAnsi="方正小标宋简体" w:eastAsia="方正小标宋简体" w:cs="方正小标宋简体"/>
          <w:sz w:val="44"/>
          <w:szCs w:val="44"/>
        </w:rPr>
      </w:pPr>
      <w:bookmarkStart w:id="0" w:name="OLE_LINK2"/>
      <w:r>
        <w:rPr>
          <w:rFonts w:hint="eastAsia" w:ascii="方正小标宋简体" w:hAnsi="方正小标宋简体" w:eastAsia="方正小标宋简体" w:cs="方正小标宋简体"/>
          <w:sz w:val="44"/>
          <w:szCs w:val="44"/>
        </w:rPr>
        <w:t>青岛市“三线一单”生态环境分区管控方案</w:t>
      </w:r>
    </w:p>
    <w:p>
      <w:pPr>
        <w:snapToGrid w:val="0"/>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修改单（202</w:t>
      </w:r>
      <w:r>
        <w:rPr>
          <w:rFonts w:hint="eastAsia" w:ascii="方正小标宋简体" w:hAnsi="方正小标宋简体" w:eastAsia="方正小标宋简体" w:cs="方正小标宋简体"/>
          <w:sz w:val="44"/>
          <w:szCs w:val="44"/>
          <w:lang w:val="en-US" w:eastAsia="zh-CN"/>
        </w:rPr>
        <w:t>4</w:t>
      </w:r>
      <w:r>
        <w:rPr>
          <w:rFonts w:hint="eastAsia" w:ascii="方正小标宋简体" w:hAnsi="方正小标宋简体" w:eastAsia="方正小标宋简体" w:cs="方正小标宋简体"/>
          <w:sz w:val="44"/>
          <w:szCs w:val="44"/>
        </w:rPr>
        <w:t>年版）</w:t>
      </w:r>
    </w:p>
    <w:bookmarkEnd w:id="0"/>
    <w:p>
      <w:pPr>
        <w:snapToGrid w:val="0"/>
        <w:spacing w:line="560" w:lineRule="exact"/>
        <w:ind w:firstLine="632" w:firstLineChars="200"/>
        <w:rPr>
          <w:rFonts w:ascii="Times New Roman" w:hAnsi="Times New Roman" w:eastAsia="方正小标宋_GBK"/>
          <w:szCs w:val="32"/>
        </w:rPr>
      </w:pPr>
    </w:p>
    <w:p>
      <w:pPr>
        <w:spacing w:line="560" w:lineRule="exact"/>
        <w:ind w:firstLine="632" w:firstLineChars="200"/>
        <w:outlineLvl w:val="1"/>
        <w:rPr>
          <w:rFonts w:eastAsia="黑体"/>
          <w:bCs/>
          <w:szCs w:val="32"/>
        </w:rPr>
      </w:pPr>
      <w:bookmarkStart w:id="1" w:name="_Toc56377317"/>
      <w:r>
        <w:rPr>
          <w:rFonts w:eastAsia="黑体"/>
          <w:bCs/>
          <w:szCs w:val="32"/>
        </w:rPr>
        <w:t>一、</w:t>
      </w:r>
      <w:bookmarkEnd w:id="1"/>
      <w:bookmarkStart w:id="2" w:name="_Toc26438"/>
      <w:bookmarkStart w:id="3" w:name="_Toc37496239"/>
      <w:bookmarkStart w:id="4" w:name="_Toc56377324"/>
      <w:bookmarkStart w:id="5" w:name="_Toc34407993"/>
      <w:r>
        <w:rPr>
          <w:rFonts w:eastAsia="黑体"/>
          <w:bCs/>
          <w:szCs w:val="32"/>
        </w:rPr>
        <w:t>总体目标</w:t>
      </w:r>
      <w:bookmarkEnd w:id="2"/>
      <w:bookmarkEnd w:id="3"/>
      <w:bookmarkEnd w:id="4"/>
      <w:bookmarkEnd w:id="5"/>
    </w:p>
    <w:p>
      <w:pPr>
        <w:spacing w:line="560" w:lineRule="exact"/>
        <w:ind w:firstLine="632" w:firstLineChars="200"/>
        <w:rPr>
          <w:rFonts w:hint="eastAsia" w:ascii="仿宋_GB2312" w:hAnsi="仿宋_GB2312" w:eastAsia="仿宋_GB2312" w:cs="仿宋_GB2312"/>
          <w:szCs w:val="32"/>
          <w:lang w:eastAsia="zh-CN"/>
        </w:rPr>
      </w:pPr>
      <w:r>
        <w:rPr>
          <w:rFonts w:hint="eastAsia" w:ascii="仿宋_GB2312" w:hAnsi="仿宋_GB2312" w:eastAsia="仿宋_GB2312" w:cs="仿宋_GB2312"/>
          <w:szCs w:val="32"/>
          <w:lang w:val="en-US" w:eastAsia="zh-CN"/>
        </w:rPr>
        <w:t>1.</w:t>
      </w:r>
      <w:r>
        <w:rPr>
          <w:rFonts w:hint="eastAsia" w:ascii="仿宋_GB2312" w:hAnsi="仿宋_GB2312" w:eastAsia="仿宋_GB2312" w:cs="仿宋_GB2312"/>
          <w:szCs w:val="32"/>
          <w:lang w:eastAsia="zh-CN"/>
        </w:rPr>
        <w:t>“</w:t>
      </w:r>
      <w:r>
        <w:rPr>
          <w:rFonts w:hint="eastAsia" w:ascii="仿宋_GB2312" w:hAnsi="仿宋_GB2312" w:eastAsia="仿宋_GB2312" w:cs="仿宋_GB2312"/>
          <w:szCs w:val="32"/>
        </w:rPr>
        <w:t>衔接国土空间规划、土地资源开发利用总量及强度管控要求，确定耕地保有量、永久基本农田保护面积、建设用地总规模、城乡建设用地规模、人均城镇工矿用地规模、中心城区规划建设用地规模等控制上线目标</w:t>
      </w:r>
      <w:r>
        <w:rPr>
          <w:rFonts w:hint="eastAsia" w:ascii="仿宋_GB2312" w:hAnsi="仿宋_GB2312" w:eastAsia="仿宋_GB2312" w:cs="仿宋_GB2312"/>
          <w:szCs w:val="32"/>
          <w:lang w:eastAsia="zh-CN"/>
        </w:rPr>
        <w:t>”</w:t>
      </w:r>
      <w:r>
        <w:rPr>
          <w:rFonts w:hint="eastAsia" w:ascii="仿宋_GB2312" w:hAnsi="仿宋_GB2312" w:eastAsia="仿宋_GB2312" w:cs="仿宋_GB2312"/>
          <w:szCs w:val="32"/>
          <w:lang w:val="en-US" w:eastAsia="zh-CN"/>
        </w:rPr>
        <w:t>修改为“衔接国土空间规划</w:t>
      </w:r>
      <w:r>
        <w:rPr>
          <w:rFonts w:hint="eastAsia" w:ascii="仿宋_GB2312" w:hAnsi="仿宋_GB2312" w:eastAsia="仿宋_GB2312" w:cs="仿宋_GB2312"/>
          <w:szCs w:val="32"/>
        </w:rPr>
        <w:t>，确定耕地和永久基本农田保护红线、生态保护红线和城镇开发边界</w:t>
      </w:r>
      <w:r>
        <w:rPr>
          <w:rFonts w:hint="eastAsia" w:ascii="仿宋_GB2312" w:hAnsi="仿宋_GB2312" w:eastAsia="仿宋_GB2312" w:cs="仿宋_GB2312"/>
          <w:szCs w:val="32"/>
          <w:lang w:eastAsia="zh-CN"/>
        </w:rPr>
        <w:t>”。</w:t>
      </w:r>
    </w:p>
    <w:p>
      <w:pPr>
        <w:pStyle w:val="2"/>
        <w:snapToGrid w:val="0"/>
        <w:spacing w:line="560" w:lineRule="exact"/>
        <w:ind w:left="0" w:firstLine="632" w:firstLineChars="200"/>
        <w:rPr>
          <w:rFonts w:hint="eastAsia" w:ascii="黑体" w:hAnsi="黑体" w:eastAsia="黑体" w:cs="黑体"/>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、构建生态环境要素分区管控体系</w:t>
      </w:r>
      <w:r>
        <w:rPr>
          <w:rFonts w:hint="eastAsia" w:ascii="黑体" w:hAnsi="黑体" w:eastAsia="黑体" w:cs="黑体"/>
          <w:sz w:val="32"/>
          <w:szCs w:val="32"/>
        </w:rPr>
        <w:tab/>
      </w:r>
    </w:p>
    <w:p>
      <w:pPr>
        <w:spacing w:line="560" w:lineRule="exact"/>
        <w:ind w:firstLine="632" w:firstLineChars="200"/>
        <w:outlineLvl w:val="2"/>
        <w:rPr>
          <w:rFonts w:hint="eastAsia" w:ascii="楷体_GB2312" w:hAnsi="楷体_GB2312" w:eastAsia="楷体_GB2312" w:cs="楷体_GB2312"/>
          <w:bCs/>
          <w:szCs w:val="32"/>
        </w:rPr>
      </w:pPr>
      <w:bookmarkStart w:id="6" w:name="_Toc34408003"/>
      <w:bookmarkStart w:id="7" w:name="_Toc14309"/>
      <w:bookmarkStart w:id="8" w:name="_Toc56377332"/>
      <w:bookmarkStart w:id="9" w:name="_Toc37496249"/>
      <w:r>
        <w:rPr>
          <w:rFonts w:hint="eastAsia" w:ascii="楷体_GB2312" w:hAnsi="楷体_GB2312" w:eastAsia="楷体_GB2312" w:cs="楷体_GB2312"/>
          <w:bCs/>
          <w:szCs w:val="32"/>
        </w:rPr>
        <w:t>（</w:t>
      </w:r>
      <w:r>
        <w:rPr>
          <w:rFonts w:hint="eastAsia" w:ascii="楷体_GB2312" w:hAnsi="楷体_GB2312" w:eastAsia="楷体_GB2312" w:cs="楷体_GB2312"/>
          <w:bCs/>
          <w:szCs w:val="32"/>
          <w:lang w:val="en-US" w:eastAsia="zh-CN"/>
        </w:rPr>
        <w:t>一</w:t>
      </w:r>
      <w:r>
        <w:rPr>
          <w:rFonts w:hint="eastAsia" w:ascii="楷体_GB2312" w:hAnsi="楷体_GB2312" w:eastAsia="楷体_GB2312" w:cs="楷体_GB2312"/>
          <w:bCs/>
          <w:szCs w:val="32"/>
        </w:rPr>
        <w:t>）水环境分区管控。</w:t>
      </w:r>
      <w:bookmarkEnd w:id="6"/>
      <w:bookmarkEnd w:id="7"/>
      <w:bookmarkEnd w:id="8"/>
      <w:bookmarkEnd w:id="9"/>
    </w:p>
    <w:p>
      <w:pPr>
        <w:adjustRightInd w:val="0"/>
        <w:snapToGrid w:val="0"/>
        <w:spacing w:line="560" w:lineRule="exact"/>
        <w:ind w:firstLine="632" w:firstLineChars="200"/>
        <w:rPr>
          <w:rFonts w:hint="eastAsia" w:ascii="楷体" w:hAnsi="楷体" w:eastAsia="楷体" w:cs="楷体"/>
          <w:szCs w:val="32"/>
          <w:lang w:eastAsia="zh-CN"/>
        </w:rPr>
      </w:pPr>
      <w:r>
        <w:rPr>
          <w:rFonts w:hint="eastAsia" w:ascii="仿宋_GB2312" w:hAnsi="仿宋_GB2312" w:eastAsia="仿宋_GB2312" w:cs="仿宋_GB2312"/>
          <w:szCs w:val="32"/>
          <w:lang w:val="en-US" w:eastAsia="zh-CN"/>
        </w:rPr>
        <w:t>2.</w:t>
      </w:r>
      <w:r>
        <w:rPr>
          <w:rFonts w:hint="eastAsia" w:ascii="仿宋_GB2312" w:hAnsi="仿宋_GB2312" w:eastAsia="仿宋_GB2312" w:cs="仿宋_GB2312"/>
          <w:szCs w:val="32"/>
        </w:rPr>
        <w:t>水环境分区管控。“水环境优先保护区面积为2871.43平方公里，占陆域面积25.42%”修改为“水环境优先保护区面积为2777.24平方公里，占陆域面积25.36%”。“水环境重点管控区面积为4221.37平方公里，占陆域面积37.37%”修改为“水环境重点管控区面积为4037.80平方公里，占陆域面积36.87%”。“其他区域为水环境一般管控区，面积为4202.36平方公里，占陆域面积37.21%”修改为“其他区域为水环境一般管控区，面积为4135.85平方公里，占陆域面积37.77%”。</w:t>
      </w:r>
    </w:p>
    <w:p>
      <w:pPr>
        <w:adjustRightInd w:val="0"/>
        <w:snapToGrid w:val="0"/>
        <w:spacing w:line="560" w:lineRule="exact"/>
        <w:ind w:firstLine="632" w:firstLineChars="200"/>
        <w:rPr>
          <w:rFonts w:hint="eastAsia" w:ascii="楷体" w:hAnsi="楷体" w:eastAsia="楷体" w:cs="楷体"/>
          <w:szCs w:val="32"/>
        </w:rPr>
      </w:pPr>
      <w:r>
        <w:rPr>
          <w:rFonts w:hint="eastAsia" w:ascii="楷体" w:hAnsi="楷体" w:eastAsia="楷体" w:cs="楷体"/>
          <w:szCs w:val="32"/>
          <w:lang w:eastAsia="zh-CN"/>
        </w:rPr>
        <w:t>（</w:t>
      </w:r>
      <w:r>
        <w:rPr>
          <w:rFonts w:hint="eastAsia" w:ascii="楷体" w:hAnsi="楷体" w:eastAsia="楷体" w:cs="楷体"/>
          <w:szCs w:val="32"/>
          <w:lang w:val="en-US" w:eastAsia="zh-CN"/>
        </w:rPr>
        <w:t>二）</w:t>
      </w:r>
      <w:r>
        <w:rPr>
          <w:rFonts w:hint="eastAsia" w:ascii="楷体" w:hAnsi="楷体" w:eastAsia="楷体" w:cs="楷体"/>
          <w:szCs w:val="32"/>
        </w:rPr>
        <w:t>大气环境分区管控。</w:t>
      </w:r>
    </w:p>
    <w:p>
      <w:pPr>
        <w:adjustRightInd w:val="0"/>
        <w:ind w:firstLine="632" w:firstLineChars="200"/>
        <w:rPr>
          <w:rFonts w:ascii="仿宋_GB2312" w:hAnsi="仿宋_GB2312" w:eastAsia="仿宋_GB2312" w:cs="仿宋_GB2312"/>
          <w:szCs w:val="32"/>
        </w:rPr>
      </w:pPr>
      <w:r>
        <w:rPr>
          <w:rFonts w:hint="eastAsia" w:ascii="仿宋_GB2312" w:hAnsi="仿宋_GB2312" w:eastAsia="仿宋_GB2312" w:cs="仿宋_GB2312"/>
          <w:szCs w:val="32"/>
          <w:lang w:val="en-US" w:eastAsia="zh-CN"/>
        </w:rPr>
        <w:t>3.</w:t>
      </w:r>
      <w:r>
        <w:rPr>
          <w:rFonts w:hint="eastAsia" w:ascii="仿宋_GB2312" w:hAnsi="仿宋_GB2312" w:eastAsia="仿宋_GB2312" w:cs="仿宋_GB2312"/>
          <w:szCs w:val="32"/>
        </w:rPr>
        <w:t>“大气环境优先保护区面积为220.37平方公里，占陆域面积1.95%”修改为“大气环境优先保护区面积为215.12平方公里，占陆域面积1.96%”。“大气环境重点管控区面积为4543.05平方公里，占陆域面积40.15%”修改为“大气环境重点管控区面积为4450.80平方公里，占陆域面积40.64%”。“其他区域为大气环境一般管控区，面积为6535.91平方公里，占陆域面积57.86%”修改为“其他区域为大气环境一般管控区，面积为6284.97平方公里，占陆域面积57.</w:t>
      </w:r>
      <w:r>
        <w:rPr>
          <w:rFonts w:hint="eastAsia" w:ascii="仿宋_GB2312" w:hAnsi="仿宋_GB2312" w:eastAsia="仿宋_GB2312" w:cs="仿宋_GB2312"/>
          <w:szCs w:val="32"/>
          <w:lang w:eastAsia="zh-CN"/>
        </w:rPr>
        <w:t>4</w:t>
      </w:r>
      <w:r>
        <w:rPr>
          <w:rFonts w:hint="eastAsia" w:ascii="仿宋_GB2312" w:hAnsi="仿宋_GB2312" w:eastAsia="仿宋_GB2312" w:cs="仿宋_GB2312"/>
          <w:szCs w:val="32"/>
          <w:lang w:val="en-US" w:eastAsia="zh-CN"/>
        </w:rPr>
        <w:t>0</w:t>
      </w:r>
      <w:r>
        <w:rPr>
          <w:rFonts w:hint="eastAsia" w:ascii="仿宋_GB2312" w:hAnsi="仿宋_GB2312" w:eastAsia="仿宋_GB2312" w:cs="仿宋_GB2312"/>
          <w:szCs w:val="32"/>
        </w:rPr>
        <w:t>%”。</w:t>
      </w:r>
    </w:p>
    <w:p>
      <w:pPr>
        <w:pStyle w:val="2"/>
        <w:keepNext w:val="0"/>
        <w:keepLines w:val="0"/>
        <w:pageBreakBefore w:val="0"/>
        <w:widowControl w:val="0"/>
        <w:kinsoku/>
        <w:wordWrap/>
        <w:overflowPunct/>
        <w:topLinePunct w:val="0"/>
        <w:autoSpaceDE/>
        <w:autoSpaceDN/>
        <w:bidi w:val="0"/>
        <w:adjustRightInd/>
        <w:snapToGrid/>
        <w:ind w:left="0" w:leftChars="0" w:firstLine="632" w:firstLineChars="200"/>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4.“禁止焚烧秸秆及工业废弃物、建筑垃圾和生活垃圾等废弃物”修改为“禁止露天焚烧秸秆及工业废弃物、建筑垃圾和生活垃圾等废弃物”。</w:t>
      </w:r>
    </w:p>
    <w:p>
      <w:pPr>
        <w:pStyle w:val="2"/>
        <w:snapToGrid w:val="0"/>
        <w:spacing w:line="560" w:lineRule="exact"/>
        <w:ind w:left="0" w:firstLine="632" w:firstLineChars="200"/>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三、建立生态环境准入清单</w:t>
      </w:r>
    </w:p>
    <w:p>
      <w:pPr>
        <w:snapToGrid w:val="0"/>
        <w:spacing w:line="560" w:lineRule="exact"/>
        <w:ind w:left="0"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Cs w:val="32"/>
          <w:lang w:val="en-US" w:eastAsia="zh-CN"/>
        </w:rPr>
        <w:t>5.</w:t>
      </w:r>
      <w:r>
        <w:rPr>
          <w:rFonts w:hint="eastAsia" w:ascii="仿宋_GB2312" w:hAnsi="仿宋_GB2312" w:eastAsia="仿宋_GB2312" w:cs="仿宋_GB2312"/>
          <w:szCs w:val="32"/>
          <w:lang w:eastAsia="zh-CN"/>
        </w:rPr>
        <w:t>“</w:t>
      </w:r>
      <w:r>
        <w:rPr>
          <w:rFonts w:hint="eastAsia" w:ascii="仿宋_GB2312" w:hAnsi="仿宋_GB2312" w:eastAsia="仿宋_GB2312" w:cs="仿宋_GB2312"/>
          <w:szCs w:val="32"/>
        </w:rPr>
        <w:t>建立“1+146+34”生态环境准入清单体系，即1个市级生态环境总体准入清单，146个陆域环境管控单元和34个海域环境管控单元的生态环境准入清单</w:t>
      </w:r>
      <w:r>
        <w:rPr>
          <w:rFonts w:hint="eastAsia" w:ascii="仿宋_GB2312" w:hAnsi="仿宋_GB2312" w:eastAsia="仿宋_GB2312" w:cs="仿宋_GB2312"/>
          <w:szCs w:val="32"/>
          <w:lang w:eastAsia="zh-CN"/>
        </w:rPr>
        <w:t>”</w:t>
      </w:r>
      <w:r>
        <w:rPr>
          <w:rFonts w:hint="eastAsia" w:ascii="仿宋_GB2312" w:hAnsi="仿宋_GB2312" w:eastAsia="仿宋_GB2312" w:cs="仿宋_GB2312"/>
          <w:sz w:val="32"/>
          <w:szCs w:val="32"/>
          <w:lang w:val="en-US" w:eastAsia="zh-CN"/>
        </w:rPr>
        <w:t>修改为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建立“1+146+</w:t>
      </w:r>
      <w:r>
        <w:rPr>
          <w:rFonts w:hint="eastAsia" w:ascii="仿宋_GB2312" w:hAnsi="仿宋_GB2312" w:eastAsia="仿宋_GB2312" w:cs="仿宋_GB2312"/>
          <w:sz w:val="32"/>
          <w:szCs w:val="32"/>
          <w:lang w:val="en-US" w:eastAsia="zh-CN"/>
        </w:rPr>
        <w:t>101</w:t>
      </w:r>
      <w:r>
        <w:rPr>
          <w:rFonts w:hint="eastAsia" w:ascii="仿宋_GB2312" w:hAnsi="仿宋_GB2312" w:eastAsia="仿宋_GB2312" w:cs="仿宋_GB2312"/>
          <w:sz w:val="32"/>
          <w:szCs w:val="32"/>
        </w:rPr>
        <w:t>”生态环境准入清单体系，即1个市级生态环境总体准入清单，146个陆域环境管控单元和</w:t>
      </w:r>
      <w:r>
        <w:rPr>
          <w:rFonts w:hint="eastAsia" w:ascii="仿宋_GB2312" w:hAnsi="仿宋_GB2312" w:eastAsia="仿宋_GB2312" w:cs="仿宋_GB2312"/>
          <w:sz w:val="32"/>
          <w:szCs w:val="32"/>
          <w:lang w:val="en-US" w:eastAsia="zh-CN"/>
        </w:rPr>
        <w:t>101</w:t>
      </w:r>
      <w:r>
        <w:rPr>
          <w:rFonts w:hint="eastAsia" w:ascii="仿宋_GB2312" w:hAnsi="仿宋_GB2312" w:eastAsia="仿宋_GB2312" w:cs="仿宋_GB2312"/>
          <w:sz w:val="32"/>
          <w:szCs w:val="32"/>
        </w:rPr>
        <w:t>个海域环境管控单元的生态环境准入清单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pPr>
        <w:snapToGrid w:val="0"/>
        <w:spacing w:line="560" w:lineRule="exact"/>
        <w:ind w:left="0" w:firstLine="632" w:firstLineChars="200"/>
        <w:rPr>
          <w:rFonts w:hint="eastAsia" w:ascii="仿宋_GB2312" w:hAnsi="仿宋_GB2312" w:eastAsia="仿宋_GB2312" w:cs="仿宋_GB2312"/>
          <w:bCs w:val="0"/>
          <w:sz w:val="32"/>
          <w:szCs w:val="32"/>
          <w:lang w:eastAsia="zh-CN"/>
        </w:rPr>
      </w:pPr>
      <w:r>
        <w:rPr>
          <w:rFonts w:hint="eastAsia" w:ascii="仿宋_GB2312" w:hAnsi="仿宋_GB2312" w:eastAsia="仿宋_GB2312" w:cs="仿宋_GB2312"/>
          <w:bCs/>
          <w:szCs w:val="32"/>
          <w:lang w:val="en-US" w:eastAsia="zh-CN"/>
        </w:rPr>
        <w:t>6.“</w:t>
      </w:r>
      <w:r>
        <w:rPr>
          <w:rFonts w:hint="eastAsia" w:ascii="仿宋_GB2312" w:hAnsi="仿宋_GB2312" w:eastAsia="仿宋_GB2312" w:cs="仿宋_GB2312"/>
          <w:bCs/>
          <w:szCs w:val="32"/>
        </w:rPr>
        <w:t>陆域</w:t>
      </w:r>
      <w:r>
        <w:rPr>
          <w:rFonts w:hint="eastAsia" w:ascii="仿宋_GB2312" w:hAnsi="仿宋_GB2312" w:eastAsia="仿宋_GB2312" w:cs="仿宋_GB2312"/>
          <w:szCs w:val="32"/>
        </w:rPr>
        <w:t>优先保护单元21个，面积为2505.96平方公里，占陆域面积</w:t>
      </w:r>
      <w:r>
        <w:rPr>
          <w:rFonts w:ascii="仿宋_GB2312" w:hAnsi="仿宋_GB2312" w:eastAsia="仿宋_GB2312" w:cs="仿宋_GB2312"/>
          <w:szCs w:val="32"/>
        </w:rPr>
        <w:t>22.</w:t>
      </w:r>
      <w:r>
        <w:rPr>
          <w:rFonts w:hint="eastAsia" w:ascii="仿宋_GB2312" w:hAnsi="仿宋_GB2312" w:eastAsia="仿宋_GB2312" w:cs="仿宋_GB2312"/>
          <w:szCs w:val="32"/>
        </w:rPr>
        <w:t>18</w:t>
      </w:r>
      <w:r>
        <w:rPr>
          <w:rFonts w:ascii="仿宋_GB2312" w:hAnsi="仿宋_GB2312" w:eastAsia="仿宋_GB2312" w:cs="仿宋_GB2312"/>
          <w:szCs w:val="32"/>
        </w:rPr>
        <w:t>%</w:t>
      </w:r>
      <w:r>
        <w:rPr>
          <w:rFonts w:hint="eastAsia" w:ascii="仿宋_GB2312" w:hAnsi="仿宋_GB2312" w:eastAsia="仿宋_GB2312" w:cs="仿宋_GB2312"/>
          <w:szCs w:val="32"/>
        </w:rPr>
        <w:t>，……</w:t>
      </w:r>
      <w:r>
        <w:rPr>
          <w:rFonts w:hint="eastAsia" w:ascii="仿宋_GB2312" w:hAnsi="仿宋_GB2312" w:eastAsia="仿宋_GB2312" w:cs="仿宋_GB2312"/>
          <w:bCs/>
          <w:szCs w:val="32"/>
        </w:rPr>
        <w:t>海域优先保护单元15个，面积为</w:t>
      </w:r>
      <w:r>
        <w:rPr>
          <w:rFonts w:hint="eastAsia" w:ascii="仿宋_GB2312" w:hAnsi="仿宋_GB2312" w:eastAsia="仿宋_GB2312" w:cs="仿宋_GB2312"/>
          <w:szCs w:val="32"/>
        </w:rPr>
        <w:t>1007.21</w:t>
      </w:r>
      <w:r>
        <w:rPr>
          <w:rFonts w:hint="eastAsia" w:ascii="仿宋_GB2312" w:hAnsi="仿宋_GB2312" w:eastAsia="仿宋_GB2312" w:cs="仿宋_GB2312"/>
          <w:bCs/>
          <w:szCs w:val="32"/>
        </w:rPr>
        <w:t>平方公里，占近岸海域面积</w:t>
      </w:r>
      <w:r>
        <w:rPr>
          <w:rFonts w:hint="eastAsia" w:ascii="仿宋_GB2312" w:hAnsi="仿宋_GB2312" w:eastAsia="仿宋_GB2312" w:cs="仿宋_GB2312"/>
          <w:szCs w:val="32"/>
        </w:rPr>
        <w:t>8.23</w:t>
      </w:r>
      <w:r>
        <w:rPr>
          <w:rFonts w:ascii="仿宋_GB2312" w:hAnsi="仿宋_GB2312" w:eastAsia="仿宋_GB2312" w:cs="仿宋_GB2312"/>
          <w:szCs w:val="32"/>
        </w:rPr>
        <w:t>%</w:t>
      </w:r>
      <w:r>
        <w:rPr>
          <w:rFonts w:hint="eastAsia" w:ascii="仿宋_GB2312" w:hAnsi="仿宋_GB2312" w:eastAsia="仿宋_GB2312" w:cs="仿宋_GB2312"/>
          <w:bCs/>
          <w:szCs w:val="32"/>
          <w:lang w:eastAsia="zh-CN"/>
        </w:rPr>
        <w:t>”</w:t>
      </w:r>
      <w:r>
        <w:rPr>
          <w:rFonts w:hint="eastAsia" w:ascii="仿宋_GB2312" w:hAnsi="仿宋_GB2312" w:eastAsia="仿宋_GB2312" w:cs="仿宋_GB2312"/>
          <w:bCs w:val="0"/>
          <w:sz w:val="32"/>
          <w:szCs w:val="32"/>
          <w:lang w:val="en-US" w:eastAsia="zh-CN"/>
        </w:rPr>
        <w:t>修改为</w:t>
      </w:r>
      <w:r>
        <w:rPr>
          <w:rFonts w:hint="eastAsia" w:ascii="仿宋_GB2312" w:hAnsi="仿宋_GB2312" w:eastAsia="仿宋_GB2312" w:cs="仿宋_GB2312"/>
          <w:bCs w:val="0"/>
          <w:sz w:val="32"/>
          <w:szCs w:val="32"/>
          <w:lang w:eastAsia="zh-CN"/>
        </w:rPr>
        <w:t>“</w:t>
      </w:r>
      <w:r>
        <w:rPr>
          <w:rFonts w:hint="eastAsia" w:ascii="仿宋_GB2312" w:hAnsi="仿宋_GB2312" w:eastAsia="仿宋_GB2312" w:cs="仿宋_GB2312"/>
          <w:bCs w:val="0"/>
          <w:sz w:val="32"/>
          <w:szCs w:val="32"/>
        </w:rPr>
        <w:t>陆域</w:t>
      </w:r>
      <w:r>
        <w:rPr>
          <w:rFonts w:hint="eastAsia" w:ascii="仿宋_GB2312" w:hAnsi="仿宋_GB2312" w:eastAsia="仿宋_GB2312" w:cs="仿宋_GB2312"/>
          <w:sz w:val="32"/>
          <w:szCs w:val="32"/>
        </w:rPr>
        <w:t>优先保护单元21个，面积为2478.90平方公里，占陆域面积22.64%，……</w:t>
      </w:r>
      <w:r>
        <w:rPr>
          <w:rFonts w:hint="eastAsia" w:ascii="仿宋_GB2312" w:hAnsi="仿宋_GB2312" w:eastAsia="仿宋_GB2312" w:cs="仿宋_GB2312"/>
          <w:bCs w:val="0"/>
          <w:sz w:val="32"/>
          <w:szCs w:val="32"/>
        </w:rPr>
        <w:t>海域优先保护单元30个，面积为</w:t>
      </w:r>
      <w:r>
        <w:rPr>
          <w:rFonts w:hint="eastAsia" w:ascii="仿宋_GB2312" w:hAnsi="仿宋_GB2312" w:eastAsia="仿宋_GB2312" w:cs="仿宋_GB2312"/>
          <w:sz w:val="32"/>
          <w:szCs w:val="32"/>
        </w:rPr>
        <w:t>1174.26</w:t>
      </w:r>
      <w:r>
        <w:rPr>
          <w:rFonts w:hint="eastAsia" w:ascii="仿宋_GB2312" w:hAnsi="仿宋_GB2312" w:eastAsia="仿宋_GB2312" w:cs="仿宋_GB2312"/>
          <w:bCs w:val="0"/>
          <w:sz w:val="32"/>
          <w:szCs w:val="32"/>
        </w:rPr>
        <w:t>平方公里，占近岸海域面积</w:t>
      </w:r>
      <w:r>
        <w:rPr>
          <w:rFonts w:hint="eastAsia" w:ascii="仿宋_GB2312" w:hAnsi="仿宋_GB2312" w:eastAsia="仿宋_GB2312" w:cs="仿宋_GB2312"/>
          <w:sz w:val="32"/>
          <w:szCs w:val="32"/>
        </w:rPr>
        <w:t>10.02%</w:t>
      </w:r>
      <w:r>
        <w:rPr>
          <w:rFonts w:hint="eastAsia" w:ascii="仿宋_GB2312" w:hAnsi="仿宋_GB2312" w:eastAsia="仿宋_GB2312" w:cs="仿宋_GB2312"/>
          <w:bCs w:val="0"/>
          <w:sz w:val="32"/>
          <w:szCs w:val="32"/>
          <w:lang w:eastAsia="zh-CN"/>
        </w:rPr>
        <w:t>”。</w:t>
      </w:r>
    </w:p>
    <w:p>
      <w:pPr>
        <w:adjustRightInd w:val="0"/>
        <w:spacing w:line="240" w:lineRule="auto"/>
        <w:ind w:firstLine="632" w:firstLineChars="200"/>
        <w:rPr>
          <w:rFonts w:ascii="仿宋_GB2312" w:hAnsi="仿宋_GB2312" w:eastAsia="仿宋_GB2312" w:cs="仿宋_GB2312"/>
          <w:szCs w:val="32"/>
        </w:rPr>
      </w:pPr>
      <w:r>
        <w:rPr>
          <w:rFonts w:hint="eastAsia" w:ascii="仿宋_GB2312" w:hAnsi="仿宋_GB2312" w:eastAsia="仿宋_GB2312" w:cs="仿宋_GB2312"/>
          <w:szCs w:val="32"/>
          <w:lang w:val="en-US" w:eastAsia="zh-CN"/>
        </w:rPr>
        <w:t>7.“</w:t>
      </w:r>
      <w:r>
        <w:rPr>
          <w:rFonts w:hint="eastAsia" w:ascii="仿宋_GB2312" w:hAnsi="仿宋_GB2312" w:eastAsia="仿宋_GB2312" w:cs="仿宋_GB2312"/>
          <w:szCs w:val="32"/>
        </w:rPr>
        <w:t>陆域重点管控单元95个，面积为4512.32平方公里，占陆域面积</w:t>
      </w:r>
      <w:r>
        <w:rPr>
          <w:rFonts w:ascii="仿宋_GB2312" w:hAnsi="仿宋_GB2312" w:eastAsia="仿宋_GB2312" w:cs="仿宋_GB2312"/>
          <w:szCs w:val="32"/>
        </w:rPr>
        <w:t>39.</w:t>
      </w:r>
      <w:r>
        <w:rPr>
          <w:rFonts w:hint="eastAsia" w:ascii="仿宋_GB2312" w:hAnsi="仿宋_GB2312" w:eastAsia="仿宋_GB2312" w:cs="仿宋_GB2312"/>
          <w:szCs w:val="32"/>
        </w:rPr>
        <w:t>95</w:t>
      </w:r>
      <w:r>
        <w:rPr>
          <w:rFonts w:ascii="仿宋_GB2312" w:hAnsi="仿宋_GB2312" w:eastAsia="仿宋_GB2312" w:cs="仿宋_GB2312"/>
          <w:szCs w:val="32"/>
        </w:rPr>
        <w:t>%</w:t>
      </w:r>
      <w:r>
        <w:rPr>
          <w:rFonts w:hint="eastAsia" w:ascii="仿宋_GB2312" w:hAnsi="仿宋_GB2312" w:eastAsia="仿宋_GB2312" w:cs="仿宋_GB2312"/>
          <w:szCs w:val="32"/>
        </w:rPr>
        <w:t>，……海域重点管控单元16个，面积为</w:t>
      </w:r>
      <w:r>
        <w:rPr>
          <w:rFonts w:ascii="仿宋_GB2312" w:hAnsi="仿宋_GB2312" w:eastAsia="仿宋_GB2312" w:cs="仿宋_GB2312"/>
          <w:szCs w:val="32"/>
        </w:rPr>
        <w:t>1916.76</w:t>
      </w:r>
      <w:r>
        <w:rPr>
          <w:rFonts w:hint="eastAsia" w:ascii="仿宋_GB2312" w:hAnsi="仿宋_GB2312" w:eastAsia="仿宋_GB2312" w:cs="仿宋_GB2312"/>
          <w:szCs w:val="32"/>
        </w:rPr>
        <w:t>平方公里，占近岸海域面积15.66</w:t>
      </w:r>
      <w:r>
        <w:rPr>
          <w:rFonts w:ascii="仿宋_GB2312" w:hAnsi="仿宋_GB2312" w:eastAsia="仿宋_GB2312" w:cs="仿宋_GB2312"/>
          <w:szCs w:val="32"/>
        </w:rPr>
        <w:t>%</w:t>
      </w:r>
      <w:r>
        <w:rPr>
          <w:rFonts w:hint="eastAsia" w:ascii="仿宋_GB2312" w:hAnsi="仿宋_GB2312" w:eastAsia="仿宋_GB2312" w:cs="仿宋_GB2312"/>
          <w:szCs w:val="32"/>
          <w:lang w:eastAsia="zh-CN"/>
        </w:rPr>
        <w:t>”</w:t>
      </w:r>
      <w:r>
        <w:rPr>
          <w:rFonts w:hint="eastAsia" w:ascii="仿宋_GB2312" w:hAnsi="仿宋_GB2312" w:eastAsia="仿宋_GB2312" w:cs="仿宋_GB2312"/>
          <w:szCs w:val="32"/>
          <w:lang w:val="en-US" w:eastAsia="zh-CN"/>
        </w:rPr>
        <w:t>修改为</w:t>
      </w:r>
      <w:r>
        <w:rPr>
          <w:rFonts w:hint="eastAsia" w:ascii="仿宋_GB2312" w:hAnsi="仿宋_GB2312" w:eastAsia="仿宋_GB2312" w:cs="仿宋_GB2312"/>
          <w:szCs w:val="32"/>
          <w:lang w:eastAsia="zh-CN"/>
        </w:rPr>
        <w:t>“</w:t>
      </w:r>
      <w:r>
        <w:rPr>
          <w:rFonts w:hint="eastAsia" w:ascii="仿宋_GB2312" w:hAnsi="仿宋_GB2312" w:eastAsia="仿宋_GB2312" w:cs="仿宋_GB2312"/>
          <w:szCs w:val="32"/>
        </w:rPr>
        <w:t>陆域重点管控单元95个，面积为4353.30平方公里，占陆域面积39.75%，……海域重点管控单元45个，面积为6295.15平方公里，占近岸海域面积53.74%</w:t>
      </w:r>
      <w:r>
        <w:rPr>
          <w:rFonts w:hint="eastAsia" w:ascii="仿宋_GB2312" w:hAnsi="仿宋_GB2312" w:eastAsia="仿宋_GB2312" w:cs="仿宋_GB2312"/>
          <w:szCs w:val="32"/>
          <w:lang w:eastAsia="zh-CN"/>
        </w:rPr>
        <w:t>”</w:t>
      </w:r>
      <w:r>
        <w:rPr>
          <w:rFonts w:hint="eastAsia" w:ascii="仿宋_GB2312" w:hAnsi="仿宋_GB2312" w:eastAsia="仿宋_GB2312" w:cs="仿宋_GB2312"/>
          <w:szCs w:val="32"/>
        </w:rPr>
        <w:t>。</w:t>
      </w:r>
    </w:p>
    <w:p>
      <w:pPr>
        <w:adjustRightInd w:val="0"/>
        <w:spacing w:line="240" w:lineRule="auto"/>
        <w:ind w:firstLine="632" w:firstLineChars="200"/>
        <w:rPr>
          <w:rFonts w:hint="eastAsia" w:ascii="仿宋_GB2312" w:hAnsi="仿宋_GB2312" w:eastAsia="仿宋_GB2312" w:cs="仿宋_GB2312"/>
          <w:szCs w:val="32"/>
          <w:lang w:eastAsia="zh-CN"/>
        </w:rPr>
      </w:pPr>
      <w:r>
        <w:rPr>
          <w:rFonts w:hint="eastAsia" w:ascii="仿宋_GB2312" w:hAnsi="仿宋_GB2312" w:eastAsia="仿宋_GB2312" w:cs="仿宋_GB2312"/>
          <w:szCs w:val="32"/>
          <w:lang w:val="en-US" w:eastAsia="zh-CN"/>
        </w:rPr>
        <w:t>8.</w:t>
      </w:r>
      <w:r>
        <w:rPr>
          <w:rFonts w:hint="eastAsia" w:ascii="仿宋_GB2312" w:hAnsi="仿宋_GB2312" w:eastAsia="仿宋_GB2312" w:cs="仿宋_GB2312"/>
          <w:szCs w:val="32"/>
        </w:rPr>
        <w:t>陆域一般管控单元30个，面积为4277.04平方公里，占陆域面积37.87%，……海域一般管控单元3个，面积为9303.27平方公里，占近岸海域面积76.09</w:t>
      </w:r>
      <w:r>
        <w:rPr>
          <w:rFonts w:ascii="仿宋_GB2312" w:hAnsi="仿宋_GB2312" w:eastAsia="仿宋_GB2312" w:cs="仿宋_GB2312"/>
          <w:szCs w:val="32"/>
        </w:rPr>
        <w:t>%</w:t>
      </w:r>
      <w:r>
        <w:rPr>
          <w:rFonts w:hint="eastAsia" w:ascii="仿宋_GB2312" w:hAnsi="仿宋_GB2312" w:eastAsia="仿宋_GB2312" w:cs="仿宋_GB2312"/>
          <w:szCs w:val="32"/>
          <w:lang w:eastAsia="zh-CN"/>
        </w:rPr>
        <w:t>”</w:t>
      </w:r>
      <w:r>
        <w:rPr>
          <w:rFonts w:hint="eastAsia" w:ascii="仿宋_GB2312" w:hAnsi="仿宋_GB2312" w:eastAsia="仿宋_GB2312" w:cs="仿宋_GB2312"/>
          <w:szCs w:val="32"/>
          <w:lang w:val="en-US" w:eastAsia="zh-CN"/>
        </w:rPr>
        <w:t>修改为</w:t>
      </w:r>
      <w:r>
        <w:rPr>
          <w:rFonts w:hint="eastAsia" w:ascii="仿宋_GB2312" w:hAnsi="仿宋_GB2312" w:eastAsia="仿宋_GB2312" w:cs="仿宋_GB2312"/>
          <w:szCs w:val="32"/>
          <w:lang w:eastAsia="zh-CN"/>
        </w:rPr>
        <w:t>“</w:t>
      </w:r>
      <w:r>
        <w:rPr>
          <w:rFonts w:hint="eastAsia" w:ascii="仿宋_GB2312" w:hAnsi="仿宋_GB2312" w:eastAsia="仿宋_GB2312" w:cs="仿宋_GB2312"/>
          <w:szCs w:val="32"/>
        </w:rPr>
        <w:t>陆域一般管控单元30个，面积为4118.70平方公里，占陆域面积37.61%，……海域一般管控单元</w:t>
      </w:r>
      <w:r>
        <w:rPr>
          <w:rFonts w:hint="eastAsia" w:ascii="仿宋_GB2312" w:hAnsi="仿宋_GB2312" w:eastAsia="仿宋_GB2312" w:cs="仿宋_GB2312"/>
          <w:szCs w:val="32"/>
          <w:lang w:val="en-US" w:eastAsia="zh-CN"/>
        </w:rPr>
        <w:t>26</w:t>
      </w:r>
      <w:r>
        <w:rPr>
          <w:rFonts w:hint="eastAsia" w:ascii="仿宋_GB2312" w:hAnsi="仿宋_GB2312" w:eastAsia="仿宋_GB2312" w:cs="仿宋_GB2312"/>
          <w:szCs w:val="32"/>
        </w:rPr>
        <w:t>个，面积为4244.70平方公里，占近岸海域面积36.24%</w:t>
      </w:r>
      <w:r>
        <w:rPr>
          <w:rFonts w:hint="eastAsia" w:ascii="仿宋_GB2312" w:hAnsi="仿宋_GB2312" w:eastAsia="仿宋_GB2312" w:cs="仿宋_GB2312"/>
          <w:szCs w:val="32"/>
          <w:lang w:eastAsia="zh-CN"/>
        </w:rPr>
        <w:t>”。</w:t>
      </w:r>
    </w:p>
    <w:p>
      <w:pPr>
        <w:pStyle w:val="2"/>
        <w:snapToGrid w:val="0"/>
        <w:spacing w:line="560" w:lineRule="exact"/>
        <w:ind w:left="0" w:firstLine="632" w:firstLineChars="200"/>
        <w:rPr>
          <w:rFonts w:hint="default" w:ascii="黑体" w:hAnsi="黑体" w:eastAsia="黑体" w:cs="黑体"/>
          <w:sz w:val="32"/>
          <w:szCs w:val="32"/>
          <w:highlight w:val="none"/>
        </w:rPr>
      </w:pPr>
      <w:bookmarkStart w:id="10" w:name="OLE_LINK1"/>
      <w:r>
        <w:rPr>
          <w:rFonts w:hint="eastAsia" w:ascii="黑体" w:hAnsi="黑体" w:eastAsia="黑体" w:cs="黑体"/>
          <w:sz w:val="32"/>
          <w:szCs w:val="32"/>
          <w:highlight w:val="none"/>
          <w:lang w:val="en-US" w:eastAsia="zh-CN"/>
        </w:rPr>
        <w:t>四</w:t>
      </w:r>
      <w:r>
        <w:rPr>
          <w:rFonts w:hint="eastAsia" w:ascii="黑体" w:hAnsi="黑体" w:eastAsia="黑体" w:cs="黑体"/>
          <w:sz w:val="32"/>
          <w:szCs w:val="32"/>
          <w:highlight w:val="none"/>
        </w:rPr>
        <w:t>、附件</w:t>
      </w:r>
    </w:p>
    <w:bookmarkEnd w:id="10"/>
    <w:p>
      <w:pPr>
        <w:adjustRightInd w:val="0"/>
        <w:snapToGrid w:val="0"/>
        <w:spacing w:line="560" w:lineRule="exact"/>
        <w:ind w:left="0" w:firstLine="632" w:firstLineChars="200"/>
        <w:rPr>
          <w:rFonts w:hint="eastAsia" w:ascii="楷体" w:hAnsi="楷体" w:eastAsia="楷体" w:cs="楷体"/>
          <w:sz w:val="32"/>
          <w:szCs w:val="32"/>
          <w:highlight w:val="none"/>
        </w:rPr>
      </w:pPr>
      <w:r>
        <w:rPr>
          <w:rFonts w:hint="eastAsia" w:ascii="楷体" w:hAnsi="楷体" w:eastAsia="楷体" w:cs="楷体"/>
          <w:sz w:val="32"/>
          <w:szCs w:val="32"/>
          <w:highlight w:val="none"/>
          <w:lang w:eastAsia="zh-CN"/>
        </w:rPr>
        <w:t>（</w:t>
      </w:r>
      <w:r>
        <w:rPr>
          <w:rFonts w:hint="eastAsia" w:ascii="楷体" w:hAnsi="楷体" w:eastAsia="楷体" w:cs="楷体"/>
          <w:sz w:val="32"/>
          <w:szCs w:val="32"/>
          <w:highlight w:val="none"/>
          <w:lang w:val="en-US" w:eastAsia="zh-CN"/>
        </w:rPr>
        <w:t>一</w:t>
      </w:r>
      <w:r>
        <w:rPr>
          <w:rFonts w:hint="eastAsia" w:ascii="楷体" w:hAnsi="楷体" w:eastAsia="楷体" w:cs="楷体"/>
          <w:sz w:val="32"/>
          <w:szCs w:val="32"/>
          <w:highlight w:val="none"/>
          <w:lang w:eastAsia="zh-CN"/>
        </w:rPr>
        <w:t>）</w:t>
      </w:r>
      <w:r>
        <w:rPr>
          <w:rFonts w:hint="eastAsia" w:ascii="楷体" w:hAnsi="楷体" w:eastAsia="楷体" w:cs="楷体"/>
          <w:sz w:val="32"/>
          <w:szCs w:val="32"/>
          <w:highlight w:val="none"/>
          <w:lang w:val="en-US" w:eastAsia="zh-CN"/>
        </w:rPr>
        <w:t>附件1.</w:t>
      </w:r>
      <w:r>
        <w:rPr>
          <w:rFonts w:hint="eastAsia" w:ascii="楷体" w:hAnsi="楷体" w:eastAsia="楷体" w:cs="楷体"/>
          <w:sz w:val="32"/>
          <w:szCs w:val="32"/>
          <w:highlight w:val="none"/>
        </w:rPr>
        <w:t>青岛市生态空间图</w:t>
      </w:r>
      <w:r>
        <w:rPr>
          <w:rFonts w:hint="eastAsia" w:ascii="楷体" w:hAnsi="楷体" w:eastAsia="楷体" w:cs="楷体"/>
          <w:sz w:val="32"/>
          <w:szCs w:val="32"/>
          <w:highlight w:val="none"/>
        </w:rPr>
        <w:tab/>
      </w:r>
    </w:p>
    <w:p>
      <w:pPr>
        <w:pStyle w:val="2"/>
        <w:snapToGrid w:val="0"/>
        <w:spacing w:line="560" w:lineRule="exact"/>
        <w:ind w:left="0" w:firstLine="632"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.附件1</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青岛市生态空间图由</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1" w:type="dxa"/>
            <w:tcBorders>
              <w:top w:val="nil"/>
              <w:left w:val="nil"/>
              <w:bottom w:val="nil"/>
              <w:right w:val="nil"/>
            </w:tcBorders>
          </w:tcPr>
          <w:p>
            <w:pPr>
              <w:pStyle w:val="2"/>
              <w:snapToGrid w:val="0"/>
              <w:spacing w:line="560" w:lineRule="exact"/>
              <w:ind w:left="0" w:leftChars="0" w:firstLine="0" w:firstLineChars="0"/>
              <w:rPr>
                <w:rFonts w:hint="eastAsia" w:ascii="仿宋_GB2312" w:hAnsi="仿宋_GB2312" w:eastAsia="仿宋_GB2312" w:cs="仿宋_GB2312"/>
                <w:sz w:val="32"/>
                <w:szCs w:val="32"/>
                <w:vertAlign w:val="baseline"/>
              </w:rPr>
            </w:pPr>
            <w:r>
              <w:rPr>
                <w:rFonts w:hint="eastAsia" w:ascii="仿宋_GB2312" w:hAnsi="仿宋_GB2312" w:eastAsia="仿宋_GB2312" w:cs="仿宋_GB2312"/>
                <w:sz w:val="32"/>
                <w:szCs w:val="32"/>
              </w:rPr>
              <w:drawing>
                <wp:anchor distT="0" distB="0" distL="114300" distR="114300" simplePos="0" relativeHeight="251659264" behindDoc="0" locked="0" layoutInCell="1" allowOverlap="1">
                  <wp:simplePos x="0" y="0"/>
                  <wp:positionH relativeFrom="column">
                    <wp:posOffset>122555</wp:posOffset>
                  </wp:positionH>
                  <wp:positionV relativeFrom="paragraph">
                    <wp:posOffset>-53340</wp:posOffset>
                  </wp:positionV>
                  <wp:extent cx="5268595" cy="7124065"/>
                  <wp:effectExtent l="0" t="0" r="4445" b="8255"/>
                  <wp:wrapTopAndBottom/>
                  <wp:docPr id="2" name="图片 2" descr="06青岛市生态空间分布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06青岛市生态空间分布图"/>
                          <pic:cNvPicPr>
                            <a:picLocks noChangeAspect="1"/>
                          </pic:cNvPicPr>
                        </pic:nvPicPr>
                        <pic:blipFill>
                          <a:blip r:embed="rId7"/>
                          <a:srcRect b="4413"/>
                          <a:stretch>
                            <a:fillRect/>
                          </a:stretch>
                        </pic:blipFill>
                        <pic:spPr>
                          <a:xfrm>
                            <a:off x="0" y="0"/>
                            <a:ext cx="5268595" cy="7124065"/>
                          </a:xfrm>
                          <a:prstGeom prst="rect">
                            <a:avLst/>
                          </a:prstGeom>
                        </pic:spPr>
                      </pic:pic>
                    </a:graphicData>
                  </a:graphic>
                </wp:anchor>
              </w:drawing>
            </w:r>
            <w:r>
              <w:rPr>
                <w:rFonts w:hint="eastAsia" w:ascii="仿宋_GB2312" w:hAnsi="仿宋_GB2312" w:eastAsia="仿宋_GB2312" w:cs="仿宋_GB2312"/>
                <w:b w:val="0"/>
                <w:sz w:val="32"/>
                <w:szCs w:val="32"/>
                <w:lang w:val="en-US" w:eastAsia="zh-CN"/>
              </w:rPr>
              <w:t>修改为</w:t>
            </w:r>
          </w:p>
        </w:tc>
      </w:tr>
    </w:tbl>
    <w:p>
      <w:pPr>
        <w:pStyle w:val="2"/>
        <w:snapToGrid w:val="0"/>
        <w:spacing w:line="560" w:lineRule="exact"/>
        <w:ind w:left="0"/>
        <w:rPr>
          <w:rFonts w:hint="eastAsia" w:ascii="仿宋_GB2312" w:hAnsi="仿宋_GB2312" w:eastAsia="仿宋_GB2312" w:cs="仿宋_GB2312"/>
          <w:b/>
          <w:sz w:val="32"/>
          <w:szCs w:val="32"/>
          <w:lang w:eastAsia="zh-CN"/>
        </w:rPr>
      </w:pPr>
    </w:p>
    <w:p>
      <w:pPr>
        <w:pStyle w:val="2"/>
        <w:snapToGrid w:val="0"/>
        <w:spacing w:line="560" w:lineRule="exact"/>
        <w:ind w:left="0"/>
        <w:rPr>
          <w:rFonts w:hint="eastAsia" w:ascii="楷体" w:hAnsi="楷体" w:eastAsia="楷体" w:cs="楷体"/>
          <w:sz w:val="32"/>
          <w:szCs w:val="32"/>
          <w:highlight w:val="none"/>
          <w:lang w:val="en-US" w:eastAsia="zh-CN"/>
        </w:rPr>
      </w:pPr>
      <w:r>
        <w:rPr>
          <w:rFonts w:hint="eastAsia" w:ascii="仿宋_GB2312" w:hAnsi="仿宋_GB2312" w:eastAsia="仿宋_GB2312" w:cs="仿宋_GB2312"/>
          <w:b/>
          <w:sz w:val="32"/>
          <w:szCs w:val="32"/>
          <w:lang w:eastAsia="zh-CN"/>
        </w:rPr>
        <w:drawing>
          <wp:anchor distT="0" distB="0" distL="114300" distR="114300" simplePos="0" relativeHeight="251660288" behindDoc="0" locked="0" layoutInCell="1" allowOverlap="1">
            <wp:simplePos x="0" y="0"/>
            <wp:positionH relativeFrom="column">
              <wp:posOffset>90170</wp:posOffset>
            </wp:positionH>
            <wp:positionV relativeFrom="paragraph">
              <wp:posOffset>65405</wp:posOffset>
            </wp:positionV>
            <wp:extent cx="5382895" cy="7613015"/>
            <wp:effectExtent l="0" t="0" r="12065" b="6985"/>
            <wp:wrapTopAndBottom/>
            <wp:docPr id="3" name="图片 3" descr="C:\Users\Administrator\Desktop\06青岛市生态空间分布图.jpg06青岛市生态空间分布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06青岛市生态空间分布图.jpg06青岛市生态空间分布图"/>
                    <pic:cNvPicPr>
                      <a:picLocks noChangeAspect="1"/>
                    </pic:cNvPicPr>
                  </pic:nvPicPr>
                  <pic:blipFill>
                    <a:blip r:embed="rId8"/>
                    <a:srcRect/>
                    <a:stretch>
                      <a:fillRect/>
                    </a:stretch>
                  </pic:blipFill>
                  <pic:spPr>
                    <a:xfrm>
                      <a:off x="0" y="0"/>
                      <a:ext cx="5382895" cy="7613015"/>
                    </a:xfrm>
                    <a:prstGeom prst="rect">
                      <a:avLst/>
                    </a:prstGeom>
                  </pic:spPr>
                </pic:pic>
              </a:graphicData>
            </a:graphic>
          </wp:anchor>
        </w:drawing>
      </w:r>
    </w:p>
    <w:p>
      <w:pPr>
        <w:pStyle w:val="2"/>
        <w:snapToGrid w:val="0"/>
        <w:spacing w:line="560" w:lineRule="exact"/>
        <w:ind w:left="0" w:firstLine="632" w:firstLineChars="200"/>
        <w:rPr>
          <w:rFonts w:hint="eastAsia" w:ascii="楷体" w:hAnsi="楷体" w:eastAsia="楷体" w:cs="楷体"/>
          <w:sz w:val="32"/>
          <w:szCs w:val="32"/>
          <w:highlight w:val="none"/>
        </w:rPr>
      </w:pPr>
      <w:r>
        <w:rPr>
          <w:rFonts w:hint="eastAsia" w:ascii="楷体" w:hAnsi="楷体" w:eastAsia="楷体" w:cs="楷体"/>
          <w:sz w:val="32"/>
          <w:szCs w:val="32"/>
          <w:highlight w:val="none"/>
          <w:lang w:eastAsia="zh-CN"/>
        </w:rPr>
        <w:t>（</w:t>
      </w:r>
      <w:r>
        <w:rPr>
          <w:rFonts w:hint="eastAsia" w:ascii="楷体" w:hAnsi="楷体" w:eastAsia="楷体" w:cs="楷体"/>
          <w:sz w:val="32"/>
          <w:szCs w:val="32"/>
          <w:highlight w:val="none"/>
          <w:lang w:val="en-US" w:eastAsia="zh-CN"/>
        </w:rPr>
        <w:t>二</w:t>
      </w:r>
      <w:r>
        <w:rPr>
          <w:rFonts w:hint="eastAsia" w:ascii="楷体" w:hAnsi="楷体" w:eastAsia="楷体" w:cs="楷体"/>
          <w:sz w:val="32"/>
          <w:szCs w:val="32"/>
          <w:highlight w:val="none"/>
          <w:lang w:eastAsia="zh-CN"/>
        </w:rPr>
        <w:t>）</w:t>
      </w:r>
      <w:r>
        <w:rPr>
          <w:rFonts w:hint="eastAsia" w:ascii="楷体" w:hAnsi="楷体" w:eastAsia="楷体" w:cs="楷体"/>
          <w:sz w:val="32"/>
          <w:szCs w:val="32"/>
          <w:highlight w:val="none"/>
        </w:rPr>
        <w:t>附件</w:t>
      </w:r>
      <w:r>
        <w:rPr>
          <w:rFonts w:hint="eastAsia" w:ascii="楷体" w:hAnsi="楷体" w:eastAsia="楷体" w:cs="楷体"/>
          <w:sz w:val="32"/>
          <w:szCs w:val="32"/>
          <w:highlight w:val="none"/>
          <w:lang w:eastAsia="zh-CN"/>
        </w:rPr>
        <w:t>2</w:t>
      </w:r>
      <w:r>
        <w:rPr>
          <w:rFonts w:hint="eastAsia" w:ascii="楷体" w:hAnsi="楷体" w:eastAsia="楷体" w:cs="楷体"/>
          <w:sz w:val="32"/>
          <w:szCs w:val="32"/>
          <w:highlight w:val="none"/>
        </w:rPr>
        <w:t>.青岛市</w:t>
      </w:r>
      <w:r>
        <w:rPr>
          <w:rFonts w:hint="eastAsia" w:ascii="楷体" w:hAnsi="楷体" w:eastAsia="楷体" w:cs="楷体"/>
          <w:sz w:val="32"/>
          <w:szCs w:val="32"/>
          <w:highlight w:val="none"/>
          <w:lang w:val="en-US" w:eastAsia="zh-CN"/>
        </w:rPr>
        <w:t>环境管控单元</w:t>
      </w:r>
      <w:r>
        <w:rPr>
          <w:rFonts w:hint="eastAsia" w:ascii="楷体" w:hAnsi="楷体" w:eastAsia="楷体" w:cs="楷体"/>
          <w:sz w:val="32"/>
          <w:szCs w:val="32"/>
          <w:highlight w:val="none"/>
        </w:rPr>
        <w:t>图</w:t>
      </w:r>
    </w:p>
    <w:p>
      <w:pPr>
        <w:pStyle w:val="2"/>
        <w:snapToGrid w:val="0"/>
        <w:spacing w:line="560" w:lineRule="exact"/>
        <w:ind w:left="0" w:firstLine="632" w:firstLineChars="200"/>
        <w:rPr>
          <w:rFonts w:hint="default"/>
          <w:lang w:val="en-US" w:eastAsia="zh-CN"/>
        </w:rPr>
      </w:pP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highlight w:val="none"/>
        </w:rPr>
        <w:t>.附件</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青岛市环境管控单元图由</w:t>
      </w:r>
    </w:p>
    <w:p>
      <w:pPr>
        <w:rPr>
          <w:rFonts w:hint="default"/>
          <w:lang w:val="en-US" w:eastAsia="zh-CN"/>
        </w:rPr>
      </w:pPr>
      <w:r>
        <w:rPr>
          <w:rFonts w:hint="eastAsia"/>
        </w:rPr>
        <w:drawing>
          <wp:inline distT="0" distB="0" distL="114300" distR="114300">
            <wp:extent cx="4988560" cy="7053580"/>
            <wp:effectExtent l="0" t="0" r="10160" b="2540"/>
            <wp:docPr id="8" name="图片 2" descr="32环境管控单元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32环境管控单元图"/>
                    <pic:cNvPicPr>
                      <a:picLocks noChangeAspect="1"/>
                    </pic:cNvPicPr>
                  </pic:nvPicPr>
                  <pic:blipFill>
                    <a:blip r:embed="rId9"/>
                    <a:stretch>
                      <a:fillRect/>
                    </a:stretch>
                  </pic:blipFill>
                  <pic:spPr>
                    <a:xfrm>
                      <a:off x="0" y="0"/>
                      <a:ext cx="4988560" cy="7053580"/>
                    </a:xfrm>
                    <a:prstGeom prst="rect">
                      <a:avLst/>
                    </a:prstGeom>
                    <a:noFill/>
                    <a:ln>
                      <a:noFill/>
                    </a:ln>
                  </pic:spPr>
                </pic:pic>
              </a:graphicData>
            </a:graphic>
          </wp:inline>
        </w:drawing>
      </w:r>
    </w:p>
    <w:p>
      <w:pPr>
        <w:pStyle w:val="2"/>
        <w:ind w:left="0"/>
        <w:rPr>
          <w:rFonts w:ascii="仿宋_GB2312" w:hAnsi="仿宋_GB2312" w:eastAsia="仿宋_GB2312" w:cs="仿宋_GB2312"/>
          <w:sz w:val="32"/>
          <w:szCs w:val="32"/>
        </w:rPr>
      </w:pPr>
      <w:r>
        <w:rPr>
          <w:rFonts w:hint="eastAsia" w:ascii="仿宋_GB2312" w:hAnsi="仿宋_GB2312" w:eastAsia="仿宋_GB2312" w:cs="仿宋_GB2312"/>
          <w:sz w:val="32"/>
          <w:szCs w:val="32"/>
        </w:rPr>
        <w:t>修改为</w:t>
      </w:r>
    </w:p>
    <w:p>
      <w:pPr>
        <w:pStyle w:val="2"/>
        <w:ind w:left="0"/>
      </w:pPr>
      <w:r>
        <w:rPr>
          <w:rFonts w:hint="eastAsia"/>
        </w:rPr>
        <w:drawing>
          <wp:inline distT="0" distB="0" distL="114300" distR="114300">
            <wp:extent cx="5033645" cy="7119620"/>
            <wp:effectExtent l="0" t="0" r="10795" b="12700"/>
            <wp:docPr id="6" name="图片 6" descr="C:\Users\Administrator\Desktop\32环境管控单元图.jpg32环境管控单元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Desktop\32环境管控单元图.jpg32环境管控单元图"/>
                    <pic:cNvPicPr>
                      <a:picLocks noChangeAspect="1"/>
                    </pic:cNvPicPr>
                  </pic:nvPicPr>
                  <pic:blipFill>
                    <a:blip r:embed="rId10"/>
                    <a:srcRect/>
                    <a:stretch>
                      <a:fillRect/>
                    </a:stretch>
                  </pic:blipFill>
                  <pic:spPr>
                    <a:xfrm>
                      <a:off x="0" y="0"/>
                      <a:ext cx="5033645" cy="7119620"/>
                    </a:xfrm>
                    <a:prstGeom prst="rect">
                      <a:avLst/>
                    </a:prstGeom>
                  </pic:spPr>
                </pic:pic>
              </a:graphicData>
            </a:graphic>
          </wp:inline>
        </w:drawing>
      </w:r>
    </w:p>
    <w:p>
      <w:pPr>
        <w:adjustRightInd/>
        <w:ind w:left="0" w:firstLine="0" w:firstLineChars="0"/>
        <w:jc w:val="left"/>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br w:type="page"/>
      </w:r>
    </w:p>
    <w:p>
      <w:pPr>
        <w:widowControl/>
        <w:snapToGrid w:val="0"/>
        <w:spacing w:line="560" w:lineRule="exact"/>
        <w:jc w:val="left"/>
        <w:sectPr>
          <w:footerReference r:id="rId3" w:type="default"/>
          <w:pgSz w:w="11906" w:h="16838"/>
          <w:pgMar w:top="2098" w:right="1474" w:bottom="1984" w:left="1587" w:header="851" w:footer="992" w:gutter="0"/>
          <w:pgNumType w:fmt="decimal" w:start="1"/>
          <w:cols w:space="0" w:num="1"/>
          <w:rtlGutter w:val="0"/>
          <w:docGrid w:type="linesAndChars" w:linePitch="579" w:charSpace="-842"/>
        </w:sectPr>
      </w:pPr>
    </w:p>
    <w:p>
      <w:pPr>
        <w:adjustRightInd w:val="0"/>
        <w:snapToGrid w:val="0"/>
        <w:spacing w:line="560" w:lineRule="exact"/>
        <w:ind w:firstLine="640" w:firstLineChars="200"/>
        <w:jc w:val="left"/>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（三）</w:t>
      </w:r>
      <w:r>
        <w:rPr>
          <w:rFonts w:hint="eastAsia" w:ascii="楷体" w:hAnsi="楷体" w:eastAsia="楷体" w:cs="楷体"/>
          <w:sz w:val="32"/>
          <w:szCs w:val="32"/>
        </w:rPr>
        <w:t>附件</w:t>
      </w:r>
      <w:r>
        <w:rPr>
          <w:rFonts w:hint="eastAsia" w:ascii="楷体" w:hAnsi="楷体" w:eastAsia="楷体" w:cs="楷体"/>
          <w:sz w:val="32"/>
          <w:szCs w:val="32"/>
          <w:lang w:val="en-US" w:eastAsia="zh-CN"/>
        </w:rPr>
        <w:t>3.青岛市市级生态环境总体准入清单</w:t>
      </w:r>
    </w:p>
    <w:p>
      <w:pPr>
        <w:snapToGrid w:val="0"/>
        <w:spacing w:line="56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11.新增管控要求如下</w:t>
      </w:r>
    </w:p>
    <w:tbl>
      <w:tblPr>
        <w:tblStyle w:val="13"/>
        <w:tblW w:w="508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5"/>
        <w:gridCol w:w="422"/>
        <w:gridCol w:w="774"/>
        <w:gridCol w:w="9584"/>
        <w:gridCol w:w="30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15" w:type="pct"/>
            <w:gridSpan w:val="3"/>
            <w:noWrap w:val="0"/>
            <w:vAlign w:val="center"/>
          </w:tcPr>
          <w:p>
            <w:pPr>
              <w:pStyle w:val="17"/>
              <w:snapToGrid w:val="0"/>
              <w:spacing w:line="360" w:lineRule="exact"/>
              <w:rPr>
                <w:rFonts w:ascii="Times New Roman" w:hAnsi="Times New Roman"/>
                <w:bCs w:val="0"/>
                <w:sz w:val="21"/>
                <w:szCs w:val="21"/>
              </w:rPr>
            </w:pPr>
            <w:r>
              <w:rPr>
                <w:rFonts w:ascii="Times New Roman" w:hAnsi="Times New Roman"/>
                <w:bCs w:val="0"/>
                <w:sz w:val="21"/>
                <w:szCs w:val="21"/>
              </w:rPr>
              <w:t>管控类型</w:t>
            </w:r>
          </w:p>
        </w:tc>
        <w:tc>
          <w:tcPr>
            <w:tcW w:w="3326" w:type="pct"/>
            <w:noWrap w:val="0"/>
            <w:vAlign w:val="center"/>
          </w:tcPr>
          <w:p>
            <w:pPr>
              <w:pStyle w:val="17"/>
              <w:snapToGrid w:val="0"/>
              <w:spacing w:line="360" w:lineRule="exact"/>
              <w:rPr>
                <w:rFonts w:ascii="Times New Roman" w:hAnsi="Times New Roman"/>
                <w:bCs w:val="0"/>
                <w:sz w:val="21"/>
                <w:szCs w:val="21"/>
              </w:rPr>
            </w:pPr>
            <w:r>
              <w:rPr>
                <w:rFonts w:ascii="Times New Roman" w:hAnsi="Times New Roman"/>
                <w:bCs w:val="0"/>
                <w:sz w:val="21"/>
                <w:szCs w:val="21"/>
              </w:rPr>
              <w:t>管控要求</w:t>
            </w:r>
          </w:p>
        </w:tc>
        <w:tc>
          <w:tcPr>
            <w:tcW w:w="1058" w:type="pct"/>
            <w:noWrap w:val="0"/>
            <w:vAlign w:val="center"/>
          </w:tcPr>
          <w:p>
            <w:pPr>
              <w:pStyle w:val="17"/>
              <w:snapToGrid w:val="0"/>
              <w:spacing w:line="360" w:lineRule="exact"/>
              <w:rPr>
                <w:rFonts w:ascii="Times New Roman" w:hAnsi="Times New Roman"/>
                <w:bCs w:val="0"/>
                <w:sz w:val="21"/>
                <w:szCs w:val="21"/>
              </w:rPr>
            </w:pPr>
            <w:r>
              <w:rPr>
                <w:rFonts w:ascii="Times New Roman" w:hAnsi="Times New Roman"/>
                <w:bCs w:val="0"/>
                <w:sz w:val="21"/>
                <w:szCs w:val="21"/>
              </w:rPr>
              <w:t>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 w:type="pct"/>
            <w:vMerge w:val="restart"/>
            <w:noWrap w:val="0"/>
            <w:vAlign w:val="center"/>
          </w:tcPr>
          <w:p>
            <w:pPr>
              <w:pStyle w:val="17"/>
              <w:snapToGrid w:val="0"/>
              <w:spacing w:line="360" w:lineRule="exact"/>
              <w:rPr>
                <w:rFonts w:ascii="Times New Roman" w:hAnsi="Times New Roman"/>
                <w:sz w:val="21"/>
                <w:szCs w:val="21"/>
              </w:rPr>
            </w:pPr>
            <w:r>
              <w:rPr>
                <w:rFonts w:ascii="Times New Roman" w:hAnsi="Times New Roman"/>
                <w:sz w:val="21"/>
                <w:szCs w:val="21"/>
              </w:rPr>
              <w:t>污染物排放管控</w:t>
            </w:r>
          </w:p>
        </w:tc>
        <w:tc>
          <w:tcPr>
            <w:tcW w:w="146" w:type="pct"/>
            <w:vMerge w:val="restart"/>
            <w:noWrap w:val="0"/>
            <w:vAlign w:val="center"/>
          </w:tcPr>
          <w:p>
            <w:pPr>
              <w:pStyle w:val="17"/>
              <w:snapToGrid w:val="0"/>
              <w:spacing w:line="360" w:lineRule="exact"/>
              <w:jc w:val="left"/>
              <w:rPr>
                <w:rFonts w:ascii="Times New Roman" w:hAnsi="Times New Roman"/>
                <w:sz w:val="21"/>
                <w:szCs w:val="21"/>
              </w:rPr>
            </w:pPr>
            <w:r>
              <w:rPr>
                <w:rFonts w:ascii="Times New Roman" w:hAnsi="Times New Roman"/>
                <w:sz w:val="21"/>
                <w:szCs w:val="21"/>
              </w:rPr>
              <w:t>污染排放</w:t>
            </w:r>
          </w:p>
        </w:tc>
        <w:tc>
          <w:tcPr>
            <w:tcW w:w="267" w:type="pct"/>
            <w:noWrap w:val="0"/>
            <w:vAlign w:val="center"/>
          </w:tcPr>
          <w:p>
            <w:pPr>
              <w:pStyle w:val="17"/>
              <w:snapToGrid w:val="0"/>
              <w:spacing w:line="360" w:lineRule="exact"/>
              <w:jc w:val="left"/>
              <w:rPr>
                <w:rFonts w:hint="eastAsia" w:ascii="Times New Roman" w:hAnsi="Times New Roman" w:eastAsia="黑体"/>
                <w:sz w:val="21"/>
                <w:szCs w:val="21"/>
                <w:lang w:eastAsia="zh-CN"/>
              </w:rPr>
            </w:pPr>
            <w:r>
              <w:rPr>
                <w:rFonts w:hint="eastAsia" w:ascii="Times New Roman" w:hAnsi="Times New Roman"/>
                <w:sz w:val="21"/>
                <w:szCs w:val="21"/>
                <w:lang w:val="en-US" w:eastAsia="zh-CN"/>
              </w:rPr>
              <w:t>水</w:t>
            </w:r>
          </w:p>
        </w:tc>
        <w:tc>
          <w:tcPr>
            <w:tcW w:w="3326" w:type="pct"/>
            <w:noWrap w:val="0"/>
            <w:vAlign w:val="center"/>
          </w:tcPr>
          <w:p>
            <w:pPr>
              <w:widowControl/>
              <w:snapToGrid w:val="0"/>
              <w:spacing w:line="360" w:lineRule="exact"/>
              <w:jc w:val="left"/>
              <w:textAlignment w:val="center"/>
              <w:rPr>
                <w:rFonts w:hint="eastAsia" w:ascii="黑体" w:hAnsi="宋体" w:eastAsia="黑体" w:cs="黑体"/>
                <w:kern w:val="2"/>
                <w:sz w:val="21"/>
                <w:szCs w:val="21"/>
                <w:lang w:val="en-US" w:eastAsia="zh-CN" w:bidi="ar-SA"/>
              </w:rPr>
            </w:pPr>
            <w:r>
              <w:rPr>
                <w:rFonts w:hint="eastAsia" w:ascii="黑体" w:hAnsi="宋体" w:eastAsia="黑体" w:cs="黑体"/>
                <w:kern w:val="2"/>
                <w:sz w:val="21"/>
                <w:szCs w:val="21"/>
                <w:lang w:val="en-US" w:eastAsia="zh-CN" w:bidi="ar-SA"/>
              </w:rPr>
              <w:t>加强农药、肥料等农业投入品使用指导和技术服务，防止地下水污染。</w:t>
            </w:r>
          </w:p>
        </w:tc>
        <w:tc>
          <w:tcPr>
            <w:tcW w:w="1058" w:type="pct"/>
            <w:noWrap w:val="0"/>
            <w:vAlign w:val="center"/>
          </w:tcPr>
          <w:p>
            <w:pPr>
              <w:pStyle w:val="17"/>
              <w:snapToGrid w:val="0"/>
              <w:spacing w:line="360" w:lineRule="exact"/>
              <w:jc w:val="left"/>
              <w:rPr>
                <w:rFonts w:ascii="Times New Roman" w:hAnsi="Times New Roman" w:eastAsia="黑体" w:cs="Times New Roman"/>
                <w:b w:val="0"/>
                <w:bCs/>
                <w:kern w:val="2"/>
                <w:sz w:val="21"/>
                <w:szCs w:val="21"/>
                <w:lang w:val="en-US" w:eastAsia="zh-CN" w:bidi="ar-SA"/>
              </w:rPr>
            </w:pPr>
            <w:r>
              <w:rPr>
                <w:rFonts w:hint="eastAsia" w:ascii="Times New Roman" w:hAnsi="Times New Roman" w:eastAsia="黑体" w:cs="Times New Roman"/>
                <w:b w:val="0"/>
                <w:bCs/>
                <w:kern w:val="2"/>
                <w:sz w:val="21"/>
                <w:szCs w:val="21"/>
                <w:lang w:val="en-US" w:eastAsia="zh-CN" w:bidi="ar-SA"/>
              </w:rPr>
              <w:t>《青岛市人民政府关于进一步加强地下水管理的实施意见》(青政字〔2024〕8号)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0" w:hRule="atLeast"/>
          <w:jc w:val="center"/>
        </w:trPr>
        <w:tc>
          <w:tcPr>
            <w:tcW w:w="200" w:type="pct"/>
            <w:vMerge w:val="continue"/>
            <w:noWrap w:val="0"/>
            <w:vAlign w:val="center"/>
          </w:tcPr>
          <w:p>
            <w:pPr>
              <w:pStyle w:val="17"/>
              <w:snapToGrid w:val="0"/>
              <w:spacing w:line="360" w:lineRule="exact"/>
              <w:rPr>
                <w:rFonts w:ascii="Times New Roman" w:hAnsi="Times New Roman"/>
                <w:sz w:val="21"/>
                <w:szCs w:val="21"/>
              </w:rPr>
            </w:pPr>
          </w:p>
        </w:tc>
        <w:tc>
          <w:tcPr>
            <w:tcW w:w="146" w:type="pct"/>
            <w:vMerge w:val="continue"/>
            <w:noWrap w:val="0"/>
            <w:vAlign w:val="center"/>
          </w:tcPr>
          <w:p>
            <w:pPr>
              <w:pStyle w:val="17"/>
              <w:snapToGrid w:val="0"/>
              <w:spacing w:line="360" w:lineRule="exact"/>
              <w:jc w:val="left"/>
              <w:rPr>
                <w:rFonts w:ascii="Times New Roman" w:hAnsi="Times New Roman"/>
                <w:sz w:val="21"/>
                <w:szCs w:val="21"/>
              </w:rPr>
            </w:pPr>
          </w:p>
        </w:tc>
        <w:tc>
          <w:tcPr>
            <w:tcW w:w="267" w:type="pct"/>
            <w:noWrap w:val="0"/>
            <w:vAlign w:val="center"/>
          </w:tcPr>
          <w:p>
            <w:pPr>
              <w:pStyle w:val="17"/>
              <w:snapToGrid w:val="0"/>
              <w:spacing w:line="360" w:lineRule="exact"/>
              <w:jc w:val="left"/>
              <w:rPr>
                <w:rFonts w:ascii="Times New Roman" w:hAnsi="Times New Roman"/>
                <w:sz w:val="21"/>
                <w:szCs w:val="21"/>
              </w:rPr>
            </w:pPr>
            <w:r>
              <w:rPr>
                <w:rFonts w:ascii="Times New Roman" w:hAnsi="Times New Roman"/>
                <w:sz w:val="21"/>
                <w:szCs w:val="21"/>
              </w:rPr>
              <w:t>海洋</w:t>
            </w:r>
          </w:p>
        </w:tc>
        <w:tc>
          <w:tcPr>
            <w:tcW w:w="3326" w:type="pct"/>
            <w:noWrap w:val="0"/>
            <w:vAlign w:val="center"/>
          </w:tcPr>
          <w:p>
            <w:pPr>
              <w:widowControl/>
              <w:snapToGrid w:val="0"/>
              <w:spacing w:line="360" w:lineRule="exact"/>
              <w:jc w:val="left"/>
              <w:textAlignment w:val="center"/>
              <w:rPr>
                <w:rFonts w:ascii="Times New Roman" w:hAnsi="Times New Roman" w:eastAsia="黑体" w:cs="Times New Roman"/>
                <w:b w:val="0"/>
                <w:bCs/>
                <w:kern w:val="2"/>
                <w:sz w:val="21"/>
                <w:szCs w:val="21"/>
                <w:lang w:val="en-US" w:eastAsia="zh-CN" w:bidi="ar-SA"/>
              </w:rPr>
            </w:pPr>
            <w:r>
              <w:rPr>
                <w:rFonts w:hint="eastAsia" w:ascii="黑体" w:hAnsi="宋体" w:eastAsia="黑体" w:cs="黑体"/>
                <w:kern w:val="2"/>
                <w:sz w:val="21"/>
                <w:szCs w:val="21"/>
                <w:lang w:val="en-US" w:eastAsia="zh-CN" w:bidi="ar-SA"/>
              </w:rPr>
              <w:t>向海洋排放养殖尾水污染物等应当符合《海水养殖尾水排放标准（DB37 4676—2023）》</w:t>
            </w:r>
          </w:p>
        </w:tc>
        <w:tc>
          <w:tcPr>
            <w:tcW w:w="1058" w:type="pct"/>
            <w:noWrap w:val="0"/>
            <w:vAlign w:val="center"/>
          </w:tcPr>
          <w:p>
            <w:pPr>
              <w:pStyle w:val="17"/>
              <w:snapToGrid w:val="0"/>
              <w:spacing w:line="360" w:lineRule="exact"/>
              <w:jc w:val="left"/>
              <w:rPr>
                <w:rFonts w:ascii="Times New Roman" w:hAnsi="Times New Roman" w:eastAsia="黑体" w:cs="Times New Roman"/>
                <w:b w:val="0"/>
                <w:bCs/>
                <w:kern w:val="2"/>
                <w:sz w:val="21"/>
                <w:szCs w:val="21"/>
                <w:lang w:val="en-US" w:eastAsia="zh-CN" w:bidi="ar-SA"/>
              </w:rPr>
            </w:pPr>
            <w:r>
              <w:rPr>
                <w:rFonts w:hint="eastAsia" w:ascii="Times New Roman" w:hAnsi="Times New Roman" w:eastAsia="黑体" w:cs="Times New Roman"/>
                <w:b w:val="0"/>
                <w:bCs/>
                <w:kern w:val="2"/>
                <w:sz w:val="21"/>
                <w:szCs w:val="21"/>
                <w:lang w:val="en-US" w:eastAsia="zh-CN" w:bidi="ar-SA"/>
              </w:rPr>
              <w:t>《中华人民共和国海洋环境保护法》（2023修订）《海水养殖尾水排放标准（DB37 4676—2023）》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8" w:hRule="atLeast"/>
          <w:jc w:val="center"/>
        </w:trPr>
        <w:tc>
          <w:tcPr>
            <w:tcW w:w="200" w:type="pct"/>
            <w:tcBorders>
              <w:left w:val="single" w:color="auto" w:sz="4" w:space="0"/>
              <w:right w:val="single" w:color="auto" w:sz="4" w:space="0"/>
            </w:tcBorders>
            <w:noWrap w:val="0"/>
            <w:vAlign w:val="center"/>
          </w:tcPr>
          <w:p>
            <w:pPr>
              <w:pStyle w:val="17"/>
              <w:snapToGrid w:val="0"/>
              <w:spacing w:line="360" w:lineRule="exact"/>
              <w:rPr>
                <w:rFonts w:ascii="Times New Roman" w:hAnsi="Times New Roman"/>
                <w:sz w:val="21"/>
                <w:szCs w:val="21"/>
              </w:rPr>
            </w:pPr>
            <w:r>
              <w:rPr>
                <w:rFonts w:ascii="Times New Roman" w:hAnsi="Times New Roman"/>
                <w:sz w:val="21"/>
                <w:szCs w:val="21"/>
              </w:rPr>
              <w:t>资源利用效率要求</w:t>
            </w:r>
          </w:p>
        </w:tc>
        <w:tc>
          <w:tcPr>
            <w:tcW w:w="414" w:type="pct"/>
            <w:gridSpan w:val="2"/>
            <w:tcBorders>
              <w:top w:val="single" w:color="auto" w:sz="4" w:space="0"/>
              <w:left w:val="single" w:color="auto" w:sz="4" w:space="0"/>
              <w:right w:val="single" w:color="auto" w:sz="4" w:space="0"/>
            </w:tcBorders>
            <w:noWrap w:val="0"/>
            <w:vAlign w:val="center"/>
          </w:tcPr>
          <w:p>
            <w:pPr>
              <w:pStyle w:val="17"/>
              <w:snapToGrid w:val="0"/>
              <w:spacing w:line="360" w:lineRule="exact"/>
              <w:jc w:val="left"/>
              <w:rPr>
                <w:rFonts w:ascii="Times New Roman" w:hAnsi="Times New Roman"/>
                <w:sz w:val="21"/>
                <w:szCs w:val="21"/>
              </w:rPr>
            </w:pPr>
            <w:r>
              <w:rPr>
                <w:rFonts w:ascii="Times New Roman" w:hAnsi="Times New Roman"/>
                <w:sz w:val="21"/>
                <w:szCs w:val="21"/>
              </w:rPr>
              <w:t>岸线资源</w:t>
            </w:r>
          </w:p>
        </w:tc>
        <w:tc>
          <w:tcPr>
            <w:tcW w:w="3326" w:type="pct"/>
            <w:tcBorders>
              <w:top w:val="single" w:color="auto" w:sz="4" w:space="0"/>
              <w:left w:val="single" w:color="auto" w:sz="4" w:space="0"/>
              <w:right w:val="single" w:color="auto" w:sz="4" w:space="0"/>
            </w:tcBorders>
            <w:noWrap w:val="0"/>
            <w:vAlign w:val="center"/>
          </w:tcPr>
          <w:p>
            <w:pPr>
              <w:pStyle w:val="17"/>
              <w:snapToGrid w:val="0"/>
              <w:spacing w:line="360" w:lineRule="exact"/>
              <w:jc w:val="left"/>
              <w:rPr>
                <w:rFonts w:hint="eastAsia" w:ascii="Times New Roman" w:hAnsi="Times New Roman" w:eastAsia="黑体" w:cs="Times New Roman"/>
                <w:b w:val="0"/>
                <w:bCs/>
                <w:kern w:val="2"/>
                <w:sz w:val="21"/>
                <w:szCs w:val="21"/>
                <w:lang w:val="en-US" w:eastAsia="zh-CN" w:bidi="ar-SA"/>
              </w:rPr>
            </w:pPr>
            <w:r>
              <w:rPr>
                <w:rFonts w:hint="eastAsia" w:ascii="Times New Roman" w:hAnsi="Times New Roman" w:eastAsia="黑体" w:cs="Times New Roman"/>
                <w:b w:val="0"/>
                <w:bCs/>
                <w:kern w:val="2"/>
                <w:sz w:val="21"/>
                <w:szCs w:val="21"/>
                <w:lang w:val="en-US" w:eastAsia="zh-CN" w:bidi="ar-SA"/>
              </w:rPr>
              <w:t>禁止在严格保护岸线范围内开采海砂。依法在其他区域开发利用海砂资源。</w:t>
            </w:r>
          </w:p>
        </w:tc>
        <w:tc>
          <w:tcPr>
            <w:tcW w:w="1058" w:type="pct"/>
            <w:tcBorders>
              <w:top w:val="single" w:color="auto" w:sz="4" w:space="0"/>
              <w:left w:val="single" w:color="auto" w:sz="4" w:space="0"/>
              <w:right w:val="single" w:color="auto" w:sz="4" w:space="0"/>
            </w:tcBorders>
            <w:noWrap w:val="0"/>
            <w:vAlign w:val="center"/>
          </w:tcPr>
          <w:p>
            <w:pPr>
              <w:pStyle w:val="17"/>
              <w:snapToGrid w:val="0"/>
              <w:spacing w:line="360" w:lineRule="exact"/>
              <w:jc w:val="left"/>
              <w:rPr>
                <w:rFonts w:hint="eastAsia" w:ascii="Times New Roman" w:hAnsi="Times New Roman" w:eastAsia="黑体" w:cs="Times New Roman"/>
                <w:b w:val="0"/>
                <w:bCs/>
                <w:kern w:val="2"/>
                <w:sz w:val="21"/>
                <w:szCs w:val="21"/>
                <w:lang w:val="en-US" w:eastAsia="zh-CN" w:bidi="ar-SA"/>
              </w:rPr>
            </w:pPr>
            <w:r>
              <w:rPr>
                <w:rFonts w:hint="eastAsia" w:ascii="Times New Roman" w:hAnsi="Times New Roman" w:eastAsia="黑体" w:cs="Times New Roman"/>
                <w:b w:val="0"/>
                <w:bCs/>
                <w:kern w:val="2"/>
                <w:sz w:val="21"/>
                <w:szCs w:val="21"/>
                <w:lang w:val="en-US" w:eastAsia="zh-CN" w:bidi="ar-SA"/>
              </w:rPr>
              <w:t>《中华人民共和国海洋环境保护法》（2023修订）</w:t>
            </w:r>
          </w:p>
        </w:tc>
      </w:tr>
    </w:tbl>
    <w:p>
      <w:pPr>
        <w:pStyle w:val="2"/>
        <w:rPr>
          <w:rFonts w:hint="eastAsia"/>
          <w:lang w:val="en-US" w:eastAsia="zh-CN"/>
        </w:rPr>
      </w:pPr>
    </w:p>
    <w:p>
      <w:pPr>
        <w:rPr>
          <w:rFonts w:hint="eastAsia"/>
          <w:lang w:val="en-US" w:eastAsia="zh-CN"/>
        </w:rPr>
      </w:pPr>
    </w:p>
    <w:p>
      <w:pPr>
        <w:rPr>
          <w:rFonts w:hint="eastAsia"/>
          <w:lang w:val="en-US" w:eastAsia="zh-CN"/>
        </w:rPr>
      </w:pPr>
    </w:p>
    <w:p>
      <w:pPr>
        <w:snapToGrid w:val="0"/>
        <w:spacing w:line="560" w:lineRule="exact"/>
        <w:ind w:firstLine="640" w:firstLineChars="200"/>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12.空间布局约束由</w:t>
      </w:r>
    </w:p>
    <w:tbl>
      <w:tblPr>
        <w:tblStyle w:val="13"/>
        <w:tblW w:w="508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675"/>
        <w:gridCol w:w="450"/>
        <w:gridCol w:w="9452"/>
        <w:gridCol w:w="30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60" w:type="pct"/>
            <w:gridSpan w:val="3"/>
            <w:noWrap w:val="0"/>
            <w:vAlign w:val="center"/>
          </w:tcPr>
          <w:p>
            <w:pPr>
              <w:pStyle w:val="17"/>
              <w:snapToGrid w:val="0"/>
              <w:spacing w:line="360" w:lineRule="exact"/>
              <w:rPr>
                <w:rFonts w:ascii="Times New Roman" w:hAnsi="Times New Roman"/>
                <w:bCs w:val="0"/>
                <w:sz w:val="21"/>
                <w:szCs w:val="21"/>
              </w:rPr>
            </w:pPr>
            <w:r>
              <w:rPr>
                <w:rFonts w:ascii="Times New Roman" w:hAnsi="Times New Roman"/>
                <w:bCs w:val="0"/>
                <w:sz w:val="21"/>
                <w:szCs w:val="21"/>
              </w:rPr>
              <w:t>管控类型</w:t>
            </w:r>
          </w:p>
        </w:tc>
        <w:tc>
          <w:tcPr>
            <w:tcW w:w="3281" w:type="pct"/>
            <w:noWrap w:val="0"/>
            <w:vAlign w:val="center"/>
          </w:tcPr>
          <w:p>
            <w:pPr>
              <w:pStyle w:val="17"/>
              <w:snapToGrid w:val="0"/>
              <w:spacing w:line="360" w:lineRule="exact"/>
              <w:rPr>
                <w:rFonts w:ascii="Times New Roman" w:hAnsi="Times New Roman"/>
                <w:bCs w:val="0"/>
                <w:sz w:val="21"/>
                <w:szCs w:val="21"/>
              </w:rPr>
            </w:pPr>
            <w:r>
              <w:rPr>
                <w:rFonts w:ascii="Times New Roman" w:hAnsi="Times New Roman"/>
                <w:bCs w:val="0"/>
                <w:sz w:val="21"/>
                <w:szCs w:val="21"/>
              </w:rPr>
              <w:t>管控要求</w:t>
            </w:r>
          </w:p>
        </w:tc>
        <w:tc>
          <w:tcPr>
            <w:tcW w:w="1058" w:type="pct"/>
            <w:noWrap w:val="0"/>
            <w:vAlign w:val="center"/>
          </w:tcPr>
          <w:p>
            <w:pPr>
              <w:pStyle w:val="17"/>
              <w:snapToGrid w:val="0"/>
              <w:spacing w:line="360" w:lineRule="exact"/>
              <w:rPr>
                <w:rFonts w:ascii="Times New Roman" w:hAnsi="Times New Roman"/>
                <w:bCs w:val="0"/>
                <w:sz w:val="21"/>
                <w:szCs w:val="21"/>
              </w:rPr>
            </w:pPr>
            <w:r>
              <w:rPr>
                <w:rFonts w:ascii="Times New Roman" w:hAnsi="Times New Roman"/>
                <w:bCs w:val="0"/>
                <w:sz w:val="21"/>
                <w:szCs w:val="21"/>
              </w:rPr>
              <w:t>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2" w:hRule="atLeast"/>
          <w:jc w:val="center"/>
        </w:trPr>
        <w:tc>
          <w:tcPr>
            <w:tcW w:w="270" w:type="pct"/>
            <w:vMerge w:val="restart"/>
            <w:noWrap w:val="0"/>
            <w:vAlign w:val="center"/>
          </w:tcPr>
          <w:p>
            <w:pPr>
              <w:pStyle w:val="17"/>
              <w:snapToGrid w:val="0"/>
              <w:spacing w:line="360" w:lineRule="exact"/>
              <w:rPr>
                <w:rFonts w:ascii="Times New Roman" w:hAnsi="Times New Roman"/>
                <w:sz w:val="21"/>
                <w:szCs w:val="21"/>
              </w:rPr>
            </w:pPr>
            <w:r>
              <w:rPr>
                <w:rFonts w:ascii="Times New Roman" w:hAnsi="Times New Roman"/>
                <w:sz w:val="21"/>
                <w:szCs w:val="21"/>
              </w:rPr>
              <w:t>空间布局约束</w:t>
            </w:r>
          </w:p>
        </w:tc>
        <w:tc>
          <w:tcPr>
            <w:tcW w:w="234" w:type="pct"/>
            <w:vMerge w:val="restart"/>
            <w:noWrap w:val="0"/>
            <w:vAlign w:val="center"/>
          </w:tcPr>
          <w:p>
            <w:pPr>
              <w:pStyle w:val="17"/>
              <w:snapToGrid w:val="0"/>
              <w:spacing w:line="360" w:lineRule="exact"/>
              <w:jc w:val="left"/>
              <w:rPr>
                <w:rFonts w:ascii="Times New Roman" w:hAnsi="Times New Roman"/>
                <w:sz w:val="21"/>
                <w:szCs w:val="21"/>
              </w:rPr>
            </w:pPr>
            <w:r>
              <w:rPr>
                <w:rFonts w:ascii="Times New Roman" w:hAnsi="Times New Roman"/>
                <w:sz w:val="21"/>
                <w:szCs w:val="21"/>
              </w:rPr>
              <w:t>禁止类</w:t>
            </w:r>
          </w:p>
        </w:tc>
        <w:tc>
          <w:tcPr>
            <w:tcW w:w="156" w:type="pct"/>
            <w:vMerge w:val="restart"/>
            <w:noWrap w:val="0"/>
            <w:vAlign w:val="center"/>
          </w:tcPr>
          <w:p>
            <w:pPr>
              <w:pStyle w:val="17"/>
              <w:snapToGrid w:val="0"/>
              <w:spacing w:line="360" w:lineRule="exact"/>
              <w:jc w:val="left"/>
              <w:rPr>
                <w:rFonts w:hint="eastAsia" w:ascii="Times New Roman" w:hAnsi="Times New Roman" w:eastAsia="黑体"/>
                <w:sz w:val="21"/>
                <w:szCs w:val="21"/>
                <w:lang w:val="en-US" w:eastAsia="zh-CN"/>
              </w:rPr>
            </w:pPr>
            <w:r>
              <w:rPr>
                <w:rFonts w:hint="eastAsia" w:ascii="Times New Roman" w:hAnsi="Times New Roman"/>
                <w:sz w:val="21"/>
                <w:szCs w:val="21"/>
                <w:lang w:val="en-US" w:eastAsia="zh-CN"/>
              </w:rPr>
              <w:t>海洋</w:t>
            </w:r>
          </w:p>
        </w:tc>
        <w:tc>
          <w:tcPr>
            <w:tcW w:w="3281" w:type="pct"/>
            <w:noWrap w:val="0"/>
            <w:vAlign w:val="center"/>
          </w:tcPr>
          <w:p>
            <w:pPr>
              <w:pStyle w:val="17"/>
              <w:snapToGrid w:val="0"/>
              <w:spacing w:line="360" w:lineRule="exact"/>
              <w:jc w:val="left"/>
              <w:rPr>
                <w:rFonts w:ascii="Times New Roman" w:hAnsi="Times New Roman"/>
                <w:sz w:val="21"/>
                <w:szCs w:val="21"/>
              </w:rPr>
            </w:pPr>
            <w:r>
              <w:rPr>
                <w:rFonts w:hint="default" w:ascii="Times New Roman" w:hAnsi="Times New Roman" w:eastAsia="黑体" w:cs="Times New Roman"/>
                <w:i w:val="0"/>
                <w:iCs w:val="0"/>
                <w:caps w:val="0"/>
                <w:spacing w:val="0"/>
                <w:sz w:val="21"/>
                <w:szCs w:val="21"/>
                <w:shd w:val="clear"/>
              </w:rPr>
              <w:t>新建、改建、扩建海岸工程建设项目，必须遵守国家有关建设项目环境保护管理的规定，并把防治污染所需资金纳入建设项目投资计划。</w:t>
            </w:r>
          </w:p>
        </w:tc>
        <w:tc>
          <w:tcPr>
            <w:tcW w:w="1058" w:type="pct"/>
            <w:noWrap w:val="0"/>
            <w:vAlign w:val="center"/>
          </w:tcPr>
          <w:p>
            <w:pPr>
              <w:pStyle w:val="17"/>
              <w:snapToGrid w:val="0"/>
              <w:spacing w:line="360" w:lineRule="exact"/>
              <w:jc w:val="left"/>
              <w:rPr>
                <w:rFonts w:ascii="Times New Roman" w:hAnsi="Times New Roman"/>
                <w:sz w:val="21"/>
                <w:szCs w:val="21"/>
              </w:rPr>
            </w:pPr>
            <w:r>
              <w:rPr>
                <w:rFonts w:ascii="Times New Roman" w:hAnsi="Times New Roman"/>
                <w:sz w:val="21"/>
                <w:szCs w:val="21"/>
              </w:rPr>
              <w:t>《中华人民共和国海洋环境保护法》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2" w:hRule="atLeast"/>
          <w:jc w:val="center"/>
        </w:trPr>
        <w:tc>
          <w:tcPr>
            <w:tcW w:w="270" w:type="pct"/>
            <w:vMerge w:val="continue"/>
            <w:noWrap w:val="0"/>
            <w:vAlign w:val="center"/>
          </w:tcPr>
          <w:p>
            <w:pPr>
              <w:pStyle w:val="17"/>
              <w:snapToGrid w:val="0"/>
              <w:spacing w:line="360" w:lineRule="exact"/>
              <w:rPr>
                <w:rFonts w:ascii="Times New Roman" w:hAnsi="Times New Roman"/>
                <w:sz w:val="21"/>
                <w:szCs w:val="21"/>
              </w:rPr>
            </w:pPr>
          </w:p>
        </w:tc>
        <w:tc>
          <w:tcPr>
            <w:tcW w:w="234" w:type="pct"/>
            <w:vMerge w:val="continue"/>
            <w:noWrap w:val="0"/>
            <w:vAlign w:val="center"/>
          </w:tcPr>
          <w:p>
            <w:pPr>
              <w:pStyle w:val="17"/>
              <w:snapToGrid w:val="0"/>
              <w:spacing w:line="360" w:lineRule="exact"/>
              <w:jc w:val="left"/>
              <w:rPr>
                <w:rFonts w:ascii="Times New Roman" w:hAnsi="Times New Roman"/>
                <w:sz w:val="21"/>
                <w:szCs w:val="21"/>
              </w:rPr>
            </w:pPr>
          </w:p>
        </w:tc>
        <w:tc>
          <w:tcPr>
            <w:tcW w:w="156" w:type="pct"/>
            <w:vMerge w:val="continue"/>
            <w:noWrap w:val="0"/>
            <w:vAlign w:val="center"/>
          </w:tcPr>
          <w:p>
            <w:pPr>
              <w:pStyle w:val="17"/>
              <w:snapToGrid w:val="0"/>
              <w:spacing w:line="360" w:lineRule="exact"/>
              <w:jc w:val="left"/>
              <w:rPr>
                <w:rFonts w:hint="eastAsia" w:ascii="Times New Roman" w:hAnsi="Times New Roman" w:eastAsia="黑体"/>
                <w:sz w:val="21"/>
                <w:szCs w:val="21"/>
                <w:lang w:val="en-US" w:eastAsia="zh-CN"/>
              </w:rPr>
            </w:pPr>
          </w:p>
        </w:tc>
        <w:tc>
          <w:tcPr>
            <w:tcW w:w="3281" w:type="pct"/>
            <w:noWrap w:val="0"/>
            <w:vAlign w:val="center"/>
          </w:tcPr>
          <w:p>
            <w:pPr>
              <w:pStyle w:val="17"/>
              <w:spacing w:line="240" w:lineRule="auto"/>
              <w:jc w:val="left"/>
              <w:rPr>
                <w:rFonts w:ascii="Times New Roman" w:hAnsi="Times New Roman"/>
                <w:sz w:val="21"/>
                <w:szCs w:val="21"/>
              </w:rPr>
            </w:pPr>
            <w:r>
              <w:rPr>
                <w:rFonts w:ascii="Times New Roman" w:hAnsi="Times New Roman"/>
                <w:sz w:val="21"/>
                <w:szCs w:val="21"/>
              </w:rPr>
              <w:t>禁止毁坏海岸防护设施、沿海防护林、沿海城镇园林和绿地。</w:t>
            </w:r>
          </w:p>
          <w:p>
            <w:pPr>
              <w:pStyle w:val="17"/>
              <w:snapToGrid w:val="0"/>
              <w:spacing w:line="360" w:lineRule="exact"/>
              <w:jc w:val="left"/>
              <w:rPr>
                <w:rFonts w:ascii="Times New Roman" w:hAnsi="Times New Roman"/>
                <w:sz w:val="21"/>
                <w:szCs w:val="21"/>
              </w:rPr>
            </w:pPr>
            <w:r>
              <w:rPr>
                <w:rFonts w:ascii="Times New Roman" w:hAnsi="Times New Roman"/>
                <w:sz w:val="21"/>
                <w:szCs w:val="21"/>
              </w:rPr>
              <w:t>禁止在沿海陆域内新建不具备有效治理措施的化学制浆造纸、化工、印染、制革、电镀、酿造、炼油、岸边冲滩拆船以及其他严重污染海洋环境的工业生产项目。</w:t>
            </w:r>
          </w:p>
        </w:tc>
        <w:tc>
          <w:tcPr>
            <w:tcW w:w="1058" w:type="pct"/>
            <w:noWrap w:val="0"/>
            <w:vAlign w:val="center"/>
          </w:tcPr>
          <w:p>
            <w:pPr>
              <w:pStyle w:val="17"/>
              <w:snapToGrid w:val="0"/>
              <w:spacing w:line="360" w:lineRule="exact"/>
              <w:jc w:val="left"/>
              <w:rPr>
                <w:rFonts w:ascii="Times New Roman" w:hAnsi="Times New Roman"/>
                <w:sz w:val="21"/>
                <w:szCs w:val="21"/>
              </w:rPr>
            </w:pPr>
            <w:r>
              <w:rPr>
                <w:rFonts w:ascii="Times New Roman" w:hAnsi="Times New Roman"/>
                <w:sz w:val="21"/>
                <w:szCs w:val="21"/>
              </w:rPr>
              <w:t>《中华人民共和国海洋环境保护法》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jc w:val="center"/>
        </w:trPr>
        <w:tc>
          <w:tcPr>
            <w:tcW w:w="270" w:type="pct"/>
            <w:vMerge w:val="continue"/>
            <w:noWrap w:val="0"/>
            <w:vAlign w:val="center"/>
          </w:tcPr>
          <w:p>
            <w:pPr>
              <w:pStyle w:val="17"/>
              <w:snapToGrid w:val="0"/>
              <w:spacing w:line="360" w:lineRule="exact"/>
              <w:rPr>
                <w:rFonts w:ascii="Times New Roman" w:hAnsi="Times New Roman"/>
                <w:sz w:val="21"/>
                <w:szCs w:val="21"/>
              </w:rPr>
            </w:pPr>
          </w:p>
        </w:tc>
        <w:tc>
          <w:tcPr>
            <w:tcW w:w="234" w:type="pct"/>
            <w:vMerge w:val="restart"/>
            <w:noWrap w:val="0"/>
            <w:vAlign w:val="center"/>
          </w:tcPr>
          <w:p>
            <w:pPr>
              <w:pStyle w:val="17"/>
              <w:snapToGrid w:val="0"/>
              <w:spacing w:line="360" w:lineRule="exact"/>
              <w:jc w:val="left"/>
              <w:rPr>
                <w:rFonts w:ascii="Times New Roman" w:hAnsi="Times New Roman"/>
                <w:sz w:val="21"/>
                <w:szCs w:val="21"/>
              </w:rPr>
            </w:pPr>
            <w:r>
              <w:rPr>
                <w:rFonts w:ascii="Times New Roman" w:hAnsi="Times New Roman"/>
                <w:sz w:val="21"/>
                <w:szCs w:val="21"/>
              </w:rPr>
              <w:t>限制类</w:t>
            </w:r>
          </w:p>
        </w:tc>
        <w:tc>
          <w:tcPr>
            <w:tcW w:w="156" w:type="pct"/>
            <w:noWrap w:val="0"/>
            <w:vAlign w:val="center"/>
          </w:tcPr>
          <w:p>
            <w:pPr>
              <w:pStyle w:val="17"/>
              <w:snapToGrid w:val="0"/>
              <w:spacing w:line="360" w:lineRule="exact"/>
              <w:jc w:val="left"/>
              <w:rPr>
                <w:rFonts w:ascii="Times New Roman" w:hAnsi="Times New Roman"/>
                <w:sz w:val="21"/>
                <w:szCs w:val="21"/>
              </w:rPr>
            </w:pPr>
            <w:r>
              <w:rPr>
                <w:rFonts w:ascii="Times New Roman" w:hAnsi="Times New Roman"/>
                <w:sz w:val="21"/>
                <w:szCs w:val="21"/>
              </w:rPr>
              <w:t>水</w:t>
            </w:r>
          </w:p>
        </w:tc>
        <w:tc>
          <w:tcPr>
            <w:tcW w:w="3281" w:type="pct"/>
            <w:noWrap w:val="0"/>
            <w:vAlign w:val="center"/>
          </w:tcPr>
          <w:p>
            <w:pPr>
              <w:pStyle w:val="17"/>
              <w:spacing w:line="240" w:lineRule="auto"/>
              <w:jc w:val="left"/>
              <w:rPr>
                <w:rFonts w:ascii="Times New Roman" w:hAnsi="Times New Roman"/>
                <w:sz w:val="21"/>
                <w:szCs w:val="21"/>
              </w:rPr>
            </w:pPr>
            <w:r>
              <w:rPr>
                <w:rFonts w:ascii="Times New Roman" w:hAnsi="Times New Roman"/>
                <w:sz w:val="21"/>
                <w:szCs w:val="21"/>
              </w:rPr>
              <w:t>化工投资项目原则上应在省政府认定的化工园区、专业化工园区和重点监控点内实施，并符合国土空间规划、产业发展规划等相关规划。</w:t>
            </w:r>
          </w:p>
          <w:p>
            <w:pPr>
              <w:pStyle w:val="17"/>
              <w:snapToGrid/>
              <w:spacing w:line="240" w:lineRule="auto"/>
              <w:jc w:val="left"/>
              <w:rPr>
                <w:rFonts w:ascii="Times New Roman" w:hAnsi="Times New Roman" w:eastAsia="黑体" w:cs="Times New Roman"/>
                <w:b w:val="0"/>
                <w:bCs/>
                <w:kern w:val="2"/>
                <w:sz w:val="21"/>
                <w:szCs w:val="21"/>
                <w:lang w:val="en-US" w:eastAsia="zh-CN" w:bidi="ar-SA"/>
              </w:rPr>
            </w:pPr>
            <w:r>
              <w:rPr>
                <w:rFonts w:ascii="Times New Roman" w:hAnsi="Times New Roman"/>
                <w:sz w:val="21"/>
                <w:szCs w:val="21"/>
              </w:rPr>
              <w:t>严格限制新建剧毒化学品项目，实现剧毒化学品生产企业只减不增。</w:t>
            </w:r>
          </w:p>
        </w:tc>
        <w:tc>
          <w:tcPr>
            <w:tcW w:w="1058" w:type="pct"/>
            <w:noWrap w:val="0"/>
            <w:vAlign w:val="center"/>
          </w:tcPr>
          <w:p>
            <w:pPr>
              <w:pStyle w:val="17"/>
              <w:snapToGrid w:val="0"/>
              <w:spacing w:line="360" w:lineRule="exact"/>
              <w:jc w:val="left"/>
              <w:rPr>
                <w:rFonts w:ascii="Times New Roman" w:hAnsi="Times New Roman" w:eastAsia="黑体" w:cs="Times New Roman"/>
                <w:b w:val="0"/>
                <w:bCs/>
                <w:kern w:val="2"/>
                <w:sz w:val="21"/>
                <w:szCs w:val="21"/>
                <w:lang w:val="en-US" w:eastAsia="zh-CN" w:bidi="ar-SA"/>
              </w:rPr>
            </w:pPr>
            <w:r>
              <w:rPr>
                <w:rFonts w:ascii="Times New Roman" w:hAnsi="Times New Roman"/>
                <w:sz w:val="21"/>
                <w:szCs w:val="21"/>
              </w:rPr>
              <w:t>《山东省化工投资项目管理规定》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0" w:type="pct"/>
            <w:vMerge w:val="continue"/>
            <w:noWrap w:val="0"/>
            <w:vAlign w:val="center"/>
          </w:tcPr>
          <w:p>
            <w:pPr>
              <w:pStyle w:val="17"/>
              <w:snapToGrid w:val="0"/>
              <w:spacing w:line="360" w:lineRule="exact"/>
              <w:rPr>
                <w:rFonts w:ascii="Times New Roman" w:hAnsi="Times New Roman"/>
                <w:sz w:val="21"/>
                <w:szCs w:val="21"/>
              </w:rPr>
            </w:pPr>
          </w:p>
        </w:tc>
        <w:tc>
          <w:tcPr>
            <w:tcW w:w="234" w:type="pct"/>
            <w:vMerge w:val="continue"/>
            <w:noWrap w:val="0"/>
            <w:vAlign w:val="center"/>
          </w:tcPr>
          <w:p>
            <w:pPr>
              <w:pStyle w:val="17"/>
              <w:snapToGrid w:val="0"/>
              <w:spacing w:line="360" w:lineRule="exact"/>
              <w:jc w:val="left"/>
              <w:rPr>
                <w:rFonts w:ascii="Times New Roman" w:hAnsi="Times New Roman"/>
                <w:sz w:val="21"/>
                <w:szCs w:val="21"/>
              </w:rPr>
            </w:pPr>
          </w:p>
        </w:tc>
        <w:tc>
          <w:tcPr>
            <w:tcW w:w="156" w:type="pct"/>
            <w:noWrap w:val="0"/>
            <w:vAlign w:val="center"/>
          </w:tcPr>
          <w:p>
            <w:pPr>
              <w:pStyle w:val="17"/>
              <w:snapToGrid w:val="0"/>
              <w:spacing w:line="360" w:lineRule="exact"/>
              <w:jc w:val="left"/>
              <w:rPr>
                <w:rFonts w:hint="eastAsia" w:ascii="Times New Roman" w:hAnsi="Times New Roman" w:eastAsia="黑体"/>
                <w:sz w:val="21"/>
                <w:szCs w:val="21"/>
                <w:lang w:eastAsia="zh-CN"/>
              </w:rPr>
            </w:pPr>
            <w:r>
              <w:rPr>
                <w:rFonts w:hint="eastAsia" w:ascii="Times New Roman" w:hAnsi="Times New Roman"/>
                <w:sz w:val="21"/>
                <w:szCs w:val="21"/>
                <w:lang w:val="en-US" w:eastAsia="zh-CN"/>
              </w:rPr>
              <w:t>海洋</w:t>
            </w:r>
          </w:p>
        </w:tc>
        <w:tc>
          <w:tcPr>
            <w:tcW w:w="3281" w:type="pct"/>
            <w:noWrap w:val="0"/>
            <w:vAlign w:val="center"/>
          </w:tcPr>
          <w:p>
            <w:pPr>
              <w:pStyle w:val="17"/>
              <w:snapToGrid w:val="0"/>
              <w:spacing w:line="360" w:lineRule="exact"/>
              <w:jc w:val="left"/>
              <w:rPr>
                <w:rFonts w:ascii="Times New Roman" w:hAnsi="Times New Roman" w:eastAsia="黑体" w:cs="Times New Roman"/>
                <w:b w:val="0"/>
                <w:bCs/>
                <w:kern w:val="2"/>
                <w:sz w:val="21"/>
                <w:szCs w:val="21"/>
                <w:lang w:val="en-US" w:eastAsia="zh-CN" w:bidi="ar-SA"/>
              </w:rPr>
            </w:pPr>
            <w:r>
              <w:rPr>
                <w:rFonts w:ascii="Times New Roman" w:hAnsi="Times New Roman"/>
                <w:sz w:val="21"/>
                <w:szCs w:val="21"/>
              </w:rPr>
              <w:t>开发海岛及周围海域的资源，应当采取严格的生态保护措施，不得造成海岛地形、岸滩、植被以及海岛周围海域生态环境的破坏。</w:t>
            </w:r>
          </w:p>
        </w:tc>
        <w:tc>
          <w:tcPr>
            <w:tcW w:w="1058" w:type="pct"/>
            <w:noWrap w:val="0"/>
            <w:vAlign w:val="center"/>
          </w:tcPr>
          <w:p>
            <w:pPr>
              <w:pStyle w:val="17"/>
              <w:snapToGrid w:val="0"/>
              <w:spacing w:line="360" w:lineRule="exact"/>
              <w:jc w:val="left"/>
              <w:rPr>
                <w:rFonts w:ascii="Times New Roman" w:hAnsi="Times New Roman" w:eastAsia="黑体" w:cs="Times New Roman"/>
                <w:b w:val="0"/>
                <w:bCs/>
                <w:kern w:val="2"/>
                <w:sz w:val="21"/>
                <w:szCs w:val="21"/>
                <w:lang w:val="en-US" w:eastAsia="zh-CN" w:bidi="ar-SA"/>
              </w:rPr>
            </w:pPr>
            <w:r>
              <w:rPr>
                <w:rFonts w:ascii="Times New Roman" w:hAnsi="Times New Roman"/>
                <w:sz w:val="21"/>
                <w:szCs w:val="21"/>
              </w:rPr>
              <w:t>《中华人民共和国水污染防治法》《中华人民共和国海洋环境保护法》</w:t>
            </w:r>
          </w:p>
        </w:tc>
      </w:tr>
    </w:tbl>
    <w:p>
      <w:pPr>
        <w:snapToGrid w:val="0"/>
        <w:spacing w:line="560" w:lineRule="exact"/>
        <w:rPr>
          <w:rFonts w:hint="eastAsia" w:ascii="仿宋_GB2312" w:hAnsi="仿宋_GB2312" w:eastAsia="仿宋_GB2312" w:cs="仿宋_GB2312"/>
          <w:szCs w:val="32"/>
          <w:lang w:val="en-US" w:eastAsia="zh-CN"/>
        </w:rPr>
      </w:pPr>
      <w:r>
        <w:rPr>
          <w:rFonts w:hint="eastAsia" w:ascii="仿宋_GB2312" w:hAnsi="仿宋_GB2312" w:eastAsia="仿宋_GB2312" w:cs="仿宋_GB2312"/>
          <w:b w:val="0"/>
          <w:szCs w:val="32"/>
          <w:lang w:val="en-US" w:eastAsia="zh-CN"/>
        </w:rPr>
        <w:t>修改为</w:t>
      </w:r>
    </w:p>
    <w:tbl>
      <w:tblPr>
        <w:tblStyle w:val="13"/>
        <w:tblW w:w="508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675"/>
        <w:gridCol w:w="450"/>
        <w:gridCol w:w="9452"/>
        <w:gridCol w:w="30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60" w:type="pct"/>
            <w:gridSpan w:val="3"/>
            <w:noWrap w:val="0"/>
            <w:vAlign w:val="center"/>
          </w:tcPr>
          <w:p>
            <w:pPr>
              <w:pStyle w:val="17"/>
              <w:snapToGrid w:val="0"/>
              <w:spacing w:line="360" w:lineRule="exact"/>
              <w:rPr>
                <w:rFonts w:ascii="Times New Roman" w:hAnsi="Times New Roman"/>
                <w:bCs w:val="0"/>
                <w:sz w:val="21"/>
                <w:szCs w:val="21"/>
              </w:rPr>
            </w:pPr>
            <w:r>
              <w:rPr>
                <w:rFonts w:ascii="Times New Roman" w:hAnsi="Times New Roman"/>
                <w:bCs w:val="0"/>
                <w:sz w:val="21"/>
                <w:szCs w:val="21"/>
              </w:rPr>
              <w:t>管控类型</w:t>
            </w:r>
          </w:p>
        </w:tc>
        <w:tc>
          <w:tcPr>
            <w:tcW w:w="3281" w:type="pct"/>
            <w:noWrap w:val="0"/>
            <w:vAlign w:val="center"/>
          </w:tcPr>
          <w:p>
            <w:pPr>
              <w:pStyle w:val="17"/>
              <w:snapToGrid w:val="0"/>
              <w:spacing w:line="360" w:lineRule="exact"/>
              <w:rPr>
                <w:rFonts w:ascii="Times New Roman" w:hAnsi="Times New Roman"/>
                <w:bCs w:val="0"/>
                <w:sz w:val="21"/>
                <w:szCs w:val="21"/>
              </w:rPr>
            </w:pPr>
            <w:r>
              <w:rPr>
                <w:rFonts w:ascii="Times New Roman" w:hAnsi="Times New Roman"/>
                <w:bCs w:val="0"/>
                <w:sz w:val="21"/>
                <w:szCs w:val="21"/>
              </w:rPr>
              <w:t>管控要求</w:t>
            </w:r>
          </w:p>
        </w:tc>
        <w:tc>
          <w:tcPr>
            <w:tcW w:w="1058" w:type="pct"/>
            <w:noWrap w:val="0"/>
            <w:vAlign w:val="center"/>
          </w:tcPr>
          <w:p>
            <w:pPr>
              <w:pStyle w:val="17"/>
              <w:snapToGrid w:val="0"/>
              <w:spacing w:line="360" w:lineRule="exact"/>
              <w:rPr>
                <w:rFonts w:ascii="Times New Roman" w:hAnsi="Times New Roman"/>
                <w:bCs w:val="0"/>
                <w:sz w:val="21"/>
                <w:szCs w:val="21"/>
              </w:rPr>
            </w:pPr>
            <w:r>
              <w:rPr>
                <w:rFonts w:ascii="Times New Roman" w:hAnsi="Times New Roman"/>
                <w:bCs w:val="0"/>
                <w:sz w:val="21"/>
                <w:szCs w:val="21"/>
              </w:rPr>
              <w:t>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6" w:hRule="atLeast"/>
          <w:jc w:val="center"/>
        </w:trPr>
        <w:tc>
          <w:tcPr>
            <w:tcW w:w="270" w:type="pct"/>
            <w:vMerge w:val="restart"/>
            <w:noWrap w:val="0"/>
            <w:vAlign w:val="center"/>
          </w:tcPr>
          <w:p>
            <w:pPr>
              <w:pStyle w:val="17"/>
              <w:snapToGrid w:val="0"/>
              <w:spacing w:line="360" w:lineRule="exact"/>
              <w:rPr>
                <w:rFonts w:ascii="Times New Roman" w:hAnsi="Times New Roman"/>
                <w:sz w:val="21"/>
                <w:szCs w:val="21"/>
              </w:rPr>
            </w:pPr>
            <w:r>
              <w:rPr>
                <w:rFonts w:ascii="Times New Roman" w:hAnsi="Times New Roman"/>
                <w:sz w:val="21"/>
                <w:szCs w:val="21"/>
              </w:rPr>
              <w:t>空间布局约束</w:t>
            </w:r>
          </w:p>
        </w:tc>
        <w:tc>
          <w:tcPr>
            <w:tcW w:w="234" w:type="pct"/>
            <w:vMerge w:val="restart"/>
            <w:noWrap w:val="0"/>
            <w:vAlign w:val="center"/>
          </w:tcPr>
          <w:p>
            <w:pPr>
              <w:pStyle w:val="17"/>
              <w:snapToGrid w:val="0"/>
              <w:spacing w:line="360" w:lineRule="exact"/>
              <w:jc w:val="left"/>
              <w:rPr>
                <w:rFonts w:ascii="Times New Roman" w:hAnsi="Times New Roman"/>
                <w:sz w:val="21"/>
                <w:szCs w:val="21"/>
              </w:rPr>
            </w:pPr>
            <w:r>
              <w:rPr>
                <w:rFonts w:ascii="Times New Roman" w:hAnsi="Times New Roman"/>
                <w:sz w:val="21"/>
                <w:szCs w:val="21"/>
              </w:rPr>
              <w:t>禁止类</w:t>
            </w:r>
          </w:p>
        </w:tc>
        <w:tc>
          <w:tcPr>
            <w:tcW w:w="156" w:type="pct"/>
            <w:vMerge w:val="restart"/>
            <w:noWrap w:val="0"/>
            <w:vAlign w:val="center"/>
          </w:tcPr>
          <w:p>
            <w:pPr>
              <w:pStyle w:val="17"/>
              <w:snapToGrid w:val="0"/>
              <w:spacing w:line="360" w:lineRule="exact"/>
              <w:jc w:val="left"/>
              <w:rPr>
                <w:rFonts w:hint="eastAsia" w:ascii="Times New Roman" w:hAnsi="Times New Roman" w:eastAsia="黑体"/>
                <w:sz w:val="21"/>
                <w:szCs w:val="21"/>
                <w:lang w:val="en-US" w:eastAsia="zh-CN"/>
              </w:rPr>
            </w:pPr>
            <w:r>
              <w:rPr>
                <w:rFonts w:hint="eastAsia" w:ascii="Times New Roman" w:hAnsi="Times New Roman"/>
                <w:sz w:val="21"/>
                <w:szCs w:val="21"/>
                <w:lang w:val="en-US" w:eastAsia="zh-CN"/>
              </w:rPr>
              <w:t>海洋</w:t>
            </w:r>
          </w:p>
        </w:tc>
        <w:tc>
          <w:tcPr>
            <w:tcW w:w="3281" w:type="pct"/>
            <w:noWrap w:val="0"/>
            <w:vAlign w:val="center"/>
          </w:tcPr>
          <w:p>
            <w:pPr>
              <w:pStyle w:val="17"/>
              <w:snapToGrid w:val="0"/>
              <w:spacing w:line="360" w:lineRule="exact"/>
              <w:jc w:val="left"/>
              <w:rPr>
                <w:rFonts w:hint="eastAsia" w:ascii="Times New Roman" w:hAnsi="Times New Roman"/>
                <w:color w:val="auto"/>
                <w:sz w:val="21"/>
                <w:szCs w:val="21"/>
              </w:rPr>
            </w:pPr>
            <w:r>
              <w:rPr>
                <w:rFonts w:hint="default" w:ascii="Times New Roman" w:hAnsi="Times New Roman" w:eastAsia="黑体" w:cs="Times New Roman"/>
                <w:i w:val="0"/>
                <w:iCs w:val="0"/>
                <w:caps w:val="0"/>
                <w:spacing w:val="0"/>
                <w:sz w:val="21"/>
                <w:szCs w:val="21"/>
                <w:shd w:val="clear"/>
              </w:rPr>
              <w:t>新建、改建、扩建工程建设项目，应当遵守国家有关建设项目环境保护管理的规定，并把污染防治和生态保护所需资金纳入建设项目投资计划。</w:t>
            </w:r>
          </w:p>
        </w:tc>
        <w:tc>
          <w:tcPr>
            <w:tcW w:w="1058" w:type="pct"/>
            <w:noWrap w:val="0"/>
            <w:vAlign w:val="center"/>
          </w:tcPr>
          <w:p>
            <w:pPr>
              <w:pStyle w:val="17"/>
              <w:snapToGrid w:val="0"/>
              <w:spacing w:line="360" w:lineRule="exact"/>
              <w:jc w:val="left"/>
              <w:rPr>
                <w:rFonts w:ascii="Times New Roman" w:hAnsi="Times New Roman"/>
                <w:sz w:val="21"/>
                <w:szCs w:val="21"/>
              </w:rPr>
            </w:pPr>
            <w:r>
              <w:rPr>
                <w:rFonts w:ascii="Times New Roman" w:hAnsi="Times New Roman"/>
                <w:sz w:val="21"/>
                <w:szCs w:val="21"/>
              </w:rPr>
              <w:t>《中华人民共和国海洋环境保护法》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0" w:hRule="atLeast"/>
          <w:jc w:val="center"/>
        </w:trPr>
        <w:tc>
          <w:tcPr>
            <w:tcW w:w="270" w:type="pct"/>
            <w:vMerge w:val="continue"/>
            <w:noWrap w:val="0"/>
            <w:vAlign w:val="center"/>
          </w:tcPr>
          <w:p>
            <w:pPr>
              <w:pStyle w:val="17"/>
              <w:snapToGrid w:val="0"/>
              <w:spacing w:line="360" w:lineRule="exact"/>
              <w:rPr>
                <w:rFonts w:ascii="Times New Roman" w:hAnsi="Times New Roman"/>
                <w:sz w:val="21"/>
                <w:szCs w:val="21"/>
              </w:rPr>
            </w:pPr>
          </w:p>
        </w:tc>
        <w:tc>
          <w:tcPr>
            <w:tcW w:w="234" w:type="pct"/>
            <w:vMerge w:val="continue"/>
            <w:noWrap w:val="0"/>
            <w:vAlign w:val="center"/>
          </w:tcPr>
          <w:p>
            <w:pPr>
              <w:pStyle w:val="17"/>
              <w:snapToGrid w:val="0"/>
              <w:spacing w:line="360" w:lineRule="exact"/>
              <w:jc w:val="left"/>
              <w:rPr>
                <w:rFonts w:ascii="Times New Roman" w:hAnsi="Times New Roman"/>
                <w:sz w:val="21"/>
                <w:szCs w:val="21"/>
              </w:rPr>
            </w:pPr>
          </w:p>
        </w:tc>
        <w:tc>
          <w:tcPr>
            <w:tcW w:w="156" w:type="pct"/>
            <w:vMerge w:val="continue"/>
            <w:noWrap w:val="0"/>
            <w:vAlign w:val="center"/>
          </w:tcPr>
          <w:p>
            <w:pPr>
              <w:pStyle w:val="17"/>
              <w:snapToGrid w:val="0"/>
              <w:spacing w:line="360" w:lineRule="exact"/>
              <w:jc w:val="left"/>
              <w:rPr>
                <w:rFonts w:hint="eastAsia" w:ascii="Times New Roman" w:hAnsi="Times New Roman" w:eastAsia="黑体"/>
                <w:sz w:val="21"/>
                <w:szCs w:val="21"/>
                <w:lang w:val="en-US" w:eastAsia="zh-CN"/>
              </w:rPr>
            </w:pPr>
          </w:p>
        </w:tc>
        <w:tc>
          <w:tcPr>
            <w:tcW w:w="3281" w:type="pct"/>
            <w:noWrap w:val="0"/>
            <w:vAlign w:val="center"/>
          </w:tcPr>
          <w:p>
            <w:pPr>
              <w:pStyle w:val="17"/>
              <w:spacing w:line="240" w:lineRule="auto"/>
              <w:jc w:val="left"/>
              <w:rPr>
                <w:rFonts w:ascii="Times New Roman" w:hAnsi="Times New Roman"/>
                <w:sz w:val="21"/>
                <w:szCs w:val="21"/>
              </w:rPr>
            </w:pPr>
            <w:r>
              <w:rPr>
                <w:rFonts w:ascii="Times New Roman" w:hAnsi="Times New Roman"/>
                <w:sz w:val="21"/>
                <w:szCs w:val="21"/>
              </w:rPr>
              <w:t>禁止毁坏海岸防护设施、沿海防护林、沿海城镇园林和绿地。</w:t>
            </w:r>
          </w:p>
          <w:p>
            <w:pPr>
              <w:pStyle w:val="17"/>
              <w:snapToGrid w:val="0"/>
              <w:spacing w:line="360" w:lineRule="exact"/>
              <w:jc w:val="left"/>
              <w:rPr>
                <w:rFonts w:ascii="Times New Roman" w:hAnsi="Times New Roman"/>
                <w:sz w:val="21"/>
                <w:szCs w:val="21"/>
              </w:rPr>
            </w:pPr>
            <w:r>
              <w:rPr>
                <w:rFonts w:hint="eastAsia" w:ascii="Times New Roman" w:hAnsi="Times New Roman"/>
                <w:color w:val="auto"/>
                <w:sz w:val="21"/>
                <w:szCs w:val="21"/>
              </w:rPr>
              <w:t>禁止在沿海陆域新建不符合国家产业政策的化学制浆造纸、化工、印染、制革、电镀、酿造、炼油、岸边冲滩拆船及其他严重污染海洋环境的生产项目。</w:t>
            </w:r>
          </w:p>
        </w:tc>
        <w:tc>
          <w:tcPr>
            <w:tcW w:w="1058" w:type="pct"/>
            <w:noWrap w:val="0"/>
            <w:vAlign w:val="center"/>
          </w:tcPr>
          <w:p>
            <w:pPr>
              <w:pStyle w:val="17"/>
              <w:snapToGrid w:val="0"/>
              <w:spacing w:line="360" w:lineRule="exact"/>
              <w:jc w:val="left"/>
              <w:rPr>
                <w:rFonts w:ascii="Times New Roman" w:hAnsi="Times New Roman"/>
                <w:sz w:val="21"/>
                <w:szCs w:val="21"/>
              </w:rPr>
            </w:pPr>
            <w:r>
              <w:rPr>
                <w:rFonts w:ascii="Times New Roman" w:hAnsi="Times New Roman"/>
                <w:sz w:val="21"/>
                <w:szCs w:val="21"/>
              </w:rPr>
              <w:t>《中华人民共和国海洋环境保护法》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270" w:type="pct"/>
            <w:vMerge w:val="continue"/>
            <w:noWrap w:val="0"/>
            <w:vAlign w:val="center"/>
          </w:tcPr>
          <w:p>
            <w:pPr>
              <w:pStyle w:val="17"/>
              <w:snapToGrid w:val="0"/>
              <w:spacing w:line="360" w:lineRule="exact"/>
              <w:rPr>
                <w:rFonts w:ascii="Times New Roman" w:hAnsi="Times New Roman"/>
                <w:sz w:val="21"/>
                <w:szCs w:val="21"/>
              </w:rPr>
            </w:pPr>
          </w:p>
        </w:tc>
        <w:tc>
          <w:tcPr>
            <w:tcW w:w="234" w:type="pct"/>
            <w:vMerge w:val="restart"/>
            <w:noWrap w:val="0"/>
            <w:vAlign w:val="center"/>
          </w:tcPr>
          <w:p>
            <w:pPr>
              <w:pStyle w:val="17"/>
              <w:snapToGrid w:val="0"/>
              <w:spacing w:line="360" w:lineRule="exact"/>
              <w:jc w:val="left"/>
              <w:rPr>
                <w:rFonts w:ascii="Times New Roman" w:hAnsi="Times New Roman"/>
                <w:sz w:val="21"/>
                <w:szCs w:val="21"/>
              </w:rPr>
            </w:pPr>
            <w:r>
              <w:rPr>
                <w:rFonts w:ascii="Times New Roman" w:hAnsi="Times New Roman"/>
                <w:sz w:val="21"/>
                <w:szCs w:val="21"/>
              </w:rPr>
              <w:t>限制类</w:t>
            </w:r>
          </w:p>
        </w:tc>
        <w:tc>
          <w:tcPr>
            <w:tcW w:w="156" w:type="pct"/>
            <w:noWrap w:val="0"/>
            <w:vAlign w:val="center"/>
          </w:tcPr>
          <w:p>
            <w:pPr>
              <w:pStyle w:val="17"/>
              <w:snapToGrid w:val="0"/>
              <w:spacing w:line="360" w:lineRule="exact"/>
              <w:jc w:val="left"/>
              <w:rPr>
                <w:rFonts w:ascii="Times New Roman" w:hAnsi="Times New Roman"/>
                <w:sz w:val="21"/>
                <w:szCs w:val="21"/>
              </w:rPr>
            </w:pPr>
            <w:r>
              <w:rPr>
                <w:rFonts w:ascii="Times New Roman" w:hAnsi="Times New Roman"/>
                <w:sz w:val="21"/>
                <w:szCs w:val="21"/>
              </w:rPr>
              <w:t>水</w:t>
            </w:r>
          </w:p>
        </w:tc>
        <w:tc>
          <w:tcPr>
            <w:tcW w:w="3281" w:type="pct"/>
            <w:noWrap w:val="0"/>
            <w:vAlign w:val="center"/>
          </w:tcPr>
          <w:p>
            <w:pPr>
              <w:pStyle w:val="17"/>
              <w:spacing w:line="240" w:lineRule="auto"/>
              <w:jc w:val="left"/>
              <w:rPr>
                <w:rFonts w:ascii="Times New Roman" w:hAnsi="Times New Roman"/>
                <w:sz w:val="21"/>
                <w:szCs w:val="21"/>
              </w:rPr>
            </w:pPr>
            <w:r>
              <w:rPr>
                <w:rFonts w:ascii="Times New Roman" w:hAnsi="Times New Roman"/>
                <w:sz w:val="21"/>
                <w:szCs w:val="21"/>
              </w:rPr>
              <w:t>化工投资项目原则上应在省政府认定的化工园区、专业化工园区和重点监控点内实施，并符合国土空间规划、产业发展规划等相关规划。</w:t>
            </w:r>
          </w:p>
          <w:p>
            <w:pPr>
              <w:pStyle w:val="17"/>
              <w:snapToGrid w:val="0"/>
              <w:spacing w:line="360" w:lineRule="exact"/>
              <w:jc w:val="left"/>
              <w:rPr>
                <w:rFonts w:hint="eastAsia" w:ascii="Times New Roman" w:hAnsi="Times New Roman" w:eastAsia="微软雅黑" w:cs="Times New Roman"/>
                <w:b w:val="0"/>
                <w:bCs/>
                <w:kern w:val="2"/>
                <w:sz w:val="21"/>
                <w:szCs w:val="21"/>
                <w:lang w:val="en-US" w:eastAsia="zh-CN" w:bidi="ar-SA"/>
              </w:rPr>
            </w:pPr>
            <w:r>
              <w:rPr>
                <w:rFonts w:ascii="Times New Roman" w:hAnsi="Times New Roman"/>
                <w:sz w:val="21"/>
                <w:szCs w:val="21"/>
              </w:rPr>
              <w:t>严格限制新建剧毒化学品项目，原则上剧毒化学品生产企业只减不增</w:t>
            </w:r>
            <w:r>
              <w:rPr>
                <w:rFonts w:hint="eastAsia" w:ascii="Times New Roman" w:hAnsi="Times New Roman"/>
                <w:sz w:val="21"/>
                <w:szCs w:val="21"/>
                <w:lang w:eastAsia="zh-CN"/>
              </w:rPr>
              <w:t>。</w:t>
            </w:r>
          </w:p>
        </w:tc>
        <w:tc>
          <w:tcPr>
            <w:tcW w:w="1058" w:type="pct"/>
            <w:noWrap w:val="0"/>
            <w:vAlign w:val="center"/>
          </w:tcPr>
          <w:p>
            <w:pPr>
              <w:pStyle w:val="17"/>
              <w:snapToGrid w:val="0"/>
              <w:spacing w:line="360" w:lineRule="exact"/>
              <w:jc w:val="left"/>
              <w:rPr>
                <w:rFonts w:ascii="Times New Roman" w:hAnsi="Times New Roman" w:eastAsia="黑体" w:cs="Times New Roman"/>
                <w:b w:val="0"/>
                <w:bCs/>
                <w:kern w:val="2"/>
                <w:sz w:val="21"/>
                <w:szCs w:val="21"/>
                <w:lang w:val="en-US" w:eastAsia="zh-CN" w:bidi="ar-SA"/>
              </w:rPr>
            </w:pPr>
            <w:r>
              <w:rPr>
                <w:rFonts w:ascii="Times New Roman" w:hAnsi="Times New Roman"/>
                <w:sz w:val="21"/>
                <w:szCs w:val="21"/>
              </w:rPr>
              <w:t>《</w:t>
            </w:r>
            <w:r>
              <w:rPr>
                <w:rFonts w:hint="eastAsia" w:ascii="Times New Roman" w:hAnsi="Times New Roman"/>
                <w:sz w:val="21"/>
                <w:szCs w:val="21"/>
              </w:rPr>
              <w:t>山东省化工行业投资项目管理规定</w:t>
            </w:r>
            <w:r>
              <w:rPr>
                <w:rFonts w:ascii="Times New Roman" w:hAnsi="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270" w:type="pct"/>
            <w:vMerge w:val="continue"/>
            <w:noWrap w:val="0"/>
            <w:vAlign w:val="center"/>
          </w:tcPr>
          <w:p>
            <w:pPr>
              <w:pStyle w:val="17"/>
              <w:snapToGrid w:val="0"/>
              <w:spacing w:line="360" w:lineRule="exact"/>
              <w:rPr>
                <w:rFonts w:ascii="Times New Roman" w:hAnsi="Times New Roman"/>
                <w:sz w:val="21"/>
                <w:szCs w:val="21"/>
              </w:rPr>
            </w:pPr>
          </w:p>
        </w:tc>
        <w:tc>
          <w:tcPr>
            <w:tcW w:w="234" w:type="pct"/>
            <w:vMerge w:val="continue"/>
            <w:noWrap w:val="0"/>
            <w:vAlign w:val="center"/>
          </w:tcPr>
          <w:p>
            <w:pPr>
              <w:pStyle w:val="17"/>
              <w:snapToGrid w:val="0"/>
              <w:spacing w:line="360" w:lineRule="exact"/>
              <w:jc w:val="left"/>
              <w:rPr>
                <w:rFonts w:ascii="Times New Roman" w:hAnsi="Times New Roman"/>
                <w:sz w:val="21"/>
                <w:szCs w:val="21"/>
              </w:rPr>
            </w:pPr>
          </w:p>
        </w:tc>
        <w:tc>
          <w:tcPr>
            <w:tcW w:w="156" w:type="pct"/>
            <w:noWrap w:val="0"/>
            <w:vAlign w:val="center"/>
          </w:tcPr>
          <w:p>
            <w:pPr>
              <w:pStyle w:val="17"/>
              <w:snapToGrid w:val="0"/>
              <w:spacing w:line="360" w:lineRule="exact"/>
              <w:jc w:val="left"/>
              <w:rPr>
                <w:rFonts w:hint="eastAsia" w:ascii="Times New Roman" w:hAnsi="Times New Roman" w:eastAsia="黑体"/>
                <w:sz w:val="21"/>
                <w:szCs w:val="21"/>
                <w:lang w:eastAsia="zh-CN"/>
              </w:rPr>
            </w:pPr>
            <w:r>
              <w:rPr>
                <w:rFonts w:hint="eastAsia" w:ascii="Times New Roman" w:hAnsi="Times New Roman"/>
                <w:sz w:val="21"/>
                <w:szCs w:val="21"/>
                <w:lang w:val="en-US" w:eastAsia="zh-CN"/>
              </w:rPr>
              <w:t>海洋</w:t>
            </w:r>
          </w:p>
        </w:tc>
        <w:tc>
          <w:tcPr>
            <w:tcW w:w="3281" w:type="pct"/>
            <w:noWrap w:val="0"/>
            <w:vAlign w:val="center"/>
          </w:tcPr>
          <w:p>
            <w:pPr>
              <w:pStyle w:val="17"/>
              <w:snapToGrid w:val="0"/>
              <w:spacing w:line="360" w:lineRule="exact"/>
              <w:jc w:val="left"/>
              <w:rPr>
                <w:rFonts w:ascii="Times New Roman" w:hAnsi="Times New Roman" w:eastAsia="黑体" w:cs="Times New Roman"/>
                <w:b w:val="0"/>
                <w:bCs/>
                <w:kern w:val="2"/>
                <w:sz w:val="21"/>
                <w:szCs w:val="21"/>
                <w:lang w:val="en-US" w:eastAsia="zh-CN" w:bidi="ar-SA"/>
              </w:rPr>
            </w:pPr>
            <w:r>
              <w:rPr>
                <w:rFonts w:hint="eastAsia" w:ascii="Times New Roman" w:hAnsi="Times New Roman"/>
                <w:sz w:val="21"/>
                <w:szCs w:val="21"/>
              </w:rPr>
              <w:t>开发海岛及周围海域的资源，应当采取严格的生态保护措施，不得造成海岛地形、岸滩、植被和海岛周围海域生态环境的损害。</w:t>
            </w:r>
          </w:p>
        </w:tc>
        <w:tc>
          <w:tcPr>
            <w:tcW w:w="1058" w:type="pct"/>
            <w:noWrap w:val="0"/>
            <w:vAlign w:val="center"/>
          </w:tcPr>
          <w:p>
            <w:pPr>
              <w:pStyle w:val="17"/>
              <w:snapToGrid w:val="0"/>
              <w:spacing w:line="360" w:lineRule="exact"/>
              <w:jc w:val="left"/>
              <w:rPr>
                <w:rFonts w:ascii="Times New Roman" w:hAnsi="Times New Roman" w:eastAsia="黑体" w:cs="Times New Roman"/>
                <w:b w:val="0"/>
                <w:bCs/>
                <w:kern w:val="2"/>
                <w:sz w:val="21"/>
                <w:szCs w:val="21"/>
                <w:lang w:val="en-US" w:eastAsia="zh-CN" w:bidi="ar-SA"/>
              </w:rPr>
            </w:pPr>
            <w:r>
              <w:rPr>
                <w:rFonts w:ascii="Times New Roman" w:hAnsi="Times New Roman"/>
                <w:sz w:val="21"/>
                <w:szCs w:val="21"/>
              </w:rPr>
              <w:t>《中华人民共和国水污染防治法》《中华人民共和国海洋环境保护法》</w:t>
            </w:r>
          </w:p>
        </w:tc>
      </w:tr>
    </w:tbl>
    <w:p>
      <w:pPr>
        <w:rPr>
          <w:rFonts w:hint="default"/>
          <w:lang w:val="en-US" w:eastAsia="zh-CN"/>
        </w:rPr>
      </w:pPr>
      <w:r>
        <w:rPr>
          <w:rFonts w:hint="default"/>
          <w:lang w:val="en-US" w:eastAsia="zh-CN"/>
        </w:rPr>
        <w:br w:type="page"/>
      </w:r>
    </w:p>
    <w:p>
      <w:pPr>
        <w:numPr>
          <w:ilvl w:val="-1"/>
          <w:numId w:val="0"/>
        </w:numPr>
        <w:snapToGrid w:val="0"/>
        <w:spacing w:line="560" w:lineRule="exact"/>
        <w:jc w:val="left"/>
        <w:rPr>
          <w:rFonts w:hint="eastAsia" w:ascii="黑体" w:hAnsi="黑体" w:eastAsia="黑体" w:cs="黑体"/>
          <w:kern w:val="2"/>
          <w:sz w:val="32"/>
          <w:szCs w:val="32"/>
          <w:lang w:val="en-US" w:eastAsia="zh-CN" w:bidi="ar-SA"/>
        </w:rPr>
      </w:pPr>
    </w:p>
    <w:p>
      <w:pPr>
        <w:jc w:val="center"/>
        <w:rPr>
          <w:rFonts w:ascii="Times New Roman" w:hAnsi="Times New Roman" w:eastAsia="黑体" w:cs="Times New Roman"/>
          <w:sz w:val="32"/>
          <w:szCs w:val="32"/>
        </w:rPr>
      </w:pPr>
    </w:p>
    <w:p>
      <w:pPr>
        <w:snapToGrid w:val="0"/>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青岛市环境管控单元生态环境准入清单</w:t>
      </w:r>
    </w:p>
    <w:p>
      <w:pPr>
        <w:jc w:val="center"/>
        <w:rPr>
          <w:rFonts w:ascii="Times New Roman" w:hAnsi="Times New Roman" w:eastAsia="黑体" w:cs="Times New Roman"/>
          <w:sz w:val="36"/>
          <w:szCs w:val="36"/>
        </w:rPr>
      </w:pPr>
      <w:r>
        <w:rPr>
          <w:rFonts w:ascii="Times New Roman" w:hAnsi="Times New Roman" w:eastAsia="黑体" w:cs="Times New Roman"/>
          <w:sz w:val="36"/>
          <w:szCs w:val="36"/>
        </w:rPr>
        <w:t>（</w:t>
      </w:r>
      <w:r>
        <w:rPr>
          <w:rFonts w:ascii="Times New Roman" w:hAnsi="Times New Roman" w:eastAsia="楷体" w:cs="Times New Roman"/>
          <w:sz w:val="36"/>
          <w:szCs w:val="36"/>
        </w:rPr>
        <w:t>202</w:t>
      </w:r>
      <w:r>
        <w:rPr>
          <w:rFonts w:hint="eastAsia" w:ascii="Times New Roman" w:hAnsi="Times New Roman" w:eastAsia="楷体" w:cs="Times New Roman"/>
          <w:sz w:val="36"/>
          <w:szCs w:val="36"/>
          <w:lang w:val="en-US" w:eastAsia="zh-CN"/>
        </w:rPr>
        <w:t>4</w:t>
      </w:r>
      <w:r>
        <w:rPr>
          <w:rFonts w:ascii="Times New Roman" w:hAnsi="Times New Roman" w:eastAsia="楷体" w:cs="Times New Roman"/>
          <w:sz w:val="36"/>
          <w:szCs w:val="36"/>
        </w:rPr>
        <w:t>年版</w:t>
      </w:r>
      <w:r>
        <w:rPr>
          <w:rFonts w:ascii="Times New Roman" w:hAnsi="Times New Roman" w:eastAsia="黑体" w:cs="Times New Roman"/>
          <w:sz w:val="36"/>
          <w:szCs w:val="36"/>
        </w:rPr>
        <w:t>）</w:t>
      </w:r>
    </w:p>
    <w:p>
      <w:pPr>
        <w:jc w:val="center"/>
        <w:rPr>
          <w:rFonts w:ascii="Times New Roman" w:hAnsi="Times New Roman" w:eastAsia="楷体" w:cs="Times New Roman"/>
          <w:sz w:val="36"/>
          <w:szCs w:val="36"/>
        </w:rPr>
        <w:sectPr>
          <w:pgSz w:w="16838" w:h="11906" w:orient="landscape"/>
          <w:pgMar w:top="1800" w:right="1440" w:bottom="1800" w:left="1440" w:header="851" w:footer="992" w:gutter="0"/>
          <w:cols w:space="720" w:num="1"/>
          <w:docGrid w:type="lines" w:linePitch="312" w:charSpace="0"/>
        </w:sectPr>
      </w:pPr>
    </w:p>
    <w:p>
      <w:pPr>
        <w:jc w:val="center"/>
        <w:rPr>
          <w:rFonts w:ascii="Times New Roman" w:hAnsi="Times New Roman" w:eastAsia="黑体" w:cs="Times New Roman"/>
          <w:sz w:val="32"/>
          <w:szCs w:val="32"/>
        </w:rPr>
      </w:pPr>
      <w:r>
        <w:rPr>
          <w:rFonts w:ascii="Times New Roman" w:hAnsi="Times New Roman" w:eastAsia="黑体" w:cs="Times New Roman"/>
          <w:sz w:val="32"/>
          <w:szCs w:val="32"/>
        </w:rPr>
        <w:t>目  录</w:t>
      </w:r>
    </w:p>
    <w:p>
      <w:pPr>
        <w:pStyle w:val="8"/>
        <w:tabs>
          <w:tab w:val="right" w:leader="dot" w:pos="13948"/>
        </w:tabs>
        <w:spacing w:line="360" w:lineRule="auto"/>
        <w:rPr>
          <w:rFonts w:ascii="Times New Roman" w:hAnsi="Times New Roman" w:cs="Times New Roman"/>
          <w:sz w:val="24"/>
          <w:szCs w:val="24"/>
        </w:rPr>
      </w:pPr>
      <w:r>
        <w:rPr>
          <w:rFonts w:ascii="Times New Roman" w:hAnsi="Times New Roman" w:eastAsia="仿宋_GB2312" w:cs="Times New Roman"/>
          <w:sz w:val="24"/>
          <w:szCs w:val="24"/>
        </w:rPr>
        <w:fldChar w:fldCharType="begin"/>
      </w:r>
      <w:r>
        <w:rPr>
          <w:rFonts w:ascii="Times New Roman" w:hAnsi="Times New Roman" w:eastAsia="仿宋_GB2312" w:cs="Times New Roman"/>
          <w:sz w:val="24"/>
          <w:szCs w:val="24"/>
        </w:rPr>
        <w:instrText xml:space="preserve">TOC \o "1-2" \h \u </w:instrText>
      </w:r>
      <w:r>
        <w:rPr>
          <w:rFonts w:ascii="Times New Roman" w:hAnsi="Times New Roman" w:eastAsia="仿宋_GB2312" w:cs="Times New Roman"/>
          <w:sz w:val="24"/>
          <w:szCs w:val="24"/>
        </w:rPr>
        <w:fldChar w:fldCharType="separate"/>
      </w:r>
      <w:r>
        <w:fldChar w:fldCharType="begin"/>
      </w:r>
      <w:r>
        <w:instrText xml:space="preserve"> HYPERLINK \l "_Toc137761102" </w:instrText>
      </w:r>
      <w:r>
        <w:fldChar w:fldCharType="separate"/>
      </w:r>
      <w:r>
        <w:rPr>
          <w:rStyle w:val="16"/>
          <w:rFonts w:ascii="Times New Roman" w:hAnsi="Times New Roman" w:eastAsia="黑体" w:cs="Times New Roman"/>
          <w:b/>
          <w:kern w:val="44"/>
          <w:sz w:val="24"/>
          <w:szCs w:val="24"/>
        </w:rPr>
        <w:t>一、使用说明</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_Toc137761102 \h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8"/>
        <w:tabs>
          <w:tab w:val="right" w:leader="dot" w:pos="13948"/>
        </w:tabs>
        <w:spacing w:line="360" w:lineRule="auto"/>
        <w:rPr>
          <w:rFonts w:ascii="Times New Roman" w:hAnsi="Times New Roman" w:cs="Times New Roman"/>
          <w:sz w:val="24"/>
          <w:szCs w:val="24"/>
        </w:rPr>
      </w:pPr>
      <w:r>
        <w:fldChar w:fldCharType="begin"/>
      </w:r>
      <w:r>
        <w:instrText xml:space="preserve"> HYPERLINK \l "_Toc137761103" </w:instrText>
      </w:r>
      <w:r>
        <w:fldChar w:fldCharType="separate"/>
      </w:r>
      <w:r>
        <w:rPr>
          <w:rStyle w:val="16"/>
          <w:rFonts w:ascii="Times New Roman" w:hAnsi="Times New Roman" w:eastAsia="黑体" w:cs="Times New Roman"/>
          <w:b/>
          <w:kern w:val="44"/>
          <w:sz w:val="24"/>
          <w:szCs w:val="24"/>
        </w:rPr>
        <w:t>二、单元索引图表</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_Toc137761103 \h </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8"/>
        <w:tabs>
          <w:tab w:val="right" w:leader="dot" w:pos="13948"/>
        </w:tabs>
        <w:spacing w:line="360" w:lineRule="auto"/>
        <w:rPr>
          <w:rFonts w:ascii="Times New Roman" w:hAnsi="Times New Roman" w:cs="Times New Roman"/>
          <w:sz w:val="24"/>
          <w:szCs w:val="24"/>
        </w:rPr>
      </w:pPr>
      <w:r>
        <w:fldChar w:fldCharType="begin"/>
      </w:r>
      <w:r>
        <w:instrText xml:space="preserve"> HYPERLINK \l "_Toc137761104" </w:instrText>
      </w:r>
      <w:r>
        <w:fldChar w:fldCharType="separate"/>
      </w:r>
      <w:r>
        <w:rPr>
          <w:rStyle w:val="16"/>
          <w:rFonts w:ascii="Times New Roman" w:hAnsi="Times New Roman" w:eastAsia="黑体" w:cs="Times New Roman"/>
          <w:b/>
          <w:kern w:val="44"/>
          <w:sz w:val="24"/>
          <w:szCs w:val="24"/>
        </w:rPr>
        <w:t>三、青岛市陆域环境管控单元生态环境准入清单</w:t>
      </w:r>
      <w:r>
        <w:rPr>
          <w:rFonts w:ascii="Times New Roman" w:hAnsi="Times New Roman" w:cs="Times New Roman"/>
          <w:sz w:val="24"/>
          <w:szCs w:val="24"/>
        </w:rPr>
        <w:tab/>
      </w:r>
      <w:r>
        <w:rPr>
          <w:rFonts w:hint="eastAsia" w:ascii="Times New Roman" w:hAnsi="Times New Roman" w:cs="Times New Roman"/>
          <w:sz w:val="24"/>
          <w:szCs w:val="24"/>
          <w:lang w:val="en-US" w:eastAsia="zh-CN"/>
        </w:rPr>
        <w:t>9</w:t>
      </w:r>
      <w:r>
        <w:rPr>
          <w:rFonts w:ascii="Times New Roman" w:hAnsi="Times New Roman" w:cs="Times New Roman"/>
          <w:sz w:val="24"/>
          <w:szCs w:val="24"/>
        </w:rPr>
        <w:fldChar w:fldCharType="end"/>
      </w:r>
    </w:p>
    <w:p>
      <w:pPr>
        <w:pStyle w:val="9"/>
        <w:tabs>
          <w:tab w:val="right" w:leader="dot" w:pos="13948"/>
        </w:tabs>
        <w:spacing w:line="360" w:lineRule="auto"/>
        <w:rPr>
          <w:rFonts w:ascii="Times New Roman" w:hAnsi="Times New Roman" w:cs="Times New Roman"/>
          <w:sz w:val="24"/>
          <w:szCs w:val="24"/>
        </w:rPr>
      </w:pPr>
      <w:r>
        <w:fldChar w:fldCharType="begin"/>
      </w:r>
      <w:r>
        <w:instrText xml:space="preserve"> HYPERLINK \l "_Toc137761105" </w:instrText>
      </w:r>
      <w:r>
        <w:fldChar w:fldCharType="separate"/>
      </w:r>
      <w:r>
        <w:rPr>
          <w:rStyle w:val="16"/>
          <w:rFonts w:ascii="Times New Roman" w:hAnsi="Times New Roman" w:eastAsia="黑体" w:cs="Times New Roman"/>
          <w:b/>
          <w:kern w:val="44"/>
          <w:sz w:val="24"/>
          <w:szCs w:val="24"/>
        </w:rPr>
        <w:t>(一)市南区环境管控单元生态</w:t>
      </w:r>
      <w:r>
        <w:rPr>
          <w:rStyle w:val="16"/>
          <w:rFonts w:ascii="Times New Roman" w:hAnsi="Times New Roman" w:eastAsia="黑体" w:cs="Times New Roman"/>
          <w:b/>
          <w:kern w:val="44"/>
          <w:sz w:val="24"/>
          <w:szCs w:val="24"/>
          <w:lang w:val="zh-CN"/>
        </w:rPr>
        <w:t>环境准入清单</w:t>
      </w:r>
      <w:r>
        <w:rPr>
          <w:rFonts w:ascii="Times New Roman" w:hAnsi="Times New Roman" w:cs="Times New Roman"/>
          <w:sz w:val="24"/>
          <w:szCs w:val="24"/>
        </w:rPr>
        <w:tab/>
      </w:r>
      <w:r>
        <w:rPr>
          <w:rFonts w:hint="eastAsia" w:ascii="Times New Roman" w:hAnsi="Times New Roman" w:cs="Times New Roman"/>
          <w:sz w:val="24"/>
          <w:szCs w:val="24"/>
          <w:lang w:val="en-US" w:eastAsia="zh-CN"/>
        </w:rPr>
        <w:t>9</w:t>
      </w:r>
      <w:r>
        <w:rPr>
          <w:rFonts w:ascii="Times New Roman" w:hAnsi="Times New Roman" w:cs="Times New Roman"/>
          <w:sz w:val="24"/>
          <w:szCs w:val="24"/>
        </w:rPr>
        <w:fldChar w:fldCharType="end"/>
      </w:r>
    </w:p>
    <w:p>
      <w:pPr>
        <w:pStyle w:val="9"/>
        <w:tabs>
          <w:tab w:val="right" w:leader="dot" w:pos="13948"/>
        </w:tabs>
        <w:spacing w:line="360" w:lineRule="auto"/>
        <w:rPr>
          <w:rFonts w:hint="eastAsia" w:ascii="Times New Roman" w:hAnsi="Times New Roman" w:cs="Times New Roman" w:eastAsiaTheme="minorEastAsia"/>
          <w:sz w:val="24"/>
          <w:szCs w:val="24"/>
          <w:lang w:val="en-US" w:eastAsia="zh-CN"/>
        </w:rPr>
      </w:pPr>
      <w:r>
        <w:fldChar w:fldCharType="begin"/>
      </w:r>
      <w:r>
        <w:instrText xml:space="preserve"> HYPERLINK \l "_Toc137761106" </w:instrText>
      </w:r>
      <w:r>
        <w:fldChar w:fldCharType="separate"/>
      </w:r>
      <w:r>
        <w:rPr>
          <w:rStyle w:val="16"/>
          <w:rFonts w:ascii="Times New Roman" w:hAnsi="Times New Roman" w:eastAsia="黑体" w:cs="Times New Roman"/>
          <w:b/>
          <w:kern w:val="44"/>
          <w:sz w:val="24"/>
          <w:szCs w:val="24"/>
        </w:rPr>
        <w:t>(二)市北区环境管控单元生态环境准入清单</w:t>
      </w:r>
      <w:r>
        <w:rPr>
          <w:rFonts w:ascii="Times New Roman" w:hAnsi="Times New Roman" w:cs="Times New Roman"/>
          <w:sz w:val="24"/>
          <w:szCs w:val="24"/>
        </w:rPr>
        <w:tab/>
      </w:r>
      <w:r>
        <w:rPr>
          <w:rFonts w:hint="eastAsia" w:ascii="Times New Roman" w:hAnsi="Times New Roman" w:cs="Times New Roman"/>
          <w:sz w:val="24"/>
          <w:szCs w:val="24"/>
          <w:lang w:val="en-US" w:eastAsia="zh-CN"/>
        </w:rPr>
        <w:t>1</w:t>
      </w:r>
      <w:r>
        <w:rPr>
          <w:rFonts w:ascii="Times New Roman" w:hAnsi="Times New Roman" w:cs="Times New Roman"/>
          <w:sz w:val="24"/>
          <w:szCs w:val="24"/>
        </w:rPr>
        <w:fldChar w:fldCharType="end"/>
      </w:r>
      <w:r>
        <w:rPr>
          <w:rFonts w:hint="eastAsia" w:ascii="Times New Roman" w:hAnsi="Times New Roman" w:cs="Times New Roman"/>
          <w:sz w:val="24"/>
          <w:szCs w:val="24"/>
          <w:lang w:val="en-US" w:eastAsia="zh-CN"/>
        </w:rPr>
        <w:t>4</w:t>
      </w:r>
    </w:p>
    <w:p>
      <w:pPr>
        <w:pStyle w:val="9"/>
        <w:tabs>
          <w:tab w:val="right" w:leader="dot" w:pos="13948"/>
        </w:tabs>
        <w:spacing w:line="360" w:lineRule="auto"/>
        <w:rPr>
          <w:rFonts w:hint="eastAsia" w:ascii="Times New Roman" w:hAnsi="Times New Roman" w:cs="Times New Roman" w:eastAsiaTheme="minorEastAsia"/>
          <w:sz w:val="24"/>
          <w:szCs w:val="24"/>
          <w:lang w:val="en-US" w:eastAsia="zh-CN"/>
        </w:rPr>
      </w:pPr>
      <w:r>
        <w:fldChar w:fldCharType="begin"/>
      </w:r>
      <w:r>
        <w:instrText xml:space="preserve"> HYPERLINK \l "_Toc137761107" </w:instrText>
      </w:r>
      <w:r>
        <w:fldChar w:fldCharType="separate"/>
      </w:r>
      <w:r>
        <w:rPr>
          <w:rStyle w:val="16"/>
          <w:rFonts w:ascii="Times New Roman" w:hAnsi="Times New Roman" w:eastAsia="黑体" w:cs="Times New Roman"/>
          <w:b/>
          <w:kern w:val="44"/>
          <w:sz w:val="24"/>
          <w:szCs w:val="24"/>
        </w:rPr>
        <w:t>(三)李沧区环境管控单元生态环境准入清单</w:t>
      </w:r>
      <w:r>
        <w:rPr>
          <w:rFonts w:ascii="Times New Roman" w:hAnsi="Times New Roman" w:cs="Times New Roman"/>
          <w:sz w:val="24"/>
          <w:szCs w:val="24"/>
        </w:rPr>
        <w:tab/>
      </w:r>
      <w:r>
        <w:rPr>
          <w:rFonts w:hint="eastAsia" w:ascii="Times New Roman" w:hAnsi="Times New Roman" w:cs="Times New Roman"/>
          <w:sz w:val="24"/>
          <w:szCs w:val="24"/>
          <w:lang w:val="en-US" w:eastAsia="zh-CN"/>
        </w:rPr>
        <w:t>2</w:t>
      </w:r>
      <w:r>
        <w:rPr>
          <w:rFonts w:ascii="Times New Roman" w:hAnsi="Times New Roman" w:cs="Times New Roman"/>
          <w:sz w:val="24"/>
          <w:szCs w:val="24"/>
        </w:rPr>
        <w:fldChar w:fldCharType="end"/>
      </w:r>
      <w:r>
        <w:rPr>
          <w:rFonts w:hint="eastAsia" w:ascii="Times New Roman" w:hAnsi="Times New Roman" w:cs="Times New Roman"/>
          <w:sz w:val="24"/>
          <w:szCs w:val="24"/>
          <w:lang w:val="en-US" w:eastAsia="zh-CN"/>
        </w:rPr>
        <w:t>5</w:t>
      </w:r>
    </w:p>
    <w:p>
      <w:pPr>
        <w:pStyle w:val="9"/>
        <w:tabs>
          <w:tab w:val="right" w:leader="dot" w:pos="13948"/>
        </w:tabs>
        <w:spacing w:line="360" w:lineRule="auto"/>
        <w:rPr>
          <w:rFonts w:hint="eastAsia" w:ascii="Times New Roman" w:hAnsi="Times New Roman" w:cs="Times New Roman" w:eastAsiaTheme="minorEastAsia"/>
          <w:sz w:val="24"/>
          <w:szCs w:val="24"/>
          <w:lang w:val="en-US" w:eastAsia="zh-CN"/>
        </w:rPr>
      </w:pPr>
      <w:r>
        <w:fldChar w:fldCharType="begin"/>
      </w:r>
      <w:r>
        <w:instrText xml:space="preserve"> HYPERLINK \l "_Toc137761108" </w:instrText>
      </w:r>
      <w:r>
        <w:fldChar w:fldCharType="separate"/>
      </w:r>
      <w:r>
        <w:rPr>
          <w:rStyle w:val="16"/>
          <w:rFonts w:ascii="Times New Roman" w:hAnsi="Times New Roman" w:eastAsia="黑体" w:cs="Times New Roman"/>
          <w:b/>
          <w:kern w:val="44"/>
          <w:sz w:val="24"/>
          <w:szCs w:val="24"/>
        </w:rPr>
        <w:t>(四)崂山区环境管控单元生态环境准入清单</w:t>
      </w:r>
      <w:r>
        <w:rPr>
          <w:rFonts w:ascii="Times New Roman" w:hAnsi="Times New Roman" w:cs="Times New Roman"/>
          <w:sz w:val="24"/>
          <w:szCs w:val="24"/>
        </w:rPr>
        <w:tab/>
      </w:r>
      <w:r>
        <w:rPr>
          <w:rFonts w:hint="eastAsia" w:ascii="Times New Roman" w:hAnsi="Times New Roman" w:cs="Times New Roman"/>
          <w:sz w:val="24"/>
          <w:szCs w:val="24"/>
          <w:lang w:val="en-US" w:eastAsia="zh-CN"/>
        </w:rPr>
        <w:t>3</w:t>
      </w:r>
      <w:r>
        <w:rPr>
          <w:rFonts w:ascii="Times New Roman" w:hAnsi="Times New Roman" w:cs="Times New Roman"/>
          <w:sz w:val="24"/>
          <w:szCs w:val="24"/>
        </w:rPr>
        <w:fldChar w:fldCharType="end"/>
      </w:r>
      <w:r>
        <w:rPr>
          <w:rFonts w:hint="eastAsia" w:ascii="Times New Roman" w:hAnsi="Times New Roman" w:cs="Times New Roman"/>
          <w:sz w:val="24"/>
          <w:szCs w:val="24"/>
          <w:lang w:val="en-US" w:eastAsia="zh-CN"/>
        </w:rPr>
        <w:t>3</w:t>
      </w:r>
    </w:p>
    <w:p>
      <w:pPr>
        <w:pStyle w:val="9"/>
        <w:tabs>
          <w:tab w:val="right" w:leader="dot" w:pos="13948"/>
        </w:tabs>
        <w:spacing w:line="360" w:lineRule="auto"/>
        <w:rPr>
          <w:rFonts w:ascii="Times New Roman" w:hAnsi="Times New Roman" w:cs="Times New Roman"/>
          <w:sz w:val="24"/>
          <w:szCs w:val="24"/>
        </w:rPr>
      </w:pPr>
      <w:r>
        <w:fldChar w:fldCharType="begin"/>
      </w:r>
      <w:r>
        <w:instrText xml:space="preserve"> HYPERLINK \l "_Toc137761109" </w:instrText>
      </w:r>
      <w:r>
        <w:fldChar w:fldCharType="separate"/>
      </w:r>
      <w:r>
        <w:rPr>
          <w:rStyle w:val="16"/>
          <w:rFonts w:ascii="Times New Roman" w:hAnsi="Times New Roman" w:eastAsia="黑体" w:cs="Times New Roman"/>
          <w:b/>
          <w:kern w:val="44"/>
          <w:sz w:val="24"/>
          <w:szCs w:val="24"/>
        </w:rPr>
        <w:t>(五)西海岸新区环境管控单元生态环境准入清单</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_Toc137761109 \h </w:instrText>
      </w:r>
      <w:r>
        <w:rPr>
          <w:rFonts w:ascii="Times New Roman" w:hAnsi="Times New Roman" w:cs="Times New Roman"/>
          <w:sz w:val="24"/>
          <w:szCs w:val="24"/>
        </w:rPr>
        <w:fldChar w:fldCharType="separate"/>
      </w:r>
      <w:r>
        <w:rPr>
          <w:rFonts w:ascii="Times New Roman" w:hAnsi="Times New Roman" w:cs="Times New Roman"/>
          <w:sz w:val="24"/>
          <w:szCs w:val="24"/>
        </w:rPr>
        <w:t>40</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9"/>
        <w:tabs>
          <w:tab w:val="right" w:leader="dot" w:pos="13948"/>
        </w:tabs>
        <w:spacing w:line="360" w:lineRule="auto"/>
        <w:rPr>
          <w:rFonts w:hint="eastAsia" w:ascii="Times New Roman" w:hAnsi="Times New Roman" w:cs="Times New Roman" w:eastAsiaTheme="minorEastAsia"/>
          <w:sz w:val="24"/>
          <w:szCs w:val="24"/>
          <w:lang w:val="en-US" w:eastAsia="zh-CN"/>
        </w:rPr>
      </w:pPr>
      <w:r>
        <w:fldChar w:fldCharType="begin"/>
      </w:r>
      <w:r>
        <w:instrText xml:space="preserve"> HYPERLINK \l "_Toc137761110" </w:instrText>
      </w:r>
      <w:r>
        <w:fldChar w:fldCharType="separate"/>
      </w:r>
      <w:r>
        <w:rPr>
          <w:rStyle w:val="16"/>
          <w:rFonts w:ascii="Times New Roman" w:hAnsi="Times New Roman" w:eastAsia="黑体" w:cs="Times New Roman"/>
          <w:b/>
          <w:kern w:val="44"/>
          <w:sz w:val="24"/>
          <w:szCs w:val="24"/>
        </w:rPr>
        <w:t>(六)城阳区环境管控单元生态环境准入清单</w:t>
      </w:r>
      <w:r>
        <w:rPr>
          <w:rFonts w:ascii="Times New Roman" w:hAnsi="Times New Roman" w:cs="Times New Roman"/>
          <w:sz w:val="24"/>
          <w:szCs w:val="24"/>
        </w:rPr>
        <w:tab/>
      </w:r>
      <w:r>
        <w:rPr>
          <w:rFonts w:hint="eastAsia" w:ascii="Times New Roman" w:hAnsi="Times New Roman" w:cs="Times New Roman"/>
          <w:sz w:val="24"/>
          <w:szCs w:val="24"/>
          <w:lang w:val="en-US" w:eastAsia="zh-CN"/>
        </w:rPr>
        <w:t>5</w:t>
      </w:r>
      <w:r>
        <w:rPr>
          <w:rFonts w:ascii="Times New Roman" w:hAnsi="Times New Roman" w:cs="Times New Roman"/>
          <w:sz w:val="24"/>
          <w:szCs w:val="24"/>
        </w:rPr>
        <w:fldChar w:fldCharType="end"/>
      </w:r>
      <w:r>
        <w:rPr>
          <w:rFonts w:hint="eastAsia" w:ascii="Times New Roman" w:hAnsi="Times New Roman" w:cs="Times New Roman"/>
          <w:sz w:val="24"/>
          <w:szCs w:val="24"/>
          <w:lang w:val="en-US" w:eastAsia="zh-CN"/>
        </w:rPr>
        <w:t>7</w:t>
      </w:r>
    </w:p>
    <w:p>
      <w:pPr>
        <w:pStyle w:val="9"/>
        <w:tabs>
          <w:tab w:val="right" w:leader="dot" w:pos="13948"/>
        </w:tabs>
        <w:spacing w:line="360" w:lineRule="auto"/>
        <w:rPr>
          <w:rFonts w:hint="eastAsia" w:ascii="Times New Roman" w:hAnsi="Times New Roman" w:cs="Times New Roman" w:eastAsiaTheme="minorEastAsia"/>
          <w:sz w:val="24"/>
          <w:szCs w:val="24"/>
          <w:lang w:val="en-US" w:eastAsia="zh-CN"/>
        </w:rPr>
      </w:pPr>
      <w:r>
        <w:fldChar w:fldCharType="begin"/>
      </w:r>
      <w:r>
        <w:instrText xml:space="preserve"> HYPERLINK \l "_Toc137761111" </w:instrText>
      </w:r>
      <w:r>
        <w:fldChar w:fldCharType="separate"/>
      </w:r>
      <w:r>
        <w:rPr>
          <w:rStyle w:val="16"/>
          <w:rFonts w:ascii="Times New Roman" w:hAnsi="Times New Roman" w:eastAsia="黑体" w:cs="Times New Roman"/>
          <w:b/>
          <w:kern w:val="44"/>
          <w:sz w:val="24"/>
          <w:szCs w:val="24"/>
        </w:rPr>
        <w:t>(七)即墨区环境管控单元生态环境准入清单</w:t>
      </w:r>
      <w:r>
        <w:rPr>
          <w:rFonts w:ascii="Times New Roman" w:hAnsi="Times New Roman" w:cs="Times New Roman"/>
          <w:sz w:val="24"/>
          <w:szCs w:val="24"/>
        </w:rPr>
        <w:tab/>
      </w:r>
      <w:r>
        <w:rPr>
          <w:rFonts w:hint="eastAsia" w:ascii="Times New Roman" w:hAnsi="Times New Roman" w:cs="Times New Roman"/>
          <w:sz w:val="24"/>
          <w:szCs w:val="24"/>
          <w:lang w:val="en-US" w:eastAsia="zh-CN"/>
        </w:rPr>
        <w:t>6</w:t>
      </w:r>
      <w:r>
        <w:rPr>
          <w:rFonts w:ascii="Times New Roman" w:hAnsi="Times New Roman" w:cs="Times New Roman"/>
          <w:sz w:val="24"/>
          <w:szCs w:val="24"/>
        </w:rPr>
        <w:fldChar w:fldCharType="end"/>
      </w:r>
      <w:r>
        <w:rPr>
          <w:rFonts w:hint="eastAsia" w:ascii="Times New Roman" w:hAnsi="Times New Roman" w:cs="Times New Roman"/>
          <w:sz w:val="24"/>
          <w:szCs w:val="24"/>
          <w:lang w:val="en-US" w:eastAsia="zh-CN"/>
        </w:rPr>
        <w:t>6</w:t>
      </w:r>
    </w:p>
    <w:p>
      <w:pPr>
        <w:pStyle w:val="9"/>
        <w:tabs>
          <w:tab w:val="right" w:leader="dot" w:pos="13948"/>
        </w:tabs>
        <w:spacing w:line="360" w:lineRule="auto"/>
        <w:rPr>
          <w:rFonts w:hint="eastAsia" w:ascii="Times New Roman" w:hAnsi="Times New Roman" w:cs="Times New Roman" w:eastAsiaTheme="minorEastAsia"/>
          <w:sz w:val="24"/>
          <w:szCs w:val="24"/>
          <w:lang w:val="en-US" w:eastAsia="zh-CN"/>
        </w:rPr>
      </w:pPr>
      <w:r>
        <w:fldChar w:fldCharType="begin"/>
      </w:r>
      <w:r>
        <w:instrText xml:space="preserve"> HYPERLINK \l "_Toc137761112" </w:instrText>
      </w:r>
      <w:r>
        <w:fldChar w:fldCharType="separate"/>
      </w:r>
      <w:r>
        <w:rPr>
          <w:rStyle w:val="16"/>
          <w:rFonts w:ascii="Times New Roman" w:hAnsi="Times New Roman" w:eastAsia="黑体" w:cs="Times New Roman"/>
          <w:b/>
          <w:kern w:val="44"/>
          <w:sz w:val="24"/>
          <w:szCs w:val="24"/>
        </w:rPr>
        <w:t>(八)胶州市环境管控单元生态环境准入清单</w:t>
      </w:r>
      <w:r>
        <w:rPr>
          <w:rFonts w:ascii="Times New Roman" w:hAnsi="Times New Roman" w:cs="Times New Roman"/>
          <w:sz w:val="24"/>
          <w:szCs w:val="24"/>
        </w:rPr>
        <w:tab/>
      </w:r>
      <w:r>
        <w:rPr>
          <w:rFonts w:hint="eastAsia" w:ascii="Times New Roman" w:hAnsi="Times New Roman" w:cs="Times New Roman"/>
          <w:sz w:val="24"/>
          <w:szCs w:val="24"/>
          <w:lang w:val="en-US" w:eastAsia="zh-CN"/>
        </w:rPr>
        <w:t>8</w:t>
      </w:r>
      <w:r>
        <w:rPr>
          <w:rFonts w:ascii="Times New Roman" w:hAnsi="Times New Roman" w:cs="Times New Roman"/>
          <w:sz w:val="24"/>
          <w:szCs w:val="24"/>
        </w:rPr>
        <w:fldChar w:fldCharType="end"/>
      </w:r>
      <w:r>
        <w:rPr>
          <w:rFonts w:hint="eastAsia" w:ascii="Times New Roman" w:hAnsi="Times New Roman" w:cs="Times New Roman"/>
          <w:sz w:val="24"/>
          <w:szCs w:val="24"/>
          <w:lang w:val="en-US" w:eastAsia="zh-CN"/>
        </w:rPr>
        <w:t>5</w:t>
      </w:r>
    </w:p>
    <w:p>
      <w:pPr>
        <w:pStyle w:val="9"/>
        <w:tabs>
          <w:tab w:val="right" w:leader="dot" w:pos="13948"/>
        </w:tabs>
        <w:spacing w:line="360" w:lineRule="auto"/>
        <w:rPr>
          <w:rFonts w:hint="eastAsia" w:ascii="Times New Roman" w:hAnsi="Times New Roman" w:cs="Times New Roman" w:eastAsiaTheme="minorEastAsia"/>
          <w:sz w:val="24"/>
          <w:szCs w:val="24"/>
          <w:lang w:val="en-US" w:eastAsia="zh-CN"/>
        </w:rPr>
      </w:pPr>
      <w:r>
        <w:fldChar w:fldCharType="begin"/>
      </w:r>
      <w:r>
        <w:instrText xml:space="preserve"> HYPERLINK \l "_Toc137761113" </w:instrText>
      </w:r>
      <w:r>
        <w:fldChar w:fldCharType="separate"/>
      </w:r>
      <w:r>
        <w:rPr>
          <w:rStyle w:val="16"/>
          <w:rFonts w:ascii="Times New Roman" w:hAnsi="Times New Roman" w:eastAsia="黑体" w:cs="Times New Roman"/>
          <w:b/>
          <w:kern w:val="44"/>
          <w:sz w:val="24"/>
          <w:szCs w:val="24"/>
        </w:rPr>
        <w:t>(九)平度市环境管控单元生态环境准入清单</w:t>
      </w:r>
      <w:r>
        <w:rPr>
          <w:rFonts w:ascii="Times New Roman" w:hAnsi="Times New Roman" w:cs="Times New Roman"/>
          <w:sz w:val="24"/>
          <w:szCs w:val="24"/>
        </w:rPr>
        <w:tab/>
      </w:r>
      <w:r>
        <w:rPr>
          <w:rFonts w:hint="eastAsia" w:ascii="Times New Roman" w:hAnsi="Times New Roman" w:cs="Times New Roman"/>
          <w:sz w:val="24"/>
          <w:szCs w:val="24"/>
          <w:lang w:val="en-US" w:eastAsia="zh-CN"/>
        </w:rPr>
        <w:t>9</w:t>
      </w:r>
      <w:r>
        <w:rPr>
          <w:rFonts w:ascii="Times New Roman" w:hAnsi="Times New Roman" w:cs="Times New Roman"/>
          <w:sz w:val="24"/>
          <w:szCs w:val="24"/>
        </w:rPr>
        <w:fldChar w:fldCharType="end"/>
      </w:r>
      <w:r>
        <w:rPr>
          <w:rFonts w:hint="eastAsia" w:ascii="Times New Roman" w:hAnsi="Times New Roman" w:cs="Times New Roman"/>
          <w:sz w:val="24"/>
          <w:szCs w:val="24"/>
          <w:lang w:val="en-US" w:eastAsia="zh-CN"/>
        </w:rPr>
        <w:t>3</w:t>
      </w:r>
    </w:p>
    <w:p>
      <w:pPr>
        <w:pStyle w:val="9"/>
        <w:tabs>
          <w:tab w:val="right" w:leader="dot" w:pos="13948"/>
        </w:tabs>
        <w:spacing w:line="360" w:lineRule="auto"/>
        <w:rPr>
          <w:rFonts w:hint="default" w:ascii="Times New Roman" w:hAnsi="Times New Roman" w:cs="Times New Roman" w:eastAsiaTheme="minorEastAsia"/>
          <w:sz w:val="24"/>
          <w:szCs w:val="24"/>
          <w:lang w:val="en-US" w:eastAsia="zh-CN"/>
        </w:rPr>
      </w:pPr>
      <w:r>
        <w:fldChar w:fldCharType="begin"/>
      </w:r>
      <w:r>
        <w:instrText xml:space="preserve"> HYPERLINK \l "_Toc137761114" </w:instrText>
      </w:r>
      <w:r>
        <w:fldChar w:fldCharType="separate"/>
      </w:r>
      <w:r>
        <w:rPr>
          <w:rStyle w:val="16"/>
          <w:rFonts w:ascii="Times New Roman" w:hAnsi="Times New Roman" w:eastAsia="黑体" w:cs="Times New Roman"/>
          <w:b/>
          <w:kern w:val="44"/>
          <w:sz w:val="24"/>
          <w:szCs w:val="24"/>
        </w:rPr>
        <w:t>(十)莱西市环境管控单元生态环境准入清单</w:t>
      </w:r>
      <w:r>
        <w:rPr>
          <w:rFonts w:ascii="Times New Roman" w:hAnsi="Times New Roman" w:cs="Times New Roman"/>
          <w:sz w:val="24"/>
          <w:szCs w:val="24"/>
        </w:rPr>
        <w:tab/>
      </w:r>
      <w:r>
        <w:rPr>
          <w:rFonts w:hint="eastAsia" w:ascii="Times New Roman" w:hAnsi="Times New Roman" w:cs="Times New Roman"/>
          <w:sz w:val="24"/>
          <w:szCs w:val="24"/>
          <w:lang w:val="en-US" w:eastAsia="zh-CN"/>
        </w:rPr>
        <w:t>1</w:t>
      </w:r>
      <w:r>
        <w:rPr>
          <w:rFonts w:ascii="Times New Roman" w:hAnsi="Times New Roman" w:cs="Times New Roman"/>
          <w:sz w:val="24"/>
          <w:szCs w:val="24"/>
        </w:rPr>
        <w:fldChar w:fldCharType="end"/>
      </w:r>
      <w:r>
        <w:rPr>
          <w:rFonts w:hint="eastAsia" w:ascii="Times New Roman" w:hAnsi="Times New Roman" w:cs="Times New Roman"/>
          <w:sz w:val="24"/>
          <w:szCs w:val="24"/>
          <w:lang w:val="en-US" w:eastAsia="zh-CN"/>
        </w:rPr>
        <w:t>06</w:t>
      </w:r>
    </w:p>
    <w:p>
      <w:pPr>
        <w:pStyle w:val="8"/>
        <w:tabs>
          <w:tab w:val="right" w:leader="dot" w:pos="13948"/>
        </w:tabs>
        <w:spacing w:line="360" w:lineRule="auto"/>
        <w:rPr>
          <w:rFonts w:hint="default" w:ascii="Times New Roman" w:hAnsi="Times New Roman" w:cs="Times New Roman" w:eastAsiaTheme="minorEastAsia"/>
          <w:sz w:val="24"/>
          <w:szCs w:val="24"/>
          <w:lang w:val="en-US" w:eastAsia="zh-CN"/>
        </w:rPr>
      </w:pPr>
      <w:r>
        <w:fldChar w:fldCharType="begin"/>
      </w:r>
      <w:r>
        <w:instrText xml:space="preserve"> HYPERLINK \l "_Toc137761115" </w:instrText>
      </w:r>
      <w:r>
        <w:fldChar w:fldCharType="separate"/>
      </w:r>
      <w:r>
        <w:rPr>
          <w:rStyle w:val="16"/>
          <w:rFonts w:ascii="Times New Roman" w:hAnsi="Times New Roman" w:eastAsia="黑体" w:cs="Times New Roman"/>
          <w:b/>
          <w:sz w:val="24"/>
          <w:szCs w:val="24"/>
        </w:rPr>
        <w:t>四、青岛市陆域环境管控单元汇总表</w:t>
      </w:r>
      <w:r>
        <w:rPr>
          <w:rFonts w:ascii="Times New Roman" w:hAnsi="Times New Roman" w:cs="Times New Roman"/>
          <w:sz w:val="24"/>
          <w:szCs w:val="24"/>
        </w:rPr>
        <w:tab/>
      </w:r>
      <w:r>
        <w:rPr>
          <w:rFonts w:hint="eastAsia" w:ascii="Times New Roman" w:hAnsi="Times New Roman" w:cs="Times New Roman"/>
          <w:sz w:val="24"/>
          <w:szCs w:val="24"/>
          <w:lang w:val="en-US" w:eastAsia="zh-CN"/>
        </w:rPr>
        <w:t>1</w:t>
      </w:r>
      <w:r>
        <w:rPr>
          <w:rFonts w:ascii="Times New Roman" w:hAnsi="Times New Roman" w:cs="Times New Roman"/>
          <w:sz w:val="24"/>
          <w:szCs w:val="24"/>
        </w:rPr>
        <w:fldChar w:fldCharType="end"/>
      </w:r>
      <w:r>
        <w:rPr>
          <w:rFonts w:hint="eastAsia" w:ascii="Times New Roman" w:hAnsi="Times New Roman" w:cs="Times New Roman"/>
          <w:sz w:val="24"/>
          <w:szCs w:val="24"/>
          <w:lang w:val="en-US" w:eastAsia="zh-CN"/>
        </w:rPr>
        <w:t>18</w:t>
      </w:r>
    </w:p>
    <w:p>
      <w:pPr>
        <w:pStyle w:val="8"/>
        <w:tabs>
          <w:tab w:val="right" w:leader="dot" w:pos="13948"/>
        </w:tabs>
        <w:spacing w:line="360" w:lineRule="auto"/>
        <w:rPr>
          <w:rFonts w:hint="default" w:ascii="Times New Roman" w:hAnsi="Times New Roman" w:cs="Times New Roman" w:eastAsiaTheme="minorEastAsia"/>
          <w:sz w:val="24"/>
          <w:szCs w:val="24"/>
          <w:lang w:val="en-US" w:eastAsia="zh-CN"/>
        </w:rPr>
      </w:pPr>
      <w:r>
        <w:fldChar w:fldCharType="begin"/>
      </w:r>
      <w:r>
        <w:instrText xml:space="preserve"> HYPERLINK \l "_Toc137761116" </w:instrText>
      </w:r>
      <w:r>
        <w:fldChar w:fldCharType="separate"/>
      </w:r>
      <w:r>
        <w:rPr>
          <w:rStyle w:val="16"/>
          <w:rFonts w:ascii="Times New Roman" w:hAnsi="Times New Roman" w:eastAsia="黑体" w:cs="Times New Roman"/>
          <w:b/>
          <w:sz w:val="24"/>
          <w:szCs w:val="24"/>
        </w:rPr>
        <w:t>五、青岛市近岸海域环境管控单元生态环境准入清单</w:t>
      </w:r>
      <w:r>
        <w:rPr>
          <w:rFonts w:ascii="Times New Roman" w:hAnsi="Times New Roman" w:cs="Times New Roman"/>
          <w:sz w:val="24"/>
          <w:szCs w:val="24"/>
        </w:rPr>
        <w:tab/>
      </w:r>
      <w:r>
        <w:rPr>
          <w:rFonts w:hint="eastAsia" w:ascii="Times New Roman" w:hAnsi="Times New Roman" w:cs="Times New Roman"/>
          <w:sz w:val="24"/>
          <w:szCs w:val="24"/>
          <w:lang w:val="en-US" w:eastAsia="zh-CN"/>
        </w:rPr>
        <w:t>1</w:t>
      </w:r>
      <w:r>
        <w:rPr>
          <w:rFonts w:ascii="Times New Roman" w:hAnsi="Times New Roman" w:cs="Times New Roman"/>
          <w:sz w:val="24"/>
          <w:szCs w:val="24"/>
        </w:rPr>
        <w:fldChar w:fldCharType="end"/>
      </w:r>
      <w:r>
        <w:rPr>
          <w:rFonts w:hint="eastAsia" w:ascii="Times New Roman" w:hAnsi="Times New Roman" w:cs="Times New Roman"/>
          <w:sz w:val="24"/>
          <w:szCs w:val="24"/>
          <w:lang w:val="en-US" w:eastAsia="zh-CN"/>
        </w:rPr>
        <w:t>19</w:t>
      </w:r>
    </w:p>
    <w:p>
      <w:pPr>
        <w:snapToGrid w:val="0"/>
        <w:spacing w:line="360" w:lineRule="auto"/>
        <w:jc w:val="center"/>
        <w:rPr>
          <w:rFonts w:ascii="Times New Roman" w:hAnsi="Times New Roman" w:eastAsia="黑体" w:cs="Times New Roman"/>
          <w:szCs w:val="21"/>
        </w:rPr>
        <w:sectPr>
          <w:footerReference r:id="rId4" w:type="default"/>
          <w:pgSz w:w="16838" w:h="11906" w:orient="landscape"/>
          <w:pgMar w:top="1800" w:right="1440" w:bottom="1800" w:left="1440" w:header="851" w:footer="992" w:gutter="0"/>
          <w:pgNumType w:fmt="upperRoman" w:start="1"/>
          <w:cols w:space="720" w:num="1"/>
          <w:docGrid w:type="lines" w:linePitch="312" w:charSpace="0"/>
        </w:sectPr>
      </w:pPr>
      <w:r>
        <w:rPr>
          <w:rFonts w:ascii="Times New Roman" w:hAnsi="Times New Roman" w:eastAsia="仿宋_GB2312" w:cs="Times New Roman"/>
          <w:sz w:val="24"/>
          <w:szCs w:val="24"/>
        </w:rPr>
        <w:fldChar w:fldCharType="end"/>
      </w:r>
    </w:p>
    <w:p>
      <w:pPr>
        <w:widowControl/>
        <w:adjustRightInd w:val="0"/>
        <w:snapToGrid w:val="0"/>
        <w:spacing w:line="360" w:lineRule="auto"/>
        <w:jc w:val="left"/>
        <w:outlineLvl w:val="0"/>
        <w:rPr>
          <w:rFonts w:ascii="Times New Roman" w:hAnsi="Times New Roman" w:cs="Times New Roman"/>
          <w:b/>
          <w:kern w:val="44"/>
          <w:sz w:val="32"/>
          <w:szCs w:val="30"/>
        </w:rPr>
      </w:pPr>
      <w:bookmarkStart w:id="11" w:name="_Toc137761102"/>
      <w:r>
        <w:rPr>
          <w:rFonts w:ascii="Times New Roman" w:hAnsi="Times New Roman" w:eastAsia="黑体" w:cs="Times New Roman"/>
          <w:b/>
          <w:kern w:val="44"/>
          <w:sz w:val="32"/>
          <w:szCs w:val="30"/>
        </w:rPr>
        <w:t>一、使用说明</w:t>
      </w:r>
      <w:bookmarkEnd w:id="11"/>
      <w:r>
        <w:rPr>
          <w:rFonts w:ascii="Times New Roman" w:hAnsi="Times New Roman" w:eastAsia="黑体" w:cs="Times New Roman"/>
          <w:b/>
          <w:kern w:val="44"/>
          <w:sz w:val="32"/>
          <w:szCs w:val="30"/>
        </w:rPr>
        <w:t xml:space="preserve"> </w:t>
      </w:r>
    </w:p>
    <w:p>
      <w:pPr>
        <w:pStyle w:val="25"/>
        <w:ind w:firstLine="560" w:firstLineChars="200"/>
        <w:rPr>
          <w:rFonts w:ascii="Times New Roman" w:eastAsia="仿宋_GB2312" w:cs="Times New Roman"/>
          <w:color w:val="auto"/>
          <w:sz w:val="28"/>
          <w:szCs w:val="28"/>
        </w:rPr>
      </w:pPr>
      <w:r>
        <w:rPr>
          <w:rFonts w:ascii="Times New Roman" w:eastAsia="仿宋_GB2312" w:cs="Times New Roman"/>
          <w:color w:val="auto"/>
          <w:sz w:val="28"/>
          <w:szCs w:val="28"/>
        </w:rPr>
        <w:t>青岛市环境管控单元生态环境准入清单应在市政府印发的《青岛市市级生态环境总体准入清单》（见青政字〔2021〕16号文）框架下执行。清单可作为地方政府、各部门、企事业单位等主体开展政策制定、规划编制、区域开发、项目建设等工作的生态环境管理工具手册。其中，在指导项目建设方面的使用说明如下。</w:t>
      </w:r>
    </w:p>
    <w:p>
      <w:pPr>
        <w:pStyle w:val="25"/>
        <w:ind w:firstLine="560" w:firstLineChars="200"/>
        <w:rPr>
          <w:rFonts w:ascii="Times New Roman" w:cs="Times New Roman"/>
          <w:color w:val="auto"/>
          <w:sz w:val="28"/>
          <w:szCs w:val="28"/>
        </w:rPr>
      </w:pPr>
      <w:r>
        <w:rPr>
          <w:rFonts w:ascii="Times New Roman" w:eastAsia="仿宋_GB2312" w:cs="Times New Roman"/>
          <w:color w:val="auto"/>
          <w:sz w:val="28"/>
          <w:szCs w:val="28"/>
        </w:rPr>
        <w:t>步骤</w:t>
      </w:r>
      <w:r>
        <w:rPr>
          <w:rFonts w:hint="eastAsia" w:ascii="宋体" w:hAnsi="宋体" w:eastAsia="宋体" w:cs="宋体"/>
          <w:color w:val="auto"/>
          <w:sz w:val="28"/>
          <w:szCs w:val="28"/>
        </w:rPr>
        <w:t>①</w:t>
      </w:r>
      <w:r>
        <w:rPr>
          <w:rFonts w:ascii="Times New Roman" w:eastAsia="仿宋_GB2312" w:cs="Times New Roman"/>
          <w:color w:val="auto"/>
          <w:sz w:val="28"/>
          <w:szCs w:val="28"/>
        </w:rPr>
        <w:t xml:space="preserve">：定位。识别项目地块所在环境管控单元，获取环境管控单元编码与环境管控单元性质。 </w:t>
      </w:r>
    </w:p>
    <w:p>
      <w:pPr>
        <w:pStyle w:val="25"/>
        <w:ind w:firstLine="560" w:firstLineChars="200"/>
        <w:rPr>
          <w:rFonts w:ascii="Times New Roman" w:cs="Times New Roman"/>
          <w:color w:val="auto"/>
          <w:sz w:val="28"/>
          <w:szCs w:val="28"/>
        </w:rPr>
      </w:pPr>
      <w:r>
        <w:rPr>
          <w:rFonts w:ascii="Times New Roman" w:eastAsia="仿宋_GB2312" w:cs="Times New Roman"/>
          <w:color w:val="auto"/>
          <w:sz w:val="28"/>
          <w:szCs w:val="28"/>
        </w:rPr>
        <w:t>步骤</w:t>
      </w:r>
      <w:r>
        <w:rPr>
          <w:rFonts w:hint="eastAsia" w:ascii="宋体" w:hAnsi="宋体" w:eastAsia="宋体" w:cs="宋体"/>
          <w:color w:val="auto"/>
          <w:sz w:val="28"/>
          <w:szCs w:val="28"/>
        </w:rPr>
        <w:t>②</w:t>
      </w:r>
      <w:r>
        <w:rPr>
          <w:rFonts w:ascii="Times New Roman" w:eastAsia="仿宋_GB2312" w:cs="Times New Roman"/>
          <w:color w:val="auto"/>
          <w:sz w:val="28"/>
          <w:szCs w:val="28"/>
        </w:rPr>
        <w:t xml:space="preserve">：相符性判断。对照《青岛市市级生态环境总体准入清单》，结合项目所在环境管控单元性质，进行相符性判断，得到两种判断结果：否，则项目不执行或重新选址；是，则项目执行。 </w:t>
      </w:r>
    </w:p>
    <w:p>
      <w:pPr>
        <w:pStyle w:val="25"/>
        <w:ind w:firstLine="560" w:firstLineChars="200"/>
        <w:rPr>
          <w:rFonts w:ascii="Times New Roman" w:cs="Times New Roman"/>
          <w:color w:val="auto"/>
          <w:sz w:val="28"/>
          <w:szCs w:val="28"/>
        </w:rPr>
      </w:pPr>
      <w:r>
        <w:rPr>
          <w:rFonts w:ascii="Times New Roman" w:eastAsia="仿宋_GB2312" w:cs="Times New Roman"/>
          <w:color w:val="auto"/>
          <w:sz w:val="28"/>
          <w:szCs w:val="28"/>
        </w:rPr>
        <w:t>步骤</w:t>
      </w:r>
      <w:r>
        <w:rPr>
          <w:rFonts w:hint="eastAsia" w:ascii="宋体" w:hAnsi="宋体" w:eastAsia="宋体" w:cs="宋体"/>
          <w:color w:val="auto"/>
          <w:sz w:val="28"/>
          <w:szCs w:val="28"/>
        </w:rPr>
        <w:t>③</w:t>
      </w:r>
      <w:r>
        <w:rPr>
          <w:rFonts w:ascii="Times New Roman" w:eastAsia="仿宋_GB2312" w:cs="Times New Roman"/>
          <w:color w:val="auto"/>
          <w:sz w:val="28"/>
          <w:szCs w:val="28"/>
        </w:rPr>
        <w:t>：选址。项目执行则通过空间位置选址项目地块，获取项目地块所在街道（乡、镇）名称。</w:t>
      </w:r>
    </w:p>
    <w:p>
      <w:pPr>
        <w:pStyle w:val="25"/>
        <w:ind w:firstLine="560" w:firstLineChars="200"/>
        <w:rPr>
          <w:rFonts w:ascii="Times New Roman" w:eastAsia="仿宋_GB2312" w:cs="Times New Roman"/>
          <w:color w:val="auto"/>
          <w:sz w:val="28"/>
          <w:szCs w:val="28"/>
        </w:rPr>
      </w:pPr>
      <w:r>
        <w:rPr>
          <w:rFonts w:ascii="Times New Roman" w:eastAsia="仿宋_GB2312" w:cs="Times New Roman"/>
          <w:color w:val="auto"/>
          <w:sz w:val="28"/>
          <w:szCs w:val="28"/>
        </w:rPr>
        <w:t>步骤</w:t>
      </w:r>
      <w:r>
        <w:rPr>
          <w:rFonts w:hint="eastAsia" w:ascii="宋体" w:hAnsi="宋体" w:eastAsia="宋体" w:cs="宋体"/>
          <w:color w:val="auto"/>
          <w:sz w:val="28"/>
          <w:szCs w:val="28"/>
        </w:rPr>
        <w:t>④</w:t>
      </w:r>
      <w:r>
        <w:rPr>
          <w:rFonts w:ascii="Times New Roman" w:eastAsia="仿宋_GB2312" w:cs="Times New Roman"/>
          <w:color w:val="auto"/>
          <w:sz w:val="28"/>
          <w:szCs w:val="28"/>
        </w:rPr>
        <w:t>：索引。按照项目地块所在街道（乡、镇）名称，对照环境管控单元索引图和索引表，找到对应的环境管控单元编号、编码以及生态环境准入清单所在本文件的页码范围。</w:t>
      </w:r>
    </w:p>
    <w:p>
      <w:pPr>
        <w:pStyle w:val="25"/>
        <w:ind w:firstLine="560" w:firstLineChars="200"/>
        <w:rPr>
          <w:rFonts w:ascii="Times New Roman" w:cs="Times New Roman"/>
          <w:color w:val="auto"/>
          <w:sz w:val="28"/>
          <w:szCs w:val="28"/>
        </w:rPr>
      </w:pPr>
      <w:r>
        <w:rPr>
          <w:rFonts w:ascii="Times New Roman" w:eastAsia="仿宋_GB2312" w:cs="Times New Roman"/>
          <w:color w:val="auto"/>
          <w:sz w:val="28"/>
          <w:szCs w:val="28"/>
        </w:rPr>
        <w:t>步骤</w:t>
      </w:r>
      <w:r>
        <w:rPr>
          <w:rFonts w:hint="eastAsia" w:ascii="宋体" w:hAnsi="宋体" w:eastAsia="宋体" w:cs="宋体"/>
          <w:color w:val="auto"/>
          <w:sz w:val="28"/>
          <w:szCs w:val="28"/>
        </w:rPr>
        <w:t>⑤</w:t>
      </w:r>
      <w:r>
        <w:rPr>
          <w:rFonts w:ascii="Times New Roman" w:eastAsia="仿宋_GB2312" w:cs="Times New Roman"/>
          <w:color w:val="auto"/>
          <w:sz w:val="28"/>
          <w:szCs w:val="28"/>
        </w:rPr>
        <w:t xml:space="preserve">：查询。通过环境管控单元编码及页码范围查询项目地块所处环境管控单元的生态环境准入清单。 </w:t>
      </w:r>
    </w:p>
    <w:p>
      <w:pPr>
        <w:ind w:firstLine="560" w:firstLineChars="20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步骤</w:t>
      </w:r>
      <w:r>
        <w:rPr>
          <w:rFonts w:hint="eastAsia" w:ascii="宋体" w:hAnsi="宋体" w:eastAsia="宋体" w:cs="宋体"/>
          <w:sz w:val="28"/>
          <w:szCs w:val="28"/>
        </w:rPr>
        <w:t>⑥</w:t>
      </w:r>
      <w:r>
        <w:rPr>
          <w:rFonts w:ascii="Times New Roman" w:hAnsi="Times New Roman" w:eastAsia="仿宋_GB2312" w:cs="Times New Roman"/>
          <w:sz w:val="28"/>
          <w:szCs w:val="28"/>
        </w:rPr>
        <w:t xml:space="preserve">：综合判断。只有项目同时符合《青岛市市级生态环境总体准入清单》和《青岛市环境管控单元生态环境准入清单》时，项目才可行。 </w:t>
      </w:r>
    </w:p>
    <w:p>
      <w:pPr>
        <w:widowControl/>
        <w:adjustRightInd w:val="0"/>
        <w:snapToGrid w:val="0"/>
        <w:spacing w:line="360" w:lineRule="auto"/>
        <w:jc w:val="left"/>
        <w:outlineLvl w:val="0"/>
        <w:rPr>
          <w:rFonts w:ascii="Times New Roman" w:hAnsi="Times New Roman" w:eastAsia="黑体" w:cs="Times New Roman"/>
          <w:b/>
          <w:kern w:val="44"/>
          <w:sz w:val="32"/>
          <w:szCs w:val="30"/>
        </w:rPr>
      </w:pPr>
      <w:bookmarkStart w:id="12" w:name="_Toc137761103"/>
    </w:p>
    <w:p>
      <w:pPr>
        <w:widowControl/>
        <w:adjustRightInd w:val="0"/>
        <w:snapToGrid w:val="0"/>
        <w:spacing w:line="360" w:lineRule="auto"/>
        <w:jc w:val="left"/>
        <w:outlineLvl w:val="0"/>
        <w:rPr>
          <w:rFonts w:ascii="Times New Roman" w:hAnsi="Times New Roman" w:cs="Times New Roman"/>
          <w:b/>
          <w:kern w:val="44"/>
          <w:sz w:val="32"/>
          <w:szCs w:val="30"/>
        </w:rPr>
      </w:pPr>
      <w:bookmarkStart w:id="62" w:name="_GoBack"/>
      <w:bookmarkEnd w:id="62"/>
      <w:r>
        <w:rPr>
          <w:rFonts w:ascii="Times New Roman" w:hAnsi="Times New Roman" w:eastAsia="黑体" w:cs="Times New Roman"/>
          <w:b/>
          <w:kern w:val="44"/>
          <w:sz w:val="32"/>
          <w:szCs w:val="30"/>
        </w:rPr>
        <w:t>二、单元索引图表</w:t>
      </w:r>
      <w:bookmarkEnd w:id="12"/>
    </w:p>
    <w:p>
      <w:pPr>
        <w:widowControl/>
        <w:adjustRightInd w:val="0"/>
        <w:snapToGrid w:val="0"/>
        <w:spacing w:line="360" w:lineRule="auto"/>
        <w:ind w:firstLine="560" w:firstLineChars="20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青岛市环境管控单元索引图（图1）展示了146个环境管控单元的编号以及单元分类、所属乡镇，青岛市环境管控单元索引表（表1）展示了各环境管控单元对应的图上编号、单元编码和清单页码。通过图1的编号对应表1的环境管控单元编码和页码范围，便于查询环境管控单元生态环境准入清单要求。</w:t>
      </w:r>
    </w:p>
    <w:p>
      <w:pPr>
        <w:jc w:val="center"/>
        <w:rPr>
          <w:rFonts w:ascii="Times New Roman" w:hAnsi="Times New Roman" w:cs="Times New Roman"/>
          <w:sz w:val="16"/>
          <w:szCs w:val="16"/>
        </w:rPr>
      </w:pPr>
      <w:r>
        <w:rPr>
          <w:rFonts w:hint="eastAsia"/>
        </w:rPr>
        <w:drawing>
          <wp:inline distT="0" distB="0" distL="114300" distR="114300">
            <wp:extent cx="5269230" cy="7452995"/>
            <wp:effectExtent l="0" t="0" r="3810" b="14605"/>
            <wp:docPr id="5" name="图片 5" descr="C:\Users\Administrator\Desktop\32环境管控单元图.jpg32环境管控单元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istrator\Desktop\32环境管控单元图.jpg32环境管控单元图"/>
                    <pic:cNvPicPr>
                      <a:picLocks noChangeAspect="1"/>
                    </pic:cNvPicPr>
                  </pic:nvPicPr>
                  <pic:blipFill>
                    <a:blip r:embed="rId11"/>
                    <a:srcRect/>
                    <a:stretch>
                      <a:fillRect/>
                    </a:stretch>
                  </pic:blipFill>
                  <pic:spPr>
                    <a:xfrm>
                      <a:off x="0" y="0"/>
                      <a:ext cx="5269230" cy="7452995"/>
                    </a:xfrm>
                    <a:prstGeom prst="rect">
                      <a:avLst/>
                    </a:prstGeom>
                  </pic:spPr>
                </pic:pic>
              </a:graphicData>
            </a:graphic>
          </wp:inline>
        </w:drawing>
      </w:r>
    </w:p>
    <w:p>
      <w:pPr>
        <w:spacing w:line="360" w:lineRule="auto"/>
        <w:ind w:firstLine="602" w:firstLineChars="200"/>
        <w:jc w:val="center"/>
        <w:rPr>
          <w:rFonts w:ascii="Times New Roman" w:hAnsi="Times New Roman" w:eastAsia="黑体" w:cs="Times New Roman"/>
          <w:sz w:val="30"/>
          <w:szCs w:val="30"/>
        </w:rPr>
      </w:pPr>
      <w:r>
        <w:rPr>
          <w:rFonts w:ascii="Times New Roman" w:hAnsi="Times New Roman" w:eastAsia="黑体" w:cs="Times New Roman"/>
          <w:b/>
          <w:sz w:val="30"/>
          <w:szCs w:val="30"/>
        </w:rPr>
        <w:t>图1  青岛市环境管控单元索引图（带编号版）</w:t>
      </w:r>
    </w:p>
    <w:p>
      <w:pPr>
        <w:spacing w:line="360" w:lineRule="auto"/>
        <w:ind w:firstLine="602" w:firstLineChars="200"/>
        <w:jc w:val="center"/>
        <w:rPr>
          <w:rFonts w:ascii="Times New Roman" w:hAnsi="Times New Roman" w:eastAsia="黑体" w:cs="Times New Roman"/>
          <w:b/>
          <w:sz w:val="30"/>
          <w:szCs w:val="30"/>
        </w:rPr>
      </w:pPr>
    </w:p>
    <w:p>
      <w:pPr>
        <w:spacing w:line="360" w:lineRule="auto"/>
        <w:ind w:firstLine="602" w:firstLineChars="200"/>
        <w:jc w:val="center"/>
        <w:rPr>
          <w:rFonts w:ascii="Times New Roman" w:hAnsi="Times New Roman" w:eastAsia="黑体" w:cs="Times New Roman"/>
          <w:b/>
          <w:sz w:val="30"/>
          <w:szCs w:val="30"/>
        </w:rPr>
      </w:pPr>
    </w:p>
    <w:p>
      <w:pPr>
        <w:spacing w:line="360" w:lineRule="auto"/>
        <w:ind w:firstLine="602" w:firstLineChars="200"/>
        <w:jc w:val="center"/>
        <w:rPr>
          <w:rFonts w:ascii="Times New Roman" w:hAnsi="Times New Roman" w:eastAsia="黑体" w:cs="Times New Roman"/>
          <w:sz w:val="30"/>
          <w:szCs w:val="30"/>
        </w:rPr>
      </w:pPr>
      <w:r>
        <w:rPr>
          <w:rFonts w:ascii="Times New Roman" w:hAnsi="Times New Roman" w:eastAsia="黑体" w:cs="Times New Roman"/>
          <w:b/>
          <w:sz w:val="30"/>
          <w:szCs w:val="30"/>
        </w:rPr>
        <w:t>表1  青岛市环境管控单元索引表</w:t>
      </w:r>
    </w:p>
    <w:p>
      <w:pPr>
        <w:rPr>
          <w:rFonts w:ascii="Times New Roman" w:hAnsi="Times New Roman" w:cs="Times New Roman"/>
          <w:sz w:val="16"/>
          <w:szCs w:val="16"/>
        </w:rPr>
      </w:pP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1985"/>
        <w:gridCol w:w="2268"/>
        <w:gridCol w:w="1275"/>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shd w:val="clear" w:color="auto" w:fill="auto"/>
            <w:noWrap/>
            <w:vAlign w:val="center"/>
          </w:tcPr>
          <w:p>
            <w:pPr>
              <w:widowControl/>
              <w:spacing w:line="240" w:lineRule="atLeast"/>
              <w:jc w:val="center"/>
              <w:rPr>
                <w:rFonts w:ascii="Times New Roman" w:hAnsi="Times New Roman" w:eastAsia="黑体" w:cs="Times New Roman"/>
                <w:b/>
                <w:kern w:val="0"/>
                <w:sz w:val="24"/>
                <w:szCs w:val="24"/>
              </w:rPr>
            </w:pPr>
            <w:r>
              <w:rPr>
                <w:rFonts w:ascii="Times New Roman" w:hAnsi="Times New Roman" w:eastAsia="黑体" w:cs="Times New Roman"/>
                <w:b/>
                <w:kern w:val="0"/>
                <w:sz w:val="24"/>
                <w:szCs w:val="24"/>
              </w:rPr>
              <w:t>区市</w:t>
            </w:r>
          </w:p>
        </w:tc>
        <w:tc>
          <w:tcPr>
            <w:tcW w:w="1985" w:type="dxa"/>
            <w:shd w:val="clear" w:color="auto" w:fill="auto"/>
            <w:noWrap/>
            <w:vAlign w:val="center"/>
          </w:tcPr>
          <w:p>
            <w:pPr>
              <w:widowControl/>
              <w:spacing w:line="240" w:lineRule="atLeast"/>
              <w:jc w:val="center"/>
              <w:rPr>
                <w:rFonts w:ascii="Times New Roman" w:hAnsi="Times New Roman" w:eastAsia="黑体" w:cs="Times New Roman"/>
                <w:b/>
                <w:kern w:val="0"/>
                <w:sz w:val="24"/>
                <w:szCs w:val="24"/>
              </w:rPr>
            </w:pPr>
            <w:r>
              <w:rPr>
                <w:rFonts w:ascii="Times New Roman" w:hAnsi="Times New Roman" w:eastAsia="黑体" w:cs="Times New Roman"/>
                <w:b/>
                <w:kern w:val="0"/>
                <w:sz w:val="24"/>
                <w:szCs w:val="24"/>
              </w:rPr>
              <w:t>单元分类</w:t>
            </w:r>
          </w:p>
        </w:tc>
        <w:tc>
          <w:tcPr>
            <w:tcW w:w="2268" w:type="dxa"/>
            <w:shd w:val="clear" w:color="auto" w:fill="auto"/>
            <w:noWrap/>
            <w:vAlign w:val="center"/>
          </w:tcPr>
          <w:p>
            <w:pPr>
              <w:widowControl/>
              <w:spacing w:line="240" w:lineRule="atLeast"/>
              <w:jc w:val="center"/>
              <w:rPr>
                <w:rFonts w:ascii="Times New Roman" w:hAnsi="Times New Roman" w:eastAsia="黑体" w:cs="Times New Roman"/>
                <w:b/>
                <w:kern w:val="0"/>
                <w:sz w:val="24"/>
                <w:szCs w:val="24"/>
              </w:rPr>
            </w:pPr>
            <w:r>
              <w:rPr>
                <w:rFonts w:ascii="Times New Roman" w:hAnsi="Times New Roman" w:eastAsia="黑体" w:cs="Times New Roman"/>
                <w:b/>
                <w:kern w:val="0"/>
                <w:sz w:val="24"/>
                <w:szCs w:val="24"/>
              </w:rPr>
              <w:t>环境管控单元编码</w:t>
            </w:r>
          </w:p>
        </w:tc>
        <w:tc>
          <w:tcPr>
            <w:tcW w:w="1275" w:type="dxa"/>
            <w:vAlign w:val="center"/>
          </w:tcPr>
          <w:p>
            <w:pPr>
              <w:widowControl/>
              <w:spacing w:line="240" w:lineRule="atLeast"/>
              <w:jc w:val="center"/>
              <w:rPr>
                <w:rFonts w:ascii="Times New Roman" w:hAnsi="Times New Roman" w:eastAsia="黑体" w:cs="Times New Roman"/>
                <w:b/>
                <w:kern w:val="0"/>
                <w:sz w:val="24"/>
                <w:szCs w:val="24"/>
              </w:rPr>
            </w:pPr>
            <w:r>
              <w:rPr>
                <w:rFonts w:ascii="Times New Roman" w:hAnsi="Times New Roman" w:eastAsia="黑体" w:cs="Times New Roman"/>
                <w:b/>
                <w:kern w:val="0"/>
                <w:sz w:val="24"/>
                <w:szCs w:val="24"/>
              </w:rPr>
              <w:t>图上编号</w:t>
            </w:r>
          </w:p>
        </w:tc>
        <w:tc>
          <w:tcPr>
            <w:tcW w:w="1497" w:type="dxa"/>
            <w:vAlign w:val="center"/>
          </w:tcPr>
          <w:p>
            <w:pPr>
              <w:widowControl/>
              <w:spacing w:line="240" w:lineRule="atLeast"/>
              <w:jc w:val="center"/>
              <w:rPr>
                <w:rFonts w:ascii="Times New Roman" w:hAnsi="Times New Roman" w:eastAsia="黑体" w:cs="Times New Roman"/>
                <w:b/>
                <w:kern w:val="0"/>
                <w:sz w:val="24"/>
                <w:szCs w:val="24"/>
              </w:rPr>
            </w:pPr>
            <w:r>
              <w:rPr>
                <w:rFonts w:ascii="Times New Roman" w:hAnsi="Times New Roman" w:eastAsia="黑体" w:cs="Times New Roman"/>
                <w:b/>
                <w:kern w:val="0"/>
                <w:sz w:val="24"/>
                <w:szCs w:val="24"/>
              </w:rPr>
              <w:t>管控单元准入要求索引页码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restart"/>
            <w:shd w:val="clear" w:color="auto" w:fill="auto"/>
            <w:noWrap/>
            <w:vAlign w:val="center"/>
          </w:tcPr>
          <w:p>
            <w:pPr>
              <w:widowControl/>
              <w:jc w:val="center"/>
              <w:rPr>
                <w:rFonts w:ascii="Times New Roman" w:hAnsi="Times New Roman" w:eastAsia="黑体" w:cs="Times New Roman"/>
                <w:kern w:val="0"/>
                <w:sz w:val="24"/>
                <w:szCs w:val="24"/>
              </w:rPr>
            </w:pPr>
            <w:r>
              <w:rPr>
                <w:rFonts w:ascii="Times New Roman" w:hAnsi="Times New Roman" w:eastAsia="黑体" w:cs="Times New Roman"/>
                <w:kern w:val="0"/>
                <w:sz w:val="24"/>
                <w:szCs w:val="24"/>
              </w:rPr>
              <w:t>市南区</w:t>
            </w: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优先保护单元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ZH37020210001</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w:t>
            </w:r>
          </w:p>
        </w:tc>
        <w:tc>
          <w:tcPr>
            <w:tcW w:w="1497" w:type="dxa"/>
            <w:vMerge w:val="restart"/>
            <w:vAlign w:val="center"/>
          </w:tcPr>
          <w:p>
            <w:pPr>
              <w:widowControl/>
              <w:jc w:val="center"/>
              <w:rPr>
                <w:rFonts w:hint="default"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9</w:t>
            </w:r>
            <w:r>
              <w:rPr>
                <w:rFonts w:ascii="Times New Roman" w:hAnsi="Times New Roman" w:eastAsia="黑体" w:cs="Times New Roman"/>
                <w:kern w:val="0"/>
                <w:sz w:val="24"/>
                <w:szCs w:val="24"/>
              </w:rPr>
              <w:t>-</w:t>
            </w:r>
            <w:r>
              <w:rPr>
                <w:rFonts w:hint="eastAsia" w:ascii="Times New Roman" w:hAnsi="Times New Roman" w:eastAsia="黑体" w:cs="Times New Roman"/>
                <w:kern w:val="0"/>
                <w:sz w:val="24"/>
                <w:szCs w:val="24"/>
                <w:lang w:val="en-US" w:eastAsia="zh-CN"/>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ZH37020220001</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2</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ZH37020220002</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3</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ZH37020220003</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4</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ZH37020220004</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5</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ZH37020220005</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6</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ZH37020220006</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7</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ZH37020220007</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8</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ZH37020220008</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9</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widowControl/>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ZH37020220009</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10</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restart"/>
            <w:shd w:val="clear" w:color="auto" w:fill="auto"/>
            <w:noWrap/>
            <w:vAlign w:val="center"/>
          </w:tcPr>
          <w:p>
            <w:pPr>
              <w:widowControl/>
              <w:jc w:val="center"/>
              <w:rPr>
                <w:rFonts w:ascii="Times New Roman" w:hAnsi="Times New Roman" w:eastAsia="黑体" w:cs="Times New Roman"/>
                <w:kern w:val="0"/>
                <w:sz w:val="24"/>
                <w:szCs w:val="24"/>
              </w:rPr>
            </w:pPr>
            <w:r>
              <w:rPr>
                <w:rFonts w:ascii="Times New Roman" w:hAnsi="Times New Roman" w:eastAsia="黑体" w:cs="Times New Roman"/>
                <w:kern w:val="0"/>
                <w:sz w:val="24"/>
                <w:szCs w:val="24"/>
              </w:rPr>
              <w:t>市北区</w:t>
            </w: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ZH37020320001</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11</w:t>
            </w:r>
          </w:p>
        </w:tc>
        <w:tc>
          <w:tcPr>
            <w:tcW w:w="1497" w:type="dxa"/>
            <w:vMerge w:val="restart"/>
            <w:vAlign w:val="center"/>
          </w:tcPr>
          <w:p>
            <w:pPr>
              <w:widowControl/>
              <w:jc w:val="center"/>
              <w:rPr>
                <w:rFonts w:hint="eastAsia" w:ascii="Times New Roman" w:hAnsi="Times New Roman" w:eastAsia="黑体" w:cs="Times New Roman"/>
                <w:kern w:val="0"/>
                <w:sz w:val="24"/>
                <w:szCs w:val="24"/>
                <w:lang w:eastAsia="zh-CN"/>
              </w:rPr>
            </w:pPr>
            <w:r>
              <w:rPr>
                <w:rFonts w:ascii="Times New Roman" w:hAnsi="Times New Roman" w:eastAsia="黑体" w:cs="Times New Roman"/>
                <w:kern w:val="0"/>
                <w:sz w:val="24"/>
                <w:szCs w:val="24"/>
              </w:rPr>
              <w:t>1</w:t>
            </w:r>
            <w:r>
              <w:rPr>
                <w:rFonts w:hint="eastAsia" w:ascii="Times New Roman" w:hAnsi="Times New Roman" w:eastAsia="黑体" w:cs="Times New Roman"/>
                <w:kern w:val="0"/>
                <w:sz w:val="24"/>
                <w:szCs w:val="24"/>
                <w:lang w:val="en-US" w:eastAsia="zh-CN"/>
              </w:rPr>
              <w:t>4</w:t>
            </w:r>
            <w:r>
              <w:rPr>
                <w:rFonts w:ascii="Times New Roman" w:hAnsi="Times New Roman" w:eastAsia="黑体" w:cs="Times New Roman"/>
                <w:kern w:val="0"/>
                <w:sz w:val="24"/>
                <w:szCs w:val="24"/>
              </w:rPr>
              <w:t>-2</w:t>
            </w:r>
            <w:r>
              <w:rPr>
                <w:rFonts w:hint="eastAsia" w:ascii="Times New Roman" w:hAnsi="Times New Roman" w:eastAsia="黑体" w:cs="Times New Roman"/>
                <w:kern w:val="0"/>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ZH37020320002</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12</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ZH37020320003</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13</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ZH37020320004</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14</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ZH37020320005</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15</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ZH37020320006</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16</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ZH37020320007</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17</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ZH37020320008</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18</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ZH37020320009</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19</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ZH37020320010</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20</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ZH37020320011</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21</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ZH37020320012</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22</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ZH37020320013</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23</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ZH37020320014</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24</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ZH37020320015</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25</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ZH37020320016</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26</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ZH37020320017</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27</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ZH37020320018</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28</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ZH37020320019</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29</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ZH37020320020</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30</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ZH37020320021</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31</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widowControl/>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ZH37020320022</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32</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restart"/>
            <w:shd w:val="clear" w:color="auto" w:fill="auto"/>
            <w:noWrap/>
            <w:vAlign w:val="center"/>
          </w:tcPr>
          <w:p>
            <w:pPr>
              <w:widowControl/>
              <w:jc w:val="center"/>
              <w:rPr>
                <w:rFonts w:ascii="Times New Roman" w:hAnsi="Times New Roman" w:eastAsia="黑体" w:cs="Times New Roman"/>
                <w:kern w:val="0"/>
                <w:sz w:val="24"/>
                <w:szCs w:val="24"/>
              </w:rPr>
            </w:pPr>
            <w:r>
              <w:rPr>
                <w:rFonts w:ascii="Times New Roman" w:hAnsi="Times New Roman" w:eastAsia="黑体" w:cs="Times New Roman"/>
                <w:kern w:val="0"/>
                <w:sz w:val="24"/>
                <w:szCs w:val="24"/>
              </w:rPr>
              <w:t>李沧区</w:t>
            </w: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ZH37021320001</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33</w:t>
            </w:r>
          </w:p>
        </w:tc>
        <w:tc>
          <w:tcPr>
            <w:tcW w:w="1497" w:type="dxa"/>
            <w:vMerge w:val="restart"/>
            <w:vAlign w:val="center"/>
          </w:tcPr>
          <w:p>
            <w:pPr>
              <w:widowControl/>
              <w:jc w:val="center"/>
              <w:rPr>
                <w:rFonts w:hint="default" w:ascii="Times New Roman" w:hAnsi="Times New Roman" w:eastAsia="黑体" w:cs="Times New Roman"/>
                <w:kern w:val="0"/>
                <w:sz w:val="24"/>
                <w:szCs w:val="24"/>
                <w:lang w:val="en-US" w:eastAsia="zh-CN"/>
              </w:rPr>
            </w:pPr>
            <w:r>
              <w:rPr>
                <w:rFonts w:ascii="Times New Roman" w:hAnsi="Times New Roman" w:eastAsia="黑体" w:cs="Times New Roman"/>
                <w:kern w:val="0"/>
                <w:sz w:val="24"/>
                <w:szCs w:val="24"/>
              </w:rPr>
              <w:t>2</w:t>
            </w:r>
            <w:r>
              <w:rPr>
                <w:rFonts w:hint="eastAsia" w:ascii="Times New Roman" w:hAnsi="Times New Roman" w:eastAsia="黑体" w:cs="Times New Roman"/>
                <w:kern w:val="0"/>
                <w:sz w:val="24"/>
                <w:szCs w:val="24"/>
                <w:lang w:val="en-US" w:eastAsia="zh-CN"/>
              </w:rPr>
              <w:t>5</w:t>
            </w:r>
            <w:r>
              <w:rPr>
                <w:rFonts w:ascii="Times New Roman" w:hAnsi="Times New Roman" w:eastAsia="黑体" w:cs="Times New Roman"/>
                <w:kern w:val="0"/>
                <w:sz w:val="24"/>
                <w:szCs w:val="24"/>
              </w:rPr>
              <w:t>-</w:t>
            </w:r>
            <w:r>
              <w:rPr>
                <w:rFonts w:hint="eastAsia" w:ascii="Times New Roman" w:hAnsi="Times New Roman" w:eastAsia="黑体" w:cs="Times New Roman"/>
                <w:kern w:val="0"/>
                <w:sz w:val="24"/>
                <w:szCs w:val="24"/>
                <w:lang w:val="en-US" w:eastAsia="zh-CN"/>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ZH37021320002</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34</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ZH37021320003</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35</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ZH37021320004</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36</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ZH37021320005</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37</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ZH37021320006</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38</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ZH37021320007</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39</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ZH37021320008</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40</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ZH37021320009</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41</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ZH37021320010</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42</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widowControl/>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ZH37021320011</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43</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restart"/>
            <w:shd w:val="clear" w:color="auto" w:fill="auto"/>
            <w:noWrap/>
            <w:vAlign w:val="center"/>
          </w:tcPr>
          <w:p>
            <w:pPr>
              <w:widowControl/>
              <w:jc w:val="center"/>
              <w:rPr>
                <w:rFonts w:ascii="Times New Roman" w:hAnsi="Times New Roman" w:eastAsia="黑体" w:cs="Times New Roman"/>
                <w:kern w:val="0"/>
                <w:sz w:val="24"/>
                <w:szCs w:val="24"/>
              </w:rPr>
            </w:pPr>
            <w:r>
              <w:rPr>
                <w:rFonts w:ascii="Times New Roman" w:hAnsi="Times New Roman" w:eastAsia="黑体" w:cs="Times New Roman"/>
                <w:kern w:val="0"/>
                <w:sz w:val="24"/>
                <w:szCs w:val="24"/>
              </w:rPr>
              <w:t>崂山区</w:t>
            </w:r>
          </w:p>
          <w:p>
            <w:pPr>
              <w:widowControl/>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优先保护单元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ZH37021210001</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44</w:t>
            </w:r>
          </w:p>
        </w:tc>
        <w:tc>
          <w:tcPr>
            <w:tcW w:w="1497" w:type="dxa"/>
            <w:vMerge w:val="restart"/>
            <w:vAlign w:val="center"/>
          </w:tcPr>
          <w:p>
            <w:pPr>
              <w:widowControl/>
              <w:jc w:val="center"/>
              <w:rPr>
                <w:rFonts w:hint="eastAsia" w:ascii="Times New Roman" w:hAnsi="Times New Roman" w:eastAsia="黑体" w:cs="Times New Roman"/>
                <w:kern w:val="0"/>
                <w:sz w:val="24"/>
                <w:szCs w:val="24"/>
                <w:lang w:eastAsia="zh-CN"/>
              </w:rPr>
            </w:pPr>
            <w:r>
              <w:rPr>
                <w:rFonts w:ascii="Times New Roman" w:hAnsi="Times New Roman" w:eastAsia="黑体" w:cs="Times New Roman"/>
                <w:kern w:val="0"/>
                <w:sz w:val="24"/>
                <w:szCs w:val="24"/>
              </w:rPr>
              <w:t>3</w:t>
            </w:r>
            <w:r>
              <w:rPr>
                <w:rFonts w:hint="eastAsia" w:ascii="Times New Roman" w:hAnsi="Times New Roman" w:eastAsia="黑体" w:cs="Times New Roman"/>
                <w:kern w:val="0"/>
                <w:sz w:val="24"/>
                <w:szCs w:val="24"/>
                <w:lang w:val="en-US" w:eastAsia="zh-CN"/>
              </w:rPr>
              <w:t>4</w:t>
            </w:r>
            <w:r>
              <w:rPr>
                <w:rFonts w:ascii="Times New Roman" w:hAnsi="Times New Roman" w:eastAsia="黑体" w:cs="Times New Roman"/>
                <w:kern w:val="0"/>
                <w:sz w:val="24"/>
                <w:szCs w:val="24"/>
              </w:rPr>
              <w:t>-3</w:t>
            </w:r>
            <w:r>
              <w:rPr>
                <w:rFonts w:hint="eastAsia" w:ascii="Times New Roman" w:hAnsi="Times New Roman" w:eastAsia="黑体" w:cs="Times New Roman"/>
                <w:kern w:val="0"/>
                <w:sz w:val="24"/>
                <w:szCs w:val="24"/>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优先保护单元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ZH37021210002</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45</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优先保护单元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ZH37021210003</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46</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ZH37021220001</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47</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widowControl/>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ZH37021220002</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48</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restart"/>
            <w:shd w:val="clear" w:color="auto" w:fill="auto"/>
            <w:noWrap/>
            <w:vAlign w:val="center"/>
          </w:tcPr>
          <w:p>
            <w:pPr>
              <w:jc w:val="center"/>
              <w:rPr>
                <w:rFonts w:ascii="Times New Roman" w:hAnsi="Times New Roman" w:eastAsia="黑体" w:cs="Times New Roman"/>
                <w:kern w:val="0"/>
                <w:sz w:val="24"/>
                <w:szCs w:val="24"/>
              </w:rPr>
            </w:pPr>
            <w:r>
              <w:rPr>
                <w:rFonts w:ascii="Times New Roman" w:hAnsi="Times New Roman" w:eastAsia="黑体" w:cs="Times New Roman"/>
                <w:kern w:val="0"/>
                <w:sz w:val="24"/>
                <w:szCs w:val="24"/>
              </w:rPr>
              <w:t>西海岸新区</w:t>
            </w: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优先保护单元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ZH37021110001</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49</w:t>
            </w:r>
          </w:p>
        </w:tc>
        <w:tc>
          <w:tcPr>
            <w:tcW w:w="1497" w:type="dxa"/>
            <w:vMerge w:val="restart"/>
            <w:vAlign w:val="center"/>
          </w:tcPr>
          <w:p>
            <w:pPr>
              <w:widowControl/>
              <w:jc w:val="center"/>
              <w:rPr>
                <w:rFonts w:hint="eastAsia" w:ascii="Times New Roman" w:hAnsi="Times New Roman" w:eastAsia="黑体" w:cs="Times New Roman"/>
                <w:kern w:val="0"/>
                <w:sz w:val="24"/>
                <w:szCs w:val="24"/>
                <w:lang w:eastAsia="zh-CN"/>
              </w:rPr>
            </w:pPr>
            <w:r>
              <w:rPr>
                <w:rFonts w:ascii="Times New Roman" w:hAnsi="Times New Roman" w:eastAsia="黑体" w:cs="Times New Roman"/>
                <w:kern w:val="0"/>
                <w:sz w:val="24"/>
                <w:szCs w:val="24"/>
              </w:rPr>
              <w:t>3</w:t>
            </w:r>
            <w:r>
              <w:rPr>
                <w:rFonts w:hint="eastAsia" w:ascii="Times New Roman" w:hAnsi="Times New Roman" w:eastAsia="黑体" w:cs="Times New Roman"/>
                <w:kern w:val="0"/>
                <w:sz w:val="24"/>
                <w:szCs w:val="24"/>
                <w:lang w:val="en-US" w:eastAsia="zh-CN"/>
              </w:rPr>
              <w:t>9</w:t>
            </w:r>
            <w:r>
              <w:rPr>
                <w:rFonts w:ascii="Times New Roman" w:hAnsi="Times New Roman" w:eastAsia="黑体" w:cs="Times New Roman"/>
                <w:kern w:val="0"/>
                <w:sz w:val="24"/>
                <w:szCs w:val="24"/>
              </w:rPr>
              <w:t>-5</w:t>
            </w:r>
            <w:r>
              <w:rPr>
                <w:rFonts w:hint="eastAsia" w:ascii="Times New Roman" w:hAnsi="Times New Roman" w:eastAsia="黑体" w:cs="Times New Roman"/>
                <w:kern w:val="0"/>
                <w:sz w:val="24"/>
                <w:szCs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优先保护单元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ZH37021110002</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50</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优先保护单元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ZH37021110003</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51</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优先保护单元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ZH37021110004</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52</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优先保护单元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ZH37021110005</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53</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优先保护单元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ZH37021110006</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54</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优先保护单元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ZH37021110007</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55</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ZH37021120001</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56</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ZH37021120002</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57</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ZH37021120003</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58</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ZH37021120004</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59</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ZH37021120005</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60</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ZH37021120006</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61</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ZH37021120007</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62</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ZH37021120008</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63</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ZH37021120009</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64</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ZH37021120010</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65</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ZH37021120011</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66</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ZH37021120012</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67</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ZH37021120013</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68</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ZH37021130001</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69</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ZH37021130002</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70</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ZH37021130003</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71</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ZH37021130004</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72</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ZH37021130005</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73</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ZH37021130006</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74</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widowControl/>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ZH37021130007</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75</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restart"/>
            <w:shd w:val="clear" w:color="auto" w:fill="auto"/>
            <w:noWrap/>
            <w:vAlign w:val="center"/>
          </w:tcPr>
          <w:p>
            <w:pPr>
              <w:widowControl/>
              <w:jc w:val="center"/>
              <w:rPr>
                <w:rFonts w:ascii="Times New Roman" w:hAnsi="Times New Roman" w:eastAsia="黑体" w:cs="Times New Roman"/>
                <w:kern w:val="0"/>
                <w:sz w:val="24"/>
                <w:szCs w:val="24"/>
              </w:rPr>
            </w:pPr>
            <w:r>
              <w:rPr>
                <w:rFonts w:ascii="Times New Roman" w:hAnsi="Times New Roman" w:eastAsia="黑体" w:cs="Times New Roman"/>
                <w:kern w:val="0"/>
                <w:sz w:val="24"/>
                <w:szCs w:val="24"/>
              </w:rPr>
              <w:t>城阳区</w:t>
            </w: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优先保护单元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ZH37021410001</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76</w:t>
            </w:r>
          </w:p>
        </w:tc>
        <w:tc>
          <w:tcPr>
            <w:tcW w:w="1497" w:type="dxa"/>
            <w:vMerge w:val="restart"/>
            <w:vAlign w:val="center"/>
          </w:tcPr>
          <w:p>
            <w:pPr>
              <w:widowControl/>
              <w:jc w:val="center"/>
              <w:rPr>
                <w:rFonts w:hint="eastAsia" w:ascii="Times New Roman" w:hAnsi="Times New Roman" w:eastAsia="黑体" w:cs="Times New Roman"/>
                <w:kern w:val="0"/>
                <w:sz w:val="24"/>
                <w:szCs w:val="24"/>
                <w:lang w:eastAsia="zh-CN"/>
              </w:rPr>
            </w:pPr>
            <w:r>
              <w:rPr>
                <w:rFonts w:ascii="Times New Roman" w:hAnsi="Times New Roman" w:eastAsia="黑体" w:cs="Times New Roman"/>
                <w:kern w:val="0"/>
                <w:sz w:val="24"/>
                <w:szCs w:val="24"/>
              </w:rPr>
              <w:t>5</w:t>
            </w:r>
            <w:r>
              <w:rPr>
                <w:rFonts w:hint="eastAsia" w:ascii="Times New Roman" w:hAnsi="Times New Roman" w:eastAsia="黑体" w:cs="Times New Roman"/>
                <w:kern w:val="0"/>
                <w:sz w:val="24"/>
                <w:szCs w:val="24"/>
                <w:lang w:val="en-US" w:eastAsia="zh-CN"/>
              </w:rPr>
              <w:t>7</w:t>
            </w:r>
            <w:r>
              <w:rPr>
                <w:rFonts w:ascii="Times New Roman" w:hAnsi="Times New Roman" w:eastAsia="黑体" w:cs="Times New Roman"/>
                <w:kern w:val="0"/>
                <w:sz w:val="24"/>
                <w:szCs w:val="24"/>
              </w:rPr>
              <w:t>-6</w:t>
            </w:r>
            <w:r>
              <w:rPr>
                <w:rFonts w:hint="eastAsia" w:ascii="Times New Roman" w:hAnsi="Times New Roman" w:eastAsia="黑体" w:cs="Times New Roman"/>
                <w:kern w:val="0"/>
                <w:sz w:val="24"/>
                <w:szCs w:val="24"/>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ZH37021420001</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77</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ZH37021420002</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78</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ZH37021420003</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79</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ZH37021420004</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80</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ZH37021420006</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81</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ZH37021420007</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82</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ZH37021420008</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83</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ZH37021420009</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84</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widowControl/>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ZH37021420005</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85</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restart"/>
            <w:shd w:val="clear" w:color="auto" w:fill="auto"/>
            <w:noWrap/>
            <w:vAlign w:val="center"/>
          </w:tcPr>
          <w:p>
            <w:pPr>
              <w:widowControl/>
              <w:jc w:val="center"/>
              <w:rPr>
                <w:rFonts w:ascii="Times New Roman" w:hAnsi="Times New Roman" w:eastAsia="黑体" w:cs="Times New Roman"/>
                <w:kern w:val="0"/>
                <w:sz w:val="24"/>
                <w:szCs w:val="24"/>
              </w:rPr>
            </w:pPr>
            <w:r>
              <w:rPr>
                <w:rFonts w:ascii="Times New Roman" w:hAnsi="Times New Roman" w:eastAsia="黑体" w:cs="Times New Roman"/>
                <w:kern w:val="0"/>
                <w:sz w:val="24"/>
                <w:szCs w:val="24"/>
              </w:rPr>
              <w:t>即墨区</w:t>
            </w: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ZH37021520008</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86</w:t>
            </w:r>
          </w:p>
        </w:tc>
        <w:tc>
          <w:tcPr>
            <w:tcW w:w="1497" w:type="dxa"/>
            <w:vMerge w:val="restart"/>
            <w:vAlign w:val="center"/>
          </w:tcPr>
          <w:p>
            <w:pPr>
              <w:widowControl/>
              <w:jc w:val="center"/>
              <w:rPr>
                <w:rFonts w:hint="default" w:ascii="Times New Roman" w:hAnsi="Times New Roman" w:eastAsia="黑体" w:cs="Times New Roman"/>
                <w:kern w:val="0"/>
                <w:sz w:val="24"/>
                <w:szCs w:val="24"/>
                <w:lang w:val="en-US" w:eastAsia="zh-CN"/>
              </w:rPr>
            </w:pPr>
            <w:r>
              <w:rPr>
                <w:rFonts w:ascii="Times New Roman" w:hAnsi="Times New Roman" w:eastAsia="黑体" w:cs="Times New Roman"/>
                <w:kern w:val="0"/>
                <w:sz w:val="24"/>
                <w:szCs w:val="24"/>
              </w:rPr>
              <w:t>6</w:t>
            </w:r>
            <w:r>
              <w:rPr>
                <w:rFonts w:hint="eastAsia" w:ascii="Times New Roman" w:hAnsi="Times New Roman" w:eastAsia="黑体" w:cs="Times New Roman"/>
                <w:kern w:val="0"/>
                <w:sz w:val="24"/>
                <w:szCs w:val="24"/>
                <w:lang w:val="en-US" w:eastAsia="zh-CN"/>
              </w:rPr>
              <w:t>6</w:t>
            </w:r>
            <w:r>
              <w:rPr>
                <w:rFonts w:ascii="Times New Roman" w:hAnsi="Times New Roman" w:eastAsia="黑体" w:cs="Times New Roman"/>
                <w:kern w:val="0"/>
                <w:sz w:val="24"/>
                <w:szCs w:val="24"/>
              </w:rPr>
              <w:t>-</w:t>
            </w:r>
            <w:r>
              <w:rPr>
                <w:rFonts w:hint="eastAsia" w:ascii="Times New Roman" w:hAnsi="Times New Roman" w:eastAsia="黑体" w:cs="Times New Roman"/>
                <w:kern w:val="0"/>
                <w:sz w:val="24"/>
                <w:szCs w:val="24"/>
                <w:lang w:val="en-US" w:eastAsia="zh-CN"/>
              </w:rPr>
              <w:t>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ZH37021520010</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87</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ZH37021520003</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88</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ZH37021520004</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89</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ZH37021520006</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90</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ZH37021520007</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91</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ZH37021530003</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92</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ZH37021530006</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93</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ZH37021530008</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94</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ZH37021520001</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95</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ZH37021520002</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96</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ZH37021520005</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97</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ZH37021520009</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98</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ZH37021530001</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99</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ZH37021530002</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100</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ZH37021530004</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101</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ZH37021530005</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102</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widowControl/>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ZH37021530007</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103</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restart"/>
            <w:shd w:val="clear" w:color="auto" w:fill="auto"/>
            <w:noWrap/>
            <w:vAlign w:val="center"/>
          </w:tcPr>
          <w:p>
            <w:pPr>
              <w:widowControl/>
              <w:jc w:val="center"/>
              <w:rPr>
                <w:rFonts w:ascii="Times New Roman" w:hAnsi="Times New Roman" w:eastAsia="黑体" w:cs="Times New Roman"/>
                <w:kern w:val="0"/>
                <w:sz w:val="24"/>
                <w:szCs w:val="24"/>
              </w:rPr>
            </w:pPr>
            <w:r>
              <w:rPr>
                <w:rFonts w:ascii="Times New Roman" w:hAnsi="Times New Roman" w:eastAsia="黑体" w:cs="Times New Roman"/>
                <w:kern w:val="0"/>
                <w:sz w:val="24"/>
                <w:szCs w:val="24"/>
              </w:rPr>
              <w:t>胶州市</w:t>
            </w: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优先保护单元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ZH37028110001</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104</w:t>
            </w:r>
          </w:p>
        </w:tc>
        <w:tc>
          <w:tcPr>
            <w:tcW w:w="1497" w:type="dxa"/>
            <w:vMerge w:val="restart"/>
            <w:vAlign w:val="center"/>
          </w:tcPr>
          <w:p>
            <w:pPr>
              <w:widowControl/>
              <w:jc w:val="center"/>
              <w:rPr>
                <w:rFonts w:hint="default" w:ascii="Times New Roman" w:hAnsi="Times New Roman" w:eastAsia="黑体" w:cs="Times New Roman"/>
                <w:kern w:val="0"/>
                <w:sz w:val="24"/>
                <w:szCs w:val="24"/>
                <w:lang w:val="en-US" w:eastAsia="zh-CN"/>
              </w:rPr>
            </w:pPr>
            <w:r>
              <w:rPr>
                <w:rFonts w:ascii="Times New Roman" w:hAnsi="Times New Roman" w:eastAsia="黑体" w:cs="Times New Roman"/>
                <w:kern w:val="0"/>
                <w:sz w:val="24"/>
                <w:szCs w:val="24"/>
              </w:rPr>
              <w:t>8</w:t>
            </w:r>
            <w:r>
              <w:rPr>
                <w:rFonts w:hint="eastAsia" w:ascii="Times New Roman" w:hAnsi="Times New Roman" w:eastAsia="黑体" w:cs="Times New Roman"/>
                <w:kern w:val="0"/>
                <w:sz w:val="24"/>
                <w:szCs w:val="24"/>
                <w:lang w:val="en-US" w:eastAsia="zh-CN"/>
              </w:rPr>
              <w:t>5</w:t>
            </w:r>
            <w:r>
              <w:rPr>
                <w:rFonts w:ascii="Times New Roman" w:hAnsi="Times New Roman" w:eastAsia="黑体" w:cs="Times New Roman"/>
                <w:kern w:val="0"/>
                <w:sz w:val="24"/>
                <w:szCs w:val="24"/>
              </w:rPr>
              <w:t>-</w:t>
            </w:r>
            <w:r>
              <w:rPr>
                <w:rFonts w:hint="eastAsia" w:ascii="Times New Roman" w:hAnsi="Times New Roman" w:eastAsia="黑体" w:cs="Times New Roman"/>
                <w:kern w:val="0"/>
                <w:sz w:val="24"/>
                <w:szCs w:val="24"/>
                <w:lang w:val="en-US" w:eastAsia="zh-CN"/>
              </w:rPr>
              <w:t>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ZH37028120002</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105</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ZH37028120003</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106</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ZH37028120005</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107</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ZH37028120006</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108</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ZH37028130001</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109</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ZH37028130002</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110</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ZH37028130003</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111</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ZH37028120001</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112</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ZH37028120004</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113</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ZH37028120007</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114</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widowControl/>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ZH37028130004</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115</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restart"/>
            <w:shd w:val="clear" w:color="auto" w:fill="auto"/>
            <w:noWrap/>
            <w:vAlign w:val="center"/>
          </w:tcPr>
          <w:p>
            <w:pPr>
              <w:widowControl/>
              <w:jc w:val="center"/>
              <w:rPr>
                <w:rFonts w:ascii="Times New Roman" w:hAnsi="Times New Roman" w:eastAsia="黑体" w:cs="Times New Roman"/>
                <w:kern w:val="0"/>
                <w:sz w:val="24"/>
                <w:szCs w:val="24"/>
              </w:rPr>
            </w:pPr>
          </w:p>
          <w:p>
            <w:pPr>
              <w:jc w:val="center"/>
              <w:rPr>
                <w:rFonts w:ascii="Times New Roman" w:hAnsi="Times New Roman" w:eastAsia="黑体" w:cs="Times New Roman"/>
                <w:kern w:val="0"/>
                <w:sz w:val="24"/>
                <w:szCs w:val="24"/>
              </w:rPr>
            </w:pPr>
            <w:r>
              <w:rPr>
                <w:rFonts w:ascii="Times New Roman" w:hAnsi="Times New Roman" w:eastAsia="黑体" w:cs="Times New Roman"/>
                <w:kern w:val="0"/>
                <w:sz w:val="24"/>
                <w:szCs w:val="24"/>
              </w:rPr>
              <w:t>平度市</w:t>
            </w: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优先保护单元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ZH37028310001</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116</w:t>
            </w:r>
          </w:p>
        </w:tc>
        <w:tc>
          <w:tcPr>
            <w:tcW w:w="1497" w:type="dxa"/>
            <w:vMerge w:val="restart"/>
            <w:vAlign w:val="center"/>
          </w:tcPr>
          <w:p>
            <w:pPr>
              <w:widowControl/>
              <w:jc w:val="center"/>
              <w:rPr>
                <w:rFonts w:hint="default"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93</w:t>
            </w:r>
            <w:r>
              <w:rPr>
                <w:rFonts w:ascii="Times New Roman" w:hAnsi="Times New Roman" w:eastAsia="黑体" w:cs="Times New Roman"/>
                <w:kern w:val="0"/>
                <w:sz w:val="24"/>
                <w:szCs w:val="24"/>
              </w:rPr>
              <w:t>-</w:t>
            </w:r>
            <w:r>
              <w:rPr>
                <w:rFonts w:hint="eastAsia" w:ascii="Times New Roman" w:hAnsi="Times New Roman" w:eastAsia="黑体" w:cs="Times New Roman"/>
                <w:kern w:val="0"/>
                <w:sz w:val="24"/>
                <w:szCs w:val="24"/>
                <w:lang w:val="en-US" w:eastAsia="zh-CN"/>
              </w:rPr>
              <w:t>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优先保护单元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ZH37028310002</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117</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优先保护单元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ZH37028310003</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118</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优先保护单元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ZH37028310004</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119</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ZH37028320001</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120</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ZH37028320002</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121</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ZH37028320003</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122</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ZH37028320004</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123</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ZH37028320005</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124</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ZH37028320006</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125</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ZH37028320007</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126</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ZH37028330001</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127</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ZH37028330002</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128</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ZH37028330003</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129</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ZH37028330004</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130</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ZH37028330005</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131</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ZH37028330006</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132</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widowControl/>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ZH37028330007</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133</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restart"/>
            <w:shd w:val="clear" w:color="auto" w:fill="auto"/>
            <w:noWrap/>
            <w:vAlign w:val="center"/>
          </w:tcPr>
          <w:p>
            <w:pPr>
              <w:widowControl/>
              <w:jc w:val="center"/>
              <w:rPr>
                <w:rFonts w:ascii="Times New Roman" w:hAnsi="Times New Roman" w:eastAsia="黑体" w:cs="Times New Roman"/>
                <w:kern w:val="0"/>
                <w:sz w:val="24"/>
                <w:szCs w:val="24"/>
              </w:rPr>
            </w:pPr>
            <w:r>
              <w:rPr>
                <w:rFonts w:ascii="Times New Roman" w:hAnsi="Times New Roman" w:eastAsia="黑体" w:cs="Times New Roman"/>
                <w:kern w:val="0"/>
                <w:sz w:val="24"/>
                <w:szCs w:val="24"/>
              </w:rPr>
              <w:t>莱西市</w:t>
            </w: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ZH37028530003</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134</w:t>
            </w:r>
          </w:p>
        </w:tc>
        <w:tc>
          <w:tcPr>
            <w:tcW w:w="1497" w:type="dxa"/>
            <w:vMerge w:val="restart"/>
            <w:vAlign w:val="center"/>
          </w:tcPr>
          <w:p>
            <w:pPr>
              <w:widowControl/>
              <w:jc w:val="center"/>
              <w:rPr>
                <w:rFonts w:hint="default"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105</w:t>
            </w:r>
            <w:r>
              <w:rPr>
                <w:rFonts w:ascii="Times New Roman" w:hAnsi="Times New Roman" w:eastAsia="黑体" w:cs="Times New Roman"/>
                <w:kern w:val="0"/>
                <w:sz w:val="24"/>
                <w:szCs w:val="24"/>
              </w:rPr>
              <w:t>-1</w:t>
            </w:r>
            <w:r>
              <w:rPr>
                <w:rFonts w:hint="eastAsia" w:ascii="Times New Roman" w:hAnsi="Times New Roman" w:eastAsia="黑体" w:cs="Times New Roman"/>
                <w:kern w:val="0"/>
                <w:sz w:val="24"/>
                <w:szCs w:val="24"/>
                <w:lang w:val="en-US" w:eastAsia="zh-CN"/>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ZH37028530004</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135</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优先保护单元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ZH37028510001</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136</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优先保护单元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ZH37028510002</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137</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优先保护单元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ZH37028510003</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138</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优先保护单元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ZH37028510004</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139</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ZH37028520001</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140</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ZH37028520002</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141</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ZH37028520003</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142</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ZH37028520004</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143</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ZH37028520005</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144</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2268"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ZH37028530001</w:t>
            </w:r>
          </w:p>
        </w:tc>
        <w:tc>
          <w:tcPr>
            <w:tcW w:w="1275" w:type="dxa"/>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145</w:t>
            </w:r>
          </w:p>
        </w:tc>
        <w:tc>
          <w:tcPr>
            <w:tcW w:w="1497" w:type="dxa"/>
            <w:vMerge w:val="continue"/>
            <w:vAlign w:val="center"/>
          </w:tcPr>
          <w:p>
            <w:pPr>
              <w:widowControl/>
              <w:jc w:val="center"/>
              <w:rPr>
                <w:rFonts w:ascii="Times New Roman" w:hAnsi="Times New Roman"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auto"/>
            <w:noWrap/>
            <w:vAlign w:val="center"/>
          </w:tcPr>
          <w:p>
            <w:pPr>
              <w:widowControl/>
              <w:jc w:val="center"/>
              <w:rPr>
                <w:rFonts w:ascii="Times New Roman" w:hAnsi="Times New Roman" w:eastAsia="黑体" w:cs="Times New Roman"/>
                <w:kern w:val="0"/>
                <w:sz w:val="24"/>
                <w:szCs w:val="24"/>
              </w:rPr>
            </w:pPr>
          </w:p>
        </w:tc>
        <w:tc>
          <w:tcPr>
            <w:tcW w:w="1985" w:type="dxa"/>
            <w:shd w:val="clear" w:color="auto" w:fill="auto"/>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2268" w:type="dxa"/>
            <w:shd w:val="clear" w:color="auto" w:fill="auto"/>
            <w:noWrap/>
            <w:vAlign w:val="center"/>
          </w:tcPr>
          <w:p>
            <w:pPr>
              <w:widowControl/>
              <w:jc w:val="center"/>
              <w:rPr>
                <w:rFonts w:hint="default" w:ascii="Times New Roman" w:hAnsi="Times New Roman" w:eastAsia="黑体" w:cs="Times New Roman"/>
                <w:kern w:val="0"/>
                <w:sz w:val="24"/>
                <w:szCs w:val="24"/>
                <w:lang w:val="en-US" w:eastAsia="zh-CN"/>
              </w:rPr>
            </w:pPr>
            <w:r>
              <w:rPr>
                <w:rFonts w:hint="default" w:ascii="Times New Roman" w:hAnsi="Times New Roman" w:eastAsia="黑体" w:cs="Times New Roman"/>
                <w:kern w:val="0"/>
                <w:sz w:val="24"/>
                <w:szCs w:val="24"/>
                <w:lang w:val="en-US" w:eastAsia="zh-CN"/>
              </w:rPr>
              <w:t>ZH37028530002</w:t>
            </w:r>
          </w:p>
        </w:tc>
        <w:tc>
          <w:tcPr>
            <w:tcW w:w="1275" w:type="dxa"/>
            <w:vAlign w:val="center"/>
          </w:tcPr>
          <w:p>
            <w:pPr>
              <w:widowControl/>
              <w:jc w:val="center"/>
              <w:rPr>
                <w:rFonts w:hint="default" w:ascii="Times New Roman" w:hAnsi="Times New Roman" w:eastAsia="黑体" w:cs="Times New Roman"/>
                <w:kern w:val="0"/>
                <w:sz w:val="24"/>
                <w:szCs w:val="24"/>
                <w:lang w:val="en-US" w:eastAsia="zh-CN"/>
              </w:rPr>
            </w:pPr>
            <w:r>
              <w:rPr>
                <w:rFonts w:hint="default" w:ascii="Times New Roman" w:hAnsi="Times New Roman" w:eastAsia="黑体" w:cs="Times New Roman"/>
                <w:kern w:val="0"/>
                <w:sz w:val="24"/>
                <w:szCs w:val="24"/>
                <w:lang w:val="en-US" w:eastAsia="zh-CN"/>
              </w:rPr>
              <w:t>146</w:t>
            </w:r>
          </w:p>
        </w:tc>
        <w:tc>
          <w:tcPr>
            <w:tcW w:w="1497" w:type="dxa"/>
            <w:vMerge w:val="continue"/>
            <w:vAlign w:val="center"/>
          </w:tcPr>
          <w:p>
            <w:pPr>
              <w:widowControl/>
              <w:jc w:val="center"/>
              <w:rPr>
                <w:rFonts w:ascii="Times New Roman" w:hAnsi="Times New Roman" w:eastAsia="黑体" w:cs="Times New Roman"/>
                <w:kern w:val="0"/>
                <w:sz w:val="24"/>
                <w:szCs w:val="24"/>
              </w:rPr>
            </w:pPr>
          </w:p>
        </w:tc>
      </w:tr>
    </w:tbl>
    <w:p>
      <w:pPr>
        <w:rPr>
          <w:rFonts w:ascii="Times New Roman" w:hAnsi="Times New Roman" w:cs="Times New Roman"/>
        </w:rPr>
      </w:pPr>
    </w:p>
    <w:p>
      <w:pPr>
        <w:spacing w:line="360" w:lineRule="auto"/>
        <w:ind w:firstLine="602" w:firstLineChars="200"/>
        <w:jc w:val="center"/>
        <w:rPr>
          <w:rFonts w:ascii="Times New Roman" w:hAnsi="Times New Roman" w:eastAsia="黑体" w:cs="Times New Roman"/>
          <w:sz w:val="30"/>
          <w:szCs w:val="30"/>
        </w:rPr>
      </w:pPr>
      <w:r>
        <w:rPr>
          <w:rFonts w:hint="eastAsia" w:ascii="Times New Roman" w:hAnsi="Times New Roman" w:eastAsia="黑体" w:cs="Times New Roman"/>
          <w:b/>
          <w:sz w:val="30"/>
          <w:szCs w:val="30"/>
        </w:rPr>
        <w:t>表</w:t>
      </w:r>
      <w:r>
        <w:rPr>
          <w:rFonts w:ascii="Times New Roman" w:hAnsi="Times New Roman" w:eastAsia="黑体" w:cs="Times New Roman"/>
          <w:b/>
          <w:sz w:val="30"/>
          <w:szCs w:val="30"/>
        </w:rPr>
        <w:t xml:space="preserve">2  </w:t>
      </w:r>
      <w:r>
        <w:rPr>
          <w:rFonts w:hint="eastAsia" w:ascii="Times New Roman" w:hAnsi="Times New Roman" w:eastAsia="黑体" w:cs="Times New Roman"/>
          <w:b/>
          <w:sz w:val="30"/>
          <w:szCs w:val="30"/>
        </w:rPr>
        <w:t>青岛市</w:t>
      </w:r>
      <w:r>
        <w:rPr>
          <w:rFonts w:hint="eastAsia" w:ascii="Times New Roman" w:hAnsi="Times New Roman" w:eastAsia="黑体" w:cs="Times New Roman"/>
          <w:b/>
          <w:sz w:val="30"/>
          <w:szCs w:val="30"/>
          <w:lang w:val="en-US" w:eastAsia="zh-CN"/>
        </w:rPr>
        <w:t>海域</w:t>
      </w:r>
      <w:r>
        <w:rPr>
          <w:rFonts w:hint="eastAsia" w:ascii="Times New Roman" w:hAnsi="Times New Roman" w:eastAsia="黑体" w:cs="Times New Roman"/>
          <w:b/>
          <w:sz w:val="30"/>
          <w:szCs w:val="30"/>
        </w:rPr>
        <w:t>环境管控单元索引表</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60"/>
        <w:gridCol w:w="3361"/>
        <w:gridCol w:w="1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72" w:type="pct"/>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rFonts w:ascii="黑体" w:hAnsi="黑体" w:eastAsia="黑体" w:cs="宋体"/>
                <w:b/>
                <w:color w:val="000000"/>
                <w:kern w:val="0"/>
                <w:sz w:val="24"/>
                <w:szCs w:val="24"/>
              </w:rPr>
            </w:pPr>
            <w:r>
              <w:rPr>
                <w:rFonts w:hint="eastAsia" w:ascii="黑体" w:hAnsi="黑体" w:eastAsia="黑体" w:cs="宋体"/>
                <w:b/>
                <w:color w:val="000000"/>
                <w:kern w:val="0"/>
                <w:sz w:val="24"/>
                <w:szCs w:val="24"/>
              </w:rPr>
              <w:t>单元分类</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rFonts w:ascii="黑体" w:hAnsi="黑体" w:eastAsia="黑体" w:cs="宋体"/>
                <w:b/>
                <w:color w:val="000000"/>
                <w:kern w:val="0"/>
                <w:sz w:val="24"/>
                <w:szCs w:val="24"/>
              </w:rPr>
            </w:pPr>
            <w:r>
              <w:rPr>
                <w:rFonts w:hint="eastAsia" w:ascii="黑体" w:hAnsi="黑体" w:eastAsia="黑体" w:cs="宋体"/>
                <w:b/>
                <w:color w:val="000000"/>
                <w:kern w:val="0"/>
                <w:sz w:val="24"/>
                <w:szCs w:val="24"/>
              </w:rPr>
              <w:t>环境管控单元编码</w:t>
            </w:r>
          </w:p>
        </w:tc>
        <w:tc>
          <w:tcPr>
            <w:tcW w:w="1055" w:type="pct"/>
            <w:tcBorders>
              <w:top w:val="single" w:color="auto" w:sz="4" w:space="0"/>
              <w:left w:val="single" w:color="auto" w:sz="4" w:space="0"/>
              <w:bottom w:val="single" w:color="auto" w:sz="4" w:space="0"/>
              <w:right w:val="single" w:color="auto" w:sz="4" w:space="0"/>
            </w:tcBorders>
            <w:vAlign w:val="center"/>
          </w:tcPr>
          <w:p>
            <w:pPr>
              <w:widowControl/>
              <w:spacing w:line="240" w:lineRule="atLeast"/>
              <w:jc w:val="center"/>
              <w:rPr>
                <w:rFonts w:ascii="黑体" w:hAnsi="黑体" w:eastAsia="黑体" w:cs="宋体"/>
                <w:b/>
                <w:color w:val="000000"/>
                <w:kern w:val="0"/>
                <w:sz w:val="24"/>
                <w:szCs w:val="24"/>
              </w:rPr>
            </w:pPr>
            <w:r>
              <w:rPr>
                <w:rFonts w:hint="eastAsia" w:ascii="黑体" w:hAnsi="黑体" w:eastAsia="黑体" w:cs="宋体"/>
                <w:b/>
                <w:color w:val="000000"/>
                <w:kern w:val="0"/>
                <w:sz w:val="24"/>
                <w:szCs w:val="24"/>
              </w:rPr>
              <w:t>图上编号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HY37020020001</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HY37020020002</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HY37020020003</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HY37020020004</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HY37020020005</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HY37020020006</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HY37020020008</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HY37020020007</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HY37020020009</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HY37020020010</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HY37020020011</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HY37020020012</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HY37020020013</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优先保护单元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HY37020010001</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HY37020020014</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HY37020020015</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HY37020020016</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优先保护单元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HY37020010002</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优先保护单元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HY37020010003</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优先保护单元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HY37020010004</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优先保护单元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HY37020010005</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优先保护单元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HY37020010006</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优先保护单元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HY37020010007</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优先保护单元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HY37020010009</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优先保护单元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HY37020010010</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优先保护单元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HY37020010011</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优先保护单元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HY37020010012</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优先保护单元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HY37020010013</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优先保护单元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HY37020010014</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优先保护单元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HY37020010015</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优先保护单元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HY37020010016</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优先保护单元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HY37020010017</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HY37020030001</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HY37020030002</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HY37020030003</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HY37020030004</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HY37020030005</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HY37020030006</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HY37020030007</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HY37020030008</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HY37020030009</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HY37020030010</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HY37020030011</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HY37020030012</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HY37020030013</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HY37020030014</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HY37020030015</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HY37020030016</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HY37020030017</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HY37020030018</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HY37020030019</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HY37020020017</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HY37020020018</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HY37020020019</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HY37020020020</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HY37020020021</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HY37020020022</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HY37020020023</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HY37020020024</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HY37020020025</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HY37020020026</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HY37020020027</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HY37020020028</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HY37020020029</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HY37020020030</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HY37020020031</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HY37020020032</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HY37020020033</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HY37020020034</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HY37020020035</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HY37020020036</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HY37020020037</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HY37020020038</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HY37020020039</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HY37020020040</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HY37020020041</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HY37020020042</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优先保护单元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HY37020010018</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优先保护单元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HY37020010022</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优先保护单元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HY37020010028</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优先保护单元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HY37020010038</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优先保护单元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HY37020010040</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优先保护单元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HY37020010051</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优先保护单元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HY37020010053</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优先保护单元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HY37020010057</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优先保护单元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HY37020010065</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优先保护单元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HY37020010067</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优先保护单元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HY37020010069</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优先保护单元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HY37020010071</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优先保护单元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HY37020010073</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HY37020030020</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HY37020030025</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HY37020030027</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HY37020030031</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HY37020030033</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HY37020030035</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一般管控单元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HY37020030037</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HY37020020044</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HY37020020048</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重点管控单元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HY37020020049</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优先保护单元</w:t>
            </w:r>
          </w:p>
        </w:tc>
        <w:tc>
          <w:tcPr>
            <w:tcW w:w="197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HY37020010075</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黑体" w:cs="Times New Roman"/>
                <w:kern w:val="0"/>
                <w:sz w:val="24"/>
                <w:szCs w:val="24"/>
                <w:lang w:val="en-US" w:eastAsia="zh-CN"/>
              </w:rPr>
            </w:pPr>
            <w:r>
              <w:rPr>
                <w:rFonts w:hint="eastAsia" w:ascii="Times New Roman" w:hAnsi="Times New Roman" w:eastAsia="黑体" w:cs="Times New Roman"/>
                <w:kern w:val="0"/>
                <w:sz w:val="24"/>
                <w:szCs w:val="24"/>
                <w:lang w:val="en-US" w:eastAsia="zh-CN"/>
              </w:rPr>
              <w:t>海101</w:t>
            </w:r>
          </w:p>
        </w:tc>
      </w:tr>
    </w:tbl>
    <w:p>
      <w:pPr>
        <w:rPr>
          <w:rFonts w:ascii="Times New Roman" w:hAnsi="Times New Roman" w:cs="Times New Roman"/>
        </w:rPr>
      </w:pPr>
    </w:p>
    <w:p>
      <w:pPr>
        <w:widowControl/>
        <w:jc w:val="left"/>
        <w:rPr>
          <w:rFonts w:ascii="Times New Roman" w:hAnsi="Times New Roman" w:eastAsia="华文中宋" w:cs="Times New Roman"/>
          <w:sz w:val="40"/>
          <w:szCs w:val="40"/>
        </w:rPr>
      </w:pPr>
      <w:r>
        <w:rPr>
          <w:rFonts w:ascii="Times New Roman" w:hAnsi="Times New Roman" w:eastAsia="华文中宋" w:cs="Times New Roman"/>
          <w:sz w:val="40"/>
          <w:szCs w:val="40"/>
        </w:rPr>
        <w:br w:type="page"/>
      </w:r>
    </w:p>
    <w:p>
      <w:pPr>
        <w:widowControl/>
        <w:adjustRightInd w:val="0"/>
        <w:snapToGrid w:val="0"/>
        <w:spacing w:line="360" w:lineRule="auto"/>
        <w:jc w:val="center"/>
        <w:outlineLvl w:val="0"/>
        <w:rPr>
          <w:rFonts w:ascii="Times New Roman" w:hAnsi="Times New Roman" w:eastAsia="华文中宋" w:cs="Times New Roman"/>
          <w:sz w:val="40"/>
          <w:szCs w:val="40"/>
        </w:rPr>
        <w:sectPr>
          <w:footerReference r:id="rId5" w:type="default"/>
          <w:pgSz w:w="11906" w:h="16838"/>
          <w:pgMar w:top="1440" w:right="1800" w:bottom="1440" w:left="1800" w:header="851" w:footer="992" w:gutter="0"/>
          <w:pgNumType w:start="1"/>
          <w:cols w:space="720" w:num="1"/>
          <w:docGrid w:type="lines" w:linePitch="312" w:charSpace="0"/>
        </w:sectPr>
      </w:pPr>
    </w:p>
    <w:p>
      <w:pPr>
        <w:widowControl/>
        <w:adjustRightInd w:val="0"/>
        <w:snapToGrid w:val="0"/>
        <w:spacing w:line="360" w:lineRule="auto"/>
        <w:jc w:val="left"/>
        <w:outlineLvl w:val="0"/>
        <w:rPr>
          <w:rFonts w:ascii="Times New Roman" w:hAnsi="Times New Roman" w:eastAsia="黑体" w:cs="Times New Roman"/>
          <w:b/>
          <w:kern w:val="44"/>
          <w:sz w:val="32"/>
          <w:szCs w:val="30"/>
        </w:rPr>
      </w:pPr>
      <w:bookmarkStart w:id="13" w:name="_Toc137761104"/>
      <w:bookmarkStart w:id="14" w:name="_Toc67649333"/>
      <w:bookmarkStart w:id="15" w:name="_Toc32150"/>
      <w:r>
        <w:rPr>
          <w:rFonts w:ascii="Times New Roman" w:hAnsi="Times New Roman" w:eastAsia="黑体" w:cs="Times New Roman"/>
          <w:b/>
          <w:kern w:val="44"/>
          <w:sz w:val="32"/>
          <w:szCs w:val="30"/>
        </w:rPr>
        <w:t>三、青岛市陆域环境管控单元生态环境准入清单</w:t>
      </w:r>
      <w:bookmarkEnd w:id="13"/>
    </w:p>
    <w:p>
      <w:pPr>
        <w:widowControl/>
        <w:adjustRightInd w:val="0"/>
        <w:snapToGrid w:val="0"/>
        <w:spacing w:line="360" w:lineRule="auto"/>
        <w:jc w:val="center"/>
        <w:outlineLvl w:val="1"/>
        <w:rPr>
          <w:rFonts w:ascii="Times New Roman" w:hAnsi="Times New Roman" w:eastAsia="黑体" w:cs="Times New Roman"/>
          <w:b/>
          <w:kern w:val="44"/>
          <w:sz w:val="28"/>
          <w:szCs w:val="28"/>
          <w:lang w:val="zh-CN"/>
        </w:rPr>
      </w:pPr>
      <w:bookmarkStart w:id="16" w:name="_Toc137761105"/>
      <w:r>
        <w:rPr>
          <w:rFonts w:ascii="Times New Roman" w:hAnsi="Times New Roman" w:eastAsia="黑体" w:cs="Times New Roman"/>
          <w:b/>
          <w:kern w:val="44"/>
          <w:sz w:val="28"/>
          <w:szCs w:val="28"/>
        </w:rPr>
        <w:t>(一)市南区环境管控单元生态</w:t>
      </w:r>
      <w:r>
        <w:rPr>
          <w:rFonts w:ascii="Times New Roman" w:hAnsi="Times New Roman" w:eastAsia="黑体" w:cs="Times New Roman"/>
          <w:b/>
          <w:kern w:val="44"/>
          <w:sz w:val="28"/>
          <w:szCs w:val="28"/>
          <w:lang w:val="zh-CN"/>
        </w:rPr>
        <w:t>环境准入清单</w:t>
      </w:r>
      <w:bookmarkEnd w:id="14"/>
      <w:bookmarkEnd w:id="15"/>
      <w:bookmarkEnd w:id="16"/>
    </w:p>
    <w:tbl>
      <w:tblPr>
        <w:tblStyle w:val="13"/>
        <w:tblW w:w="13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0"/>
        <w:gridCol w:w="891"/>
        <w:gridCol w:w="709"/>
        <w:gridCol w:w="567"/>
        <w:gridCol w:w="425"/>
        <w:gridCol w:w="567"/>
        <w:gridCol w:w="567"/>
        <w:gridCol w:w="1276"/>
        <w:gridCol w:w="1155"/>
        <w:gridCol w:w="3504"/>
        <w:gridCol w:w="2964"/>
        <w:gridCol w:w="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80" w:type="dxa"/>
            <w:vMerge w:val="restart"/>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序号</w:t>
            </w:r>
          </w:p>
        </w:tc>
        <w:tc>
          <w:tcPr>
            <w:tcW w:w="891" w:type="dxa"/>
            <w:vMerge w:val="restart"/>
            <w:vAlign w:val="center"/>
          </w:tcPr>
          <w:p>
            <w:pPr>
              <w:snapToGrid w:val="0"/>
              <w:jc w:val="center"/>
              <w:rPr>
                <w:rFonts w:ascii="Times New Roman" w:hAnsi="Times New Roman" w:cs="Times New Roman"/>
                <w:kern w:val="0"/>
                <w:sz w:val="16"/>
                <w:szCs w:val="16"/>
              </w:rPr>
            </w:pPr>
            <w:r>
              <w:rPr>
                <w:rFonts w:ascii="Times New Roman" w:hAnsi="Times New Roman" w:cs="Times New Roman"/>
                <w:b/>
                <w:kern w:val="0"/>
                <w:sz w:val="16"/>
                <w:szCs w:val="16"/>
              </w:rPr>
              <w:t>环境管控单元编码</w:t>
            </w:r>
          </w:p>
        </w:tc>
        <w:tc>
          <w:tcPr>
            <w:tcW w:w="709" w:type="dxa"/>
            <w:vMerge w:val="restart"/>
            <w:vAlign w:val="center"/>
          </w:tcPr>
          <w:p>
            <w:pPr>
              <w:snapToGrid w:val="0"/>
              <w:ind w:left="-160" w:leftChars="-50" w:right="-166" w:rightChars="-52"/>
              <w:jc w:val="center"/>
              <w:rPr>
                <w:rFonts w:ascii="Times New Roman" w:hAnsi="Times New Roman" w:cs="Times New Roman"/>
                <w:kern w:val="0"/>
                <w:sz w:val="16"/>
                <w:szCs w:val="16"/>
              </w:rPr>
            </w:pPr>
            <w:r>
              <w:rPr>
                <w:rFonts w:ascii="Times New Roman" w:hAnsi="Times New Roman" w:cs="Times New Roman"/>
                <w:b/>
                <w:kern w:val="0"/>
                <w:sz w:val="16"/>
                <w:szCs w:val="16"/>
              </w:rPr>
              <w:t>环境管控单元名称</w:t>
            </w:r>
          </w:p>
        </w:tc>
        <w:tc>
          <w:tcPr>
            <w:tcW w:w="1559" w:type="dxa"/>
            <w:gridSpan w:val="3"/>
            <w:vAlign w:val="center"/>
          </w:tcPr>
          <w:p>
            <w:pPr>
              <w:snapToGrid w:val="0"/>
              <w:jc w:val="center"/>
              <w:rPr>
                <w:rFonts w:ascii="Times New Roman" w:hAnsi="Times New Roman" w:cs="Times New Roman"/>
                <w:kern w:val="0"/>
                <w:sz w:val="16"/>
                <w:szCs w:val="16"/>
              </w:rPr>
            </w:pPr>
            <w:r>
              <w:rPr>
                <w:rFonts w:ascii="Times New Roman" w:hAnsi="Times New Roman" w:cs="Times New Roman"/>
                <w:b/>
                <w:kern w:val="44"/>
                <w:sz w:val="16"/>
                <w:szCs w:val="16"/>
              </w:rPr>
              <w:t>行政区划</w:t>
            </w:r>
          </w:p>
        </w:tc>
        <w:tc>
          <w:tcPr>
            <w:tcW w:w="567" w:type="dxa"/>
            <w:vMerge w:val="restart"/>
            <w:vAlign w:val="center"/>
          </w:tcPr>
          <w:p>
            <w:pPr>
              <w:snapToGrid w:val="0"/>
              <w:jc w:val="center"/>
              <w:rPr>
                <w:rFonts w:ascii="Times New Roman" w:hAnsi="Times New Roman" w:cs="Times New Roman"/>
                <w:kern w:val="0"/>
                <w:sz w:val="16"/>
                <w:szCs w:val="16"/>
              </w:rPr>
            </w:pPr>
            <w:r>
              <w:rPr>
                <w:rFonts w:ascii="Times New Roman" w:hAnsi="Times New Roman" w:cs="Times New Roman"/>
                <w:b/>
                <w:kern w:val="0"/>
                <w:sz w:val="16"/>
                <w:szCs w:val="16"/>
              </w:rPr>
              <w:t>管控单元分类</w:t>
            </w:r>
          </w:p>
        </w:tc>
        <w:tc>
          <w:tcPr>
            <w:tcW w:w="1276" w:type="dxa"/>
            <w:vMerge w:val="restart"/>
            <w:vAlign w:val="center"/>
          </w:tcPr>
          <w:p>
            <w:pPr>
              <w:snapToGrid w:val="0"/>
              <w:jc w:val="center"/>
              <w:rPr>
                <w:rFonts w:ascii="Times New Roman" w:hAnsi="Times New Roman" w:cs="Times New Roman"/>
                <w:b/>
                <w:kern w:val="0"/>
                <w:sz w:val="16"/>
                <w:szCs w:val="16"/>
              </w:rPr>
            </w:pPr>
            <w:r>
              <w:rPr>
                <w:rFonts w:ascii="Times New Roman" w:hAnsi="Times New Roman" w:cs="Times New Roman"/>
                <w:b/>
                <w:kern w:val="0"/>
                <w:sz w:val="16"/>
                <w:szCs w:val="16"/>
              </w:rPr>
              <w:t>涉及的主要管控细类</w:t>
            </w:r>
          </w:p>
        </w:tc>
        <w:tc>
          <w:tcPr>
            <w:tcW w:w="1155" w:type="dxa"/>
            <w:vMerge w:val="restart"/>
            <w:vAlign w:val="center"/>
          </w:tcPr>
          <w:p>
            <w:pPr>
              <w:snapToGrid w:val="0"/>
              <w:jc w:val="center"/>
              <w:rPr>
                <w:rFonts w:ascii="Times New Roman" w:hAnsi="Times New Roman" w:cs="Times New Roman"/>
                <w:kern w:val="0"/>
                <w:sz w:val="16"/>
                <w:szCs w:val="16"/>
              </w:rPr>
            </w:pPr>
            <w:r>
              <w:rPr>
                <w:rFonts w:ascii="Times New Roman" w:hAnsi="Times New Roman" w:cs="Times New Roman"/>
                <w:b/>
                <w:kern w:val="0"/>
                <w:sz w:val="16"/>
                <w:szCs w:val="16"/>
              </w:rPr>
              <w:t>空间布局约束</w:t>
            </w:r>
          </w:p>
        </w:tc>
        <w:tc>
          <w:tcPr>
            <w:tcW w:w="3504" w:type="dxa"/>
            <w:vMerge w:val="restart"/>
            <w:vAlign w:val="center"/>
          </w:tcPr>
          <w:p>
            <w:pPr>
              <w:snapToGrid w:val="0"/>
              <w:jc w:val="center"/>
              <w:rPr>
                <w:rFonts w:ascii="Times New Roman" w:hAnsi="Times New Roman" w:cs="Times New Roman"/>
                <w:kern w:val="0"/>
                <w:sz w:val="16"/>
                <w:szCs w:val="16"/>
              </w:rPr>
            </w:pPr>
            <w:r>
              <w:rPr>
                <w:rFonts w:ascii="Times New Roman" w:hAnsi="Times New Roman" w:cs="Times New Roman"/>
                <w:b/>
                <w:kern w:val="0"/>
                <w:sz w:val="16"/>
                <w:szCs w:val="16"/>
              </w:rPr>
              <w:t>污染物排放管控</w:t>
            </w:r>
          </w:p>
        </w:tc>
        <w:tc>
          <w:tcPr>
            <w:tcW w:w="2964" w:type="dxa"/>
            <w:vMerge w:val="restart"/>
            <w:vAlign w:val="center"/>
          </w:tcPr>
          <w:p>
            <w:pPr>
              <w:snapToGrid w:val="0"/>
              <w:jc w:val="center"/>
              <w:rPr>
                <w:rFonts w:ascii="Times New Roman" w:hAnsi="Times New Roman" w:cs="Times New Roman"/>
                <w:kern w:val="0"/>
                <w:sz w:val="16"/>
                <w:szCs w:val="16"/>
              </w:rPr>
            </w:pPr>
            <w:r>
              <w:rPr>
                <w:rFonts w:ascii="Times New Roman" w:hAnsi="Times New Roman" w:cs="Times New Roman"/>
                <w:b/>
                <w:kern w:val="0"/>
                <w:sz w:val="16"/>
                <w:szCs w:val="16"/>
              </w:rPr>
              <w:t>环境风险防控</w:t>
            </w:r>
          </w:p>
        </w:tc>
        <w:tc>
          <w:tcPr>
            <w:tcW w:w="943" w:type="dxa"/>
            <w:vMerge w:val="restart"/>
            <w:vAlign w:val="center"/>
          </w:tcPr>
          <w:p>
            <w:pPr>
              <w:snapToGrid w:val="0"/>
              <w:rPr>
                <w:rFonts w:ascii="Times New Roman" w:hAnsi="Times New Roman" w:cs="Times New Roman"/>
                <w:kern w:val="0"/>
                <w:sz w:val="16"/>
                <w:szCs w:val="16"/>
              </w:rPr>
            </w:pPr>
            <w:r>
              <w:rPr>
                <w:rFonts w:ascii="Times New Roman" w:hAnsi="Times New Roman" w:cs="Times New Roman"/>
                <w:b/>
                <w:kern w:val="0"/>
                <w:sz w:val="16"/>
                <w:szCs w:val="16"/>
              </w:rPr>
              <w:t>资源开发效率要求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80" w:type="dxa"/>
            <w:vMerge w:val="continue"/>
            <w:vAlign w:val="center"/>
          </w:tcPr>
          <w:p>
            <w:pPr>
              <w:widowControl/>
              <w:adjustRightInd w:val="0"/>
              <w:snapToGrid w:val="0"/>
              <w:jc w:val="center"/>
              <w:rPr>
                <w:rFonts w:ascii="Times New Roman" w:hAnsi="Times New Roman" w:cs="Times New Roman"/>
                <w:b/>
                <w:kern w:val="44"/>
                <w:sz w:val="16"/>
                <w:szCs w:val="16"/>
              </w:rPr>
            </w:pPr>
          </w:p>
        </w:tc>
        <w:tc>
          <w:tcPr>
            <w:tcW w:w="891" w:type="dxa"/>
            <w:vMerge w:val="continue"/>
            <w:vAlign w:val="center"/>
          </w:tcPr>
          <w:p>
            <w:pPr>
              <w:snapToGrid w:val="0"/>
              <w:jc w:val="center"/>
              <w:rPr>
                <w:rFonts w:ascii="Times New Roman" w:hAnsi="Times New Roman" w:cs="Times New Roman"/>
                <w:kern w:val="0"/>
                <w:sz w:val="16"/>
                <w:szCs w:val="16"/>
              </w:rPr>
            </w:pPr>
          </w:p>
        </w:tc>
        <w:tc>
          <w:tcPr>
            <w:tcW w:w="709" w:type="dxa"/>
            <w:vMerge w:val="continue"/>
            <w:vAlign w:val="center"/>
          </w:tcPr>
          <w:p>
            <w:pPr>
              <w:snapToGrid w:val="0"/>
              <w:jc w:val="center"/>
              <w:rPr>
                <w:rFonts w:ascii="Times New Roman" w:hAnsi="Times New Roman" w:cs="Times New Roman"/>
                <w:kern w:val="0"/>
                <w:sz w:val="16"/>
                <w:szCs w:val="16"/>
              </w:rPr>
            </w:pPr>
          </w:p>
        </w:tc>
        <w:tc>
          <w:tcPr>
            <w:tcW w:w="567" w:type="dxa"/>
            <w:vAlign w:val="center"/>
          </w:tcPr>
          <w:p>
            <w:pPr>
              <w:snapToGrid w:val="0"/>
              <w:jc w:val="center"/>
              <w:rPr>
                <w:rFonts w:ascii="Times New Roman" w:hAnsi="Times New Roman" w:cs="Times New Roman"/>
                <w:kern w:val="0"/>
                <w:sz w:val="16"/>
                <w:szCs w:val="16"/>
              </w:rPr>
            </w:pPr>
            <w:r>
              <w:rPr>
                <w:rFonts w:ascii="Times New Roman" w:hAnsi="Times New Roman" w:cs="Times New Roman"/>
                <w:b/>
                <w:kern w:val="0"/>
                <w:sz w:val="16"/>
                <w:szCs w:val="16"/>
              </w:rPr>
              <w:t>省</w:t>
            </w:r>
          </w:p>
        </w:tc>
        <w:tc>
          <w:tcPr>
            <w:tcW w:w="425" w:type="dxa"/>
            <w:vAlign w:val="center"/>
          </w:tcPr>
          <w:p>
            <w:pPr>
              <w:snapToGrid w:val="0"/>
              <w:jc w:val="center"/>
              <w:rPr>
                <w:rFonts w:ascii="Times New Roman" w:hAnsi="Times New Roman" w:cs="Times New Roman"/>
                <w:kern w:val="0"/>
                <w:sz w:val="16"/>
                <w:szCs w:val="16"/>
              </w:rPr>
            </w:pPr>
            <w:r>
              <w:rPr>
                <w:rFonts w:ascii="Times New Roman" w:hAnsi="Times New Roman" w:cs="Times New Roman"/>
                <w:b/>
                <w:kern w:val="0"/>
                <w:sz w:val="16"/>
                <w:szCs w:val="16"/>
              </w:rPr>
              <w:t>市</w:t>
            </w:r>
          </w:p>
        </w:tc>
        <w:tc>
          <w:tcPr>
            <w:tcW w:w="567" w:type="dxa"/>
            <w:vAlign w:val="center"/>
          </w:tcPr>
          <w:p>
            <w:pPr>
              <w:snapToGrid w:val="0"/>
              <w:jc w:val="center"/>
              <w:rPr>
                <w:rFonts w:ascii="Times New Roman" w:hAnsi="Times New Roman" w:cs="Times New Roman"/>
                <w:kern w:val="0"/>
                <w:sz w:val="16"/>
                <w:szCs w:val="16"/>
              </w:rPr>
            </w:pPr>
            <w:r>
              <w:rPr>
                <w:rFonts w:ascii="Times New Roman" w:hAnsi="Times New Roman" w:cs="Times New Roman"/>
                <w:b/>
                <w:kern w:val="0"/>
                <w:sz w:val="16"/>
                <w:szCs w:val="16"/>
              </w:rPr>
              <w:t>县</w:t>
            </w:r>
          </w:p>
        </w:tc>
        <w:tc>
          <w:tcPr>
            <w:tcW w:w="567" w:type="dxa"/>
            <w:vMerge w:val="continue"/>
            <w:vAlign w:val="center"/>
          </w:tcPr>
          <w:p>
            <w:pPr>
              <w:snapToGrid w:val="0"/>
              <w:jc w:val="center"/>
              <w:rPr>
                <w:rFonts w:ascii="Times New Roman" w:hAnsi="Times New Roman" w:cs="Times New Roman"/>
                <w:kern w:val="0"/>
                <w:sz w:val="16"/>
                <w:szCs w:val="16"/>
              </w:rPr>
            </w:pPr>
          </w:p>
        </w:tc>
        <w:tc>
          <w:tcPr>
            <w:tcW w:w="1276" w:type="dxa"/>
            <w:vMerge w:val="continue"/>
          </w:tcPr>
          <w:p>
            <w:pPr>
              <w:snapToGrid w:val="0"/>
              <w:jc w:val="left"/>
              <w:rPr>
                <w:rFonts w:ascii="Times New Roman" w:hAnsi="Times New Roman" w:cs="Times New Roman"/>
                <w:kern w:val="0"/>
                <w:sz w:val="16"/>
                <w:szCs w:val="16"/>
              </w:rPr>
            </w:pPr>
          </w:p>
        </w:tc>
        <w:tc>
          <w:tcPr>
            <w:tcW w:w="1155" w:type="dxa"/>
            <w:vMerge w:val="continue"/>
            <w:vAlign w:val="center"/>
          </w:tcPr>
          <w:p>
            <w:pPr>
              <w:snapToGrid w:val="0"/>
              <w:jc w:val="left"/>
              <w:rPr>
                <w:rFonts w:ascii="Times New Roman" w:hAnsi="Times New Roman" w:cs="Times New Roman"/>
                <w:kern w:val="0"/>
                <w:sz w:val="16"/>
                <w:szCs w:val="16"/>
              </w:rPr>
            </w:pPr>
          </w:p>
        </w:tc>
        <w:tc>
          <w:tcPr>
            <w:tcW w:w="3504" w:type="dxa"/>
            <w:vMerge w:val="continue"/>
            <w:vAlign w:val="center"/>
          </w:tcPr>
          <w:p>
            <w:pPr>
              <w:snapToGrid w:val="0"/>
              <w:rPr>
                <w:rFonts w:ascii="Times New Roman" w:hAnsi="Times New Roman" w:cs="Times New Roman"/>
                <w:kern w:val="0"/>
                <w:sz w:val="16"/>
                <w:szCs w:val="16"/>
              </w:rPr>
            </w:pPr>
          </w:p>
        </w:tc>
        <w:tc>
          <w:tcPr>
            <w:tcW w:w="2964" w:type="dxa"/>
            <w:vMerge w:val="continue"/>
            <w:vAlign w:val="center"/>
          </w:tcPr>
          <w:p>
            <w:pPr>
              <w:snapToGrid w:val="0"/>
              <w:rPr>
                <w:rFonts w:ascii="Times New Roman" w:hAnsi="Times New Roman" w:cs="Times New Roman"/>
                <w:kern w:val="0"/>
                <w:sz w:val="16"/>
                <w:szCs w:val="16"/>
              </w:rPr>
            </w:pPr>
          </w:p>
        </w:tc>
        <w:tc>
          <w:tcPr>
            <w:tcW w:w="943" w:type="dxa"/>
            <w:vMerge w:val="continue"/>
            <w:vAlign w:val="center"/>
          </w:tcPr>
          <w:p>
            <w:pPr>
              <w:snapToGrid w:val="0"/>
              <w:rPr>
                <w:rFonts w:ascii="Times New Roman" w:hAnsi="Times New Roman" w:cs="Times New Roman"/>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w:t>
            </w:r>
          </w:p>
        </w:tc>
        <w:tc>
          <w:tcPr>
            <w:tcW w:w="891" w:type="dxa"/>
            <w:vAlign w:val="center"/>
          </w:tcPr>
          <w:p>
            <w:pPr>
              <w:widowControl/>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ZH37020210001</w:t>
            </w:r>
          </w:p>
        </w:tc>
        <w:tc>
          <w:tcPr>
            <w:tcW w:w="709"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八大关街道</w:t>
            </w:r>
          </w:p>
        </w:tc>
        <w:tc>
          <w:tcPr>
            <w:tcW w:w="567"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25"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567"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市南区</w:t>
            </w:r>
          </w:p>
        </w:tc>
        <w:tc>
          <w:tcPr>
            <w:tcW w:w="567"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优先保护单元</w:t>
            </w:r>
          </w:p>
        </w:tc>
        <w:tc>
          <w:tcPr>
            <w:tcW w:w="1276" w:type="dxa"/>
            <w:vAlign w:val="center"/>
          </w:tcPr>
          <w:p>
            <w:pPr>
              <w:snapToGrid w:val="0"/>
              <w:jc w:val="left"/>
              <w:rPr>
                <w:rFonts w:ascii="Times New Roman" w:hAnsi="Times New Roman" w:cs="Times New Roman"/>
                <w:kern w:val="0"/>
                <w:sz w:val="16"/>
                <w:szCs w:val="16"/>
              </w:rPr>
            </w:pPr>
            <w:r>
              <w:rPr>
                <w:rFonts w:ascii="Times New Roman" w:hAnsi="Times New Roman" w:cs="Times New Roman"/>
                <w:sz w:val="16"/>
                <w:szCs w:val="16"/>
              </w:rPr>
              <w:t>崂山风景名胜区、生态评估区域一般生态空间、水环境城镇生活源重点管控区、大气环境受体敏感区</w:t>
            </w:r>
          </w:p>
        </w:tc>
        <w:tc>
          <w:tcPr>
            <w:tcW w:w="1155"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1.科学规划，合理布局，积极发展旅游业、现代服务业等第三产业。</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2.风景名胜区严格落实《风景名胜区条例》相关要求。</w:t>
            </w:r>
          </w:p>
        </w:tc>
        <w:tc>
          <w:tcPr>
            <w:tcW w:w="3504"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1.餐饮行业按要求安装油烟高效净化设备并定期清洗和维护，禁止露天烧烤，鼓励餐饮业及居民生活能源使用天然气、液化石油气等洁净能源。</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2.加强扬尘整治，提高道路机扫、冲洗率，禁止焚烧环卫清扫物、建筑垃圾、生活垃圾等废弃物。</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深化重点行业污染治理，加强机动车排气污染治理，禁行区内依法禁止三轮汽车、低速载货汽车、拖拉机驶入，对达到报废标准的车辆强制报废，加大对无牌无证摩托车查处力度。禁止销售或者进口排气污染物超过国家规定排放标准的机动车。</w:t>
            </w:r>
          </w:p>
        </w:tc>
        <w:tc>
          <w:tcPr>
            <w:tcW w:w="2964"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1.加油站等的地下油罐应当使用双层罐或者采取建造防渗池等其他有效措施，并进行防渗漏监测，防止地下水和土壤污染。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2.严格执行医疗废物的贮存、转移及处置管理制度，并负责对相应活动的全程监管和环境安全保障。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3.建立健全事故应急体系，落实有效的事故风险防范和应急措施，有效防范污染事故发生。</w:t>
            </w:r>
          </w:p>
        </w:tc>
        <w:tc>
          <w:tcPr>
            <w:tcW w:w="94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2</w:t>
            </w:r>
          </w:p>
        </w:tc>
        <w:tc>
          <w:tcPr>
            <w:tcW w:w="89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ZH37020220001</w:t>
            </w:r>
          </w:p>
        </w:tc>
        <w:tc>
          <w:tcPr>
            <w:tcW w:w="709"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八大峡街道</w:t>
            </w:r>
          </w:p>
        </w:tc>
        <w:tc>
          <w:tcPr>
            <w:tcW w:w="567"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25"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567"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市南区</w:t>
            </w:r>
          </w:p>
        </w:tc>
        <w:tc>
          <w:tcPr>
            <w:tcW w:w="567"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1276" w:type="dxa"/>
            <w:vAlign w:val="center"/>
          </w:tcPr>
          <w:p>
            <w:pPr>
              <w:snapToGrid w:val="0"/>
              <w:jc w:val="left"/>
              <w:rPr>
                <w:rFonts w:ascii="Times New Roman" w:hAnsi="Times New Roman" w:cs="Times New Roman"/>
                <w:kern w:val="0"/>
                <w:sz w:val="16"/>
                <w:szCs w:val="16"/>
              </w:rPr>
            </w:pPr>
            <w:r>
              <w:rPr>
                <w:rFonts w:ascii="Times New Roman" w:hAnsi="Times New Roman" w:cs="Times New Roman"/>
                <w:sz w:val="16"/>
                <w:szCs w:val="16"/>
              </w:rPr>
              <w:t>崂山风景名胜区、生态评估区域一般生态空间、水环境城镇生活源重点管控区、大气环境受体敏感区</w:t>
            </w:r>
          </w:p>
        </w:tc>
        <w:tc>
          <w:tcPr>
            <w:tcW w:w="1155"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1.科学规划，合理布局，积极发展旅游业、现代服务业等第三产业。</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2.风景名胜区严格落实《风景名胜区条例》相关要求。</w:t>
            </w:r>
          </w:p>
        </w:tc>
        <w:tc>
          <w:tcPr>
            <w:tcW w:w="3504"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1.城镇污水处理厂应完善在线监控系统联网，加强恶臭气体的收集和有效处置。</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2.餐饮行业按要求安装油烟高效净化设备并定期清洗和维护，禁止露天烧烤，鼓励餐饮业及居民生活能源使用天然气、液化石油气等洁净能源。</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深化重点行业污染治理，加强机动车排气污染治理，禁行区内依法禁止三轮汽车、低速载货汽车、拖拉机驶入，对达到报废标准的车辆强制报废，加大对无牌无证摩托车查处力度。禁止销售或者进口排气污染物超过国家规定排放标准的机动车。</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4.严格落实医疗废水、医疗废物消毒措施，规范医疗废物暂存并及时清运。禁止在运送过程中丢弃医疗废物；禁止在非贮存地点倾倒、堆放医疗废物或者将医疗废物混入其他废物和生活垃圾。</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5.加强扬尘整治，提高道路机扫、冲洗率，禁止焚烧环卫清扫物、建筑垃圾、生活垃圾等废弃物。</w:t>
            </w:r>
          </w:p>
        </w:tc>
        <w:tc>
          <w:tcPr>
            <w:tcW w:w="2964"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城镇污水处理厂应采取措施安全处置污泥，保证处理处置后的污泥符合国家标准，对污泥的流向、用途、用量等进行跟踪、记录，并报告该区域排水主管部门、生态环境主管部门。禁止擅自倾倒、堆放、丢弃、遗撒城镇污水处理设施产生的污泥和处理后的污泥。</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2.加油站等的地下油罐应当使用双层罐或者采取建造防渗池等其他有效措施，并进行防渗漏监测，防止地下水和土壤污染。</w:t>
            </w:r>
          </w:p>
          <w:p>
            <w:pPr>
              <w:snapToGrid w:val="0"/>
              <w:rPr>
                <w:rFonts w:ascii="Times New Roman" w:hAnsi="Times New Roman" w:cs="Times New Roman"/>
                <w:kern w:val="0"/>
                <w:sz w:val="16"/>
                <w:szCs w:val="16"/>
              </w:rPr>
            </w:pPr>
            <w:bookmarkStart w:id="17" w:name="_Hlk72921244"/>
            <w:r>
              <w:rPr>
                <w:rFonts w:ascii="Times New Roman" w:hAnsi="Times New Roman" w:cs="Times New Roman"/>
                <w:kern w:val="0"/>
                <w:sz w:val="16"/>
                <w:szCs w:val="16"/>
              </w:rPr>
              <w:t>3.严格执行医疗废物的贮存、转移及处置管理制度，并负责对相应活动的全程监管和环境安全保障。</w:t>
            </w:r>
            <w:bookmarkEnd w:id="17"/>
            <w:r>
              <w:rPr>
                <w:rFonts w:ascii="Times New Roman" w:hAnsi="Times New Roman" w:cs="Times New Roman"/>
                <w:kern w:val="0"/>
                <w:sz w:val="16"/>
                <w:szCs w:val="16"/>
              </w:rPr>
              <w:t>转移符合豁免要求的危险废物的，按照国家相关规定实行豁免管理。</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4.建立健全事故应急体系，落实有效的事故风险防范和应急措施，有效防范污染事故发生。</w:t>
            </w:r>
          </w:p>
        </w:tc>
        <w:tc>
          <w:tcPr>
            <w:tcW w:w="94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3</w:t>
            </w:r>
          </w:p>
        </w:tc>
        <w:tc>
          <w:tcPr>
            <w:tcW w:w="89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ZH37020220002</w:t>
            </w:r>
          </w:p>
        </w:tc>
        <w:tc>
          <w:tcPr>
            <w:tcW w:w="709"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中山路街道</w:t>
            </w:r>
          </w:p>
        </w:tc>
        <w:tc>
          <w:tcPr>
            <w:tcW w:w="567"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25"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567"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市南区</w:t>
            </w:r>
          </w:p>
        </w:tc>
        <w:tc>
          <w:tcPr>
            <w:tcW w:w="567"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1276" w:type="dxa"/>
            <w:vAlign w:val="center"/>
          </w:tcPr>
          <w:p>
            <w:pPr>
              <w:snapToGrid w:val="0"/>
              <w:jc w:val="left"/>
              <w:rPr>
                <w:rFonts w:ascii="Times New Roman" w:hAnsi="Times New Roman" w:cs="Times New Roman"/>
                <w:kern w:val="0"/>
                <w:sz w:val="16"/>
                <w:szCs w:val="16"/>
              </w:rPr>
            </w:pPr>
            <w:r>
              <w:rPr>
                <w:rFonts w:ascii="Times New Roman" w:hAnsi="Times New Roman" w:cs="Times New Roman"/>
                <w:sz w:val="16"/>
                <w:szCs w:val="16"/>
              </w:rPr>
              <w:t>崂山风景名胜区、水环境城镇生活源重点管控区、大气环境受体敏感区</w:t>
            </w:r>
          </w:p>
        </w:tc>
        <w:tc>
          <w:tcPr>
            <w:tcW w:w="1155"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1.科学规划，合理布局，积极发展旅游业、现代服务业等第三产业。</w:t>
            </w:r>
          </w:p>
        </w:tc>
        <w:tc>
          <w:tcPr>
            <w:tcW w:w="3504"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1.餐饮行业按要求安装油烟高效净化设备并定期清洗和维护，禁止露天烧烤，鼓励餐饮业及居民生活能源使用天然气、液化石油气等洁净能源。</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2.提升施工扬尘防治水平，城市建筑、交通等各类工地全面落实扬尘控制措施，强化道路扬尘控制，提高道路机扫、冲洗率，禁止焚烧环卫清扫物、建筑垃圾、生活垃圾等废弃物。</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深化重点行业污染治理，加强机动车排气污染治理，禁行区内依法禁止三轮汽车、低速载货汽车、拖拉机驶入，对达到报废标准的车辆强制报废，加大对无牌无证摩托车查处力度。禁止销售或者进口排气污染物超过国家规定排放标准的机动车。</w:t>
            </w:r>
          </w:p>
        </w:tc>
        <w:tc>
          <w:tcPr>
            <w:tcW w:w="2964"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1.加油站等的地下油罐应当使用双层罐或者采取建造防渗池等其他有效措施，并进行防渗漏监测，防止地下水和土壤污染。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2.严格执行医疗废物的贮存、转移及处置管理制度，并负责对相应活动的全程监管和环境安全保障。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3.建立健全事故应急体系，落实有效的事故风险防范和应急措施，有效防范污染事故发生。</w:t>
            </w:r>
          </w:p>
        </w:tc>
        <w:tc>
          <w:tcPr>
            <w:tcW w:w="94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4</w:t>
            </w:r>
          </w:p>
        </w:tc>
        <w:tc>
          <w:tcPr>
            <w:tcW w:w="89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ZH37020220003</w:t>
            </w:r>
          </w:p>
        </w:tc>
        <w:tc>
          <w:tcPr>
            <w:tcW w:w="709"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香港中路街道</w:t>
            </w:r>
          </w:p>
        </w:tc>
        <w:tc>
          <w:tcPr>
            <w:tcW w:w="567"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25"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567"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市南区</w:t>
            </w:r>
          </w:p>
        </w:tc>
        <w:tc>
          <w:tcPr>
            <w:tcW w:w="567"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1276" w:type="dxa"/>
            <w:vAlign w:val="center"/>
          </w:tcPr>
          <w:p>
            <w:pPr>
              <w:snapToGrid w:val="0"/>
              <w:jc w:val="left"/>
              <w:rPr>
                <w:rFonts w:ascii="Times New Roman" w:hAnsi="Times New Roman" w:cs="Times New Roman"/>
                <w:kern w:val="0"/>
                <w:sz w:val="16"/>
                <w:szCs w:val="16"/>
              </w:rPr>
            </w:pPr>
            <w:r>
              <w:rPr>
                <w:rFonts w:ascii="Times New Roman" w:hAnsi="Times New Roman" w:cs="Times New Roman"/>
                <w:sz w:val="16"/>
                <w:szCs w:val="16"/>
              </w:rPr>
              <w:t>崂山风景名胜区、生态评估区域一般生态空间、水环境城镇生活源重点管控区、大气环境受体敏感区</w:t>
            </w:r>
          </w:p>
        </w:tc>
        <w:tc>
          <w:tcPr>
            <w:tcW w:w="1155"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1.科学规划，合理布局，积极发展旅游业、现代服务业等第三产业。</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2.风景名胜区严格落实《风景名胜区条例》相关要求。</w:t>
            </w:r>
          </w:p>
        </w:tc>
        <w:tc>
          <w:tcPr>
            <w:tcW w:w="3504"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1.餐饮行业按要求安装油烟高效净化设备并定期清洗和维护，禁止露天烧烤，鼓励餐饮业及居民生活能源使用天然气、液化石油气等洁净能源。</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2.提升施工扬尘防治水平，城市建筑、交通等各类工地全面落实扬尘控制措施，强化道路扬尘控制，提高道路机扫、冲洗率，禁止焚烧环卫清扫物、建筑垃圾、生活垃圾等废弃物。</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深化重点行业污染治理，加强机动车排气污染治理，禁行区内依法禁止三轮汽车、低速载货汽车、拖拉机驶入，对达到报废标准的车辆强制报废，加大对无牌无证摩托车查处力度。禁止销售或者进口排气污染物超过国家规定排放标准的机动车。</w:t>
            </w:r>
          </w:p>
        </w:tc>
        <w:tc>
          <w:tcPr>
            <w:tcW w:w="2964"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1.加油站等的地下油罐应当使用双层罐或者采取建造防渗池等其他有效措施，并进行防渗漏监测，防止地下水和土壤污染。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2.严格执行医疗废物的贮存、转移及处置管理制度，并负责对相应活动的全程监管和环境安全保障。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3.建立健全事故应急体系，落实有效的事故风险防范和应急措施，有效防范污染事故发生。</w:t>
            </w:r>
          </w:p>
        </w:tc>
        <w:tc>
          <w:tcPr>
            <w:tcW w:w="94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dxa"/>
            <w:vMerge w:val="restart"/>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5</w:t>
            </w:r>
          </w:p>
        </w:tc>
        <w:tc>
          <w:tcPr>
            <w:tcW w:w="89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ZH37020220004</w:t>
            </w:r>
          </w:p>
        </w:tc>
        <w:tc>
          <w:tcPr>
            <w:tcW w:w="709"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八大湖街道</w:t>
            </w:r>
          </w:p>
        </w:tc>
        <w:tc>
          <w:tcPr>
            <w:tcW w:w="567"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25"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567"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市南区</w:t>
            </w:r>
          </w:p>
        </w:tc>
        <w:tc>
          <w:tcPr>
            <w:tcW w:w="567"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1276" w:type="dxa"/>
            <w:vAlign w:val="center"/>
          </w:tcPr>
          <w:p>
            <w:pPr>
              <w:snapToGrid w:val="0"/>
              <w:jc w:val="left"/>
              <w:rPr>
                <w:rFonts w:ascii="Times New Roman" w:hAnsi="Times New Roman" w:cs="Times New Roman"/>
                <w:kern w:val="0"/>
                <w:sz w:val="16"/>
                <w:szCs w:val="16"/>
              </w:rPr>
            </w:pPr>
            <w:r>
              <w:rPr>
                <w:rFonts w:ascii="Times New Roman" w:hAnsi="Times New Roman" w:cs="Times New Roman"/>
                <w:sz w:val="16"/>
                <w:szCs w:val="16"/>
              </w:rPr>
              <w:t>水环境城镇生活源重点管控区、大气环境受体敏感区</w:t>
            </w:r>
          </w:p>
        </w:tc>
        <w:tc>
          <w:tcPr>
            <w:tcW w:w="1155"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1.科学规划，合理布局，积极发展旅游业、现代服务业等第三产业。</w:t>
            </w:r>
          </w:p>
        </w:tc>
        <w:tc>
          <w:tcPr>
            <w:tcW w:w="3504"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1.餐饮行业按要求安装油烟高效净化设备并定期清洗和维护，禁止露天烧烤，鼓励餐饮业及居民生活能源使用天然气、液化石油气等洁净能源。</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2.提升施工扬尘防治水平，城市建筑、交通等各类工地全面落实扬尘控制措施，强化道路扬尘控制，提高道路机扫、冲洗率，禁止焚烧环卫清扫物、建筑垃圾、生活垃圾等废弃物。</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深化重点行业污染治理，加强机动车排气污染治理，禁行区内依法禁止三轮汽车、低速载货汽车、拖拉机驶入，对达到报废标准的车辆强制报废，加大对无牌无证摩托车查处力度。禁止销售或者进口排气污染物超过国家规定排放标准的机动车。</w:t>
            </w:r>
          </w:p>
        </w:tc>
        <w:tc>
          <w:tcPr>
            <w:tcW w:w="2964" w:type="dxa"/>
            <w:vAlign w:val="center"/>
          </w:tcPr>
          <w:p>
            <w:pPr>
              <w:snapToGrid w:val="0"/>
              <w:rPr>
                <w:rFonts w:ascii="Times New Roman" w:hAnsi="Times New Roman" w:cs="Times New Roman"/>
                <w:kern w:val="0"/>
                <w:sz w:val="16"/>
                <w:szCs w:val="16"/>
              </w:rPr>
            </w:pPr>
            <w:bookmarkStart w:id="18" w:name="_Hlk72922278"/>
            <w:r>
              <w:rPr>
                <w:rFonts w:ascii="Times New Roman" w:hAnsi="Times New Roman" w:cs="Times New Roman"/>
                <w:kern w:val="0"/>
                <w:sz w:val="16"/>
                <w:szCs w:val="16"/>
              </w:rPr>
              <w:t>1.加油站等的地下油罐应当使用双层罐或者采取建造防渗池等其他有效措施，并进行防渗漏监测，防止地下水和土壤污染。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2.严格执行医疗废物的贮存、转移及处置管理制度，并负责对相应活动的全程监管和环境安全保障。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3.建立健全事故应急体系，落实有效的事故风险防范和应急措施，有效防范污染事故发生。</w:t>
            </w:r>
            <w:bookmarkEnd w:id="18"/>
          </w:p>
        </w:tc>
        <w:tc>
          <w:tcPr>
            <w:tcW w:w="94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dxa"/>
            <w:vMerge w:val="continue"/>
            <w:vAlign w:val="center"/>
          </w:tcPr>
          <w:p>
            <w:pPr>
              <w:widowControl/>
              <w:adjustRightInd w:val="0"/>
              <w:snapToGrid w:val="0"/>
              <w:jc w:val="center"/>
              <w:rPr>
                <w:rFonts w:ascii="Times New Roman" w:hAnsi="Times New Roman" w:cs="Times New Roman"/>
                <w:b/>
                <w:kern w:val="44"/>
                <w:sz w:val="16"/>
                <w:szCs w:val="16"/>
              </w:rPr>
            </w:pPr>
          </w:p>
        </w:tc>
        <w:tc>
          <w:tcPr>
            <w:tcW w:w="89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ZH37020220004</w:t>
            </w:r>
          </w:p>
        </w:tc>
        <w:tc>
          <w:tcPr>
            <w:tcW w:w="709"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金湖路街道</w:t>
            </w:r>
          </w:p>
        </w:tc>
        <w:tc>
          <w:tcPr>
            <w:tcW w:w="567"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25"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567"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市南区</w:t>
            </w:r>
          </w:p>
        </w:tc>
        <w:tc>
          <w:tcPr>
            <w:tcW w:w="567"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1276"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水环境城镇生活源重点管控区、大气环境受体敏感区</w:t>
            </w:r>
          </w:p>
        </w:tc>
        <w:tc>
          <w:tcPr>
            <w:tcW w:w="1155"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1.科学规划，合理布局，积极发展旅游业、现代服务业等第三产业。</w:t>
            </w:r>
          </w:p>
        </w:tc>
        <w:tc>
          <w:tcPr>
            <w:tcW w:w="3504"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1.餐饮行业按要求安装油烟高效净化设备并定期清洗和维护，禁止露天烧烤，鼓励餐饮业及居民生活能源使用天然气、液化石油气等洁净能源。</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2.供热企业优化能源结构，推广清洁能源替代燃煤。</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3.提升施工扬尘防治水平，城市建筑、交通等各类工地全面落实扬尘控制措施，强化道路扬尘控制，提高道路机扫、冲洗率，禁止焚烧环卫清扫物、建筑垃圾、生活垃圾等废弃物。</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深化重点行业污染治理，加强机动车排气污染治理，禁行区内依法禁止三轮汽车、低速载货汽车、拖拉机驶入，对达到报废标准的车辆强制报废，加大对无牌无证摩托车查处力度。禁止销售或者进口排气污染物超过国家规定排放标准的机动车。</w:t>
            </w:r>
          </w:p>
        </w:tc>
        <w:tc>
          <w:tcPr>
            <w:tcW w:w="2964"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1.加油站等的地下油罐应当使用双层罐或者采取建造防渗池等其他有效措施，并进行防渗漏监测，防止地下水和土壤污染。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2.严格执行医疗废物的贮存、转移及处置管理制度，并负责对相应活动的全程监管和环境安全保障。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3.建立健全事故应急体系，落实有效的事故风险防范和应急措施，有效防范污染事故发生。</w:t>
            </w:r>
          </w:p>
        </w:tc>
        <w:tc>
          <w:tcPr>
            <w:tcW w:w="94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6</w:t>
            </w:r>
          </w:p>
        </w:tc>
        <w:tc>
          <w:tcPr>
            <w:tcW w:w="89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ZH37020220005</w:t>
            </w:r>
          </w:p>
        </w:tc>
        <w:tc>
          <w:tcPr>
            <w:tcW w:w="709"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珠海路街道</w:t>
            </w:r>
          </w:p>
        </w:tc>
        <w:tc>
          <w:tcPr>
            <w:tcW w:w="567"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25"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567"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市南区</w:t>
            </w:r>
          </w:p>
        </w:tc>
        <w:tc>
          <w:tcPr>
            <w:tcW w:w="567"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1276"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崂山风景名胜区、生态评估区域一般生态空间、水环境城镇生活源重点管控区、大气环境受体敏感区</w:t>
            </w:r>
          </w:p>
          <w:p>
            <w:pPr>
              <w:snapToGrid w:val="0"/>
              <w:jc w:val="left"/>
              <w:rPr>
                <w:rFonts w:ascii="Times New Roman" w:hAnsi="Times New Roman" w:cs="Times New Roman"/>
                <w:kern w:val="0"/>
                <w:sz w:val="16"/>
                <w:szCs w:val="16"/>
              </w:rPr>
            </w:pPr>
          </w:p>
        </w:tc>
        <w:tc>
          <w:tcPr>
            <w:tcW w:w="1155"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1.科学规划，合理布局，积极发展旅游业、现代服务业等第三产业。</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2.风景名胜区严格落实《风景名胜区条例》相关要求。</w:t>
            </w:r>
          </w:p>
        </w:tc>
        <w:tc>
          <w:tcPr>
            <w:tcW w:w="3504"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1.餐饮行业按要求安装油烟高效净化设备并定期清洗和维护，禁止露天烧烤，鼓励餐饮业及居民生活能源使用天然气、液化石油气等洁净能源。</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2.严格落实医疗废水、医疗废物消毒措施，规范医疗废物暂存并及时清运。禁止在运送过程中丢弃医疗废物；禁止在非贮存地点倾倒、堆放医疗废物或者将医疗废物混入其他废物和生活垃圾。</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3.提升施工扬尘防治水平，城市建筑、交通等各类工地全面落实扬尘控制措施，强化道路扬尘控制，提高道路机扫、冲洗率，禁止焚烧环卫清扫物、建筑垃圾、生活垃圾等废弃物。</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深化重点行业污染治理，加强机动车排气污染治理，禁行区内依法禁止三轮汽车、低速载货汽车、拖拉机驶入，对达到报废标准的车辆强制报废，加大对无牌无证摩托车查处力度。禁止销售或者进口排气污染物超过国家规定排放标准的机动车。</w:t>
            </w:r>
          </w:p>
        </w:tc>
        <w:tc>
          <w:tcPr>
            <w:tcW w:w="2964"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1.加油站等的地下油罐应当使用双层罐或者采取建造防渗池等其他有效措施，并进行防渗漏监测，防止地下水和土壤污染。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2.应严格执行医疗废物的贮存、转移及处置管理制度，妥善处置医疗废物和医疗废水，并负责对相应活动的全程监管和环境安全保障。转移符合豁免要求的危险废物的，按照国家相关规定实行豁免管理。</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3.建立健全事故应急体系，落实有效的事故风险防范和应急措施，有效防范污染事故发生。</w:t>
            </w:r>
          </w:p>
        </w:tc>
        <w:tc>
          <w:tcPr>
            <w:tcW w:w="94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7</w:t>
            </w:r>
          </w:p>
        </w:tc>
        <w:tc>
          <w:tcPr>
            <w:tcW w:w="89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ZH37020220006</w:t>
            </w:r>
          </w:p>
        </w:tc>
        <w:tc>
          <w:tcPr>
            <w:tcW w:w="709"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江苏路街道</w:t>
            </w:r>
          </w:p>
        </w:tc>
        <w:tc>
          <w:tcPr>
            <w:tcW w:w="567"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25"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567"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市南区</w:t>
            </w:r>
          </w:p>
        </w:tc>
        <w:tc>
          <w:tcPr>
            <w:tcW w:w="567"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1276" w:type="dxa"/>
            <w:vAlign w:val="center"/>
          </w:tcPr>
          <w:p>
            <w:pPr>
              <w:snapToGrid w:val="0"/>
              <w:jc w:val="left"/>
              <w:rPr>
                <w:rFonts w:ascii="Times New Roman" w:hAnsi="Times New Roman" w:cs="Times New Roman"/>
                <w:kern w:val="0"/>
                <w:sz w:val="16"/>
                <w:szCs w:val="16"/>
              </w:rPr>
            </w:pPr>
            <w:r>
              <w:rPr>
                <w:rFonts w:ascii="Times New Roman" w:hAnsi="Times New Roman" w:cs="Times New Roman"/>
                <w:sz w:val="16"/>
                <w:szCs w:val="16"/>
              </w:rPr>
              <w:t>崂山风景名胜区、水环境城镇生活源重点管控区、大气环境受体敏感区</w:t>
            </w:r>
          </w:p>
        </w:tc>
        <w:tc>
          <w:tcPr>
            <w:tcW w:w="1155"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1.科学规划，合理布局，积极发展旅游业、现代服务业等第三产业。</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2.风景名胜区严格落实《风景名胜区条例》相关要求。</w:t>
            </w:r>
          </w:p>
        </w:tc>
        <w:tc>
          <w:tcPr>
            <w:tcW w:w="3504"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1.餐饮行业按要求安装油烟高效净化设备并定期清洗和维护，禁止露天烧烤，鼓励餐饮业及居民生活能源使用天然气、液化石油气等洁净能源。</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2.提升施工扬尘防治水平，城市建筑、交通等各类工地全面落实扬尘控制措施，强化道路扬尘控制，提高道路机扫、冲洗率，禁止焚烧环卫清扫物、建筑垃圾、生活垃圾等废弃物。</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3.医疗机构应严格落实医疗废水、医疗废物消毒措施，规范医疗废物收集、暂存及管理。</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深化重点行业污染治理，加强机动车排气污染治理，禁行区内依法禁止三轮汽车、低速载货汽车、拖拉机驶入，对达到报废标准的车辆强制报废，加大对无牌无证摩托车查处力度。禁止销售或者进口排气污染物超过国家规定排放标准的机动车。</w:t>
            </w:r>
          </w:p>
        </w:tc>
        <w:tc>
          <w:tcPr>
            <w:tcW w:w="2964"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1.加油站等的地下油罐应当使用双层罐或者采取建造防渗池等其他有效措施，并进行防渗漏监测，防止地下水和土壤污染。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2.应严格执行医疗废物的贮存、转移及处置管理制度，妥善处置医疗废物和医疗废水，并负责对相应活动的全程监管和环境安全保障。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3.建立健全事故应急体系，落实有效的事故风险防范和应急措施，有效防范污染事故发生。</w:t>
            </w:r>
          </w:p>
        </w:tc>
        <w:tc>
          <w:tcPr>
            <w:tcW w:w="94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8</w:t>
            </w:r>
          </w:p>
        </w:tc>
        <w:tc>
          <w:tcPr>
            <w:tcW w:w="89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ZH37020220007</w:t>
            </w:r>
          </w:p>
        </w:tc>
        <w:tc>
          <w:tcPr>
            <w:tcW w:w="709"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湛山街道</w:t>
            </w:r>
          </w:p>
        </w:tc>
        <w:tc>
          <w:tcPr>
            <w:tcW w:w="567"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25"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567"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市南区</w:t>
            </w:r>
          </w:p>
        </w:tc>
        <w:tc>
          <w:tcPr>
            <w:tcW w:w="567"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1276" w:type="dxa"/>
          </w:tcPr>
          <w:p>
            <w:pPr>
              <w:snapToGrid w:val="0"/>
              <w:jc w:val="left"/>
              <w:rPr>
                <w:rFonts w:ascii="Times New Roman" w:hAnsi="Times New Roman" w:cs="Times New Roman"/>
                <w:sz w:val="16"/>
                <w:szCs w:val="16"/>
              </w:rPr>
            </w:pPr>
            <w:r>
              <w:rPr>
                <w:rFonts w:ascii="Times New Roman" w:hAnsi="Times New Roman" w:cs="Times New Roman"/>
                <w:sz w:val="16"/>
                <w:szCs w:val="16"/>
              </w:rPr>
              <w:t>崂山风景名胜区、生态评估区域一般生态空间、水环境城镇生活源重点管控区、大气环境受体敏感区</w:t>
            </w:r>
          </w:p>
        </w:tc>
        <w:tc>
          <w:tcPr>
            <w:tcW w:w="1155"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1.科学规划，合理布局，积极发展旅游业、现代服务业等第三产业。</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2.风景名胜区严格落实《风景名胜区条例》相关要求。</w:t>
            </w:r>
          </w:p>
        </w:tc>
        <w:tc>
          <w:tcPr>
            <w:tcW w:w="3504"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1.餐饮行业按要求安装油烟高效净化设备并定期清洗和维护，禁止露天烧烤，鼓励餐饮业及居民生活能源使用天然气、液化石油气等洁净能源。</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2.提升施工扬尘防治水平，城市建筑、交通等各类工地全面落实扬尘控制措施，强化道路扬尘控制，提高道路机扫、冲洗率，禁止焚烧环卫清扫物、建筑垃圾、生活垃圾等废弃物。</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深化重点行业污染治理，加强机动车排气污染治理，禁行区内依法禁止三轮汽车、低速载货汽车、拖拉机驶入，对达到报废标准的车辆强制报废，加大对无牌无证摩托车查处力度。禁止销售或者进口排气污染物超过国家规定排放标准的机动车。</w:t>
            </w:r>
          </w:p>
        </w:tc>
        <w:tc>
          <w:tcPr>
            <w:tcW w:w="2964"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1.加油站等的地下油罐应当使用双层罐或者采取建造防渗池等其他有效措施，并进行防渗漏监测，防止地下水和土壤污染。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2.严格执行医疗废物的贮存、转移及处置管理制度，并负责对相应活动的全程监管和环境安全保障。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3.建立健全事故应急体系，落实有效的事故风险防范和应急措施，有效防范污染事故发生。</w:t>
            </w:r>
          </w:p>
        </w:tc>
        <w:tc>
          <w:tcPr>
            <w:tcW w:w="94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9</w:t>
            </w:r>
          </w:p>
        </w:tc>
        <w:tc>
          <w:tcPr>
            <w:tcW w:w="89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ZH37020220008</w:t>
            </w:r>
          </w:p>
        </w:tc>
        <w:tc>
          <w:tcPr>
            <w:tcW w:w="709"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云南路街道</w:t>
            </w:r>
          </w:p>
        </w:tc>
        <w:tc>
          <w:tcPr>
            <w:tcW w:w="567"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25"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567"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市南区</w:t>
            </w:r>
          </w:p>
        </w:tc>
        <w:tc>
          <w:tcPr>
            <w:tcW w:w="567"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1276" w:type="dxa"/>
            <w:vAlign w:val="center"/>
          </w:tcPr>
          <w:p>
            <w:pPr>
              <w:snapToGrid w:val="0"/>
              <w:jc w:val="left"/>
              <w:rPr>
                <w:rFonts w:ascii="Times New Roman" w:hAnsi="Times New Roman" w:cs="Times New Roman"/>
                <w:kern w:val="0"/>
                <w:sz w:val="16"/>
                <w:szCs w:val="16"/>
              </w:rPr>
            </w:pPr>
            <w:r>
              <w:rPr>
                <w:rFonts w:ascii="Times New Roman" w:hAnsi="Times New Roman" w:cs="Times New Roman"/>
                <w:sz w:val="16"/>
                <w:szCs w:val="16"/>
              </w:rPr>
              <w:t>水环境城镇生活源重点管控区、大气环境受体敏感区</w:t>
            </w:r>
          </w:p>
        </w:tc>
        <w:tc>
          <w:tcPr>
            <w:tcW w:w="115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1.科学规划，合理布局，积极发展旅游业、现代服务业等第三产业。</w:t>
            </w:r>
          </w:p>
        </w:tc>
        <w:tc>
          <w:tcPr>
            <w:tcW w:w="3504"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1.餐饮行业按要求安装油烟高效净化设备并定期清洗和维护，禁止露天烧烤，鼓励餐饮业及居民生活能源使用天然气、液化石油气等洁净能源。</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2.提升施工扬尘防治水平，城市建筑、交通等各类工地全面落实扬尘控制措施，强化道路扬尘控制，提高道路机扫、冲洗率，禁止焚烧环卫清扫物、建筑垃圾、生活垃圾等废弃物。</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3.严格落实医疗废水、医疗废物消毒措施，规范医疗废物暂存并及时清运。禁止在运送过程中丢弃医疗废物；禁止在非贮存地点倾倒、堆放医疗废物或者将医疗废物混入其他废物和生活垃圾。</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深化重点行业污染治理，加强机动车排气污染治理，禁行区内依法禁止三轮汽车、低速载货汽车、拖拉机驶入，对达到报废标准的车辆强制报废，加大对无牌无证摩托车查处力度。禁止销售或者进口排气污染物超过国家规定排放标准的机动车。</w:t>
            </w:r>
          </w:p>
        </w:tc>
        <w:tc>
          <w:tcPr>
            <w:tcW w:w="2964"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1.加油站等的地下油罐应当使用双层罐或者采取建造防渗池等其他有效措施，并进行防渗漏监测，防止地下水和土壤污染。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2.严格执行医疗废物的贮存、转移及处置管理制度，并负责对相应活动的全程监管和环境安全保障。转移符合豁免要求的危险废物的，按照国家相关规定实行豁免管理。</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3.建立健全事故应急体系，落实有效的事故风险防范和应急措施，有效防范污染事故发生。</w:t>
            </w:r>
          </w:p>
        </w:tc>
        <w:tc>
          <w:tcPr>
            <w:tcW w:w="94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10</w:t>
            </w:r>
          </w:p>
        </w:tc>
        <w:tc>
          <w:tcPr>
            <w:tcW w:w="89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ZH37020220009</w:t>
            </w:r>
          </w:p>
        </w:tc>
        <w:tc>
          <w:tcPr>
            <w:tcW w:w="709"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金门路街道</w:t>
            </w:r>
          </w:p>
        </w:tc>
        <w:tc>
          <w:tcPr>
            <w:tcW w:w="567"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25"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567"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市南区</w:t>
            </w:r>
          </w:p>
        </w:tc>
        <w:tc>
          <w:tcPr>
            <w:tcW w:w="567"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1276" w:type="dxa"/>
            <w:vAlign w:val="center"/>
          </w:tcPr>
          <w:p>
            <w:pPr>
              <w:snapToGrid w:val="0"/>
              <w:jc w:val="left"/>
              <w:rPr>
                <w:rFonts w:ascii="Times New Roman" w:hAnsi="Times New Roman" w:cs="Times New Roman"/>
                <w:kern w:val="0"/>
                <w:sz w:val="16"/>
                <w:szCs w:val="16"/>
              </w:rPr>
            </w:pPr>
            <w:r>
              <w:rPr>
                <w:rFonts w:ascii="Times New Roman" w:hAnsi="Times New Roman" w:cs="Times New Roman"/>
                <w:sz w:val="16"/>
                <w:szCs w:val="16"/>
              </w:rPr>
              <w:t>生态评估区域一般生态空间、水环境城镇生活源重点管控区、大气环境受体敏感区</w:t>
            </w:r>
          </w:p>
        </w:tc>
        <w:tc>
          <w:tcPr>
            <w:tcW w:w="1155"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1.科学规划，合理布局，积极发展旅游业、现代服务业等第三产业。</w:t>
            </w:r>
          </w:p>
        </w:tc>
        <w:tc>
          <w:tcPr>
            <w:tcW w:w="3504"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1.餐饮行业按要求安装油烟高效净化设备并定期清洗和维护，禁止露天烧烤，鼓励餐饮业及居民生活能源使用天然气、液化石油气等洁净能源。</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2.提升施工扬尘防治水平，城市建筑、交通等各类工地全面落实扬尘控制措施，强化道路扬尘控制，提高道路机扫、冲洗率，禁止焚烧环卫清扫物、建筑垃圾、生活垃圾等废弃物。</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深化重点行业污染治理，加强机动车排气污染治理，禁行区内依法禁止三轮汽车、低速载货汽车、拖拉机驶入，对达到报废标准的车辆强制报废，加大对无牌无证摩托车查处力度。禁止销售或者进口排气污染物超过国家规定排放标准的机动车。</w:t>
            </w:r>
          </w:p>
        </w:tc>
        <w:tc>
          <w:tcPr>
            <w:tcW w:w="2964"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1.加油站等的地下油罐应当使用双层罐或者采取建造防渗池等其他有效措施，并进行防渗漏监测，防止地下水和土壤污染。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2.严格执行医疗废物的贮存、转移及处置管理制度，并负责对相应活动的全程监管和环境安全保障。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3.建立健全事故应急体系，落实有效的事故风险防范和应急措施，有效防范污染事故发生。</w:t>
            </w:r>
          </w:p>
        </w:tc>
        <w:tc>
          <w:tcPr>
            <w:tcW w:w="94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bl>
    <w:p>
      <w:pPr>
        <w:widowControl/>
        <w:adjustRightInd w:val="0"/>
        <w:snapToGrid w:val="0"/>
        <w:spacing w:line="360" w:lineRule="auto"/>
        <w:jc w:val="center"/>
        <w:rPr>
          <w:rFonts w:ascii="Times New Roman" w:hAnsi="Times New Roman" w:cs="Times New Roman"/>
          <w:b/>
          <w:kern w:val="44"/>
          <w:sz w:val="16"/>
          <w:szCs w:val="16"/>
        </w:rPr>
        <w:sectPr>
          <w:pgSz w:w="16838" w:h="11906" w:orient="landscape"/>
          <w:pgMar w:top="1797" w:right="1440" w:bottom="1797" w:left="1440" w:header="851" w:footer="992" w:gutter="0"/>
          <w:cols w:space="720" w:num="1"/>
          <w:docGrid w:linePitch="312" w:charSpace="0"/>
        </w:sectPr>
      </w:pPr>
    </w:p>
    <w:p>
      <w:pPr>
        <w:widowControl/>
        <w:adjustRightInd w:val="0"/>
        <w:snapToGrid w:val="0"/>
        <w:spacing w:line="360" w:lineRule="auto"/>
        <w:jc w:val="center"/>
        <w:outlineLvl w:val="1"/>
        <w:rPr>
          <w:rFonts w:ascii="Times New Roman" w:hAnsi="Times New Roman" w:eastAsia="黑体" w:cs="Times New Roman"/>
          <w:b/>
          <w:kern w:val="44"/>
          <w:sz w:val="28"/>
          <w:szCs w:val="28"/>
        </w:rPr>
      </w:pPr>
      <w:bookmarkStart w:id="19" w:name="_Toc27091"/>
      <w:bookmarkStart w:id="20" w:name="_Toc67649334"/>
      <w:bookmarkStart w:id="21" w:name="_Toc137761106"/>
      <w:r>
        <w:rPr>
          <w:rFonts w:ascii="Times New Roman" w:hAnsi="Times New Roman" w:eastAsia="黑体" w:cs="Times New Roman"/>
          <w:b/>
          <w:kern w:val="44"/>
          <w:sz w:val="28"/>
          <w:szCs w:val="28"/>
        </w:rPr>
        <w:t>(二)市北区环境管控单元生态环境准入清单</w:t>
      </w:r>
      <w:bookmarkEnd w:id="19"/>
      <w:bookmarkEnd w:id="20"/>
      <w:bookmarkEnd w:id="21"/>
    </w:p>
    <w:tbl>
      <w:tblPr>
        <w:tblStyle w:val="13"/>
        <w:tblpPr w:leftFromText="180" w:rightFromText="180" w:vertAnchor="text" w:tblpY="1"/>
        <w:tblOverlap w:val="never"/>
        <w:tblW w:w="13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
        <w:gridCol w:w="1310"/>
        <w:gridCol w:w="696"/>
        <w:gridCol w:w="431"/>
        <w:gridCol w:w="431"/>
        <w:gridCol w:w="431"/>
        <w:gridCol w:w="696"/>
        <w:gridCol w:w="867"/>
        <w:gridCol w:w="1615"/>
        <w:gridCol w:w="3913"/>
        <w:gridCol w:w="2268"/>
        <w:gridCol w:w="9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78" w:type="dxa"/>
            <w:vMerge w:val="restart"/>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序号</w:t>
            </w:r>
          </w:p>
        </w:tc>
        <w:tc>
          <w:tcPr>
            <w:tcW w:w="1310" w:type="dxa"/>
            <w:vMerge w:val="restart"/>
            <w:vAlign w:val="center"/>
          </w:tcPr>
          <w:p>
            <w:pPr>
              <w:widowControl/>
              <w:adjustRightInd w:val="0"/>
              <w:snapToGrid w:val="0"/>
              <w:jc w:val="center"/>
              <w:rPr>
                <w:rFonts w:ascii="Times New Roman" w:hAnsi="Times New Roman" w:cs="Times New Roman"/>
                <w:b/>
                <w:kern w:val="0"/>
                <w:sz w:val="16"/>
                <w:szCs w:val="16"/>
              </w:rPr>
            </w:pPr>
            <w:r>
              <w:rPr>
                <w:rFonts w:ascii="Times New Roman" w:hAnsi="Times New Roman" w:cs="Times New Roman"/>
                <w:b/>
                <w:kern w:val="0"/>
                <w:sz w:val="16"/>
                <w:szCs w:val="16"/>
              </w:rPr>
              <w:t>环境管控单元编码</w:t>
            </w:r>
          </w:p>
        </w:tc>
        <w:tc>
          <w:tcPr>
            <w:tcW w:w="696" w:type="dxa"/>
            <w:vMerge w:val="restart"/>
            <w:vAlign w:val="center"/>
          </w:tcPr>
          <w:p>
            <w:pPr>
              <w:snapToGrid w:val="0"/>
              <w:ind w:left="-160" w:leftChars="-50" w:right="-166" w:rightChars="-52"/>
              <w:jc w:val="center"/>
              <w:rPr>
                <w:rFonts w:ascii="Times New Roman" w:hAnsi="Times New Roman" w:cs="Times New Roman"/>
                <w:b/>
                <w:kern w:val="0"/>
                <w:sz w:val="16"/>
                <w:szCs w:val="16"/>
              </w:rPr>
            </w:pPr>
            <w:r>
              <w:rPr>
                <w:rFonts w:ascii="Times New Roman" w:hAnsi="Times New Roman" w:cs="Times New Roman"/>
                <w:b/>
                <w:kern w:val="0"/>
                <w:sz w:val="16"/>
                <w:szCs w:val="16"/>
              </w:rPr>
              <w:t>环境管控单元名称</w:t>
            </w:r>
          </w:p>
        </w:tc>
        <w:tc>
          <w:tcPr>
            <w:tcW w:w="1293" w:type="dxa"/>
            <w:gridSpan w:val="3"/>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行政区划</w:t>
            </w:r>
          </w:p>
        </w:tc>
        <w:tc>
          <w:tcPr>
            <w:tcW w:w="696" w:type="dxa"/>
            <w:vMerge w:val="restart"/>
            <w:vAlign w:val="center"/>
          </w:tcPr>
          <w:p>
            <w:pPr>
              <w:adjustRightInd w:val="0"/>
              <w:snapToGrid w:val="0"/>
              <w:jc w:val="center"/>
              <w:rPr>
                <w:rFonts w:ascii="Times New Roman" w:hAnsi="Times New Roman" w:cs="Times New Roman"/>
                <w:b/>
                <w:kern w:val="0"/>
                <w:sz w:val="16"/>
                <w:szCs w:val="16"/>
              </w:rPr>
            </w:pPr>
            <w:r>
              <w:rPr>
                <w:rFonts w:ascii="Times New Roman" w:hAnsi="Times New Roman" w:cs="Times New Roman"/>
                <w:b/>
                <w:kern w:val="0"/>
                <w:sz w:val="16"/>
                <w:szCs w:val="16"/>
              </w:rPr>
              <w:t>管控单元分类</w:t>
            </w:r>
          </w:p>
        </w:tc>
        <w:tc>
          <w:tcPr>
            <w:tcW w:w="867" w:type="dxa"/>
            <w:vMerge w:val="restart"/>
            <w:vAlign w:val="center"/>
          </w:tcPr>
          <w:p>
            <w:pPr>
              <w:adjustRightInd w:val="0"/>
              <w:snapToGrid w:val="0"/>
              <w:jc w:val="center"/>
              <w:rPr>
                <w:rFonts w:ascii="Times New Roman" w:hAnsi="Times New Roman" w:cs="Times New Roman"/>
                <w:b/>
                <w:kern w:val="0"/>
                <w:sz w:val="16"/>
                <w:szCs w:val="16"/>
              </w:rPr>
            </w:pPr>
            <w:r>
              <w:rPr>
                <w:rFonts w:ascii="Times New Roman" w:hAnsi="Times New Roman" w:cs="Times New Roman"/>
                <w:b/>
                <w:kern w:val="0"/>
                <w:sz w:val="16"/>
                <w:szCs w:val="16"/>
              </w:rPr>
              <w:t>涉及的主要管控细类</w:t>
            </w:r>
          </w:p>
        </w:tc>
        <w:tc>
          <w:tcPr>
            <w:tcW w:w="1615" w:type="dxa"/>
            <w:vMerge w:val="restart"/>
            <w:vAlign w:val="center"/>
          </w:tcPr>
          <w:p>
            <w:pPr>
              <w:adjustRightInd w:val="0"/>
              <w:snapToGrid w:val="0"/>
              <w:jc w:val="center"/>
              <w:rPr>
                <w:rFonts w:ascii="Times New Roman" w:hAnsi="Times New Roman" w:cs="Times New Roman"/>
                <w:b/>
                <w:kern w:val="0"/>
                <w:sz w:val="16"/>
                <w:szCs w:val="16"/>
              </w:rPr>
            </w:pPr>
            <w:r>
              <w:rPr>
                <w:rFonts w:ascii="Times New Roman" w:hAnsi="Times New Roman" w:cs="Times New Roman"/>
                <w:b/>
                <w:kern w:val="0"/>
                <w:sz w:val="16"/>
                <w:szCs w:val="16"/>
              </w:rPr>
              <w:t>空间布局约束</w:t>
            </w:r>
          </w:p>
        </w:tc>
        <w:tc>
          <w:tcPr>
            <w:tcW w:w="3913" w:type="dxa"/>
            <w:vMerge w:val="restart"/>
            <w:vAlign w:val="center"/>
          </w:tcPr>
          <w:p>
            <w:pPr>
              <w:adjustRightInd w:val="0"/>
              <w:snapToGrid w:val="0"/>
              <w:jc w:val="center"/>
              <w:rPr>
                <w:rFonts w:ascii="Times New Roman" w:hAnsi="Times New Roman" w:cs="Times New Roman"/>
                <w:b/>
                <w:kern w:val="0"/>
                <w:sz w:val="16"/>
                <w:szCs w:val="16"/>
              </w:rPr>
            </w:pPr>
            <w:r>
              <w:rPr>
                <w:rFonts w:ascii="Times New Roman" w:hAnsi="Times New Roman" w:cs="Times New Roman"/>
                <w:b/>
                <w:kern w:val="0"/>
                <w:sz w:val="16"/>
                <w:szCs w:val="16"/>
              </w:rPr>
              <w:t>污染物排放管控</w:t>
            </w:r>
          </w:p>
        </w:tc>
        <w:tc>
          <w:tcPr>
            <w:tcW w:w="2268" w:type="dxa"/>
            <w:vMerge w:val="restart"/>
            <w:vAlign w:val="center"/>
          </w:tcPr>
          <w:p>
            <w:pPr>
              <w:adjustRightInd w:val="0"/>
              <w:snapToGrid w:val="0"/>
              <w:jc w:val="center"/>
              <w:rPr>
                <w:rFonts w:ascii="Times New Roman" w:hAnsi="Times New Roman" w:cs="Times New Roman"/>
                <w:b/>
                <w:kern w:val="0"/>
                <w:sz w:val="16"/>
                <w:szCs w:val="16"/>
              </w:rPr>
            </w:pPr>
            <w:r>
              <w:rPr>
                <w:rFonts w:ascii="Times New Roman" w:hAnsi="Times New Roman" w:cs="Times New Roman"/>
                <w:b/>
                <w:kern w:val="0"/>
                <w:sz w:val="16"/>
                <w:szCs w:val="16"/>
              </w:rPr>
              <w:t>环境风险防控</w:t>
            </w:r>
          </w:p>
        </w:tc>
        <w:tc>
          <w:tcPr>
            <w:tcW w:w="912" w:type="dxa"/>
            <w:vMerge w:val="restart"/>
            <w:vAlign w:val="center"/>
          </w:tcPr>
          <w:p>
            <w:pPr>
              <w:adjustRightInd w:val="0"/>
              <w:snapToGrid w:val="0"/>
              <w:jc w:val="center"/>
              <w:rPr>
                <w:rFonts w:ascii="Times New Roman" w:hAnsi="Times New Roman" w:cs="Times New Roman"/>
                <w:b/>
                <w:kern w:val="0"/>
                <w:sz w:val="16"/>
                <w:szCs w:val="16"/>
              </w:rPr>
            </w:pPr>
            <w:r>
              <w:rPr>
                <w:rFonts w:ascii="Times New Roman" w:hAnsi="Times New Roman" w:cs="Times New Roman"/>
                <w:b/>
                <w:kern w:val="0"/>
                <w:sz w:val="16"/>
                <w:szCs w:val="16"/>
              </w:rPr>
              <w:t>资源开发效率要求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78" w:type="dxa"/>
            <w:vMerge w:val="continue"/>
            <w:vAlign w:val="center"/>
          </w:tcPr>
          <w:p>
            <w:pPr>
              <w:widowControl/>
              <w:adjustRightInd w:val="0"/>
              <w:snapToGrid w:val="0"/>
              <w:jc w:val="center"/>
              <w:rPr>
                <w:rFonts w:ascii="Times New Roman" w:hAnsi="Times New Roman" w:cs="Times New Roman"/>
                <w:b/>
                <w:kern w:val="44"/>
                <w:sz w:val="16"/>
                <w:szCs w:val="16"/>
              </w:rPr>
            </w:pPr>
          </w:p>
        </w:tc>
        <w:tc>
          <w:tcPr>
            <w:tcW w:w="1310" w:type="dxa"/>
            <w:vMerge w:val="continue"/>
            <w:vAlign w:val="center"/>
          </w:tcPr>
          <w:p>
            <w:pPr>
              <w:widowControl/>
              <w:adjustRightInd w:val="0"/>
              <w:snapToGrid w:val="0"/>
              <w:jc w:val="center"/>
              <w:rPr>
                <w:rFonts w:ascii="Times New Roman" w:hAnsi="Times New Roman" w:cs="Times New Roman"/>
                <w:b/>
                <w:kern w:val="0"/>
                <w:sz w:val="16"/>
                <w:szCs w:val="16"/>
              </w:rPr>
            </w:pPr>
          </w:p>
        </w:tc>
        <w:tc>
          <w:tcPr>
            <w:tcW w:w="696" w:type="dxa"/>
            <w:vMerge w:val="continue"/>
            <w:vAlign w:val="center"/>
          </w:tcPr>
          <w:p>
            <w:pPr>
              <w:adjustRightInd w:val="0"/>
              <w:snapToGrid w:val="0"/>
              <w:jc w:val="center"/>
              <w:rPr>
                <w:rFonts w:ascii="Times New Roman" w:hAnsi="Times New Roman" w:cs="Times New Roman"/>
                <w:b/>
                <w:kern w:val="0"/>
                <w:sz w:val="16"/>
                <w:szCs w:val="16"/>
              </w:rPr>
            </w:pPr>
          </w:p>
        </w:tc>
        <w:tc>
          <w:tcPr>
            <w:tcW w:w="431" w:type="dxa"/>
            <w:vAlign w:val="center"/>
          </w:tcPr>
          <w:p>
            <w:pPr>
              <w:widowControl/>
              <w:adjustRightInd w:val="0"/>
              <w:snapToGrid w:val="0"/>
              <w:jc w:val="center"/>
              <w:rPr>
                <w:rFonts w:ascii="Times New Roman" w:hAnsi="Times New Roman" w:cs="Times New Roman"/>
                <w:b/>
                <w:kern w:val="0"/>
                <w:sz w:val="16"/>
                <w:szCs w:val="16"/>
              </w:rPr>
            </w:pPr>
            <w:r>
              <w:rPr>
                <w:rFonts w:ascii="Times New Roman" w:hAnsi="Times New Roman" w:cs="Times New Roman"/>
                <w:b/>
                <w:kern w:val="0"/>
                <w:sz w:val="16"/>
                <w:szCs w:val="16"/>
              </w:rPr>
              <w:t>省</w:t>
            </w:r>
          </w:p>
        </w:tc>
        <w:tc>
          <w:tcPr>
            <w:tcW w:w="431" w:type="dxa"/>
            <w:vAlign w:val="center"/>
          </w:tcPr>
          <w:p>
            <w:pPr>
              <w:adjustRightInd w:val="0"/>
              <w:snapToGrid w:val="0"/>
              <w:jc w:val="center"/>
              <w:rPr>
                <w:rFonts w:ascii="Times New Roman" w:hAnsi="Times New Roman" w:cs="Times New Roman"/>
                <w:b/>
                <w:kern w:val="0"/>
                <w:sz w:val="16"/>
                <w:szCs w:val="16"/>
              </w:rPr>
            </w:pPr>
            <w:r>
              <w:rPr>
                <w:rFonts w:ascii="Times New Roman" w:hAnsi="Times New Roman" w:cs="Times New Roman"/>
                <w:b/>
                <w:kern w:val="0"/>
                <w:sz w:val="16"/>
                <w:szCs w:val="16"/>
              </w:rPr>
              <w:t>市</w:t>
            </w:r>
          </w:p>
        </w:tc>
        <w:tc>
          <w:tcPr>
            <w:tcW w:w="431" w:type="dxa"/>
            <w:vAlign w:val="center"/>
          </w:tcPr>
          <w:p>
            <w:pPr>
              <w:adjustRightInd w:val="0"/>
              <w:snapToGrid w:val="0"/>
              <w:jc w:val="center"/>
              <w:rPr>
                <w:rFonts w:ascii="Times New Roman" w:hAnsi="Times New Roman" w:cs="Times New Roman"/>
                <w:b/>
                <w:kern w:val="0"/>
                <w:sz w:val="16"/>
                <w:szCs w:val="16"/>
              </w:rPr>
            </w:pPr>
            <w:r>
              <w:rPr>
                <w:rFonts w:ascii="Times New Roman" w:hAnsi="Times New Roman" w:cs="Times New Roman"/>
                <w:b/>
                <w:kern w:val="0"/>
                <w:sz w:val="16"/>
                <w:szCs w:val="16"/>
              </w:rPr>
              <w:t>县</w:t>
            </w:r>
          </w:p>
        </w:tc>
        <w:tc>
          <w:tcPr>
            <w:tcW w:w="696" w:type="dxa"/>
            <w:vMerge w:val="continue"/>
            <w:vAlign w:val="center"/>
          </w:tcPr>
          <w:p>
            <w:pPr>
              <w:widowControl/>
              <w:adjustRightInd w:val="0"/>
              <w:snapToGrid w:val="0"/>
              <w:jc w:val="center"/>
              <w:rPr>
                <w:rFonts w:ascii="Times New Roman" w:hAnsi="Times New Roman" w:cs="Times New Roman"/>
                <w:b/>
                <w:kern w:val="44"/>
                <w:sz w:val="16"/>
                <w:szCs w:val="16"/>
              </w:rPr>
            </w:pPr>
          </w:p>
        </w:tc>
        <w:tc>
          <w:tcPr>
            <w:tcW w:w="867" w:type="dxa"/>
            <w:vMerge w:val="continue"/>
            <w:vAlign w:val="center"/>
          </w:tcPr>
          <w:p>
            <w:pPr>
              <w:widowControl/>
              <w:adjustRightInd w:val="0"/>
              <w:snapToGrid w:val="0"/>
              <w:jc w:val="center"/>
              <w:rPr>
                <w:rFonts w:ascii="Times New Roman" w:hAnsi="Times New Roman" w:cs="Times New Roman"/>
                <w:b/>
                <w:kern w:val="44"/>
                <w:sz w:val="16"/>
                <w:szCs w:val="16"/>
              </w:rPr>
            </w:pPr>
          </w:p>
        </w:tc>
        <w:tc>
          <w:tcPr>
            <w:tcW w:w="1615" w:type="dxa"/>
            <w:vMerge w:val="continue"/>
            <w:vAlign w:val="center"/>
          </w:tcPr>
          <w:p>
            <w:pPr>
              <w:widowControl/>
              <w:adjustRightInd w:val="0"/>
              <w:snapToGrid w:val="0"/>
              <w:jc w:val="center"/>
              <w:rPr>
                <w:rFonts w:ascii="Times New Roman" w:hAnsi="Times New Roman" w:cs="Times New Roman"/>
                <w:b/>
                <w:kern w:val="44"/>
                <w:sz w:val="16"/>
                <w:szCs w:val="16"/>
              </w:rPr>
            </w:pPr>
          </w:p>
        </w:tc>
        <w:tc>
          <w:tcPr>
            <w:tcW w:w="3913" w:type="dxa"/>
            <w:vMerge w:val="continue"/>
            <w:vAlign w:val="center"/>
          </w:tcPr>
          <w:p>
            <w:pPr>
              <w:widowControl/>
              <w:adjustRightInd w:val="0"/>
              <w:snapToGrid w:val="0"/>
              <w:jc w:val="center"/>
              <w:rPr>
                <w:rFonts w:ascii="Times New Roman" w:hAnsi="Times New Roman" w:cs="Times New Roman"/>
                <w:b/>
                <w:kern w:val="44"/>
                <w:sz w:val="16"/>
                <w:szCs w:val="16"/>
              </w:rPr>
            </w:pPr>
          </w:p>
        </w:tc>
        <w:tc>
          <w:tcPr>
            <w:tcW w:w="2268" w:type="dxa"/>
            <w:vMerge w:val="continue"/>
            <w:vAlign w:val="center"/>
          </w:tcPr>
          <w:p>
            <w:pPr>
              <w:widowControl/>
              <w:adjustRightInd w:val="0"/>
              <w:snapToGrid w:val="0"/>
              <w:jc w:val="center"/>
              <w:rPr>
                <w:rFonts w:ascii="Times New Roman" w:hAnsi="Times New Roman" w:cs="Times New Roman"/>
                <w:b/>
                <w:kern w:val="44"/>
                <w:sz w:val="16"/>
                <w:szCs w:val="16"/>
              </w:rPr>
            </w:pPr>
          </w:p>
        </w:tc>
        <w:tc>
          <w:tcPr>
            <w:tcW w:w="912" w:type="dxa"/>
            <w:vMerge w:val="continue"/>
            <w:vAlign w:val="center"/>
          </w:tcPr>
          <w:p>
            <w:pPr>
              <w:widowControl/>
              <w:adjustRightInd w:val="0"/>
              <w:snapToGrid w:val="0"/>
              <w:jc w:val="center"/>
              <w:rPr>
                <w:rFonts w:ascii="Times New Roman" w:hAnsi="Times New Roman" w:cs="Times New Roman"/>
                <w:b/>
                <w:kern w:val="44"/>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w:t>
            </w:r>
          </w:p>
        </w:tc>
        <w:tc>
          <w:tcPr>
            <w:tcW w:w="1310" w:type="dxa"/>
            <w:vAlign w:val="center"/>
          </w:tcPr>
          <w:p>
            <w:pPr>
              <w:widowControl/>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ZH37020320001</w:t>
            </w:r>
          </w:p>
        </w:tc>
        <w:tc>
          <w:tcPr>
            <w:tcW w:w="696"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浮山新区街道</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市北区</w:t>
            </w:r>
          </w:p>
        </w:tc>
        <w:tc>
          <w:tcPr>
            <w:tcW w:w="696"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867"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生态评估区域一般生态空间、水环境城镇生活源重点管控区、大气环境受体敏感区</w:t>
            </w:r>
          </w:p>
        </w:tc>
        <w:tc>
          <w:tcPr>
            <w:tcW w:w="1615"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1.科学规划，合理布局，积极发展旅游业、现代服务业等第三产业。</w:t>
            </w:r>
          </w:p>
        </w:tc>
        <w:tc>
          <w:tcPr>
            <w:tcW w:w="391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1.餐饮行业按要求安装油烟高效净化设备并定期清洗和维护，禁止露天烧烤，鼓励餐饮业及居民生活能源使用天然气、液化石油气等洁净能源。</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2.涉及表面涂装工艺的企业宜使用低VOCs涂料，涂料、稀释剂、清洗剂等原辅材料应密闭储存，调配、使用、回收等过程应采用密闭设备或在密闭空间内操作。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3.提升施工扬尘防治水平，城市建筑、交通等各类工地全面落实扬尘控制措施，强化道路扬尘控制，提高道路机扫、冲洗率，禁止焚烧环卫清扫物、建筑垃圾、生活垃圾等废弃物。</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4.严格落实医疗废水、医疗废物消毒措施，规范医疗废物暂存并及时清运。禁止在运送过程中丢弃医疗废物；禁止在非贮存地点倾倒、堆放医疗废物或者将医疗废物混入其他废物和生活垃圾。</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深化重点行业污染治理，加强机动车排气污染治理，禁行区内依法禁止三轮汽车、低速载货汽车、拖拉机驶入，对达到报废标准的车辆强制报废，加大对无牌无证摩托车查处力度。禁止销售或者进口排气污染物超过国家规定排放标准的机动车。</w:t>
            </w:r>
          </w:p>
        </w:tc>
        <w:tc>
          <w:tcPr>
            <w:tcW w:w="226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1.加油站等的地下油罐应当使用双层罐或者采取建造防渗池等其他有效措施，并进行防渗漏监测，防止地下水和土壤污染。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2.严格执行医疗废物的贮存、转移及处置管理制度，并负责对相应活动的全程监管和环境安全保障。转移符合豁免要求的危险废物的，按照国家相关规定实行豁免管理。</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3.建立健全事故应急体系，落实有效的事故风险防范和应急措施，有效防范污染事故发生。</w:t>
            </w:r>
          </w:p>
        </w:tc>
        <w:tc>
          <w:tcPr>
            <w:tcW w:w="91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2</w:t>
            </w:r>
          </w:p>
        </w:tc>
        <w:tc>
          <w:tcPr>
            <w:tcW w:w="131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ZH37020320002</w:t>
            </w:r>
          </w:p>
        </w:tc>
        <w:tc>
          <w:tcPr>
            <w:tcW w:w="696"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大港街道</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市北区</w:t>
            </w:r>
          </w:p>
        </w:tc>
        <w:tc>
          <w:tcPr>
            <w:tcW w:w="696"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867"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水环境城镇生活源重点管控区、大气环境受体敏感区</w:t>
            </w:r>
          </w:p>
        </w:tc>
        <w:tc>
          <w:tcPr>
            <w:tcW w:w="1615"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1.科学规划，合理布局，积极发展旅游业、现代服务业等第三产业。</w:t>
            </w:r>
          </w:p>
        </w:tc>
        <w:tc>
          <w:tcPr>
            <w:tcW w:w="391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1.海泊河污水处理厂应完善在线监控系统联网，加强恶臭气体的收集和有效处置。</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2.提升扬尘污染防治水平，堆场、城市建筑、交通等各类工地全面落实扬尘控制措施。</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深化重点行业污染治理，加强机动车排气污染治理，禁行区内依法禁止三轮汽车、低速载货汽车、拖拉机驶入，对达到报废标准的车辆强制报废，加大对无牌无证摩托车查处力度。禁止销售或者进口排气污染物超过国家规定排放标准的机动车。</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4.加强污水管网建设，按照雨污分流原则实施雨水管道、污水管网改造。</w:t>
            </w:r>
          </w:p>
        </w:tc>
        <w:tc>
          <w:tcPr>
            <w:tcW w:w="226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针对码头、港区航道等存在的溢油或危险化学品泄漏等环境风险，提出工程防控、应急资源配备、事故池、事故污水处置等风险防范措施，以及环境应急预案编制、与地方人民政府及相关部门、有关单位建立应急联动机制等要求。</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海泊河污水处理厂应采取措施安全处置污泥，保证处理处置后的污泥符合国家标准，对污泥的流向、用途、用量等进行跟踪、记录，并报告该区域排水主管部门、生态环境主管部门。禁止擅自倾倒、堆放、丢弃、遗撒城镇污水处理设施产生的污泥和处理后的污泥。</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3.加油站等的地下油罐应当使用双层罐或者采取建造防渗池等其他有效措施，并进行防渗漏监测，防止地下水和土壤污染。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4.建立各企业危险废物及医疗废物的贮存、转移及处置管理制度，并负责对危险废物相应活动的全程监管和环境安全保障。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5.建立健全事故应急体系，落实有效的事故风险防范和应急措施，有效防范污染事故发生。</w:t>
            </w:r>
          </w:p>
        </w:tc>
        <w:tc>
          <w:tcPr>
            <w:tcW w:w="91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3</w:t>
            </w:r>
          </w:p>
        </w:tc>
        <w:tc>
          <w:tcPr>
            <w:tcW w:w="131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ZH37020320003</w:t>
            </w:r>
          </w:p>
        </w:tc>
        <w:tc>
          <w:tcPr>
            <w:tcW w:w="696"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辽源路街道</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市北区</w:t>
            </w:r>
          </w:p>
        </w:tc>
        <w:tc>
          <w:tcPr>
            <w:tcW w:w="696"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867"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水环境城镇生活源重点管控区、大气环境受体敏感区</w:t>
            </w:r>
          </w:p>
        </w:tc>
        <w:tc>
          <w:tcPr>
            <w:tcW w:w="1615"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1.科学规划，合理布局，积极发展旅游业、现代服务业等第三产业。</w:t>
            </w:r>
          </w:p>
        </w:tc>
        <w:tc>
          <w:tcPr>
            <w:tcW w:w="391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1.医疗机构应严格落实医疗废水、医疗废物消毒措施，规范医疗废物收集、暂存及管理。</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2.餐饮行业按要求安装油烟高效净化设备并定期清洗和维护，禁止露天烧烤，鼓励餐饮业及居民生活能源使用天然气、液化石油气等洁净能源。</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3.提升施工扬尘防治水平，城市建筑、交通等各类工地全面落实扬尘控制措施，强化道路扬尘控制，提高道路机扫、冲洗率，禁止焚烧环卫清扫物、建筑垃圾、生活垃圾等废弃物。</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4.涉及表面涂装工艺的企业宜使用低VOCs涂料，涂料、稀释剂、清洗剂等原辅材料应密闭储存，调配、使用、回收等过程应采用密闭设备或在密闭空间内操作。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深化重点行业污染治理，加强机动车排气污染治理，禁行区内依法禁止三轮汽车、低速载货汽车、拖拉机驶入，对达到报废标准的车辆强制报废，加大对无牌无证摩托车查处力度。禁止销售或者进口排气污染物超过国家规定排放标准的机动车。</w:t>
            </w:r>
          </w:p>
        </w:tc>
        <w:tc>
          <w:tcPr>
            <w:tcW w:w="226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1.加油站等的地下油罐应当使用双层罐或者采取建造防渗池等其他有效措施，并进行防渗漏监测，防止地下水和土壤污染。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2.严格执行危险废物及医疗废物的贮存、转移及处置管理制度，并负责对相应活动的全程监管和环境安全保障。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3.建立健全事故应急体系，落实有效的事故风险防范和应急措施，有效防范污染事故发生。</w:t>
            </w:r>
          </w:p>
        </w:tc>
        <w:tc>
          <w:tcPr>
            <w:tcW w:w="91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4</w:t>
            </w:r>
          </w:p>
        </w:tc>
        <w:tc>
          <w:tcPr>
            <w:tcW w:w="131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ZH37020320004</w:t>
            </w:r>
          </w:p>
        </w:tc>
        <w:tc>
          <w:tcPr>
            <w:tcW w:w="696"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敦化路街道</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市北区</w:t>
            </w:r>
          </w:p>
        </w:tc>
        <w:tc>
          <w:tcPr>
            <w:tcW w:w="696"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867"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水环境城镇生活源重点管控区、大气环境受体敏感区、</w:t>
            </w:r>
          </w:p>
        </w:tc>
        <w:tc>
          <w:tcPr>
            <w:tcW w:w="161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1.科学规划，合理布局，积极发展旅游业、现代服务业等第三产业。</w:t>
            </w:r>
          </w:p>
        </w:tc>
        <w:tc>
          <w:tcPr>
            <w:tcW w:w="391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1.涉及表面涂装工艺的企业宜使用低VOCs涂料，涂料、稀释剂、清洗剂等原辅材料应密闭储存，调配、使用、回收等过程应采用密闭设备或在密闭空间内操作。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2.餐饮行业按要求安装油烟高效净化设备并定期清洗和维护，禁止露天烧烤，鼓励餐饮业及居民生活能源使用天然气、液化石油气等洁净能源。</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3.提升施工扬尘防治水平，城市建筑、交通等各类工地全面落实扬尘控制措施，强化道路扬尘控制，提高道路机扫、冲洗率，禁止焚烧环卫清扫物、建筑垃圾、生活垃圾等废弃物。</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深化重点行业污染治理，加强机动车排气污染治理，禁行区内依法禁止三轮汽车、低速载货汽车、拖拉机驶入，对达到报废标准的车辆强制报废，加大对无牌无证摩托车查处力度。禁止销售或者进口排气污染物超过国家规定排放标准的机动车。</w:t>
            </w:r>
          </w:p>
        </w:tc>
        <w:tc>
          <w:tcPr>
            <w:tcW w:w="226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1.加油站等的地下油罐应当使用双层罐或者采取建造防渗池等其他有效措施，并进行防渗漏监测，防止地下水和土壤污染。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2.严格执行危险废物及医疗废物的贮存、转移及处置管理制度，并负责对相应活动的全程监管和环境安全保障。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3.建立健全事故应急体系，落实有效的事故风险防范和应急措施，有效防范污染事故发生。</w:t>
            </w:r>
          </w:p>
        </w:tc>
        <w:tc>
          <w:tcPr>
            <w:tcW w:w="91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5</w:t>
            </w:r>
          </w:p>
        </w:tc>
        <w:tc>
          <w:tcPr>
            <w:tcW w:w="131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ZH37020320005</w:t>
            </w:r>
          </w:p>
        </w:tc>
        <w:tc>
          <w:tcPr>
            <w:tcW w:w="696"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镇江路街道</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市北区</w:t>
            </w:r>
          </w:p>
        </w:tc>
        <w:tc>
          <w:tcPr>
            <w:tcW w:w="696"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867"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水环境城镇生活源重点管控区、大气环境受体敏感区</w:t>
            </w:r>
          </w:p>
        </w:tc>
        <w:tc>
          <w:tcPr>
            <w:tcW w:w="1615"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1.科学规划，合理布局，积极发展旅游业、现代服务业等第三产业。</w:t>
            </w:r>
          </w:p>
        </w:tc>
        <w:tc>
          <w:tcPr>
            <w:tcW w:w="391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1.涉及表面涂装工艺的企业宜使用低VOCs涂料，涂料、稀释剂、清洗剂等原辅材料应密闭储存，调配、使用、回收等过程应采用密闭设备或在密闭空间内操作。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2.餐饮行业按要求安装油烟高效净化设备并定期清洗和维护，禁止露天烧烤，鼓励餐饮业及居民生活能源使用天然气、液化石油气等洁净能源。</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3.提升施工扬尘防治水平，城市建筑、交通等各类工地全面落实扬尘控制措施，强化道路扬尘控制，提高道路机扫、冲洗率，禁止焚烧环卫清扫物、建筑垃圾、生活垃圾等废弃物。</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深化重点行业污染治理，加强机动车排气污染治理，禁行区内依法禁止三轮汽车、低速载货汽车、拖拉机驶入，对达到报废标准的车辆强制报废，加大对无牌无证摩托车查处力度。禁止销售或者进口排气污染物超过国家规定排放标准的机动车。</w:t>
            </w:r>
          </w:p>
        </w:tc>
        <w:tc>
          <w:tcPr>
            <w:tcW w:w="226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1.加油站等的地下油罐应当使用双层罐或者采取建造防渗池等其他有效措施，并进行防渗漏监测，防止地下水和土壤污染。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2.严格执行危险废物及医疗废物的贮存、转移及处置管理制度，并负责对相应活动的全程监管和环境安全保障。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3.建立健全事故应急体系，落实有效的事故风险防范和应急措施，有效防范污染事故发生。</w:t>
            </w:r>
          </w:p>
        </w:tc>
        <w:tc>
          <w:tcPr>
            <w:tcW w:w="91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6</w:t>
            </w:r>
          </w:p>
        </w:tc>
        <w:tc>
          <w:tcPr>
            <w:tcW w:w="131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ZH37020320006</w:t>
            </w:r>
          </w:p>
        </w:tc>
        <w:tc>
          <w:tcPr>
            <w:tcW w:w="696"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台东街道</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市北区</w:t>
            </w:r>
          </w:p>
        </w:tc>
        <w:tc>
          <w:tcPr>
            <w:tcW w:w="696"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867"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水环境城镇生活源重点管控区、大气环境受体敏感区</w:t>
            </w:r>
          </w:p>
        </w:tc>
        <w:tc>
          <w:tcPr>
            <w:tcW w:w="1615"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1.科学规划，合理布局，积极发展现代商贸和旅游业。</w:t>
            </w:r>
          </w:p>
        </w:tc>
        <w:tc>
          <w:tcPr>
            <w:tcW w:w="391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1.餐饮行业按要求安装油烟高效净化设备并定期清洗和维护，禁止露天烧烤，鼓励餐饮业及居民生活能源使用天然气、液化石油气等洁净能源。</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2.提升施工扬尘防治水平，城市建筑、交通等各类工地全面落实扬尘控制措施，强化道路扬尘控制，提高道路机扫、冲洗率，禁止焚烧环卫清扫物、建筑垃圾、生活垃圾等废弃物。</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深化重点行业污染治理，加强机动车排气污染治理，禁行区内依法禁止三轮汽车、低速载货汽车、拖拉机驶入，对达到报废标准的车辆强制报废，加大对无牌无证摩托车查处力度。禁止销售或者进口排气污染物超过国家规定排放标准的机动车。</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4.加强挥发性有机物排放管控，涉及表面涂装工艺的企业宜使用低VOCs涂料替代溶剂型涂料，涂料、稀释剂、清洗剂等原辅材料应密闭储存，调配、使用、回收等过程应采用密闭设备或在密闭空间内操作。</w:t>
            </w:r>
          </w:p>
        </w:tc>
        <w:tc>
          <w:tcPr>
            <w:tcW w:w="226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1.加油站等的地下油罐应当使用双层罐或者采取建造防渗池等其他有效措施，并进行防渗漏监测，防止地下水和土壤污染。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2.严格执行危险废物及医疗废物的贮存、转移及处置管理制度，并负责对相应活动的全程监管和环境安全保障。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3.建立健全事故应急体系，落实有效的事故风险防范和应急措施，有效防范污染事故发生。</w:t>
            </w:r>
          </w:p>
        </w:tc>
        <w:tc>
          <w:tcPr>
            <w:tcW w:w="91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7</w:t>
            </w:r>
          </w:p>
        </w:tc>
        <w:tc>
          <w:tcPr>
            <w:tcW w:w="131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ZH37020320007</w:t>
            </w:r>
          </w:p>
        </w:tc>
        <w:tc>
          <w:tcPr>
            <w:tcW w:w="696"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即墨路街道</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市北区</w:t>
            </w:r>
          </w:p>
        </w:tc>
        <w:tc>
          <w:tcPr>
            <w:tcW w:w="696"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867"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水环境城镇生活源重点管控区、大气环境受体敏感区</w:t>
            </w:r>
          </w:p>
        </w:tc>
        <w:tc>
          <w:tcPr>
            <w:tcW w:w="1615"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1.科学规划，合理布局，积极发展旅游业、现代服务业等第三产业。</w:t>
            </w:r>
          </w:p>
        </w:tc>
        <w:tc>
          <w:tcPr>
            <w:tcW w:w="391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1.严格落实医疗废水、医疗废物消毒措施，规范医疗废物暂存并及时清运。禁止在运送过程中丢弃医疗废物；禁止在非贮存地点倾倒、堆放医疗废物或者将医疗废物混入其他废物和生活垃圾。</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2.餐饮行业按要求安装油烟高效净化设备并定期清洗和维护，禁止露天烧烤，鼓励餐饮业及居民生活能源使用天然气、液化石油气等洁净能源。</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3.加强污水管网建设，按照雨污分流原则实施雨水管道、污水管网改造。</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深化重点行业污染治理，加强机动车排气污染治理，禁行区内依法禁止三轮汽车、低速载货汽车、拖拉机驶入，对达到报废标准的车辆强制报废，加大对无牌无证摩托车查处力度。禁止销售或者进口排气污染物超过国家规定排放标准的机动车。</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5.提升施工扬尘防治水平，城市建筑、交通等各类工地全面落实扬尘控制措施，强化道路扬尘控制，提高道路机扫、冲洗率，禁止焚烧环卫清扫物、建筑垃圾、生活垃圾等废弃物。</w:t>
            </w:r>
          </w:p>
        </w:tc>
        <w:tc>
          <w:tcPr>
            <w:tcW w:w="226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1.加油站等的地下油罐应当使用双层罐或者采取建造防渗池等其他有效措施，并进行防渗漏监测，防止地下水和土壤污染。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2.医疗机构严格执行医疗废物的贮存、转移及处置管理制度，妥善处置医疗废水，并负责对相应活动的全程监管和环境安全保障。转移符合豁免要求的危险废物的，按照国家相关规定实行豁免管理。</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3.建立健全事故应急体系，落实有效的事故风险防范和应急措施，有效防范污染事故发生。</w:t>
            </w:r>
          </w:p>
        </w:tc>
        <w:tc>
          <w:tcPr>
            <w:tcW w:w="91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8</w:t>
            </w:r>
          </w:p>
        </w:tc>
        <w:tc>
          <w:tcPr>
            <w:tcW w:w="131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ZH37020320008</w:t>
            </w:r>
          </w:p>
        </w:tc>
        <w:tc>
          <w:tcPr>
            <w:tcW w:w="696"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辽宁路街道</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市北区</w:t>
            </w:r>
          </w:p>
        </w:tc>
        <w:tc>
          <w:tcPr>
            <w:tcW w:w="696"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867"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水环境城镇生活源重点管控区、大气环境受体敏感区</w:t>
            </w:r>
          </w:p>
        </w:tc>
        <w:tc>
          <w:tcPr>
            <w:tcW w:w="1615"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1.科学规划，合理布局，积极发展旅游业、现代服务业等第三产业。</w:t>
            </w:r>
          </w:p>
        </w:tc>
        <w:tc>
          <w:tcPr>
            <w:tcW w:w="391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1.餐饮行业按要求安装油烟高效净化设备并定期清洗和维护，禁止露天烧烤，鼓励餐饮业及居民生活能源使用天然气、液化石油气等洁净能源。</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2.加强挥发性有机物排放管控，涉及表面涂装工艺的企业宜使用低VOCs涂料、稀释剂、清洗剂等原辅材料应密闭储存，调配、使用、回收等过程应采用密闭设备或在密闭空间内操作。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3.提升施工扬尘防治水平，城市建筑、交通等各类工地全面落实扬尘控制措施，强化道路扬尘控制，提高道路机扫、冲洗率，禁止焚烧环卫清扫物、建筑垃圾、生活垃圾等废弃物。</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深化重点行业污染治理，加强机动车排气污染治理，禁行区内依法禁止三轮汽车、低速载货汽车、拖拉机驶入，对达到报废标准的车辆强制报废，加大对无牌无证摩托车查处力度。禁止销售或者进口排气污染物超过国家规定排放标准的机动车。</w:t>
            </w:r>
          </w:p>
        </w:tc>
        <w:tc>
          <w:tcPr>
            <w:tcW w:w="226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1.加油站等的地下油罐应当使用双层罐或者采取建造防渗池等其他有效措施，并进行防渗漏监测，防止地下水和土壤污染。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2.严格执行危险废物及医疗废物的贮存、转移及处置管理制度，并负责对相应活动的全程监管和环境安全保障。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3.建立健全事故应急体系，落实有效的事故风险防范和应急措施，有效防范污染事故发生。</w:t>
            </w:r>
          </w:p>
        </w:tc>
        <w:tc>
          <w:tcPr>
            <w:tcW w:w="91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9</w:t>
            </w:r>
          </w:p>
        </w:tc>
        <w:tc>
          <w:tcPr>
            <w:tcW w:w="131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ZH37020320009</w:t>
            </w:r>
          </w:p>
        </w:tc>
        <w:tc>
          <w:tcPr>
            <w:tcW w:w="696"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宁夏路街道</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市北区</w:t>
            </w:r>
          </w:p>
        </w:tc>
        <w:tc>
          <w:tcPr>
            <w:tcW w:w="696"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867"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水环境城镇生活源重点管控区、大气环境受体敏感区</w:t>
            </w:r>
          </w:p>
        </w:tc>
        <w:tc>
          <w:tcPr>
            <w:tcW w:w="1615"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1.科学规划，合理布局，积极发展旅游业、现代服务业等第三产业。</w:t>
            </w:r>
          </w:p>
          <w:p>
            <w:pPr>
              <w:snapToGrid w:val="0"/>
              <w:rPr>
                <w:rFonts w:ascii="Times New Roman" w:hAnsi="Times New Roman" w:cs="Times New Roman"/>
                <w:kern w:val="0"/>
                <w:sz w:val="16"/>
                <w:szCs w:val="16"/>
              </w:rPr>
            </w:pPr>
          </w:p>
        </w:tc>
        <w:tc>
          <w:tcPr>
            <w:tcW w:w="391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1.餐饮行业按要求安装油烟高效净化设备并定期清洗和维护，禁止露天烧烤，鼓励餐饮业及居民生活能源使用天然气、液化石油气等洁净能源。</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2.加强挥发性有机物排放管控，涉及表面涂装工艺的企业宜使用低VOCs涂料、稀释剂、清洗剂等原辅材料应密闭储存，调配、使用、回收等过程应采用密闭设备或在密闭空间内操作。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3.提升施工扬尘防治水平，城市建筑、交通等各类工地全面落实扬尘控制措施，强化道路扬尘控制，提高道路机扫、冲洗率，禁止焚烧环卫清扫物、建筑垃圾、生活垃圾等废弃物。</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深化重点行业污染治理，加强机动车排气污染治理，禁行区内依法禁止三轮汽车、低速载货汽车、拖拉机驶入，对达到报废标准的车辆强制报废，加大对无牌无证摩托车查处力度。禁止销售或者进口排气污染物超过国家规定排放标准的机动车。</w:t>
            </w:r>
          </w:p>
        </w:tc>
        <w:tc>
          <w:tcPr>
            <w:tcW w:w="226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1.加油站等的地下油罐应当使用双层罐或者采取建造防渗池等其他有效措施，并进行防渗漏监测，防止地下水和土壤污染。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2.严格执行危险废物及医疗废物的贮存、转移及处置管理制度，并负责对相应活动的全程监管和环境安全保障。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3.建立健全事故应急体系，落实有效的事故风险防范和应急措施，有效防范污染事故发生。</w:t>
            </w:r>
          </w:p>
        </w:tc>
        <w:tc>
          <w:tcPr>
            <w:tcW w:w="91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10</w:t>
            </w:r>
          </w:p>
        </w:tc>
        <w:tc>
          <w:tcPr>
            <w:tcW w:w="131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ZH37020320010</w:t>
            </w:r>
          </w:p>
        </w:tc>
        <w:tc>
          <w:tcPr>
            <w:tcW w:w="696"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登州路街道</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市北区</w:t>
            </w:r>
          </w:p>
        </w:tc>
        <w:tc>
          <w:tcPr>
            <w:tcW w:w="696"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867"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水环境城镇生活源重点管控区、大气环境受体敏感区</w:t>
            </w:r>
          </w:p>
        </w:tc>
        <w:tc>
          <w:tcPr>
            <w:tcW w:w="1615"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1.科学规划，合理布局，积极发展现代商贸业等第三产业。</w:t>
            </w:r>
          </w:p>
        </w:tc>
        <w:tc>
          <w:tcPr>
            <w:tcW w:w="391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1.餐饮行业按要求安装油烟高效净化设备并定期清洗和维护，禁止露天烧烤，鼓励餐饮业及居民生活能源使用天然气、液化石油气等洁净能源。</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w:t>
            </w:r>
            <w:bookmarkStart w:id="22" w:name="_Hlk72926491"/>
            <w:r>
              <w:rPr>
                <w:rFonts w:ascii="Times New Roman" w:hAnsi="Times New Roman" w:cs="Times New Roman"/>
                <w:kern w:val="0"/>
                <w:sz w:val="16"/>
                <w:szCs w:val="16"/>
              </w:rPr>
              <w:t>青岛啤酒股份有限公司应严格落实废气、废水治理措施，确保稳定达标排放</w:t>
            </w:r>
            <w:bookmarkEnd w:id="22"/>
            <w:r>
              <w:rPr>
                <w:rFonts w:ascii="Times New Roman" w:hAnsi="Times New Roman" w:cs="Times New Roman"/>
                <w:kern w:val="0"/>
                <w:sz w:val="16"/>
                <w:szCs w:val="16"/>
              </w:rPr>
              <w:t>。</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3.加强挥发性有机物排放管控，涉及表面涂装工艺的企业宜使用低VOCs涂料替代溶剂型涂料，涂料、稀释剂、清洗剂等原辅材料应密闭储存，调配、使用、回收等过程应采用密闭设备或在密闭空间内操作。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深化重点行业污染治理，加强机动车排气污染治理，禁行区内依法禁止三轮汽车、低速载货汽车、拖拉机驶入，对达到报废标准的车辆强制报废，加大对无牌无证摩托车查处力度。禁止销售或者进口排气污染物超过国家规定排放标准的机动车。</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5.完善垃圾收集外运设施，实施垃圾分类制度，加强医疗废物及其他危险废物的贮存、转运等环节的监管监控。</w:t>
            </w:r>
          </w:p>
          <w:p>
            <w:pPr>
              <w:snapToGrid w:val="0"/>
              <w:rPr>
                <w:rFonts w:ascii="Times New Roman" w:hAnsi="Times New Roman" w:cs="Times New Roman"/>
                <w:kern w:val="0"/>
                <w:sz w:val="16"/>
                <w:szCs w:val="16"/>
              </w:rPr>
            </w:pPr>
            <w:r>
              <w:rPr>
                <w:rFonts w:ascii="Times New Roman" w:hAnsi="Times New Roman" w:cs="Times New Roman"/>
                <w:kern w:val="0"/>
                <w:sz w:val="16"/>
                <w:szCs w:val="16"/>
              </w:rPr>
              <w:t>6.提升施工扬尘防治水平，城市建筑、交通等各类工地全面落实扬尘控制措施，强化道路扬尘控制，提高道路机扫、冲洗率，禁止焚烧、环卫清扫物、建筑垃圾、生活垃圾等废弃物。</w:t>
            </w:r>
          </w:p>
        </w:tc>
        <w:tc>
          <w:tcPr>
            <w:tcW w:w="226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1.涉及液氨的企业应采取必要的防火措施，防止发生泄漏爆炸事故。</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2.加油站等的地下油罐应当使用双层罐或者采取建造防渗池等其他有效措施，并进行防渗漏监测，防止地下水和土壤污染。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3.严格执行危险废物及医疗废物的贮存、转移及处置管理制度，并负责对危险废物相应活动的全程监管和环境安全保障。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4.建立健全事故应急体系，落实有效的事故风险防范和应急措施，有效防范污染事故发生。</w:t>
            </w:r>
          </w:p>
        </w:tc>
        <w:tc>
          <w:tcPr>
            <w:tcW w:w="91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11</w:t>
            </w:r>
          </w:p>
        </w:tc>
        <w:tc>
          <w:tcPr>
            <w:tcW w:w="131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ZH37020320011</w:t>
            </w:r>
          </w:p>
        </w:tc>
        <w:tc>
          <w:tcPr>
            <w:tcW w:w="696"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延安路街道</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市北区</w:t>
            </w:r>
          </w:p>
        </w:tc>
        <w:tc>
          <w:tcPr>
            <w:tcW w:w="696"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867"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生态评估区域一般生态空间、水环境城镇生活源重点管控区、大气环境受体敏感区</w:t>
            </w:r>
          </w:p>
        </w:tc>
        <w:tc>
          <w:tcPr>
            <w:tcW w:w="1615"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1.科学规划，合理布局，积极发展旅游业、现代服务业等第三产业。</w:t>
            </w:r>
          </w:p>
        </w:tc>
        <w:tc>
          <w:tcPr>
            <w:tcW w:w="391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1.加强挥发性有机物排放管控，涉及表面涂装工艺的企业宜使用低VOCs涂料替代溶剂型涂料，涂料、稀释剂、清洗剂等原辅材料应密闭储存，调配、使用、回收等过程应采用密闭设备或在密闭空间内操作。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2.餐饮行业按要求安装油烟高效净化设备并定期清洗和维护，禁止露天烧烤，鼓励餐饮业及居民生活能源使用天然气、液化石油气等洁净能源。</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深化重点行业污染治理，加强机动车排气污染治理，禁行区内依法禁止三轮汽车、低速载货汽车、拖拉机驶入，对达到报废标准的车辆强制报废，加大对无牌无证摩托车查处力度。禁止销售或者进口排气污染物超过国家规定排放标准的机动车。</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4.提升施工扬尘防治水平，城市建筑、交通等各类工地全面落实扬尘控制措施，强化道路扬尘控制，提高道路机扫、冲洗率，禁止焚烧环卫清扫物、建筑垃圾、生活垃圾等废弃物。</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5.完善垃圾收集外运设施，实施垃圾分类制度，加强医疗废物及其他危险废物的贮存、转运等环节的监管监控。</w:t>
            </w:r>
          </w:p>
        </w:tc>
        <w:tc>
          <w:tcPr>
            <w:tcW w:w="226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1.加油站等的地下油罐应当使用双层罐或者采取建造防渗池等其他有效措施，并进行防渗漏监测，防止地下水和土壤污染。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2.医疗机构应严格执行医疗废物的贮存、转移及处置管理制度，并负责对相应活动的全程监管和环境安全保障。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3.建立健全事故应急体系，落实有效的事故风险防范和应急措施，有效防范污染事故发生。</w:t>
            </w:r>
          </w:p>
        </w:tc>
        <w:tc>
          <w:tcPr>
            <w:tcW w:w="91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12</w:t>
            </w:r>
          </w:p>
        </w:tc>
        <w:tc>
          <w:tcPr>
            <w:tcW w:w="131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ZH37020320012</w:t>
            </w:r>
          </w:p>
        </w:tc>
        <w:tc>
          <w:tcPr>
            <w:tcW w:w="696"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合肥路街道</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市北区</w:t>
            </w:r>
          </w:p>
        </w:tc>
        <w:tc>
          <w:tcPr>
            <w:tcW w:w="696"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867"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生态评估区域一般生态空间、水环境城镇生活源重点管控区、大气环境受体敏感区</w:t>
            </w:r>
          </w:p>
        </w:tc>
        <w:tc>
          <w:tcPr>
            <w:tcW w:w="1615"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1.科学规划，合理布局，积极发展旅游业、现代服务业等第三产业。</w:t>
            </w:r>
          </w:p>
        </w:tc>
        <w:tc>
          <w:tcPr>
            <w:tcW w:w="391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1.加强挥发性有机物排放管控，涉及表面涂装工艺的企业宜使用低VOCs涂料替代溶剂型涂料，涂料、稀释剂、清洗剂等原辅材料应密闭储存，调配、使用、回收等过程应采用密闭设备或在密闭空间内操作。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2.医疗机构应严格落实医疗废水、医疗废物消毒措施，规范医疗废物收集、暂存及管理。</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3.餐饮行业按要求安装油烟高效净化设备并定期清洗和维护，禁止露天烧烤，鼓励餐饮业及居民生活能源使用天然气、液化石油气等洁净能源。</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4.提升施工扬尘防治水平，城市建筑、交通等各类工地全面落实扬尘控制措施，强化道路扬尘控制，提高道路机扫、冲洗率，禁止焚烧环卫清扫物、建筑垃圾、生活垃圾等废弃物。</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深化重点行业污染治理，加强机动车排气污染治理，禁行区内依法禁止三轮汽车、低速载货汽车、拖拉机驶入，对达到报废标准的车辆强制报废，加大对无牌无证摩托车查处力度。禁止销售或者进口排气污染物超过国家规定排放标准的机动车。</w:t>
            </w:r>
          </w:p>
        </w:tc>
        <w:tc>
          <w:tcPr>
            <w:tcW w:w="226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1.加油站等的地下油罐应当使用双层罐或者采取建造防渗池等其他有效措施，并进行防渗漏监测，防止地下水和土壤污染。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2.严格执行医疗废物的贮存、转移及处置管理制度，并负责对相应活动的全程监管和环境安全保障。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3.建立健全事故应急体系，落实有效的事故风险防范和应急措施，有效防范污染事故发生。</w:t>
            </w:r>
          </w:p>
        </w:tc>
        <w:tc>
          <w:tcPr>
            <w:tcW w:w="91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13</w:t>
            </w:r>
          </w:p>
        </w:tc>
        <w:tc>
          <w:tcPr>
            <w:tcW w:w="131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ZH37020320013</w:t>
            </w:r>
          </w:p>
        </w:tc>
        <w:tc>
          <w:tcPr>
            <w:tcW w:w="696"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水清沟街道</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市北区</w:t>
            </w:r>
          </w:p>
        </w:tc>
        <w:tc>
          <w:tcPr>
            <w:tcW w:w="696"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867"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生态评估区域一般生态空间、水环境城镇生活源重点管控区、大气环境受体敏感区</w:t>
            </w:r>
          </w:p>
        </w:tc>
        <w:tc>
          <w:tcPr>
            <w:tcW w:w="1615"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1.科学规划，合理布局，积极发展旅游业、现代服务业等第三产业。</w:t>
            </w:r>
          </w:p>
          <w:p>
            <w:pPr>
              <w:snapToGrid w:val="0"/>
              <w:rPr>
                <w:rFonts w:ascii="Times New Roman" w:hAnsi="Times New Roman" w:cs="Times New Roman"/>
                <w:kern w:val="0"/>
                <w:sz w:val="16"/>
                <w:szCs w:val="16"/>
              </w:rPr>
            </w:pPr>
          </w:p>
        </w:tc>
        <w:tc>
          <w:tcPr>
            <w:tcW w:w="391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1.完善垃圾收集外运设施，实施垃圾分类制度，加强医疗废物及其他危险废物的贮存、转运等环节的监管监控。</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2.餐饮行业按要求安装油烟高效净化设备并定期清洗和维护，禁止露天烧烤，鼓励餐饮业及居民生活能源使用天然气、液化石油气等洁净能源。</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深化重点行业污染治理，加强机动车排气污染治理，禁行区内依法禁止三轮汽车、低速载货汽车、拖拉机驶入，对达到报废标准的车辆强制报废，加大对无牌无证摩托车查处力度。禁止销售或者进口排气污染物超过国家规定排放标准的机动车。</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4.提升施工扬尘防治水平，城市建筑、交通等各类工地全面落实扬尘控制措施，强化道路扬尘控制，提高道路机扫、冲洗率，禁止焚烧环卫清扫物、建筑垃圾、生活垃圾等废弃物。</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5.加强挥发性有机物排放管控，涉及表面涂装工艺的企业宜使用低VOCs涂料替代溶剂型涂料，涂料、稀释剂、清洗剂等原辅材料应密闭储存，调配、使用、回收等过程应采用密闭设备或在密闭空间内操作。</w:t>
            </w:r>
          </w:p>
        </w:tc>
        <w:tc>
          <w:tcPr>
            <w:tcW w:w="226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1.加油站等的地下油罐应当使用双层罐或者采取建造防渗池等其他有效措施，并进行防渗漏监测，防止地下水和土壤污染。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2.严格执行医疗废物的贮存、转移及处置管理制度，并负责对相应活动的全程监管和环境安全保障。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3.建立健全事故应急体系，落实有效的事故风险防范和应急措施，有效防范污染事故发生。</w:t>
            </w:r>
          </w:p>
        </w:tc>
        <w:tc>
          <w:tcPr>
            <w:tcW w:w="91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14</w:t>
            </w:r>
          </w:p>
        </w:tc>
        <w:tc>
          <w:tcPr>
            <w:tcW w:w="131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ZH37020320014</w:t>
            </w:r>
          </w:p>
        </w:tc>
        <w:tc>
          <w:tcPr>
            <w:tcW w:w="696"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河西街道</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市北区</w:t>
            </w:r>
          </w:p>
        </w:tc>
        <w:tc>
          <w:tcPr>
            <w:tcW w:w="696"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867"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水环境城镇生活源重点管控区、大气环境受体敏感区</w:t>
            </w:r>
          </w:p>
        </w:tc>
        <w:tc>
          <w:tcPr>
            <w:tcW w:w="1615"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1.科学规划，合理布局，积极发展旅游业、现代服务业等第三产业。</w:t>
            </w:r>
          </w:p>
          <w:p>
            <w:pPr>
              <w:snapToGrid w:val="0"/>
              <w:rPr>
                <w:rFonts w:ascii="Times New Roman" w:hAnsi="Times New Roman" w:cs="Times New Roman"/>
                <w:kern w:val="0"/>
                <w:sz w:val="16"/>
                <w:szCs w:val="16"/>
              </w:rPr>
            </w:pPr>
          </w:p>
        </w:tc>
        <w:tc>
          <w:tcPr>
            <w:tcW w:w="391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1.提升施工扬尘防治水平，城市建筑、交通等各类工地全面落实扬尘控制措施，强化道路扬尘控制，提高道路机扫、冲洗率，禁止焚烧环卫清扫物、建筑垃圾、生活垃圾等废弃物。</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2.加强挥发性有机物排放管控，包装印刷行业的溶剂存储、调配工段应对空间进行微负压改造，辊刷、覆压工艺宜设置于密闭工作间内，集中排风并导入VOCs处理设施处理。</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制药行业废水应分类收集、分质处理。高浓度废水、含有药物活性成份的废水应进行预处理。企业向工业园区的公共污水处理厂或城镇排水系统排放废水，应进行处理，并按法律规定达到国家或地方规定的排放标准。产生的列入《国家危险废物名录》的废物，应按危险废物处置。</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4.完善垃圾收集外运设施，实施垃圾分类制度，加强医疗废物及其他危险废物的贮存、转运等环节的监管监控。</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5.餐饮行业按要求安装油烟高效净化设备并定期清洗和维护，禁止露天烧烤，鼓励餐饮业及居民生活能源使用天然气、液化石油气等洁净能源。</w:t>
            </w:r>
          </w:p>
          <w:p>
            <w:pPr>
              <w:snapToGrid w:val="0"/>
              <w:rPr>
                <w:rFonts w:ascii="Times New Roman" w:hAnsi="Times New Roman" w:cs="Times New Roman"/>
                <w:kern w:val="0"/>
                <w:sz w:val="16"/>
                <w:szCs w:val="16"/>
              </w:rPr>
            </w:pPr>
            <w:r>
              <w:rPr>
                <w:rFonts w:ascii="Times New Roman" w:hAnsi="Times New Roman" w:cs="Times New Roman"/>
                <w:kern w:val="0"/>
                <w:sz w:val="16"/>
                <w:szCs w:val="16"/>
              </w:rPr>
              <w:t>6.加强污水管网建设，按照雨污分流原则实施雨水管道、污水管网改造。</w:t>
            </w:r>
          </w:p>
          <w:p>
            <w:pPr>
              <w:snapToGrid w:val="0"/>
              <w:rPr>
                <w:rFonts w:ascii="Times New Roman" w:hAnsi="Times New Roman" w:cs="Times New Roman"/>
                <w:kern w:val="0"/>
                <w:sz w:val="16"/>
                <w:szCs w:val="16"/>
              </w:rPr>
            </w:pPr>
            <w:r>
              <w:rPr>
                <w:rFonts w:ascii="Times New Roman" w:hAnsi="Times New Roman" w:cs="Times New Roman"/>
                <w:kern w:val="0"/>
                <w:sz w:val="16"/>
                <w:szCs w:val="16"/>
              </w:rPr>
              <w:t>7.深化重点行业污染治理，加强机动车排气污染治理，禁行区内依法禁止三轮汽车、低速载货汽车、拖拉机驶入，对达到报废标准的车辆强制报废，加大对无牌无证摩托车查处力度。禁止销售或者进口排气污染物超过国家规定排放标准的机动车。</w:t>
            </w:r>
          </w:p>
        </w:tc>
        <w:tc>
          <w:tcPr>
            <w:tcW w:w="226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制药企业车间、罐区、库房等区域因地制宜地设置容积合理的事故池，确保事故废水有效收集和妥善处理，企业应编制突发环境事件应急预案，制定有效的环境风险管理制度，合理配置环境风险防控及应对处置能力，建立区域突发环境事件应急联动机制。</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2.加油站等的地下油罐应当使用双层罐或者采取建造防渗池等其他有效措施，并进行防渗漏监测，防止地下水和土壤污染。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3.严格执行危险废物（医疗废物）的贮存、转移及处置管理制度，并负责对危险废物（医疗废物）相应活动的全程监管和环境安全保障。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4.建立健全事故应急体系，落实有效的事故风险防范和应急措施，有效防范污染事故发生。</w:t>
            </w:r>
          </w:p>
        </w:tc>
        <w:tc>
          <w:tcPr>
            <w:tcW w:w="91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15</w:t>
            </w:r>
          </w:p>
        </w:tc>
        <w:tc>
          <w:tcPr>
            <w:tcW w:w="131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ZH37020320015</w:t>
            </w:r>
          </w:p>
        </w:tc>
        <w:tc>
          <w:tcPr>
            <w:tcW w:w="696"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兴隆路街道</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市北区</w:t>
            </w:r>
          </w:p>
        </w:tc>
        <w:tc>
          <w:tcPr>
            <w:tcW w:w="696"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867"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水环境城镇生活源重点管控区、大气环境受体敏感区</w:t>
            </w:r>
          </w:p>
        </w:tc>
        <w:tc>
          <w:tcPr>
            <w:tcW w:w="1615"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1.科学规划，合理布局，积极发展旅游业、现代服务业等第三产业。</w:t>
            </w:r>
          </w:p>
        </w:tc>
        <w:tc>
          <w:tcPr>
            <w:tcW w:w="391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1.辖区内燃煤供热及热电企业应严格落实废气收集措施，收集无组织排放，加强烟气治理设施运维，确保在线监测稳定达标。</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2.餐饮行业按要求安装油烟高效净化设备并定期清洗和维护，禁止露天烧烤，鼓励餐饮业及居民生活能源使用天然气、液化石油气等洁净能源。</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深化重点行业污染治理，加强机动车排气污染治理，禁行区内依法禁止三轮汽车、低速载货汽车、拖拉机驶入，对达到报废标准的车辆强制报废，加大对无牌无证摩托车查处力度。禁止销售或者进口排气污染物超过国家规定排放标准的机动车。</w:t>
            </w:r>
          </w:p>
        </w:tc>
        <w:tc>
          <w:tcPr>
            <w:tcW w:w="226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1.涉及液氨的企业应采取必要的防火措施，防止发生泄漏爆炸事故。</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2.加油站等的地下油罐应当使用双层罐或者采取建造防渗池等其他有效措施，并进行防渗漏监测，防止地下水和土壤污染。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3.完善各企业危险废物（含医疗废物）的贮存、转移及处置管理制度，并负责对危险废物相应活动的全程监管和环境安全保障。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4.建立健全事故应急体系，落实有效的事故风险防范和应急措施，有效防范污染事故发生。</w:t>
            </w:r>
          </w:p>
        </w:tc>
        <w:tc>
          <w:tcPr>
            <w:tcW w:w="91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16</w:t>
            </w:r>
          </w:p>
        </w:tc>
        <w:tc>
          <w:tcPr>
            <w:tcW w:w="131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ZH37020320016</w:t>
            </w:r>
          </w:p>
        </w:tc>
        <w:tc>
          <w:tcPr>
            <w:tcW w:w="696"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四方街道</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市北区</w:t>
            </w:r>
          </w:p>
        </w:tc>
        <w:tc>
          <w:tcPr>
            <w:tcW w:w="696"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867"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水环境城镇生活源重点管控区、大气环境受体敏感区</w:t>
            </w:r>
          </w:p>
        </w:tc>
        <w:tc>
          <w:tcPr>
            <w:tcW w:w="1615"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1.科学规划，合理布局，积极发展旅游业、现代服务业等第三产业。</w:t>
            </w:r>
          </w:p>
          <w:p>
            <w:pPr>
              <w:snapToGrid w:val="0"/>
              <w:rPr>
                <w:rFonts w:ascii="Times New Roman" w:hAnsi="Times New Roman" w:cs="Times New Roman"/>
                <w:kern w:val="0"/>
                <w:sz w:val="16"/>
                <w:szCs w:val="16"/>
              </w:rPr>
            </w:pPr>
          </w:p>
        </w:tc>
        <w:tc>
          <w:tcPr>
            <w:tcW w:w="391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1.餐饮行业按要求安装油烟高效净化设备并定期清洗和维护，禁止露天烧烤，鼓励餐饮业及居民生活能源使用天然气、液化石油气等洁净能源。</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2.加强挥发性有机物排放管控，涉及表面涂装工艺的企业宜使用低VOCs涂料替代溶剂型涂料，涂料、稀释剂、清洗剂等原辅材料应密闭储存，调配、使用、回收等过程应采用密闭设备或在密闭空间内操作。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深化重点行业污染治理，加强机动车排气污染治理，禁行区内依法禁止三轮汽车、低速载货汽车、拖拉机驶入，对达到报废标准的车辆强制报废，加大对无牌无证摩托车查处力度。禁止销售或者进口排气污染物超过国家规定排放标准的机动车。</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4.提升施工扬尘防治水平，城市建筑、交通等各类工地全面落实扬尘控制措施，强化道路扬尘控制，提高道路机扫、冲洗率，禁止焚烧环卫清扫物、建筑垃圾、生活垃圾等废弃物。</w:t>
            </w:r>
          </w:p>
        </w:tc>
        <w:tc>
          <w:tcPr>
            <w:tcW w:w="226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1.完善各企业危险废物（含医疗废物）的贮存、转移及处置管理制度，并负责对危险废物相应活动的全程监管和环境安全保障。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2.加油站等的地下油罐应当使用双层罐或者采取建造防渗池等其他有效措施，并进行防渗漏监测，防止地下水和土壤污染。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3.建立健全事故应急体系，落实有效的事故风险防范和应急措施，有效防范污染事故发生。</w:t>
            </w:r>
          </w:p>
        </w:tc>
        <w:tc>
          <w:tcPr>
            <w:tcW w:w="91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17</w:t>
            </w:r>
          </w:p>
        </w:tc>
        <w:tc>
          <w:tcPr>
            <w:tcW w:w="131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ZH37020320017</w:t>
            </w:r>
          </w:p>
        </w:tc>
        <w:tc>
          <w:tcPr>
            <w:tcW w:w="696"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海伦路街道</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市北区</w:t>
            </w:r>
          </w:p>
        </w:tc>
        <w:tc>
          <w:tcPr>
            <w:tcW w:w="696"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867"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生态评估区域一般生态空间、水环境城镇生活源重点管控区、大气环境受体敏感区</w:t>
            </w:r>
          </w:p>
        </w:tc>
        <w:tc>
          <w:tcPr>
            <w:tcW w:w="1615"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1.科学规划，合理布局，积极发展旅游业、现代服务业等第三产业。</w:t>
            </w:r>
          </w:p>
        </w:tc>
        <w:tc>
          <w:tcPr>
            <w:tcW w:w="391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1.餐饮行业按要求安装油烟高效净化设备并定期清洗和维护，禁止露天烧烤，鼓励餐饮业及居民生活能源使用天然气、液化石油气等洁净能源。</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2.提升施工扬尘防治水平，城市建筑、交通等各类工地全面落实扬尘控制措施，强化道路扬尘控制，提高道路机扫、冲洗率，禁止焚烧环卫清扫物、建筑垃圾、生活垃圾等废弃物。</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深化重点行业污染治理，加强机动车排气污染治理，禁行区内依法禁止三轮汽车、低速载货汽车、拖拉机驶入，对达到报废标准的车辆强制报废，加大对无牌无证摩托车查处力度。禁止销售或者进口排气污染物超过国家规定排放标准的机动车。</w:t>
            </w:r>
          </w:p>
        </w:tc>
        <w:tc>
          <w:tcPr>
            <w:tcW w:w="226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1.完善各企业危险废物（含医疗废物）的贮存、转移及处置管理制度，并负责对危险废物相应活动的全程监管和环境安全保障。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2.加油站等的地下油罐应当使用双层罐或者采取建造防渗池等其他有效措施，并进行防渗漏监测，防止地下水和土壤污染。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3.建立健全事故应急体系，落实有效的事故风险防范和应急措施，有效防范污染事故发生。</w:t>
            </w:r>
          </w:p>
        </w:tc>
        <w:tc>
          <w:tcPr>
            <w:tcW w:w="91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18</w:t>
            </w:r>
          </w:p>
        </w:tc>
        <w:tc>
          <w:tcPr>
            <w:tcW w:w="131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ZH37020320018</w:t>
            </w:r>
          </w:p>
        </w:tc>
        <w:tc>
          <w:tcPr>
            <w:tcW w:w="696"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阜新路街道</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市北区</w:t>
            </w:r>
          </w:p>
        </w:tc>
        <w:tc>
          <w:tcPr>
            <w:tcW w:w="696"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867"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水环境城镇生活源重点管控区、大气环境受体敏感区</w:t>
            </w:r>
          </w:p>
        </w:tc>
        <w:tc>
          <w:tcPr>
            <w:tcW w:w="1615"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1.科学规划，合理布局，积极发展旅游业、现代服务业等第三产业。</w:t>
            </w:r>
          </w:p>
        </w:tc>
        <w:tc>
          <w:tcPr>
            <w:tcW w:w="391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1.严格落实医疗废水、医疗废物消毒措施，规范医疗废物暂存并及时清运。禁止在运送过程中丢弃医疗废物；禁止在非贮存地点倾倒、堆放医疗废物或者将医疗废物混入其他废物和生活垃圾。</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2.餐饮行业按要求安装油烟高效净化设备并定期清洗和维护，禁止露天烧烤，鼓励餐饮业及居民生活能源使用天然气、液化石油气等洁净能源。</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3.加强挥发性有机物排放管控，涉及表面涂装工艺的企业宜使用低VOCs涂料替代溶剂型涂料，涂料、稀释剂、清洗剂等原辅材料应密闭储存，调配、使用、回收等过程应采用密闭设备或在密闭空间内操作。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4.提升施工扬尘防治水平，城市建筑、交通等各类工地全面落实扬尘控制措施，强化道路扬尘控制，提高道路机扫、冲洗率，禁止焚烧环卫清扫物、建筑垃圾、生活垃圾等废弃物。</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深化重点行业污染治理，加强机动车排气污染治理，禁行区内依法禁止三轮汽车、低速载货汽车、拖拉机驶入，对达到报废标准的车辆强制报废，加大对无牌无证摩托车查处力度。禁止销售或者进口排气污染物超过国家规定排放标准的机动车。</w:t>
            </w:r>
          </w:p>
        </w:tc>
        <w:tc>
          <w:tcPr>
            <w:tcW w:w="226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1.完善各企业危险废物（含医疗废物）的贮存、转移及处置管理制度，并负责对危险废物相应活动的全程监管和环境安全保障。转移符合豁免要求的危险废物的，按照国家相关规定实行豁免管理。</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2.加油站等的地下油罐应当使用双层罐或者采取建造防渗池等其他有效措施，并进行防渗漏监测，防止地下水和土壤污染。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3.建立健全事故应急体系，落实有效的事故风险防范和应急措施，有效防范污染事故发生。</w:t>
            </w:r>
          </w:p>
        </w:tc>
        <w:tc>
          <w:tcPr>
            <w:tcW w:w="91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19</w:t>
            </w:r>
          </w:p>
        </w:tc>
        <w:tc>
          <w:tcPr>
            <w:tcW w:w="131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ZH37020320019</w:t>
            </w:r>
          </w:p>
        </w:tc>
        <w:tc>
          <w:tcPr>
            <w:tcW w:w="696"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洛阳路街道</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市北区</w:t>
            </w:r>
          </w:p>
        </w:tc>
        <w:tc>
          <w:tcPr>
            <w:tcW w:w="696"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867"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水环境城镇生活源重点管控区、大气环境受体敏感区</w:t>
            </w:r>
          </w:p>
        </w:tc>
        <w:tc>
          <w:tcPr>
            <w:tcW w:w="1615" w:type="dxa"/>
            <w:vAlign w:val="center"/>
          </w:tcPr>
          <w:p>
            <w:pPr>
              <w:numPr>
                <w:ilvl w:val="-1"/>
                <w:numId w:val="0"/>
              </w:numPr>
              <w:snapToGrid w:val="0"/>
              <w:jc w:val="left"/>
              <w:rPr>
                <w:rFonts w:ascii="Times New Roman" w:hAnsi="Times New Roman" w:cs="Times New Roman"/>
                <w:kern w:val="0"/>
                <w:sz w:val="16"/>
                <w:szCs w:val="16"/>
              </w:rPr>
            </w:pPr>
            <w:r>
              <w:rPr>
                <w:rFonts w:hint="eastAsia" w:ascii="Times New Roman" w:hAnsi="Times New Roman" w:cs="Times New Roman"/>
                <w:kern w:val="0"/>
                <w:sz w:val="16"/>
                <w:szCs w:val="16"/>
                <w:lang w:val="en-US" w:eastAsia="zh-CN"/>
              </w:rPr>
              <w:t>1.</w:t>
            </w:r>
            <w:r>
              <w:rPr>
                <w:rFonts w:ascii="Times New Roman" w:hAnsi="Times New Roman" w:cs="Times New Roman"/>
                <w:kern w:val="0"/>
                <w:sz w:val="16"/>
                <w:szCs w:val="16"/>
              </w:rPr>
              <w:t>科学规划，合理布局，积极发展旅游业、现代服务业等第三产业。</w:t>
            </w:r>
          </w:p>
          <w:p>
            <w:pPr>
              <w:snapToGrid w:val="0"/>
              <w:rPr>
                <w:rFonts w:ascii="Times New Roman" w:hAnsi="Times New Roman" w:cs="Times New Roman"/>
                <w:kern w:val="0"/>
                <w:sz w:val="16"/>
                <w:szCs w:val="16"/>
              </w:rPr>
            </w:pPr>
            <w:r>
              <w:rPr>
                <w:rFonts w:hint="eastAsia" w:ascii="Times New Roman" w:hAnsi="Times New Roman" w:cs="Times New Roman"/>
                <w:i w:val="0"/>
                <w:iCs w:val="0"/>
                <w:caps w:val="0"/>
                <w:color w:val="333333"/>
                <w:spacing w:val="0"/>
                <w:kern w:val="0"/>
                <w:sz w:val="16"/>
                <w:szCs w:val="16"/>
                <w:shd w:val="clear" w:color="auto" w:fill="auto"/>
                <w:lang w:val="en-US" w:eastAsia="zh-CN"/>
              </w:rPr>
              <w:t>2.</w:t>
            </w:r>
            <w:r>
              <w:rPr>
                <w:rFonts w:ascii="Times New Roman" w:hAnsi="Times New Roman" w:eastAsia="宋体" w:cs="Times New Roman"/>
                <w:i w:val="0"/>
                <w:iCs w:val="0"/>
                <w:caps w:val="0"/>
                <w:color w:val="333333"/>
                <w:spacing w:val="0"/>
                <w:kern w:val="0"/>
                <w:sz w:val="16"/>
                <w:szCs w:val="16"/>
                <w:shd w:val="clear" w:color="auto" w:fill="auto"/>
              </w:rPr>
              <w:t>规划相邻加油站的路程间距不少于1.8公里</w:t>
            </w:r>
            <w:r>
              <w:rPr>
                <w:rFonts w:hint="eastAsia" w:ascii="Times New Roman" w:hAnsi="Times New Roman" w:cs="Times New Roman"/>
                <w:kern w:val="0"/>
                <w:sz w:val="16"/>
                <w:szCs w:val="16"/>
                <w:lang w:val="en-US" w:eastAsia="zh-CN"/>
              </w:rPr>
              <w:t>。</w:t>
            </w:r>
            <w:r>
              <w:rPr>
                <w:rFonts w:hint="eastAsia" w:ascii="Times New Roman" w:hAnsi="Times New Roman" w:cs="Times New Roman"/>
                <w:kern w:val="0"/>
                <w:sz w:val="16"/>
                <w:szCs w:val="16"/>
                <w:lang w:eastAsia="zh-CN"/>
              </w:rPr>
              <w:t>（</w:t>
            </w:r>
            <w:r>
              <w:rPr>
                <w:rFonts w:ascii="Arial" w:hAnsi="Arial" w:eastAsia="宋体" w:cs="Arial"/>
                <w:i w:val="0"/>
                <w:iCs w:val="0"/>
                <w:caps w:val="0"/>
                <w:color w:val="333333"/>
                <w:spacing w:val="0"/>
                <w:sz w:val="15"/>
                <w:szCs w:val="15"/>
                <w:shd w:val="clear" w:fill="FFFFFF"/>
              </w:rPr>
              <w:t>★</w:t>
            </w:r>
            <w:r>
              <w:rPr>
                <w:rFonts w:hint="eastAsia" w:ascii="Times New Roman" w:hAnsi="Times New Roman" w:cs="Times New Roman"/>
                <w:kern w:val="0"/>
                <w:sz w:val="16"/>
                <w:szCs w:val="16"/>
                <w:lang w:eastAsia="zh-CN"/>
              </w:rPr>
              <w:t>）</w:t>
            </w:r>
          </w:p>
        </w:tc>
        <w:tc>
          <w:tcPr>
            <w:tcW w:w="391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1.加强挥发性有机物排放管控，涉及表面涂装工艺的企业宜使用低VOCs涂料替代溶剂型涂料，涂料、稀释剂、清洗剂等原辅材料应密闭储存，调配、使用、回收等过程应采用密闭设备或在密闭空间内操作。</w:t>
            </w:r>
          </w:p>
          <w:p>
            <w:pPr>
              <w:snapToGrid w:val="0"/>
              <w:rPr>
                <w:rFonts w:ascii="Times New Roman" w:hAnsi="Times New Roman" w:cs="Times New Roman"/>
                <w:kern w:val="0"/>
                <w:sz w:val="16"/>
                <w:szCs w:val="16"/>
              </w:rPr>
            </w:pPr>
            <w:bookmarkStart w:id="23" w:name="OLE_LINK3"/>
            <w:r>
              <w:rPr>
                <w:rFonts w:ascii="Times New Roman" w:hAnsi="Times New Roman" w:cs="Times New Roman"/>
                <w:kern w:val="0"/>
                <w:sz w:val="16"/>
                <w:szCs w:val="16"/>
              </w:rPr>
              <w:t>2.工地全面落实扬尘控制措施，强化道路扬尘控制，提高道路机扫、冲洗率，禁止焚烧环卫清扫物、建筑垃圾、生活垃圾等废弃物。</w:t>
            </w:r>
          </w:p>
          <w:bookmarkEnd w:id="23"/>
          <w:p>
            <w:pPr>
              <w:snapToGrid w:val="0"/>
              <w:rPr>
                <w:rFonts w:ascii="Times New Roman" w:hAnsi="Times New Roman" w:cs="Times New Roman"/>
                <w:kern w:val="0"/>
                <w:sz w:val="16"/>
                <w:szCs w:val="16"/>
              </w:rPr>
            </w:pPr>
            <w:r>
              <w:rPr>
                <w:rFonts w:ascii="Times New Roman" w:hAnsi="Times New Roman" w:cs="Times New Roman"/>
                <w:kern w:val="0"/>
                <w:sz w:val="16"/>
                <w:szCs w:val="16"/>
              </w:rPr>
              <w:t>3.餐饮行业按要求安装油烟高效净化设备并定期清洗和维护，禁止露天烧烤，鼓励餐饮业及居民生活能源使用天然气、液化石油气等洁净能源。</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深化重点行业污染治理，加强机动车排气污染治理，禁行区内依法禁止三轮汽车、低速载货汽车、拖拉机驶入，对达到报废标准的车辆强制报废，加大对无牌无证摩托车查处力度。禁止销售或者进口排气污染物超过国家规定排放标准的机动车。</w:t>
            </w:r>
          </w:p>
          <w:p>
            <w:pPr>
              <w:snapToGrid w:val="0"/>
              <w:rPr>
                <w:rFonts w:ascii="Times New Roman" w:hAnsi="Times New Roman" w:cs="Times New Roman"/>
                <w:kern w:val="0"/>
                <w:sz w:val="16"/>
                <w:szCs w:val="16"/>
              </w:rPr>
            </w:pPr>
            <w:r>
              <w:rPr>
                <w:rFonts w:hint="eastAsia" w:ascii="Times New Roman" w:hAnsi="Times New Roman" w:cs="Times New Roman"/>
                <w:kern w:val="0"/>
                <w:sz w:val="16"/>
                <w:szCs w:val="16"/>
                <w:lang w:val="en-US" w:eastAsia="zh-CN"/>
              </w:rPr>
              <w:t>5.</w:t>
            </w:r>
            <w:r>
              <w:rPr>
                <w:rFonts w:hint="eastAsia" w:ascii="Times New Roman" w:hAnsi="Times New Roman"/>
                <w:kern w:val="0"/>
                <w:sz w:val="16"/>
                <w:szCs w:val="16"/>
              </w:rPr>
              <w:t>加油站卸油、储油和加油时排放的油气，应采用以密闭收集为基础的油气回收方法进行控制。</w:t>
            </w:r>
            <w:r>
              <w:rPr>
                <w:rFonts w:hint="eastAsia" w:ascii="Times New Roman" w:hAnsi="Times New Roman" w:cs="Times New Roman"/>
                <w:kern w:val="0"/>
                <w:sz w:val="16"/>
                <w:szCs w:val="16"/>
                <w:lang w:val="en-US" w:eastAsia="zh-CN"/>
              </w:rPr>
              <w:t>被确定为重点排污单位的加油站应安装在线监测系统。</w:t>
            </w:r>
            <w:r>
              <w:rPr>
                <w:rFonts w:hint="eastAsia" w:ascii="Times New Roman" w:hAnsi="Times New Roman" w:cs="Times New Roman"/>
                <w:kern w:val="0"/>
                <w:sz w:val="16"/>
                <w:szCs w:val="16"/>
                <w:lang w:eastAsia="zh-CN"/>
              </w:rPr>
              <w:t>（</w:t>
            </w:r>
            <w:r>
              <w:rPr>
                <w:rFonts w:ascii="Arial" w:hAnsi="Arial" w:eastAsia="宋体" w:cs="Arial"/>
                <w:i w:val="0"/>
                <w:iCs w:val="0"/>
                <w:caps w:val="0"/>
                <w:color w:val="333333"/>
                <w:spacing w:val="0"/>
                <w:sz w:val="15"/>
                <w:szCs w:val="15"/>
                <w:shd w:val="clear" w:fill="FFFFFF"/>
              </w:rPr>
              <w:t>★</w:t>
            </w:r>
            <w:r>
              <w:rPr>
                <w:rFonts w:hint="eastAsia" w:ascii="Times New Roman" w:hAnsi="Times New Roman" w:cs="Times New Roman"/>
                <w:kern w:val="0"/>
                <w:sz w:val="16"/>
                <w:szCs w:val="16"/>
                <w:lang w:eastAsia="zh-CN"/>
              </w:rPr>
              <w:t>）</w:t>
            </w:r>
          </w:p>
        </w:tc>
        <w:tc>
          <w:tcPr>
            <w:tcW w:w="226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w:t>
            </w:r>
            <w:bookmarkStart w:id="24" w:name="OLE_LINK5"/>
            <w:r>
              <w:rPr>
                <w:rFonts w:ascii="Times New Roman" w:hAnsi="Times New Roman" w:cs="Times New Roman"/>
                <w:kern w:val="0"/>
                <w:sz w:val="16"/>
                <w:szCs w:val="16"/>
              </w:rPr>
              <w:t>.完善各企业危险废物（含医疗废物）的</w:t>
            </w:r>
            <w:bookmarkStart w:id="25" w:name="OLE_LINK4"/>
            <w:r>
              <w:rPr>
                <w:rFonts w:ascii="Times New Roman" w:hAnsi="Times New Roman" w:cs="Times New Roman"/>
                <w:kern w:val="0"/>
                <w:sz w:val="16"/>
                <w:szCs w:val="16"/>
              </w:rPr>
              <w:t>贮存、转移及处置管理制度，</w:t>
            </w:r>
            <w:bookmarkEnd w:id="24"/>
            <w:bookmarkEnd w:id="25"/>
            <w:r>
              <w:rPr>
                <w:rFonts w:ascii="Times New Roman" w:hAnsi="Times New Roman" w:cs="Times New Roman"/>
                <w:kern w:val="0"/>
                <w:sz w:val="16"/>
                <w:szCs w:val="16"/>
              </w:rPr>
              <w:t>并负责对危险废物相应活动的全程监管和环境安全保障。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2.加油站等的地下油罐应当使用双层罐或者采取建造防渗池等其他有效措施，</w:t>
            </w:r>
            <w:bookmarkStart w:id="26" w:name="OLE_LINK6"/>
            <w:r>
              <w:rPr>
                <w:rFonts w:ascii="Times New Roman" w:hAnsi="Times New Roman" w:cs="Times New Roman"/>
                <w:kern w:val="0"/>
                <w:sz w:val="16"/>
                <w:szCs w:val="16"/>
              </w:rPr>
              <w:t>并进行防渗漏监测，防止地下水和土壤污染。</w:t>
            </w:r>
          </w:p>
          <w:bookmarkEnd w:id="26"/>
          <w:p>
            <w:pPr>
              <w:snapToGrid w:val="0"/>
              <w:rPr>
                <w:rFonts w:ascii="Times New Roman" w:hAnsi="Times New Roman" w:cs="Times New Roman"/>
                <w:kern w:val="0"/>
                <w:sz w:val="16"/>
                <w:szCs w:val="16"/>
              </w:rPr>
            </w:pPr>
            <w:r>
              <w:rPr>
                <w:rFonts w:ascii="Times New Roman" w:hAnsi="Times New Roman" w:cs="Times New Roman"/>
                <w:kern w:val="0"/>
                <w:sz w:val="16"/>
                <w:szCs w:val="16"/>
              </w:rPr>
              <w:t>3.建立健全事故应急体系，落实有效的事故风险防范和应急措施，有效防范污染事故发生。</w:t>
            </w:r>
          </w:p>
        </w:tc>
        <w:tc>
          <w:tcPr>
            <w:tcW w:w="91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20</w:t>
            </w:r>
          </w:p>
        </w:tc>
        <w:tc>
          <w:tcPr>
            <w:tcW w:w="131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ZH37020320020</w:t>
            </w:r>
          </w:p>
        </w:tc>
        <w:tc>
          <w:tcPr>
            <w:tcW w:w="696"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湖岛街道</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市北区</w:t>
            </w:r>
          </w:p>
        </w:tc>
        <w:tc>
          <w:tcPr>
            <w:tcW w:w="696"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867"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水环境城镇生活源重点管控区、大气环境受体敏感区</w:t>
            </w:r>
          </w:p>
        </w:tc>
        <w:tc>
          <w:tcPr>
            <w:tcW w:w="1615"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1.科学规划，合理布局，积极发展旅游业、现代服务业等第三产业。</w:t>
            </w:r>
          </w:p>
        </w:tc>
        <w:tc>
          <w:tcPr>
            <w:tcW w:w="391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1.加强挥发性有机物排放管控，涉及表面涂装工艺的企业宜使用低VOCs涂料替代溶剂型涂料，涂料、稀释剂、清洗剂等原辅材料应密闭储存，调配、使用、回收等过程应采用密闭设备或在密闭空间内操作。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2.餐饮行业按要求安装油烟高效净化设备并定期清洗和维护，禁止露天烧烤，鼓励餐饮业及居民生活能源使用天然气、液化石油气等洁净能源。</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深化重点行业污染治理，加强机动车排气污染治理，禁行区内依法禁止三轮汽车、低速载货汽车、拖拉机驶入，对达到报废标准的车辆强制报废，加大对无牌无证摩托车查处力度。禁止销售或者进口排气污染物超过国家规定排放标准的机动车。</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4.提升施工扬尘防治水平，城市建筑、交通等各类工地全面落实扬尘控制措施，强化道路扬尘控制，提高道路机扫、冲洗率，禁止焚烧环卫清扫物、建筑垃圾、生活垃圾等废弃物。</w:t>
            </w:r>
          </w:p>
        </w:tc>
        <w:tc>
          <w:tcPr>
            <w:tcW w:w="226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1.建立健全事故应急体系，落实有效的事故风险防范和应急措施，有效防范污染事故发生。</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2.加油站等的地下油罐应当使用双层罐或者采取建造防渗池等其他有效措施，并进行防渗漏监测，防止地下水和土壤污染。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3.产生、利用或处置固体废物（含危险废物、医疗废物）的企业，在贮存、转移、利用、处置固体废物过程中，应配套防扬散、防流失、防渗漏及其他防止污染环境的措施。</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4.建立各企业危险废物及医疗废物的贮存、转移及处置管理制度，并负责对危险废物相应活动的全程监管和环境安全保障。</w:t>
            </w:r>
          </w:p>
        </w:tc>
        <w:tc>
          <w:tcPr>
            <w:tcW w:w="91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21</w:t>
            </w:r>
          </w:p>
        </w:tc>
        <w:tc>
          <w:tcPr>
            <w:tcW w:w="131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ZH37020320021</w:t>
            </w:r>
          </w:p>
        </w:tc>
        <w:tc>
          <w:tcPr>
            <w:tcW w:w="696"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双山街道</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市北区</w:t>
            </w:r>
          </w:p>
        </w:tc>
        <w:tc>
          <w:tcPr>
            <w:tcW w:w="696"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867"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生态评估区域一般生态空间、水环境城镇生活源重点管控区、大气环境受体敏感区</w:t>
            </w:r>
          </w:p>
        </w:tc>
        <w:tc>
          <w:tcPr>
            <w:tcW w:w="1615"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1.科学规划，合理布局，积极发展旅游业、现代服务业等第三产业。</w:t>
            </w:r>
          </w:p>
        </w:tc>
        <w:tc>
          <w:tcPr>
            <w:tcW w:w="391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1.提升施工扬尘防治水平，城市建筑、交通等各类工地全面落实扬尘控制措施，强化道路扬尘控制，提高道路机扫、冲洗率，禁止焚烧环卫清扫物、建筑垃圾、生活垃圾等废弃物。</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2.加强挥发性有机物排放管控，涉及表面涂装工艺的企业宜使用低VOCs涂料替代溶剂型涂料，涂料、稀释剂、清洗剂等原辅材料应密闭储存，调配、使用、回收等过程应采用密闭设备或在密闭空间内操作。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3.市殡仪馆要加强废气、废水和固体废物处置，提高污染防治设施水平，注重无组织废气及二噁英治理，确保满足国家及地方环境保护标准要求。</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4.餐饮行业按要求安装油烟高效净化设备并定期清洗和维护，禁止露天烧烤，鼓励餐饮业及居民生活能源使用天然气、液化石油气等洁净能源。</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深化重点行业污染治理，加强机动车排气污染治理，禁行区内依法禁止三轮汽车、低速载货汽车、拖拉机驶入，对达到报废标准的车辆强制报废，加大对无牌无证摩托车查处力度。禁止销售或者进口排气污染物超过国家规定排放标准的机动车。</w:t>
            </w:r>
          </w:p>
          <w:p>
            <w:pPr>
              <w:snapToGrid w:val="0"/>
              <w:rPr>
                <w:rFonts w:ascii="Times New Roman" w:hAnsi="Times New Roman" w:cs="Times New Roman"/>
                <w:kern w:val="0"/>
                <w:sz w:val="16"/>
                <w:szCs w:val="16"/>
              </w:rPr>
            </w:pPr>
            <w:r>
              <w:rPr>
                <w:rFonts w:ascii="Times New Roman" w:hAnsi="Times New Roman" w:cs="Times New Roman"/>
                <w:kern w:val="0"/>
                <w:sz w:val="16"/>
                <w:szCs w:val="16"/>
              </w:rPr>
              <w:t>6.完善垃圾收集外运设施，实施垃圾分类制度，加强医疗废物及其他危险废物的贮存、转运等环节的监管监控。</w:t>
            </w:r>
          </w:p>
        </w:tc>
        <w:tc>
          <w:tcPr>
            <w:tcW w:w="226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1.完善各企业危险废物（含医疗废物）的贮存、转移及处置管理制度，并负责对危险废物相应活动的全程监管和环境安全保障。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2.加油站等的地下油罐应当使用双层罐或者采取建造防渗池等其他有效措施，并进行防渗漏监测，防止地下水和土壤污染。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3.建立健全事故应急体系，落实有效的事故风险防范和应急措施，有效防范污染事故发生。</w:t>
            </w:r>
          </w:p>
        </w:tc>
        <w:tc>
          <w:tcPr>
            <w:tcW w:w="91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22</w:t>
            </w:r>
          </w:p>
        </w:tc>
        <w:tc>
          <w:tcPr>
            <w:tcW w:w="131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ZH37020320022</w:t>
            </w:r>
          </w:p>
        </w:tc>
        <w:tc>
          <w:tcPr>
            <w:tcW w:w="696"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开平路街道</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1"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市北区</w:t>
            </w:r>
          </w:p>
        </w:tc>
        <w:tc>
          <w:tcPr>
            <w:tcW w:w="696"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867"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水环境城镇生活源重点管控区、大气环境受体敏感区</w:t>
            </w:r>
          </w:p>
        </w:tc>
        <w:tc>
          <w:tcPr>
            <w:tcW w:w="1615"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1.科学规划，合理布局，积极发展旅游业、现代服务业等第三产业。</w:t>
            </w:r>
          </w:p>
        </w:tc>
        <w:tc>
          <w:tcPr>
            <w:tcW w:w="391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1.餐饮行业按要求安装油烟高效净化设备并定期清洗和维护，禁止露天烧烤，鼓励餐饮业及居民生活能源使用天然气、液化石油气等洁净能源。</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深化重点行业污染治理，加强机动车排气污染治理，禁行区内依法禁止三轮汽车、低速载货汽车、拖拉机驶入，对达到报废标准的车辆强制报废，加大对无牌无证摩托车查处力度。禁止销售或者进口排气污染物超过国家规定排放标准的机动车。</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3.提升施工扬尘防治水平，城市建筑、交通等各类工地全面落实扬尘控制措施，强化道路扬尘控制，提高道路机扫、冲洗率，禁止焚烧环卫清扫物、建筑垃圾、生活垃圾等废弃物。</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w:t>
            </w:r>
            <w:bookmarkStart w:id="27" w:name="_Hlk72921881"/>
            <w:r>
              <w:rPr>
                <w:rFonts w:ascii="Times New Roman" w:hAnsi="Times New Roman" w:cs="Times New Roman"/>
                <w:kern w:val="0"/>
                <w:sz w:val="16"/>
                <w:szCs w:val="16"/>
              </w:rPr>
              <w:t>加强挥发性有机物排放管控，涉及表面涂装工艺的企业宜使用低VOCs涂料替代溶剂型涂料，涂料、稀释剂、清洗剂等原辅材料应密闭储存，调配、使用、回收等过程应采用密闭设备或在密闭空间内操作。</w:t>
            </w:r>
            <w:bookmarkEnd w:id="27"/>
          </w:p>
        </w:tc>
        <w:tc>
          <w:tcPr>
            <w:tcW w:w="226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1.完善各企业危险废物（含医疗废物）的贮存、转移及处置管理制度，并负责对危险废物相应活动的全程监管和环境安全保障。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2.加油站等的地下油罐应当使用双层罐或者采取建造防渗池等其他有效措施，并进行防渗漏监测，防止地下水和土壤污染。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3.建立健全事故应急体系，落实有效的事故风险防范和应急措施，有效防范污染事故发生。</w:t>
            </w:r>
          </w:p>
        </w:tc>
        <w:tc>
          <w:tcPr>
            <w:tcW w:w="91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bl>
    <w:p>
      <w:pPr>
        <w:rPr>
          <w:rFonts w:ascii="Times New Roman" w:hAnsi="Times New Roman" w:cs="Times New Roman"/>
          <w:lang w:val="zh-CN"/>
        </w:rPr>
      </w:pPr>
      <w:bookmarkStart w:id="28" w:name="_Toc67649336"/>
      <w:bookmarkStart w:id="29" w:name="_Toc31458"/>
      <w:bookmarkStart w:id="30" w:name="_Toc16479"/>
      <w:bookmarkStart w:id="31" w:name="_Toc67649335"/>
    </w:p>
    <w:p>
      <w:pPr>
        <w:rPr>
          <w:rFonts w:ascii="Times New Roman" w:hAnsi="Times New Roman" w:cs="Times New Roman"/>
          <w:lang w:val="zh-CN"/>
        </w:rPr>
      </w:pPr>
      <w:r>
        <w:rPr>
          <w:rFonts w:ascii="Times New Roman" w:hAnsi="Times New Roman" w:cs="Times New Roman"/>
          <w:lang w:val="zh-CN"/>
        </w:rPr>
        <w:br w:type="page"/>
      </w:r>
    </w:p>
    <w:p>
      <w:pPr>
        <w:widowControl/>
        <w:adjustRightInd w:val="0"/>
        <w:snapToGrid w:val="0"/>
        <w:spacing w:line="360" w:lineRule="auto"/>
        <w:jc w:val="center"/>
        <w:outlineLvl w:val="1"/>
        <w:rPr>
          <w:rFonts w:ascii="Times New Roman" w:hAnsi="Times New Roman" w:eastAsia="黑体" w:cs="Times New Roman"/>
          <w:b/>
          <w:kern w:val="44"/>
          <w:sz w:val="28"/>
          <w:szCs w:val="28"/>
        </w:rPr>
      </w:pPr>
      <w:bookmarkStart w:id="32" w:name="_Toc137761107"/>
      <w:r>
        <w:rPr>
          <w:rFonts w:ascii="Times New Roman" w:hAnsi="Times New Roman" w:eastAsia="黑体" w:cs="Times New Roman"/>
          <w:b/>
          <w:kern w:val="44"/>
          <w:sz w:val="28"/>
          <w:szCs w:val="28"/>
        </w:rPr>
        <w:t>(三)李沧区环境管控单元生态环境准入清单</w:t>
      </w:r>
      <w:bookmarkEnd w:id="28"/>
      <w:bookmarkEnd w:id="29"/>
      <w:bookmarkEnd w:id="32"/>
    </w:p>
    <w:tbl>
      <w:tblPr>
        <w:tblStyle w:val="13"/>
        <w:tblW w:w="13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9"/>
        <w:gridCol w:w="1312"/>
        <w:gridCol w:w="698"/>
        <w:gridCol w:w="433"/>
        <w:gridCol w:w="433"/>
        <w:gridCol w:w="432"/>
        <w:gridCol w:w="697"/>
        <w:gridCol w:w="1127"/>
        <w:gridCol w:w="1107"/>
        <w:gridCol w:w="3827"/>
        <w:gridCol w:w="2268"/>
        <w:gridCol w:w="11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19" w:type="dxa"/>
            <w:vMerge w:val="restart"/>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序号</w:t>
            </w:r>
          </w:p>
        </w:tc>
        <w:tc>
          <w:tcPr>
            <w:tcW w:w="1312" w:type="dxa"/>
            <w:vMerge w:val="restart"/>
            <w:vAlign w:val="center"/>
          </w:tcPr>
          <w:p>
            <w:pPr>
              <w:widowControl/>
              <w:adjustRightInd w:val="0"/>
              <w:snapToGrid w:val="0"/>
              <w:jc w:val="center"/>
              <w:rPr>
                <w:rFonts w:ascii="Times New Roman" w:hAnsi="Times New Roman" w:cs="Times New Roman"/>
                <w:b/>
                <w:kern w:val="0"/>
                <w:sz w:val="16"/>
                <w:szCs w:val="16"/>
              </w:rPr>
            </w:pPr>
            <w:r>
              <w:rPr>
                <w:rFonts w:ascii="Times New Roman" w:hAnsi="Times New Roman" w:cs="Times New Roman"/>
                <w:b/>
                <w:kern w:val="0"/>
                <w:sz w:val="16"/>
                <w:szCs w:val="16"/>
              </w:rPr>
              <w:t>环境管控单元编码</w:t>
            </w:r>
          </w:p>
        </w:tc>
        <w:tc>
          <w:tcPr>
            <w:tcW w:w="698" w:type="dxa"/>
            <w:vMerge w:val="restart"/>
            <w:vAlign w:val="center"/>
          </w:tcPr>
          <w:p>
            <w:pPr>
              <w:snapToGrid w:val="0"/>
              <w:ind w:left="-160" w:leftChars="-50" w:right="-166" w:rightChars="-52"/>
              <w:jc w:val="center"/>
              <w:rPr>
                <w:rFonts w:ascii="Times New Roman" w:hAnsi="Times New Roman" w:cs="Times New Roman"/>
                <w:b/>
                <w:kern w:val="0"/>
                <w:sz w:val="16"/>
                <w:szCs w:val="16"/>
              </w:rPr>
            </w:pPr>
            <w:r>
              <w:rPr>
                <w:rFonts w:ascii="Times New Roman" w:hAnsi="Times New Roman" w:cs="Times New Roman"/>
                <w:b/>
                <w:kern w:val="0"/>
                <w:sz w:val="16"/>
                <w:szCs w:val="16"/>
              </w:rPr>
              <w:t>环境管控单元名称</w:t>
            </w:r>
          </w:p>
        </w:tc>
        <w:tc>
          <w:tcPr>
            <w:tcW w:w="1298" w:type="dxa"/>
            <w:gridSpan w:val="3"/>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行政区划</w:t>
            </w:r>
          </w:p>
        </w:tc>
        <w:tc>
          <w:tcPr>
            <w:tcW w:w="697" w:type="dxa"/>
            <w:vMerge w:val="restart"/>
            <w:vAlign w:val="center"/>
          </w:tcPr>
          <w:p>
            <w:pPr>
              <w:widowControl/>
              <w:adjustRightInd w:val="0"/>
              <w:snapToGrid w:val="0"/>
              <w:jc w:val="center"/>
              <w:rPr>
                <w:rFonts w:ascii="Times New Roman" w:hAnsi="Times New Roman" w:cs="Times New Roman"/>
                <w:b/>
                <w:kern w:val="0"/>
                <w:sz w:val="16"/>
                <w:szCs w:val="16"/>
              </w:rPr>
            </w:pPr>
            <w:r>
              <w:rPr>
                <w:rFonts w:ascii="Times New Roman" w:hAnsi="Times New Roman" w:cs="Times New Roman"/>
                <w:b/>
                <w:kern w:val="0"/>
                <w:sz w:val="16"/>
                <w:szCs w:val="16"/>
              </w:rPr>
              <w:t>管控单元分类</w:t>
            </w:r>
          </w:p>
        </w:tc>
        <w:tc>
          <w:tcPr>
            <w:tcW w:w="1127" w:type="dxa"/>
            <w:vMerge w:val="restart"/>
            <w:vAlign w:val="center"/>
          </w:tcPr>
          <w:p>
            <w:pPr>
              <w:adjustRightInd w:val="0"/>
              <w:snapToGrid w:val="0"/>
              <w:jc w:val="center"/>
              <w:rPr>
                <w:rFonts w:ascii="Times New Roman" w:hAnsi="Times New Roman" w:cs="Times New Roman"/>
                <w:b/>
                <w:kern w:val="0"/>
                <w:sz w:val="16"/>
                <w:szCs w:val="16"/>
              </w:rPr>
            </w:pPr>
            <w:r>
              <w:rPr>
                <w:rFonts w:ascii="Times New Roman" w:hAnsi="Times New Roman" w:cs="Times New Roman"/>
                <w:b/>
                <w:kern w:val="0"/>
                <w:sz w:val="16"/>
                <w:szCs w:val="16"/>
              </w:rPr>
              <w:t>涉及的主要管控细类</w:t>
            </w:r>
          </w:p>
        </w:tc>
        <w:tc>
          <w:tcPr>
            <w:tcW w:w="1107" w:type="dxa"/>
            <w:vMerge w:val="restart"/>
            <w:vAlign w:val="center"/>
          </w:tcPr>
          <w:p>
            <w:pPr>
              <w:adjustRightInd w:val="0"/>
              <w:snapToGrid w:val="0"/>
              <w:jc w:val="center"/>
              <w:rPr>
                <w:rFonts w:ascii="Times New Roman" w:hAnsi="Times New Roman" w:cs="Times New Roman"/>
                <w:b/>
                <w:kern w:val="0"/>
                <w:sz w:val="16"/>
                <w:szCs w:val="16"/>
              </w:rPr>
            </w:pPr>
            <w:r>
              <w:rPr>
                <w:rFonts w:ascii="Times New Roman" w:hAnsi="Times New Roman" w:cs="Times New Roman"/>
                <w:b/>
                <w:kern w:val="0"/>
                <w:sz w:val="16"/>
                <w:szCs w:val="16"/>
              </w:rPr>
              <w:t>空间布局约束</w:t>
            </w:r>
          </w:p>
        </w:tc>
        <w:tc>
          <w:tcPr>
            <w:tcW w:w="3827" w:type="dxa"/>
            <w:vMerge w:val="restart"/>
            <w:vAlign w:val="center"/>
          </w:tcPr>
          <w:p>
            <w:pPr>
              <w:adjustRightInd w:val="0"/>
              <w:snapToGrid w:val="0"/>
              <w:jc w:val="center"/>
              <w:rPr>
                <w:rFonts w:ascii="Times New Roman" w:hAnsi="Times New Roman" w:cs="Times New Roman"/>
                <w:b/>
                <w:kern w:val="0"/>
                <w:sz w:val="16"/>
                <w:szCs w:val="16"/>
              </w:rPr>
            </w:pPr>
            <w:r>
              <w:rPr>
                <w:rFonts w:ascii="Times New Roman" w:hAnsi="Times New Roman" w:cs="Times New Roman"/>
                <w:b/>
                <w:kern w:val="0"/>
                <w:sz w:val="16"/>
                <w:szCs w:val="16"/>
              </w:rPr>
              <w:t>污染物排放管控</w:t>
            </w:r>
          </w:p>
        </w:tc>
        <w:tc>
          <w:tcPr>
            <w:tcW w:w="2268" w:type="dxa"/>
            <w:vMerge w:val="restart"/>
            <w:vAlign w:val="center"/>
          </w:tcPr>
          <w:p>
            <w:pPr>
              <w:adjustRightInd w:val="0"/>
              <w:snapToGrid w:val="0"/>
              <w:jc w:val="center"/>
              <w:rPr>
                <w:rFonts w:ascii="Times New Roman" w:hAnsi="Times New Roman" w:cs="Times New Roman"/>
                <w:b/>
                <w:kern w:val="0"/>
                <w:sz w:val="16"/>
                <w:szCs w:val="16"/>
              </w:rPr>
            </w:pPr>
            <w:r>
              <w:rPr>
                <w:rFonts w:ascii="Times New Roman" w:hAnsi="Times New Roman" w:cs="Times New Roman"/>
                <w:b/>
                <w:kern w:val="0"/>
                <w:sz w:val="16"/>
                <w:szCs w:val="16"/>
              </w:rPr>
              <w:t>环境风险防控</w:t>
            </w:r>
          </w:p>
        </w:tc>
        <w:tc>
          <w:tcPr>
            <w:tcW w:w="1195" w:type="dxa"/>
            <w:vMerge w:val="restart"/>
            <w:vAlign w:val="center"/>
          </w:tcPr>
          <w:p>
            <w:pPr>
              <w:adjustRightInd w:val="0"/>
              <w:snapToGrid w:val="0"/>
              <w:jc w:val="center"/>
              <w:rPr>
                <w:rFonts w:ascii="Times New Roman" w:hAnsi="Times New Roman" w:cs="Times New Roman"/>
                <w:b/>
                <w:kern w:val="0"/>
                <w:sz w:val="16"/>
                <w:szCs w:val="16"/>
              </w:rPr>
            </w:pPr>
            <w:r>
              <w:rPr>
                <w:rFonts w:ascii="Times New Roman" w:hAnsi="Times New Roman" w:cs="Times New Roman"/>
                <w:b/>
                <w:kern w:val="0"/>
                <w:sz w:val="16"/>
                <w:szCs w:val="16"/>
              </w:rPr>
              <w:t>资源开发效率要求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19" w:type="dxa"/>
            <w:vMerge w:val="continue"/>
            <w:vAlign w:val="center"/>
          </w:tcPr>
          <w:p>
            <w:pPr>
              <w:widowControl/>
              <w:adjustRightInd w:val="0"/>
              <w:snapToGrid w:val="0"/>
              <w:jc w:val="center"/>
              <w:rPr>
                <w:rFonts w:ascii="Times New Roman" w:hAnsi="Times New Roman" w:cs="Times New Roman"/>
                <w:b/>
                <w:kern w:val="44"/>
                <w:sz w:val="16"/>
                <w:szCs w:val="16"/>
              </w:rPr>
            </w:pPr>
          </w:p>
        </w:tc>
        <w:tc>
          <w:tcPr>
            <w:tcW w:w="1312" w:type="dxa"/>
            <w:vMerge w:val="continue"/>
            <w:vAlign w:val="center"/>
          </w:tcPr>
          <w:p>
            <w:pPr>
              <w:widowControl/>
              <w:adjustRightInd w:val="0"/>
              <w:snapToGrid w:val="0"/>
              <w:jc w:val="center"/>
              <w:rPr>
                <w:rFonts w:ascii="Times New Roman" w:hAnsi="Times New Roman" w:cs="Times New Roman"/>
                <w:b/>
                <w:kern w:val="0"/>
                <w:sz w:val="16"/>
                <w:szCs w:val="16"/>
              </w:rPr>
            </w:pPr>
          </w:p>
        </w:tc>
        <w:tc>
          <w:tcPr>
            <w:tcW w:w="698" w:type="dxa"/>
            <w:vMerge w:val="continue"/>
            <w:vAlign w:val="center"/>
          </w:tcPr>
          <w:p>
            <w:pPr>
              <w:adjustRightInd w:val="0"/>
              <w:snapToGrid w:val="0"/>
              <w:jc w:val="center"/>
              <w:rPr>
                <w:rFonts w:ascii="Times New Roman" w:hAnsi="Times New Roman" w:cs="Times New Roman"/>
                <w:b/>
                <w:kern w:val="0"/>
                <w:sz w:val="16"/>
                <w:szCs w:val="16"/>
              </w:rPr>
            </w:pPr>
          </w:p>
        </w:tc>
        <w:tc>
          <w:tcPr>
            <w:tcW w:w="433" w:type="dxa"/>
            <w:vAlign w:val="center"/>
          </w:tcPr>
          <w:p>
            <w:pPr>
              <w:widowControl/>
              <w:adjustRightInd w:val="0"/>
              <w:snapToGrid w:val="0"/>
              <w:jc w:val="center"/>
              <w:rPr>
                <w:rFonts w:ascii="Times New Roman" w:hAnsi="Times New Roman" w:cs="Times New Roman"/>
                <w:b/>
                <w:kern w:val="0"/>
                <w:sz w:val="16"/>
                <w:szCs w:val="16"/>
              </w:rPr>
            </w:pPr>
            <w:r>
              <w:rPr>
                <w:rFonts w:ascii="Times New Roman" w:hAnsi="Times New Roman" w:cs="Times New Roman"/>
                <w:b/>
                <w:kern w:val="0"/>
                <w:sz w:val="16"/>
                <w:szCs w:val="16"/>
              </w:rPr>
              <w:t>省</w:t>
            </w:r>
          </w:p>
        </w:tc>
        <w:tc>
          <w:tcPr>
            <w:tcW w:w="433" w:type="dxa"/>
            <w:vAlign w:val="center"/>
          </w:tcPr>
          <w:p>
            <w:pPr>
              <w:adjustRightInd w:val="0"/>
              <w:snapToGrid w:val="0"/>
              <w:jc w:val="center"/>
              <w:rPr>
                <w:rFonts w:ascii="Times New Roman" w:hAnsi="Times New Roman" w:cs="Times New Roman"/>
                <w:b/>
                <w:kern w:val="0"/>
                <w:sz w:val="16"/>
                <w:szCs w:val="16"/>
              </w:rPr>
            </w:pPr>
            <w:r>
              <w:rPr>
                <w:rFonts w:ascii="Times New Roman" w:hAnsi="Times New Roman" w:cs="Times New Roman"/>
                <w:b/>
                <w:kern w:val="0"/>
                <w:sz w:val="16"/>
                <w:szCs w:val="16"/>
              </w:rPr>
              <w:t>市</w:t>
            </w:r>
          </w:p>
        </w:tc>
        <w:tc>
          <w:tcPr>
            <w:tcW w:w="432" w:type="dxa"/>
            <w:vAlign w:val="center"/>
          </w:tcPr>
          <w:p>
            <w:pPr>
              <w:adjustRightInd w:val="0"/>
              <w:snapToGrid w:val="0"/>
              <w:jc w:val="center"/>
              <w:rPr>
                <w:rFonts w:ascii="Times New Roman" w:hAnsi="Times New Roman" w:cs="Times New Roman"/>
                <w:b/>
                <w:kern w:val="0"/>
                <w:sz w:val="16"/>
                <w:szCs w:val="16"/>
              </w:rPr>
            </w:pPr>
            <w:r>
              <w:rPr>
                <w:rFonts w:ascii="Times New Roman" w:hAnsi="Times New Roman" w:cs="Times New Roman"/>
                <w:b/>
                <w:kern w:val="0"/>
                <w:sz w:val="16"/>
                <w:szCs w:val="16"/>
              </w:rPr>
              <w:t>县</w:t>
            </w:r>
          </w:p>
        </w:tc>
        <w:tc>
          <w:tcPr>
            <w:tcW w:w="697" w:type="dxa"/>
            <w:vMerge w:val="continue"/>
            <w:vAlign w:val="center"/>
          </w:tcPr>
          <w:p>
            <w:pPr>
              <w:widowControl/>
              <w:adjustRightInd w:val="0"/>
              <w:snapToGrid w:val="0"/>
              <w:jc w:val="center"/>
              <w:rPr>
                <w:rFonts w:ascii="Times New Roman" w:hAnsi="Times New Roman" w:cs="Times New Roman"/>
                <w:b/>
                <w:kern w:val="44"/>
                <w:sz w:val="16"/>
                <w:szCs w:val="16"/>
              </w:rPr>
            </w:pPr>
          </w:p>
        </w:tc>
        <w:tc>
          <w:tcPr>
            <w:tcW w:w="1127" w:type="dxa"/>
            <w:vMerge w:val="continue"/>
            <w:vAlign w:val="center"/>
          </w:tcPr>
          <w:p>
            <w:pPr>
              <w:widowControl/>
              <w:adjustRightInd w:val="0"/>
              <w:snapToGrid w:val="0"/>
              <w:jc w:val="center"/>
              <w:rPr>
                <w:rFonts w:ascii="Times New Roman" w:hAnsi="Times New Roman" w:cs="Times New Roman"/>
                <w:b/>
                <w:kern w:val="44"/>
                <w:sz w:val="16"/>
                <w:szCs w:val="16"/>
              </w:rPr>
            </w:pPr>
          </w:p>
        </w:tc>
        <w:tc>
          <w:tcPr>
            <w:tcW w:w="1107" w:type="dxa"/>
            <w:vMerge w:val="continue"/>
            <w:vAlign w:val="center"/>
          </w:tcPr>
          <w:p>
            <w:pPr>
              <w:widowControl/>
              <w:adjustRightInd w:val="0"/>
              <w:snapToGrid w:val="0"/>
              <w:jc w:val="center"/>
              <w:rPr>
                <w:rFonts w:ascii="Times New Roman" w:hAnsi="Times New Roman" w:cs="Times New Roman"/>
                <w:b/>
                <w:kern w:val="44"/>
                <w:sz w:val="16"/>
                <w:szCs w:val="16"/>
              </w:rPr>
            </w:pPr>
          </w:p>
        </w:tc>
        <w:tc>
          <w:tcPr>
            <w:tcW w:w="3827" w:type="dxa"/>
            <w:vMerge w:val="continue"/>
            <w:vAlign w:val="center"/>
          </w:tcPr>
          <w:p>
            <w:pPr>
              <w:widowControl/>
              <w:adjustRightInd w:val="0"/>
              <w:snapToGrid w:val="0"/>
              <w:jc w:val="center"/>
              <w:rPr>
                <w:rFonts w:ascii="Times New Roman" w:hAnsi="Times New Roman" w:cs="Times New Roman"/>
                <w:b/>
                <w:kern w:val="44"/>
                <w:sz w:val="16"/>
                <w:szCs w:val="16"/>
              </w:rPr>
            </w:pPr>
          </w:p>
        </w:tc>
        <w:tc>
          <w:tcPr>
            <w:tcW w:w="2268" w:type="dxa"/>
            <w:vMerge w:val="continue"/>
            <w:vAlign w:val="center"/>
          </w:tcPr>
          <w:p>
            <w:pPr>
              <w:widowControl/>
              <w:adjustRightInd w:val="0"/>
              <w:snapToGrid w:val="0"/>
              <w:jc w:val="center"/>
              <w:rPr>
                <w:rFonts w:ascii="Times New Roman" w:hAnsi="Times New Roman" w:cs="Times New Roman"/>
                <w:b/>
                <w:kern w:val="44"/>
                <w:sz w:val="16"/>
                <w:szCs w:val="16"/>
              </w:rPr>
            </w:pPr>
          </w:p>
        </w:tc>
        <w:tc>
          <w:tcPr>
            <w:tcW w:w="1195" w:type="dxa"/>
            <w:vMerge w:val="continue"/>
            <w:vAlign w:val="center"/>
          </w:tcPr>
          <w:p>
            <w:pPr>
              <w:widowControl/>
              <w:adjustRightInd w:val="0"/>
              <w:snapToGrid w:val="0"/>
              <w:jc w:val="center"/>
              <w:rPr>
                <w:rFonts w:ascii="Times New Roman" w:hAnsi="Times New Roman" w:cs="Times New Roman"/>
                <w:b/>
                <w:kern w:val="44"/>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9" w:type="dxa"/>
            <w:vAlign w:val="center"/>
          </w:tcPr>
          <w:p>
            <w:pPr>
              <w:widowControl/>
              <w:adjustRightInd w:val="0"/>
              <w:snapToGrid w:val="0"/>
              <w:jc w:val="center"/>
              <w:rPr>
                <w:rFonts w:hint="eastAsia" w:ascii="Times New Roman" w:hAnsi="Times New Roman" w:cs="Times New Roman" w:eastAsiaTheme="minorEastAsia"/>
                <w:b/>
                <w:kern w:val="44"/>
                <w:sz w:val="16"/>
                <w:szCs w:val="16"/>
                <w:lang w:val="en-US" w:eastAsia="zh-CN"/>
              </w:rPr>
            </w:pPr>
            <w:r>
              <w:rPr>
                <w:rFonts w:hint="eastAsia" w:ascii="Times New Roman" w:hAnsi="Times New Roman" w:cs="Times New Roman"/>
                <w:b/>
                <w:kern w:val="44"/>
                <w:sz w:val="16"/>
                <w:szCs w:val="16"/>
                <w:lang w:val="en-US" w:eastAsia="zh-CN"/>
              </w:rPr>
              <w:t>1</w:t>
            </w:r>
          </w:p>
        </w:tc>
        <w:tc>
          <w:tcPr>
            <w:tcW w:w="1312" w:type="dxa"/>
            <w:vAlign w:val="center"/>
          </w:tcPr>
          <w:p>
            <w:pPr>
              <w:widowControl/>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ZH37021320001</w:t>
            </w:r>
          </w:p>
        </w:tc>
        <w:tc>
          <w:tcPr>
            <w:tcW w:w="698"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楼山街道</w:t>
            </w:r>
          </w:p>
        </w:tc>
        <w:tc>
          <w:tcPr>
            <w:tcW w:w="43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李沧区</w:t>
            </w:r>
          </w:p>
        </w:tc>
        <w:tc>
          <w:tcPr>
            <w:tcW w:w="697"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1127"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水环境城镇生活源重点管控区、大气环境受体敏感区</w:t>
            </w:r>
          </w:p>
        </w:tc>
        <w:tc>
          <w:tcPr>
            <w:tcW w:w="1107"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1.科学合理布局工业、商业、居住、科教等功能区块。</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2.引导工业企业入驻工业园区。新建有污染物排放的工业项目，除在安全生产等方面有特殊要求的以外，应当进入工业园区或者工业集聚区。</w:t>
            </w:r>
          </w:p>
        </w:tc>
        <w:tc>
          <w:tcPr>
            <w:tcW w:w="3827"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娄山河污水处理厂应当安全处理处置污泥，保证处理处置后的污泥符合国家标准，对污泥的流向、用途、用量等进行跟踪、记录，并报告该区域排水主管部门、生态环境主管部门。禁止擅自倾倒、堆放、丢弃、遗撒城镇污水处理设施产生的污泥和处理后的污泥。</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石化企业应通过优化设备、储罐选型，装卸、废水处理、污泥处置、采样等环节密闭化，减少污染物无组织排放，废水采取分类收集、分质处理措施。提高污水回用率，含油废水经处理后最大限度回用。含盐废水进行适当深度处理。</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3.提升施工扬尘防治水平，城市建筑、交通等各类工地全面落实扬尘控制措施，强化道路扬尘控制，提高道路机扫、冲洗率，禁止焚烧环卫清扫物、建筑垃圾、生活垃圾等废弃物。</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4.完善垃圾收集外运设施，实施垃圾分类制度，加强医疗废物及其他危险废物的贮存、转运等环节的监管监控。</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5.加强污水管网建设，按照雨污分流原则实施雨水管道、污水管网改造。</w:t>
            </w:r>
          </w:p>
          <w:p>
            <w:pPr>
              <w:snapToGrid w:val="0"/>
              <w:rPr>
                <w:rFonts w:ascii="Times New Roman" w:hAnsi="Times New Roman" w:cs="Times New Roman"/>
                <w:kern w:val="0"/>
                <w:sz w:val="16"/>
                <w:szCs w:val="16"/>
              </w:rPr>
            </w:pPr>
            <w:r>
              <w:rPr>
                <w:rFonts w:ascii="Times New Roman" w:hAnsi="Times New Roman" w:cs="Times New Roman"/>
                <w:kern w:val="0"/>
                <w:sz w:val="16"/>
                <w:szCs w:val="16"/>
              </w:rPr>
              <w:t>6.深化重点行业污染治理，加强机动车排气污染治理，禁行区内依法禁止三轮汽车、低速载货汽车、拖拉机驶入，对达到报废标准的车辆强制报废，加大对无牌无证摩托车查处力度。禁止销售或者进口排气污染物超过国家规定排放标准的机动车。</w:t>
            </w:r>
          </w:p>
        </w:tc>
        <w:tc>
          <w:tcPr>
            <w:tcW w:w="226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娄山河污水处理厂应采取措施安全处置污泥，保证处理处置后的污泥符合国家标准，对污泥的流向、用途、用量等进行跟踪、记录，并报告该区域排水主管部门、生态环境主管部门。禁止擅自倾倒、堆放、丢弃、遗撒城镇污水处理设施产生的污泥和处理后的污泥。</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2.完善各企业危险废物（含医疗废物）的贮存、转移及处置管理制度，并负责对危险废物相应活动的全程监管和环境安全保障。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3.加油站等的地下油罐应当使用双层罐或者采取建造防渗池等其他有效措施，并进行防渗漏监测，防止地下水和土壤污染。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4.化工企业等地下水污染高风险地区应当采取防渗漏等措施。</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5.生产、使用、储存、运输危险化学品的企业事业单位，应当采取风险防范措施，完善三级防护体系。企业应编制环境应急预案并定期开展演练。</w:t>
            </w:r>
          </w:p>
          <w:p>
            <w:pPr>
              <w:snapToGrid w:val="0"/>
              <w:rPr>
                <w:rFonts w:ascii="Times New Roman" w:hAnsi="Times New Roman" w:cs="Times New Roman"/>
                <w:kern w:val="0"/>
                <w:sz w:val="16"/>
                <w:szCs w:val="16"/>
              </w:rPr>
            </w:pPr>
            <w:r>
              <w:rPr>
                <w:rFonts w:ascii="Times New Roman" w:hAnsi="Times New Roman" w:cs="Times New Roman"/>
                <w:kern w:val="0"/>
                <w:sz w:val="16"/>
                <w:szCs w:val="16"/>
              </w:rPr>
              <w:t>6.建立健全事故应急体系，落实有效的事故风险防范和应急措施，有效防范污染事故发生。</w:t>
            </w:r>
          </w:p>
        </w:tc>
        <w:tc>
          <w:tcPr>
            <w:tcW w:w="119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9"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2</w:t>
            </w:r>
          </w:p>
        </w:tc>
        <w:tc>
          <w:tcPr>
            <w:tcW w:w="131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ZH37021320002</w:t>
            </w:r>
          </w:p>
        </w:tc>
        <w:tc>
          <w:tcPr>
            <w:tcW w:w="698"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湘潭路街道</w:t>
            </w:r>
          </w:p>
        </w:tc>
        <w:tc>
          <w:tcPr>
            <w:tcW w:w="43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李沧区</w:t>
            </w:r>
          </w:p>
        </w:tc>
        <w:tc>
          <w:tcPr>
            <w:tcW w:w="697"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1127"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国家级公益林一般生态空间、水环境城镇生活源重点管控区、大气环境受体敏感区</w:t>
            </w:r>
          </w:p>
        </w:tc>
        <w:tc>
          <w:tcPr>
            <w:tcW w:w="1107"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1.科学合理布局工业、商业、居住、科教等功能区块。</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2.引导工业企业入驻工业园区。新建有污染物排放的工业项目，除在安全生产等方面有特殊要求的以外，应当进入工业园区或者工业集聚区。</w:t>
            </w:r>
          </w:p>
        </w:tc>
        <w:tc>
          <w:tcPr>
            <w:tcW w:w="3827"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1.完善垃圾收集外运设施，实施垃圾分类制度，加强医疗废物及其他危险废物的贮存、转运等环节的监管监控。</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2.加强挥发性有机物排放管控，涉及表面涂装工艺的企业宜使用低VOCs涂料替代溶剂型涂料，涂料、稀释剂、清洗剂等原辅材料应密闭储存，调配、使用、回收等过程应采用密闭设备或在密闭空间内操作。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深化重点行业污染治理，加强机动车排气污染治理，禁行区内依法禁止三轮汽车、低速载货汽车、拖拉机驶入，对达到报废标准的车辆强制报废，加大对无牌无证摩托车查处力度。禁止销售或者进口排气污染物超过国家规定排放标准的机动车。</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4.提升施工扬尘防治水平，城市建筑、交通等各类工地全面落实扬尘控制措施，强化道路扬尘控制，提高道路机扫、冲洗率，禁止焚烧环卫清扫物、建筑垃圾、生活垃圾等废弃物。</w:t>
            </w:r>
          </w:p>
        </w:tc>
        <w:tc>
          <w:tcPr>
            <w:tcW w:w="226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1.加油站等的地下油罐应当使用双层罐或者采取建造防渗池等其他有效措施，并进行防渗漏监测，防止地下水和土壤污染。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2.生产、使用、储存、运输危险化学品的企业事业单位，应当采取风险防范措施，完善三级防护体系。企业应编制环境应急预案并定期开展演练。</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3.完善各企业危险废物（含医疗废物）的贮存、转移及处置管理制度，并负责对危险废物相应活动的全程监管和环境安全保障。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4.化工企业等地下水污染高风险地区应当采取防渗漏等措施监测。</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5.健全事故应急体系，落实有效的事故风险防范和应急措施，有效防范污染事故发生。</w:t>
            </w:r>
          </w:p>
        </w:tc>
        <w:tc>
          <w:tcPr>
            <w:tcW w:w="119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9"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3</w:t>
            </w:r>
          </w:p>
        </w:tc>
        <w:tc>
          <w:tcPr>
            <w:tcW w:w="131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ZH37021320003</w:t>
            </w:r>
          </w:p>
        </w:tc>
        <w:tc>
          <w:tcPr>
            <w:tcW w:w="698"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兴城路街道</w:t>
            </w:r>
          </w:p>
        </w:tc>
        <w:tc>
          <w:tcPr>
            <w:tcW w:w="43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李沧区</w:t>
            </w:r>
          </w:p>
        </w:tc>
        <w:tc>
          <w:tcPr>
            <w:tcW w:w="697"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1127" w:type="dxa"/>
            <w:vAlign w:val="center"/>
          </w:tcPr>
          <w:p>
            <w:pPr>
              <w:snapToGrid w:val="0"/>
              <w:jc w:val="left"/>
              <w:rPr>
                <w:rFonts w:ascii="Times New Roman" w:hAnsi="Times New Roman" w:cs="Times New Roman"/>
                <w:sz w:val="16"/>
                <w:szCs w:val="16"/>
              </w:rPr>
            </w:pPr>
          </w:p>
          <w:p>
            <w:pPr>
              <w:rPr>
                <w:rFonts w:ascii="Times New Roman" w:hAnsi="Times New Roman" w:cs="Times New Roman"/>
                <w:sz w:val="16"/>
                <w:szCs w:val="16"/>
              </w:rPr>
            </w:pPr>
            <w:r>
              <w:rPr>
                <w:rFonts w:ascii="Times New Roman" w:hAnsi="Times New Roman" w:cs="Times New Roman"/>
                <w:sz w:val="16"/>
                <w:szCs w:val="16"/>
              </w:rPr>
              <w:t>水环境城镇生活源重点管控区、大气环境受体敏感区</w:t>
            </w:r>
          </w:p>
        </w:tc>
        <w:tc>
          <w:tcPr>
            <w:tcW w:w="1107"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1.科学合理布局工业、商业、居住、科教等功能区块。</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2.引导工业企业入驻工业园区。新建有污染物排放的工业项目，除在安全生产等方面有特殊要求的以外，应当进入工业园区或者工业集聚区。</w:t>
            </w:r>
          </w:p>
        </w:tc>
        <w:tc>
          <w:tcPr>
            <w:tcW w:w="3827"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1.完善垃圾收集外运设施，实施垃圾分类制度，加强医疗废物及其他危险废物的贮存、转运等环节的监管监控。</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2.加强挥发性有机物排放管控，涉及表面涂装工艺的企业宜使用低VOCs涂料替代溶剂型涂料，涂料、稀释剂、清洗剂等原辅材料应密闭储存，调配、使用、回收等过程应采用密闭设备或在密闭空间内操作。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3.加强污水管网建设，按照雨污分流原则实施雨水管道、污水管网改造。</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深化重点行业污染治理，加强机动车排气污染治理，禁行区内依法禁止三轮汽车、低速载货汽车、拖拉机驶入，对达到报废标准的车辆强制报废，加大对无牌无证摩托车查处力度。禁止销售或者进口排气污染物超过国家规定排放标准的机动车。</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5.提升施工扬尘防治水平，城市建筑、交通等各类工地全面落实扬尘控制措施，强化道路扬尘控制，提高道路机扫、冲洗率，禁止焚烧环卫清扫物、建筑垃圾、生活垃圾等废弃物。</w:t>
            </w:r>
          </w:p>
        </w:tc>
        <w:tc>
          <w:tcPr>
            <w:tcW w:w="226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1.加油站等的地下油罐应当使用双层罐或者采取建造防渗池等其他有效措施，并进行防渗漏监测，防止地下水和土壤污染。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2.生产、使用、储存、运输危险化学品的企业事业单位，应当采取风险防范措施，完善三级防护体系。企业应编制环境应急预案并定期开展演练。</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3.完善各企业危险废物（含医疗废物）的贮存、转移及处置管理制度，并负责对危险废物相应活动的全程监管和环境安全保障。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4.化工企业等地下水污染高风险地区应当采取防渗漏等措施监测。</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5.健全事故应急体系，落实有效的事故风险防范和应急措施，有效防范污染事故发生。</w:t>
            </w:r>
          </w:p>
        </w:tc>
        <w:tc>
          <w:tcPr>
            <w:tcW w:w="119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9"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4</w:t>
            </w:r>
          </w:p>
        </w:tc>
        <w:tc>
          <w:tcPr>
            <w:tcW w:w="131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ZH37021320004</w:t>
            </w:r>
          </w:p>
        </w:tc>
        <w:tc>
          <w:tcPr>
            <w:tcW w:w="698"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虎山路街道</w:t>
            </w:r>
          </w:p>
        </w:tc>
        <w:tc>
          <w:tcPr>
            <w:tcW w:w="43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李沧区</w:t>
            </w:r>
          </w:p>
        </w:tc>
        <w:tc>
          <w:tcPr>
            <w:tcW w:w="697"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1127"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国家级公益林一般生态空间、水环境城镇生活源重点管控区、大气环境一般管控区</w:t>
            </w:r>
          </w:p>
        </w:tc>
        <w:tc>
          <w:tcPr>
            <w:tcW w:w="1107"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1.科学合理布局工业、商业、居住、科教等功能区块。</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2.引导工业企业入驻工业园区。新建有污染物排放的工业项目，除在安全生产等方面有特殊要求的以外，应当进入工业园区或者工业集聚区。</w:t>
            </w:r>
          </w:p>
        </w:tc>
        <w:tc>
          <w:tcPr>
            <w:tcW w:w="3827"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1.木材加工行业宜使用低VOCs涂料替代溶剂型涂料，调漆、涂装、调胶、施胶、流平、干燥等含VOCs原辅材料使用的过程在密闭空间内操作并设置负压集气处理系统。</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2.提升施工扬尘防治水平，城市建筑、交通等各类工地全面落实扬尘控制措施，强化道路扬尘控制，提高道路机扫、冲洗率，禁止焚烧环卫清扫物、建筑垃圾、生活垃圾等废弃物。</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深化重点行业污染治理，加强机动车排气污染治理，禁行区内依法禁止三轮汽车、低速载货汽车、拖拉机驶入，对达到报废标准的车辆强制报废，加大对无牌无证摩托车查处力度。禁止销售或者进口排气污染物超过国家规定排放标准的机动车。</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4.完善垃圾收集外运设施，实施垃圾分类制度，加强危险废物的贮存、转运等环节的监管监控。</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5.进一步加强对建设工程施工、建筑物拆除、交通运输、道路保洁、物料运输与堆存、采石取土、养护绿化等活动的扬尘管理。</w:t>
            </w:r>
          </w:p>
        </w:tc>
        <w:tc>
          <w:tcPr>
            <w:tcW w:w="226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1.加油站等的地下油罐应当使用双层罐或者采取建造防渗池等其他有效措施，并进行防渗漏监测，防止地下水和土壤污染。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2.生产、使用、储存、运输危险化学品的企业事业单位，应当采取风险防范措施，完善三级防护体系。企业应编制环境应急预案并定期开展演练。</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3.完善各企业危险废物（含医疗废物）的贮存、转移及处置管理制度，并负责对危险废物相应活动的全程监管和环境安全保障。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4.化工企业等地下水污染高风险地区应当采取防渗漏等措施监测。</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5.健全事故应急体系，落实有效的事故风险防范和应急措施，有效防范污染事故发生。</w:t>
            </w:r>
          </w:p>
        </w:tc>
        <w:tc>
          <w:tcPr>
            <w:tcW w:w="119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1" w:hRule="atLeast"/>
        </w:trPr>
        <w:tc>
          <w:tcPr>
            <w:tcW w:w="419"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5</w:t>
            </w:r>
          </w:p>
        </w:tc>
        <w:tc>
          <w:tcPr>
            <w:tcW w:w="131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ZH37021320005</w:t>
            </w:r>
          </w:p>
        </w:tc>
        <w:tc>
          <w:tcPr>
            <w:tcW w:w="698"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振华路街道</w:t>
            </w:r>
          </w:p>
        </w:tc>
        <w:tc>
          <w:tcPr>
            <w:tcW w:w="43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李沧区</w:t>
            </w:r>
          </w:p>
        </w:tc>
        <w:tc>
          <w:tcPr>
            <w:tcW w:w="697"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1127"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水环境城镇生活源重点管控区、大气环境受体敏感区</w:t>
            </w:r>
          </w:p>
        </w:tc>
        <w:tc>
          <w:tcPr>
            <w:tcW w:w="1107"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1.科学合理布局工业、商业、居住、科教等功能区块。</w:t>
            </w:r>
          </w:p>
        </w:tc>
        <w:tc>
          <w:tcPr>
            <w:tcW w:w="3827"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1.青岛啤酒股份有限公司青岛啤酒四厂应严格落实废气、废水治理措施，确保稳定达标排放。</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2.餐饮行业按要求安装油烟高效净化设备并定期清洗和维护，禁止露天烧烤，鼓励餐饮业及居民生活能源使用天然气、液化石油气等洁净能源。</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深化重点行业污染治理，加强机动车排气污染治理，禁行区内依法禁止三轮汽车、低速载货汽车、拖拉机驶入，对达到报废标准的车辆强制报废，加大对无牌无证摩托车查处力度。禁止销售或者进口排气污染物超过国家规定排放标准的机动车。</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4.提升施工扬尘防治水平，城市建筑、交通等各类工地全面落实扬尘控制措施，强化道路扬尘控制，提高道路机扫、冲洗率，禁止焚烧环卫清扫物、建筑垃圾、生活垃圾等废弃物。</w:t>
            </w:r>
          </w:p>
        </w:tc>
        <w:tc>
          <w:tcPr>
            <w:tcW w:w="226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1.涉及液氨的企业应采取必要的防火措施，防止发生泄漏爆炸事故。</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2.加油站等的地下油罐应当使用双层罐或者采取建造防渗池等其他有效措施，并进行防渗漏监测，防止地下水和土壤污染。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3.生产、使用、储存、运输危险化学品的企业事业单位，应当采取风险防范措施，完善三级防护体系。企业应编制环境应急预案并定期开展演练。</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4.完善各企业危险废物（含医疗废物）的贮存、转移及处置管理制度，并负责对危险废物相应活动的全程监管和环境安全保障。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5.健全事故应急体系，落实有效的事故风险防范和应急措施，有效防范污染事故发生。</w:t>
            </w:r>
          </w:p>
        </w:tc>
        <w:tc>
          <w:tcPr>
            <w:tcW w:w="119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9"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6</w:t>
            </w:r>
          </w:p>
        </w:tc>
        <w:tc>
          <w:tcPr>
            <w:tcW w:w="131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ZH37021320006</w:t>
            </w:r>
          </w:p>
        </w:tc>
        <w:tc>
          <w:tcPr>
            <w:tcW w:w="698"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浮山路街道</w:t>
            </w:r>
          </w:p>
        </w:tc>
        <w:tc>
          <w:tcPr>
            <w:tcW w:w="43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李沧区</w:t>
            </w:r>
          </w:p>
        </w:tc>
        <w:tc>
          <w:tcPr>
            <w:tcW w:w="697"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1127"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国家级公益林一般生态空间、水环境城镇生活源重点管控区、大气环境受体敏感区</w:t>
            </w:r>
          </w:p>
        </w:tc>
        <w:tc>
          <w:tcPr>
            <w:tcW w:w="1107"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1.科学合理布局工业、商业、居住、科教等功能区块。</w:t>
            </w:r>
          </w:p>
        </w:tc>
        <w:tc>
          <w:tcPr>
            <w:tcW w:w="3827"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1.青岛啤酒股份有限公司青岛啤酒二厂应严格落实废气、废水治理措施，确保稳定达标排放。</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2.提升施工扬尘防治水平，城市建筑、交通等各类工地全面落实扬尘控制措施，强化道路扬尘控制，提高道路机扫、冲洗率，禁止焚烧环卫清扫物、建筑垃圾、生活垃圾等废弃物。</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3.完善垃圾收集外运设施，实施垃圾分类制度，加强医疗废物及其他危险废物的贮存、转运等环节的监管监控。</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4.餐饮行业按要求安装油烟高效净化设备并定期清洗和维护，禁止露天烧烤，鼓励餐饮业及居民生活能源使用天然气、液化石油气等洁净能源。</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深化重点行业污染治理，加强机动车排气污染治理，禁行区内依法禁止三轮汽车、低速载货汽车、拖拉机驶入，对达到报废标准的车辆强制报废，加大对无牌无证摩托车查处力度。禁止销售或者进口排气污染物超过国家规定排放标准的机动车。</w:t>
            </w:r>
          </w:p>
        </w:tc>
        <w:tc>
          <w:tcPr>
            <w:tcW w:w="226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w:t>
            </w:r>
            <w:bookmarkStart w:id="33" w:name="_Hlk72926523"/>
            <w:r>
              <w:rPr>
                <w:rFonts w:ascii="Times New Roman" w:hAnsi="Times New Roman" w:cs="Times New Roman"/>
                <w:kern w:val="0"/>
                <w:sz w:val="16"/>
                <w:szCs w:val="16"/>
              </w:rPr>
              <w:t>涉及液氨的企业应采取必要的防火措施，防止发生泄漏爆炸事故</w:t>
            </w:r>
            <w:bookmarkEnd w:id="33"/>
            <w:r>
              <w:rPr>
                <w:rFonts w:ascii="Times New Roman" w:hAnsi="Times New Roman" w:cs="Times New Roman"/>
                <w:kern w:val="0"/>
                <w:sz w:val="16"/>
                <w:szCs w:val="16"/>
              </w:rPr>
              <w:t>。</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2.加油站等的地下油罐应当使用双层罐或者采取建造防渗池等其他有效措施，并进行防渗漏监测，防止地下水和土壤污染。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3.生产、使用、储存、运输危险化学品的企业事业单位，应当采取风险防范措施，完善三级防护体系。企业应编制环境应急预案并定期开展演练。</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4.完善各企业危险废物（含医疗废物）的贮存、转移及处置管理制度，并负责对危险废物相应活动的全程监管和环境安全保障。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5.健全事故应急体系，落实有效的事故风险防范和应急措施，有效防范污染事故发生。</w:t>
            </w:r>
          </w:p>
        </w:tc>
        <w:tc>
          <w:tcPr>
            <w:tcW w:w="119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2" w:hRule="atLeast"/>
        </w:trPr>
        <w:tc>
          <w:tcPr>
            <w:tcW w:w="419"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7</w:t>
            </w:r>
          </w:p>
        </w:tc>
        <w:tc>
          <w:tcPr>
            <w:tcW w:w="131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ZH37021320007</w:t>
            </w:r>
          </w:p>
        </w:tc>
        <w:tc>
          <w:tcPr>
            <w:tcW w:w="698"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九水街道</w:t>
            </w:r>
          </w:p>
        </w:tc>
        <w:tc>
          <w:tcPr>
            <w:tcW w:w="43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李沧区</w:t>
            </w:r>
          </w:p>
        </w:tc>
        <w:tc>
          <w:tcPr>
            <w:tcW w:w="697"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1127"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国家级公益林、生态评估区域一般生态空间、水环境城镇生活源重点管控区、大气环境受体敏感区</w:t>
            </w:r>
          </w:p>
        </w:tc>
        <w:tc>
          <w:tcPr>
            <w:tcW w:w="1107"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1.科学合理商业、居住规划布局并严格执行。</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2.依托院士港，大力发展高新技术产业。</w:t>
            </w:r>
          </w:p>
        </w:tc>
        <w:tc>
          <w:tcPr>
            <w:tcW w:w="3827"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1.餐饮行业按要求安装油烟高效净化设备并定期清洗和维护，禁止露天烧烤，鼓励餐饮业及居民生活能源使用天然气、液化石油气等洁净能源。</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2.完善垃圾收集外运设施，实施垃圾分类制度，加强医疗废物及其他危险废物的贮存、转运等环节的监管监控。</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3.加强挥发性有机物排放管控，涉及表面涂装工艺的企业宜使用低VOCs涂料替代溶剂型涂料，涂料、稀释剂、清洗剂等原辅材料应密闭储存，调配、使用、回收等过程应采用密闭设备或在密闭空间内操作。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深化重点行业污染治理，加强机动车排气污染治理，禁行区内依法禁止三轮汽车、低速载货汽车、拖拉机驶入，对达到报废标准的车辆强制报废，加大对无牌无证摩托车查处力度。禁止销售或者进口排气污染物超过国家规定排放标准的机动车。</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5.提升施工扬尘防治水平，城市建筑、交通等各类工地全面落实扬尘控制措施，强化道路扬尘控制，提高道路机扫、冲洗率，禁止焚烧环卫清扫物、建筑垃圾、生活垃圾等废弃物。</w:t>
            </w:r>
          </w:p>
        </w:tc>
        <w:tc>
          <w:tcPr>
            <w:tcW w:w="226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1.完善各企业危险废物（含医疗废物）的贮存、转移及处置管理制度，并负责对危险废物相应活动的全程监管和环境安全保障。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2.加油站等的地下油罐应当使用双层罐或者采取建造防渗池等其他有效措施，并进行防渗漏监测，防止地下水和土壤污染。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3.生产、使用、贮存、转移危险化学品的企业事业单位，应当采取风险防范措施，完善三级防护体系。企业应编制环境应急预案并定期开展演练。</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设立辐射安全与环境保护管理机构，严格落实辐射安全管理责任制，落实场所使用规定、装置操作规程、辐射防护和安全保卫制度、设备检修维护制度、培训计划和辐射监测方案等，建立辐射安全管理档案，制定培训计划，组织辐射工作人员参加辐射安全培训和再培训，经考核合格后上岗，从事放射工作时，应采取有效辐射安全与防护措施，严格控制受照剂量，避免一切不必要的照射。</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5.健全事故应急体系，落实有效的事故风险防范和应急措施，有效防范污染事故发生。</w:t>
            </w:r>
          </w:p>
        </w:tc>
        <w:tc>
          <w:tcPr>
            <w:tcW w:w="119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9"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8</w:t>
            </w:r>
          </w:p>
        </w:tc>
        <w:tc>
          <w:tcPr>
            <w:tcW w:w="131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ZH37021320008</w:t>
            </w:r>
          </w:p>
        </w:tc>
        <w:tc>
          <w:tcPr>
            <w:tcW w:w="698"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世园街道</w:t>
            </w:r>
          </w:p>
        </w:tc>
        <w:tc>
          <w:tcPr>
            <w:tcW w:w="43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李沧区</w:t>
            </w:r>
          </w:p>
        </w:tc>
        <w:tc>
          <w:tcPr>
            <w:tcW w:w="697"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1127" w:type="dxa"/>
            <w:vAlign w:val="center"/>
          </w:tcPr>
          <w:p>
            <w:pPr>
              <w:rPr>
                <w:rFonts w:ascii="Times New Roman" w:hAnsi="Times New Roman" w:cs="Times New Roman"/>
                <w:sz w:val="16"/>
                <w:szCs w:val="16"/>
              </w:rPr>
            </w:pPr>
            <w:r>
              <w:rPr>
                <w:rFonts w:ascii="Times New Roman" w:hAnsi="Times New Roman" w:cs="Times New Roman"/>
                <w:sz w:val="16"/>
                <w:szCs w:val="16"/>
              </w:rPr>
              <w:t>水环境城镇生活源重点管控区,崂山水库、水源涵养区、大气环境受体敏感区</w:t>
            </w:r>
          </w:p>
          <w:p>
            <w:pPr>
              <w:rPr>
                <w:rFonts w:ascii="Times New Roman" w:hAnsi="Times New Roman" w:cs="Times New Roman"/>
                <w:sz w:val="16"/>
                <w:szCs w:val="16"/>
              </w:rPr>
            </w:pPr>
          </w:p>
        </w:tc>
        <w:tc>
          <w:tcPr>
            <w:tcW w:w="1107"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1.积极发展生态旅游，依托院士港大力发展高新技术产业。</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2.科学合理商业、居住规划布局并严格执行。</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3.饮用水水源保护区按照《中华人民共和国水污染防治法》《山东省水污染防治条例》《</w:t>
            </w:r>
            <w:r>
              <w:rPr>
                <w:rFonts w:hint="eastAsia" w:ascii="Times New Roman" w:hAnsi="Times New Roman" w:cs="Times New Roman"/>
                <w:kern w:val="0"/>
                <w:sz w:val="16"/>
                <w:szCs w:val="16"/>
              </w:rPr>
              <w:t>青岛市饮用水水源保护条例</w:t>
            </w:r>
            <w:r>
              <w:rPr>
                <w:rFonts w:ascii="Times New Roman" w:hAnsi="Times New Roman" w:cs="Times New Roman"/>
                <w:kern w:val="0"/>
                <w:sz w:val="16"/>
                <w:szCs w:val="16"/>
              </w:rPr>
              <w:t>》及相关法律法规实施保护管理。</w:t>
            </w:r>
          </w:p>
        </w:tc>
        <w:tc>
          <w:tcPr>
            <w:tcW w:w="3827"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1.加强挥发性有机物排放管控，涉及表面涂装工艺的企业宜使用低VOCs涂料替代溶剂型涂料，涂料、稀释剂、清洗剂等原辅材料应密闭储存，调配、使用、回收等过程应采用密闭设备或在密闭空间内操作。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2.餐饮行业按要求安装油烟高效净化设备并定期清洗和维护，禁止露天烧烤，鼓励餐饮业及居民生活能源使用天然气、液化石油气等洁净能源。</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3.完善垃圾收集外运设施，实施垃圾分类收集。</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深化重点行业污染治理，加强机动车排气污染治理，禁行区内依法禁止三轮汽车、低速载货汽车、拖拉机驶入，对达到报废标准的车辆强制报废，加大对无牌无证摩托车查处力度。禁止销售或者进口排气污染物超过国家规定排放标准的机动车。</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5.提升施工扬尘防治水平，城市建筑、交通等各类工地全面落实扬尘控制措施，强化道路扬尘控制，提高道路机扫、冲洗率，禁止焚烧环卫清扫物、建筑垃圾、生活垃圾等废弃物。</w:t>
            </w:r>
          </w:p>
          <w:p>
            <w:pPr>
              <w:snapToGrid w:val="0"/>
              <w:rPr>
                <w:rFonts w:ascii="Times New Roman" w:hAnsi="Times New Roman" w:cs="Times New Roman"/>
                <w:kern w:val="0"/>
                <w:sz w:val="16"/>
                <w:szCs w:val="16"/>
              </w:rPr>
            </w:pPr>
            <w:r>
              <w:rPr>
                <w:rFonts w:ascii="Times New Roman" w:hAnsi="Times New Roman" w:cs="Times New Roman"/>
                <w:kern w:val="0"/>
                <w:sz w:val="16"/>
                <w:szCs w:val="16"/>
              </w:rPr>
              <w:t>6.金泓热电厂应优化能源结构，推广清洁能源替代燃煤。</w:t>
            </w:r>
          </w:p>
          <w:p>
            <w:pPr>
              <w:snapToGrid w:val="0"/>
              <w:rPr>
                <w:rFonts w:ascii="Times New Roman" w:hAnsi="Times New Roman" w:cs="Times New Roman"/>
                <w:kern w:val="0"/>
                <w:sz w:val="16"/>
                <w:szCs w:val="16"/>
              </w:rPr>
            </w:pPr>
            <w:r>
              <w:rPr>
                <w:rFonts w:ascii="Times New Roman" w:hAnsi="Times New Roman" w:cs="Times New Roman"/>
                <w:kern w:val="0"/>
                <w:sz w:val="16"/>
                <w:szCs w:val="16"/>
              </w:rPr>
              <w:t>7.城镇污水集中处理设施应完善在线监控系统联网，加强恶臭气体的收集和有效处置。</w:t>
            </w:r>
          </w:p>
        </w:tc>
        <w:tc>
          <w:tcPr>
            <w:tcW w:w="226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1.完善各企业危险废物（含医疗废物）的贮存、转移及处置管理制度，并负责对危险废物相应活动的全程监管和环境安全保障。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2.加油站等的地下油罐应当使用双层罐或者采取建造防渗池等其他有效措施，并进行防渗漏监测，防止地下水和土壤污染。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3.生产、使用、贮存、转移危险化学品的企业事业单位，应当采取风险防范措施，完善三级防护体系。企业应编制环境应急预案并定期开展演练。</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设立辐射安全与环境保护管理机构，严格落实辐射安全管理责任制，落实场所使用规定、装置操作规程、辐射防护和安全保卫制度、设备检修维护制度、培训计划和辐射监测方案等，建立辐射安全管理档案，制定培训计划，组织辐射工作人员参加辐射安全培训和再培训，经考核合格后上岗，从事放射工作时，应采取有效辐射安全与防护措施，控制接受不必要的受照剂量。</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5.健全事故应急体系，落实有效的事故风险防范和应急措施，有效防范污染事故发生。</w:t>
            </w:r>
          </w:p>
        </w:tc>
        <w:tc>
          <w:tcPr>
            <w:tcW w:w="119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8" w:hRule="atLeast"/>
        </w:trPr>
        <w:tc>
          <w:tcPr>
            <w:tcW w:w="419"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9</w:t>
            </w:r>
          </w:p>
        </w:tc>
        <w:tc>
          <w:tcPr>
            <w:tcW w:w="131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ZH37021320009</w:t>
            </w:r>
          </w:p>
        </w:tc>
        <w:tc>
          <w:tcPr>
            <w:tcW w:w="698"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沧口街道</w:t>
            </w:r>
          </w:p>
        </w:tc>
        <w:tc>
          <w:tcPr>
            <w:tcW w:w="43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李沧区</w:t>
            </w:r>
          </w:p>
        </w:tc>
        <w:tc>
          <w:tcPr>
            <w:tcW w:w="697"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1127"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水环境城镇生活源重点管控区、大气环境受体敏感区</w:t>
            </w:r>
          </w:p>
        </w:tc>
        <w:tc>
          <w:tcPr>
            <w:tcW w:w="1107"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1.科学合理商业、居住规划布局并严格执行。</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2.引导工业企业入驻工业园区。新建有污染物排放的工业项目，除在安全生产等方面有特殊要求的以外，应当进入工业园区或者工业集聚区。</w:t>
            </w:r>
          </w:p>
        </w:tc>
        <w:tc>
          <w:tcPr>
            <w:tcW w:w="3827"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1严格落实医疗废水、医疗废物消毒措施，规范医疗废物暂存并及时清运。禁止在运送过程中丢弃医疗废物；禁止在非贮存地点倾倒、堆放医疗废物或者将医疗废物混入其他废物和生活垃圾。</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2.餐饮行业按要求安装油烟高效净化设备并定期清洗和维护，禁止露天烧烤，鼓励餐饮业及居民生活能源使用天然气、液化石油气等洁净能源。</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3.加强挥发性有机物排放管控，涉及表面涂装工艺的企业宜使用低VOCs涂料替代溶剂型涂料，涂料、稀释剂、清洗剂等原辅材料应密闭储存，调配、使用、回收等过程应采用密闭设备或在密闭空间内操作。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深化重点行业污染治理，加强机动车排气污染治理，禁行区内依法禁止三轮汽车、低速载货汽车、拖拉机驶入，对达到报废标准的车辆强制报废，加大对无牌无证摩托车查处力度。禁止销售或者进口排气污染物超过国家规定排放标准的机动车。</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5.提升施工扬尘防治水平，城市建筑、交通等各类工地全面落实扬尘控制措施，强化道路扬尘控制，提高道路机扫、冲洗率，禁止焚烧环卫清扫物、建筑垃圾、生活垃圾等废弃物。</w:t>
            </w:r>
          </w:p>
        </w:tc>
        <w:tc>
          <w:tcPr>
            <w:tcW w:w="226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1.严格执行医疗废物的贮存、转移及处置管理制度，并负责对相应活动的全程监管和环境安全保障。转移符合豁免要求的危险废物的，按照国家相关规定实行豁免管理。</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2.加油站等的地下油罐应当使用双层罐或者采取建造防渗池等其他有效措施，并进行防渗漏监测，防止地下水和土壤污染。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3.健全事故应急体系，落实有效的事故风险防范和应急措施，有效防范污染事故发生。</w:t>
            </w:r>
          </w:p>
        </w:tc>
        <w:tc>
          <w:tcPr>
            <w:tcW w:w="119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9"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10</w:t>
            </w:r>
          </w:p>
        </w:tc>
        <w:tc>
          <w:tcPr>
            <w:tcW w:w="131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ZH37021320010</w:t>
            </w:r>
          </w:p>
        </w:tc>
        <w:tc>
          <w:tcPr>
            <w:tcW w:w="698"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李村街道</w:t>
            </w:r>
          </w:p>
        </w:tc>
        <w:tc>
          <w:tcPr>
            <w:tcW w:w="43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李沧区</w:t>
            </w:r>
          </w:p>
        </w:tc>
        <w:tc>
          <w:tcPr>
            <w:tcW w:w="697"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1127"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水环境城镇生活源重点管控区、大气环境受体敏感区</w:t>
            </w:r>
          </w:p>
        </w:tc>
        <w:tc>
          <w:tcPr>
            <w:tcW w:w="1107"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1.科学合理商业、居住规划布局并严格执行。</w:t>
            </w:r>
          </w:p>
        </w:tc>
        <w:tc>
          <w:tcPr>
            <w:tcW w:w="3827"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1.餐饮行业按要求安装油烟高效净化设备并定期清洗和维护，禁止露天烧烤，鼓励餐饮业及居民生活能源使用天然气、液化石油气等洁净能源。</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2.提升施工扬尘防治水平，城市建筑、交通等各类工地全面落实扬尘控制措施，强化道路扬尘控制，提高道路机扫、冲洗率，禁止焚烧环卫清扫物、建筑垃圾、生活垃圾等废弃物。</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深化重点行业污染治理，加强机动车排气污染治理，禁行区内依法禁止三轮汽车、低速载货汽车、拖拉机驶入，对达到报废标准的车辆强制报废，加大对无牌无证摩托车查处力度。禁止销售或者进口排气污染物超过国家规定排放标准的机动车。</w:t>
            </w:r>
          </w:p>
        </w:tc>
        <w:tc>
          <w:tcPr>
            <w:tcW w:w="226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1.加油站等的地下油罐应当使用双层罐或者采取建造防渗池等其他有效措施，并进行防渗漏监测，防止地下水和土壤污染。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2.严格执行医疗废物的贮存、转移及处置管理制度，并负责对相应活动的全程监管和环境安全保障。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3.健全事故应急体系，落实有效的事故风险防范和应急措施，有效防范污染事故发生。</w:t>
            </w:r>
          </w:p>
        </w:tc>
        <w:tc>
          <w:tcPr>
            <w:tcW w:w="119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2" w:hRule="atLeast"/>
        </w:trPr>
        <w:tc>
          <w:tcPr>
            <w:tcW w:w="419"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11</w:t>
            </w:r>
          </w:p>
        </w:tc>
        <w:tc>
          <w:tcPr>
            <w:tcW w:w="131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ZH37021320011</w:t>
            </w:r>
          </w:p>
        </w:tc>
        <w:tc>
          <w:tcPr>
            <w:tcW w:w="698"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兴华路街道</w:t>
            </w:r>
          </w:p>
        </w:tc>
        <w:tc>
          <w:tcPr>
            <w:tcW w:w="43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李沧区</w:t>
            </w:r>
          </w:p>
        </w:tc>
        <w:tc>
          <w:tcPr>
            <w:tcW w:w="697"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1127"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水环境城镇生活源重点管控区、大气环境受体敏感区</w:t>
            </w:r>
          </w:p>
        </w:tc>
        <w:tc>
          <w:tcPr>
            <w:tcW w:w="1107"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1.科学合理商业、居住规划布局并严格执行。</w:t>
            </w:r>
          </w:p>
        </w:tc>
        <w:tc>
          <w:tcPr>
            <w:tcW w:w="3827"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1.提升施工扬尘防治水平，城市建筑、交通等各类工地全面落实扬尘控制措施，强化道路扬尘控制，提高道路机扫、冲洗率，禁止焚烧环卫清扫物、建筑垃圾、生活垃圾等废弃物。</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2.加强挥发性有机物排放管控，涉及表面涂装工艺的企业宜使用低VOCs涂料替代溶剂型涂料，涂料、稀释剂、清洗剂等原辅材料应密闭储存，调配、使用、回收等过程应采用密闭设备或在密闭空间内操作。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3.餐饮行业按要求安装油烟高效净化设备并定期清洗和维护，禁止露天烧烤，鼓励餐饮业及居民生活能源使用天然气、液化石油气等洁净能源。</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深化重点行业污染治理，加强机动车排气污染治理，禁行区内依法禁止三轮汽车、低速载货汽车、拖拉机驶入，对达到报废标准的车辆强制报废，加大对无牌无证摩托车查处力度。禁止销售或者进口排气污染物超过国家规定排放标准的机动车。</w:t>
            </w:r>
          </w:p>
        </w:tc>
        <w:tc>
          <w:tcPr>
            <w:tcW w:w="226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1.加油站等的地下油罐应当使用双层罐或者采取建造防渗池等其他有效措施，并进行防渗漏监测，防止地下水和土壤污染。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2.严格执行医疗废物的贮存、转移及处置管理制度，并负责对相应活动的全程监管和环境安全保障。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3.健全事故应急体系，落实有效的事故风险防范和应急措施，有效防范污染事故发生。</w:t>
            </w:r>
          </w:p>
        </w:tc>
        <w:tc>
          <w:tcPr>
            <w:tcW w:w="119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bl>
    <w:p>
      <w:pPr>
        <w:rPr>
          <w:rFonts w:ascii="Times New Roman" w:hAnsi="Times New Roman" w:cs="Times New Roman"/>
          <w:sz w:val="16"/>
          <w:szCs w:val="16"/>
        </w:rPr>
      </w:pPr>
    </w:p>
    <w:p>
      <w:pPr>
        <w:widowControl/>
        <w:adjustRightInd w:val="0"/>
        <w:snapToGrid w:val="0"/>
        <w:spacing w:line="360" w:lineRule="auto"/>
        <w:jc w:val="center"/>
        <w:outlineLvl w:val="9"/>
        <w:rPr>
          <w:rFonts w:ascii="Times New Roman" w:hAnsi="Times New Roman" w:eastAsia="黑体" w:cs="Times New Roman"/>
          <w:b/>
          <w:kern w:val="44"/>
          <w:sz w:val="28"/>
          <w:szCs w:val="28"/>
        </w:rPr>
      </w:pPr>
      <w:bookmarkStart w:id="34" w:name="_Toc137761108"/>
    </w:p>
    <w:p>
      <w:pPr>
        <w:widowControl/>
        <w:adjustRightInd w:val="0"/>
        <w:snapToGrid w:val="0"/>
        <w:spacing w:line="360" w:lineRule="auto"/>
        <w:jc w:val="center"/>
        <w:outlineLvl w:val="9"/>
        <w:rPr>
          <w:rFonts w:ascii="Times New Roman" w:hAnsi="Times New Roman" w:eastAsia="黑体" w:cs="Times New Roman"/>
          <w:b/>
          <w:kern w:val="44"/>
          <w:sz w:val="28"/>
          <w:szCs w:val="28"/>
        </w:rPr>
      </w:pPr>
    </w:p>
    <w:p>
      <w:pPr>
        <w:widowControl/>
        <w:adjustRightInd w:val="0"/>
        <w:snapToGrid w:val="0"/>
        <w:spacing w:line="360" w:lineRule="auto"/>
        <w:jc w:val="center"/>
        <w:outlineLvl w:val="9"/>
        <w:rPr>
          <w:rFonts w:ascii="Times New Roman" w:hAnsi="Times New Roman" w:eastAsia="黑体" w:cs="Times New Roman"/>
          <w:b/>
          <w:kern w:val="44"/>
          <w:sz w:val="28"/>
          <w:szCs w:val="28"/>
        </w:rPr>
      </w:pPr>
    </w:p>
    <w:p>
      <w:pPr>
        <w:widowControl/>
        <w:adjustRightInd w:val="0"/>
        <w:snapToGrid w:val="0"/>
        <w:spacing w:line="360" w:lineRule="auto"/>
        <w:jc w:val="center"/>
        <w:outlineLvl w:val="9"/>
        <w:rPr>
          <w:rFonts w:ascii="Times New Roman" w:hAnsi="Times New Roman" w:eastAsia="黑体" w:cs="Times New Roman"/>
          <w:b/>
          <w:kern w:val="44"/>
          <w:sz w:val="28"/>
          <w:szCs w:val="28"/>
        </w:rPr>
      </w:pPr>
    </w:p>
    <w:p>
      <w:pPr>
        <w:widowControl/>
        <w:adjustRightInd w:val="0"/>
        <w:snapToGrid w:val="0"/>
        <w:spacing w:line="360" w:lineRule="auto"/>
        <w:jc w:val="center"/>
        <w:outlineLvl w:val="9"/>
        <w:rPr>
          <w:rFonts w:ascii="Times New Roman" w:hAnsi="Times New Roman" w:eastAsia="黑体" w:cs="Times New Roman"/>
          <w:b/>
          <w:kern w:val="44"/>
          <w:sz w:val="28"/>
          <w:szCs w:val="28"/>
        </w:rPr>
      </w:pPr>
    </w:p>
    <w:p>
      <w:pPr>
        <w:widowControl/>
        <w:adjustRightInd w:val="0"/>
        <w:snapToGrid w:val="0"/>
        <w:spacing w:line="360" w:lineRule="auto"/>
        <w:jc w:val="center"/>
        <w:outlineLvl w:val="1"/>
        <w:rPr>
          <w:rFonts w:ascii="Times New Roman" w:hAnsi="Times New Roman" w:eastAsia="黑体" w:cs="Times New Roman"/>
          <w:b/>
          <w:kern w:val="44"/>
          <w:sz w:val="28"/>
          <w:szCs w:val="28"/>
        </w:rPr>
      </w:pPr>
      <w:r>
        <w:rPr>
          <w:rFonts w:ascii="Times New Roman" w:hAnsi="Times New Roman" w:eastAsia="黑体" w:cs="Times New Roman"/>
          <w:b/>
          <w:kern w:val="44"/>
          <w:sz w:val="28"/>
          <w:szCs w:val="28"/>
        </w:rPr>
        <w:t>(四)崂山区环境管控单元生态环境准入清单</w:t>
      </w:r>
      <w:bookmarkEnd w:id="30"/>
      <w:bookmarkEnd w:id="31"/>
      <w:bookmarkEnd w:id="34"/>
    </w:p>
    <w:tbl>
      <w:tblPr>
        <w:tblStyle w:val="13"/>
        <w:tblW w:w="13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
        <w:gridCol w:w="1310"/>
        <w:gridCol w:w="695"/>
        <w:gridCol w:w="428"/>
        <w:gridCol w:w="428"/>
        <w:gridCol w:w="433"/>
        <w:gridCol w:w="549"/>
        <w:gridCol w:w="1134"/>
        <w:gridCol w:w="1984"/>
        <w:gridCol w:w="2694"/>
        <w:gridCol w:w="2265"/>
        <w:gridCol w:w="16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05" w:type="dxa"/>
            <w:vMerge w:val="restart"/>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序号</w:t>
            </w:r>
          </w:p>
        </w:tc>
        <w:tc>
          <w:tcPr>
            <w:tcW w:w="1310" w:type="dxa"/>
            <w:vMerge w:val="restart"/>
            <w:vAlign w:val="center"/>
          </w:tcPr>
          <w:p>
            <w:pPr>
              <w:widowControl/>
              <w:adjustRightInd w:val="0"/>
              <w:snapToGrid w:val="0"/>
              <w:jc w:val="center"/>
              <w:rPr>
                <w:rFonts w:ascii="Times New Roman" w:hAnsi="Times New Roman" w:cs="Times New Roman"/>
                <w:b/>
                <w:kern w:val="0"/>
                <w:sz w:val="16"/>
                <w:szCs w:val="16"/>
              </w:rPr>
            </w:pPr>
            <w:r>
              <w:rPr>
                <w:rFonts w:ascii="Times New Roman" w:hAnsi="Times New Roman" w:cs="Times New Roman"/>
                <w:b/>
                <w:kern w:val="0"/>
                <w:sz w:val="16"/>
                <w:szCs w:val="16"/>
              </w:rPr>
              <w:t>环境管控单元编码</w:t>
            </w:r>
          </w:p>
        </w:tc>
        <w:tc>
          <w:tcPr>
            <w:tcW w:w="695" w:type="dxa"/>
            <w:vMerge w:val="restart"/>
            <w:vAlign w:val="center"/>
          </w:tcPr>
          <w:p>
            <w:pPr>
              <w:snapToGrid w:val="0"/>
              <w:ind w:left="-160" w:leftChars="-50" w:right="-166" w:rightChars="-52"/>
              <w:jc w:val="center"/>
              <w:rPr>
                <w:rFonts w:ascii="Times New Roman" w:hAnsi="Times New Roman" w:cs="Times New Roman"/>
                <w:b/>
                <w:kern w:val="0"/>
                <w:sz w:val="16"/>
                <w:szCs w:val="16"/>
              </w:rPr>
            </w:pPr>
            <w:r>
              <w:rPr>
                <w:rFonts w:ascii="Times New Roman" w:hAnsi="Times New Roman" w:cs="Times New Roman"/>
                <w:b/>
                <w:kern w:val="0"/>
                <w:sz w:val="16"/>
                <w:szCs w:val="16"/>
              </w:rPr>
              <w:t>环境管控单元名称</w:t>
            </w:r>
          </w:p>
        </w:tc>
        <w:tc>
          <w:tcPr>
            <w:tcW w:w="1289" w:type="dxa"/>
            <w:gridSpan w:val="3"/>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行政区划</w:t>
            </w:r>
          </w:p>
        </w:tc>
        <w:tc>
          <w:tcPr>
            <w:tcW w:w="549" w:type="dxa"/>
            <w:vMerge w:val="restart"/>
            <w:vAlign w:val="center"/>
          </w:tcPr>
          <w:p>
            <w:pPr>
              <w:widowControl/>
              <w:adjustRightInd w:val="0"/>
              <w:snapToGrid w:val="0"/>
              <w:jc w:val="center"/>
              <w:rPr>
                <w:rFonts w:ascii="Times New Roman" w:hAnsi="Times New Roman" w:cs="Times New Roman"/>
                <w:b/>
                <w:kern w:val="0"/>
                <w:sz w:val="16"/>
                <w:szCs w:val="16"/>
              </w:rPr>
            </w:pPr>
            <w:r>
              <w:rPr>
                <w:rFonts w:ascii="Times New Roman" w:hAnsi="Times New Roman" w:cs="Times New Roman"/>
                <w:b/>
                <w:kern w:val="0"/>
                <w:sz w:val="16"/>
                <w:szCs w:val="16"/>
              </w:rPr>
              <w:t>管控单元分类</w:t>
            </w:r>
          </w:p>
        </w:tc>
        <w:tc>
          <w:tcPr>
            <w:tcW w:w="1134" w:type="dxa"/>
            <w:vMerge w:val="restart"/>
            <w:vAlign w:val="center"/>
          </w:tcPr>
          <w:p>
            <w:pPr>
              <w:adjustRightInd w:val="0"/>
              <w:snapToGrid w:val="0"/>
              <w:jc w:val="center"/>
              <w:rPr>
                <w:rFonts w:ascii="Times New Roman" w:hAnsi="Times New Roman" w:cs="Times New Roman"/>
                <w:b/>
                <w:kern w:val="0"/>
                <w:sz w:val="16"/>
                <w:szCs w:val="16"/>
              </w:rPr>
            </w:pPr>
            <w:r>
              <w:rPr>
                <w:rFonts w:ascii="Times New Roman" w:hAnsi="Times New Roman" w:cs="Times New Roman"/>
                <w:b/>
                <w:kern w:val="0"/>
                <w:sz w:val="16"/>
                <w:szCs w:val="16"/>
              </w:rPr>
              <w:t>涉及的主要管控细类</w:t>
            </w:r>
          </w:p>
        </w:tc>
        <w:tc>
          <w:tcPr>
            <w:tcW w:w="1984" w:type="dxa"/>
            <w:vMerge w:val="restart"/>
            <w:vAlign w:val="center"/>
          </w:tcPr>
          <w:p>
            <w:pPr>
              <w:adjustRightInd w:val="0"/>
              <w:snapToGrid w:val="0"/>
              <w:jc w:val="center"/>
              <w:rPr>
                <w:rFonts w:ascii="Times New Roman" w:hAnsi="Times New Roman" w:cs="Times New Roman"/>
                <w:b/>
                <w:kern w:val="0"/>
                <w:sz w:val="16"/>
                <w:szCs w:val="16"/>
              </w:rPr>
            </w:pPr>
            <w:r>
              <w:rPr>
                <w:rFonts w:ascii="Times New Roman" w:hAnsi="Times New Roman" w:cs="Times New Roman"/>
                <w:b/>
                <w:kern w:val="0"/>
                <w:sz w:val="16"/>
                <w:szCs w:val="16"/>
              </w:rPr>
              <w:t>空间布局约束</w:t>
            </w:r>
          </w:p>
        </w:tc>
        <w:tc>
          <w:tcPr>
            <w:tcW w:w="2694" w:type="dxa"/>
            <w:vMerge w:val="restart"/>
            <w:vAlign w:val="center"/>
          </w:tcPr>
          <w:p>
            <w:pPr>
              <w:adjustRightInd w:val="0"/>
              <w:snapToGrid w:val="0"/>
              <w:jc w:val="center"/>
              <w:rPr>
                <w:rFonts w:ascii="Times New Roman" w:hAnsi="Times New Roman" w:cs="Times New Roman"/>
                <w:b/>
                <w:kern w:val="0"/>
                <w:sz w:val="16"/>
                <w:szCs w:val="16"/>
              </w:rPr>
            </w:pPr>
            <w:r>
              <w:rPr>
                <w:rFonts w:ascii="Times New Roman" w:hAnsi="Times New Roman" w:cs="Times New Roman"/>
                <w:b/>
                <w:kern w:val="0"/>
                <w:sz w:val="16"/>
                <w:szCs w:val="16"/>
              </w:rPr>
              <w:t>污染物排放管控</w:t>
            </w:r>
          </w:p>
        </w:tc>
        <w:tc>
          <w:tcPr>
            <w:tcW w:w="2265" w:type="dxa"/>
            <w:vMerge w:val="restart"/>
            <w:vAlign w:val="center"/>
          </w:tcPr>
          <w:p>
            <w:pPr>
              <w:adjustRightInd w:val="0"/>
              <w:snapToGrid w:val="0"/>
              <w:jc w:val="center"/>
              <w:rPr>
                <w:rFonts w:ascii="Times New Roman" w:hAnsi="Times New Roman" w:cs="Times New Roman"/>
                <w:b/>
                <w:kern w:val="0"/>
                <w:sz w:val="16"/>
                <w:szCs w:val="16"/>
              </w:rPr>
            </w:pPr>
            <w:r>
              <w:rPr>
                <w:rFonts w:ascii="Times New Roman" w:hAnsi="Times New Roman" w:cs="Times New Roman"/>
                <w:b/>
                <w:kern w:val="0"/>
                <w:sz w:val="16"/>
                <w:szCs w:val="16"/>
              </w:rPr>
              <w:t>环境风险防控</w:t>
            </w:r>
          </w:p>
        </w:tc>
        <w:tc>
          <w:tcPr>
            <w:tcW w:w="1623" w:type="dxa"/>
            <w:vMerge w:val="restart"/>
            <w:vAlign w:val="center"/>
          </w:tcPr>
          <w:p>
            <w:pPr>
              <w:adjustRightInd w:val="0"/>
              <w:snapToGrid w:val="0"/>
              <w:jc w:val="center"/>
              <w:rPr>
                <w:rFonts w:ascii="Times New Roman" w:hAnsi="Times New Roman" w:cs="Times New Roman"/>
                <w:b/>
                <w:kern w:val="0"/>
                <w:sz w:val="16"/>
                <w:szCs w:val="16"/>
              </w:rPr>
            </w:pPr>
            <w:r>
              <w:rPr>
                <w:rFonts w:ascii="Times New Roman" w:hAnsi="Times New Roman" w:eastAsia="宋体" w:cs="Times New Roman"/>
                <w:b/>
                <w:kern w:val="0"/>
                <w:sz w:val="15"/>
                <w:szCs w:val="15"/>
              </w:rPr>
              <w:t>资源开发效率要求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05" w:type="dxa"/>
            <w:vMerge w:val="continue"/>
            <w:vAlign w:val="center"/>
          </w:tcPr>
          <w:p>
            <w:pPr>
              <w:widowControl/>
              <w:adjustRightInd w:val="0"/>
              <w:snapToGrid w:val="0"/>
              <w:jc w:val="center"/>
              <w:rPr>
                <w:rFonts w:ascii="Times New Roman" w:hAnsi="Times New Roman" w:cs="Times New Roman"/>
                <w:b/>
                <w:kern w:val="44"/>
                <w:sz w:val="16"/>
                <w:szCs w:val="16"/>
              </w:rPr>
            </w:pPr>
          </w:p>
        </w:tc>
        <w:tc>
          <w:tcPr>
            <w:tcW w:w="1310" w:type="dxa"/>
            <w:vMerge w:val="continue"/>
            <w:vAlign w:val="center"/>
          </w:tcPr>
          <w:p>
            <w:pPr>
              <w:widowControl/>
              <w:adjustRightInd w:val="0"/>
              <w:snapToGrid w:val="0"/>
              <w:jc w:val="center"/>
              <w:rPr>
                <w:rFonts w:ascii="Times New Roman" w:hAnsi="Times New Roman" w:cs="Times New Roman"/>
                <w:b/>
                <w:kern w:val="0"/>
                <w:sz w:val="16"/>
                <w:szCs w:val="16"/>
              </w:rPr>
            </w:pPr>
          </w:p>
        </w:tc>
        <w:tc>
          <w:tcPr>
            <w:tcW w:w="695" w:type="dxa"/>
            <w:vMerge w:val="continue"/>
            <w:vAlign w:val="center"/>
          </w:tcPr>
          <w:p>
            <w:pPr>
              <w:adjustRightInd w:val="0"/>
              <w:snapToGrid w:val="0"/>
              <w:jc w:val="center"/>
              <w:rPr>
                <w:rFonts w:ascii="Times New Roman" w:hAnsi="Times New Roman" w:cs="Times New Roman"/>
                <w:b/>
                <w:kern w:val="0"/>
                <w:sz w:val="16"/>
                <w:szCs w:val="16"/>
              </w:rPr>
            </w:pPr>
          </w:p>
        </w:tc>
        <w:tc>
          <w:tcPr>
            <w:tcW w:w="428" w:type="dxa"/>
            <w:vAlign w:val="center"/>
          </w:tcPr>
          <w:p>
            <w:pPr>
              <w:widowControl/>
              <w:adjustRightInd w:val="0"/>
              <w:snapToGrid w:val="0"/>
              <w:jc w:val="center"/>
              <w:rPr>
                <w:rFonts w:ascii="Times New Roman" w:hAnsi="Times New Roman" w:cs="Times New Roman"/>
                <w:b/>
                <w:kern w:val="0"/>
                <w:sz w:val="16"/>
                <w:szCs w:val="16"/>
              </w:rPr>
            </w:pPr>
            <w:r>
              <w:rPr>
                <w:rFonts w:ascii="Times New Roman" w:hAnsi="Times New Roman" w:cs="Times New Roman"/>
                <w:b/>
                <w:kern w:val="0"/>
                <w:sz w:val="16"/>
                <w:szCs w:val="16"/>
              </w:rPr>
              <w:t>省</w:t>
            </w:r>
          </w:p>
        </w:tc>
        <w:tc>
          <w:tcPr>
            <w:tcW w:w="428" w:type="dxa"/>
            <w:vAlign w:val="center"/>
          </w:tcPr>
          <w:p>
            <w:pPr>
              <w:adjustRightInd w:val="0"/>
              <w:snapToGrid w:val="0"/>
              <w:jc w:val="center"/>
              <w:rPr>
                <w:rFonts w:ascii="Times New Roman" w:hAnsi="Times New Roman" w:cs="Times New Roman"/>
                <w:b/>
                <w:kern w:val="0"/>
                <w:sz w:val="16"/>
                <w:szCs w:val="16"/>
              </w:rPr>
            </w:pPr>
            <w:r>
              <w:rPr>
                <w:rFonts w:ascii="Times New Roman" w:hAnsi="Times New Roman" w:cs="Times New Roman"/>
                <w:b/>
                <w:kern w:val="0"/>
                <w:sz w:val="16"/>
                <w:szCs w:val="16"/>
              </w:rPr>
              <w:t>市</w:t>
            </w:r>
          </w:p>
        </w:tc>
        <w:tc>
          <w:tcPr>
            <w:tcW w:w="433" w:type="dxa"/>
            <w:vAlign w:val="center"/>
          </w:tcPr>
          <w:p>
            <w:pPr>
              <w:adjustRightInd w:val="0"/>
              <w:snapToGrid w:val="0"/>
              <w:jc w:val="center"/>
              <w:rPr>
                <w:rFonts w:ascii="Times New Roman" w:hAnsi="Times New Roman" w:cs="Times New Roman"/>
                <w:b/>
                <w:kern w:val="0"/>
                <w:sz w:val="16"/>
                <w:szCs w:val="16"/>
              </w:rPr>
            </w:pPr>
            <w:r>
              <w:rPr>
                <w:rFonts w:ascii="Times New Roman" w:hAnsi="Times New Roman" w:cs="Times New Roman"/>
                <w:b/>
                <w:kern w:val="0"/>
                <w:sz w:val="16"/>
                <w:szCs w:val="16"/>
              </w:rPr>
              <w:t>县</w:t>
            </w:r>
          </w:p>
        </w:tc>
        <w:tc>
          <w:tcPr>
            <w:tcW w:w="549" w:type="dxa"/>
            <w:vMerge w:val="continue"/>
            <w:vAlign w:val="center"/>
          </w:tcPr>
          <w:p>
            <w:pPr>
              <w:widowControl/>
              <w:adjustRightInd w:val="0"/>
              <w:snapToGrid w:val="0"/>
              <w:jc w:val="center"/>
              <w:rPr>
                <w:rFonts w:ascii="Times New Roman" w:hAnsi="Times New Roman" w:cs="Times New Roman"/>
                <w:b/>
                <w:kern w:val="44"/>
                <w:sz w:val="16"/>
                <w:szCs w:val="16"/>
              </w:rPr>
            </w:pPr>
          </w:p>
        </w:tc>
        <w:tc>
          <w:tcPr>
            <w:tcW w:w="1134" w:type="dxa"/>
            <w:vMerge w:val="continue"/>
            <w:vAlign w:val="center"/>
          </w:tcPr>
          <w:p>
            <w:pPr>
              <w:widowControl/>
              <w:adjustRightInd w:val="0"/>
              <w:snapToGrid w:val="0"/>
              <w:jc w:val="center"/>
              <w:rPr>
                <w:rFonts w:ascii="Times New Roman" w:hAnsi="Times New Roman" w:cs="Times New Roman"/>
                <w:b/>
                <w:kern w:val="44"/>
                <w:sz w:val="16"/>
                <w:szCs w:val="16"/>
              </w:rPr>
            </w:pPr>
          </w:p>
        </w:tc>
        <w:tc>
          <w:tcPr>
            <w:tcW w:w="1984" w:type="dxa"/>
            <w:vMerge w:val="continue"/>
            <w:vAlign w:val="center"/>
          </w:tcPr>
          <w:p>
            <w:pPr>
              <w:widowControl/>
              <w:adjustRightInd w:val="0"/>
              <w:snapToGrid w:val="0"/>
              <w:jc w:val="center"/>
              <w:rPr>
                <w:rFonts w:ascii="Times New Roman" w:hAnsi="Times New Roman" w:cs="Times New Roman"/>
                <w:b/>
                <w:kern w:val="44"/>
                <w:sz w:val="16"/>
                <w:szCs w:val="16"/>
              </w:rPr>
            </w:pPr>
          </w:p>
        </w:tc>
        <w:tc>
          <w:tcPr>
            <w:tcW w:w="2694" w:type="dxa"/>
            <w:vMerge w:val="continue"/>
            <w:vAlign w:val="center"/>
          </w:tcPr>
          <w:p>
            <w:pPr>
              <w:widowControl/>
              <w:adjustRightInd w:val="0"/>
              <w:snapToGrid w:val="0"/>
              <w:jc w:val="center"/>
              <w:rPr>
                <w:rFonts w:ascii="Times New Roman" w:hAnsi="Times New Roman" w:cs="Times New Roman"/>
                <w:b/>
                <w:kern w:val="44"/>
                <w:sz w:val="16"/>
                <w:szCs w:val="16"/>
              </w:rPr>
            </w:pPr>
          </w:p>
        </w:tc>
        <w:tc>
          <w:tcPr>
            <w:tcW w:w="2265" w:type="dxa"/>
            <w:vMerge w:val="continue"/>
            <w:vAlign w:val="center"/>
          </w:tcPr>
          <w:p>
            <w:pPr>
              <w:widowControl/>
              <w:adjustRightInd w:val="0"/>
              <w:snapToGrid w:val="0"/>
              <w:jc w:val="center"/>
              <w:rPr>
                <w:rFonts w:ascii="Times New Roman" w:hAnsi="Times New Roman" w:cs="Times New Roman"/>
                <w:b/>
                <w:kern w:val="44"/>
                <w:sz w:val="16"/>
                <w:szCs w:val="16"/>
              </w:rPr>
            </w:pPr>
          </w:p>
        </w:tc>
        <w:tc>
          <w:tcPr>
            <w:tcW w:w="1623" w:type="dxa"/>
            <w:vMerge w:val="continue"/>
            <w:vAlign w:val="center"/>
          </w:tcPr>
          <w:p>
            <w:pPr>
              <w:widowControl/>
              <w:adjustRightInd w:val="0"/>
              <w:snapToGrid w:val="0"/>
              <w:jc w:val="center"/>
              <w:rPr>
                <w:rFonts w:ascii="Times New Roman" w:hAnsi="Times New Roman" w:cs="Times New Roman"/>
                <w:b/>
                <w:kern w:val="44"/>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05"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w:t>
            </w:r>
          </w:p>
        </w:tc>
        <w:tc>
          <w:tcPr>
            <w:tcW w:w="1310" w:type="dxa"/>
            <w:vAlign w:val="center"/>
          </w:tcPr>
          <w:p>
            <w:pPr>
              <w:widowControl/>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ZH37021210001</w:t>
            </w:r>
          </w:p>
        </w:tc>
        <w:tc>
          <w:tcPr>
            <w:tcW w:w="69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王哥庄街道</w:t>
            </w:r>
          </w:p>
        </w:tc>
        <w:tc>
          <w:tcPr>
            <w:tcW w:w="428"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28"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崂山区</w:t>
            </w:r>
          </w:p>
        </w:tc>
        <w:tc>
          <w:tcPr>
            <w:tcW w:w="549"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优先保护单元</w:t>
            </w:r>
          </w:p>
        </w:tc>
        <w:tc>
          <w:tcPr>
            <w:tcW w:w="1134" w:type="dxa"/>
            <w:vAlign w:val="center"/>
          </w:tcPr>
          <w:p>
            <w:pPr>
              <w:snapToGrid w:val="0"/>
              <w:jc w:val="left"/>
              <w:rPr>
                <w:rFonts w:ascii="Times New Roman" w:hAnsi="Times New Roman" w:cs="Times New Roman"/>
                <w:sz w:val="16"/>
                <w:szCs w:val="16"/>
              </w:rPr>
            </w:pPr>
            <w:r>
              <w:rPr>
                <w:rFonts w:hint="eastAsia" w:ascii="Times New Roman" w:hAnsi="Times New Roman" w:cs="Times New Roman"/>
                <w:sz w:val="16"/>
                <w:szCs w:val="16"/>
                <w:lang w:val="en-US" w:eastAsia="zh-CN"/>
              </w:rPr>
              <w:t>崂山自然保护区、</w:t>
            </w:r>
            <w:r>
              <w:rPr>
                <w:rFonts w:ascii="Times New Roman" w:hAnsi="Times New Roman" w:cs="Times New Roman"/>
                <w:sz w:val="16"/>
                <w:szCs w:val="16"/>
              </w:rPr>
              <w:t>崂山风景名胜区一般生态空间、晓望水库、水环境一般管控区、大气环境优先保护区、大气环境受体敏感区</w:t>
            </w:r>
          </w:p>
        </w:tc>
        <w:tc>
          <w:tcPr>
            <w:tcW w:w="1984" w:type="dxa"/>
            <w:vAlign w:val="center"/>
          </w:tcPr>
          <w:p>
            <w:pPr>
              <w:numPr>
                <w:ilvl w:val="255"/>
                <w:numId w:val="0"/>
              </w:numPr>
              <w:snapToGrid w:val="0"/>
              <w:jc w:val="left"/>
              <w:rPr>
                <w:rFonts w:ascii="Times New Roman" w:hAnsi="Times New Roman" w:cs="Times New Roman"/>
                <w:kern w:val="0"/>
                <w:sz w:val="16"/>
                <w:szCs w:val="16"/>
              </w:rPr>
            </w:pPr>
            <w:r>
              <w:rPr>
                <w:rFonts w:ascii="Times New Roman" w:hAnsi="Times New Roman" w:cs="Times New Roman"/>
                <w:kern w:val="0"/>
                <w:sz w:val="16"/>
                <w:szCs w:val="16"/>
              </w:rPr>
              <w:t>1.积极发展生态旅游、大健康产业和基础设施建设产业。</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2.引导工业企业入驻工业园区。新建有污染物排放的工业项目，除在安全生产等方面有特殊要求的以外，应当进入工业园区或者工业集聚区。</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3.城镇建成区污水处理设施不健全、未正常运行或污水管网未覆盖的地区，未配套污水处理设施的产生废水的项目不得建设。</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4.严格按照《风景名胜区条例》《自然保护区条例》及饮用水源保护区相关法律法规要求，对风景名胜区、自然保护区及饮用水源保护区等保护地实施管控。</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5.饮用水水源保护区按照《中华人民共和国水污染防治法》《山东省水污染防治条例》《</w:t>
            </w:r>
            <w:r>
              <w:rPr>
                <w:rFonts w:hint="eastAsia" w:ascii="Times New Roman" w:hAnsi="Times New Roman" w:cs="Times New Roman"/>
                <w:kern w:val="0"/>
                <w:sz w:val="16"/>
                <w:szCs w:val="16"/>
              </w:rPr>
              <w:t>青岛市饮用水水源保护条例</w:t>
            </w:r>
            <w:r>
              <w:rPr>
                <w:rFonts w:ascii="Times New Roman" w:hAnsi="Times New Roman" w:cs="Times New Roman"/>
                <w:kern w:val="0"/>
                <w:sz w:val="16"/>
                <w:szCs w:val="16"/>
              </w:rPr>
              <w:t>》及相关法律法规实施保护管理。</w:t>
            </w:r>
          </w:p>
        </w:tc>
        <w:tc>
          <w:tcPr>
            <w:tcW w:w="2694"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1.完善垃圾收集外运设施，实施垃圾分类制度，加强医疗废物及其他危险废物的贮存、转运等环节的监管监控。</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2.餐饮行业按要求安装油烟高效净化设备并定期清洗和维护，禁止露天烧烤，鼓励餐饮业及居民生活能源使用天然气、液化石油气等洁净能源。</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3.加强污水管网建设，按照雨污分流原则实施雨水管道、污水管网改造。</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加强挥发性有机物排放管控，包装印刷行业的溶剂存储、调配工段应对空间进行微负压改造，辊刷、覆压工艺宜设置于密闭工作间内，集中排风并导入VOCs处理设施处理。涉及表面涂装工艺的企业宜使用低VOCs涂料替代溶剂型涂料，涂料、稀释剂、清洗剂等原辅材料应密闭储存，调配、使用、回收等过程应采用密闭设备或在密闭空间内操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5.提升施工扬尘防治水平，城市建筑、交通等各类工地全面落实扬尘控制措施，强化道路扬尘控制，提高道路机扫、冲洗率，禁止焚烧秸秆、环卫清扫物、建筑垃圾、生活垃圾等废弃物。</w:t>
            </w:r>
          </w:p>
          <w:p>
            <w:pPr>
              <w:snapToGrid w:val="0"/>
              <w:rPr>
                <w:rFonts w:ascii="Times New Roman" w:hAnsi="Times New Roman" w:cs="Times New Roman"/>
                <w:kern w:val="0"/>
                <w:sz w:val="16"/>
                <w:szCs w:val="16"/>
              </w:rPr>
            </w:pPr>
            <w:r>
              <w:rPr>
                <w:rFonts w:ascii="Times New Roman" w:hAnsi="Times New Roman" w:cs="Times New Roman"/>
                <w:kern w:val="0"/>
                <w:sz w:val="16"/>
                <w:szCs w:val="16"/>
              </w:rPr>
              <w:t>6.深化重点行业污染治理，加强机动车排气污染治理，对达到报废标准的车辆强制报废，加大对无牌无证摩托车查处力度。禁止销售或者进口排气污染物超过国家规定排放标准的机动车。</w:t>
            </w:r>
          </w:p>
        </w:tc>
        <w:tc>
          <w:tcPr>
            <w:tcW w:w="226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1.加油站等的地下油罐应当使用双层罐或者采取建造防渗池等其他有效措施，并进行防渗漏监测，防止地下水和土壤污染。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2.严格执行医疗废物的贮存、转移及处置管理制度，并负责对相应活动的全程监管和环境安全保障。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3.健全事故应急体系，落实有效的事故风险防范和应急措施，有效防范污染事故发生。</w:t>
            </w:r>
          </w:p>
        </w:tc>
        <w:tc>
          <w:tcPr>
            <w:tcW w:w="1623" w:type="dxa"/>
            <w:vAlign w:val="center"/>
          </w:tcPr>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1.全面开展节水型社</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会建设，促进再生水利用。</w:t>
            </w:r>
          </w:p>
          <w:p>
            <w:pPr>
              <w:snapToGrid w:val="0"/>
              <w:rPr>
                <w:rFonts w:ascii="Times New Roman" w:hAnsi="Times New Roman" w:cs="Times New Roman"/>
                <w:kern w:val="0"/>
                <w:sz w:val="16"/>
                <w:szCs w:val="16"/>
              </w:rPr>
            </w:pPr>
            <w:r>
              <w:rPr>
                <w:rFonts w:ascii="Times New Roman" w:hAnsi="Times New Roman" w:eastAsia="宋体"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5"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2</w:t>
            </w:r>
          </w:p>
        </w:tc>
        <w:tc>
          <w:tcPr>
            <w:tcW w:w="131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ZH37021210002</w:t>
            </w:r>
          </w:p>
        </w:tc>
        <w:tc>
          <w:tcPr>
            <w:tcW w:w="69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沙子口街道</w:t>
            </w:r>
          </w:p>
        </w:tc>
        <w:tc>
          <w:tcPr>
            <w:tcW w:w="428"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28"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崂山区</w:t>
            </w:r>
          </w:p>
        </w:tc>
        <w:tc>
          <w:tcPr>
            <w:tcW w:w="549"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优先保护单元</w:t>
            </w:r>
          </w:p>
        </w:tc>
        <w:tc>
          <w:tcPr>
            <w:tcW w:w="1134"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崂山风景名胜区、国家级公益林、生态评估区域一般生态空间、水环境城镇生活源重点管控区、登瀛水库，大石村水库、大河东水库、流清河水库、大气环境优先保护区、大气环境受体敏感区</w:t>
            </w:r>
          </w:p>
        </w:tc>
        <w:tc>
          <w:tcPr>
            <w:tcW w:w="1984"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1.引导工业企业入驻工业园区。新建有污染物排放的工业项目，除在安全生产等方面有特殊要求的以外，应当进入工业园区或者工业集聚区。</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2.城镇建成区新建排放污染物的项目，需配套污水处理设施或接入污水管网。</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w:t>
            </w:r>
            <w:bookmarkStart w:id="35" w:name="_Hlk72927424"/>
            <w:r>
              <w:rPr>
                <w:rFonts w:ascii="Times New Roman" w:hAnsi="Times New Roman" w:cs="Times New Roman"/>
                <w:kern w:val="0"/>
                <w:sz w:val="16"/>
                <w:szCs w:val="16"/>
              </w:rPr>
              <w:t>引导工业企业入驻工业园区。新建有污染物排放的工业项目，除在安全生产等方面有特殊要求的以外，应当进入工业园区或者工业集聚区</w:t>
            </w:r>
            <w:bookmarkEnd w:id="35"/>
            <w:r>
              <w:rPr>
                <w:rFonts w:ascii="Times New Roman" w:hAnsi="Times New Roman" w:cs="Times New Roman"/>
                <w:kern w:val="0"/>
                <w:sz w:val="16"/>
                <w:szCs w:val="16"/>
              </w:rPr>
              <w:t>。</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4.严格按照《风景名胜区条例》《自然保护区条例》及饮用水源保护区相关法律法规要求，对风景名胜区、自然保护区及饮用水源保护区等保护地实施管控。</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w:t>
            </w:r>
            <w:r>
              <w:rPr>
                <w:rFonts w:ascii="Times New Roman" w:hAnsi="Times New Roman" w:eastAsia="宋体" w:cs="Times New Roman"/>
                <w:kern w:val="0"/>
                <w:sz w:val="16"/>
                <w:szCs w:val="16"/>
                <w:lang w:val="zh-CN"/>
              </w:rPr>
              <w:t>饮用水水源保护区按照《中华人民共和国水污染防治法》《山东省水污染防治条例》《</w:t>
            </w:r>
            <w:r>
              <w:rPr>
                <w:rFonts w:hint="eastAsia" w:ascii="Times New Roman" w:hAnsi="Times New Roman" w:eastAsia="宋体" w:cs="Times New Roman"/>
                <w:kern w:val="0"/>
                <w:sz w:val="16"/>
                <w:szCs w:val="16"/>
                <w:lang w:val="zh-CN"/>
              </w:rPr>
              <w:t>青岛市饮用水水源保护条例</w:t>
            </w:r>
            <w:r>
              <w:rPr>
                <w:rFonts w:ascii="Times New Roman" w:hAnsi="Times New Roman" w:eastAsia="宋体" w:cs="Times New Roman"/>
                <w:kern w:val="0"/>
                <w:sz w:val="16"/>
                <w:szCs w:val="16"/>
                <w:lang w:val="zh-CN"/>
              </w:rPr>
              <w:t>》及相关法律法规实施保护管理。</w:t>
            </w:r>
          </w:p>
        </w:tc>
        <w:tc>
          <w:tcPr>
            <w:tcW w:w="2694"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1.提升施工扬尘防治水平，城市建筑、交通等各类工地全面落实扬尘控制措施，强化道路扬尘控制，提高道路机扫、冲洗率，禁止焚烧环卫清扫物、建筑垃圾、生活垃圾等废弃物。</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2.完善企业厂区雨水、污水管网建设，实施雨污分流。污水管网覆盖区域内禁止工业废水和生活污水直排。现有直排企业限期整改（安装废水在线监测的企业除外）。</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3.餐饮行业按要求安装油烟高效净化设备并定期清洗和维护，禁止露天烧烤，鼓励餐饮业及居民生活能源使用天然气、液化石油气等洁净能源。</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4.完善垃圾收集外运设施，实施垃圾分类制度，加强医疗废物及其他危险废物的贮存、转运等环节的监管监控。</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5.深化重点行业污染治理，加强机动车排气污染治理，对达到报废标准的车辆强制报废，加大对无牌无证摩托车查处力度。禁止销售或者进口排气污染物超过国家规定排放标准的机动车。</w:t>
            </w:r>
          </w:p>
        </w:tc>
        <w:tc>
          <w:tcPr>
            <w:tcW w:w="226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1.完善各企业危险废物（含医疗废物）的贮存、转移及处置管理制度，并负责对危险废物相应活动的全程监管和环境安全保障。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2.加油站等的地下油罐应当使用双层罐或者采取建造防渗池等其他有效措施，并进行防渗漏监测，防止地下水和土壤污染。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3.生产、使用、储存、运输危险化学品的企业事业单位，应当采取风险防范措施，完善三级防护体系。企业应编制环境应急预案并定期开展演练。</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4.建立健全事故应急体系，落实有效的事故风险防范和应急措施，有效防范污染事故发生。</w:t>
            </w:r>
          </w:p>
        </w:tc>
        <w:tc>
          <w:tcPr>
            <w:tcW w:w="1623" w:type="dxa"/>
            <w:vAlign w:val="center"/>
          </w:tcPr>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eastAsia="宋体"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0" w:hRule="atLeast"/>
          <w:jc w:val="center"/>
        </w:trPr>
        <w:tc>
          <w:tcPr>
            <w:tcW w:w="405"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kern w:val="0"/>
                <w:sz w:val="16"/>
                <w:szCs w:val="16"/>
              </w:rPr>
              <w:t>3</w:t>
            </w:r>
          </w:p>
        </w:tc>
        <w:tc>
          <w:tcPr>
            <w:tcW w:w="131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ZH37021210003</w:t>
            </w:r>
          </w:p>
        </w:tc>
        <w:tc>
          <w:tcPr>
            <w:tcW w:w="695"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北宅街道</w:t>
            </w:r>
          </w:p>
        </w:tc>
        <w:tc>
          <w:tcPr>
            <w:tcW w:w="428"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28"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崂山区</w:t>
            </w:r>
          </w:p>
        </w:tc>
        <w:tc>
          <w:tcPr>
            <w:tcW w:w="549"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优先保护单元</w:t>
            </w:r>
          </w:p>
        </w:tc>
        <w:tc>
          <w:tcPr>
            <w:tcW w:w="1134"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崂山自然保护区、崂山风景名胜区、生态评估区域一般生态空间、崂山水库、三水水库、水源涵养区、大气环境优先保护区、大气环境受体敏感区</w:t>
            </w:r>
          </w:p>
        </w:tc>
        <w:tc>
          <w:tcPr>
            <w:tcW w:w="1984"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1.鼓励积极发展现代农业，推进生态旅游。</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2.引导工业企业入驻工业园区。新建有污染物排放的工业项目，除在安全生产等方面有特殊要求的以外，应当进入工业园区或者工业集聚区。</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3.严格按照《风景名胜区条例》《自然保护区条例》及饮用水源保护区相关法律法规要求，对风景名胜区、自然保护区及饮用水源保护区等保护地实施管控。</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4.城镇建成区污水处理设施不健全、未正常运行或污水管网未覆盖的地区，未配套污水处理设施的产生废水的项目不得建设。</w:t>
            </w:r>
          </w:p>
        </w:tc>
        <w:tc>
          <w:tcPr>
            <w:tcW w:w="2694"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1.加强污水管网建设，按照雨污分流原则实施雨水管道、污水管网改造。</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2.完善垃圾收集外运设施，实施垃圾分类制度，加强医疗废物及其他危险废物的贮存、转运等环节的监管监控。</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3.提升施工扬尘防治水平，城市建筑、交通等各类工地全面落实扬尘控制措施，强化道路扬尘控制，提高道路机扫、冲洗率，禁止焚烧秸秆、环卫清扫物、建筑垃圾、生活垃圾等废弃物。</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4.餐饮行业按要求安装油烟高效净化设备并定期清洗和维护，禁止露天烧烤，鼓励餐饮业及居民生活能源使用天然气、液化石油气等洁净能源。</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深化重点行业污染治理，加强机动车排气污染治理，禁行区内依法禁止三轮汽车、低速载货汽车、拖拉机驶入，对达到报废标准的车辆强制报废，加大对无牌无证摩托车查处力度。禁止销售或者进口排气污染物超过国家规定排放标准的机动车。</w:t>
            </w:r>
          </w:p>
          <w:p>
            <w:pPr>
              <w:snapToGrid w:val="0"/>
              <w:rPr>
                <w:rFonts w:ascii="Times New Roman" w:hAnsi="Times New Roman" w:cs="Times New Roman"/>
                <w:kern w:val="0"/>
                <w:sz w:val="16"/>
                <w:szCs w:val="16"/>
              </w:rPr>
            </w:pPr>
            <w:r>
              <w:rPr>
                <w:rFonts w:ascii="Times New Roman" w:hAnsi="Times New Roman" w:cs="Times New Roman"/>
                <w:kern w:val="0"/>
                <w:sz w:val="16"/>
                <w:szCs w:val="16"/>
              </w:rPr>
              <w:t>6.鼓励新（改、扩）建做环评报告书的工业项目采用达到国内同行业先进水平的技术对主要污染物进行治理。</w:t>
            </w:r>
          </w:p>
        </w:tc>
        <w:tc>
          <w:tcPr>
            <w:tcW w:w="226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1.加油站等的地下油罐应当使用双层罐或者采取建造防渗池等其他有效措施，并进行防渗漏监测，防止地下水和土壤污染。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2.生产、使用、储存、运输危险化学品的企业事业单位，应当采取风险防范措施，完善三级防护体系。企业应编制环境应急预案并定期开展演练。</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3.完善各企业危险废物（含医疗废物）的贮存、转移及处置管理制度，并负责对危险废物相应活动的全程监管和环境安全保障。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4.健全事故应急体系，落实有效的事故风险防范和应急措施，有效防范污染事故发生。</w:t>
            </w:r>
          </w:p>
        </w:tc>
        <w:tc>
          <w:tcPr>
            <w:tcW w:w="1623" w:type="dxa"/>
            <w:vAlign w:val="center"/>
          </w:tcPr>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eastAsia="宋体"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9" w:hRule="atLeast"/>
          <w:jc w:val="center"/>
        </w:trPr>
        <w:tc>
          <w:tcPr>
            <w:tcW w:w="405"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4</w:t>
            </w:r>
          </w:p>
        </w:tc>
        <w:tc>
          <w:tcPr>
            <w:tcW w:w="131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ZH37021220001</w:t>
            </w:r>
          </w:p>
        </w:tc>
        <w:tc>
          <w:tcPr>
            <w:tcW w:w="695"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金家岭街道</w:t>
            </w:r>
          </w:p>
        </w:tc>
        <w:tc>
          <w:tcPr>
            <w:tcW w:w="428"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28"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崂山区</w:t>
            </w:r>
          </w:p>
        </w:tc>
        <w:tc>
          <w:tcPr>
            <w:tcW w:w="549"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1134" w:type="dxa"/>
            <w:vAlign w:val="center"/>
          </w:tcPr>
          <w:p>
            <w:pPr>
              <w:snapToGrid w:val="0"/>
              <w:jc w:val="left"/>
              <w:rPr>
                <w:rFonts w:ascii="Times New Roman" w:hAnsi="Times New Roman" w:cs="Times New Roman"/>
                <w:sz w:val="16"/>
                <w:szCs w:val="16"/>
              </w:rPr>
            </w:pPr>
            <w:r>
              <w:rPr>
                <w:rFonts w:hint="eastAsia" w:ascii="Times New Roman" w:hAnsi="Times New Roman" w:cs="Times New Roman"/>
                <w:sz w:val="16"/>
                <w:szCs w:val="16"/>
              </w:rPr>
              <w:t>崂山风景名胜区石老人景区</w:t>
            </w:r>
            <w:r>
              <w:rPr>
                <w:rFonts w:hint="eastAsia" w:ascii="Times New Roman" w:hAnsi="Times New Roman" w:cs="Times New Roman"/>
                <w:sz w:val="16"/>
                <w:szCs w:val="16"/>
                <w:lang w:eastAsia="zh-CN"/>
              </w:rPr>
              <w:t>、</w:t>
            </w:r>
            <w:r>
              <w:rPr>
                <w:rFonts w:ascii="Times New Roman" w:hAnsi="Times New Roman" w:cs="Times New Roman"/>
                <w:sz w:val="16"/>
                <w:szCs w:val="16"/>
              </w:rPr>
              <w:t>国家级公益林、生态评估区域一般生态空间、水环境城镇生活源重点管控区、大气环境受体敏感区</w:t>
            </w:r>
          </w:p>
        </w:tc>
        <w:tc>
          <w:tcPr>
            <w:tcW w:w="1984"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引导工业企业入驻工业园区。新建有污染物排放的工业项目，除在安全生产等方面有特殊要求的以外，应当进入工业园区或者工业集聚区。</w:t>
            </w:r>
          </w:p>
        </w:tc>
        <w:tc>
          <w:tcPr>
            <w:tcW w:w="2694"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1.医疗机构应严格落实医疗废水、医疗废物消毒措施，规范医疗废物收集、暂存及管理。</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2.餐饮行业按要求安装油烟高效净化设备并定期清洗和维护，禁止露天烧烤，鼓励餐饮业及居民生活能源使用天然气、液化石油气等洁净能源。</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深化重点行业污染治理，加强机动车排气污染治理，禁行区内依法禁止三轮汽车、低速载货汽车、拖拉机驶入，对达到报废标准的车辆强制报废，加大对无牌无证摩托车查处力度。禁止销售或者进口排气污染物超过国家规定排放标准的机动车。</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4.提升施工扬尘防治水平，城市建筑、交通等各类工地全面落实扬尘控制措施，强化道路扬尘控制，提高道路机扫、冲洗率，禁止焚烧环卫清扫物、建筑垃圾、生活垃圾等废弃物。</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5.完善垃圾收集外运设施，实施垃圾分类制度。</w:t>
            </w:r>
          </w:p>
        </w:tc>
        <w:tc>
          <w:tcPr>
            <w:tcW w:w="226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1.医疗机构应严格执行医疗废物的贮存、转移及处置管理制度，并负责对相应活动的全程监管和环境安全保障。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2.加油站等的地下油罐应当使用双层罐或者采取建造防渗池等其他有效措施，并进行防渗漏监测，防止地下水和土壤污染。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3.健全事故应急体系，落实有效的事故风险防范和应急措施，有效防范污染事故发生。</w:t>
            </w:r>
          </w:p>
        </w:tc>
        <w:tc>
          <w:tcPr>
            <w:tcW w:w="1623" w:type="dxa"/>
            <w:vAlign w:val="center"/>
          </w:tcPr>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eastAsia="宋体"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5"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5</w:t>
            </w:r>
          </w:p>
        </w:tc>
        <w:tc>
          <w:tcPr>
            <w:tcW w:w="131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ZH37021220002</w:t>
            </w:r>
          </w:p>
        </w:tc>
        <w:tc>
          <w:tcPr>
            <w:tcW w:w="695"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中韩街道</w:t>
            </w:r>
          </w:p>
        </w:tc>
        <w:tc>
          <w:tcPr>
            <w:tcW w:w="428"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28"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崂山区</w:t>
            </w:r>
          </w:p>
        </w:tc>
        <w:tc>
          <w:tcPr>
            <w:tcW w:w="549"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1134"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崂山风景名胜区、国家级公益林、生态评估区域一般生态空间、水环境城镇生活源重点管控区、大气环境受体敏感区</w:t>
            </w:r>
          </w:p>
        </w:tc>
        <w:tc>
          <w:tcPr>
            <w:tcW w:w="1984"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引导工业企业入驻工业园区。新建有污染物排放的工业项目，除在安全生产等方面有特殊要求的以外，应当进入工业园区或者工业集聚区。</w:t>
            </w:r>
          </w:p>
        </w:tc>
        <w:tc>
          <w:tcPr>
            <w:tcW w:w="2694"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制药企业应按照“清污分流、雨污分流、分类收集、分质处理”原则，设立完善的废水收集、处理系统，含有药物活性成份的污泥，须进行灭活预处理，生物生化制品类企业废水、废气及固体废物的处理处置应考虑生物安全性因素。</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2.电气机械和器材制造等行业加强VOCs治理，做好溶剂型涂料、清洗剂、胶料、油性漆等原辅材料使用及工艺产污环节管理，鼓励使用低（无）VOCs含量原辅材料替代</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3.餐饮行业按要求安装油烟高效净化设备并定期清洗和维护，禁止露天烧烤，鼓励餐饮业及居民生活能源使用天然气、液化石油气等洁净能源。</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深化重点行业污染治理，加强机动车排气污染治理，禁行区内依法禁止三轮汽车、低速载货汽车、拖拉机驶入，对达到报废标准的车辆强制报废，加大对无牌无证摩托车查处力度。禁止销售或者进口排气污染物超过国家规定排放标准的机动车。</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5.提升施工扬尘防治水平，城市建筑、交通等各类工地全面落实扬尘控制措施，强化道路扬尘控制，提高道路机扫、冲洗率，禁止焚烧环卫清扫物、建筑垃圾、生活垃圾等废弃物。</w:t>
            </w:r>
          </w:p>
          <w:p>
            <w:pPr>
              <w:snapToGrid w:val="0"/>
              <w:rPr>
                <w:rFonts w:ascii="Times New Roman" w:hAnsi="Times New Roman" w:cs="Times New Roman"/>
                <w:kern w:val="0"/>
                <w:sz w:val="16"/>
                <w:szCs w:val="16"/>
              </w:rPr>
            </w:pPr>
            <w:r>
              <w:rPr>
                <w:rFonts w:ascii="Times New Roman" w:hAnsi="Times New Roman" w:cs="Times New Roman"/>
                <w:kern w:val="0"/>
                <w:sz w:val="16"/>
                <w:szCs w:val="16"/>
              </w:rPr>
              <w:t>6.进一步加强对建设工程施工、建筑物拆除、交通运输、道路保洁、物料运输与堆存、采石取土、养护绿化等活动的扬尘管理。</w:t>
            </w:r>
          </w:p>
        </w:tc>
        <w:tc>
          <w:tcPr>
            <w:tcW w:w="2265" w:type="dxa"/>
            <w:vAlign w:val="center"/>
          </w:tcPr>
          <w:p>
            <w:pPr>
              <w:snapToGrid w:val="0"/>
              <w:rPr>
                <w:rFonts w:ascii="Times New Roman" w:hAnsi="Times New Roman" w:cs="Times New Roman"/>
                <w:kern w:val="0"/>
                <w:sz w:val="16"/>
                <w:szCs w:val="16"/>
              </w:rPr>
            </w:pPr>
            <w:bookmarkStart w:id="36" w:name="_Hlk72930237"/>
            <w:r>
              <w:rPr>
                <w:rFonts w:ascii="Times New Roman" w:hAnsi="Times New Roman" w:cs="Times New Roman"/>
                <w:kern w:val="0"/>
                <w:sz w:val="16"/>
                <w:szCs w:val="16"/>
              </w:rPr>
              <w:t>1.制药企业车间、罐区、库房等区域因地制宜地设置容积合理的事故池，确保事故废水有效收集和妥善处理，</w:t>
            </w:r>
            <w:bookmarkEnd w:id="36"/>
            <w:bookmarkStart w:id="37" w:name="_Hlk72930267"/>
            <w:r>
              <w:rPr>
                <w:rFonts w:ascii="Times New Roman" w:hAnsi="Times New Roman" w:cs="Times New Roman"/>
                <w:kern w:val="0"/>
                <w:sz w:val="16"/>
                <w:szCs w:val="16"/>
              </w:rPr>
              <w:t>对生物生化制品类企业，废水、废气及固体废物的处理处置应考虑生物安全性因素，</w:t>
            </w:r>
            <w:bookmarkEnd w:id="37"/>
            <w:bookmarkStart w:id="38" w:name="_Hlk72930253"/>
            <w:r>
              <w:rPr>
                <w:rFonts w:ascii="Times New Roman" w:hAnsi="Times New Roman" w:cs="Times New Roman"/>
                <w:kern w:val="0"/>
                <w:sz w:val="16"/>
                <w:szCs w:val="16"/>
              </w:rPr>
              <w:t>企业应编制突发环境事件应急预案，制定有效的环境风险管理制度，合理配置环境风险防控及应对处置能力，建立区域突发环境事件应急联动机制。</w:t>
            </w:r>
            <w:bookmarkEnd w:id="38"/>
          </w:p>
          <w:p>
            <w:pPr>
              <w:snapToGrid w:val="0"/>
              <w:rPr>
                <w:rFonts w:ascii="Times New Roman" w:hAnsi="Times New Roman" w:cs="Times New Roman"/>
                <w:kern w:val="0"/>
                <w:sz w:val="16"/>
                <w:szCs w:val="16"/>
              </w:rPr>
            </w:pPr>
            <w:r>
              <w:rPr>
                <w:rFonts w:ascii="Times New Roman" w:hAnsi="Times New Roman" w:cs="Times New Roman"/>
                <w:kern w:val="0"/>
                <w:sz w:val="16"/>
                <w:szCs w:val="16"/>
              </w:rPr>
              <w:t>2.加油站等的地下油罐应当使用双层罐或者采取建造防渗池等其他有效措施，并进行防渗漏监测，防止地下水和土壤污染。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3.生产、使用、储存、运输危险化学品的企业事业单位，应当采取风险防范措施，完善三级防护体系。企业应编制环境应急预案并定期开展演练。</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4.完善各企业危险废物（含医疗废物）的贮存、转移及处置管理制度，并负责对危险废物相应活动的全程监管和环境安全保障。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5.建立健全事故应急体系，落实有效的事故风险防范和应急措施，有效防范污染事故发生。</w:t>
            </w:r>
          </w:p>
        </w:tc>
        <w:tc>
          <w:tcPr>
            <w:tcW w:w="1623" w:type="dxa"/>
            <w:vAlign w:val="center"/>
          </w:tcPr>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eastAsia="宋体" w:cs="Times New Roman"/>
                <w:kern w:val="0"/>
                <w:sz w:val="16"/>
                <w:szCs w:val="16"/>
              </w:rPr>
              <w:t>2.构建清洁低碳能源体系，推广和实施可再生能源应用。</w:t>
            </w:r>
          </w:p>
        </w:tc>
      </w:tr>
    </w:tbl>
    <w:p>
      <w:pPr>
        <w:widowControl/>
        <w:adjustRightInd w:val="0"/>
        <w:snapToGrid w:val="0"/>
        <w:spacing w:line="360" w:lineRule="auto"/>
        <w:jc w:val="center"/>
        <w:rPr>
          <w:rFonts w:ascii="Times New Roman" w:hAnsi="Times New Roman" w:cs="Times New Roman"/>
          <w:b/>
          <w:kern w:val="44"/>
          <w:sz w:val="16"/>
          <w:szCs w:val="16"/>
        </w:rPr>
      </w:pPr>
    </w:p>
    <w:p>
      <w:pPr>
        <w:widowControl/>
        <w:adjustRightInd w:val="0"/>
        <w:snapToGrid w:val="0"/>
        <w:spacing w:line="360" w:lineRule="auto"/>
        <w:jc w:val="center"/>
        <w:rPr>
          <w:rFonts w:ascii="Times New Roman" w:hAnsi="Times New Roman" w:cs="Times New Roman"/>
          <w:b/>
          <w:kern w:val="44"/>
          <w:sz w:val="16"/>
          <w:szCs w:val="16"/>
        </w:rPr>
        <w:sectPr>
          <w:pgSz w:w="16838" w:h="11906" w:orient="landscape"/>
          <w:pgMar w:top="1797" w:right="1440" w:bottom="1797" w:left="1440" w:header="851" w:footer="992" w:gutter="0"/>
          <w:cols w:space="720" w:num="1"/>
          <w:docGrid w:linePitch="312" w:charSpace="0"/>
        </w:sectPr>
      </w:pPr>
    </w:p>
    <w:p>
      <w:pPr>
        <w:widowControl/>
        <w:adjustRightInd w:val="0"/>
        <w:snapToGrid w:val="0"/>
        <w:spacing w:line="360" w:lineRule="auto"/>
        <w:jc w:val="center"/>
        <w:outlineLvl w:val="1"/>
        <w:rPr>
          <w:rFonts w:ascii="Times New Roman" w:hAnsi="Times New Roman" w:eastAsia="黑体" w:cs="Times New Roman"/>
          <w:b/>
          <w:kern w:val="44"/>
          <w:sz w:val="28"/>
          <w:szCs w:val="28"/>
        </w:rPr>
      </w:pPr>
      <w:bookmarkStart w:id="39" w:name="_Toc67649339"/>
      <w:bookmarkStart w:id="40" w:name="_Toc20713"/>
      <w:bookmarkStart w:id="41" w:name="_Toc137761109"/>
      <w:r>
        <w:rPr>
          <w:rFonts w:ascii="Times New Roman" w:hAnsi="Times New Roman" w:eastAsia="黑体" w:cs="Times New Roman"/>
          <w:b/>
          <w:kern w:val="44"/>
          <w:sz w:val="28"/>
          <w:szCs w:val="28"/>
        </w:rPr>
        <w:t>(五)西海岸新区（黄岛区）环境管控单元生态环境准入清单</w:t>
      </w:r>
      <w:bookmarkEnd w:id="39"/>
      <w:bookmarkEnd w:id="40"/>
      <w:bookmarkEnd w:id="41"/>
    </w:p>
    <w:tbl>
      <w:tblPr>
        <w:tblStyle w:val="13"/>
        <w:tblW w:w="13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
        <w:gridCol w:w="1310"/>
        <w:gridCol w:w="700"/>
        <w:gridCol w:w="432"/>
        <w:gridCol w:w="432"/>
        <w:gridCol w:w="432"/>
        <w:gridCol w:w="563"/>
        <w:gridCol w:w="1252"/>
        <w:gridCol w:w="2008"/>
        <w:gridCol w:w="3402"/>
        <w:gridCol w:w="1985"/>
        <w:gridCol w:w="10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79" w:type="dxa"/>
            <w:vMerge w:val="restart"/>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序号</w:t>
            </w:r>
          </w:p>
        </w:tc>
        <w:tc>
          <w:tcPr>
            <w:tcW w:w="1310" w:type="dxa"/>
            <w:vMerge w:val="restart"/>
            <w:vAlign w:val="center"/>
          </w:tcPr>
          <w:p>
            <w:pPr>
              <w:widowControl/>
              <w:adjustRightInd w:val="0"/>
              <w:snapToGrid w:val="0"/>
              <w:jc w:val="center"/>
              <w:rPr>
                <w:rFonts w:ascii="Times New Roman" w:hAnsi="Times New Roman" w:cs="Times New Roman"/>
                <w:b/>
                <w:kern w:val="0"/>
                <w:sz w:val="16"/>
                <w:szCs w:val="16"/>
              </w:rPr>
            </w:pPr>
            <w:r>
              <w:rPr>
                <w:rFonts w:ascii="Times New Roman" w:hAnsi="Times New Roman" w:cs="Times New Roman"/>
                <w:b/>
                <w:kern w:val="0"/>
                <w:sz w:val="16"/>
                <w:szCs w:val="16"/>
              </w:rPr>
              <w:t>环境管控单元</w:t>
            </w:r>
          </w:p>
          <w:p>
            <w:pPr>
              <w:widowControl/>
              <w:adjustRightInd w:val="0"/>
              <w:snapToGrid w:val="0"/>
              <w:jc w:val="center"/>
              <w:rPr>
                <w:rFonts w:ascii="Times New Roman" w:hAnsi="Times New Roman" w:cs="Times New Roman"/>
                <w:b/>
                <w:kern w:val="0"/>
                <w:sz w:val="16"/>
                <w:szCs w:val="16"/>
              </w:rPr>
            </w:pPr>
            <w:r>
              <w:rPr>
                <w:rFonts w:ascii="Times New Roman" w:hAnsi="Times New Roman" w:cs="Times New Roman"/>
                <w:b/>
                <w:kern w:val="0"/>
                <w:sz w:val="16"/>
                <w:szCs w:val="16"/>
              </w:rPr>
              <w:t>编码</w:t>
            </w:r>
          </w:p>
        </w:tc>
        <w:tc>
          <w:tcPr>
            <w:tcW w:w="700" w:type="dxa"/>
            <w:vMerge w:val="restart"/>
            <w:vAlign w:val="center"/>
          </w:tcPr>
          <w:p>
            <w:pPr>
              <w:snapToGrid w:val="0"/>
              <w:ind w:left="-160" w:leftChars="-50" w:right="-166" w:rightChars="-52"/>
              <w:jc w:val="center"/>
              <w:rPr>
                <w:rFonts w:ascii="Times New Roman" w:hAnsi="Times New Roman" w:cs="Times New Roman"/>
                <w:b/>
                <w:kern w:val="0"/>
                <w:sz w:val="16"/>
                <w:szCs w:val="16"/>
              </w:rPr>
            </w:pPr>
            <w:r>
              <w:rPr>
                <w:rFonts w:ascii="Times New Roman" w:hAnsi="Times New Roman" w:cs="Times New Roman"/>
                <w:b/>
                <w:kern w:val="0"/>
                <w:sz w:val="16"/>
                <w:szCs w:val="16"/>
              </w:rPr>
              <w:t>环境管控单元名称</w:t>
            </w:r>
          </w:p>
        </w:tc>
        <w:tc>
          <w:tcPr>
            <w:tcW w:w="1296" w:type="dxa"/>
            <w:gridSpan w:val="3"/>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行政区划</w:t>
            </w:r>
          </w:p>
        </w:tc>
        <w:tc>
          <w:tcPr>
            <w:tcW w:w="563" w:type="dxa"/>
            <w:vMerge w:val="restart"/>
            <w:vAlign w:val="center"/>
          </w:tcPr>
          <w:p>
            <w:pPr>
              <w:widowControl/>
              <w:adjustRightInd w:val="0"/>
              <w:snapToGrid w:val="0"/>
              <w:jc w:val="center"/>
              <w:rPr>
                <w:rFonts w:ascii="Times New Roman" w:hAnsi="Times New Roman" w:cs="Times New Roman"/>
                <w:b/>
                <w:kern w:val="0"/>
                <w:sz w:val="16"/>
                <w:szCs w:val="16"/>
              </w:rPr>
            </w:pPr>
            <w:r>
              <w:rPr>
                <w:rFonts w:ascii="Times New Roman" w:hAnsi="Times New Roman" w:cs="Times New Roman"/>
                <w:b/>
                <w:kern w:val="0"/>
                <w:sz w:val="16"/>
                <w:szCs w:val="16"/>
              </w:rPr>
              <w:t>管控单元分类</w:t>
            </w:r>
          </w:p>
        </w:tc>
        <w:tc>
          <w:tcPr>
            <w:tcW w:w="1252" w:type="dxa"/>
            <w:vMerge w:val="restart"/>
            <w:vAlign w:val="center"/>
          </w:tcPr>
          <w:p>
            <w:pPr>
              <w:adjustRightInd w:val="0"/>
              <w:snapToGrid w:val="0"/>
              <w:jc w:val="center"/>
              <w:rPr>
                <w:rFonts w:ascii="Times New Roman" w:hAnsi="Times New Roman" w:cs="Times New Roman"/>
                <w:b/>
                <w:kern w:val="0"/>
                <w:sz w:val="16"/>
                <w:szCs w:val="16"/>
              </w:rPr>
            </w:pPr>
            <w:r>
              <w:rPr>
                <w:rFonts w:ascii="Times New Roman" w:hAnsi="Times New Roman" w:cs="Times New Roman"/>
                <w:b/>
                <w:kern w:val="0"/>
                <w:sz w:val="16"/>
                <w:szCs w:val="16"/>
              </w:rPr>
              <w:t>涉及的主要管控细类</w:t>
            </w:r>
          </w:p>
        </w:tc>
        <w:tc>
          <w:tcPr>
            <w:tcW w:w="2008" w:type="dxa"/>
            <w:vMerge w:val="restart"/>
            <w:vAlign w:val="center"/>
          </w:tcPr>
          <w:p>
            <w:pPr>
              <w:adjustRightInd w:val="0"/>
              <w:snapToGrid w:val="0"/>
              <w:jc w:val="center"/>
              <w:rPr>
                <w:rFonts w:ascii="Times New Roman" w:hAnsi="Times New Roman" w:cs="Times New Roman"/>
                <w:b/>
                <w:kern w:val="0"/>
                <w:sz w:val="16"/>
                <w:szCs w:val="16"/>
              </w:rPr>
            </w:pPr>
            <w:r>
              <w:rPr>
                <w:rFonts w:ascii="Times New Roman" w:hAnsi="Times New Roman" w:cs="Times New Roman"/>
                <w:b/>
                <w:kern w:val="0"/>
                <w:sz w:val="16"/>
                <w:szCs w:val="16"/>
              </w:rPr>
              <w:t>空间布局约束</w:t>
            </w:r>
          </w:p>
        </w:tc>
        <w:tc>
          <w:tcPr>
            <w:tcW w:w="3402" w:type="dxa"/>
            <w:vMerge w:val="restart"/>
            <w:vAlign w:val="center"/>
          </w:tcPr>
          <w:p>
            <w:pPr>
              <w:adjustRightInd w:val="0"/>
              <w:snapToGrid w:val="0"/>
              <w:jc w:val="center"/>
              <w:rPr>
                <w:rFonts w:ascii="Times New Roman" w:hAnsi="Times New Roman" w:cs="Times New Roman"/>
                <w:b/>
                <w:kern w:val="0"/>
                <w:sz w:val="16"/>
                <w:szCs w:val="16"/>
              </w:rPr>
            </w:pPr>
            <w:r>
              <w:rPr>
                <w:rFonts w:ascii="Times New Roman" w:hAnsi="Times New Roman" w:cs="Times New Roman"/>
                <w:b/>
                <w:kern w:val="0"/>
                <w:sz w:val="16"/>
                <w:szCs w:val="16"/>
              </w:rPr>
              <w:t>污染物排放管控</w:t>
            </w:r>
          </w:p>
        </w:tc>
        <w:tc>
          <w:tcPr>
            <w:tcW w:w="1985" w:type="dxa"/>
            <w:vMerge w:val="restart"/>
            <w:vAlign w:val="center"/>
          </w:tcPr>
          <w:p>
            <w:pPr>
              <w:adjustRightInd w:val="0"/>
              <w:snapToGrid w:val="0"/>
              <w:jc w:val="center"/>
              <w:rPr>
                <w:rFonts w:ascii="Times New Roman" w:hAnsi="Times New Roman" w:cs="Times New Roman"/>
                <w:b/>
                <w:kern w:val="0"/>
                <w:sz w:val="16"/>
                <w:szCs w:val="16"/>
              </w:rPr>
            </w:pPr>
            <w:r>
              <w:rPr>
                <w:rFonts w:ascii="Times New Roman" w:hAnsi="Times New Roman" w:cs="Times New Roman"/>
                <w:b/>
                <w:kern w:val="0"/>
                <w:sz w:val="16"/>
                <w:szCs w:val="16"/>
              </w:rPr>
              <w:t>环境风险防控</w:t>
            </w:r>
          </w:p>
        </w:tc>
        <w:tc>
          <w:tcPr>
            <w:tcW w:w="1053" w:type="dxa"/>
            <w:vMerge w:val="restart"/>
            <w:vAlign w:val="center"/>
          </w:tcPr>
          <w:p>
            <w:pPr>
              <w:adjustRightInd w:val="0"/>
              <w:snapToGrid w:val="0"/>
              <w:jc w:val="center"/>
              <w:rPr>
                <w:rFonts w:ascii="Times New Roman" w:hAnsi="Times New Roman" w:cs="Times New Roman"/>
                <w:b/>
                <w:kern w:val="0"/>
                <w:sz w:val="16"/>
                <w:szCs w:val="16"/>
              </w:rPr>
            </w:pPr>
            <w:r>
              <w:rPr>
                <w:rFonts w:ascii="Times New Roman" w:hAnsi="Times New Roman" w:cs="Times New Roman"/>
                <w:b/>
                <w:kern w:val="0"/>
                <w:sz w:val="16"/>
                <w:szCs w:val="16"/>
              </w:rPr>
              <w:t>资源开发效率要求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79" w:type="dxa"/>
            <w:vMerge w:val="continue"/>
            <w:vAlign w:val="center"/>
          </w:tcPr>
          <w:p>
            <w:pPr>
              <w:widowControl/>
              <w:adjustRightInd w:val="0"/>
              <w:snapToGrid w:val="0"/>
              <w:jc w:val="center"/>
              <w:rPr>
                <w:rFonts w:ascii="Times New Roman" w:hAnsi="Times New Roman" w:cs="Times New Roman"/>
                <w:b/>
                <w:kern w:val="44"/>
                <w:sz w:val="16"/>
                <w:szCs w:val="16"/>
              </w:rPr>
            </w:pPr>
          </w:p>
        </w:tc>
        <w:tc>
          <w:tcPr>
            <w:tcW w:w="1310" w:type="dxa"/>
            <w:vMerge w:val="continue"/>
            <w:vAlign w:val="center"/>
          </w:tcPr>
          <w:p>
            <w:pPr>
              <w:widowControl/>
              <w:adjustRightInd w:val="0"/>
              <w:snapToGrid w:val="0"/>
              <w:jc w:val="center"/>
              <w:rPr>
                <w:rFonts w:ascii="Times New Roman" w:hAnsi="Times New Roman" w:cs="Times New Roman"/>
                <w:b/>
                <w:kern w:val="0"/>
                <w:sz w:val="16"/>
                <w:szCs w:val="16"/>
              </w:rPr>
            </w:pPr>
          </w:p>
        </w:tc>
        <w:tc>
          <w:tcPr>
            <w:tcW w:w="700" w:type="dxa"/>
            <w:vMerge w:val="continue"/>
            <w:vAlign w:val="center"/>
          </w:tcPr>
          <w:p>
            <w:pPr>
              <w:adjustRightInd w:val="0"/>
              <w:snapToGrid w:val="0"/>
              <w:jc w:val="center"/>
              <w:rPr>
                <w:rFonts w:ascii="Times New Roman" w:hAnsi="Times New Roman" w:cs="Times New Roman"/>
                <w:b/>
                <w:kern w:val="0"/>
                <w:sz w:val="16"/>
                <w:szCs w:val="16"/>
              </w:rPr>
            </w:pPr>
          </w:p>
        </w:tc>
        <w:tc>
          <w:tcPr>
            <w:tcW w:w="432" w:type="dxa"/>
            <w:vAlign w:val="center"/>
          </w:tcPr>
          <w:p>
            <w:pPr>
              <w:widowControl/>
              <w:adjustRightInd w:val="0"/>
              <w:snapToGrid w:val="0"/>
              <w:jc w:val="center"/>
              <w:rPr>
                <w:rFonts w:ascii="Times New Roman" w:hAnsi="Times New Roman" w:cs="Times New Roman"/>
                <w:b/>
                <w:kern w:val="0"/>
                <w:sz w:val="16"/>
                <w:szCs w:val="16"/>
              </w:rPr>
            </w:pPr>
            <w:r>
              <w:rPr>
                <w:rFonts w:ascii="Times New Roman" w:hAnsi="Times New Roman" w:cs="Times New Roman"/>
                <w:b/>
                <w:kern w:val="0"/>
                <w:sz w:val="16"/>
                <w:szCs w:val="16"/>
              </w:rPr>
              <w:t>省</w:t>
            </w:r>
          </w:p>
        </w:tc>
        <w:tc>
          <w:tcPr>
            <w:tcW w:w="432" w:type="dxa"/>
            <w:vAlign w:val="center"/>
          </w:tcPr>
          <w:p>
            <w:pPr>
              <w:adjustRightInd w:val="0"/>
              <w:snapToGrid w:val="0"/>
              <w:jc w:val="center"/>
              <w:rPr>
                <w:rFonts w:ascii="Times New Roman" w:hAnsi="Times New Roman" w:cs="Times New Roman"/>
                <w:b/>
                <w:kern w:val="0"/>
                <w:sz w:val="16"/>
                <w:szCs w:val="16"/>
              </w:rPr>
            </w:pPr>
            <w:r>
              <w:rPr>
                <w:rFonts w:ascii="Times New Roman" w:hAnsi="Times New Roman" w:cs="Times New Roman"/>
                <w:b/>
                <w:kern w:val="0"/>
                <w:sz w:val="16"/>
                <w:szCs w:val="16"/>
              </w:rPr>
              <w:t>市</w:t>
            </w:r>
          </w:p>
        </w:tc>
        <w:tc>
          <w:tcPr>
            <w:tcW w:w="432" w:type="dxa"/>
            <w:vAlign w:val="center"/>
          </w:tcPr>
          <w:p>
            <w:pPr>
              <w:adjustRightInd w:val="0"/>
              <w:snapToGrid w:val="0"/>
              <w:jc w:val="center"/>
              <w:rPr>
                <w:rFonts w:ascii="Times New Roman" w:hAnsi="Times New Roman" w:cs="Times New Roman"/>
                <w:b/>
                <w:kern w:val="0"/>
                <w:sz w:val="16"/>
                <w:szCs w:val="16"/>
              </w:rPr>
            </w:pPr>
            <w:r>
              <w:rPr>
                <w:rFonts w:ascii="Times New Roman" w:hAnsi="Times New Roman" w:cs="Times New Roman"/>
                <w:b/>
                <w:kern w:val="0"/>
                <w:sz w:val="16"/>
                <w:szCs w:val="16"/>
              </w:rPr>
              <w:t>县</w:t>
            </w:r>
          </w:p>
        </w:tc>
        <w:tc>
          <w:tcPr>
            <w:tcW w:w="563" w:type="dxa"/>
            <w:vMerge w:val="continue"/>
            <w:vAlign w:val="center"/>
          </w:tcPr>
          <w:p>
            <w:pPr>
              <w:widowControl/>
              <w:adjustRightInd w:val="0"/>
              <w:snapToGrid w:val="0"/>
              <w:jc w:val="center"/>
              <w:rPr>
                <w:rFonts w:ascii="Times New Roman" w:hAnsi="Times New Roman" w:cs="Times New Roman"/>
                <w:b/>
                <w:kern w:val="44"/>
                <w:sz w:val="16"/>
                <w:szCs w:val="16"/>
              </w:rPr>
            </w:pPr>
          </w:p>
        </w:tc>
        <w:tc>
          <w:tcPr>
            <w:tcW w:w="1252" w:type="dxa"/>
            <w:vMerge w:val="continue"/>
            <w:vAlign w:val="center"/>
          </w:tcPr>
          <w:p>
            <w:pPr>
              <w:widowControl/>
              <w:adjustRightInd w:val="0"/>
              <w:snapToGrid w:val="0"/>
              <w:jc w:val="center"/>
              <w:rPr>
                <w:rFonts w:ascii="Times New Roman" w:hAnsi="Times New Roman" w:cs="Times New Roman"/>
                <w:b/>
                <w:kern w:val="44"/>
                <w:sz w:val="16"/>
                <w:szCs w:val="16"/>
              </w:rPr>
            </w:pPr>
          </w:p>
        </w:tc>
        <w:tc>
          <w:tcPr>
            <w:tcW w:w="2008" w:type="dxa"/>
            <w:vMerge w:val="continue"/>
            <w:vAlign w:val="center"/>
          </w:tcPr>
          <w:p>
            <w:pPr>
              <w:widowControl/>
              <w:adjustRightInd w:val="0"/>
              <w:snapToGrid w:val="0"/>
              <w:jc w:val="center"/>
              <w:rPr>
                <w:rFonts w:ascii="Times New Roman" w:hAnsi="Times New Roman" w:cs="Times New Roman"/>
                <w:b/>
                <w:kern w:val="44"/>
                <w:sz w:val="16"/>
                <w:szCs w:val="16"/>
              </w:rPr>
            </w:pPr>
          </w:p>
        </w:tc>
        <w:tc>
          <w:tcPr>
            <w:tcW w:w="3402" w:type="dxa"/>
            <w:vMerge w:val="continue"/>
            <w:vAlign w:val="center"/>
          </w:tcPr>
          <w:p>
            <w:pPr>
              <w:widowControl/>
              <w:adjustRightInd w:val="0"/>
              <w:snapToGrid w:val="0"/>
              <w:jc w:val="center"/>
              <w:rPr>
                <w:rFonts w:ascii="Times New Roman" w:hAnsi="Times New Roman" w:cs="Times New Roman"/>
                <w:b/>
                <w:kern w:val="44"/>
                <w:sz w:val="16"/>
                <w:szCs w:val="16"/>
              </w:rPr>
            </w:pPr>
          </w:p>
        </w:tc>
        <w:tc>
          <w:tcPr>
            <w:tcW w:w="1985" w:type="dxa"/>
            <w:vMerge w:val="continue"/>
            <w:vAlign w:val="center"/>
          </w:tcPr>
          <w:p>
            <w:pPr>
              <w:widowControl/>
              <w:adjustRightInd w:val="0"/>
              <w:snapToGrid w:val="0"/>
              <w:jc w:val="center"/>
              <w:rPr>
                <w:rFonts w:ascii="Times New Roman" w:hAnsi="Times New Roman" w:cs="Times New Roman"/>
                <w:b/>
                <w:kern w:val="44"/>
                <w:sz w:val="16"/>
                <w:szCs w:val="16"/>
              </w:rPr>
            </w:pPr>
          </w:p>
        </w:tc>
        <w:tc>
          <w:tcPr>
            <w:tcW w:w="1053" w:type="dxa"/>
            <w:vMerge w:val="continue"/>
            <w:vAlign w:val="center"/>
          </w:tcPr>
          <w:p>
            <w:pPr>
              <w:widowControl/>
              <w:adjustRightInd w:val="0"/>
              <w:snapToGrid w:val="0"/>
              <w:jc w:val="center"/>
              <w:rPr>
                <w:rFonts w:ascii="Times New Roman" w:hAnsi="Times New Roman" w:cs="Times New Roman"/>
                <w:b/>
                <w:kern w:val="44"/>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w:t>
            </w:r>
          </w:p>
        </w:tc>
        <w:tc>
          <w:tcPr>
            <w:tcW w:w="1310" w:type="dxa"/>
            <w:vAlign w:val="center"/>
          </w:tcPr>
          <w:p>
            <w:pPr>
              <w:widowControl/>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ZH37021110001</w:t>
            </w:r>
          </w:p>
        </w:tc>
        <w:tc>
          <w:tcPr>
            <w:tcW w:w="70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灵珠山街道</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黄岛区</w:t>
            </w:r>
          </w:p>
        </w:tc>
        <w:tc>
          <w:tcPr>
            <w:tcW w:w="56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优先保护单元</w:t>
            </w:r>
          </w:p>
        </w:tc>
        <w:tc>
          <w:tcPr>
            <w:tcW w:w="125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小珠山水库、珠山国家森林公园小珠山森林公园、国家级公益林、生态评价一般生态空间、水环境城镇生活源重点管控区、大气环境受体敏感区、大气环境优先保护区</w:t>
            </w:r>
          </w:p>
        </w:tc>
        <w:tc>
          <w:tcPr>
            <w:tcW w:w="200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1.严格按照森林公园、饮用水源保护区相关法律法规要求，对小珠山国家级森林公园和饮用水源保护区等保护地实施管控。</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2.抓住当地自然资源的先天优势，以保护生态本底为前提，大力发展生态旅游产业。</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3.严格执行《青岛市畜禽养殖污染防治规划》相关要求，调整优化养殖业布局，鼓励转型升级，发展循环养殖。</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w:t>
            </w:r>
            <w:r>
              <w:rPr>
                <w:rFonts w:ascii="Times New Roman" w:hAnsi="Times New Roman" w:eastAsia="宋体" w:cs="Times New Roman"/>
                <w:kern w:val="0"/>
                <w:sz w:val="16"/>
                <w:szCs w:val="16"/>
                <w:lang w:val="zh-CN"/>
              </w:rPr>
              <w:t>饮用水水源保护区按照《中华人民共和国水污染防治法》《山东省水污染防治条例》《</w:t>
            </w:r>
            <w:r>
              <w:rPr>
                <w:rFonts w:hint="eastAsia" w:ascii="Times New Roman" w:hAnsi="Times New Roman" w:eastAsia="宋体" w:cs="Times New Roman"/>
                <w:kern w:val="0"/>
                <w:sz w:val="16"/>
                <w:szCs w:val="16"/>
                <w:lang w:val="zh-CN"/>
              </w:rPr>
              <w:t>青岛市饮用水水源保护条例</w:t>
            </w:r>
            <w:r>
              <w:rPr>
                <w:rFonts w:ascii="Times New Roman" w:hAnsi="Times New Roman" w:eastAsia="宋体" w:cs="Times New Roman"/>
                <w:kern w:val="0"/>
                <w:sz w:val="16"/>
                <w:szCs w:val="16"/>
                <w:lang w:val="zh-CN"/>
              </w:rPr>
              <w:t>》及相关法律法规实施保护管理。</w:t>
            </w:r>
          </w:p>
        </w:tc>
        <w:tc>
          <w:tcPr>
            <w:tcW w:w="340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1.完善污水管网建设，污水管网覆盖区域内禁止工业废水和生活污水直排。</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2.合理使用化肥农药，减少农业面源污染，在市政污水管网未覆盖地区积极建设分散式污水处理设施。</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3.禁止焚烧秸秆、工业废弃物、环卫清扫物、建筑垃圾、生活垃圾等废弃物。</w:t>
            </w:r>
          </w:p>
        </w:tc>
        <w:tc>
          <w:tcPr>
            <w:tcW w:w="198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1.按照《中华人民共和国水污染防治法》《森林公园管理办法》加强饮用水源和森林公园保护区风险预防和预警应急工作。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2.健全事故应急体系，落实有效的事故风险防范和应急措施，有效防范污染事故发生。</w:t>
            </w:r>
          </w:p>
        </w:tc>
        <w:tc>
          <w:tcPr>
            <w:tcW w:w="105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2</w:t>
            </w:r>
          </w:p>
        </w:tc>
        <w:tc>
          <w:tcPr>
            <w:tcW w:w="131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ZH37021110002</w:t>
            </w:r>
          </w:p>
        </w:tc>
        <w:tc>
          <w:tcPr>
            <w:tcW w:w="70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铁山街道（1）</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黄岛区</w:t>
            </w:r>
          </w:p>
        </w:tc>
        <w:tc>
          <w:tcPr>
            <w:tcW w:w="56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优先保护单元</w:t>
            </w:r>
          </w:p>
        </w:tc>
        <w:tc>
          <w:tcPr>
            <w:tcW w:w="125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生态评估区域一般生态空间、铁山水库、大气环境一般管控区、大气环境受体敏感区</w:t>
            </w:r>
          </w:p>
        </w:tc>
        <w:tc>
          <w:tcPr>
            <w:tcW w:w="200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w:t>
            </w:r>
            <w:r>
              <w:rPr>
                <w:rFonts w:ascii="Times New Roman" w:hAnsi="Times New Roman" w:eastAsia="宋体" w:cs="Times New Roman"/>
                <w:kern w:val="0"/>
                <w:sz w:val="16"/>
                <w:szCs w:val="16"/>
                <w:lang w:val="zh-CN"/>
              </w:rPr>
              <w:t>饮用水水源保护区按照《中华人民共和国水污染防治法》《山东省水污染防治条例》《</w:t>
            </w:r>
            <w:r>
              <w:rPr>
                <w:rFonts w:hint="eastAsia" w:ascii="Times New Roman" w:hAnsi="Times New Roman" w:eastAsia="宋体" w:cs="Times New Roman"/>
                <w:kern w:val="0"/>
                <w:sz w:val="16"/>
                <w:szCs w:val="16"/>
                <w:lang w:val="zh-CN"/>
              </w:rPr>
              <w:t>青岛市饮用水水源保护条例</w:t>
            </w:r>
            <w:r>
              <w:rPr>
                <w:rFonts w:ascii="Times New Roman" w:hAnsi="Times New Roman" w:eastAsia="宋体" w:cs="Times New Roman"/>
                <w:kern w:val="0"/>
                <w:sz w:val="16"/>
                <w:szCs w:val="16"/>
                <w:lang w:val="zh-CN"/>
              </w:rPr>
              <w:t>》及相关法律法规实施保护管理。</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2.引导工业企业入驻工业园区。新建有污染物排放的工业项目，除在安全生产等方面有特殊要求的以外，应当进入工业园区或者工业集聚区。</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3.严格执行《青岛市畜禽养殖污染防治规划》相关要求，调整优化养殖业布局，鼓励转型升级，发展循环养殖。</w:t>
            </w:r>
          </w:p>
        </w:tc>
        <w:tc>
          <w:tcPr>
            <w:tcW w:w="340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1.加强挥发性有机物排放管控，涉及表面涂装工艺的企业宜使用低VOCs涂料替代溶剂型涂料，涂料、稀释剂、清洗剂等原辅材料应密闭储存，调配、使用、回收等过程应采用密闭设备或在密闭空间内操作。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橡胶企业密炼、硫化工序产生的废气，宜在过滤除尘、化学洗涤预处理后，采用浓缩结合燃烧法等工艺进行处理，治污工艺宜采用喷淋降温+化学洗涤等预处理工艺，结合催化燃烧法、低温等离子、生物法等工艺进行处理。</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3.涉及下料、抛丸、打磨、喷砂、清理滚筒等机械加工工艺的企业需设置废气有效收集治理设施。</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4.合理使用化肥农药，减少农业面源污染，在市政污水管网未覆盖地区积极建设分散式污水处理设施。</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5.禁止焚烧秸秆、工业废弃物、环卫清扫物、建筑垃圾、生活垃圾等废弃物。</w:t>
            </w:r>
          </w:p>
        </w:tc>
        <w:tc>
          <w:tcPr>
            <w:tcW w:w="198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1.按照《中华人民共和国水污染防治法》等，加强饮用水源保护区风险预防和预警应急工作。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2.产生、利用或处置固体废物（含危险废物、医疗废物）的企业，在贮存、转移、利用、处置固体废物（含危险废物、医疗废物）过程中，应配套防扬散、防流失、防渗漏及其他防止污染环境的措施。</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3.健全事故应急体系，落实有效的事故风险防范和应急措施，有效防范污染事故发生。</w:t>
            </w:r>
          </w:p>
        </w:tc>
        <w:tc>
          <w:tcPr>
            <w:tcW w:w="105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3</w:t>
            </w:r>
          </w:p>
        </w:tc>
        <w:tc>
          <w:tcPr>
            <w:tcW w:w="131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ZH37021110003</w:t>
            </w:r>
          </w:p>
        </w:tc>
        <w:tc>
          <w:tcPr>
            <w:tcW w:w="70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灵山卫街道（含积米崖区域）</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黄岛区</w:t>
            </w:r>
          </w:p>
        </w:tc>
        <w:tc>
          <w:tcPr>
            <w:tcW w:w="56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优先保护单元</w:t>
            </w:r>
          </w:p>
        </w:tc>
        <w:tc>
          <w:tcPr>
            <w:tcW w:w="1252" w:type="dxa"/>
            <w:vAlign w:val="center"/>
          </w:tcPr>
          <w:p>
            <w:pPr>
              <w:snapToGrid w:val="0"/>
              <w:jc w:val="left"/>
              <w:rPr>
                <w:rFonts w:ascii="Times New Roman" w:hAnsi="Times New Roman" w:cs="Times New Roman"/>
                <w:kern w:val="0"/>
                <w:sz w:val="16"/>
                <w:szCs w:val="16"/>
              </w:rPr>
            </w:pPr>
            <w:r>
              <w:rPr>
                <w:rFonts w:hint="default" w:ascii="Times New Roman" w:hAnsi="Times New Roman" w:cs="Times New Roman" w:eastAsiaTheme="minorEastAsia"/>
                <w:kern w:val="0"/>
                <w:sz w:val="16"/>
                <w:szCs w:val="16"/>
                <w:lang w:val="en-US" w:eastAsia="zh-CN"/>
              </w:rPr>
              <w:t>国家级海洋公园、</w:t>
            </w:r>
            <w:r>
              <w:rPr>
                <w:rFonts w:ascii="Times New Roman" w:hAnsi="Times New Roman" w:cs="Times New Roman"/>
                <w:kern w:val="0"/>
                <w:sz w:val="16"/>
                <w:szCs w:val="16"/>
              </w:rPr>
              <w:t>国家级公益林、小珠山水库、生态评估区域一般生态空间、水环境优先保护单元、大气环境优先保护区、大气环境受体敏感区、大气环境一般管控区</w:t>
            </w:r>
          </w:p>
        </w:tc>
        <w:tc>
          <w:tcPr>
            <w:tcW w:w="200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1.严格按照规划要求合理布局工业企业，推动现有产业升级改造。</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2.引导工业企业入驻工业园区。新建有污染物排放的工业项目，除在安全生产等方面有特殊要求的以外，应当进入工业园区或者工业集聚区。</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3.优先发展影视产业和生态旅游业。</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w:t>
            </w:r>
            <w:r>
              <w:rPr>
                <w:rFonts w:ascii="Times New Roman" w:hAnsi="Times New Roman" w:eastAsia="宋体" w:cs="Times New Roman"/>
                <w:kern w:val="0"/>
                <w:sz w:val="16"/>
                <w:szCs w:val="16"/>
                <w:lang w:val="zh-CN"/>
              </w:rPr>
              <w:t>饮用水水源保护区按照《中华人民共和国水污染防治法》《山东省水污染防治条例》《</w:t>
            </w:r>
            <w:r>
              <w:rPr>
                <w:rFonts w:hint="eastAsia" w:ascii="Times New Roman" w:hAnsi="Times New Roman" w:eastAsia="宋体" w:cs="Times New Roman"/>
                <w:kern w:val="0"/>
                <w:sz w:val="16"/>
                <w:szCs w:val="16"/>
                <w:lang w:val="zh-CN"/>
              </w:rPr>
              <w:t>青岛市饮用水水源保护条例</w:t>
            </w:r>
            <w:r>
              <w:rPr>
                <w:rFonts w:ascii="Times New Roman" w:hAnsi="Times New Roman" w:eastAsia="宋体" w:cs="Times New Roman"/>
                <w:kern w:val="0"/>
                <w:sz w:val="16"/>
                <w:szCs w:val="16"/>
                <w:lang w:val="zh-CN"/>
              </w:rPr>
              <w:t>》及相关法律法规实施保护管理。</w:t>
            </w:r>
          </w:p>
        </w:tc>
        <w:tc>
          <w:tcPr>
            <w:tcW w:w="340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1.完善垃圾收集外运设施，加强危险废物和医疗废物的贮存、转运等环节的监管监控。</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2.完善污水管网建设，污水管网覆盖区域内禁止工业废水和生活污水直排。</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3.加强工业和生活污染防治，科学使用化肥农药，加强农业面源污染治理，逐步削减农业面源污染物排放量。</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4.涉及下料、抛丸、打磨、喷砂、清理滚筒等机械加工工艺的企业需设置废气有效收集治理设施。</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5.加强挥发性有机物排放管控，涉及表面涂装工艺的企业宜使用低VOCs涂料替代溶剂型涂料，涂料、稀释剂、清洗剂等原辅材料应密闭储存，调配、使用、回收等过程应采用密闭设备或在密闭空间内操作。</w:t>
            </w:r>
          </w:p>
        </w:tc>
        <w:tc>
          <w:tcPr>
            <w:tcW w:w="198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1.按照《中华人民共和国水污染防治法》</w:t>
            </w:r>
            <w:r>
              <w:rPr>
                <w:rFonts w:ascii="Times New Roman" w:hAnsi="Times New Roman" w:cs="Times New Roman"/>
                <w:sz w:val="16"/>
                <w:szCs w:val="16"/>
              </w:rPr>
              <w:t>等</w:t>
            </w:r>
            <w:r>
              <w:rPr>
                <w:rFonts w:ascii="Times New Roman" w:hAnsi="Times New Roman" w:cs="Times New Roman"/>
                <w:kern w:val="0"/>
                <w:sz w:val="16"/>
                <w:szCs w:val="16"/>
              </w:rPr>
              <w:t>，加强饮用水源保护区风险预防和预警应急工作。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2.产生、利用或处置固体废物（含危险废物、医疗废物）的企业，在贮存、转移、利用、处置固体废物（含危险废物、医疗废物）过程中，应配套防扬散、防流失、防渗漏及其他防止污染环境的措施。</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3.健全事故应急体系，落实有效的事故风险防范和应急措施，有效防范污染事故发生。</w:t>
            </w:r>
          </w:p>
        </w:tc>
        <w:tc>
          <w:tcPr>
            <w:tcW w:w="105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4</w:t>
            </w:r>
          </w:p>
        </w:tc>
        <w:tc>
          <w:tcPr>
            <w:tcW w:w="131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ZH37021110004</w:t>
            </w:r>
          </w:p>
        </w:tc>
        <w:tc>
          <w:tcPr>
            <w:tcW w:w="70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滨海街道（2）</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黄岛区</w:t>
            </w:r>
          </w:p>
        </w:tc>
        <w:tc>
          <w:tcPr>
            <w:tcW w:w="56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优先保护单元</w:t>
            </w:r>
          </w:p>
        </w:tc>
        <w:tc>
          <w:tcPr>
            <w:tcW w:w="1252" w:type="dxa"/>
            <w:vAlign w:val="center"/>
          </w:tcPr>
          <w:p>
            <w:pPr>
              <w:snapToGrid w:val="0"/>
              <w:jc w:val="left"/>
              <w:rPr>
                <w:rFonts w:ascii="Times New Roman" w:hAnsi="Times New Roman" w:cs="Times New Roman"/>
                <w:kern w:val="0"/>
                <w:sz w:val="16"/>
                <w:szCs w:val="16"/>
              </w:rPr>
            </w:pPr>
            <w:r>
              <w:rPr>
                <w:rFonts w:hint="default" w:ascii="Times New Roman" w:hAnsi="Times New Roman" w:cs="Times New Roman" w:eastAsiaTheme="minorEastAsia"/>
                <w:kern w:val="0"/>
                <w:sz w:val="16"/>
                <w:szCs w:val="16"/>
                <w:lang w:val="en-US" w:eastAsia="zh-CN"/>
              </w:rPr>
              <w:t>国家级海洋公园、</w:t>
            </w:r>
            <w:r>
              <w:rPr>
                <w:rFonts w:ascii="Times New Roman" w:hAnsi="Times New Roman" w:cs="Times New Roman"/>
                <w:kern w:val="0"/>
                <w:sz w:val="16"/>
                <w:szCs w:val="16"/>
              </w:rPr>
              <w:t>国家级公益林、生态评估区域一般生态空间、识别水源涵养区、布局敏感区、大气环境受体敏感区</w:t>
            </w:r>
          </w:p>
        </w:tc>
        <w:tc>
          <w:tcPr>
            <w:tcW w:w="200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1.严格按照规划要求合理布局工业企业，推动现有产业升级改造。</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2.引导工业企业入驻工业园区。新建有污染物排放的工业项目，除在安全生产等方面有特殊要求的以外，应当进入工业园区或者工业集聚区。</w:t>
            </w:r>
          </w:p>
        </w:tc>
        <w:tc>
          <w:tcPr>
            <w:tcW w:w="340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1.加强挥发性有机物排放管控，涉及表面涂装工艺的企业宜使用低VOCs涂料替代溶剂型涂料，涂料、稀释剂、清洗剂等原辅材料应密闭储存，调配、使用、回收等过程应采用密闭设备或在密闭空间内操作。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2.涉及下料、抛丸、打磨、喷砂、清理滚筒等机械加工工艺的企业需设置废气有效收集治理设施。</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3.食品加工行业加强臭气异味的处理和防治，安装净化装置或者采取其他措施，防止排放恶臭气体。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4.深化重点行业污染治理，加强机动车排气污染治理。</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5.合理使用化肥农药，减少农业面源污染，在市政污水管网未覆盖地区积极建设分散式污水处理设施。</w:t>
            </w:r>
          </w:p>
        </w:tc>
        <w:tc>
          <w:tcPr>
            <w:tcW w:w="198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1.产生、利用或处置危险废物（含危险废物、医疗废物）的企业，在贮存、转移、利用、处置固体废物（含危险废物、医疗废物）过程中，应配套防扬散、防流失、防渗漏及其他防止污染环境的措施。</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2建立健全事故应急体系，落实有效的事故风险防范和应急措施，有效防范污染事故发生。</w:t>
            </w:r>
          </w:p>
        </w:tc>
        <w:tc>
          <w:tcPr>
            <w:tcW w:w="105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5</w:t>
            </w:r>
          </w:p>
        </w:tc>
        <w:tc>
          <w:tcPr>
            <w:tcW w:w="131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ZH37021110005</w:t>
            </w:r>
          </w:p>
        </w:tc>
        <w:tc>
          <w:tcPr>
            <w:tcW w:w="70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藏马镇</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黄岛区</w:t>
            </w:r>
          </w:p>
        </w:tc>
        <w:tc>
          <w:tcPr>
            <w:tcW w:w="56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优先保护单元</w:t>
            </w:r>
          </w:p>
        </w:tc>
        <w:tc>
          <w:tcPr>
            <w:tcW w:w="1252"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陡崖子水库、孙家屯水库、生态评估区域一般生态空间、大气环境一般管控区、大气环境受体敏感区</w:t>
            </w:r>
          </w:p>
        </w:tc>
        <w:tc>
          <w:tcPr>
            <w:tcW w:w="200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w:t>
            </w:r>
            <w:r>
              <w:rPr>
                <w:rFonts w:ascii="Times New Roman" w:hAnsi="Times New Roman" w:eastAsia="宋体" w:cs="Times New Roman"/>
                <w:kern w:val="0"/>
                <w:sz w:val="16"/>
                <w:szCs w:val="16"/>
                <w:lang w:val="zh-CN"/>
              </w:rPr>
              <w:t>饮用水水源保护区按照《中华人民共和国水污染防治法》《山东省水污染防治条例》《</w:t>
            </w:r>
            <w:r>
              <w:rPr>
                <w:rFonts w:hint="eastAsia" w:ascii="Times New Roman" w:hAnsi="Times New Roman" w:eastAsia="宋体" w:cs="Times New Roman"/>
                <w:kern w:val="0"/>
                <w:sz w:val="16"/>
                <w:szCs w:val="16"/>
                <w:lang w:val="zh-CN"/>
              </w:rPr>
              <w:t>青岛市饮用水水源保护条例</w:t>
            </w:r>
            <w:r>
              <w:rPr>
                <w:rFonts w:ascii="Times New Roman" w:hAnsi="Times New Roman" w:eastAsia="宋体" w:cs="Times New Roman"/>
                <w:kern w:val="0"/>
                <w:sz w:val="16"/>
                <w:szCs w:val="16"/>
                <w:lang w:val="zh-CN"/>
              </w:rPr>
              <w:t>》及相关法律法规实施保护管理。</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2.引导工业企业入驻工业园区。新建有污染物排放的工业项目，除在安全生产等方面有特殊要求的以外，应当进入工业园区或者工业集聚区。</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3.推动现有产业升级改造。严格按照规划要求合理布局工业企业。</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4.</w:t>
            </w:r>
            <w:r>
              <w:rPr>
                <w:rFonts w:ascii="Times New Roman" w:hAnsi="Times New Roman" w:eastAsia="宋体" w:cs="Times New Roman"/>
                <w:kern w:val="0"/>
                <w:sz w:val="16"/>
                <w:szCs w:val="16"/>
                <w:lang w:val="zh-CN"/>
              </w:rPr>
              <w:t>严格执行《青岛市畜禽养殖污染防治规划》相关要求，调整优化养殖业布局，鼓励转型升级，发展循环养殖。</w:t>
            </w:r>
          </w:p>
        </w:tc>
        <w:tc>
          <w:tcPr>
            <w:tcW w:w="340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1.完善污水管网建设，污水管网覆盖区域内禁止工业废水和生活污水直排。</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2.在市政污水管网未覆盖地区积极建设分散式污水处理设施。</w:t>
            </w:r>
          </w:p>
        </w:tc>
        <w:tc>
          <w:tcPr>
            <w:tcW w:w="198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1.产生、利用或处置危险废物（含危险废物、医疗废物）的企业，在贮存、转移、利用、处置固体废物（含危险废物、医疗废物）过程中，应配套防扬散、防流失、防渗漏及其他防止污染环境的措施。</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2.健全事故应急体系，落实有效的事故风险防范和应急措施，有效防范污染事故发生。</w:t>
            </w:r>
          </w:p>
        </w:tc>
        <w:tc>
          <w:tcPr>
            <w:tcW w:w="105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6</w:t>
            </w:r>
          </w:p>
        </w:tc>
        <w:tc>
          <w:tcPr>
            <w:tcW w:w="131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ZH37021110006</w:t>
            </w:r>
          </w:p>
        </w:tc>
        <w:tc>
          <w:tcPr>
            <w:tcW w:w="70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张家楼街道</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黄岛区</w:t>
            </w:r>
          </w:p>
        </w:tc>
        <w:tc>
          <w:tcPr>
            <w:tcW w:w="56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优先保护单元</w:t>
            </w:r>
          </w:p>
        </w:tc>
        <w:tc>
          <w:tcPr>
            <w:tcW w:w="1252"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张家楼街道国家级公益林、生态评估区域一般生态空间、水环境优先保护单元、陡崖子水库、孙家屯水库、大气环境一般管控区、大气环境受体敏感区</w:t>
            </w:r>
          </w:p>
        </w:tc>
        <w:tc>
          <w:tcPr>
            <w:tcW w:w="200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1.严格按照公益林保护相关法律法规要求，对辖区国家级公益林等保护地实施管控。</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2.引导工业企业入驻工业园区。新建有污染物排放的工业项目，除在安全生产等方面有特殊要求的以外，应当进入工业园区或者工业集聚区。</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3.推动现有产业升级改造。严格按照规划要求合理布局工业企业。</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4.</w:t>
            </w:r>
            <w:r>
              <w:rPr>
                <w:rFonts w:ascii="Times New Roman" w:hAnsi="Times New Roman" w:eastAsia="宋体" w:cs="Times New Roman"/>
                <w:kern w:val="0"/>
                <w:sz w:val="16"/>
                <w:szCs w:val="16"/>
                <w:lang w:val="zh-CN"/>
              </w:rPr>
              <w:t>严格执行《青岛市畜禽养殖污染防治规划》相关要求，调整优化养殖业布局，鼓励转型升级，发展循环养殖。</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5.</w:t>
            </w:r>
            <w:r>
              <w:rPr>
                <w:rFonts w:ascii="Times New Roman" w:hAnsi="Times New Roman" w:eastAsia="宋体" w:cs="Times New Roman"/>
                <w:kern w:val="0"/>
                <w:sz w:val="16"/>
                <w:szCs w:val="16"/>
                <w:lang w:val="zh-CN"/>
              </w:rPr>
              <w:t>饮用水水源保护区按照《中华人民共和国水污染防治法》《山东省水污染防治条例》《</w:t>
            </w:r>
            <w:r>
              <w:rPr>
                <w:rFonts w:hint="eastAsia" w:ascii="Times New Roman" w:hAnsi="Times New Roman" w:eastAsia="宋体" w:cs="Times New Roman"/>
                <w:kern w:val="0"/>
                <w:sz w:val="16"/>
                <w:szCs w:val="16"/>
                <w:lang w:val="zh-CN"/>
              </w:rPr>
              <w:t>青岛市饮用水水源保护条例</w:t>
            </w:r>
            <w:r>
              <w:rPr>
                <w:rFonts w:ascii="Times New Roman" w:hAnsi="Times New Roman" w:eastAsia="宋体" w:cs="Times New Roman"/>
                <w:kern w:val="0"/>
                <w:sz w:val="16"/>
                <w:szCs w:val="16"/>
                <w:lang w:val="zh-CN"/>
              </w:rPr>
              <w:t>》及相关法律法规实施保护管理。</w:t>
            </w:r>
          </w:p>
        </w:tc>
        <w:tc>
          <w:tcPr>
            <w:tcW w:w="340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1.做好危险废物、一般工业固体废物和生活垃圾的分类收集、转运、综合利用和无害化处理。推行清洁生产，减少固体废物产生量。提升固体废物的资源化综合利用率。</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2.完善污水管网建设，污水管网覆盖区域内禁止工业废水和生活污水直排。</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3.加强工业和生活污染防治，科学使用化肥农药，加强农业面源污染治理，逐步削减农业面源污染物排放量。</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引导橡胶与塑料制品企业进入工业园或集聚区发展，生产过程中原料破碎、过筛、搅拌等工段产生的废气在除尘后需经恶臭污染物治理设施处理后外排。密炼、硫化工序产生的废气，宜在过滤除尘、化学洗涤预处理后，采用浓缩结合燃烧法等工艺进行处理，治污工艺宜采用喷淋降温+化学洗涤等预处理工艺，结合催化燃烧法、低温等离子、生物法等工艺进行处理。</w:t>
            </w:r>
          </w:p>
        </w:tc>
        <w:tc>
          <w:tcPr>
            <w:tcW w:w="198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1.产生、利用或处置危险废物（含危险废物、医疗废物）的企业，在贮存、转移、利用、处置固体废物（含危险废物、医疗废物）过程中，应配套防扬散、防流失、防渗漏及其他防止污染环境的措施。</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2.建立健全事故应急体系，落实有效的事故风险防范和应急措施，有效防范污染事故发生。</w:t>
            </w:r>
          </w:p>
        </w:tc>
        <w:tc>
          <w:tcPr>
            <w:tcW w:w="105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7</w:t>
            </w:r>
          </w:p>
        </w:tc>
        <w:tc>
          <w:tcPr>
            <w:tcW w:w="131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ZH37021110007</w:t>
            </w:r>
          </w:p>
        </w:tc>
        <w:tc>
          <w:tcPr>
            <w:tcW w:w="70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大村镇</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黄岛区</w:t>
            </w:r>
          </w:p>
        </w:tc>
        <w:tc>
          <w:tcPr>
            <w:tcW w:w="56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优先保护单元</w:t>
            </w:r>
          </w:p>
        </w:tc>
        <w:tc>
          <w:tcPr>
            <w:tcW w:w="1252"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大村镇吉利河水库、国家级公益林、生态评估区域一般生态空间、吉利河、大气环境一般管控区、大气环境受体敏感区</w:t>
            </w:r>
          </w:p>
        </w:tc>
        <w:tc>
          <w:tcPr>
            <w:tcW w:w="200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w:t>
            </w:r>
            <w:r>
              <w:rPr>
                <w:rFonts w:ascii="Times New Roman" w:hAnsi="Times New Roman" w:eastAsia="宋体" w:cs="Times New Roman"/>
                <w:kern w:val="0"/>
                <w:sz w:val="16"/>
                <w:szCs w:val="16"/>
                <w:lang w:val="zh-CN"/>
              </w:rPr>
              <w:t>饮用水水源保护区按照《中华人民共和国水污染防治法》《山东省水污染防治条例》《</w:t>
            </w:r>
            <w:r>
              <w:rPr>
                <w:rFonts w:hint="eastAsia" w:ascii="Times New Roman" w:hAnsi="Times New Roman" w:eastAsia="宋体" w:cs="Times New Roman"/>
                <w:kern w:val="0"/>
                <w:sz w:val="16"/>
                <w:szCs w:val="16"/>
                <w:lang w:val="zh-CN"/>
              </w:rPr>
              <w:t>青岛市饮用水水源保护条例</w:t>
            </w:r>
            <w:r>
              <w:rPr>
                <w:rFonts w:ascii="Times New Roman" w:hAnsi="Times New Roman" w:eastAsia="宋体" w:cs="Times New Roman"/>
                <w:kern w:val="0"/>
                <w:sz w:val="16"/>
                <w:szCs w:val="16"/>
                <w:lang w:val="zh-CN"/>
              </w:rPr>
              <w:t>》及相关法律法规实施保护管理。</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2.引导工业企业入驻工业园区。新建有污染物排放的工业项目，除在安全生产等方面有特殊要求的以外，应当进入工业园区或者工业集聚区。</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3.优先发展特色农业和生态旅游业。</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4.推动现有产业升级改造。严格按照规划要求合理布局工业企业。</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5.</w:t>
            </w:r>
            <w:r>
              <w:rPr>
                <w:rFonts w:ascii="Times New Roman" w:hAnsi="Times New Roman" w:eastAsia="宋体" w:cs="Times New Roman"/>
                <w:kern w:val="0"/>
                <w:sz w:val="16"/>
                <w:szCs w:val="16"/>
                <w:lang w:val="zh-CN"/>
              </w:rPr>
              <w:t>严格执行《青岛市畜禽养殖污染防治规划》相关要求，调整优化养殖业布局，鼓励转型升级，发展循环养殖。</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6.严格按照公益林保护相关法律法规要求，对辖区国家级公益林等保护地实施管控。</w:t>
            </w:r>
          </w:p>
        </w:tc>
        <w:tc>
          <w:tcPr>
            <w:tcW w:w="340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1.做好危险废物、一般工业固体废物和生活垃圾的分类收集、转运、综合利用和无害化处理。推行清洁生产，减少固体废物产生量。提升固体废物的资源化综合利用率。</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2.完善污水管网建设，污水管网覆盖区域内禁止工业废水和生活污水直排。</w:t>
            </w:r>
          </w:p>
          <w:p>
            <w:pPr>
              <w:snapToGrid w:val="0"/>
              <w:rPr>
                <w:rFonts w:ascii="Times New Roman" w:hAnsi="Times New Roman" w:cs="Times New Roman"/>
                <w:b/>
                <w:kern w:val="0"/>
                <w:sz w:val="16"/>
                <w:szCs w:val="16"/>
              </w:rPr>
            </w:pPr>
            <w:r>
              <w:rPr>
                <w:rFonts w:ascii="Times New Roman" w:hAnsi="Times New Roman" w:cs="Times New Roman"/>
                <w:kern w:val="0"/>
                <w:sz w:val="16"/>
                <w:szCs w:val="16"/>
              </w:rPr>
              <w:t>3.加强工业和生活污染防治，科学使用化肥农药，加强农业面源污染治理，逐步削减农业面源污染物排放量。</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引导橡胶与塑料制品企业进入工业园或集聚区发展，生产过程中原料破碎、过筛、搅拌等工段产生的废气在除尘后需经恶臭污染物治理设施处理后外排。密炼、硫化工序产生的废气，宜在过滤除尘、化学洗涤预处理后，采用浓缩结合燃烧法等工艺进行处理，治污工艺宜采用喷淋降温+化学洗涤等预处理工艺，结合催化燃烧法、低温等离子、生物法等工艺进行处理。</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5.加强挥发性有机物排放管控，涉及表面涂装工艺的企业宜使用低VOCs涂料替代溶剂型涂料，涂料、稀释剂、清洗剂等原辅材料应密闭储存，调配、使用、回收等过程应采用密闭设备或在密闭空间内操作。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6.涉及下料、机械加工、抛丸、打磨、喷砂、清理滚筒等工艺的企业需设置废气有效收集治理设施。</w:t>
            </w:r>
          </w:p>
        </w:tc>
        <w:tc>
          <w:tcPr>
            <w:tcW w:w="198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1.产生、利用或处置危险废物（含危险废物、医疗废物）的企业，在贮存、转移、利用、处置固体废物（含危险废物、医疗废物）过程中，应配套防扬散、防流失、防渗漏及其他防止污染环境的措施。</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2.健全事故应急体系，落实有效的事故风险防范和应急措施，有效防范污染事故发生。</w:t>
            </w:r>
          </w:p>
        </w:tc>
        <w:tc>
          <w:tcPr>
            <w:tcW w:w="105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8</w:t>
            </w:r>
          </w:p>
        </w:tc>
        <w:tc>
          <w:tcPr>
            <w:tcW w:w="131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ZH37021120001</w:t>
            </w:r>
          </w:p>
        </w:tc>
        <w:tc>
          <w:tcPr>
            <w:tcW w:w="70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王台街道</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黄岛区</w:t>
            </w:r>
          </w:p>
        </w:tc>
        <w:tc>
          <w:tcPr>
            <w:tcW w:w="56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1252"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王台街道小珠山水库、国家级公益林、生态评估区域一般生态空间、大气环境受体敏感区、大气环境一般管控区</w:t>
            </w:r>
          </w:p>
        </w:tc>
        <w:tc>
          <w:tcPr>
            <w:tcW w:w="200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w:t>
            </w:r>
            <w:r>
              <w:rPr>
                <w:rFonts w:ascii="Times New Roman" w:hAnsi="Times New Roman" w:eastAsia="宋体" w:cs="Times New Roman"/>
                <w:kern w:val="0"/>
                <w:sz w:val="16"/>
                <w:szCs w:val="16"/>
                <w:lang w:val="zh-CN"/>
              </w:rPr>
              <w:t>饮用水水源保护区按照《中华人民共和国水污染防治法》《山东省水污染防治条例》《</w:t>
            </w:r>
            <w:r>
              <w:rPr>
                <w:rFonts w:hint="eastAsia" w:ascii="Times New Roman" w:hAnsi="Times New Roman" w:eastAsia="宋体" w:cs="Times New Roman"/>
                <w:kern w:val="0"/>
                <w:sz w:val="16"/>
                <w:szCs w:val="16"/>
                <w:lang w:val="zh-CN"/>
              </w:rPr>
              <w:t>青岛市饮用水水源保护条例</w:t>
            </w:r>
            <w:r>
              <w:rPr>
                <w:rFonts w:ascii="Times New Roman" w:hAnsi="Times New Roman" w:eastAsia="宋体" w:cs="Times New Roman"/>
                <w:kern w:val="0"/>
                <w:sz w:val="16"/>
                <w:szCs w:val="16"/>
                <w:lang w:val="zh-CN"/>
              </w:rPr>
              <w:t>》及相关法律法规实施保护管理。</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2.引导工业企业入驻工业园区。新建有污染物排放的工业项目，除在安全生产等方面有特殊要求的以外，应当进入工业园区或者工业集聚区。</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3.推动现有产业升级改造。严格按照规划要求合理布局工业企业。</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4.</w:t>
            </w:r>
            <w:r>
              <w:rPr>
                <w:rFonts w:ascii="Times New Roman" w:hAnsi="Times New Roman" w:eastAsia="宋体" w:cs="Times New Roman"/>
                <w:kern w:val="0"/>
                <w:sz w:val="16"/>
                <w:szCs w:val="16"/>
                <w:lang w:val="zh-CN"/>
              </w:rPr>
              <w:t>严格执行《青岛市畜禽养殖污染防治规划》相关要求，调整优化养殖业布局，鼓励转型升级，发展循环养殖。</w:t>
            </w:r>
          </w:p>
        </w:tc>
        <w:tc>
          <w:tcPr>
            <w:tcW w:w="340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1.做好危险废物、一般工业固体废物和生活垃圾的分类收集、转运、综合利用和无害化处理。推行清洁生产，减少固体废物产生量。提升固体废物的资源化综合利用率。</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2.完善污水管网建设，污水管网覆盖区域内禁止工业废水和生活污水直排。</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3.加强工业和生活污染防治，科学使用化肥农药，加强农业面源污染治理，逐步削减农业面源污染物排放量。</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4.鼓励表面涂装行业使用低VOCs涂料替代溶剂型涂料，涂料、稀释剂、清洗剂等原辅材料应密闭储存，调配、使用、回收等过程应采用密闭设备或在密闭空间内操作。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涉及下料、机械加工、抛丸、打磨、喷砂、清理滚筒、热处理、化学预处理、电镀等生产工艺的企业应设置废气有效收集治理设施。焊接环节根据作业点位数配备焊接烟尘净化器，或设置专门操作间并设置集气系统对焊接烟尘进行有效收集治理。涂装环节落实表面涂装行业的控制VOCs排放等要求。</w:t>
            </w:r>
          </w:p>
        </w:tc>
        <w:tc>
          <w:tcPr>
            <w:tcW w:w="198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1.产生、利用或处置危险废物（含危险废物、医疗废物）的企业，在贮存、转移、利用、处置固体废物（含危险废物、医疗废物）过程中，应配套防扬散、防流失、防渗漏及其他防止污染环境的措施。</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2.建立健全事故应急体系，落实有效的事故风险防范和应急措施，有效防范污染事故发生。</w:t>
            </w:r>
          </w:p>
        </w:tc>
        <w:tc>
          <w:tcPr>
            <w:tcW w:w="105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9</w:t>
            </w:r>
          </w:p>
        </w:tc>
        <w:tc>
          <w:tcPr>
            <w:tcW w:w="131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ZH37021120002</w:t>
            </w:r>
          </w:p>
        </w:tc>
        <w:tc>
          <w:tcPr>
            <w:tcW w:w="70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红石崖街道</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黄岛区</w:t>
            </w:r>
          </w:p>
        </w:tc>
        <w:tc>
          <w:tcPr>
            <w:tcW w:w="56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1252"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红石崖街道办事处小珠山水库、国家级公益林、生态评价一般生态空间、水环境工业源重点管控区、大气环境受体敏感区、大气环境一般管控区</w:t>
            </w:r>
          </w:p>
        </w:tc>
        <w:tc>
          <w:tcPr>
            <w:tcW w:w="200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w:t>
            </w:r>
            <w:r>
              <w:rPr>
                <w:rFonts w:ascii="Times New Roman" w:hAnsi="Times New Roman" w:eastAsia="宋体" w:cs="Times New Roman"/>
                <w:kern w:val="0"/>
                <w:sz w:val="16"/>
                <w:szCs w:val="16"/>
                <w:lang w:val="zh-CN"/>
              </w:rPr>
              <w:t>饮用水水源保护区按照《中华人民共和国水污染防治法》《山东省水污染防治条例》《</w:t>
            </w:r>
            <w:r>
              <w:rPr>
                <w:rFonts w:hint="eastAsia" w:ascii="Times New Roman" w:hAnsi="Times New Roman" w:eastAsia="宋体" w:cs="Times New Roman"/>
                <w:kern w:val="0"/>
                <w:sz w:val="16"/>
                <w:szCs w:val="16"/>
                <w:lang w:val="zh-CN"/>
              </w:rPr>
              <w:t>青岛市饮用水水源保护条例</w:t>
            </w:r>
            <w:r>
              <w:rPr>
                <w:rFonts w:ascii="Times New Roman" w:hAnsi="Times New Roman" w:eastAsia="宋体" w:cs="Times New Roman"/>
                <w:kern w:val="0"/>
                <w:sz w:val="16"/>
                <w:szCs w:val="16"/>
                <w:lang w:val="zh-CN"/>
              </w:rPr>
              <w:t>》及相关法律法规实施保护管理。</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2.引导工业企业入驻工业园区。新建有污染物排放的工业项目，除在安全生产等方面有特殊要求的以外，应当进入工业园区或者工业集聚区。</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3.推动现有产业升级改造。严格按照规划要求合理布局工业企业。</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4.严格按照公益林保护相关法律法规要求，对辖区国家级公益林等保护地实施管控。</w:t>
            </w:r>
          </w:p>
        </w:tc>
        <w:tc>
          <w:tcPr>
            <w:tcW w:w="340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1.做好危险废物、一般工业固体废物和生活垃圾的分类收集、转运、综合利用和无害化处理。推行清洁生产，减少固体废物产生量。提升固体废物的资源化综合利用率。</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2.完善污水管网建设，污水管网覆盖区域内禁止工业废水和生活污水直排，确保小珠山水库等敏感目标水质稳定达标。</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3.加强工业和生活污染防治，科学使用化肥农药，加强农业面源污染治理，逐步削减农业面源污染物排放量。</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4.深化区域内石化、化工、通用及专用设备制造、电子设备制造等重点行业污染治理。</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橡胶与塑料制品企业生产过程中原料破碎、过筛、搅拌等工段产生的废气在除尘后需经恶臭污染物治理设施处理后外排。密炼、硫化工序产生的废气，宜在过滤除尘、化学洗涤预处理后，采用浓缩结合燃烧法等工艺进行处理，治污工艺宜采用喷淋降温+化学洗涤等预处理工艺，结合催化燃烧法、低温等离子、生物法等工艺进行处理。</w:t>
            </w:r>
          </w:p>
          <w:p>
            <w:pPr>
              <w:snapToGrid w:val="0"/>
              <w:rPr>
                <w:rFonts w:ascii="Times New Roman" w:hAnsi="Times New Roman" w:cs="Times New Roman"/>
                <w:kern w:val="0"/>
                <w:sz w:val="16"/>
                <w:szCs w:val="16"/>
              </w:rPr>
            </w:pPr>
            <w:r>
              <w:rPr>
                <w:rFonts w:ascii="Times New Roman" w:hAnsi="Times New Roman" w:cs="Times New Roman"/>
                <w:kern w:val="0"/>
                <w:sz w:val="16"/>
                <w:szCs w:val="16"/>
              </w:rPr>
              <w:t>6.涉及下料、机械加工、抛丸、打磨、喷砂、清理滚筒等工艺的企业需设置废气有效收集治理设施。</w:t>
            </w:r>
          </w:p>
          <w:p>
            <w:pPr>
              <w:snapToGrid w:val="0"/>
              <w:rPr>
                <w:rFonts w:ascii="Times New Roman" w:hAnsi="Times New Roman" w:cs="Times New Roman"/>
                <w:kern w:val="0"/>
                <w:sz w:val="16"/>
                <w:szCs w:val="16"/>
              </w:rPr>
            </w:pPr>
            <w:r>
              <w:rPr>
                <w:rFonts w:ascii="Times New Roman" w:hAnsi="Times New Roman" w:cs="Times New Roman"/>
                <w:kern w:val="0"/>
                <w:sz w:val="16"/>
                <w:szCs w:val="16"/>
              </w:rPr>
              <w:t>7.鼓励涉及表面涂装工艺的工业企业使用低VOCs涂料替代溶剂型涂料，涂料、稀释剂、清洗剂等原辅材料应密闭储存，调配、使用、回收等过程应采用密闭设备或在密闭空间内操作。</w:t>
            </w:r>
          </w:p>
        </w:tc>
        <w:tc>
          <w:tcPr>
            <w:tcW w:w="198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1.产生、利用或处置危险废物（含危险废物、医疗废物）的企业，在贮存、转移、利用、处置固体废物（含危险废物、医疗废物）过程中，应配套防扬散、防流失、防渗漏及其他防止污染环境的措施。</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2健全事故应急体系，落实有效的事故风险防范和应急措施，有效防范污染事故发生。</w:t>
            </w:r>
          </w:p>
        </w:tc>
        <w:tc>
          <w:tcPr>
            <w:tcW w:w="105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10</w:t>
            </w:r>
          </w:p>
        </w:tc>
        <w:tc>
          <w:tcPr>
            <w:tcW w:w="131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ZH37021130006</w:t>
            </w:r>
          </w:p>
        </w:tc>
        <w:tc>
          <w:tcPr>
            <w:tcW w:w="70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宝山镇</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黄岛区</w:t>
            </w:r>
          </w:p>
        </w:tc>
        <w:tc>
          <w:tcPr>
            <w:tcW w:w="56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一般管控单元</w:t>
            </w:r>
          </w:p>
        </w:tc>
        <w:tc>
          <w:tcPr>
            <w:tcW w:w="1252"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山洲水库、铁山水库、红旗水库、生态评估区域一般生态空间、农业面源重点管控区、大气环境一般管控区、大气环境受体敏感区</w:t>
            </w:r>
          </w:p>
        </w:tc>
        <w:tc>
          <w:tcPr>
            <w:tcW w:w="2008"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1.鼓励积极发展现代农业，推进生态旅游业。</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2.引导工业企业入驻工业园区。新建有污染物排放的工业项目，除在安全生产等方面有特殊要求的以外，应当进入工业园区或者工业集聚区。</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3.</w:t>
            </w:r>
            <w:r>
              <w:rPr>
                <w:rFonts w:ascii="Times New Roman" w:hAnsi="Times New Roman" w:eastAsia="宋体" w:cs="Times New Roman"/>
                <w:kern w:val="0"/>
                <w:sz w:val="16"/>
                <w:szCs w:val="16"/>
                <w:lang w:val="zh-CN"/>
              </w:rPr>
              <w:t>严格执行《青岛市畜禽养殖污染防治规划》相关要求，调整优化养殖业布局，鼓励转型升级，发展循环养殖。</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4.</w:t>
            </w:r>
            <w:r>
              <w:rPr>
                <w:rFonts w:ascii="Times New Roman" w:hAnsi="Times New Roman" w:eastAsia="宋体" w:cs="Times New Roman"/>
                <w:kern w:val="0"/>
                <w:sz w:val="16"/>
                <w:szCs w:val="16"/>
                <w:lang w:val="zh-CN"/>
              </w:rPr>
              <w:t>饮用水水源保护区按照《中华人民共和国水污染防治法》《山东省水污染防治条例》《</w:t>
            </w:r>
            <w:r>
              <w:rPr>
                <w:rFonts w:hint="eastAsia" w:ascii="Times New Roman" w:hAnsi="Times New Roman" w:eastAsia="宋体" w:cs="Times New Roman"/>
                <w:kern w:val="0"/>
                <w:sz w:val="16"/>
                <w:szCs w:val="16"/>
                <w:lang w:val="zh-CN"/>
              </w:rPr>
              <w:t>青岛市饮用水水源保护条例</w:t>
            </w:r>
            <w:r>
              <w:rPr>
                <w:rFonts w:ascii="Times New Roman" w:hAnsi="Times New Roman" w:eastAsia="宋体" w:cs="Times New Roman"/>
                <w:kern w:val="0"/>
                <w:sz w:val="16"/>
                <w:szCs w:val="16"/>
                <w:lang w:val="zh-CN"/>
              </w:rPr>
              <w:t>》及相关法律法规实施保护管理。</w:t>
            </w:r>
          </w:p>
        </w:tc>
        <w:tc>
          <w:tcPr>
            <w:tcW w:w="3402"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1.完善市政配套设施建设，加强污水收集管网体系的管理和维护，完善排水管网建设与改造，推进雨污分流改造。</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2.</w:t>
            </w:r>
            <w:r>
              <w:rPr>
                <w:rFonts w:ascii="Times New Roman" w:hAnsi="Times New Roman" w:cs="Times New Roman"/>
                <w:sz w:val="16"/>
                <w:szCs w:val="16"/>
              </w:rPr>
              <w:t>规模化畜禽养殖场、养殖小区应有序完成畜禽粪便处理利用设施和污水收集处理设施配套建设，防止造成面源污染。</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3.加快农村生活污水综合治理，建设分散式污水处理设施。</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4.推广农作物病虫害绿色防控技术，推行科学种植，合理使用化肥农药，减少农业面源污染。</w:t>
            </w:r>
          </w:p>
        </w:tc>
        <w:tc>
          <w:tcPr>
            <w:tcW w:w="198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1.建立健全事故应急体系，落实有效的事故风险防范和应急措施，有效防范污染事故发生。</w:t>
            </w:r>
          </w:p>
        </w:tc>
        <w:tc>
          <w:tcPr>
            <w:tcW w:w="105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11</w:t>
            </w:r>
          </w:p>
        </w:tc>
        <w:tc>
          <w:tcPr>
            <w:tcW w:w="131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ZH37021120004</w:t>
            </w:r>
          </w:p>
        </w:tc>
        <w:tc>
          <w:tcPr>
            <w:tcW w:w="70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长江路街道</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黄岛区</w:t>
            </w:r>
          </w:p>
        </w:tc>
        <w:tc>
          <w:tcPr>
            <w:tcW w:w="56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1252" w:type="dxa"/>
            <w:vAlign w:val="center"/>
          </w:tcPr>
          <w:p>
            <w:pPr>
              <w:snapToGrid w:val="0"/>
              <w:jc w:val="left"/>
              <w:rPr>
                <w:rFonts w:ascii="Times New Roman" w:hAnsi="Times New Roman" w:cs="Times New Roman"/>
                <w:kern w:val="0"/>
                <w:sz w:val="16"/>
                <w:szCs w:val="16"/>
              </w:rPr>
            </w:pPr>
            <w:r>
              <w:rPr>
                <w:rFonts w:hint="eastAsia" w:ascii="Times New Roman" w:hAnsi="Times New Roman" w:cs="Times New Roman"/>
                <w:kern w:val="0"/>
                <w:sz w:val="16"/>
                <w:szCs w:val="16"/>
              </w:rPr>
              <w:t>国家级海洋公园</w:t>
            </w:r>
            <w:r>
              <w:rPr>
                <w:rFonts w:hint="eastAsia" w:ascii="Times New Roman" w:hAnsi="Times New Roman" w:cs="Times New Roman"/>
                <w:kern w:val="0"/>
                <w:sz w:val="16"/>
                <w:szCs w:val="16"/>
                <w:lang w:eastAsia="zh-CN"/>
              </w:rPr>
              <w:t>、</w:t>
            </w:r>
            <w:r>
              <w:rPr>
                <w:rFonts w:ascii="Times New Roman" w:hAnsi="Times New Roman" w:cs="Times New Roman"/>
                <w:kern w:val="0"/>
                <w:sz w:val="16"/>
                <w:szCs w:val="16"/>
              </w:rPr>
              <w:t>长江路街道办事处生态评估区域、国家级公益林一般生态空间、水环境城镇生活源重点管控区、水环境城镇生活源重点管控区、大气环境优先保护区、大气环境受体敏感区、大气环境一般管控区</w:t>
            </w:r>
          </w:p>
        </w:tc>
        <w:tc>
          <w:tcPr>
            <w:tcW w:w="200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1.严格按照规划要求合理布局工业企业，推动现有产业升级改造。</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2.引导工业企业入园，除在安全生产等有特殊要求的以外，应进入工业园区或集聚区。</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3.积极发展汽车产业和家电制造等主导产业，鼓励现有企业升级改造。</w:t>
            </w:r>
          </w:p>
        </w:tc>
        <w:tc>
          <w:tcPr>
            <w:tcW w:w="340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1.做好危险废物、一般工业固体废物和生活垃圾的分类收集、转运、综合利用和无害化处理。推行清洁生产，减少固体废物产生量。提升固体废物的资源化综合利用率。</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机械制造行业下料、抛丸、打磨、喷砂、清理滚筒、热处理、化学预处理等环节设置废气有效收集治理设施。焊接环节根据作业点位数配备焊接烟尘净化器，或设置专门操作间并设置集气系统对焊接烟尘进行有效收集治理。</w:t>
            </w:r>
          </w:p>
          <w:p>
            <w:pPr>
              <w:snapToGrid w:val="0"/>
              <w:rPr>
                <w:rFonts w:ascii="Times New Roman" w:hAnsi="Times New Roman" w:eastAsia="仿宋" w:cs="Times New Roman"/>
                <w:kern w:val="0"/>
                <w:szCs w:val="21"/>
              </w:rPr>
            </w:pPr>
            <w:r>
              <w:rPr>
                <w:rFonts w:ascii="Times New Roman" w:hAnsi="Times New Roman" w:cs="Times New Roman"/>
                <w:kern w:val="0"/>
                <w:sz w:val="16"/>
                <w:szCs w:val="16"/>
              </w:rPr>
              <w:t>3.表面涂装行业鼓励推进源头替代，引导使用低VOCs含量的涂料替代溶剂型引导使用低VOCs含量的涂料替代溶剂型涂料，从源头减少VOCs产生。鼓励企业采用自动化、智能化喷涂设备替代人工喷涂，减少使用空气喷涂技术，提高废气收集率。遵循“应收尽收、分质收集”的原则，科学设计废气收集系统，将无组织排放转变为有组织排放进行控制。涂料、稀释剂、清洗剂等原辅材料应密闭存储，调配、使用、回收等过程应采用密闭设备或在密闭空间内操作，采用密闭管道或密闭容器等输送。推进建设适宜高效的治污设施和技术，提高VOCs治理效率。</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涉及电镀等表面处理行业污染物排放管控：应按照“清污分流、雨污分流、分类收集、分质处理”原则，设立完善的废水收集、处理和回用系统，确保一类污染物车间或车间（园区）处理设施排放口达标，提高水的循环利用率，减少重金属污染物排放量。对废气进行严格的收集、控制与处理，减少无组织排放。采取分区防渗等措施有效防范地下水和土壤污染。按照国家有关规定，对固体废物进行规范收集、贮存和无害化处置。</w:t>
            </w:r>
          </w:p>
        </w:tc>
        <w:tc>
          <w:tcPr>
            <w:tcW w:w="198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1.产生、利用或处置危险废物（含危险废物、医疗废物）的企业，在贮存、转移、利用、处置固体废物（含危险废物、医疗废物）过程中，应配套防扬散、防流失、防渗漏及其他防止污染环境的措施。</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2.健全事故应急体系，落实有效的事故风险防范和应急措施，有效防范污染事故发生。</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3.涉重企业等地下水污染高风险地区应当采取防渗漏等措施。</w:t>
            </w:r>
          </w:p>
        </w:tc>
        <w:tc>
          <w:tcPr>
            <w:tcW w:w="105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12</w:t>
            </w:r>
          </w:p>
        </w:tc>
        <w:tc>
          <w:tcPr>
            <w:tcW w:w="131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ZH37021120005</w:t>
            </w:r>
          </w:p>
        </w:tc>
        <w:tc>
          <w:tcPr>
            <w:tcW w:w="70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胶南街道</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黄岛区</w:t>
            </w:r>
          </w:p>
        </w:tc>
        <w:tc>
          <w:tcPr>
            <w:tcW w:w="56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1252"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国家级公益林、生态评估区域一般生态空间、水环境工业源重点管控区、大气环境受体敏感区、布局敏感区</w:t>
            </w:r>
          </w:p>
        </w:tc>
        <w:tc>
          <w:tcPr>
            <w:tcW w:w="200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1.严格按照规划要求合理布局工业企业，推动现有产业升级改造。</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2.引导工业企业入园，除在安全生产等有特殊要求的以外，应进入工业园区或集聚区。</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w:t>
            </w:r>
            <w:r>
              <w:rPr>
                <w:rFonts w:ascii="Times New Roman" w:hAnsi="Times New Roman" w:eastAsia="宋体" w:cs="Times New Roman"/>
                <w:kern w:val="0"/>
                <w:sz w:val="16"/>
                <w:szCs w:val="16"/>
                <w:lang w:val="zh-CN"/>
              </w:rPr>
              <w:t>严格执行《青岛市畜禽养殖污染防治规划》相关要求，调整优化养殖业布局，鼓励转型升级，发展循环养殖。</w:t>
            </w:r>
          </w:p>
        </w:tc>
        <w:tc>
          <w:tcPr>
            <w:tcW w:w="340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1.做好危险废物、一般工业固体废物和生活垃圾的分类收集、转运、综合利用和无害化处理。推行清洁生产，减少固体废物产生量。提升固体废物的资源化综合利用率。</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2.鼓励涉及表面涂装工艺的工业企业使用低VOCs涂料替代溶剂型涂料，涂料、稀释剂、清洗剂等原辅材料应密闭储存，调配、使用、回收等过程应采用密闭设备或在密闭空间内操作。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涉及下料、机械加工、抛丸、打磨、喷砂、清理滚筒、热处理、化学预处理、电镀等环节设置废气有效收集治理设施。焊接环节根据作业点位数配备焊接烟尘净化器，或设置专门操作间并设置集气系统对焊接烟尘进行有效收集治理。</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涉及生物医药的企业设立完善的废水收集、处理系统。实验室废水、动物房废水等含有药物活性成份的废水，应单独收集并进行灭菌、灭活预处理。毒性大、难降解及高含盐等废水应单独收集、处理后，再与其他废水一并进入污水处理系统处理。</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制药企业应按照“清污分流、雨污分流、分类收集、分质处理”原则，设立完善的废水收集、处理系统，含有药物活性成份的污泥，须进行灭活预处理，生物生化制品类企业废水、废气及固体废物的处理处置应考虑生物安全性因素。</w:t>
            </w:r>
          </w:p>
        </w:tc>
        <w:tc>
          <w:tcPr>
            <w:tcW w:w="198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1.规范固体废物的处置措施，对工业企业产生的固体废物特别是危险废物应严格按照国家规定综合利用或妥善处置，严防二次污染。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2.建立健全环境风险事故防范措施和应急预案，严防环境安全事故发生。</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合理布局重大环境风险源，提出合理有效的环境风险防范措施。车间、罐区、库房等区域因地制宜地设置容积合理的事故池，确保事故废水有效收集和妥善处理。编制突发环境事件应急预案，制定有效的环境风险管理制度，合理配置环境风险防控及应对处置能力，与当地人民政府和相关部门以及周边企业、园区相衔接，建立区域突发环境事件应急联动机制。</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对生物生化制品类企业，废水、废气及固体废物的处理处置应考虑生物安全性因素。存在生物安全性风险的抗生素制药废水，应进行预处理以破坏抗生素分子结构。通过高效过滤器控制颗粒物排放，减少生物气溶胶可能带来的风险。涉及生物安全性风险的固体废物应按照危险废物进行无害化处置。</w:t>
            </w:r>
          </w:p>
        </w:tc>
        <w:tc>
          <w:tcPr>
            <w:tcW w:w="105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13</w:t>
            </w:r>
          </w:p>
        </w:tc>
        <w:tc>
          <w:tcPr>
            <w:tcW w:w="131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ZH37021120006</w:t>
            </w:r>
          </w:p>
        </w:tc>
        <w:tc>
          <w:tcPr>
            <w:tcW w:w="70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隐珠街道</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黄岛区</w:t>
            </w:r>
          </w:p>
        </w:tc>
        <w:tc>
          <w:tcPr>
            <w:tcW w:w="56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1252" w:type="dxa"/>
            <w:vAlign w:val="center"/>
          </w:tcPr>
          <w:p>
            <w:pPr>
              <w:snapToGrid w:val="0"/>
              <w:jc w:val="left"/>
              <w:rPr>
                <w:rFonts w:ascii="Times New Roman" w:hAnsi="Times New Roman" w:cs="Times New Roman"/>
                <w:kern w:val="0"/>
                <w:sz w:val="16"/>
                <w:szCs w:val="16"/>
              </w:rPr>
            </w:pPr>
            <w:r>
              <w:rPr>
                <w:rFonts w:hint="eastAsia" w:ascii="Times New Roman" w:hAnsi="Times New Roman" w:cs="Times New Roman"/>
                <w:kern w:val="0"/>
                <w:sz w:val="16"/>
                <w:szCs w:val="16"/>
              </w:rPr>
              <w:t>国家级海洋公园</w:t>
            </w:r>
            <w:r>
              <w:rPr>
                <w:rFonts w:hint="eastAsia" w:ascii="Times New Roman" w:hAnsi="Times New Roman" w:cs="Times New Roman"/>
                <w:kern w:val="0"/>
                <w:sz w:val="16"/>
                <w:szCs w:val="16"/>
                <w:lang w:eastAsia="zh-CN"/>
              </w:rPr>
              <w:t>、</w:t>
            </w:r>
            <w:r>
              <w:rPr>
                <w:rFonts w:ascii="Times New Roman" w:hAnsi="Times New Roman" w:cs="Times New Roman"/>
                <w:kern w:val="0"/>
                <w:sz w:val="16"/>
                <w:szCs w:val="16"/>
              </w:rPr>
              <w:t>隐珠街道办事处国家级公益林、生态评估区域一般生态空间、水环境城镇生活源重点管控区、大气环境受体敏感区</w:t>
            </w:r>
          </w:p>
        </w:tc>
        <w:tc>
          <w:tcPr>
            <w:tcW w:w="200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1.严格按照规划要求合理布局工业企业，推动现有产业升级改造。</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2.引导工业企业入园，除在安全生产等有特殊要求的以外，应进入工业园区或集聚区。</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w:t>
            </w:r>
            <w:r>
              <w:rPr>
                <w:rFonts w:ascii="Times New Roman" w:hAnsi="Times New Roman" w:eastAsia="宋体" w:cs="Times New Roman"/>
                <w:kern w:val="0"/>
                <w:sz w:val="16"/>
                <w:szCs w:val="16"/>
                <w:lang w:val="zh-CN"/>
              </w:rPr>
              <w:t>严格执行《青岛市畜禽养殖污染防治规划》相关要求，调整优化养殖业布局，鼓励转型升级，发展循环养殖。</w:t>
            </w:r>
          </w:p>
        </w:tc>
        <w:tc>
          <w:tcPr>
            <w:tcW w:w="340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1.做好危险废物、一般工业固体废物和生活垃圾的分类收集、转运、综合利用和无害化处理。推行清洁生产，减少固体废物产生量。提升固体废物的资源化综合利用率。</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2.鼓励涉及表面涂装工艺的工业企业使用低VOCs涂料替代溶剂型涂料，涂料、稀释剂、清洗剂等原辅材料应密闭储存，调配、使用、回收等过程应采用密闭设备或在密闭空间内操作。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3.涉及下料、机械加工、抛丸、打磨、喷砂、清理滚筒等工艺的企业及涉及电镀工艺的企业需设置废气有效收集治理设施。</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w:t>
            </w:r>
            <w:r>
              <w:rPr>
                <w:rFonts w:ascii="Times New Roman" w:hAnsi="Times New Roman" w:cs="Times New Roman"/>
                <w:sz w:val="16"/>
                <w:szCs w:val="16"/>
                <w:lang w:bidi="ar"/>
              </w:rPr>
              <w:t>电镀等表面处理行业污染物排放管控：应按照“清污分流、雨污分流、分类收集、分质处理”原则，设立完善的废水收集、处理和回用系统，确保一类污染物车间或车间（园区）处理设施排放口达标，提高水的循环利用率，减少重金属污染物排放量。对废气进行严格的收集、控制与处理，减少无组织排放。采取分区防渗等措施有效防范地下水和土壤污染。按照国家有关规定，对固体废物进行规范收集、贮存和无害化处置</w:t>
            </w:r>
            <w:r>
              <w:rPr>
                <w:rFonts w:ascii="Times New Roman" w:hAnsi="Times New Roman" w:cs="Times New Roman"/>
                <w:kern w:val="0"/>
                <w:sz w:val="16"/>
                <w:szCs w:val="16"/>
              </w:rPr>
              <w:t>。</w:t>
            </w:r>
          </w:p>
        </w:tc>
        <w:tc>
          <w:tcPr>
            <w:tcW w:w="198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1.健全事故应急体系，落实有效的事故风险防范和应急措施，有效防范污染事故发生。</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2.产生、利用或处置固体废物（含危险废物、医疗废物）的企业，在贮存、转移、利用、处置固体废物过程中，应配套防扬散、防流失、防渗漏及其他防止污染环境的措施。</w:t>
            </w:r>
          </w:p>
        </w:tc>
        <w:tc>
          <w:tcPr>
            <w:tcW w:w="105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14</w:t>
            </w:r>
          </w:p>
        </w:tc>
        <w:tc>
          <w:tcPr>
            <w:tcW w:w="131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ZH37021120007</w:t>
            </w:r>
          </w:p>
        </w:tc>
        <w:tc>
          <w:tcPr>
            <w:tcW w:w="70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珠海街道</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黄岛区</w:t>
            </w:r>
          </w:p>
        </w:tc>
        <w:tc>
          <w:tcPr>
            <w:tcW w:w="56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1252"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生态评估区域一般生态空间、水环境城镇生活源重点管控区、大气环境受体敏感区</w:t>
            </w:r>
          </w:p>
        </w:tc>
        <w:tc>
          <w:tcPr>
            <w:tcW w:w="200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1.严格按照规划要求合理布局工业企业，推动现有产业升级改造。</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2.引导工业企业入园，除在安全生产等有特殊要求的以外，应进入工业园区或集聚区。</w:t>
            </w:r>
          </w:p>
        </w:tc>
        <w:tc>
          <w:tcPr>
            <w:tcW w:w="340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1.做好危险废物、一般工业固体废物和生活垃圾的分类收集、转运、综合利用和无害化处理。推行清洁生产，减少固体废物产生量。提升固体废物的资源化综合利用率。</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2.鼓励涉及表面涂装工艺的工业企业使用低VOCs涂料替代溶剂型涂料，涂料、稀释剂、清洗剂等原辅材料应密闭储存，调配、使用、回收等过程应采用密闭设备或在密闭空间内操作。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3.涉及下料、机械加工、抛丸、打磨、喷砂、清理滚筒等工艺的企业及涉及电镀工艺的企业需设置废气有效收集治理设施。</w:t>
            </w:r>
          </w:p>
        </w:tc>
        <w:tc>
          <w:tcPr>
            <w:tcW w:w="198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1.健全事故应急体系，落实有效的事故风险防范和应急措施，有效防范污染事故发生。</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2.产生、利用或处置固体废物（含危险废物、医疗废物）的企业，在贮存、转移、利用、处置固体废物过程中，应配套防扬散、防流失、防渗漏及其他防止污染环境的措施。</w:t>
            </w:r>
          </w:p>
        </w:tc>
        <w:tc>
          <w:tcPr>
            <w:tcW w:w="105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15</w:t>
            </w:r>
          </w:p>
        </w:tc>
        <w:tc>
          <w:tcPr>
            <w:tcW w:w="131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ZH37021120008</w:t>
            </w:r>
          </w:p>
        </w:tc>
        <w:tc>
          <w:tcPr>
            <w:tcW w:w="70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滨海街道（1）</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黄岛区</w:t>
            </w:r>
          </w:p>
        </w:tc>
        <w:tc>
          <w:tcPr>
            <w:tcW w:w="56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1252"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水环境城镇生活源重点管控区、高污染排放区、大气环境受体敏感区</w:t>
            </w:r>
          </w:p>
        </w:tc>
        <w:tc>
          <w:tcPr>
            <w:tcW w:w="200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1.大力发展大珠山生态旅游产业。</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2.严格按照规划要求合理布局工业企业，推动现有产业升级改造。</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3.引导工业企业入园，除在安全生产等有特殊要求的以外，应进入工业园区或集聚区。</w:t>
            </w:r>
          </w:p>
        </w:tc>
        <w:tc>
          <w:tcPr>
            <w:tcW w:w="340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1.做好危险废物、一般工业固体废物和生活垃圾的分类收集、转运、综合利用和无害化处理。推行清洁生产，减少固体废物产生量。提升固体物的资源化综合利用率。</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2.鼓励涉及表面涂装工艺的工业企业使用低VOCs涂料替代溶剂型涂料，涂料、稀释剂、清洗剂等原辅材料应密闭储存，调配、使用、回收等过程应采用密闭设备或在密闭空间内操作。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3.涉及下料、机械加工、抛丸、打磨、喷砂、清理滚筒等工艺的企业需设置废气有效收集治理设施，涉及电镀工艺的企业需设置废气有效收集治理设施。</w:t>
            </w:r>
          </w:p>
        </w:tc>
        <w:tc>
          <w:tcPr>
            <w:tcW w:w="198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1.健全事故应急体系，落实有效的事故风险防范和应急措施，有效防范污染事故发生。</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2.产生、利用或处置固体废物（含危险废物、医疗废物）的企业，在贮存、转移、利用、处置固体废物过程中，应配套防扬散、防流失、防渗漏及其他防止污染环境的措施。</w:t>
            </w:r>
          </w:p>
        </w:tc>
        <w:tc>
          <w:tcPr>
            <w:tcW w:w="105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16</w:t>
            </w:r>
          </w:p>
        </w:tc>
        <w:tc>
          <w:tcPr>
            <w:tcW w:w="1310"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ZH37021120009</w:t>
            </w:r>
          </w:p>
        </w:tc>
        <w:tc>
          <w:tcPr>
            <w:tcW w:w="700"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青岛董家口临港产业区</w:t>
            </w:r>
          </w:p>
        </w:tc>
        <w:tc>
          <w:tcPr>
            <w:tcW w:w="43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黄岛区</w:t>
            </w:r>
          </w:p>
        </w:tc>
        <w:tc>
          <w:tcPr>
            <w:tcW w:w="56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125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水环境工业源重点管控区、高污染排放区</w:t>
            </w:r>
          </w:p>
        </w:tc>
        <w:tc>
          <w:tcPr>
            <w:tcW w:w="200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1.执行区域发展规划、规划环评和审查意见相关要求。</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2.化工项目应严格执行《</w:t>
            </w:r>
            <w:r>
              <w:rPr>
                <w:rFonts w:hint="eastAsia" w:ascii="Times New Roman" w:hAnsi="Times New Roman" w:cs="Times New Roman"/>
                <w:kern w:val="0"/>
                <w:sz w:val="16"/>
                <w:szCs w:val="16"/>
              </w:rPr>
              <w:t>山东省化工行业投资项目管理规定</w:t>
            </w:r>
            <w:r>
              <w:rPr>
                <w:rFonts w:ascii="Times New Roman" w:hAnsi="Times New Roman" w:cs="Times New Roman"/>
                <w:kern w:val="0"/>
                <w:sz w:val="16"/>
                <w:szCs w:val="16"/>
              </w:rPr>
              <w:t>》，原则上应在山东省政府认定的化工园区内实施，并符合国土空间规划、产业发展规划等相关规划。</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3.优化园区产业结构，在发展主导产业的基础上，延伸产业链方向，实现工业内部物质、能量、信息的优化流动，促进工业内部的合理发展。</w:t>
            </w:r>
          </w:p>
        </w:tc>
        <w:tc>
          <w:tcPr>
            <w:tcW w:w="340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1.根据园区产业性质和污染排放特征实施重点减排。建设项目严格执行总量控制和排污许可制度。</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2.入园企业严格执行环境影响评价制度和配套建设的污染防治措施与主体工程同时设计、同时施工、同时投入生产使用的“三同时”制度。</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3.配套的污水集中处理设施及其管网，应确保污染源自动监测设备与环境保护主管部门的监控设备联网并保证正常运行。</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钢铁企业料场、料堆采取防风抑尘措施，采用密闭料场或筒仓，大宗物料采取封闭式皮带运输。烧结（球团）焙烧烟气全部收集并同步建设先进高效的脱硫、除尘和必要的脱硝设施。烧结、电炉工序采取必要的二噁英控制措施。高炉、焦炉和转炉煤气净化回收利用，其它废气及电炉冶炼烟气进行收集并采取高效除尘措施。焦炉烟气必要时配设硫化物和氮氧化物治理设施，轧钢加热炉和热处理炉采用低氮燃烧技术，冷轧酸雾、油雾和有机废气采取净化措施。</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危险废物处置企业的固体危险废物全部进入暂存库储存，暂存库按照《危险废物贮存污染控制标准》建设。暂存库内设置负压集气系统，收集处理物料在装卸、存储过程中产生的无组织废气，进出口处设置空气风幕系统。粉状物料密闭储存，并配备有效集气处理设施。液体危险废物密闭储存，储罐大、小呼吸产生的废气进行有效收集处理。危险废物焚烧中的卸料、配伍、破碎、上料，物化处理中的氧化还原、酸碱中和、气浮，危险废物资源化利用中的废包装桶回收（清洗、整形、喷漆等）、废催化剂再生（清灰、筛分、烧炭、氯化更新、干燥、煅烧等）、废线路板回收（破碎、分选等）、废活性炭再生（筛分、再生、出炭等）、铬渣干法解毒（破碎筛分、烘干、输送进料、球磨、还原煅烧等），稳定固化中的输送给料、破碎筛分、搅拌等环节采取密闭措施并配备废气有效收集处理设施。</w:t>
            </w:r>
          </w:p>
        </w:tc>
        <w:tc>
          <w:tcPr>
            <w:tcW w:w="198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1.园区建立事故应急体系，落实有效的事故风险防范和应急措施，有效防范污染事故发生。完善事故应急救援体系，编制突发事件应急预案并定期组织演练。</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2.排放有毒有害水污染物名录中水污染物的企业事业单位和其他生产经营者，应当对排污口和周边环境进行监测，采取有效措施防范环境风险。</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3.生产、使用、储存、运输危险化学品的企业事业单位，应当采取风险防范措施，编制突发环境事件应急预案，预防环境污染事故的发生。</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4.严格落实各项防渗措施，建立健全地下水水质监测体系，突发事件预警预报系统和事故应急防范措施。</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5.污水处理设施、物料及固废堆存场所必须进行严格的防渗处理。各物料输送管道、污水管道必须进行严格的防腐处理。</w:t>
            </w:r>
          </w:p>
          <w:p>
            <w:pPr>
              <w:snapToGrid w:val="0"/>
              <w:rPr>
                <w:rFonts w:ascii="Times New Roman" w:hAnsi="Times New Roman" w:cs="Times New Roman"/>
                <w:kern w:val="0"/>
                <w:sz w:val="16"/>
                <w:szCs w:val="16"/>
              </w:rPr>
            </w:pPr>
            <w:r>
              <w:rPr>
                <w:rFonts w:ascii="Times New Roman" w:hAnsi="Times New Roman" w:cs="Times New Roman"/>
                <w:kern w:val="0"/>
                <w:sz w:val="16"/>
                <w:szCs w:val="16"/>
              </w:rPr>
              <w:t>6.污水处理厂应防止事故废水直接排入水体，完善污水处理厂在线监控系统联网，实现污水处理厂的实时、动态监管。</w:t>
            </w:r>
          </w:p>
          <w:p>
            <w:pPr>
              <w:snapToGrid w:val="0"/>
              <w:rPr>
                <w:rFonts w:ascii="Times New Roman" w:hAnsi="Times New Roman" w:cs="Times New Roman"/>
                <w:kern w:val="0"/>
                <w:sz w:val="16"/>
                <w:szCs w:val="16"/>
              </w:rPr>
            </w:pPr>
            <w:r>
              <w:rPr>
                <w:rFonts w:ascii="Times New Roman" w:hAnsi="Times New Roman" w:cs="Times New Roman"/>
                <w:kern w:val="0"/>
                <w:sz w:val="16"/>
                <w:szCs w:val="16"/>
              </w:rPr>
              <w:t>7.载运具有污染危害性货物的船舶，其结构与设备应当能够防止或者减轻所载货物对海洋环境的污染。码头应根据需要设置应急池，防范燃油或化学品泄漏污染水体。优化完善环境风险应急预案，建立与当地政府、消防、海事、港区其他油品码头的应急联动机制，定期演练，提高应对环境风险事故的能力。</w:t>
            </w:r>
          </w:p>
          <w:p>
            <w:pPr>
              <w:snapToGrid w:val="0"/>
              <w:rPr>
                <w:rFonts w:ascii="Times New Roman" w:hAnsi="Times New Roman" w:cs="Times New Roman"/>
                <w:kern w:val="0"/>
                <w:sz w:val="16"/>
                <w:szCs w:val="16"/>
              </w:rPr>
            </w:pPr>
            <w:r>
              <w:rPr>
                <w:rFonts w:ascii="Times New Roman" w:hAnsi="Times New Roman" w:cs="Times New Roman"/>
                <w:kern w:val="0"/>
                <w:sz w:val="16"/>
                <w:szCs w:val="16"/>
              </w:rPr>
              <w:t>8.装卸油类的港口、码头、装卸站和船舶必须编制溢油污染应急计划，并配备相应的溢油污染应急设备和器材。完善陆域环境风险源和海上溢油及危险化学品泄漏对近岸海域影响的应急方案，完善风险防控措施，定期开展应急演练。</w:t>
            </w:r>
          </w:p>
          <w:p>
            <w:pPr>
              <w:snapToGrid w:val="0"/>
              <w:rPr>
                <w:rFonts w:ascii="Times New Roman" w:hAnsi="Times New Roman" w:cs="Times New Roman"/>
                <w:kern w:val="0"/>
                <w:sz w:val="16"/>
                <w:szCs w:val="16"/>
              </w:rPr>
            </w:pPr>
            <w:r>
              <w:rPr>
                <w:rFonts w:hint="eastAsia" w:ascii="Times New Roman" w:hAnsi="Times New Roman" w:eastAsia="宋体" w:cs="Times New Roman"/>
                <w:kern w:val="0"/>
                <w:sz w:val="16"/>
                <w:szCs w:val="16"/>
                <w:lang w:val="en-US" w:eastAsia="zh-CN"/>
              </w:rPr>
              <w:t>9.</w:t>
            </w:r>
            <w:r>
              <w:rPr>
                <w:rFonts w:ascii="Times New Roman Regular" w:hAnsi="Times New Roman Regular" w:eastAsia="宋体" w:cs="Times New Roman Regular"/>
                <w:kern w:val="0"/>
                <w:sz w:val="16"/>
                <w:szCs w:val="16"/>
              </w:rPr>
              <w:t>园区纳入土壤污染重点监管单位的企业，应建立有毒有害污染物管理制度和土壤污染隐患排查制度，严格控制有毒有害物质排放，按照监测规范对其用地土壤、地下水环境每年至少开展1次监测。</w:t>
            </w:r>
          </w:p>
        </w:tc>
        <w:tc>
          <w:tcPr>
            <w:tcW w:w="105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17</w:t>
            </w:r>
          </w:p>
        </w:tc>
        <w:tc>
          <w:tcPr>
            <w:tcW w:w="131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ZH37021120010</w:t>
            </w:r>
          </w:p>
        </w:tc>
        <w:tc>
          <w:tcPr>
            <w:tcW w:w="70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辛安街道</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黄岛区</w:t>
            </w:r>
          </w:p>
        </w:tc>
        <w:tc>
          <w:tcPr>
            <w:tcW w:w="56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1252"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生态评估区域一般生态空间、小珠山水库、水环境城镇生活源重点管控区、大气环境优先保护区、大气环境受体敏感区</w:t>
            </w:r>
          </w:p>
        </w:tc>
        <w:tc>
          <w:tcPr>
            <w:tcW w:w="200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1.齐长城遗址、珠山国家森林公园根据《中华人民共和国文物保护法》和《森林公园管理办法》实施保护。</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2.严格按照规划要求合理布局工业企业，推动现有产业升级改造。</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3.引导工业企业入园，除在安全生产等有特殊要求的以外，应进入工业园区或集聚区。</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4.</w:t>
            </w:r>
            <w:r>
              <w:rPr>
                <w:rFonts w:ascii="Times New Roman" w:hAnsi="Times New Roman" w:eastAsia="宋体" w:cs="Times New Roman"/>
                <w:kern w:val="0"/>
                <w:sz w:val="16"/>
                <w:szCs w:val="16"/>
                <w:lang w:val="zh-CN"/>
              </w:rPr>
              <w:t>饮用水水源保护区按照《中华人民共和国水污染防治法》《山东省水污染防治条例》《</w:t>
            </w:r>
            <w:r>
              <w:rPr>
                <w:rFonts w:hint="eastAsia" w:ascii="Times New Roman" w:hAnsi="Times New Roman" w:eastAsia="宋体" w:cs="Times New Roman"/>
                <w:kern w:val="0"/>
                <w:sz w:val="16"/>
                <w:szCs w:val="16"/>
                <w:lang w:val="zh-CN"/>
              </w:rPr>
              <w:t>青岛市饮用水水源保护条例</w:t>
            </w:r>
            <w:r>
              <w:rPr>
                <w:rFonts w:ascii="Times New Roman" w:hAnsi="Times New Roman" w:eastAsia="宋体" w:cs="Times New Roman"/>
                <w:kern w:val="0"/>
                <w:sz w:val="16"/>
                <w:szCs w:val="16"/>
                <w:lang w:val="zh-CN"/>
              </w:rPr>
              <w:t>》及相关法律法规实施保护管理。</w:t>
            </w:r>
          </w:p>
        </w:tc>
        <w:tc>
          <w:tcPr>
            <w:tcW w:w="340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1.做好危险废物、一般工业固体废物和生活垃圾的分类收集、转运、综合利用和无害化处理。推行清洁生产，减少固体废物产生量。提升固体废物的资源化综合利用率。</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表面涂装行业宜使用低VOCs涂料替代溶剂型涂料，涂料、稀释剂、清洗剂等原辅材料应密闭储存，调配、使用、回收等过程应采用密闭设备或在密闭空间内操作，涂装车间含重金属废水（液）应单独收集处理，第一类污染物排放浓度在车间或车间处理设施排放口达标。</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3.涉及下料、抛丸、打磨、喷砂、清理滚筒等机械加工工艺的企业需设置废气有效收集治理设施。</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对于涉重金属的企业，推行“一企一管”，产生一类污染物的要在车间排放口达标。严格做好涉重企业及其所在园区污水处理设施监测、监管，确保在线监测设备正常运行，对园区内产生的危险废物严格按照相关法律法规进行监管、处置。</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5.执行青岛市关于机动车排放和非道路移动源污染控制的相关规定。</w:t>
            </w:r>
          </w:p>
        </w:tc>
        <w:tc>
          <w:tcPr>
            <w:tcW w:w="198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1.健全事故应急体系，落实有效的事故风险防范和应急措施，有效防范污染事故发生。</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2.涉重企业等地下水污染高风险地区应当采取防渗漏等措施，涉重等土壤、地下水高污染风险企业的车间、危废间、污水处理站、罐区等重点管控区进行重点防渗。</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3.产生、利用或处置固体废物（含危险废物、医疗废物）的企业，在贮存、转移、利用、处置固体废物过程中，应配套防扬散、防流失、防渗漏及其他防止污染环境的措施。</w:t>
            </w:r>
          </w:p>
        </w:tc>
        <w:tc>
          <w:tcPr>
            <w:tcW w:w="105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18</w:t>
            </w:r>
          </w:p>
        </w:tc>
        <w:tc>
          <w:tcPr>
            <w:tcW w:w="131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ZH37021130007</w:t>
            </w:r>
          </w:p>
        </w:tc>
        <w:tc>
          <w:tcPr>
            <w:tcW w:w="70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海青镇</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黄岛区</w:t>
            </w:r>
          </w:p>
        </w:tc>
        <w:tc>
          <w:tcPr>
            <w:tcW w:w="56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一般管控单元</w:t>
            </w:r>
          </w:p>
        </w:tc>
        <w:tc>
          <w:tcPr>
            <w:tcW w:w="1252"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生态评估区域一般生态空间、狄家河水库、水环境一般管控区、大气环境一般管控区、大气环境受体敏感区</w:t>
            </w:r>
          </w:p>
        </w:tc>
        <w:tc>
          <w:tcPr>
            <w:tcW w:w="200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1.严格按照规划要求合理布局工业企业，推动现有产业升级改造。</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2.引导工业企业入园，除在安全生产等有特殊要求的以外，应进入工业园区或集聚区。</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3.积极发展旅游业和生态农业。</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w:t>
            </w:r>
            <w:r>
              <w:rPr>
                <w:rFonts w:ascii="Times New Roman" w:hAnsi="Times New Roman" w:eastAsia="宋体" w:cs="Times New Roman"/>
                <w:kern w:val="0"/>
                <w:sz w:val="16"/>
                <w:szCs w:val="16"/>
                <w:lang w:val="zh-CN"/>
              </w:rPr>
              <w:t>饮用水水源保护区按照《中华人民共和国水污染防治法》《山东省水污染防治条例》《</w:t>
            </w:r>
            <w:r>
              <w:rPr>
                <w:rFonts w:hint="eastAsia" w:ascii="Times New Roman" w:hAnsi="Times New Roman" w:eastAsia="宋体" w:cs="Times New Roman"/>
                <w:kern w:val="0"/>
                <w:sz w:val="16"/>
                <w:szCs w:val="16"/>
                <w:lang w:val="zh-CN"/>
              </w:rPr>
              <w:t>青岛市饮用水水源保护条例</w:t>
            </w:r>
            <w:r>
              <w:rPr>
                <w:rFonts w:ascii="Times New Roman" w:hAnsi="Times New Roman" w:eastAsia="宋体" w:cs="Times New Roman"/>
                <w:kern w:val="0"/>
                <w:sz w:val="16"/>
                <w:szCs w:val="16"/>
                <w:lang w:val="zh-CN"/>
              </w:rPr>
              <w:t>》及相关法律法规实施保护管理。</w:t>
            </w:r>
          </w:p>
        </w:tc>
        <w:tc>
          <w:tcPr>
            <w:tcW w:w="340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1.完善市政配套设施建设，加强污水收集管网体系的管理和维护，完善排水管网建设与改造，推进雨污分流改造，并根据城市规划尽快完成污水处理厂建设。</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w:t>
            </w:r>
            <w:r>
              <w:rPr>
                <w:rFonts w:ascii="Times New Roman" w:hAnsi="Times New Roman" w:cs="Times New Roman"/>
                <w:sz w:val="16"/>
                <w:szCs w:val="16"/>
              </w:rPr>
              <w:t>规模化畜禽养殖场、养殖小区应有序完成畜禽粪便处理利用设施和污水收集处理设施配套建设，防止造成面源污染。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3.做好生活垃圾的分类收集、转运、综合利用和无害化处理。推行清洁生产，减少固体废物产生量。提升固体废物的资源化综合利用率。</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4.加快农村生活污水综合治理，建设分散式污水处理设施。</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5.推广农作物病虫害绿色防控技术，推行科学种植，合理使用化肥农药，减少农业面源污染。</w:t>
            </w:r>
          </w:p>
        </w:tc>
        <w:tc>
          <w:tcPr>
            <w:tcW w:w="198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1.健全事故应急体系，落实有效的事故风险防范和应急措施，有效防范污染事故发生。</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2.加油站等的地下油罐应当使用双层罐或者采取建造防渗池等其他有效措施，并进行防渗漏监测，防止地下水污染。</w:t>
            </w:r>
          </w:p>
        </w:tc>
        <w:tc>
          <w:tcPr>
            <w:tcW w:w="105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19</w:t>
            </w:r>
          </w:p>
        </w:tc>
        <w:tc>
          <w:tcPr>
            <w:tcW w:w="131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ZH37021120012</w:t>
            </w:r>
          </w:p>
        </w:tc>
        <w:tc>
          <w:tcPr>
            <w:tcW w:w="70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泊里镇</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黄岛区</w:t>
            </w:r>
          </w:p>
        </w:tc>
        <w:tc>
          <w:tcPr>
            <w:tcW w:w="56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1252"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水环境工业源重点管控区、高污染排放区</w:t>
            </w:r>
          </w:p>
        </w:tc>
        <w:tc>
          <w:tcPr>
            <w:tcW w:w="200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1.严格按照规划要求合理布局工业企业，推动现有产业升级改造。</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2.引导工业企业入园，除在安全生产等有特殊要求的以外，应进入工业园区或集聚区。</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3.</w:t>
            </w:r>
            <w:r>
              <w:rPr>
                <w:rFonts w:ascii="Times New Roman" w:hAnsi="Times New Roman" w:eastAsia="宋体" w:cs="Times New Roman"/>
                <w:kern w:val="0"/>
                <w:sz w:val="16"/>
                <w:szCs w:val="16"/>
                <w:lang w:val="zh-CN"/>
              </w:rPr>
              <w:t>严格执行《青岛市畜禽养殖污染防治规划》相关要求，调整优化养殖业布局，鼓励转型升级，发展循环养殖。</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4.工业集聚区外的区域鼓励以董家口经济区为依托发展周边配套产业及生态农业。</w:t>
            </w:r>
          </w:p>
        </w:tc>
        <w:tc>
          <w:tcPr>
            <w:tcW w:w="340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1.表面涂装行业宜使用低VOCs涂料替代溶剂型涂料，涂料、稀释剂、清洗剂等原辅材料应密闭储存，调配、使用、回收等过程应采用密闭设备或在密闭空间内操作。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2.完善市政配套设施建设，加强污水收集管网体系的管理和维护，完善排水管网建设与改造，推进雨污分流改造，并根据城市规划尽快完成污水处理厂建设。</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w:t>
            </w:r>
            <w:r>
              <w:rPr>
                <w:rFonts w:ascii="Times New Roman" w:hAnsi="Times New Roman" w:cs="Times New Roman"/>
                <w:sz w:val="16"/>
                <w:szCs w:val="16"/>
              </w:rPr>
              <w:t>规模化畜禽养殖场、养殖小区应有序完成畜禽粪便处理利用设施和污水收集处理设施配套建设，防止造成面源污染。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4.做好危险废物、一般工业固体废物和生活垃圾的分类收集、转运、综合利用和无害化处理。推行清洁生产，减少固体废物产生量。提升固体废物的资源化综合利用率。</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5.加快农村生活污水综合治理，建设分散式污水处理设施。</w:t>
            </w:r>
          </w:p>
        </w:tc>
        <w:tc>
          <w:tcPr>
            <w:tcW w:w="198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1.健全事故应急体系，落实有效的事故风险防范和应急措施，有效防范污染事故发生。</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2.加油站等的地下油罐应当使用双层罐或者采取建造防渗池等其他有效措施，并进行防渗漏监测，防止地下水污染。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3.产生、利用或处置固体废物（含危险废物、医疗废物）的企业，在贮存、转移、利用、处置固体废物过程中，应配套防扬散、防流失、防渗漏及其他防止污染环境的措施。</w:t>
            </w:r>
          </w:p>
        </w:tc>
        <w:tc>
          <w:tcPr>
            <w:tcW w:w="105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20</w:t>
            </w:r>
          </w:p>
        </w:tc>
        <w:tc>
          <w:tcPr>
            <w:tcW w:w="131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ZH37021120013</w:t>
            </w:r>
          </w:p>
        </w:tc>
        <w:tc>
          <w:tcPr>
            <w:tcW w:w="70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薛家岛街道</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黄岛区</w:t>
            </w:r>
          </w:p>
        </w:tc>
        <w:tc>
          <w:tcPr>
            <w:tcW w:w="56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1252" w:type="dxa"/>
            <w:vAlign w:val="center"/>
          </w:tcPr>
          <w:p>
            <w:pPr>
              <w:snapToGrid w:val="0"/>
              <w:jc w:val="left"/>
              <w:rPr>
                <w:rFonts w:ascii="Times New Roman" w:hAnsi="Times New Roman" w:cs="Times New Roman"/>
                <w:kern w:val="0"/>
                <w:sz w:val="16"/>
                <w:szCs w:val="16"/>
              </w:rPr>
            </w:pPr>
            <w:r>
              <w:rPr>
                <w:rFonts w:hint="eastAsia" w:ascii="Times New Roman" w:hAnsi="Times New Roman" w:cs="Times New Roman"/>
                <w:kern w:val="0"/>
                <w:sz w:val="16"/>
                <w:szCs w:val="16"/>
              </w:rPr>
              <w:t>国家级海洋公园</w:t>
            </w:r>
            <w:r>
              <w:rPr>
                <w:rFonts w:hint="eastAsia" w:ascii="Times New Roman" w:hAnsi="Times New Roman" w:cs="Times New Roman"/>
                <w:kern w:val="0"/>
                <w:sz w:val="16"/>
                <w:szCs w:val="16"/>
                <w:lang w:eastAsia="zh-CN"/>
              </w:rPr>
              <w:t>、</w:t>
            </w:r>
            <w:r>
              <w:rPr>
                <w:rFonts w:hint="eastAsia" w:ascii="Times New Roman" w:hAnsi="Times New Roman" w:cs="Times New Roman"/>
                <w:kern w:val="0"/>
                <w:sz w:val="16"/>
                <w:szCs w:val="16"/>
              </w:rPr>
              <w:t>崂山风景名胜区（薛家岛景区）</w:t>
            </w:r>
            <w:r>
              <w:rPr>
                <w:rFonts w:hint="eastAsia" w:ascii="Times New Roman" w:hAnsi="Times New Roman" w:cs="Times New Roman"/>
                <w:kern w:val="0"/>
                <w:sz w:val="16"/>
                <w:szCs w:val="16"/>
                <w:lang w:eastAsia="zh-CN"/>
              </w:rPr>
              <w:t>、</w:t>
            </w:r>
            <w:r>
              <w:rPr>
                <w:rFonts w:ascii="Times New Roman" w:hAnsi="Times New Roman" w:cs="Times New Roman"/>
                <w:kern w:val="0"/>
                <w:sz w:val="16"/>
                <w:szCs w:val="16"/>
              </w:rPr>
              <w:t>唐岛湾湿地公园、国家级公益林、生态评估区域一般生态空间、水环境城镇生活源重点管控区、大气环境受体敏感区</w:t>
            </w:r>
          </w:p>
        </w:tc>
        <w:tc>
          <w:tcPr>
            <w:tcW w:w="200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1.严格按照规划要求合理布局工业企业，推动现有产业升级改造。</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2.引导工业企业入园，除在安全生产等有特殊要求的以外，应进入工业园区或集聚区。</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3.严格按照《青岛市湿地保护条例》等相关法律法规对唐岛湾国家湿地公园进行保护、管理。</w:t>
            </w:r>
          </w:p>
        </w:tc>
        <w:tc>
          <w:tcPr>
            <w:tcW w:w="3402"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1.完善垃圾收集外运设施，建立外运处置制度，严禁焚烧垃圾，严禁个人和单位违法转运危险废物。加强危险废物和医疗废物的贮存、转运等环节的监管监控。</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2.鼓励船舶制造等涉及表面涂装工艺的工业企业使用低VOCs涂料替代溶剂型涂料，涂料、稀释剂、清洗剂等原辅材料应密闭储存，调配、使用、回收等过程应采用密闭设备或在密闭空间内操作。</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3.涉及下料、机械加工、抛丸、打磨、喷砂、清理滚筒等工艺的企业及涉及电镀工艺的企业需设置废气有效收集治理设施。</w:t>
            </w:r>
          </w:p>
        </w:tc>
        <w:tc>
          <w:tcPr>
            <w:tcW w:w="1985"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1.健全事故应急体系，落实有效的事故风险防范和应急措施，有效防范污染事故发生。</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2.产生、利用或处置固体废物（含危险废物、医疗废物）的企业，在贮存、转移、利用、处置固体废物（含危险废物、医疗废物）过程中，应配套防扬散、防流失、防渗漏及其他防止污染环境的措施。</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3.针对码头、港区航道等存在的溢油或危险化学品泄漏等环境风险，提出工程防控、应急资源配备、事故池、事故污水处置等风险防范措施，以及环境应急预案编制、与地方人民政府及相关部门、有关单位建立应急联动机制等要求。</w:t>
            </w:r>
          </w:p>
        </w:tc>
        <w:tc>
          <w:tcPr>
            <w:tcW w:w="1053"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21</w:t>
            </w:r>
          </w:p>
        </w:tc>
        <w:tc>
          <w:tcPr>
            <w:tcW w:w="131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ZH37021120011</w:t>
            </w:r>
          </w:p>
        </w:tc>
        <w:tc>
          <w:tcPr>
            <w:tcW w:w="70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黄岛街道</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黄岛区</w:t>
            </w:r>
          </w:p>
        </w:tc>
        <w:tc>
          <w:tcPr>
            <w:tcW w:w="56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1252"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国家级公益林一般生态空间、水环境工业源重点管控区、大气环境受体敏感区</w:t>
            </w:r>
          </w:p>
        </w:tc>
        <w:tc>
          <w:tcPr>
            <w:tcW w:w="2008"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1.严格按照规划要求合理布局工业企业，推动现有产业升级改造。</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2.引导工业企业入园，除在安全生产等有特殊要求的以外，应进入工业园区或集聚区。</w:t>
            </w:r>
          </w:p>
        </w:tc>
        <w:tc>
          <w:tcPr>
            <w:tcW w:w="340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1.做好危险废物、一般工业固体废物和生活垃圾的分类收集、转运、综合利用和无害化处理。推行清洁生产，减少固体废物产生量。提升固体废物的资源化综合利用率。</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表面涂装行业宜使用低VOCs涂料替代溶剂型涂料，涂料、稀释剂、清洗剂等原辅材料应密闭储存，调配、使用、回收等过程应采用密闭设备或在密闭空间内操作，涉及下料、抛丸、打磨、喷砂、清理滚筒等机械加工工艺的企业需设置废气有效收集治理设施。</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对于涉重金属的企业，推行“一企一管”，产生一类污染物的要在车间排放口达标。严格做好涉重企业及其所在园区污水处理设施监测、监管，确保在线监测设备正常运行，对园区内产生的危险废物严格按照相关法律法规进行监管、处置。</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化工企业加热炉等采用清洁燃料，采取必要的氮氧化物控制措施。催化裂化装置和动力站锅炉等采取必要的脱硫、脱硝和除尘措施。工艺废气采取有效治理措施，减少污染物排放。通过优化设备、储罐选型，装卸、废水处理、污泥处置、采样等环节密闭化，减少污染物无组织排放。储存、装卸、废水处理等环节采取高效的有机废气回收与治理措施。明确设备泄漏检测与修复（LDAR）制度。</w:t>
            </w:r>
          </w:p>
        </w:tc>
        <w:tc>
          <w:tcPr>
            <w:tcW w:w="198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1.健全事故应急体系，落实有效的事故风险防范和应急措施，有效防范污染事故发生。</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2.产生、利用或处置固体废物（含危险废物、医疗废物）的企业，在贮存、转移、利用、处置固体废物过程中，应配套防扬散、防流失、防渗漏及其他防止污染环境的措施。</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3.石化企业应合理布局重大环境风险源，提出合理有效的环境风险防范和应急措施。事故废水进行有效收集和妥善处理，不直接进入外环境。</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针对码头、港区航道等存在的溢油或危险化学品泄漏等环境风险，提出工程防控、应急资源配备、事故池、事故污水处置等风险防范措施，以及环境应急预案编制、与地方人民政府及相关部门、有关单位建立应急联动机制等要求。</w:t>
            </w:r>
          </w:p>
        </w:tc>
        <w:tc>
          <w:tcPr>
            <w:tcW w:w="105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1.鼓励企业采用资源利用率高、污染物产生量小的清洁生产技术、工艺和设备，单位发电量的煤耗、水耗和污染物排放量等指标达到清洁生产先进水平。</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2.控制煤炭消费总量。高污染燃料禁燃区内禁止新建、扩建、改建燃用高污染燃料的项目。推广集中供能和清洁能源利用。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3.强化节水措施，减少新鲜水用量，严格控制取用地下水。完善再生水利用设施，工业生产、城市绿化、道路清扫、车辆冲洗、建筑施工以及生态景观等用水，要优先使用再生水。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22</w:t>
            </w:r>
          </w:p>
        </w:tc>
        <w:tc>
          <w:tcPr>
            <w:tcW w:w="131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ZH37021120003</w:t>
            </w:r>
          </w:p>
        </w:tc>
        <w:tc>
          <w:tcPr>
            <w:tcW w:w="70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中德生态园</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黄岛区</w:t>
            </w:r>
          </w:p>
        </w:tc>
        <w:tc>
          <w:tcPr>
            <w:tcW w:w="56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1252"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小珠山水库、水环境工业源重点管控区、高污染排放区、大气环境受体敏感区</w:t>
            </w:r>
          </w:p>
        </w:tc>
        <w:tc>
          <w:tcPr>
            <w:tcW w:w="2008" w:type="dxa"/>
            <w:vAlign w:val="center"/>
          </w:tcPr>
          <w:p>
            <w:pPr>
              <w:snapToGrid w:val="0"/>
              <w:jc w:val="left"/>
              <w:rPr>
                <w:rFonts w:ascii="Times New Roman" w:hAnsi="Times New Roman" w:cs="Times New Roman"/>
                <w:kern w:val="0"/>
                <w:sz w:val="16"/>
                <w:szCs w:val="16"/>
              </w:rPr>
            </w:pPr>
            <w:r>
              <w:rPr>
                <w:rFonts w:hint="eastAsia" w:ascii="Times New Roman" w:hAnsi="Times New Roman" w:cs="Times New Roman"/>
                <w:kern w:val="0"/>
                <w:sz w:val="16"/>
                <w:szCs w:val="16"/>
                <w:lang w:val="en-US" w:eastAsia="zh-CN"/>
              </w:rPr>
              <w:t>1</w:t>
            </w:r>
            <w:r>
              <w:rPr>
                <w:rFonts w:ascii="Times New Roman" w:hAnsi="Times New Roman" w:cs="Times New Roman"/>
                <w:kern w:val="0"/>
                <w:sz w:val="16"/>
                <w:szCs w:val="16"/>
              </w:rPr>
              <w:t>.鼓励园区循环经济链条上的必备项目，以及低能耗、低水耗、低污染、高效益、高科技的环保型项目。</w:t>
            </w:r>
          </w:p>
          <w:p>
            <w:pPr>
              <w:snapToGrid w:val="0"/>
              <w:jc w:val="left"/>
              <w:rPr>
                <w:rFonts w:ascii="Times New Roman" w:hAnsi="Times New Roman" w:cs="Times New Roman"/>
                <w:kern w:val="0"/>
                <w:sz w:val="16"/>
                <w:szCs w:val="16"/>
              </w:rPr>
            </w:pPr>
            <w:r>
              <w:rPr>
                <w:rFonts w:hint="eastAsia" w:ascii="Times New Roman" w:hAnsi="Times New Roman" w:cs="Times New Roman"/>
                <w:kern w:val="0"/>
                <w:sz w:val="16"/>
                <w:szCs w:val="16"/>
                <w:lang w:val="en-US" w:eastAsia="zh-CN"/>
              </w:rPr>
              <w:t>2.</w:t>
            </w:r>
            <w:r>
              <w:rPr>
                <w:rFonts w:ascii="Times New Roman" w:hAnsi="Times New Roman" w:cs="Times New Roman"/>
                <w:kern w:val="0"/>
                <w:sz w:val="16"/>
                <w:szCs w:val="16"/>
              </w:rPr>
              <w:t>工业企业布局应远离水源保护区。</w:t>
            </w:r>
            <w:r>
              <w:rPr>
                <w:rFonts w:hint="eastAsia" w:ascii="Times New Roman" w:hAnsi="Times New Roman" w:cs="Times New Roman"/>
                <w:kern w:val="0"/>
                <w:sz w:val="16"/>
                <w:szCs w:val="16"/>
              </w:rPr>
              <w:t>饮用水水源</w:t>
            </w:r>
            <w:r>
              <w:rPr>
                <w:rFonts w:hint="eastAsia" w:ascii="Times New Roman" w:hAnsi="Times New Roman" w:cs="Times New Roman"/>
                <w:kern w:val="0"/>
                <w:sz w:val="16"/>
                <w:szCs w:val="16"/>
                <w:lang w:val="en-US" w:eastAsia="zh-CN"/>
              </w:rPr>
              <w:t>一级保护</w:t>
            </w:r>
            <w:r>
              <w:rPr>
                <w:rFonts w:hint="eastAsia" w:ascii="Times New Roman" w:hAnsi="Times New Roman" w:cs="Times New Roman"/>
                <w:kern w:val="0"/>
                <w:sz w:val="16"/>
                <w:szCs w:val="16"/>
              </w:rPr>
              <w:t>区内禁止新建、改建、扩建与供水设施和保护水源无关的建设项目，饮用水水源二级保护区内禁止新建、改建、扩建排放污染物的建设项目。在饮用水水源准保护区内，禁止新建、扩建以下建设项目：产生含汞、镉、铬、砷、铅、镍、氰化物、持久性有机污染物、病原微生物、放射性等有毒有害物质的建设项目；印染、印花、造纸、制革、电镀、石墨采选加工、制药、化工、冶炼、炼焦、炼硫、炼油、酿造、化肥、染料、农药等建设项目；其他对水体污染严重的建设项目。</w:t>
            </w:r>
            <w:r>
              <w:rPr>
                <w:rFonts w:hint="eastAsia" w:ascii="Times New Roman" w:hAnsi="Times New Roman" w:cs="Times New Roman"/>
                <w:kern w:val="0"/>
                <w:sz w:val="16"/>
                <w:szCs w:val="16"/>
                <w:lang w:eastAsia="zh-CN"/>
              </w:rPr>
              <w:t>（</w:t>
            </w:r>
            <w:r>
              <w:rPr>
                <w:rFonts w:ascii="Arial" w:hAnsi="Arial" w:eastAsia="宋体" w:cs="Arial"/>
                <w:i w:val="0"/>
                <w:iCs w:val="0"/>
                <w:caps w:val="0"/>
                <w:color w:val="333333"/>
                <w:spacing w:val="0"/>
                <w:sz w:val="15"/>
                <w:szCs w:val="15"/>
                <w:shd w:val="clear" w:fill="FFFFFF"/>
              </w:rPr>
              <w:t>★</w:t>
            </w:r>
            <w:r>
              <w:rPr>
                <w:rFonts w:hint="eastAsia" w:ascii="Times New Roman" w:hAnsi="Times New Roman" w:cs="Times New Roman"/>
                <w:kern w:val="0"/>
                <w:sz w:val="16"/>
                <w:szCs w:val="16"/>
                <w:lang w:eastAsia="zh-CN"/>
              </w:rPr>
              <w:t>）</w:t>
            </w:r>
          </w:p>
          <w:p>
            <w:pPr>
              <w:snapToGrid w:val="0"/>
              <w:jc w:val="left"/>
              <w:rPr>
                <w:rFonts w:ascii="Times New Roman" w:hAnsi="Times New Roman" w:cs="Times New Roman"/>
                <w:kern w:val="0"/>
                <w:sz w:val="16"/>
                <w:szCs w:val="16"/>
              </w:rPr>
            </w:pPr>
            <w:r>
              <w:rPr>
                <w:rFonts w:hint="eastAsia" w:ascii="Times New Roman" w:hAnsi="Times New Roman" w:cs="Times New Roman"/>
                <w:kern w:val="0"/>
                <w:sz w:val="16"/>
                <w:szCs w:val="16"/>
                <w:lang w:val="en-US" w:eastAsia="zh-CN"/>
              </w:rPr>
              <w:t>3</w:t>
            </w:r>
            <w:r>
              <w:rPr>
                <w:rFonts w:ascii="Times New Roman" w:hAnsi="Times New Roman" w:cs="Times New Roman"/>
                <w:kern w:val="0"/>
                <w:sz w:val="16"/>
                <w:szCs w:val="16"/>
              </w:rPr>
              <w:t>.生物与医药行业易产生恶臭气体，应严格控制规模，且布局要远离居住区。</w:t>
            </w:r>
          </w:p>
          <w:p>
            <w:pPr>
              <w:snapToGrid w:val="0"/>
              <w:jc w:val="left"/>
              <w:rPr>
                <w:rFonts w:ascii="Times New Roman" w:hAnsi="Times New Roman" w:cs="Times New Roman"/>
                <w:kern w:val="0"/>
                <w:sz w:val="16"/>
                <w:szCs w:val="16"/>
              </w:rPr>
            </w:pPr>
            <w:r>
              <w:rPr>
                <w:rFonts w:hint="eastAsia" w:ascii="Times New Roman" w:hAnsi="Times New Roman" w:cs="Times New Roman"/>
                <w:kern w:val="0"/>
                <w:sz w:val="16"/>
                <w:szCs w:val="16"/>
                <w:lang w:val="en-US" w:eastAsia="zh-CN"/>
              </w:rPr>
              <w:t>4</w:t>
            </w:r>
            <w:r>
              <w:rPr>
                <w:rFonts w:ascii="Times New Roman" w:hAnsi="Times New Roman" w:cs="Times New Roman"/>
                <w:kern w:val="0"/>
                <w:sz w:val="16"/>
                <w:szCs w:val="16"/>
              </w:rPr>
              <w:t>.</w:t>
            </w:r>
            <w:r>
              <w:rPr>
                <w:rFonts w:ascii="Times New Roman" w:hAnsi="Times New Roman" w:eastAsia="宋体" w:cs="Times New Roman"/>
                <w:kern w:val="0"/>
                <w:sz w:val="16"/>
                <w:szCs w:val="16"/>
                <w:lang w:val="zh-CN"/>
              </w:rPr>
              <w:t>饮用水水源保护区按照《中华人民共和国水污染防治法》《山东省水污染防治条例》《</w:t>
            </w:r>
            <w:r>
              <w:rPr>
                <w:rFonts w:hint="eastAsia" w:ascii="Times New Roman" w:hAnsi="Times New Roman" w:eastAsia="宋体" w:cs="Times New Roman"/>
                <w:kern w:val="0"/>
                <w:sz w:val="16"/>
                <w:szCs w:val="16"/>
                <w:lang w:val="zh-CN"/>
              </w:rPr>
              <w:t>青岛市饮用水水源保护条例</w:t>
            </w:r>
            <w:r>
              <w:rPr>
                <w:rFonts w:ascii="Times New Roman" w:hAnsi="Times New Roman" w:eastAsia="宋体" w:cs="Times New Roman"/>
                <w:kern w:val="0"/>
                <w:sz w:val="16"/>
                <w:szCs w:val="16"/>
                <w:lang w:val="zh-CN"/>
              </w:rPr>
              <w:t>》及相关法律法规实施保护管理。</w:t>
            </w:r>
          </w:p>
        </w:tc>
        <w:tc>
          <w:tcPr>
            <w:tcW w:w="340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1.做好危险废物、一般工业固体废物和生活垃圾的分类收集、转运、综合利用和无害化处理。推行清洁生产，减少固体废物产生量。提升固体废物的资源化综合利用率。</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2.完善污水管网建设，污水管网覆盖区域内禁止工业废水和生活污水直排，禁止工业废水和生活污水直排。</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3.鼓励涉及表面涂装工艺的工业企业使用低VOCs涂料替代溶剂型涂料，涂料、稀释剂、清洗剂等原辅材料应密闭储存，调配、使用、回收等过程应采用密闭设备或在密闭空间内操作。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设立完善的废水收集、处理系统。第一类污染物排放浓度在车间或车间处理设施排放口达标。实验室废水、动物房废水等含有药物活性成份的废水，应单独收集并进行灭菌、灭活预处理。毒性大、难降解及高含盐等废水应单独收集、处理后，再与其他废水一并进入污水处理系统处理。</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含有药物活性成份的污泥，须进行灭活预处理。对未明确是否具有危险特性的动植物提取残渣、制药污水处理产生的污泥等，应进行危险废物鉴别，在鉴别结论出来之前暂按危险废物管理。生物生化制品类企业废水、废气及固体废物的处理处置应考虑生物安全性因素。</w:t>
            </w:r>
          </w:p>
          <w:p>
            <w:pPr>
              <w:snapToGrid w:val="0"/>
              <w:rPr>
                <w:rFonts w:hint="eastAsia" w:ascii="Times New Roman" w:hAnsi="Times New Roman" w:eastAsia="宋体" w:cs="Times New Roman"/>
                <w:kern w:val="0"/>
                <w:sz w:val="16"/>
                <w:szCs w:val="16"/>
              </w:rPr>
            </w:pPr>
            <w:r>
              <w:rPr>
                <w:rFonts w:hint="eastAsia" w:ascii="Times New Roman" w:hAnsi="Times New Roman" w:cs="Times New Roman"/>
                <w:kern w:val="0"/>
                <w:sz w:val="16"/>
                <w:szCs w:val="16"/>
                <w:lang w:val="en-US" w:eastAsia="zh-CN"/>
              </w:rPr>
              <w:t>6.</w:t>
            </w:r>
            <w:r>
              <w:rPr>
                <w:rFonts w:hint="eastAsia" w:ascii="Times New Roman" w:hAnsi="Times New Roman" w:eastAsia="宋体" w:cs="Times New Roman"/>
                <w:kern w:val="0"/>
                <w:sz w:val="16"/>
                <w:szCs w:val="16"/>
                <w:lang w:val="en-US" w:eastAsia="zh-CN"/>
              </w:rPr>
              <w:t>生物医药行业应</w:t>
            </w:r>
            <w:r>
              <w:rPr>
                <w:rFonts w:hint="eastAsia" w:ascii="Times New Roman" w:hAnsi="Times New Roman" w:eastAsia="宋体" w:cs="Times New Roman"/>
                <w:kern w:val="0"/>
                <w:sz w:val="16"/>
                <w:szCs w:val="16"/>
              </w:rPr>
              <w:t>优化生产设备选型，密闭输送物料，采取有效措施收集并处理车间产生的无组织废气。项目生产、消毒、检验等产生的废气需收集经处理后有组织排放。动物房、污水站等产生恶臭的区域应封闭，设置集中通风、除臭设施。</w:t>
            </w:r>
            <w:r>
              <w:rPr>
                <w:rFonts w:hint="eastAsia" w:ascii="Times New Roman" w:hAnsi="Times New Roman" w:cs="Times New Roman"/>
                <w:kern w:val="0"/>
                <w:sz w:val="16"/>
                <w:szCs w:val="16"/>
                <w:lang w:eastAsia="zh-CN"/>
              </w:rPr>
              <w:t>（</w:t>
            </w:r>
            <w:r>
              <w:rPr>
                <w:rFonts w:ascii="Arial" w:hAnsi="Arial" w:eastAsia="宋体" w:cs="Arial"/>
                <w:i w:val="0"/>
                <w:iCs w:val="0"/>
                <w:caps w:val="0"/>
                <w:color w:val="333333"/>
                <w:spacing w:val="0"/>
                <w:sz w:val="15"/>
                <w:szCs w:val="15"/>
                <w:shd w:val="clear" w:fill="FFFFFF"/>
              </w:rPr>
              <w:t>★</w:t>
            </w:r>
            <w:r>
              <w:rPr>
                <w:rFonts w:hint="eastAsia" w:ascii="Times New Roman" w:hAnsi="Times New Roman" w:cs="Times New Roman"/>
                <w:kern w:val="0"/>
                <w:sz w:val="16"/>
                <w:szCs w:val="16"/>
                <w:lang w:eastAsia="zh-CN"/>
              </w:rPr>
              <w:t>）</w:t>
            </w:r>
          </w:p>
          <w:p>
            <w:pPr>
              <w:snapToGrid w:val="0"/>
              <w:rPr>
                <w:rFonts w:ascii="Times New Roman" w:hAnsi="Times New Roman" w:cs="Times New Roman"/>
                <w:kern w:val="0"/>
                <w:sz w:val="16"/>
                <w:szCs w:val="16"/>
              </w:rPr>
            </w:pPr>
            <w:r>
              <w:rPr>
                <w:rFonts w:hint="eastAsia" w:ascii="Times New Roman" w:hAnsi="Times New Roman" w:cs="Times New Roman"/>
                <w:kern w:val="0"/>
                <w:sz w:val="16"/>
                <w:szCs w:val="16"/>
                <w:lang w:val="en-US" w:eastAsia="zh-CN"/>
              </w:rPr>
              <w:t>7.</w:t>
            </w:r>
            <w:r>
              <w:rPr>
                <w:rFonts w:hint="eastAsia" w:ascii="Times New Roman" w:hAnsi="Times New Roman" w:eastAsia="宋体" w:cs="Times New Roman"/>
                <w:kern w:val="0"/>
                <w:sz w:val="16"/>
                <w:szCs w:val="16"/>
                <w:lang w:val="en-US" w:eastAsia="zh-CN"/>
              </w:rPr>
              <w:t>集成电路行业</w:t>
            </w:r>
            <w:r>
              <w:rPr>
                <w:rFonts w:hint="eastAsia" w:ascii="Times New Roman" w:hAnsi="Times New Roman" w:eastAsia="宋体" w:cs="Times New Roman"/>
                <w:kern w:val="0"/>
                <w:sz w:val="16"/>
                <w:szCs w:val="16"/>
              </w:rPr>
              <w:t>鼓励采用转轮浓缩吸附燃烧装置处理硅片有机洗、光刻、湿法去胶等工序产生的有机废气</w:t>
            </w:r>
            <w:r>
              <w:rPr>
                <w:rFonts w:hint="eastAsia" w:ascii="Times New Roman" w:hAnsi="Times New Roman" w:eastAsia="宋体" w:cs="Times New Roman"/>
                <w:kern w:val="0"/>
                <w:sz w:val="16"/>
                <w:szCs w:val="16"/>
                <w:lang w:eastAsia="zh-CN"/>
              </w:rPr>
              <w:t>。</w:t>
            </w:r>
            <w:r>
              <w:rPr>
                <w:rFonts w:hint="eastAsia" w:ascii="Times New Roman" w:hAnsi="Times New Roman" w:eastAsia="宋体" w:cs="Times New Roman"/>
                <w:kern w:val="0"/>
                <w:sz w:val="16"/>
                <w:szCs w:val="16"/>
              </w:rPr>
              <w:t>重点关注氮氧化物、氯化氢、硫酸雾、氟化物、氯气、挥发性有机物、氰化物、氨等特征污染物的达标排放情况</w:t>
            </w:r>
            <w:r>
              <w:rPr>
                <w:rFonts w:hint="eastAsia" w:ascii="Times New Roman" w:hAnsi="Times New Roman" w:eastAsia="宋体" w:cs="Times New Roman"/>
                <w:kern w:val="0"/>
                <w:sz w:val="16"/>
                <w:szCs w:val="16"/>
                <w:lang w:eastAsia="zh-CN"/>
              </w:rPr>
              <w:t>。</w:t>
            </w:r>
            <w:r>
              <w:rPr>
                <w:rFonts w:hint="eastAsia" w:ascii="Times New Roman" w:hAnsi="Times New Roman" w:cs="Times New Roman"/>
                <w:kern w:val="0"/>
                <w:sz w:val="16"/>
                <w:szCs w:val="16"/>
                <w:lang w:eastAsia="zh-CN"/>
              </w:rPr>
              <w:t>（</w:t>
            </w:r>
            <w:r>
              <w:rPr>
                <w:rFonts w:ascii="Arial" w:hAnsi="Arial" w:eastAsia="宋体" w:cs="Arial"/>
                <w:i w:val="0"/>
                <w:iCs w:val="0"/>
                <w:caps w:val="0"/>
                <w:color w:val="333333"/>
                <w:spacing w:val="0"/>
                <w:sz w:val="15"/>
                <w:szCs w:val="15"/>
                <w:shd w:val="clear" w:fill="FFFFFF"/>
              </w:rPr>
              <w:t>★</w:t>
            </w:r>
            <w:r>
              <w:rPr>
                <w:rFonts w:hint="eastAsia" w:ascii="Times New Roman" w:hAnsi="Times New Roman" w:cs="Times New Roman"/>
                <w:kern w:val="0"/>
                <w:sz w:val="16"/>
                <w:szCs w:val="16"/>
                <w:lang w:eastAsia="zh-CN"/>
              </w:rPr>
              <w:t>）</w:t>
            </w:r>
          </w:p>
        </w:tc>
        <w:tc>
          <w:tcPr>
            <w:tcW w:w="198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1.健全事故应急体系，落实有效的事故风险防范和应急措施，有效防范污染事故发生。</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2.合理布局重大环境风险源，提出合理有效的环境风险防范措施。车间、罐区、库房等区域因地制宜地设置容积合理的事故池，确保事故废水有效收集和妥善处理。</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对生物生化制品类企业，废水、废气及固体废物的处理处置应考虑生物安全性因素。存在生物安全性风险的抗生素制药废水，应进行预处理以破坏抗生素分子结构。通过高效过滤器控制颗粒物排放，减少生物气溶胶可能带来的风险。涉及生物安全性风险的固体废物应按照危险废物进行无害化处置。</w:t>
            </w:r>
          </w:p>
          <w:p>
            <w:pPr>
              <w:snapToGrid w:val="0"/>
              <w:rPr>
                <w:rFonts w:hint="eastAsia" w:ascii="Times New Roman" w:hAnsi="Times New Roman" w:eastAsia="宋体" w:cs="Times New Roman"/>
                <w:kern w:val="0"/>
                <w:sz w:val="16"/>
                <w:szCs w:val="16"/>
              </w:rPr>
            </w:pPr>
            <w:r>
              <w:rPr>
                <w:rFonts w:hint="eastAsia" w:ascii="Times New Roman" w:hAnsi="Times New Roman" w:cs="Times New Roman"/>
                <w:kern w:val="0"/>
                <w:sz w:val="16"/>
                <w:szCs w:val="16"/>
                <w:lang w:val="en-US" w:eastAsia="zh-CN"/>
              </w:rPr>
              <w:t>4.</w:t>
            </w:r>
            <w:r>
              <w:rPr>
                <w:rFonts w:hint="eastAsia" w:ascii="Times New Roman" w:hAnsi="Times New Roman" w:eastAsia="宋体" w:cs="Times New Roman"/>
                <w:kern w:val="0"/>
                <w:sz w:val="16"/>
                <w:szCs w:val="16"/>
              </w:rPr>
              <w:t>涉及生物安全性风险的固体废物应按照危险废物进行无害化处置，含有药物活性成份的污泥须进行灭活预处理。固体废物贮存、处置设施、场所须满足《一般工业固体废物贮存和填埋污染控制标准》(GB18599)、《危险</w:t>
            </w:r>
          </w:p>
          <w:p>
            <w:pPr>
              <w:snapToGrid w:val="0"/>
              <w:rPr>
                <w:rFonts w:ascii="Times New Roman" w:hAnsi="Times New Roman" w:cs="Times New Roman"/>
                <w:kern w:val="0"/>
                <w:sz w:val="16"/>
                <w:szCs w:val="16"/>
              </w:rPr>
            </w:pPr>
            <w:r>
              <w:rPr>
                <w:rFonts w:hint="eastAsia" w:ascii="Times New Roman" w:hAnsi="Times New Roman" w:eastAsia="宋体" w:cs="Times New Roman"/>
                <w:kern w:val="0"/>
                <w:sz w:val="16"/>
                <w:szCs w:val="16"/>
              </w:rPr>
              <w:t>废物贮存污染控制标准》(GB18597)</w:t>
            </w:r>
            <w:r>
              <w:rPr>
                <w:rFonts w:hint="eastAsia" w:ascii="Times New Roman" w:hAnsi="Times New Roman" w:eastAsia="宋体" w:cs="Times New Roman"/>
                <w:kern w:val="0"/>
                <w:sz w:val="16"/>
                <w:szCs w:val="16"/>
                <w:lang w:eastAsia="zh-CN"/>
              </w:rPr>
              <w:t>。</w:t>
            </w:r>
            <w:r>
              <w:rPr>
                <w:rFonts w:hint="eastAsia" w:ascii="Times New Roman" w:hAnsi="Times New Roman" w:cs="Times New Roman"/>
                <w:kern w:val="0"/>
                <w:sz w:val="16"/>
                <w:szCs w:val="16"/>
                <w:lang w:eastAsia="zh-CN"/>
              </w:rPr>
              <w:t>（</w:t>
            </w:r>
            <w:r>
              <w:rPr>
                <w:rFonts w:ascii="Arial" w:hAnsi="Arial" w:eastAsia="宋体" w:cs="Arial"/>
                <w:i w:val="0"/>
                <w:iCs w:val="0"/>
                <w:caps w:val="0"/>
                <w:color w:val="333333"/>
                <w:spacing w:val="0"/>
                <w:sz w:val="15"/>
                <w:szCs w:val="15"/>
                <w:shd w:val="clear" w:fill="FFFFFF"/>
              </w:rPr>
              <w:t>★</w:t>
            </w:r>
            <w:r>
              <w:rPr>
                <w:rFonts w:hint="eastAsia" w:ascii="Times New Roman" w:hAnsi="Times New Roman" w:cs="Times New Roman"/>
                <w:kern w:val="0"/>
                <w:sz w:val="16"/>
                <w:szCs w:val="16"/>
                <w:lang w:eastAsia="zh-CN"/>
              </w:rPr>
              <w:t>）</w:t>
            </w:r>
          </w:p>
        </w:tc>
        <w:tc>
          <w:tcPr>
            <w:tcW w:w="105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23</w:t>
            </w:r>
          </w:p>
        </w:tc>
        <w:tc>
          <w:tcPr>
            <w:tcW w:w="131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ZH37021130001</w:t>
            </w:r>
          </w:p>
        </w:tc>
        <w:tc>
          <w:tcPr>
            <w:tcW w:w="70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琅琊镇</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黄岛区</w:t>
            </w:r>
          </w:p>
        </w:tc>
        <w:tc>
          <w:tcPr>
            <w:tcW w:w="56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一般管控单元</w:t>
            </w:r>
          </w:p>
        </w:tc>
        <w:tc>
          <w:tcPr>
            <w:tcW w:w="1252" w:type="dxa"/>
            <w:vAlign w:val="center"/>
          </w:tcPr>
          <w:p>
            <w:pPr>
              <w:snapToGrid w:val="0"/>
              <w:jc w:val="left"/>
              <w:rPr>
                <w:rFonts w:ascii="Times New Roman" w:hAnsi="Times New Roman" w:cs="Times New Roman"/>
                <w:kern w:val="0"/>
                <w:sz w:val="16"/>
                <w:szCs w:val="16"/>
              </w:rPr>
            </w:pPr>
            <w:r>
              <w:rPr>
                <w:rFonts w:hint="eastAsia" w:ascii="Times New Roman" w:hAnsi="Times New Roman" w:cs="Times New Roman"/>
                <w:kern w:val="0"/>
                <w:sz w:val="16"/>
                <w:szCs w:val="16"/>
              </w:rPr>
              <w:t>国家级海洋公园</w:t>
            </w:r>
            <w:r>
              <w:rPr>
                <w:rFonts w:hint="eastAsia" w:ascii="Times New Roman" w:hAnsi="Times New Roman" w:cs="Times New Roman"/>
                <w:kern w:val="0"/>
                <w:sz w:val="16"/>
                <w:szCs w:val="16"/>
                <w:lang w:eastAsia="zh-CN"/>
              </w:rPr>
              <w:t>、</w:t>
            </w:r>
            <w:r>
              <w:rPr>
                <w:rFonts w:ascii="Times New Roman" w:hAnsi="Times New Roman" w:cs="Times New Roman"/>
                <w:kern w:val="0"/>
                <w:sz w:val="16"/>
                <w:szCs w:val="16"/>
              </w:rPr>
              <w:t>国家级公益林一般生态空间、孙家屯水库、水源涵养区、</w:t>
            </w:r>
            <w:bookmarkStart w:id="42" w:name="OLE_LINK8"/>
            <w:r>
              <w:rPr>
                <w:rFonts w:ascii="Times New Roman" w:hAnsi="Times New Roman" w:cs="Times New Roman"/>
                <w:kern w:val="0"/>
                <w:sz w:val="16"/>
                <w:szCs w:val="16"/>
              </w:rPr>
              <w:t>大气环境一般管控</w:t>
            </w:r>
            <w:r>
              <w:rPr>
                <w:rFonts w:hint="eastAsia" w:ascii="Times New Roman" w:hAnsi="Times New Roman" w:cs="Times New Roman"/>
                <w:kern w:val="0"/>
                <w:sz w:val="16"/>
                <w:szCs w:val="16"/>
                <w:lang w:val="en-US" w:eastAsia="zh-CN"/>
              </w:rPr>
              <w:t>区</w:t>
            </w:r>
            <w:r>
              <w:rPr>
                <w:rFonts w:ascii="Times New Roman" w:hAnsi="Times New Roman" w:cs="Times New Roman"/>
                <w:kern w:val="0"/>
                <w:sz w:val="16"/>
                <w:szCs w:val="16"/>
              </w:rPr>
              <w:t>、</w:t>
            </w:r>
            <w:bookmarkEnd w:id="42"/>
            <w:r>
              <w:rPr>
                <w:rFonts w:ascii="Times New Roman" w:hAnsi="Times New Roman" w:cs="Times New Roman"/>
                <w:kern w:val="0"/>
                <w:sz w:val="16"/>
                <w:szCs w:val="16"/>
              </w:rPr>
              <w:t>大气环境受体敏感区</w:t>
            </w:r>
          </w:p>
        </w:tc>
        <w:tc>
          <w:tcPr>
            <w:tcW w:w="2008"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1.按照相关规划所列主导产业实施布局。</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2.严格执行《青岛市畜禽养殖污染防治规划》相关要求，调整优化养殖业布局，鼓励转型升级，发展循环养殖。</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3.积极发展现代农业和生态旅游。</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4.</w:t>
            </w:r>
            <w:r>
              <w:rPr>
                <w:rFonts w:ascii="Times New Roman" w:hAnsi="Times New Roman" w:eastAsia="宋体" w:cs="Times New Roman"/>
                <w:kern w:val="0"/>
                <w:sz w:val="16"/>
                <w:szCs w:val="16"/>
                <w:lang w:val="zh-CN"/>
              </w:rPr>
              <w:t>饮用水水源保护区按照《中华人民共和国水污染防治法》《山东省水污染防治条例》</w:t>
            </w:r>
            <w:r>
              <w:rPr>
                <w:rFonts w:hint="eastAsia" w:ascii="Times New Roman" w:hAnsi="Times New Roman" w:eastAsia="宋体" w:cs="Times New Roman"/>
                <w:kern w:val="0"/>
                <w:sz w:val="16"/>
                <w:szCs w:val="16"/>
                <w:lang w:val="zh-CN"/>
              </w:rPr>
              <w:t>《青岛市饮用水水源保护条例》</w:t>
            </w:r>
            <w:r>
              <w:rPr>
                <w:rFonts w:ascii="Times New Roman" w:hAnsi="Times New Roman" w:eastAsia="宋体" w:cs="Times New Roman"/>
                <w:kern w:val="0"/>
                <w:sz w:val="16"/>
                <w:szCs w:val="16"/>
                <w:lang w:val="zh-CN"/>
              </w:rPr>
              <w:t>及相关法律法规实施保护管理。</w:t>
            </w:r>
          </w:p>
        </w:tc>
        <w:tc>
          <w:tcPr>
            <w:tcW w:w="340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1.完善市政配套设施建设，加强污水收集管网体系的管理和维护，完善排水管网建设与改造，推进雨污分流改造，并根据城市规划尽快完成污水处理厂建设。</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2.料场、料堆采取防风抑尘措施，采用密闭料场或筒仓，大宗物料采取封闭式皮带运输。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w:t>
            </w:r>
            <w:r>
              <w:rPr>
                <w:rFonts w:ascii="Times New Roman" w:hAnsi="Times New Roman" w:cs="Times New Roman"/>
                <w:sz w:val="16"/>
                <w:szCs w:val="16"/>
              </w:rPr>
              <w:t>规模化畜禽养殖场、养殖小区应有序完成畜禽粪便处理利用设施和污水收集处理设施配套建设，防止造成面源污染。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4.加快农村生活污水综合治理，建设分散式污水处理设施。</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5.推广农作物病虫害绿色防控技术，推行科学种植，合理使用化肥农药，减少农业面源污染。</w:t>
            </w:r>
          </w:p>
        </w:tc>
        <w:tc>
          <w:tcPr>
            <w:tcW w:w="198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1.健全事故应急体系，落实有效的事故风险防范和应急措施，有效防范污染事故发生。</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针对码头、港区航道等存在的溢油或危险化学品泄漏等环境风险，提出工程防控、应急资源配备、事故池、事故污水处置等风险防范措施，以及环境应急预案编制、与地方人民政府及相关部门、有关单位建立应急联动机制等要求。</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3.产生、利用或处置固体废物（含危险废物、医疗废物）的企业，在贮存、转移、利用、处置固体废物过程中，应配套防扬散、防流失、防渗漏及其他防止污染环境的措施。</w:t>
            </w:r>
          </w:p>
        </w:tc>
        <w:tc>
          <w:tcPr>
            <w:tcW w:w="105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24</w:t>
            </w:r>
          </w:p>
        </w:tc>
        <w:tc>
          <w:tcPr>
            <w:tcW w:w="131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ZH37021130002</w:t>
            </w:r>
          </w:p>
        </w:tc>
        <w:tc>
          <w:tcPr>
            <w:tcW w:w="70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铁山街道（2）</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黄岛区</w:t>
            </w:r>
          </w:p>
        </w:tc>
        <w:tc>
          <w:tcPr>
            <w:tcW w:w="56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一般管控单元</w:t>
            </w:r>
          </w:p>
        </w:tc>
        <w:tc>
          <w:tcPr>
            <w:tcW w:w="1252"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水环境一般管控区、大气环境一般管控区、大气环境受体敏感区</w:t>
            </w:r>
          </w:p>
        </w:tc>
        <w:tc>
          <w:tcPr>
            <w:tcW w:w="2008"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1.按照相关规划所列主导产业实施布局。</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2.引导工业企业入园，除在安全生产等有特殊要求的以外，应进入工业园区或集聚区。</w:t>
            </w:r>
          </w:p>
        </w:tc>
        <w:tc>
          <w:tcPr>
            <w:tcW w:w="340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1.完善市政配套设施建设，加强污水收集管网体系的管理和维护，完善排水管网建设与改造，推进雨污分流改造，并根据城市规划尽快完成污水处理厂建设。</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w:t>
            </w:r>
            <w:r>
              <w:rPr>
                <w:rFonts w:ascii="Times New Roman" w:hAnsi="Times New Roman" w:cs="Times New Roman"/>
                <w:sz w:val="16"/>
                <w:szCs w:val="16"/>
              </w:rPr>
              <w:t>规模化畜禽养殖场、养殖小区应有序完成畜禽粪便处理利用设施和污水收集处理设施配套建设，防止造成面源污染。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涉及下料、机械加工、抛丸、打磨、喷砂、清理滚筒、热处理、化学预处理、电镀等生产工艺的企业应设置废气有效收集治理设施。焊接环节根据作业点位数配备焊接烟尘净化器，或设置专门操作间并设置集气系统对焊接烟尘进行有效收集治理。</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4.鼓励涉及表面涂装工艺的工业企业使用低VOCs涂料替代溶剂型涂料，涂料、稀释剂、清洗剂等原辅材料应密闭储存，调配、使用、回收等过程应采用密闭设备或在密闭空间内操作。</w:t>
            </w:r>
          </w:p>
        </w:tc>
        <w:tc>
          <w:tcPr>
            <w:tcW w:w="198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1.健全事故应急体系，落实有效的事故风险防范和应急措施，有效防范污染事故发生。</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2.产生、利用或处置固体废物（含危险废物、医疗废物）的企业，在贮存、转移、利用、处置固体废物过程中，应配套防扬散、防流失、防渗漏及其他防止污染环境的措施。</w:t>
            </w:r>
          </w:p>
        </w:tc>
        <w:tc>
          <w:tcPr>
            <w:tcW w:w="105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25</w:t>
            </w:r>
          </w:p>
        </w:tc>
        <w:tc>
          <w:tcPr>
            <w:tcW w:w="131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ZH37021130003</w:t>
            </w:r>
          </w:p>
        </w:tc>
        <w:tc>
          <w:tcPr>
            <w:tcW w:w="70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琅琊镇东南片区（琅琊景区）</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黄岛区</w:t>
            </w:r>
          </w:p>
        </w:tc>
        <w:tc>
          <w:tcPr>
            <w:tcW w:w="56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一般管控单元</w:t>
            </w:r>
          </w:p>
        </w:tc>
        <w:tc>
          <w:tcPr>
            <w:tcW w:w="1252"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琅琊台景区、水环境一般生态空间、大气环境一般管控区、大气环境受体敏感区</w:t>
            </w:r>
          </w:p>
        </w:tc>
        <w:tc>
          <w:tcPr>
            <w:tcW w:w="2008"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1.按照相关规划所列主导产业实施布局。</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2.积极发展生态旅游业等第三产业。</w:t>
            </w:r>
          </w:p>
        </w:tc>
        <w:tc>
          <w:tcPr>
            <w:tcW w:w="340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1.完善市政配套设施建设，加强污水收集管网体系的管理和维护，完善排水管网建设与改造，推进雨污分流改造，并根据城市规划尽快完成污水处理厂建设。</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w:t>
            </w:r>
            <w:r>
              <w:rPr>
                <w:rFonts w:ascii="Times New Roman" w:hAnsi="Times New Roman" w:cs="Times New Roman"/>
                <w:sz w:val="16"/>
                <w:szCs w:val="16"/>
              </w:rPr>
              <w:t>规模化畜禽养殖场、养殖小区应有序完成畜禽粪便处理利用设施和污水收集处理设施配套建设，防止造成面源污染。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3.加快农村生活污水综合治理，建设分散式污水处理设施。</w:t>
            </w:r>
          </w:p>
        </w:tc>
        <w:tc>
          <w:tcPr>
            <w:tcW w:w="198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1.健全事故应急体系，落实有效的事故风险防范和应急措施，有效防范污染事故发生。</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2.产生、利用或处置固体废物（含危险废物、医疗废物）的企业，在贮存、转移、利用、处置固体废物过程中，应配套防扬散、防流失、防渗漏及其他防止污染环境的措施。</w:t>
            </w:r>
          </w:p>
        </w:tc>
        <w:tc>
          <w:tcPr>
            <w:tcW w:w="105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26</w:t>
            </w:r>
          </w:p>
        </w:tc>
        <w:tc>
          <w:tcPr>
            <w:tcW w:w="131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ZH37021130004</w:t>
            </w:r>
          </w:p>
        </w:tc>
        <w:tc>
          <w:tcPr>
            <w:tcW w:w="70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大场镇</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黄岛区</w:t>
            </w:r>
          </w:p>
        </w:tc>
        <w:tc>
          <w:tcPr>
            <w:tcW w:w="56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一般管控单元</w:t>
            </w:r>
          </w:p>
        </w:tc>
        <w:tc>
          <w:tcPr>
            <w:tcW w:w="1252"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吉利河、大气环境一般管控区、大气环境受体敏感区</w:t>
            </w:r>
          </w:p>
        </w:tc>
        <w:tc>
          <w:tcPr>
            <w:tcW w:w="2008"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1.按照相关规划所列主导产业实施布局。</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2.引导工业企业入园，除在安全生产等有特殊要求的以外，应进入工业园区或集聚区。</w:t>
            </w:r>
          </w:p>
        </w:tc>
        <w:tc>
          <w:tcPr>
            <w:tcW w:w="340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1.完善市政配套设施建设，加强污水收集管网体系的管理和维护，完善排水管网建设与改造，推进雨污分流改造。</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w:t>
            </w:r>
            <w:r>
              <w:rPr>
                <w:rFonts w:ascii="Times New Roman" w:hAnsi="Times New Roman" w:cs="Times New Roman"/>
                <w:sz w:val="16"/>
                <w:szCs w:val="16"/>
              </w:rPr>
              <w:t>规模化畜禽养殖场、养殖小区应有序完成畜禽粪便处理利用设施和污水收集处理设施配套建设，防止造成面源污染。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3.做好生活垃圾的分类收集、转运、综合利用和无害化处理。提升固体废物的资源化综合利用率。</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4.加快农村生活污水综合治理，建设分散式污水处理设施。</w:t>
            </w:r>
          </w:p>
        </w:tc>
        <w:tc>
          <w:tcPr>
            <w:tcW w:w="198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1.健全事故应急体系，落实有效的事故风险防范和应急措施，有效防范污染事故发生。</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2.产生、利用或处置固体废物（含危险废物、医疗废物）的企业，在贮存、转移、利用、处置固体废物过程中，应配套防扬散、防流失、防渗漏及其他防止污染环境的措施。</w:t>
            </w:r>
          </w:p>
        </w:tc>
        <w:tc>
          <w:tcPr>
            <w:tcW w:w="105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27</w:t>
            </w:r>
          </w:p>
        </w:tc>
        <w:tc>
          <w:tcPr>
            <w:tcW w:w="131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ZH37021130005</w:t>
            </w:r>
          </w:p>
        </w:tc>
        <w:tc>
          <w:tcPr>
            <w:tcW w:w="700"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六汪镇</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2"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黄岛区</w:t>
            </w:r>
          </w:p>
        </w:tc>
        <w:tc>
          <w:tcPr>
            <w:tcW w:w="56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一般管控单元</w:t>
            </w:r>
          </w:p>
        </w:tc>
        <w:tc>
          <w:tcPr>
            <w:tcW w:w="1252"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铁山水库、花沟水库、红旗水库、生态评估区域一般生态空间、水环境一般管控区、大气环境一般管控区、大气环境受体敏感区</w:t>
            </w:r>
          </w:p>
        </w:tc>
        <w:tc>
          <w:tcPr>
            <w:tcW w:w="2008"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1.大力发展生态旅游业。</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2.按照相关规划所列主导产业实施布局。</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3.引导工业企业入园，除在安全生产等有特殊要求的以外，应进入工业园区或集聚区。</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4.</w:t>
            </w:r>
            <w:r>
              <w:rPr>
                <w:rFonts w:ascii="Times New Roman" w:hAnsi="Times New Roman" w:eastAsia="宋体" w:cs="Times New Roman"/>
                <w:kern w:val="0"/>
                <w:sz w:val="16"/>
                <w:szCs w:val="16"/>
                <w:lang w:val="zh-CN"/>
              </w:rPr>
              <w:t>饮用水水源保护区按照《中华人民共和国水污染防治法》《山东省水污染防治条例》</w:t>
            </w:r>
            <w:r>
              <w:rPr>
                <w:rFonts w:hint="eastAsia" w:ascii="Times New Roman" w:hAnsi="Times New Roman" w:eastAsia="宋体" w:cs="Times New Roman"/>
                <w:kern w:val="0"/>
                <w:sz w:val="16"/>
                <w:szCs w:val="16"/>
                <w:lang w:val="zh-CN"/>
              </w:rPr>
              <w:t>《青岛市饮用水水源保护条例》</w:t>
            </w:r>
            <w:r>
              <w:rPr>
                <w:rFonts w:ascii="Times New Roman" w:hAnsi="Times New Roman" w:eastAsia="宋体" w:cs="Times New Roman"/>
                <w:kern w:val="0"/>
                <w:sz w:val="16"/>
                <w:szCs w:val="16"/>
                <w:lang w:val="zh-CN"/>
              </w:rPr>
              <w:t>及相关法律法规实施保护管理。</w:t>
            </w:r>
          </w:p>
        </w:tc>
        <w:tc>
          <w:tcPr>
            <w:tcW w:w="3402"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1.完善市政配套设施建设，加强污水收集管网体系的管理和维护，完善排水管网建设与改造，推进雨污分流改造和污水处理设施建设。</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w:t>
            </w:r>
            <w:r>
              <w:rPr>
                <w:rFonts w:ascii="Times New Roman" w:hAnsi="Times New Roman" w:cs="Times New Roman"/>
                <w:sz w:val="16"/>
                <w:szCs w:val="16"/>
              </w:rPr>
              <w:t>规模化畜禽养殖场、养殖小区应有序完成畜禽粪便处理利用设施和污水收集处理设施配套建设，防止造成面源污染。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3.做好生活垃圾的分类收集、转运、综合利用和无害化处理。推行清洁生产，减少固体废物产生量。提升固体物的资源化综合利用率。</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纺织印染行业应优先采用清洁生产技术，禁止选用列入《产业结构调整指导目录》限制类、淘汰类的落后生产工艺和设备，提高资源、能源利用率，按照《印染行业废水污染防治技术政策》《纺织工业环境保护设施设计标准》《纺织染整工业废水治理工程技术规范》等有关规定，减少污染物的产生和排放。</w:t>
            </w:r>
          </w:p>
        </w:tc>
        <w:tc>
          <w:tcPr>
            <w:tcW w:w="198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1.健全事故应急体系，落实有效的事故风险防范和应急措施，有效防范污染事故发生。</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2.产生、利用或处置固体废物（含危险废物、医疗废物）的企业，在贮存、转移、利用、处置固体废物过程中，应配套防扬散、防流失、防渗漏及其他防止污染环境的措施。</w:t>
            </w:r>
          </w:p>
        </w:tc>
        <w:tc>
          <w:tcPr>
            <w:tcW w:w="105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bl>
    <w:p>
      <w:pPr>
        <w:rPr>
          <w:rFonts w:ascii="Times New Roman" w:hAnsi="Times New Roman" w:cs="Times New Roman"/>
          <w:sz w:val="16"/>
          <w:szCs w:val="16"/>
        </w:rPr>
      </w:pPr>
    </w:p>
    <w:p>
      <w:pPr>
        <w:widowControl/>
        <w:jc w:val="left"/>
        <w:rPr>
          <w:rFonts w:ascii="Times New Roman" w:hAnsi="Times New Roman" w:cs="Times New Roman"/>
          <w:bCs/>
          <w:kern w:val="44"/>
          <w:sz w:val="16"/>
          <w:szCs w:val="16"/>
        </w:rPr>
      </w:pPr>
      <w:bookmarkStart w:id="43" w:name="_Toc8471"/>
      <w:bookmarkStart w:id="44" w:name="_Toc67649337"/>
      <w:r>
        <w:rPr>
          <w:rFonts w:ascii="Times New Roman" w:hAnsi="Times New Roman" w:cs="Times New Roman"/>
          <w:bCs/>
          <w:kern w:val="44"/>
          <w:sz w:val="16"/>
          <w:szCs w:val="16"/>
        </w:rPr>
        <w:br w:type="page"/>
      </w:r>
    </w:p>
    <w:p>
      <w:pPr>
        <w:widowControl/>
        <w:adjustRightInd w:val="0"/>
        <w:snapToGrid w:val="0"/>
        <w:spacing w:line="360" w:lineRule="auto"/>
        <w:jc w:val="center"/>
        <w:outlineLvl w:val="1"/>
        <w:rPr>
          <w:rFonts w:ascii="Times New Roman" w:hAnsi="Times New Roman" w:eastAsia="黑体" w:cs="Times New Roman"/>
          <w:b/>
          <w:kern w:val="44"/>
          <w:sz w:val="28"/>
          <w:szCs w:val="28"/>
        </w:rPr>
      </w:pPr>
      <w:bookmarkStart w:id="45" w:name="_Toc137761110"/>
      <w:r>
        <w:rPr>
          <w:rFonts w:ascii="Times New Roman" w:hAnsi="Times New Roman" w:eastAsia="黑体" w:cs="Times New Roman"/>
          <w:b/>
          <w:kern w:val="44"/>
          <w:sz w:val="28"/>
          <w:szCs w:val="28"/>
        </w:rPr>
        <w:t>(六)城阳区环境管控单元生态环境准入清单</w:t>
      </w:r>
      <w:bookmarkEnd w:id="43"/>
      <w:bookmarkEnd w:id="44"/>
      <w:bookmarkEnd w:id="45"/>
    </w:p>
    <w:tbl>
      <w:tblPr>
        <w:tblStyle w:val="13"/>
        <w:tblW w:w="13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0"/>
        <w:gridCol w:w="1323"/>
        <w:gridCol w:w="665"/>
        <w:gridCol w:w="435"/>
        <w:gridCol w:w="435"/>
        <w:gridCol w:w="438"/>
        <w:gridCol w:w="703"/>
        <w:gridCol w:w="1113"/>
        <w:gridCol w:w="2016"/>
        <w:gridCol w:w="2247"/>
        <w:gridCol w:w="2561"/>
        <w:gridCol w:w="1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80" w:type="dxa"/>
            <w:vMerge w:val="restart"/>
            <w:vAlign w:val="center"/>
          </w:tcPr>
          <w:p>
            <w:pPr>
              <w:widowControl/>
              <w:adjustRightInd w:val="0"/>
              <w:snapToGrid w:val="0"/>
              <w:jc w:val="center"/>
              <w:rPr>
                <w:rFonts w:ascii="Times New Roman" w:hAnsi="Times New Roman" w:eastAsia="宋体" w:cs="Times New Roman"/>
                <w:b/>
                <w:kern w:val="44"/>
                <w:sz w:val="16"/>
                <w:szCs w:val="16"/>
              </w:rPr>
            </w:pPr>
            <w:r>
              <w:rPr>
                <w:rFonts w:ascii="Times New Roman" w:hAnsi="Times New Roman" w:eastAsia="宋体" w:cs="Times New Roman"/>
                <w:b/>
                <w:kern w:val="44"/>
                <w:sz w:val="16"/>
                <w:szCs w:val="16"/>
              </w:rPr>
              <w:t>序号</w:t>
            </w:r>
          </w:p>
        </w:tc>
        <w:tc>
          <w:tcPr>
            <w:tcW w:w="1323" w:type="dxa"/>
            <w:vMerge w:val="restart"/>
            <w:vAlign w:val="center"/>
          </w:tcPr>
          <w:p>
            <w:pPr>
              <w:widowControl/>
              <w:adjustRightInd w:val="0"/>
              <w:snapToGrid w:val="0"/>
              <w:jc w:val="center"/>
              <w:rPr>
                <w:rFonts w:ascii="Times New Roman" w:hAnsi="Times New Roman" w:eastAsia="宋体" w:cs="Times New Roman"/>
                <w:b/>
                <w:kern w:val="0"/>
                <w:sz w:val="16"/>
                <w:szCs w:val="16"/>
              </w:rPr>
            </w:pPr>
            <w:r>
              <w:rPr>
                <w:rFonts w:ascii="Times New Roman" w:hAnsi="Times New Roman" w:eastAsia="宋体" w:cs="Times New Roman"/>
                <w:b/>
                <w:kern w:val="0"/>
                <w:sz w:val="16"/>
                <w:szCs w:val="16"/>
              </w:rPr>
              <w:t>环境管控单元编码</w:t>
            </w:r>
          </w:p>
        </w:tc>
        <w:tc>
          <w:tcPr>
            <w:tcW w:w="665" w:type="dxa"/>
            <w:vMerge w:val="restart"/>
            <w:vAlign w:val="center"/>
          </w:tcPr>
          <w:p>
            <w:pPr>
              <w:snapToGrid w:val="0"/>
              <w:ind w:left="-160" w:leftChars="-50" w:right="-166" w:rightChars="-52"/>
              <w:jc w:val="center"/>
              <w:rPr>
                <w:rFonts w:ascii="Times New Roman" w:hAnsi="Times New Roman" w:eastAsia="宋体" w:cs="Times New Roman"/>
                <w:b/>
                <w:kern w:val="0"/>
                <w:sz w:val="16"/>
                <w:szCs w:val="16"/>
              </w:rPr>
            </w:pPr>
            <w:r>
              <w:rPr>
                <w:rFonts w:ascii="Times New Roman" w:hAnsi="Times New Roman" w:eastAsia="宋体" w:cs="Times New Roman"/>
                <w:b/>
                <w:kern w:val="0"/>
                <w:sz w:val="16"/>
                <w:szCs w:val="16"/>
              </w:rPr>
              <w:t>环境管控单元名称</w:t>
            </w:r>
          </w:p>
        </w:tc>
        <w:tc>
          <w:tcPr>
            <w:tcW w:w="1308" w:type="dxa"/>
            <w:gridSpan w:val="3"/>
            <w:vAlign w:val="center"/>
          </w:tcPr>
          <w:p>
            <w:pPr>
              <w:widowControl/>
              <w:adjustRightInd w:val="0"/>
              <w:snapToGrid w:val="0"/>
              <w:jc w:val="center"/>
              <w:rPr>
                <w:rFonts w:ascii="Times New Roman" w:hAnsi="Times New Roman" w:eastAsia="宋体" w:cs="Times New Roman"/>
                <w:b/>
                <w:kern w:val="44"/>
                <w:sz w:val="16"/>
                <w:szCs w:val="16"/>
              </w:rPr>
            </w:pPr>
            <w:r>
              <w:rPr>
                <w:rFonts w:ascii="Times New Roman" w:hAnsi="Times New Roman" w:eastAsia="宋体" w:cs="Times New Roman"/>
                <w:b/>
                <w:kern w:val="44"/>
                <w:sz w:val="16"/>
                <w:szCs w:val="16"/>
              </w:rPr>
              <w:t>行政区划</w:t>
            </w:r>
          </w:p>
        </w:tc>
        <w:tc>
          <w:tcPr>
            <w:tcW w:w="703" w:type="dxa"/>
            <w:vMerge w:val="restart"/>
            <w:vAlign w:val="center"/>
          </w:tcPr>
          <w:p>
            <w:pPr>
              <w:widowControl/>
              <w:adjustRightInd w:val="0"/>
              <w:snapToGrid w:val="0"/>
              <w:jc w:val="center"/>
              <w:rPr>
                <w:rFonts w:ascii="Times New Roman" w:hAnsi="Times New Roman" w:eastAsia="宋体" w:cs="Times New Roman"/>
                <w:b/>
                <w:kern w:val="0"/>
                <w:sz w:val="16"/>
                <w:szCs w:val="16"/>
              </w:rPr>
            </w:pPr>
            <w:r>
              <w:rPr>
                <w:rFonts w:ascii="Times New Roman" w:hAnsi="Times New Roman" w:eastAsia="宋体" w:cs="Times New Roman"/>
                <w:b/>
                <w:kern w:val="0"/>
                <w:sz w:val="16"/>
                <w:szCs w:val="16"/>
              </w:rPr>
              <w:t>管控单元分类</w:t>
            </w:r>
          </w:p>
        </w:tc>
        <w:tc>
          <w:tcPr>
            <w:tcW w:w="1113" w:type="dxa"/>
            <w:vMerge w:val="restart"/>
            <w:vAlign w:val="center"/>
          </w:tcPr>
          <w:p>
            <w:pPr>
              <w:adjustRightInd w:val="0"/>
              <w:snapToGrid w:val="0"/>
              <w:jc w:val="center"/>
              <w:rPr>
                <w:rFonts w:ascii="Times New Roman" w:hAnsi="Times New Roman" w:eastAsia="宋体" w:cs="Times New Roman"/>
                <w:b/>
                <w:kern w:val="0"/>
                <w:sz w:val="16"/>
                <w:szCs w:val="16"/>
              </w:rPr>
            </w:pPr>
            <w:r>
              <w:rPr>
                <w:rFonts w:ascii="Times New Roman" w:hAnsi="Times New Roman" w:eastAsia="宋体" w:cs="Times New Roman"/>
                <w:b/>
                <w:kern w:val="0"/>
                <w:sz w:val="16"/>
                <w:szCs w:val="16"/>
              </w:rPr>
              <w:t>涉及的主要管控细类</w:t>
            </w:r>
          </w:p>
        </w:tc>
        <w:tc>
          <w:tcPr>
            <w:tcW w:w="2016" w:type="dxa"/>
            <w:vMerge w:val="restart"/>
            <w:vAlign w:val="center"/>
          </w:tcPr>
          <w:p>
            <w:pPr>
              <w:adjustRightInd w:val="0"/>
              <w:snapToGrid w:val="0"/>
              <w:jc w:val="center"/>
              <w:rPr>
                <w:rFonts w:ascii="Times New Roman" w:hAnsi="Times New Roman" w:eastAsia="宋体" w:cs="Times New Roman"/>
                <w:b/>
                <w:kern w:val="0"/>
                <w:sz w:val="16"/>
                <w:szCs w:val="16"/>
              </w:rPr>
            </w:pPr>
            <w:r>
              <w:rPr>
                <w:rFonts w:ascii="Times New Roman" w:hAnsi="Times New Roman" w:eastAsia="宋体" w:cs="Times New Roman"/>
                <w:b/>
                <w:kern w:val="0"/>
                <w:sz w:val="16"/>
                <w:szCs w:val="16"/>
              </w:rPr>
              <w:t>空间布局约束</w:t>
            </w:r>
          </w:p>
        </w:tc>
        <w:tc>
          <w:tcPr>
            <w:tcW w:w="2247" w:type="dxa"/>
            <w:vMerge w:val="restart"/>
            <w:vAlign w:val="center"/>
          </w:tcPr>
          <w:p>
            <w:pPr>
              <w:adjustRightInd w:val="0"/>
              <w:snapToGrid w:val="0"/>
              <w:jc w:val="center"/>
              <w:rPr>
                <w:rFonts w:ascii="Times New Roman" w:hAnsi="Times New Roman" w:eastAsia="宋体" w:cs="Times New Roman"/>
                <w:b/>
                <w:kern w:val="0"/>
                <w:sz w:val="16"/>
                <w:szCs w:val="16"/>
              </w:rPr>
            </w:pPr>
            <w:r>
              <w:rPr>
                <w:rFonts w:ascii="Times New Roman" w:hAnsi="Times New Roman" w:eastAsia="宋体" w:cs="Times New Roman"/>
                <w:b/>
                <w:kern w:val="0"/>
                <w:sz w:val="16"/>
                <w:szCs w:val="16"/>
              </w:rPr>
              <w:t>污染物排放管控</w:t>
            </w:r>
          </w:p>
        </w:tc>
        <w:tc>
          <w:tcPr>
            <w:tcW w:w="2561" w:type="dxa"/>
            <w:vMerge w:val="restart"/>
            <w:vAlign w:val="center"/>
          </w:tcPr>
          <w:p>
            <w:pPr>
              <w:adjustRightInd w:val="0"/>
              <w:snapToGrid w:val="0"/>
              <w:jc w:val="center"/>
              <w:rPr>
                <w:rFonts w:ascii="Times New Roman" w:hAnsi="Times New Roman" w:eastAsia="宋体" w:cs="Times New Roman"/>
                <w:b/>
                <w:kern w:val="0"/>
                <w:sz w:val="16"/>
                <w:szCs w:val="16"/>
              </w:rPr>
            </w:pPr>
            <w:r>
              <w:rPr>
                <w:rFonts w:ascii="Times New Roman" w:hAnsi="Times New Roman" w:eastAsia="宋体" w:cs="Times New Roman"/>
                <w:b/>
                <w:kern w:val="0"/>
                <w:sz w:val="16"/>
                <w:szCs w:val="16"/>
              </w:rPr>
              <w:t>环境风险防控</w:t>
            </w:r>
          </w:p>
        </w:tc>
        <w:tc>
          <w:tcPr>
            <w:tcW w:w="1632" w:type="dxa"/>
            <w:vMerge w:val="restart"/>
            <w:vAlign w:val="center"/>
          </w:tcPr>
          <w:p>
            <w:pPr>
              <w:adjustRightInd w:val="0"/>
              <w:snapToGrid w:val="0"/>
              <w:jc w:val="center"/>
              <w:rPr>
                <w:rFonts w:ascii="Times New Roman" w:hAnsi="Times New Roman" w:eastAsia="宋体" w:cs="Times New Roman"/>
                <w:b/>
                <w:kern w:val="0"/>
                <w:sz w:val="16"/>
                <w:szCs w:val="16"/>
              </w:rPr>
            </w:pPr>
            <w:r>
              <w:rPr>
                <w:rFonts w:ascii="Times New Roman" w:hAnsi="Times New Roman" w:eastAsia="宋体" w:cs="Times New Roman"/>
                <w:b/>
                <w:kern w:val="0"/>
                <w:sz w:val="16"/>
                <w:szCs w:val="16"/>
              </w:rPr>
              <w:t>资源开发效率要求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80" w:type="dxa"/>
            <w:vMerge w:val="continue"/>
            <w:vAlign w:val="center"/>
          </w:tcPr>
          <w:p>
            <w:pPr>
              <w:widowControl/>
              <w:adjustRightInd w:val="0"/>
              <w:snapToGrid w:val="0"/>
              <w:jc w:val="center"/>
              <w:rPr>
                <w:rFonts w:ascii="Times New Roman" w:hAnsi="Times New Roman" w:eastAsia="宋体" w:cs="Times New Roman"/>
                <w:b/>
                <w:kern w:val="44"/>
                <w:sz w:val="16"/>
                <w:szCs w:val="16"/>
              </w:rPr>
            </w:pPr>
          </w:p>
        </w:tc>
        <w:tc>
          <w:tcPr>
            <w:tcW w:w="1323" w:type="dxa"/>
            <w:vMerge w:val="continue"/>
            <w:vAlign w:val="center"/>
          </w:tcPr>
          <w:p>
            <w:pPr>
              <w:widowControl/>
              <w:adjustRightInd w:val="0"/>
              <w:snapToGrid w:val="0"/>
              <w:jc w:val="center"/>
              <w:rPr>
                <w:rFonts w:ascii="Times New Roman" w:hAnsi="Times New Roman" w:eastAsia="宋体" w:cs="Times New Roman"/>
                <w:b/>
                <w:kern w:val="0"/>
                <w:sz w:val="16"/>
                <w:szCs w:val="16"/>
              </w:rPr>
            </w:pPr>
          </w:p>
        </w:tc>
        <w:tc>
          <w:tcPr>
            <w:tcW w:w="665" w:type="dxa"/>
            <w:vMerge w:val="continue"/>
            <w:vAlign w:val="center"/>
          </w:tcPr>
          <w:p>
            <w:pPr>
              <w:adjustRightInd w:val="0"/>
              <w:snapToGrid w:val="0"/>
              <w:jc w:val="center"/>
              <w:rPr>
                <w:rFonts w:ascii="Times New Roman" w:hAnsi="Times New Roman" w:eastAsia="宋体" w:cs="Times New Roman"/>
                <w:b/>
                <w:kern w:val="0"/>
                <w:sz w:val="16"/>
                <w:szCs w:val="16"/>
              </w:rPr>
            </w:pPr>
          </w:p>
        </w:tc>
        <w:tc>
          <w:tcPr>
            <w:tcW w:w="435" w:type="dxa"/>
            <w:vAlign w:val="center"/>
          </w:tcPr>
          <w:p>
            <w:pPr>
              <w:widowControl/>
              <w:adjustRightInd w:val="0"/>
              <w:snapToGrid w:val="0"/>
              <w:jc w:val="center"/>
              <w:rPr>
                <w:rFonts w:ascii="Times New Roman" w:hAnsi="Times New Roman" w:eastAsia="宋体" w:cs="Times New Roman"/>
                <w:b/>
                <w:kern w:val="0"/>
                <w:sz w:val="16"/>
                <w:szCs w:val="16"/>
              </w:rPr>
            </w:pPr>
            <w:r>
              <w:rPr>
                <w:rFonts w:ascii="Times New Roman" w:hAnsi="Times New Roman" w:eastAsia="宋体" w:cs="Times New Roman"/>
                <w:b/>
                <w:kern w:val="0"/>
                <w:sz w:val="16"/>
                <w:szCs w:val="16"/>
              </w:rPr>
              <w:t>省</w:t>
            </w:r>
          </w:p>
        </w:tc>
        <w:tc>
          <w:tcPr>
            <w:tcW w:w="435" w:type="dxa"/>
            <w:vAlign w:val="center"/>
          </w:tcPr>
          <w:p>
            <w:pPr>
              <w:adjustRightInd w:val="0"/>
              <w:snapToGrid w:val="0"/>
              <w:jc w:val="center"/>
              <w:rPr>
                <w:rFonts w:ascii="Times New Roman" w:hAnsi="Times New Roman" w:eastAsia="宋体" w:cs="Times New Roman"/>
                <w:b/>
                <w:kern w:val="0"/>
                <w:sz w:val="16"/>
                <w:szCs w:val="16"/>
              </w:rPr>
            </w:pPr>
            <w:r>
              <w:rPr>
                <w:rFonts w:ascii="Times New Roman" w:hAnsi="Times New Roman" w:eastAsia="宋体" w:cs="Times New Roman"/>
                <w:b/>
                <w:kern w:val="0"/>
                <w:sz w:val="16"/>
                <w:szCs w:val="16"/>
              </w:rPr>
              <w:t>市</w:t>
            </w:r>
          </w:p>
        </w:tc>
        <w:tc>
          <w:tcPr>
            <w:tcW w:w="438" w:type="dxa"/>
            <w:vAlign w:val="center"/>
          </w:tcPr>
          <w:p>
            <w:pPr>
              <w:adjustRightInd w:val="0"/>
              <w:snapToGrid w:val="0"/>
              <w:jc w:val="center"/>
              <w:rPr>
                <w:rFonts w:ascii="Times New Roman" w:hAnsi="Times New Roman" w:eastAsia="宋体" w:cs="Times New Roman"/>
                <w:b/>
                <w:kern w:val="0"/>
                <w:sz w:val="16"/>
                <w:szCs w:val="16"/>
              </w:rPr>
            </w:pPr>
            <w:r>
              <w:rPr>
                <w:rFonts w:ascii="Times New Roman" w:hAnsi="Times New Roman" w:eastAsia="宋体" w:cs="Times New Roman"/>
                <w:b/>
                <w:kern w:val="0"/>
                <w:sz w:val="16"/>
                <w:szCs w:val="16"/>
              </w:rPr>
              <w:t>县</w:t>
            </w:r>
          </w:p>
        </w:tc>
        <w:tc>
          <w:tcPr>
            <w:tcW w:w="703" w:type="dxa"/>
            <w:vMerge w:val="continue"/>
            <w:vAlign w:val="center"/>
          </w:tcPr>
          <w:p>
            <w:pPr>
              <w:widowControl/>
              <w:adjustRightInd w:val="0"/>
              <w:snapToGrid w:val="0"/>
              <w:jc w:val="center"/>
              <w:rPr>
                <w:rFonts w:ascii="Times New Roman" w:hAnsi="Times New Roman" w:eastAsia="宋体" w:cs="Times New Roman"/>
                <w:b/>
                <w:kern w:val="44"/>
                <w:sz w:val="16"/>
                <w:szCs w:val="16"/>
              </w:rPr>
            </w:pPr>
          </w:p>
        </w:tc>
        <w:tc>
          <w:tcPr>
            <w:tcW w:w="1113" w:type="dxa"/>
            <w:vMerge w:val="continue"/>
            <w:vAlign w:val="center"/>
          </w:tcPr>
          <w:p>
            <w:pPr>
              <w:widowControl/>
              <w:adjustRightInd w:val="0"/>
              <w:snapToGrid w:val="0"/>
              <w:jc w:val="center"/>
              <w:rPr>
                <w:rFonts w:ascii="Times New Roman" w:hAnsi="Times New Roman" w:eastAsia="宋体" w:cs="Times New Roman"/>
                <w:b/>
                <w:kern w:val="44"/>
                <w:sz w:val="16"/>
                <w:szCs w:val="16"/>
              </w:rPr>
            </w:pPr>
          </w:p>
        </w:tc>
        <w:tc>
          <w:tcPr>
            <w:tcW w:w="2016" w:type="dxa"/>
            <w:vMerge w:val="continue"/>
            <w:vAlign w:val="center"/>
          </w:tcPr>
          <w:p>
            <w:pPr>
              <w:widowControl/>
              <w:adjustRightInd w:val="0"/>
              <w:snapToGrid w:val="0"/>
              <w:jc w:val="center"/>
              <w:rPr>
                <w:rFonts w:ascii="Times New Roman" w:hAnsi="Times New Roman" w:eastAsia="宋体" w:cs="Times New Roman"/>
                <w:b/>
                <w:kern w:val="44"/>
                <w:sz w:val="16"/>
                <w:szCs w:val="16"/>
              </w:rPr>
            </w:pPr>
          </w:p>
        </w:tc>
        <w:tc>
          <w:tcPr>
            <w:tcW w:w="2247" w:type="dxa"/>
            <w:vMerge w:val="continue"/>
            <w:vAlign w:val="center"/>
          </w:tcPr>
          <w:p>
            <w:pPr>
              <w:widowControl/>
              <w:adjustRightInd w:val="0"/>
              <w:snapToGrid w:val="0"/>
              <w:jc w:val="center"/>
              <w:rPr>
                <w:rFonts w:ascii="Times New Roman" w:hAnsi="Times New Roman" w:eastAsia="宋体" w:cs="Times New Roman"/>
                <w:b/>
                <w:kern w:val="44"/>
                <w:sz w:val="16"/>
                <w:szCs w:val="16"/>
              </w:rPr>
            </w:pPr>
          </w:p>
        </w:tc>
        <w:tc>
          <w:tcPr>
            <w:tcW w:w="2561" w:type="dxa"/>
            <w:vMerge w:val="continue"/>
            <w:vAlign w:val="center"/>
          </w:tcPr>
          <w:p>
            <w:pPr>
              <w:widowControl/>
              <w:adjustRightInd w:val="0"/>
              <w:snapToGrid w:val="0"/>
              <w:jc w:val="center"/>
              <w:rPr>
                <w:rFonts w:ascii="Times New Roman" w:hAnsi="Times New Roman" w:eastAsia="宋体" w:cs="Times New Roman"/>
                <w:b/>
                <w:kern w:val="44"/>
                <w:sz w:val="16"/>
                <w:szCs w:val="16"/>
              </w:rPr>
            </w:pPr>
          </w:p>
        </w:tc>
        <w:tc>
          <w:tcPr>
            <w:tcW w:w="1632" w:type="dxa"/>
            <w:vMerge w:val="continue"/>
            <w:vAlign w:val="center"/>
          </w:tcPr>
          <w:p>
            <w:pPr>
              <w:widowControl/>
              <w:adjustRightInd w:val="0"/>
              <w:snapToGrid w:val="0"/>
              <w:jc w:val="center"/>
              <w:rPr>
                <w:rFonts w:ascii="Times New Roman" w:hAnsi="Times New Roman" w:eastAsia="宋体" w:cs="Times New Roman"/>
                <w:b/>
                <w:kern w:val="44"/>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dxa"/>
            <w:vAlign w:val="center"/>
          </w:tcPr>
          <w:p>
            <w:pPr>
              <w:widowControl/>
              <w:adjustRightInd w:val="0"/>
              <w:snapToGrid w:val="0"/>
              <w:jc w:val="center"/>
              <w:rPr>
                <w:rFonts w:ascii="Times New Roman" w:hAnsi="Times New Roman" w:eastAsia="宋体" w:cs="Times New Roman"/>
                <w:b/>
                <w:kern w:val="44"/>
                <w:sz w:val="16"/>
                <w:szCs w:val="16"/>
              </w:rPr>
            </w:pPr>
            <w:r>
              <w:rPr>
                <w:rFonts w:ascii="Times New Roman" w:hAnsi="Times New Roman" w:eastAsia="宋体" w:cs="Times New Roman"/>
                <w:b/>
                <w:kern w:val="44"/>
                <w:sz w:val="16"/>
                <w:szCs w:val="16"/>
              </w:rPr>
              <w:t>1</w:t>
            </w:r>
          </w:p>
        </w:tc>
        <w:tc>
          <w:tcPr>
            <w:tcW w:w="1323" w:type="dxa"/>
            <w:vAlign w:val="center"/>
          </w:tcPr>
          <w:p>
            <w:pPr>
              <w:widowControl/>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ZH37021410001</w:t>
            </w:r>
          </w:p>
        </w:tc>
        <w:tc>
          <w:tcPr>
            <w:tcW w:w="665"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惜福镇街道（1）</w:t>
            </w:r>
          </w:p>
        </w:tc>
        <w:tc>
          <w:tcPr>
            <w:tcW w:w="435"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山东省</w:t>
            </w:r>
          </w:p>
        </w:tc>
        <w:tc>
          <w:tcPr>
            <w:tcW w:w="435"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青岛市</w:t>
            </w:r>
          </w:p>
        </w:tc>
        <w:tc>
          <w:tcPr>
            <w:tcW w:w="438"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城阳区</w:t>
            </w:r>
          </w:p>
        </w:tc>
        <w:tc>
          <w:tcPr>
            <w:tcW w:w="703"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优先保护单元</w:t>
            </w:r>
          </w:p>
        </w:tc>
        <w:tc>
          <w:tcPr>
            <w:tcW w:w="1113" w:type="dxa"/>
            <w:vAlign w:val="center"/>
          </w:tcPr>
          <w:p>
            <w:pPr>
              <w:snapToGrid w:val="0"/>
              <w:jc w:val="left"/>
              <w:rPr>
                <w:rFonts w:ascii="Times New Roman" w:hAnsi="Times New Roman" w:eastAsia="宋体" w:cs="Times New Roman"/>
                <w:kern w:val="0"/>
                <w:sz w:val="16"/>
                <w:szCs w:val="16"/>
              </w:rPr>
            </w:pPr>
            <w:r>
              <w:rPr>
                <w:rFonts w:ascii="Times New Roman" w:hAnsi="Times New Roman" w:eastAsia="宋体" w:cs="Times New Roman"/>
                <w:bCs/>
                <w:kern w:val="0"/>
                <w:sz w:val="16"/>
                <w:szCs w:val="16"/>
              </w:rPr>
              <w:t>青岛崂山国家级风景名胜区、崂山省级自然保护区</w:t>
            </w:r>
            <w:r>
              <w:rPr>
                <w:rFonts w:ascii="Times New Roman" w:hAnsi="Times New Roman" w:eastAsia="宋体" w:cs="Times New Roman"/>
                <w:kern w:val="0"/>
                <w:sz w:val="16"/>
                <w:szCs w:val="16"/>
              </w:rPr>
              <w:t>、国家级公益林、生态评估区域一般生态空间、书院水库、大气环境受体敏感区</w:t>
            </w:r>
          </w:p>
        </w:tc>
        <w:tc>
          <w:tcPr>
            <w:tcW w:w="2016" w:type="dxa"/>
            <w:vAlign w:val="center"/>
          </w:tcPr>
          <w:p>
            <w:pPr>
              <w:snapToGrid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1.新建有污染物排放的工业项目，除在安全生产等方面有特殊要求的以外，应当进入工业园区或者工业集聚区。</w:t>
            </w:r>
          </w:p>
          <w:p>
            <w:pPr>
              <w:snapToGrid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2.饮用水水源保护区按照《中华人民共和国水污染防治法》《山东省水污染防治条例》</w:t>
            </w:r>
            <w:r>
              <w:rPr>
                <w:rFonts w:hint="eastAsia" w:ascii="Times New Roman" w:hAnsi="Times New Roman" w:eastAsia="宋体" w:cs="Times New Roman"/>
                <w:kern w:val="0"/>
                <w:sz w:val="16"/>
                <w:szCs w:val="16"/>
                <w:lang w:eastAsia="zh-CN"/>
              </w:rPr>
              <w:t>《青岛市饮用水水源保护条例》</w:t>
            </w:r>
            <w:r>
              <w:rPr>
                <w:rFonts w:ascii="Times New Roman" w:hAnsi="Times New Roman" w:eastAsia="宋体" w:cs="Times New Roman"/>
                <w:kern w:val="0"/>
                <w:sz w:val="16"/>
                <w:szCs w:val="16"/>
              </w:rPr>
              <w:t>及相关法律法规实施保护管理。</w:t>
            </w:r>
          </w:p>
          <w:p>
            <w:pPr>
              <w:snapToGrid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3.风景名胜区按照《风景名胜区条例》等法律法规实施保护管理。</w:t>
            </w:r>
          </w:p>
          <w:p>
            <w:pPr>
              <w:snapToGrid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4.国家级公益林按照《中华人民共和国森林法》《关于在国土空间规划中统筹划定落实三条控制线的指导意见》《国家公益林管理办法》及相关法律法规实施保护管理。</w:t>
            </w:r>
          </w:p>
          <w:p>
            <w:pPr>
              <w:snapToGrid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5.优先发展特色农业和生态旅游业。</w:t>
            </w:r>
          </w:p>
        </w:tc>
        <w:tc>
          <w:tcPr>
            <w:tcW w:w="2247" w:type="dxa"/>
            <w:vAlign w:val="center"/>
          </w:tcPr>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1.涉及挥发性有机物排放的行业应严格遵守《挥发性有机物无组织排放控制标准》（GB37822-2019）和山东省地方标准《挥发性有机物排放标准》各部分相关标准。</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2.完善市政配套设施建设，加强污水收集管网体系的管理和维护，完善排水管网建设与改造，推进雨污分流改造。</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3.做好工业固废和生活垃圾的分类收集、转运、综合利用和无害化处理，推行清洁生产，减少固废产生量。</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4.规模化畜禽养殖场、养殖小区应有序完成畜禽粪便处理利用设施和污水收集处理设施配套建设，防止造成面源污染。</w:t>
            </w:r>
          </w:p>
        </w:tc>
        <w:tc>
          <w:tcPr>
            <w:tcW w:w="2561" w:type="dxa"/>
            <w:vAlign w:val="center"/>
          </w:tcPr>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1.工业企业规范固体废物的处理措施，对产生的固体废物特别是危险废物应严格按照国家规定综合利用或妥善处置，严防二次污染。</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2.按照《中华人民共和国水污染防治法》</w:t>
            </w:r>
            <w:r>
              <w:rPr>
                <w:rFonts w:ascii="Times New Roman" w:hAnsi="Times New Roman" w:cs="Times New Roman"/>
                <w:sz w:val="16"/>
                <w:szCs w:val="16"/>
              </w:rPr>
              <w:t>等</w:t>
            </w:r>
            <w:r>
              <w:rPr>
                <w:rFonts w:ascii="Times New Roman" w:hAnsi="Times New Roman" w:eastAsia="宋体" w:cs="Times New Roman"/>
                <w:kern w:val="0"/>
                <w:sz w:val="16"/>
                <w:szCs w:val="16"/>
              </w:rPr>
              <w:t>，加强饮用水源保护区风险预防和预警应急工作。</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3.建立健全环境风险事故防范措施和应急预案，严防环境安全事故发生。</w:t>
            </w:r>
          </w:p>
        </w:tc>
        <w:tc>
          <w:tcPr>
            <w:tcW w:w="1632" w:type="dxa"/>
            <w:vAlign w:val="center"/>
          </w:tcPr>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1.推广集中供能和清洁能源利用，实施热、电行业超低排放改造。</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2.加快漏损管网改造，减少管网漏损率、普及节水型器具。</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3.全面开展节水型社会建设，促进再生水利用。</w:t>
            </w:r>
          </w:p>
          <w:p>
            <w:pPr>
              <w:snapToGrid w:val="0"/>
              <w:rPr>
                <w:rFonts w:ascii="Times New Roman" w:hAnsi="Times New Roman" w:eastAsia="宋体" w:cs="Times New Roman"/>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dxa"/>
            <w:vAlign w:val="center"/>
          </w:tcPr>
          <w:p>
            <w:pPr>
              <w:widowControl/>
              <w:adjustRightInd w:val="0"/>
              <w:snapToGrid w:val="0"/>
              <w:jc w:val="center"/>
              <w:rPr>
                <w:rFonts w:ascii="Times New Roman" w:hAnsi="Times New Roman" w:eastAsia="宋体" w:cs="Times New Roman"/>
                <w:b/>
                <w:kern w:val="44"/>
                <w:sz w:val="16"/>
                <w:szCs w:val="16"/>
              </w:rPr>
            </w:pPr>
            <w:r>
              <w:rPr>
                <w:rFonts w:ascii="Times New Roman" w:hAnsi="Times New Roman" w:eastAsia="宋体" w:cs="Times New Roman"/>
                <w:b/>
                <w:kern w:val="44"/>
                <w:sz w:val="16"/>
                <w:szCs w:val="16"/>
              </w:rPr>
              <w:t>2</w:t>
            </w:r>
          </w:p>
        </w:tc>
        <w:tc>
          <w:tcPr>
            <w:tcW w:w="1323"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ZH37021420001</w:t>
            </w:r>
          </w:p>
        </w:tc>
        <w:tc>
          <w:tcPr>
            <w:tcW w:w="665"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城阳街道</w:t>
            </w:r>
          </w:p>
        </w:tc>
        <w:tc>
          <w:tcPr>
            <w:tcW w:w="435"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山东省</w:t>
            </w:r>
          </w:p>
        </w:tc>
        <w:tc>
          <w:tcPr>
            <w:tcW w:w="435"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青岛市</w:t>
            </w:r>
          </w:p>
        </w:tc>
        <w:tc>
          <w:tcPr>
            <w:tcW w:w="438"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城阳区</w:t>
            </w:r>
          </w:p>
        </w:tc>
        <w:tc>
          <w:tcPr>
            <w:tcW w:w="703"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重点管控单元</w:t>
            </w:r>
          </w:p>
        </w:tc>
        <w:tc>
          <w:tcPr>
            <w:tcW w:w="1113" w:type="dxa"/>
            <w:vAlign w:val="center"/>
          </w:tcPr>
          <w:p>
            <w:pPr>
              <w:snapToGrid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大气环境高污染排放区、水环境城镇生活源重点管控区、大气环境受体敏感区</w:t>
            </w:r>
          </w:p>
        </w:tc>
        <w:tc>
          <w:tcPr>
            <w:tcW w:w="2016" w:type="dxa"/>
            <w:vAlign w:val="center"/>
          </w:tcPr>
          <w:p>
            <w:pPr>
              <w:snapToGrid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1.新建有污染物排放的工业项目，除在安全生产等方面有特殊要求的以外，应当进入工业园区或者工业集聚区。</w:t>
            </w:r>
          </w:p>
          <w:p>
            <w:pPr>
              <w:snapToGrid w:val="0"/>
              <w:jc w:val="left"/>
              <w:rPr>
                <w:rFonts w:ascii="Times New Roman" w:hAnsi="Times New Roman" w:eastAsia="宋体" w:cs="Times New Roman"/>
                <w:kern w:val="0"/>
                <w:sz w:val="16"/>
                <w:szCs w:val="16"/>
              </w:rPr>
            </w:pPr>
          </w:p>
        </w:tc>
        <w:tc>
          <w:tcPr>
            <w:tcW w:w="2247" w:type="dxa"/>
            <w:vAlign w:val="center"/>
          </w:tcPr>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1.机械加工行业下料、机械加工、抛丸、打磨、喷砂、清理滚筒、热处理、化学预处理、电镀等环节设置废气有效收集治理设施。焊接环节根据作业点位数配备焊接烟尘净化器，或设置专门操作间并设置集气系统对焊接烟尘进行有效收集治理。</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2.涂装行业推进源头替代，引导使用低VOCs含量的涂料替代溶剂型涂料，从源头减少VOCs产生。采用自动化、智能化喷涂等先进工艺替代人工喷涂，减少使用空气喷涂技术。提高废气收集率。配备废气收集系统，将无组织排放转变为有组织排放进行控制。涂料、稀释剂、清洗剂等原辅材料应密闭存储，调配、使用、回收等过程应采用密闭设备或在密闭空间内操作，采用密闭管道或密闭容器等输送。推进建设适宜高效的治污设施，合理选择治理技术，提高VOCs治理效率。</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3.印刷行业油墨等原辅材料存储、调配工段应对空间进行微负压改造，辊刷、覆压工艺宜设置于密闭工作间内，集中排风并导入VOCs处理设施处理。工艺废气在过滤后宜采用浓缩结合燃烧法等工艺进行处理。</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4.食品加工行业加强臭气异味的处理和防治。安装净化装置或者采取其他措施，防止排放恶臭气体。对产生的含盐废水进行处理，做到达标排放。</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5.塑料制品行业加热挤出工段宜采用上吸风方式对废气进行有效收集，吹塑工段宜采取环绕方式对废气进行有效收集。加热挤出、压制、吹塑（发泡）、印刷等工艺产生的废气经除尘后宜采用浓缩结合燃烧法等工艺进行处理。使用含氯原料的工艺废气在处理过程中应充分考虑二噁英及酸性气体的控制。</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6.污水处理厂应当安全处理处置污泥，保证处理处置后的污泥符合国家标准，禁止擅自倾倒、堆放、丢弃、遗撒城镇污水处理设施产生的污泥和处理后的污泥。</w:t>
            </w:r>
          </w:p>
        </w:tc>
        <w:tc>
          <w:tcPr>
            <w:tcW w:w="2561" w:type="dxa"/>
            <w:vAlign w:val="center"/>
          </w:tcPr>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1.产生、利用或处置固体废物（含危险废物）的企业，规范固体废物的处理措施，在贮存、转移、利用、处置固体废物（含危险废物）过程中，应配套防扬散、防流失、防渗漏及其他防止污染环境的措施。</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2.建立健全环境风险事故防范措施和应急预案，严防环境安全事故发生。</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3.污水处理厂应采取措施安全处置污泥，保证处理处置后的污泥符合国家标准，对污泥的流向、用途、用量等进行跟踪、记录。</w:t>
            </w:r>
          </w:p>
        </w:tc>
        <w:tc>
          <w:tcPr>
            <w:tcW w:w="1632" w:type="dxa"/>
            <w:vAlign w:val="center"/>
          </w:tcPr>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1.推广集中供能和清洁能源利用，实施热、电行业超低排放改造。</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2.加快漏损管网改造，减少管网漏损率、普及节水型器具。</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3.全面开展节水型社会建设，促进再生水利用。</w:t>
            </w:r>
          </w:p>
          <w:p>
            <w:pPr>
              <w:snapToGrid w:val="0"/>
              <w:rPr>
                <w:rFonts w:ascii="Times New Roman" w:hAnsi="Times New Roman" w:eastAsia="宋体" w:cs="Times New Roman"/>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dxa"/>
            <w:vAlign w:val="center"/>
          </w:tcPr>
          <w:p>
            <w:pPr>
              <w:widowControl/>
              <w:adjustRightInd w:val="0"/>
              <w:snapToGrid w:val="0"/>
              <w:jc w:val="center"/>
              <w:rPr>
                <w:rFonts w:ascii="Times New Roman" w:hAnsi="Times New Roman" w:eastAsia="宋体" w:cs="Times New Roman"/>
                <w:b/>
                <w:kern w:val="44"/>
                <w:sz w:val="16"/>
                <w:szCs w:val="16"/>
              </w:rPr>
            </w:pPr>
            <w:r>
              <w:rPr>
                <w:rFonts w:ascii="Times New Roman" w:hAnsi="Times New Roman" w:eastAsia="宋体" w:cs="Times New Roman"/>
                <w:b/>
                <w:kern w:val="44"/>
                <w:sz w:val="16"/>
                <w:szCs w:val="16"/>
              </w:rPr>
              <w:t>3</w:t>
            </w:r>
          </w:p>
        </w:tc>
        <w:tc>
          <w:tcPr>
            <w:tcW w:w="1323"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ZH37021420002</w:t>
            </w:r>
          </w:p>
        </w:tc>
        <w:tc>
          <w:tcPr>
            <w:tcW w:w="665"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河套街道</w:t>
            </w:r>
          </w:p>
        </w:tc>
        <w:tc>
          <w:tcPr>
            <w:tcW w:w="435"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山东省</w:t>
            </w:r>
          </w:p>
        </w:tc>
        <w:tc>
          <w:tcPr>
            <w:tcW w:w="435"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青岛市</w:t>
            </w:r>
          </w:p>
        </w:tc>
        <w:tc>
          <w:tcPr>
            <w:tcW w:w="438"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城阳区</w:t>
            </w:r>
          </w:p>
        </w:tc>
        <w:tc>
          <w:tcPr>
            <w:tcW w:w="703"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重点管控单元</w:t>
            </w:r>
          </w:p>
        </w:tc>
        <w:tc>
          <w:tcPr>
            <w:tcW w:w="1113" w:type="dxa"/>
            <w:vAlign w:val="center"/>
          </w:tcPr>
          <w:p>
            <w:pPr>
              <w:snapToGrid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国家级公益林一般生态空间、大气环境受体敏感区、水环境城镇生活源重点管控区</w:t>
            </w:r>
          </w:p>
        </w:tc>
        <w:tc>
          <w:tcPr>
            <w:tcW w:w="2016" w:type="dxa"/>
            <w:vAlign w:val="center"/>
          </w:tcPr>
          <w:p>
            <w:pPr>
              <w:snapToGrid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1.新建有污染物排放的工业项目，除在安全生产等方面有特殊要求的以外，应当进入工业园区或者工业集聚区。</w:t>
            </w:r>
          </w:p>
          <w:p>
            <w:pPr>
              <w:snapToGrid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2.国家级公益林按照《中华人民共和国森林法》《关于在国土空间规划中统筹划定落实三条控制线的指导意见》《国家公益林管理办法》及相关法律法规实施保护管理。</w:t>
            </w:r>
          </w:p>
        </w:tc>
        <w:tc>
          <w:tcPr>
            <w:tcW w:w="2247" w:type="dxa"/>
            <w:vAlign w:val="center"/>
          </w:tcPr>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1.机械加工企业下料、机械加工、抛丸、打磨、喷砂、清理滚筒、热处理、化学预处理、电镀等环节设置废气有效收集治理设施。焊接环节根据作业点位数配备焊接烟尘净化器，或设置专门操作间并设置集气系统对焊接烟尘进行有效收集治理。</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2.涂装、印刷行业推进源头替代，引导使用低VOCs含量的涂料替代溶剂型引导使用低VOCs含量的涂料替代溶剂型涂料，从源头减少VOCs产生。采用自动化、智能化喷涂等先进工艺替代人工喷涂，减少使用空气喷涂技术。提高废气收集率。配备废气收集系统，将无组织排放转变为有组织排放进行控制。涂料、稀释剂、清洗剂等原辅材料应密闭存储，调配、使用、回收等过程应采用密闭设备或在密闭空间内操作，采用密闭管道或密闭容器等输送。推进建设适宜高效的治污设施，合理选择治理技术，提高VOCs治理效率。</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3.食品加工行业加强臭气异味的处理和防治。安装净化装置或者采取其他措施，防止排放恶臭气体。对产生的含盐废水进行处理，做到达标排放。</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4.橡胶行业原料破碎、过筛、搅拌等工段产生的废气在除尘后需经恶臭污染物治理设施处理后外排。密炼、硫化工序产生的废气，宜在过滤除尘、化学洗涤预处理后，采用浓缩结合燃烧法等工艺进行处理。治污工艺宜采用喷淋降温+化学洗涤等预处理工艺，结合催化燃烧法、低温等离子、生物法等工艺进行处理。</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5.印染行业优先采用清洁生产技术，禁止选用列入《产业结构调整指导目录》限制类、淘汰类的落后生产工艺和设备，提高资源、能源利用率，按照《印染行业废水污染防治技术政策》《纺织工业环境保护设施设计标准》《纺织染整工业废水治理工程技术规范》等有关规定，减少污染物的产生和排放。</w:t>
            </w:r>
          </w:p>
          <w:p>
            <w:pPr>
              <w:snapToGrid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6.污水处理厂应当安全处理处置污泥，保证处理处置后的污泥符合国家标准。</w:t>
            </w:r>
          </w:p>
        </w:tc>
        <w:tc>
          <w:tcPr>
            <w:tcW w:w="2561" w:type="dxa"/>
            <w:vAlign w:val="center"/>
          </w:tcPr>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1.产生、利用或处置固体废物（含危险废物）的企业，在贮存、转移、利用、处置固体废物（含危险废物）过程中，应配套防扬散、防流失、防渗漏及其他防止污染环境的措施。</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2.污水处理厂应采取措施安全处置污泥，保证处理处置后的污泥符合国家标准，对污泥的流向、用途、用量等进行跟踪、记录。</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3.建立健全环境风险事故防范措施和应急预案，严防环境安全事故发生。</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4.严格落实环评制度的风险防控要求和安全距离，将各类开发建设活动的环境风险控制在可接受范围。</w:t>
            </w:r>
          </w:p>
        </w:tc>
        <w:tc>
          <w:tcPr>
            <w:tcW w:w="1632" w:type="dxa"/>
            <w:vAlign w:val="center"/>
          </w:tcPr>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1.推广集中供能和清洁能源利用，实施热、电行业超低排放改造。</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2.加快漏损管网改造，减少管网漏损率、普及节水型器具。</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3.全面开展节水型社会建设，促进再生水利用。</w:t>
            </w:r>
          </w:p>
          <w:p>
            <w:pPr>
              <w:snapToGrid w:val="0"/>
              <w:rPr>
                <w:rFonts w:ascii="Times New Roman" w:hAnsi="Times New Roman" w:eastAsia="宋体" w:cs="Times New Roman"/>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dxa"/>
            <w:vAlign w:val="center"/>
          </w:tcPr>
          <w:p>
            <w:pPr>
              <w:widowControl/>
              <w:adjustRightInd w:val="0"/>
              <w:snapToGrid w:val="0"/>
              <w:jc w:val="center"/>
              <w:rPr>
                <w:rFonts w:ascii="Times New Roman" w:hAnsi="Times New Roman" w:eastAsia="宋体" w:cs="Times New Roman"/>
                <w:b/>
                <w:kern w:val="44"/>
                <w:sz w:val="16"/>
                <w:szCs w:val="16"/>
              </w:rPr>
            </w:pPr>
            <w:r>
              <w:rPr>
                <w:rFonts w:ascii="Times New Roman" w:hAnsi="Times New Roman" w:eastAsia="宋体" w:cs="Times New Roman"/>
                <w:b/>
                <w:kern w:val="44"/>
                <w:sz w:val="16"/>
                <w:szCs w:val="16"/>
              </w:rPr>
              <w:t>4</w:t>
            </w:r>
          </w:p>
        </w:tc>
        <w:tc>
          <w:tcPr>
            <w:tcW w:w="1323"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ZH37021420003</w:t>
            </w:r>
          </w:p>
        </w:tc>
        <w:tc>
          <w:tcPr>
            <w:tcW w:w="665"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流亭街道</w:t>
            </w:r>
          </w:p>
        </w:tc>
        <w:tc>
          <w:tcPr>
            <w:tcW w:w="435"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山东省</w:t>
            </w:r>
          </w:p>
        </w:tc>
        <w:tc>
          <w:tcPr>
            <w:tcW w:w="435"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青岛市</w:t>
            </w:r>
          </w:p>
        </w:tc>
        <w:tc>
          <w:tcPr>
            <w:tcW w:w="438"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城阳区</w:t>
            </w:r>
          </w:p>
        </w:tc>
        <w:tc>
          <w:tcPr>
            <w:tcW w:w="703"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重点管控单元</w:t>
            </w:r>
          </w:p>
        </w:tc>
        <w:tc>
          <w:tcPr>
            <w:tcW w:w="1113" w:type="dxa"/>
            <w:vAlign w:val="center"/>
          </w:tcPr>
          <w:p>
            <w:pPr>
              <w:snapToGrid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生态评估区域一般生态空间、大气环境受体敏感区、水环境城镇生活源重点管控区</w:t>
            </w:r>
          </w:p>
        </w:tc>
        <w:tc>
          <w:tcPr>
            <w:tcW w:w="2016" w:type="dxa"/>
            <w:vAlign w:val="center"/>
          </w:tcPr>
          <w:p>
            <w:pPr>
              <w:snapToGrid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1.新建有污染物排放的工业项目，除在安全生产等方面有特殊要求的以外，应当进入工业园区或者工业集聚区。</w:t>
            </w:r>
          </w:p>
        </w:tc>
        <w:tc>
          <w:tcPr>
            <w:tcW w:w="2247" w:type="dxa"/>
            <w:vAlign w:val="center"/>
          </w:tcPr>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1.对于涉重金属的企业，推行“一企一管”，产生一类污染物的要在车间排放口达标。涉重企业污染物应稳定达标排放，对产生的危险废物严格按照相关法律法规进行监管、处置。做好重点区域防渗工作。</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2.餐饮行业按要求安装油烟高效净化设备并定期清洗和维护，禁止露天烧烤，鼓励餐饮业及居民生活能源使用天然气、液化石油气等洁净能源。</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3.加强机动车排气污染治理，禁行区内依法禁止三轮汽车、低速载货汽车、拖拉机驶入，对达到报废标准的车辆强制报废，</w:t>
            </w:r>
            <w:r>
              <w:rPr>
                <w:rFonts w:ascii="Times New Roman" w:hAnsi="Times New Roman" w:cs="Times New Roman"/>
                <w:kern w:val="0"/>
                <w:sz w:val="16"/>
                <w:szCs w:val="16"/>
              </w:rPr>
              <w:t>加大对无牌无证摩托车查处力度</w:t>
            </w:r>
            <w:r>
              <w:rPr>
                <w:rFonts w:ascii="Times New Roman" w:hAnsi="Times New Roman" w:eastAsia="宋体" w:cs="Times New Roman"/>
                <w:kern w:val="0"/>
                <w:sz w:val="16"/>
                <w:szCs w:val="16"/>
              </w:rPr>
              <w:t>。禁止销售或者进口排气污染物超过国家规定排放标准的机动车。</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4.工业企业对工业垃圾集中分类收集、转运、综合利用和无害化处理，推行清洁生产，减少固体废物产生量。提升固体废物的资源化综合利用率。</w:t>
            </w:r>
          </w:p>
        </w:tc>
        <w:tc>
          <w:tcPr>
            <w:tcW w:w="2561" w:type="dxa"/>
            <w:vAlign w:val="center"/>
          </w:tcPr>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1.产生、利用或处置固体废物（含危险废物）的企业，在贮存、转移、利用、处置固体废物（含危险废物）过程中，应配套防扬散、防流失、防渗漏及其他防止污染环境的措施。</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2.涉重企业应确保重金属废水全部分类收集处理。涉重企业要制定切实可行的生产操作规程和管理制度，减少生产中跑冒滴漏现象。完善车间污水收集系统，污水进行集中处理，车间地面按要求做好防腐、防渗处理。3.建立健全环境风险事故防范措施和应急预案，严防环境安全事故发生。</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4.严格落实环评制度的风险防控要求和安全距离，将各类开发建设活动的环境风险控制在可接受范围。</w:t>
            </w:r>
          </w:p>
        </w:tc>
        <w:tc>
          <w:tcPr>
            <w:tcW w:w="1632" w:type="dxa"/>
            <w:vAlign w:val="center"/>
          </w:tcPr>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1.推广集中供能和清洁能源利用，实施热、电行业超低排放改造。</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2.加快漏损管网改造，减少管网漏损率、普及节水型器具。</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3.全面开展节水型社会建设，促进再生水利用。</w:t>
            </w:r>
          </w:p>
          <w:p>
            <w:pPr>
              <w:snapToGrid w:val="0"/>
              <w:rPr>
                <w:rFonts w:ascii="Times New Roman" w:hAnsi="Times New Roman" w:eastAsia="宋体" w:cs="Times New Roman"/>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dxa"/>
            <w:vAlign w:val="center"/>
          </w:tcPr>
          <w:p>
            <w:pPr>
              <w:widowControl/>
              <w:adjustRightInd w:val="0"/>
              <w:snapToGrid w:val="0"/>
              <w:jc w:val="center"/>
              <w:rPr>
                <w:rFonts w:ascii="Times New Roman" w:hAnsi="Times New Roman" w:eastAsia="宋体" w:cs="Times New Roman"/>
                <w:b/>
                <w:kern w:val="44"/>
                <w:sz w:val="16"/>
                <w:szCs w:val="16"/>
              </w:rPr>
            </w:pPr>
            <w:r>
              <w:rPr>
                <w:rFonts w:ascii="Times New Roman" w:hAnsi="Times New Roman" w:eastAsia="宋体" w:cs="Times New Roman"/>
                <w:b/>
                <w:kern w:val="44"/>
                <w:sz w:val="16"/>
                <w:szCs w:val="16"/>
              </w:rPr>
              <w:t>5</w:t>
            </w:r>
          </w:p>
        </w:tc>
        <w:tc>
          <w:tcPr>
            <w:tcW w:w="1323"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ZH37021420004</w:t>
            </w:r>
          </w:p>
        </w:tc>
        <w:tc>
          <w:tcPr>
            <w:tcW w:w="665"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上马街道</w:t>
            </w:r>
          </w:p>
        </w:tc>
        <w:tc>
          <w:tcPr>
            <w:tcW w:w="435"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山东省</w:t>
            </w:r>
          </w:p>
        </w:tc>
        <w:tc>
          <w:tcPr>
            <w:tcW w:w="435"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青岛市</w:t>
            </w:r>
          </w:p>
        </w:tc>
        <w:tc>
          <w:tcPr>
            <w:tcW w:w="438"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城阳区</w:t>
            </w:r>
          </w:p>
        </w:tc>
        <w:tc>
          <w:tcPr>
            <w:tcW w:w="703"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重点管控单元</w:t>
            </w:r>
          </w:p>
        </w:tc>
        <w:tc>
          <w:tcPr>
            <w:tcW w:w="1113" w:type="dxa"/>
            <w:vAlign w:val="center"/>
          </w:tcPr>
          <w:p>
            <w:pPr>
              <w:snapToGrid w:val="0"/>
              <w:jc w:val="left"/>
              <w:rPr>
                <w:rFonts w:hint="eastAsia" w:ascii="Times New Roman" w:hAnsi="Times New Roman" w:eastAsia="宋体" w:cs="Times New Roman"/>
                <w:kern w:val="0"/>
                <w:sz w:val="16"/>
                <w:szCs w:val="16"/>
                <w:lang w:eastAsia="zh-CN"/>
              </w:rPr>
            </w:pPr>
            <w:r>
              <w:rPr>
                <w:rFonts w:ascii="Times New Roman" w:hAnsi="Times New Roman" w:eastAsia="宋体" w:cs="Times New Roman"/>
                <w:kern w:val="0"/>
                <w:sz w:val="16"/>
                <w:szCs w:val="16"/>
              </w:rPr>
              <w:t>大气环境高污染排放区、水环境城镇生活源重点管控区</w:t>
            </w:r>
            <w:r>
              <w:rPr>
                <w:rFonts w:hint="default" w:ascii="Times New Roman" w:hAnsi="Times New Roman" w:eastAsia="宋体" w:cs="Times New Roman"/>
                <w:kern w:val="0"/>
                <w:sz w:val="16"/>
                <w:szCs w:val="16"/>
                <w:lang w:eastAsia="zh-CN"/>
              </w:rPr>
              <w:t>、</w:t>
            </w:r>
            <w:r>
              <w:rPr>
                <w:rFonts w:ascii="Times New Roman" w:hAnsi="Times New Roman" w:eastAsia="宋体" w:cs="Times New Roman"/>
                <w:kern w:val="0"/>
                <w:sz w:val="16"/>
                <w:szCs w:val="16"/>
              </w:rPr>
              <w:t>大气环境受体敏感区</w:t>
            </w:r>
          </w:p>
        </w:tc>
        <w:tc>
          <w:tcPr>
            <w:tcW w:w="2016" w:type="dxa"/>
            <w:vAlign w:val="center"/>
          </w:tcPr>
          <w:p>
            <w:pPr>
              <w:snapToGrid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1.新建有污染物排放的工业项目，除在安全生产等方面有特殊要求的以外，应当进入工业园区或者工业集聚区。</w:t>
            </w:r>
          </w:p>
          <w:p>
            <w:pPr>
              <w:snapToGrid w:val="0"/>
              <w:jc w:val="left"/>
              <w:rPr>
                <w:rFonts w:ascii="Times New Roman" w:hAnsi="Times New Roman" w:eastAsia="宋体" w:cs="Times New Roman"/>
                <w:kern w:val="0"/>
                <w:sz w:val="16"/>
                <w:szCs w:val="16"/>
              </w:rPr>
            </w:pPr>
          </w:p>
        </w:tc>
        <w:tc>
          <w:tcPr>
            <w:tcW w:w="2247" w:type="dxa"/>
            <w:vAlign w:val="center"/>
          </w:tcPr>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1.机械加工企业下料、机械加工、抛丸、打磨、喷砂、清理滚筒、热处理、化学预处理、电镀等环节设置废气有效收集治理设施。焊接环节根据作业点位数配备焊接烟尘净化器，或设置专门操作间并设置集气系统对焊接烟尘进行有效收集治理。</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2.食品加工行业加强臭气异味的处理和防治。安装净化装置或者采取其他措施，防止排放恶臭气体。对产生的含盐废水进行处理，做到达标排放。</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3.涉及印染行业优先采用清洁生产技术，禁止选用列入《产业结构调整指导目录》限制类、淘汰类的落后生产工艺和设备，提高资源、能源利用率，按照《印染行业废水污染防治技术政策》《纺织工业环境保护设施设计标准》《纺织染整工业废水治理工程技术规范》等有关规定，减少污染物的产生和排放。</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4.做好一般工业固体废物、危险废物和生活垃圾的分类收集、转运、综合利用和无害化处理。推行清洁生产，减少固体废物产生量。提升固体废物的资源化综合利用率。</w:t>
            </w:r>
          </w:p>
        </w:tc>
        <w:tc>
          <w:tcPr>
            <w:tcW w:w="2561" w:type="dxa"/>
            <w:vAlign w:val="center"/>
          </w:tcPr>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1.产生、利用或处置固体废物（含危险废物）的企业，在贮存、转移、利用、处置固体废物（含危险废物）过程中，应配套防扬散、防流失、防渗漏及其他防止污染环境的措施。</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2.建立健全环境风险事故防范措施和应急预案，严防环境安全事故发生。</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3.严格落实环评制度的风险防控要求和安全距离，将各类开发建设活动的环境风险控制在可接受范围。</w:t>
            </w:r>
          </w:p>
        </w:tc>
        <w:tc>
          <w:tcPr>
            <w:tcW w:w="1632" w:type="dxa"/>
            <w:vAlign w:val="center"/>
          </w:tcPr>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1.推广集中供能和清洁能源利用，实施热、电行业超低排放改造。</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2.加快漏损管网改造，减少管网漏损率、普及节水型器具。</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3.全面开展节水型社会建设，促进再生水利用。</w:t>
            </w:r>
          </w:p>
          <w:p>
            <w:pPr>
              <w:snapToGrid w:val="0"/>
              <w:rPr>
                <w:rFonts w:ascii="Times New Roman" w:hAnsi="Times New Roman" w:eastAsia="宋体" w:cs="Times New Roman"/>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dxa"/>
            <w:vAlign w:val="center"/>
          </w:tcPr>
          <w:p>
            <w:pPr>
              <w:widowControl/>
              <w:adjustRightInd w:val="0"/>
              <w:snapToGrid w:val="0"/>
              <w:jc w:val="center"/>
              <w:rPr>
                <w:rFonts w:ascii="Times New Roman" w:hAnsi="Times New Roman" w:eastAsia="宋体" w:cs="Times New Roman"/>
                <w:b/>
                <w:kern w:val="44"/>
                <w:sz w:val="16"/>
                <w:szCs w:val="16"/>
              </w:rPr>
            </w:pPr>
            <w:r>
              <w:rPr>
                <w:rFonts w:ascii="Times New Roman" w:hAnsi="Times New Roman" w:eastAsia="宋体" w:cs="Times New Roman"/>
                <w:b/>
                <w:kern w:val="44"/>
                <w:sz w:val="16"/>
                <w:szCs w:val="16"/>
              </w:rPr>
              <w:t>6</w:t>
            </w:r>
          </w:p>
        </w:tc>
        <w:tc>
          <w:tcPr>
            <w:tcW w:w="1323"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ZH37021420005</w:t>
            </w:r>
          </w:p>
        </w:tc>
        <w:tc>
          <w:tcPr>
            <w:tcW w:w="665"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棘洪滩街道</w:t>
            </w:r>
          </w:p>
        </w:tc>
        <w:tc>
          <w:tcPr>
            <w:tcW w:w="435"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山东省</w:t>
            </w:r>
          </w:p>
        </w:tc>
        <w:tc>
          <w:tcPr>
            <w:tcW w:w="435"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青岛市</w:t>
            </w:r>
          </w:p>
        </w:tc>
        <w:tc>
          <w:tcPr>
            <w:tcW w:w="438"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城阳区</w:t>
            </w:r>
          </w:p>
        </w:tc>
        <w:tc>
          <w:tcPr>
            <w:tcW w:w="703"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重点管控单元</w:t>
            </w:r>
          </w:p>
        </w:tc>
        <w:tc>
          <w:tcPr>
            <w:tcW w:w="1113" w:type="dxa"/>
            <w:vAlign w:val="center"/>
          </w:tcPr>
          <w:p>
            <w:pPr>
              <w:snapToGrid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棘洪滩水库、棘洪滩水库一般生态空间、大气环境受体敏感区、大气环境高污染排放区、水环境城镇生活源重点管控区</w:t>
            </w:r>
          </w:p>
        </w:tc>
        <w:tc>
          <w:tcPr>
            <w:tcW w:w="2016" w:type="dxa"/>
            <w:vAlign w:val="center"/>
          </w:tcPr>
          <w:p>
            <w:pPr>
              <w:snapToGrid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1.新建有污染物排放的工业项目，除在安全生产等方面有特殊要求的以外，应当进入工业园区或者工业集聚区。</w:t>
            </w:r>
          </w:p>
          <w:p>
            <w:pPr>
              <w:snapToGrid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2.饮用水水源保护区按照《中华人民共和国水污染防治法》《山东省水污染防治条例》</w:t>
            </w:r>
            <w:r>
              <w:rPr>
                <w:rFonts w:hint="eastAsia" w:ascii="Times New Roman" w:hAnsi="Times New Roman" w:eastAsia="宋体" w:cs="Times New Roman"/>
                <w:kern w:val="0"/>
                <w:sz w:val="16"/>
                <w:szCs w:val="16"/>
                <w:lang w:eastAsia="zh-CN"/>
              </w:rPr>
              <w:t>《青岛市饮用水水源保护条例》</w:t>
            </w:r>
            <w:r>
              <w:rPr>
                <w:rFonts w:ascii="Times New Roman" w:hAnsi="Times New Roman" w:eastAsia="宋体" w:cs="Times New Roman"/>
                <w:kern w:val="0"/>
                <w:sz w:val="16"/>
                <w:szCs w:val="16"/>
              </w:rPr>
              <w:t>及相关法律法规实施保护管理。</w:t>
            </w:r>
          </w:p>
        </w:tc>
        <w:tc>
          <w:tcPr>
            <w:tcW w:w="2247" w:type="dxa"/>
            <w:vAlign w:val="center"/>
          </w:tcPr>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1.食品加工行业加强臭气异味的处理和防治。安装净化装置或者采取其他措施，防止排放恶臭气体。对产生的含盐废水进行处理，做到达标排放。</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2.橡胶企业原料破碎、过筛、搅拌等工段产生的废气在除尘后需经恶臭污染物治理设施处理后外排。密炼、硫化工序产生的废气，宜在过滤除尘、化学洗涤预处理后，采用浓缩结合燃烧法等工艺进行处理。治污工艺宜采用喷淋降温+化学洗涤等预处理工艺，结合催化燃烧法、低温等离子、生物法等工艺进行处理。</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3.做好工业固废和生活垃圾的分类收集、转运、综合利用和无害化处理。推行清洁生产，减少固废产生量，提升固体废物的资源化综合利用率。</w:t>
            </w:r>
          </w:p>
        </w:tc>
        <w:tc>
          <w:tcPr>
            <w:tcW w:w="2561" w:type="dxa"/>
            <w:vAlign w:val="center"/>
          </w:tcPr>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1.产生、利用或处置固体废物（含危险废物）的企业，在贮存、转移、利用、处置固体废物（含危险废物）过程中，应配套防扬散、防流失、防渗漏及其他防止污染环境的措施。</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2.建立健全环境风险事故防范措施和应急预案，严防环境安全事故发生。</w:t>
            </w:r>
          </w:p>
        </w:tc>
        <w:tc>
          <w:tcPr>
            <w:tcW w:w="1632" w:type="dxa"/>
            <w:vAlign w:val="center"/>
          </w:tcPr>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1.推广集中供能和清洁能源利用，实施热、电行业超低排放改造。</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2.加快漏损管网改造，减少管网漏损率、普及节水型器具。</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3.全面开展节水型社会建设，促进再生水利用。</w:t>
            </w:r>
          </w:p>
          <w:p>
            <w:pPr>
              <w:snapToGrid w:val="0"/>
              <w:rPr>
                <w:rFonts w:ascii="Times New Roman" w:hAnsi="Times New Roman" w:eastAsia="宋体" w:cs="Times New Roman"/>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dxa"/>
            <w:vAlign w:val="center"/>
          </w:tcPr>
          <w:p>
            <w:pPr>
              <w:widowControl/>
              <w:adjustRightInd w:val="0"/>
              <w:snapToGrid w:val="0"/>
              <w:jc w:val="center"/>
              <w:rPr>
                <w:rFonts w:ascii="Times New Roman" w:hAnsi="Times New Roman" w:eastAsia="宋体" w:cs="Times New Roman"/>
                <w:b/>
                <w:kern w:val="44"/>
                <w:sz w:val="16"/>
                <w:szCs w:val="16"/>
              </w:rPr>
            </w:pPr>
            <w:r>
              <w:rPr>
                <w:rFonts w:ascii="Times New Roman" w:hAnsi="Times New Roman" w:eastAsia="宋体" w:cs="Times New Roman"/>
                <w:b/>
                <w:kern w:val="44"/>
                <w:sz w:val="16"/>
                <w:szCs w:val="16"/>
              </w:rPr>
              <w:t>7</w:t>
            </w:r>
          </w:p>
        </w:tc>
        <w:tc>
          <w:tcPr>
            <w:tcW w:w="1323"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ZH37021420006</w:t>
            </w:r>
          </w:p>
        </w:tc>
        <w:tc>
          <w:tcPr>
            <w:tcW w:w="665"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惜福镇街道（2）</w:t>
            </w:r>
          </w:p>
        </w:tc>
        <w:tc>
          <w:tcPr>
            <w:tcW w:w="435"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山东省</w:t>
            </w:r>
          </w:p>
        </w:tc>
        <w:tc>
          <w:tcPr>
            <w:tcW w:w="435"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青岛市</w:t>
            </w:r>
          </w:p>
        </w:tc>
        <w:tc>
          <w:tcPr>
            <w:tcW w:w="438"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城阳区</w:t>
            </w:r>
          </w:p>
        </w:tc>
        <w:tc>
          <w:tcPr>
            <w:tcW w:w="703"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重点管控单元</w:t>
            </w:r>
          </w:p>
        </w:tc>
        <w:tc>
          <w:tcPr>
            <w:tcW w:w="1113" w:type="dxa"/>
            <w:vAlign w:val="center"/>
          </w:tcPr>
          <w:p>
            <w:pPr>
              <w:snapToGrid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青岛崂山国家级风景名胜区、一般生态空间、国家级公益林、大气环境高污染排放区、水环境城镇生活源重点管控区、大气环境受体敏感区</w:t>
            </w:r>
          </w:p>
        </w:tc>
        <w:tc>
          <w:tcPr>
            <w:tcW w:w="2016" w:type="dxa"/>
            <w:vAlign w:val="center"/>
          </w:tcPr>
          <w:p>
            <w:pPr>
              <w:snapToGrid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1.新建有污染物排放的工业项目，除在安全生产等方面有特殊要求的以外，应当进入工业园区或者工业集聚区。</w:t>
            </w:r>
          </w:p>
          <w:p>
            <w:pPr>
              <w:snapToGrid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2.风景名胜区按照《风景名胜区条例》等法律法规实施保护管理。</w:t>
            </w:r>
          </w:p>
        </w:tc>
        <w:tc>
          <w:tcPr>
            <w:tcW w:w="2247" w:type="dxa"/>
            <w:vAlign w:val="center"/>
          </w:tcPr>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1.机械加工企业下料、机械加工、抛丸、打磨、喷砂、清理滚筒、热处理、化学预处理、电镀等环节设置废气有效收集治理设施。焊接环节根据作业点位数配备焊接烟尘净化器，或设置专门操作间并设置集气系统对焊接烟尘进行有效收集治理。</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2.涉及涂装、印刷企业，推进源头替代，引导使用低VOCs含量的涂料替代溶剂型引导使用低VOCs含量的涂料替代溶剂型涂料，从源头减少VOCs产生。采用自动化、智能化喷涂等先进工艺替代人工喷涂，减少使用空气喷涂技术。提高废气收集率。配备废气收集系统，将无组织排放转变为有组织排放进行控制。涂料、稀释剂、清洗剂等原辅材料应密闭存储，调配、使用、回收等过程应采用密闭设备或在密闭空间内操作，采用密闭管道或密闭容器等输送。推进建设适宜高效的治污设施，合理选择治理技术，提高VOCs治理效率。</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3.食品加工行业加强臭气异味的处理和防治。安装净化装置或者采取其他措施，防止排放恶臭气体。对产生的含盐废水进行处理，做到达标排放。</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4.塑料制品企业加热挤出工段宜采用上吸风方式对废气进行有效收集，吹塑工段宜采取环绕方式对废气进行有效收集。加热挤出、压制、吹塑（发泡）、印刷等工艺产生的废气经除尘后宜采用浓缩结合燃烧法等工艺进行处理。使用含氯原料的工艺废气在处理过程中应充分考虑二噁英及酸性气体的控制。</w:t>
            </w:r>
          </w:p>
        </w:tc>
        <w:tc>
          <w:tcPr>
            <w:tcW w:w="2561" w:type="dxa"/>
            <w:vAlign w:val="center"/>
          </w:tcPr>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1.产生、利用或处置固体废物（含危险废物）的企业，规范固体废物的处理措施，在贮存、转移、利用、处置固体废物（含危险废物）过程中，应配套防扬散、防流失、防渗漏及其他防止污染环境的措施。</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2.建立健全环境风险事故防范措施和应急预案，严防环境安全事故发生。</w:t>
            </w:r>
          </w:p>
        </w:tc>
        <w:tc>
          <w:tcPr>
            <w:tcW w:w="1632" w:type="dxa"/>
            <w:vAlign w:val="center"/>
          </w:tcPr>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1.推广集中供能和清洁能源利用，实施热、电行业超低排放改造。</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2.加快漏损管网改造，减少管网漏损率、普及节水型器具。</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3.全面开展节水型社会建设，促进再生水利用。</w:t>
            </w:r>
          </w:p>
          <w:p>
            <w:pPr>
              <w:snapToGrid w:val="0"/>
              <w:rPr>
                <w:rFonts w:ascii="Times New Roman" w:hAnsi="Times New Roman" w:eastAsia="宋体" w:cs="Times New Roman"/>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dxa"/>
            <w:vAlign w:val="center"/>
          </w:tcPr>
          <w:p>
            <w:pPr>
              <w:widowControl/>
              <w:adjustRightInd w:val="0"/>
              <w:snapToGrid w:val="0"/>
              <w:jc w:val="center"/>
              <w:rPr>
                <w:rFonts w:ascii="Times New Roman" w:hAnsi="Times New Roman" w:eastAsia="宋体" w:cs="Times New Roman"/>
                <w:b/>
                <w:kern w:val="44"/>
                <w:sz w:val="16"/>
                <w:szCs w:val="16"/>
              </w:rPr>
            </w:pPr>
            <w:r>
              <w:rPr>
                <w:rFonts w:ascii="Times New Roman" w:hAnsi="Times New Roman" w:eastAsia="宋体" w:cs="Times New Roman"/>
                <w:b/>
                <w:kern w:val="44"/>
                <w:sz w:val="16"/>
                <w:szCs w:val="16"/>
              </w:rPr>
              <w:t>8</w:t>
            </w:r>
          </w:p>
        </w:tc>
        <w:tc>
          <w:tcPr>
            <w:tcW w:w="1323"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ZH37021420007</w:t>
            </w:r>
          </w:p>
        </w:tc>
        <w:tc>
          <w:tcPr>
            <w:tcW w:w="665" w:type="dxa"/>
            <w:vAlign w:val="center"/>
          </w:tcPr>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青岛高新技术产业开发区</w:t>
            </w:r>
          </w:p>
        </w:tc>
        <w:tc>
          <w:tcPr>
            <w:tcW w:w="435" w:type="dxa"/>
            <w:vAlign w:val="center"/>
          </w:tcPr>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山东省</w:t>
            </w:r>
          </w:p>
        </w:tc>
        <w:tc>
          <w:tcPr>
            <w:tcW w:w="435" w:type="dxa"/>
            <w:vAlign w:val="center"/>
          </w:tcPr>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青岛市</w:t>
            </w:r>
          </w:p>
        </w:tc>
        <w:tc>
          <w:tcPr>
            <w:tcW w:w="438" w:type="dxa"/>
            <w:vAlign w:val="center"/>
          </w:tcPr>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城阳区</w:t>
            </w:r>
          </w:p>
        </w:tc>
        <w:tc>
          <w:tcPr>
            <w:tcW w:w="703" w:type="dxa"/>
            <w:vAlign w:val="center"/>
          </w:tcPr>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重点管控单元</w:t>
            </w:r>
          </w:p>
        </w:tc>
        <w:tc>
          <w:tcPr>
            <w:tcW w:w="1113" w:type="dxa"/>
            <w:vAlign w:val="center"/>
          </w:tcPr>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大气环境高污染排放区、水环境城镇生活源重点管控区、大气环境受体敏感区</w:t>
            </w:r>
          </w:p>
        </w:tc>
        <w:tc>
          <w:tcPr>
            <w:tcW w:w="2016" w:type="dxa"/>
          </w:tcPr>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1.重点引进新一代信息技术产业、医疗医药产业、人工智能+高端装备制造产业、现代服务业的企业，并且要以所确定的重点发展产业门类为主。</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2.根据《山东省环境保护条例》，按照产业结构调整和产业布局优化的要求，引导工业企业入驻工业园区。新建有污染物排放的工业项目，除在安全生产等方面有特殊要求的以外，应当进入工业园区或者工业集聚区。</w:t>
            </w:r>
          </w:p>
        </w:tc>
        <w:tc>
          <w:tcPr>
            <w:tcW w:w="2247" w:type="dxa"/>
          </w:tcPr>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1.生物医药行业加强臭气异味的处理和防治。安装净化装置或者采取其他措施，防止排放恶臭气体。对产生的工业废水进行处理，做到达标排放。</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2.企业遵循清洁生产原则进行生产。发展循环经济，实现废物的“减量化、再利用、再循环”，最大限度提高资源利用效率，清洁生产水平至少为同行业国内先进水平。</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3.辖区内企业做好工业固体废物和生活垃圾的分类收集、转运、综合利用和无害化处理。推行清洁生产，减少固体废物产生量；提升固体废物的资源化综合利用率。</w:t>
            </w:r>
          </w:p>
        </w:tc>
        <w:tc>
          <w:tcPr>
            <w:tcW w:w="2561" w:type="dxa"/>
          </w:tcPr>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1.产生、利用或处置固体废物（含危险废物）的企业，规范固体废物的处理措施，在贮存、转移、利用、处置固体废物（含危险废物）过程中，应配套防扬散、防流失、防渗漏及其他防止污染环境的措施。</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2.建立健全环境风险事故防范措施和应急预案，严防环境安全事故发生。</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3.做好全过程环境监管，依法依规开展规划环境影响评价及跟踪评价，发现有不良环境影响趋势时，及时提出改进措施。</w:t>
            </w:r>
          </w:p>
        </w:tc>
        <w:tc>
          <w:tcPr>
            <w:tcW w:w="1632" w:type="dxa"/>
          </w:tcPr>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1.推广集中供能和清洁能源利用，实施热、电行业超低排放改造。</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2.加快漏损管网改造，减少管网漏损率、普及节水型器具。</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3.全面开展节水型社会建设，促进再生水利用。</w:t>
            </w:r>
          </w:p>
          <w:p>
            <w:pPr>
              <w:snapToGrid w:val="0"/>
              <w:rPr>
                <w:rFonts w:ascii="Times New Roman" w:hAnsi="Times New Roman" w:eastAsia="宋体" w:cs="Times New Roman"/>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dxa"/>
            <w:vAlign w:val="center"/>
          </w:tcPr>
          <w:p>
            <w:pPr>
              <w:widowControl/>
              <w:adjustRightInd w:val="0"/>
              <w:snapToGrid w:val="0"/>
              <w:jc w:val="center"/>
              <w:rPr>
                <w:rFonts w:ascii="Times New Roman" w:hAnsi="Times New Roman" w:eastAsia="宋体" w:cs="Times New Roman"/>
                <w:b/>
                <w:kern w:val="44"/>
                <w:sz w:val="16"/>
                <w:szCs w:val="16"/>
              </w:rPr>
            </w:pPr>
            <w:r>
              <w:rPr>
                <w:rFonts w:ascii="Times New Roman" w:hAnsi="Times New Roman" w:eastAsia="宋体" w:cs="Times New Roman"/>
                <w:b/>
                <w:kern w:val="44"/>
                <w:sz w:val="16"/>
                <w:szCs w:val="16"/>
              </w:rPr>
              <w:t>9</w:t>
            </w:r>
          </w:p>
        </w:tc>
        <w:tc>
          <w:tcPr>
            <w:tcW w:w="1323"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ZH37021420008</w:t>
            </w:r>
          </w:p>
        </w:tc>
        <w:tc>
          <w:tcPr>
            <w:tcW w:w="665"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夏庄街道</w:t>
            </w:r>
          </w:p>
        </w:tc>
        <w:tc>
          <w:tcPr>
            <w:tcW w:w="435"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山东省</w:t>
            </w:r>
          </w:p>
        </w:tc>
        <w:tc>
          <w:tcPr>
            <w:tcW w:w="435"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青岛市</w:t>
            </w:r>
          </w:p>
        </w:tc>
        <w:tc>
          <w:tcPr>
            <w:tcW w:w="438"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城阳区</w:t>
            </w:r>
          </w:p>
        </w:tc>
        <w:tc>
          <w:tcPr>
            <w:tcW w:w="703"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重点管控单元</w:t>
            </w:r>
          </w:p>
        </w:tc>
        <w:tc>
          <w:tcPr>
            <w:tcW w:w="1113" w:type="dxa"/>
            <w:vAlign w:val="center"/>
          </w:tcPr>
          <w:p>
            <w:pPr>
              <w:snapToGrid w:val="0"/>
              <w:jc w:val="left"/>
              <w:rPr>
                <w:rFonts w:ascii="Times New Roman" w:hAnsi="Times New Roman" w:eastAsia="宋体" w:cs="Times New Roman"/>
                <w:kern w:val="0"/>
                <w:sz w:val="16"/>
                <w:szCs w:val="16"/>
              </w:rPr>
            </w:pPr>
            <w:r>
              <w:rPr>
                <w:rFonts w:ascii="Times New Roman" w:hAnsi="Times New Roman" w:eastAsia="宋体" w:cs="Times New Roman"/>
                <w:bCs/>
                <w:kern w:val="0"/>
                <w:sz w:val="16"/>
                <w:szCs w:val="16"/>
              </w:rPr>
              <w:t>青岛崂山国家级风景名胜区、崂山省级自然保护区</w:t>
            </w:r>
            <w:r>
              <w:rPr>
                <w:rFonts w:ascii="Times New Roman" w:hAnsi="Times New Roman" w:eastAsia="宋体" w:cs="Times New Roman"/>
                <w:kern w:val="0"/>
                <w:sz w:val="16"/>
                <w:szCs w:val="16"/>
              </w:rPr>
              <w:t>、国家级公益林、生态评估区域一般生态空间、大气环境高排放重点管控区、水环境城镇生活源重点管控区、崂山水库、小水河、大气环境受体敏感区</w:t>
            </w:r>
          </w:p>
        </w:tc>
        <w:tc>
          <w:tcPr>
            <w:tcW w:w="2016" w:type="dxa"/>
            <w:vAlign w:val="center"/>
          </w:tcPr>
          <w:p>
            <w:pPr>
              <w:snapToGrid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1.优先发展特色农业和生态旅游业，现有工业企业逐步退出。</w:t>
            </w:r>
          </w:p>
          <w:p>
            <w:pPr>
              <w:snapToGrid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2.新建有污染物排放的工业项目，除在安全生产等方面有特殊要求的以外，应当进入工业园区或者工业集聚区。</w:t>
            </w:r>
          </w:p>
          <w:p>
            <w:pPr>
              <w:snapToGrid w:val="0"/>
              <w:jc w:val="left"/>
              <w:rPr>
                <w:rFonts w:ascii="Times New Roman" w:hAnsi="Times New Roman" w:eastAsia="宋体" w:cs="Times New Roman"/>
                <w:kern w:val="0"/>
                <w:sz w:val="16"/>
                <w:szCs w:val="16"/>
                <w:lang w:val="zh-CN"/>
              </w:rPr>
            </w:pPr>
            <w:r>
              <w:rPr>
                <w:rFonts w:ascii="Times New Roman" w:hAnsi="Times New Roman" w:eastAsia="宋体" w:cs="Times New Roman"/>
                <w:kern w:val="0"/>
                <w:sz w:val="16"/>
                <w:szCs w:val="16"/>
              </w:rPr>
              <w:t>3.</w:t>
            </w:r>
            <w:r>
              <w:rPr>
                <w:rFonts w:ascii="Times New Roman" w:hAnsi="Times New Roman" w:eastAsia="宋体" w:cs="Times New Roman"/>
                <w:kern w:val="0"/>
                <w:sz w:val="16"/>
                <w:szCs w:val="16"/>
                <w:lang w:val="zh-CN"/>
              </w:rPr>
              <w:t>饮用水水源保护区按照《中华人民共和国水污染防治法》《山东省水污染防治条例》</w:t>
            </w:r>
            <w:r>
              <w:rPr>
                <w:rFonts w:hint="eastAsia" w:ascii="Times New Roman" w:hAnsi="Times New Roman" w:eastAsia="宋体" w:cs="Times New Roman"/>
                <w:kern w:val="0"/>
                <w:sz w:val="16"/>
                <w:szCs w:val="16"/>
                <w:lang w:val="zh-CN"/>
              </w:rPr>
              <w:t>《青岛市饮用水水源保护条例》</w:t>
            </w:r>
            <w:r>
              <w:rPr>
                <w:rFonts w:ascii="Times New Roman" w:hAnsi="Times New Roman" w:eastAsia="宋体" w:cs="Times New Roman"/>
                <w:kern w:val="0"/>
                <w:sz w:val="16"/>
                <w:szCs w:val="16"/>
                <w:lang w:val="zh-CN"/>
              </w:rPr>
              <w:t>及相关法律法规实施保护管理。</w:t>
            </w:r>
          </w:p>
          <w:p>
            <w:pPr>
              <w:snapToGrid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4.风景名胜区按照《风景名胜区条例》等法律法规实施保护管理。</w:t>
            </w:r>
          </w:p>
          <w:p>
            <w:pPr>
              <w:snapToGrid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5.国家级公益林按照《中华人民共和国森林法》《关于在国土空间规划中统筹划定落实三条控制线的指导意见》《国家公益林管理办法》及相关法律法规实施保护管理。</w:t>
            </w:r>
          </w:p>
        </w:tc>
        <w:tc>
          <w:tcPr>
            <w:tcW w:w="2247" w:type="dxa"/>
            <w:vAlign w:val="center"/>
          </w:tcPr>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1.餐饮行业按要求安装油烟高效净化设备并定期清洗和维护，禁止露天烧烤，鼓励餐饮业及居民生活能源使用天然气、液化石油气等洁净能源。</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2.加强机动车排气污染治理，禁行区内依法禁止三轮汽车、低速载货汽车、拖拉机驶入，对达到报废标准的车辆强制报废，</w:t>
            </w:r>
            <w:r>
              <w:rPr>
                <w:rFonts w:ascii="Times New Roman" w:hAnsi="Times New Roman" w:cs="Times New Roman"/>
                <w:kern w:val="0"/>
                <w:sz w:val="16"/>
                <w:szCs w:val="16"/>
              </w:rPr>
              <w:t>加大对无牌无证摩托车查处力度</w:t>
            </w:r>
            <w:r>
              <w:rPr>
                <w:rFonts w:ascii="Times New Roman" w:hAnsi="Times New Roman" w:eastAsia="宋体" w:cs="Times New Roman"/>
                <w:kern w:val="0"/>
                <w:sz w:val="16"/>
                <w:szCs w:val="16"/>
              </w:rPr>
              <w:t>。禁止销售或者进口排气污染物超过国家规定排放标准的机动车。</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3.完善市政配套设施建设，加强污水收集管网体系的管理和维护，完善排水管网建设与改造，推进雨污分流改造。</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4.规模化畜禽养殖场、养殖小区应有序完成畜禽粪便处理利用设施和污水收集处理设施配套建设，防止造成面源污染。</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5.做好工业固体废物和生活垃圾的分类收集、转运、综合利用和无害化处理，推行清洁生产，减少固体废物产生量，提升固体废物的资源化综合利用率。</w:t>
            </w:r>
          </w:p>
        </w:tc>
        <w:tc>
          <w:tcPr>
            <w:tcW w:w="2561" w:type="dxa"/>
            <w:vAlign w:val="center"/>
          </w:tcPr>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1.产生、利用或处置固体废物（含危险废物）的企业，规范固体废物的处理措施，在贮存、转移、利用、处置固体废物（含危险废物）过程中，应配套防扬散、防流失、防渗漏及其他防止污染环境的措施。</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2.建立健全环境风险事故防范措施和应急预案，严防环境安全事故发生。</w:t>
            </w:r>
          </w:p>
        </w:tc>
        <w:tc>
          <w:tcPr>
            <w:tcW w:w="1632" w:type="dxa"/>
            <w:vAlign w:val="center"/>
          </w:tcPr>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1.推广集中供能和清洁能源利用，实施热、电行业超低排放改造。</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2.加快漏损管网改造，减少管网漏损率、普及节水型器具。</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3.全面开展节水型社会建设，促进再生水利用。</w:t>
            </w:r>
          </w:p>
          <w:p>
            <w:pPr>
              <w:snapToGrid w:val="0"/>
              <w:rPr>
                <w:rFonts w:ascii="Times New Roman" w:hAnsi="Times New Roman" w:eastAsia="宋体" w:cs="Times New Roman"/>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9" w:hRule="atLeast"/>
          <w:jc w:val="center"/>
        </w:trPr>
        <w:tc>
          <w:tcPr>
            <w:tcW w:w="380" w:type="dxa"/>
            <w:vAlign w:val="center"/>
          </w:tcPr>
          <w:p>
            <w:pPr>
              <w:widowControl/>
              <w:adjustRightInd w:val="0"/>
              <w:snapToGrid w:val="0"/>
              <w:jc w:val="center"/>
              <w:rPr>
                <w:rFonts w:ascii="Times New Roman" w:hAnsi="Times New Roman" w:eastAsia="宋体" w:cs="Times New Roman"/>
                <w:b/>
                <w:kern w:val="44"/>
                <w:sz w:val="16"/>
                <w:szCs w:val="16"/>
              </w:rPr>
            </w:pPr>
            <w:r>
              <w:rPr>
                <w:rFonts w:ascii="Times New Roman" w:hAnsi="Times New Roman" w:eastAsia="宋体" w:cs="Times New Roman"/>
                <w:b/>
                <w:kern w:val="44"/>
                <w:sz w:val="16"/>
                <w:szCs w:val="16"/>
              </w:rPr>
              <w:t>10</w:t>
            </w:r>
          </w:p>
        </w:tc>
        <w:tc>
          <w:tcPr>
            <w:tcW w:w="1323"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ZH37021420009</w:t>
            </w:r>
          </w:p>
        </w:tc>
        <w:tc>
          <w:tcPr>
            <w:tcW w:w="665"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红岛街道</w:t>
            </w:r>
          </w:p>
        </w:tc>
        <w:tc>
          <w:tcPr>
            <w:tcW w:w="435"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山东省</w:t>
            </w:r>
          </w:p>
        </w:tc>
        <w:tc>
          <w:tcPr>
            <w:tcW w:w="435"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青岛市</w:t>
            </w:r>
          </w:p>
        </w:tc>
        <w:tc>
          <w:tcPr>
            <w:tcW w:w="438"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城阳区</w:t>
            </w:r>
          </w:p>
        </w:tc>
        <w:tc>
          <w:tcPr>
            <w:tcW w:w="703" w:type="dxa"/>
            <w:vAlign w:val="center"/>
          </w:tcPr>
          <w:p>
            <w:pPr>
              <w:snapToGrid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重点管控单元</w:t>
            </w:r>
          </w:p>
        </w:tc>
        <w:tc>
          <w:tcPr>
            <w:tcW w:w="1113" w:type="dxa"/>
            <w:vAlign w:val="center"/>
          </w:tcPr>
          <w:p>
            <w:pPr>
              <w:snapToGrid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国家级公益林、一般生态空间、大气环境弱扩散敏感区、水环境城镇生活源重点管控区、大气环境受体敏感区</w:t>
            </w:r>
          </w:p>
        </w:tc>
        <w:tc>
          <w:tcPr>
            <w:tcW w:w="2016" w:type="dxa"/>
            <w:vAlign w:val="center"/>
          </w:tcPr>
          <w:p>
            <w:pPr>
              <w:snapToGrid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1.国家级公益林按照《中华人民共和国森林法》《关于在国土空间规划中统筹划定落实三条控制线的指导意见》《国家公益林管理办法》及相关法律法规实施保护管理。</w:t>
            </w:r>
          </w:p>
          <w:p>
            <w:pPr>
              <w:snapToGrid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2.依据《山东省环境保护条例》，引导工业企业入驻工业园区。新建有污染物排放的工业项目，除在安全生产等方面有特殊要求的以外，应当进入工业园区或者工业集聚区。</w:t>
            </w:r>
          </w:p>
        </w:tc>
        <w:tc>
          <w:tcPr>
            <w:tcW w:w="2247" w:type="dxa"/>
            <w:vAlign w:val="center"/>
          </w:tcPr>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1.橡胶加工企业原料破碎、过筛、搅拌等工段产生的废气在除尘后需经恶臭污染物治理设施处理后外排。密炼、硫化工序产生的废气，宜在过滤除尘、化学洗涤预处理后，采用浓缩结合燃烧法等工艺进行处理。治污工艺宜采用喷淋降温+化学洗涤等预处理工艺，结合催化燃烧法、低温等离子、生物法等工艺进行处理。</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2.对于化工园区、涉重金属的企业，推行“一企一管”，产生一类污染物的要在车间排放口达标。做好涉重企业及其所在园区确保污水处理设施正常运行，对产生的危险废物严格按照相关法律法规进行监管、处置。做好重点区域防渗工作。</w:t>
            </w:r>
          </w:p>
        </w:tc>
        <w:tc>
          <w:tcPr>
            <w:tcW w:w="2561" w:type="dxa"/>
            <w:vAlign w:val="center"/>
          </w:tcPr>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1.产生、利用或处置固体废物（含危险废物）的企业，在贮存、转移、利用、处置固体废物（含危险废物）过程中，应配套防扬散、防流失、防渗漏及其他防止污染环境的措施。</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2.涉重企业采取防渗漏等措施。</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3.建立健全环境风险事故防范措施和应急预案，严防环境安全事故发生。</w:t>
            </w:r>
          </w:p>
        </w:tc>
        <w:tc>
          <w:tcPr>
            <w:tcW w:w="1632" w:type="dxa"/>
            <w:vAlign w:val="center"/>
          </w:tcPr>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1.推广集中供能和清洁能源利用，实施热、电行业超低排放改造。</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2.加快漏损管网改造，减少管网漏损率、普及节水型器具。</w:t>
            </w:r>
          </w:p>
          <w:p>
            <w:pPr>
              <w:snapToGrid w:val="0"/>
              <w:rPr>
                <w:rFonts w:ascii="Times New Roman" w:hAnsi="Times New Roman" w:eastAsia="宋体" w:cs="Times New Roman"/>
                <w:kern w:val="0"/>
                <w:sz w:val="16"/>
                <w:szCs w:val="16"/>
              </w:rPr>
            </w:pPr>
            <w:r>
              <w:rPr>
                <w:rFonts w:ascii="Times New Roman" w:hAnsi="Times New Roman" w:eastAsia="宋体" w:cs="Times New Roman"/>
                <w:kern w:val="0"/>
                <w:sz w:val="16"/>
                <w:szCs w:val="16"/>
              </w:rPr>
              <w:t>3.全面开展节水型社会建设，促进再生水利用。</w:t>
            </w:r>
          </w:p>
          <w:p>
            <w:pPr>
              <w:snapToGrid w:val="0"/>
              <w:rPr>
                <w:rFonts w:ascii="Times New Roman" w:hAnsi="Times New Roman" w:eastAsia="宋体" w:cs="Times New Roman"/>
                <w:kern w:val="0"/>
                <w:sz w:val="16"/>
                <w:szCs w:val="16"/>
              </w:rPr>
            </w:pPr>
          </w:p>
        </w:tc>
      </w:tr>
    </w:tbl>
    <w:p>
      <w:pPr>
        <w:widowControl/>
        <w:jc w:val="left"/>
        <w:rPr>
          <w:rFonts w:ascii="Times New Roman" w:hAnsi="Times New Roman" w:cs="Times New Roman"/>
          <w:b/>
          <w:kern w:val="44"/>
          <w:sz w:val="16"/>
          <w:szCs w:val="16"/>
        </w:rPr>
      </w:pPr>
      <w:bookmarkStart w:id="46" w:name="_Toc15536"/>
      <w:bookmarkStart w:id="47" w:name="_Toc67649338"/>
      <w:r>
        <w:rPr>
          <w:rFonts w:ascii="Times New Roman" w:hAnsi="Times New Roman" w:cs="Times New Roman"/>
          <w:b/>
          <w:kern w:val="44"/>
          <w:sz w:val="16"/>
          <w:szCs w:val="16"/>
        </w:rPr>
        <w:br w:type="page"/>
      </w:r>
    </w:p>
    <w:p>
      <w:pPr>
        <w:widowControl/>
        <w:adjustRightInd w:val="0"/>
        <w:snapToGrid w:val="0"/>
        <w:spacing w:line="360" w:lineRule="auto"/>
        <w:jc w:val="center"/>
        <w:outlineLvl w:val="1"/>
        <w:rPr>
          <w:rFonts w:ascii="Times New Roman" w:hAnsi="Times New Roman" w:eastAsia="黑体" w:cs="Times New Roman"/>
          <w:b/>
          <w:kern w:val="44"/>
          <w:sz w:val="28"/>
          <w:szCs w:val="28"/>
        </w:rPr>
      </w:pPr>
      <w:bookmarkStart w:id="48" w:name="_Toc137761111"/>
      <w:r>
        <w:rPr>
          <w:rFonts w:ascii="Times New Roman" w:hAnsi="Times New Roman" w:eastAsia="黑体" w:cs="Times New Roman"/>
          <w:b/>
          <w:kern w:val="44"/>
          <w:sz w:val="28"/>
          <w:szCs w:val="28"/>
        </w:rPr>
        <w:t>(七)即墨区环境管控单元生态环境准入清单</w:t>
      </w:r>
      <w:bookmarkEnd w:id="46"/>
      <w:bookmarkEnd w:id="47"/>
      <w:bookmarkEnd w:id="48"/>
    </w:p>
    <w:tbl>
      <w:tblPr>
        <w:tblStyle w:val="13"/>
        <w:tblW w:w="13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
        <w:gridCol w:w="1325"/>
        <w:gridCol w:w="690"/>
        <w:gridCol w:w="434"/>
        <w:gridCol w:w="434"/>
        <w:gridCol w:w="435"/>
        <w:gridCol w:w="700"/>
        <w:gridCol w:w="1135"/>
        <w:gridCol w:w="1414"/>
        <w:gridCol w:w="2829"/>
        <w:gridCol w:w="2550"/>
        <w:gridCol w:w="16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78" w:type="dxa"/>
            <w:vMerge w:val="restart"/>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序号</w:t>
            </w:r>
          </w:p>
        </w:tc>
        <w:tc>
          <w:tcPr>
            <w:tcW w:w="1325" w:type="dxa"/>
            <w:vMerge w:val="restart"/>
            <w:vAlign w:val="center"/>
          </w:tcPr>
          <w:p>
            <w:pPr>
              <w:widowControl/>
              <w:adjustRightInd w:val="0"/>
              <w:snapToGrid w:val="0"/>
              <w:jc w:val="center"/>
              <w:rPr>
                <w:rFonts w:ascii="Times New Roman" w:hAnsi="Times New Roman" w:cs="Times New Roman"/>
                <w:b/>
                <w:sz w:val="16"/>
                <w:szCs w:val="16"/>
              </w:rPr>
            </w:pPr>
            <w:r>
              <w:rPr>
                <w:rFonts w:ascii="Times New Roman" w:hAnsi="Times New Roman" w:cs="Times New Roman"/>
                <w:b/>
                <w:sz w:val="16"/>
                <w:szCs w:val="16"/>
              </w:rPr>
              <w:t>环境管控单元编码</w:t>
            </w:r>
          </w:p>
        </w:tc>
        <w:tc>
          <w:tcPr>
            <w:tcW w:w="690" w:type="dxa"/>
            <w:vMerge w:val="restart"/>
            <w:vAlign w:val="center"/>
          </w:tcPr>
          <w:p>
            <w:pPr>
              <w:snapToGrid w:val="0"/>
              <w:ind w:left="-160" w:leftChars="-50" w:right="-166" w:rightChars="-52"/>
              <w:jc w:val="center"/>
              <w:rPr>
                <w:rFonts w:ascii="Times New Roman" w:hAnsi="Times New Roman" w:cs="Times New Roman"/>
                <w:b/>
                <w:sz w:val="16"/>
                <w:szCs w:val="16"/>
              </w:rPr>
            </w:pPr>
            <w:r>
              <w:rPr>
                <w:rFonts w:ascii="Times New Roman" w:hAnsi="Times New Roman" w:cs="Times New Roman"/>
                <w:b/>
                <w:sz w:val="16"/>
                <w:szCs w:val="16"/>
              </w:rPr>
              <w:t>环境管控单元名称</w:t>
            </w:r>
          </w:p>
        </w:tc>
        <w:tc>
          <w:tcPr>
            <w:tcW w:w="1303" w:type="dxa"/>
            <w:gridSpan w:val="3"/>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行政区划</w:t>
            </w:r>
          </w:p>
        </w:tc>
        <w:tc>
          <w:tcPr>
            <w:tcW w:w="700" w:type="dxa"/>
            <w:vMerge w:val="restart"/>
            <w:vAlign w:val="center"/>
          </w:tcPr>
          <w:p>
            <w:pPr>
              <w:widowControl/>
              <w:adjustRightInd w:val="0"/>
              <w:snapToGrid w:val="0"/>
              <w:jc w:val="center"/>
              <w:rPr>
                <w:rFonts w:ascii="Times New Roman" w:hAnsi="Times New Roman" w:cs="Times New Roman"/>
                <w:b/>
                <w:sz w:val="16"/>
                <w:szCs w:val="16"/>
              </w:rPr>
            </w:pPr>
            <w:r>
              <w:rPr>
                <w:rFonts w:ascii="Times New Roman" w:hAnsi="Times New Roman" w:cs="Times New Roman"/>
                <w:b/>
                <w:sz w:val="16"/>
                <w:szCs w:val="16"/>
              </w:rPr>
              <w:t>管控单元分类</w:t>
            </w:r>
          </w:p>
        </w:tc>
        <w:tc>
          <w:tcPr>
            <w:tcW w:w="1135" w:type="dxa"/>
            <w:vMerge w:val="restart"/>
            <w:vAlign w:val="center"/>
          </w:tcPr>
          <w:p>
            <w:pPr>
              <w:adjustRightInd w:val="0"/>
              <w:snapToGrid w:val="0"/>
              <w:jc w:val="center"/>
              <w:rPr>
                <w:rFonts w:ascii="Times New Roman" w:hAnsi="Times New Roman" w:cs="Times New Roman"/>
                <w:b/>
                <w:sz w:val="16"/>
                <w:szCs w:val="16"/>
              </w:rPr>
            </w:pPr>
            <w:r>
              <w:rPr>
                <w:rFonts w:ascii="Times New Roman" w:hAnsi="Times New Roman" w:cs="Times New Roman"/>
                <w:b/>
                <w:sz w:val="16"/>
                <w:szCs w:val="16"/>
              </w:rPr>
              <w:t>涉及的主要管控细类</w:t>
            </w:r>
          </w:p>
        </w:tc>
        <w:tc>
          <w:tcPr>
            <w:tcW w:w="1414" w:type="dxa"/>
            <w:vMerge w:val="restart"/>
            <w:vAlign w:val="center"/>
          </w:tcPr>
          <w:p>
            <w:pPr>
              <w:adjustRightInd w:val="0"/>
              <w:snapToGrid w:val="0"/>
              <w:jc w:val="center"/>
              <w:rPr>
                <w:rFonts w:ascii="Times New Roman" w:hAnsi="Times New Roman" w:cs="Times New Roman"/>
                <w:b/>
                <w:sz w:val="16"/>
                <w:szCs w:val="16"/>
              </w:rPr>
            </w:pPr>
            <w:r>
              <w:rPr>
                <w:rFonts w:ascii="Times New Roman" w:hAnsi="Times New Roman" w:cs="Times New Roman"/>
                <w:b/>
                <w:sz w:val="16"/>
                <w:szCs w:val="16"/>
              </w:rPr>
              <w:t>空间布局约束</w:t>
            </w:r>
          </w:p>
        </w:tc>
        <w:tc>
          <w:tcPr>
            <w:tcW w:w="2829" w:type="dxa"/>
            <w:vMerge w:val="restart"/>
            <w:vAlign w:val="center"/>
          </w:tcPr>
          <w:p>
            <w:pPr>
              <w:adjustRightInd w:val="0"/>
              <w:snapToGrid w:val="0"/>
              <w:jc w:val="center"/>
              <w:rPr>
                <w:rFonts w:ascii="Times New Roman" w:hAnsi="Times New Roman" w:cs="Times New Roman"/>
                <w:b/>
                <w:sz w:val="16"/>
                <w:szCs w:val="16"/>
              </w:rPr>
            </w:pPr>
            <w:r>
              <w:rPr>
                <w:rFonts w:ascii="Times New Roman" w:hAnsi="Times New Roman" w:cs="Times New Roman"/>
                <w:b/>
                <w:sz w:val="16"/>
                <w:szCs w:val="16"/>
              </w:rPr>
              <w:t>污染物排放管控</w:t>
            </w:r>
          </w:p>
        </w:tc>
        <w:tc>
          <w:tcPr>
            <w:tcW w:w="2550" w:type="dxa"/>
            <w:vMerge w:val="restart"/>
            <w:vAlign w:val="center"/>
          </w:tcPr>
          <w:p>
            <w:pPr>
              <w:adjustRightInd w:val="0"/>
              <w:snapToGrid w:val="0"/>
              <w:jc w:val="center"/>
              <w:rPr>
                <w:rFonts w:ascii="Times New Roman" w:hAnsi="Times New Roman" w:cs="Times New Roman"/>
                <w:b/>
                <w:sz w:val="16"/>
                <w:szCs w:val="16"/>
              </w:rPr>
            </w:pPr>
            <w:r>
              <w:rPr>
                <w:rFonts w:ascii="Times New Roman" w:hAnsi="Times New Roman" w:cs="Times New Roman"/>
                <w:b/>
                <w:sz w:val="16"/>
                <w:szCs w:val="16"/>
              </w:rPr>
              <w:t>环境风险防控</w:t>
            </w:r>
          </w:p>
        </w:tc>
        <w:tc>
          <w:tcPr>
            <w:tcW w:w="1624" w:type="dxa"/>
            <w:vMerge w:val="restart"/>
            <w:vAlign w:val="center"/>
          </w:tcPr>
          <w:p>
            <w:pPr>
              <w:adjustRightInd w:val="0"/>
              <w:snapToGrid w:val="0"/>
              <w:jc w:val="center"/>
              <w:rPr>
                <w:rFonts w:ascii="Times New Roman" w:hAnsi="Times New Roman" w:cs="Times New Roman"/>
                <w:b/>
                <w:sz w:val="16"/>
                <w:szCs w:val="16"/>
              </w:rPr>
            </w:pPr>
            <w:r>
              <w:rPr>
                <w:rFonts w:ascii="Times New Roman" w:hAnsi="Times New Roman" w:cs="Times New Roman"/>
                <w:b/>
                <w:sz w:val="16"/>
                <w:szCs w:val="16"/>
              </w:rPr>
              <w:t>资源开发效率要求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78" w:type="dxa"/>
            <w:vMerge w:val="continue"/>
            <w:vAlign w:val="center"/>
          </w:tcPr>
          <w:p>
            <w:pPr>
              <w:widowControl/>
              <w:adjustRightInd w:val="0"/>
              <w:snapToGrid w:val="0"/>
              <w:jc w:val="center"/>
              <w:rPr>
                <w:rFonts w:ascii="Times New Roman" w:hAnsi="Times New Roman" w:cs="Times New Roman"/>
                <w:b/>
                <w:kern w:val="44"/>
                <w:sz w:val="16"/>
                <w:szCs w:val="16"/>
              </w:rPr>
            </w:pPr>
          </w:p>
        </w:tc>
        <w:tc>
          <w:tcPr>
            <w:tcW w:w="1325" w:type="dxa"/>
            <w:vMerge w:val="continue"/>
            <w:vAlign w:val="center"/>
          </w:tcPr>
          <w:p>
            <w:pPr>
              <w:widowControl/>
              <w:adjustRightInd w:val="0"/>
              <w:snapToGrid w:val="0"/>
              <w:jc w:val="center"/>
              <w:rPr>
                <w:rFonts w:ascii="Times New Roman" w:hAnsi="Times New Roman" w:cs="Times New Roman"/>
                <w:b/>
                <w:sz w:val="16"/>
                <w:szCs w:val="16"/>
              </w:rPr>
            </w:pPr>
          </w:p>
        </w:tc>
        <w:tc>
          <w:tcPr>
            <w:tcW w:w="690" w:type="dxa"/>
            <w:vMerge w:val="continue"/>
            <w:vAlign w:val="center"/>
          </w:tcPr>
          <w:p>
            <w:pPr>
              <w:adjustRightInd w:val="0"/>
              <w:snapToGrid w:val="0"/>
              <w:jc w:val="center"/>
              <w:rPr>
                <w:rFonts w:ascii="Times New Roman" w:hAnsi="Times New Roman" w:cs="Times New Roman"/>
                <w:b/>
                <w:sz w:val="16"/>
                <w:szCs w:val="16"/>
              </w:rPr>
            </w:pPr>
          </w:p>
        </w:tc>
        <w:tc>
          <w:tcPr>
            <w:tcW w:w="434" w:type="dxa"/>
            <w:vAlign w:val="center"/>
          </w:tcPr>
          <w:p>
            <w:pPr>
              <w:widowControl/>
              <w:adjustRightInd w:val="0"/>
              <w:snapToGrid w:val="0"/>
              <w:jc w:val="center"/>
              <w:rPr>
                <w:rFonts w:ascii="Times New Roman" w:hAnsi="Times New Roman" w:cs="Times New Roman"/>
                <w:b/>
                <w:sz w:val="16"/>
                <w:szCs w:val="16"/>
              </w:rPr>
            </w:pPr>
            <w:r>
              <w:rPr>
                <w:rFonts w:ascii="Times New Roman" w:hAnsi="Times New Roman" w:cs="Times New Roman"/>
                <w:b/>
                <w:sz w:val="16"/>
                <w:szCs w:val="16"/>
              </w:rPr>
              <w:t>省</w:t>
            </w:r>
          </w:p>
        </w:tc>
        <w:tc>
          <w:tcPr>
            <w:tcW w:w="434" w:type="dxa"/>
            <w:vAlign w:val="center"/>
          </w:tcPr>
          <w:p>
            <w:pPr>
              <w:adjustRightInd w:val="0"/>
              <w:snapToGrid w:val="0"/>
              <w:jc w:val="center"/>
              <w:rPr>
                <w:rFonts w:ascii="Times New Roman" w:hAnsi="Times New Roman" w:cs="Times New Roman"/>
                <w:b/>
                <w:sz w:val="16"/>
                <w:szCs w:val="16"/>
              </w:rPr>
            </w:pPr>
            <w:r>
              <w:rPr>
                <w:rFonts w:ascii="Times New Roman" w:hAnsi="Times New Roman" w:cs="Times New Roman"/>
                <w:b/>
                <w:sz w:val="16"/>
                <w:szCs w:val="16"/>
              </w:rPr>
              <w:t>市</w:t>
            </w:r>
          </w:p>
        </w:tc>
        <w:tc>
          <w:tcPr>
            <w:tcW w:w="435" w:type="dxa"/>
            <w:vAlign w:val="center"/>
          </w:tcPr>
          <w:p>
            <w:pPr>
              <w:adjustRightInd w:val="0"/>
              <w:snapToGrid w:val="0"/>
              <w:jc w:val="center"/>
              <w:rPr>
                <w:rFonts w:ascii="Times New Roman" w:hAnsi="Times New Roman" w:cs="Times New Roman"/>
                <w:b/>
                <w:sz w:val="16"/>
                <w:szCs w:val="16"/>
              </w:rPr>
            </w:pPr>
            <w:r>
              <w:rPr>
                <w:rFonts w:ascii="Times New Roman" w:hAnsi="Times New Roman" w:cs="Times New Roman"/>
                <w:b/>
                <w:sz w:val="16"/>
                <w:szCs w:val="16"/>
              </w:rPr>
              <w:t>县</w:t>
            </w:r>
          </w:p>
        </w:tc>
        <w:tc>
          <w:tcPr>
            <w:tcW w:w="700" w:type="dxa"/>
            <w:vMerge w:val="continue"/>
            <w:vAlign w:val="center"/>
          </w:tcPr>
          <w:p>
            <w:pPr>
              <w:widowControl/>
              <w:adjustRightInd w:val="0"/>
              <w:snapToGrid w:val="0"/>
              <w:jc w:val="center"/>
              <w:rPr>
                <w:rFonts w:ascii="Times New Roman" w:hAnsi="Times New Roman" w:cs="Times New Roman"/>
                <w:b/>
                <w:kern w:val="44"/>
                <w:sz w:val="16"/>
                <w:szCs w:val="16"/>
              </w:rPr>
            </w:pPr>
          </w:p>
        </w:tc>
        <w:tc>
          <w:tcPr>
            <w:tcW w:w="1135" w:type="dxa"/>
            <w:vMerge w:val="continue"/>
            <w:vAlign w:val="center"/>
          </w:tcPr>
          <w:p>
            <w:pPr>
              <w:widowControl/>
              <w:adjustRightInd w:val="0"/>
              <w:snapToGrid w:val="0"/>
              <w:jc w:val="center"/>
              <w:rPr>
                <w:rFonts w:ascii="Times New Roman" w:hAnsi="Times New Roman" w:cs="Times New Roman"/>
                <w:b/>
                <w:kern w:val="44"/>
                <w:sz w:val="16"/>
                <w:szCs w:val="16"/>
              </w:rPr>
            </w:pPr>
          </w:p>
        </w:tc>
        <w:tc>
          <w:tcPr>
            <w:tcW w:w="1414" w:type="dxa"/>
            <w:vMerge w:val="continue"/>
            <w:vAlign w:val="center"/>
          </w:tcPr>
          <w:p>
            <w:pPr>
              <w:widowControl/>
              <w:adjustRightInd w:val="0"/>
              <w:snapToGrid w:val="0"/>
              <w:jc w:val="center"/>
              <w:rPr>
                <w:rFonts w:ascii="Times New Roman" w:hAnsi="Times New Roman" w:cs="Times New Roman"/>
                <w:b/>
                <w:kern w:val="44"/>
                <w:sz w:val="16"/>
                <w:szCs w:val="16"/>
              </w:rPr>
            </w:pPr>
          </w:p>
        </w:tc>
        <w:tc>
          <w:tcPr>
            <w:tcW w:w="2829" w:type="dxa"/>
            <w:vMerge w:val="continue"/>
            <w:vAlign w:val="center"/>
          </w:tcPr>
          <w:p>
            <w:pPr>
              <w:widowControl/>
              <w:adjustRightInd w:val="0"/>
              <w:snapToGrid w:val="0"/>
              <w:jc w:val="center"/>
              <w:rPr>
                <w:rFonts w:ascii="Times New Roman" w:hAnsi="Times New Roman" w:cs="Times New Roman"/>
                <w:b/>
                <w:kern w:val="44"/>
                <w:sz w:val="16"/>
                <w:szCs w:val="16"/>
              </w:rPr>
            </w:pPr>
          </w:p>
        </w:tc>
        <w:tc>
          <w:tcPr>
            <w:tcW w:w="2550" w:type="dxa"/>
            <w:vMerge w:val="continue"/>
            <w:vAlign w:val="center"/>
          </w:tcPr>
          <w:p>
            <w:pPr>
              <w:widowControl/>
              <w:adjustRightInd w:val="0"/>
              <w:snapToGrid w:val="0"/>
              <w:jc w:val="center"/>
              <w:rPr>
                <w:rFonts w:ascii="Times New Roman" w:hAnsi="Times New Roman" w:cs="Times New Roman"/>
                <w:b/>
                <w:kern w:val="44"/>
                <w:sz w:val="16"/>
                <w:szCs w:val="16"/>
              </w:rPr>
            </w:pPr>
          </w:p>
        </w:tc>
        <w:tc>
          <w:tcPr>
            <w:tcW w:w="1624" w:type="dxa"/>
            <w:vMerge w:val="continue"/>
            <w:vAlign w:val="center"/>
          </w:tcPr>
          <w:p>
            <w:pPr>
              <w:widowControl/>
              <w:adjustRightInd w:val="0"/>
              <w:snapToGrid w:val="0"/>
              <w:jc w:val="center"/>
              <w:rPr>
                <w:rFonts w:ascii="Times New Roman" w:hAnsi="Times New Roman" w:cs="Times New Roman"/>
                <w:b/>
                <w:kern w:val="44"/>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w:t>
            </w:r>
          </w:p>
        </w:tc>
        <w:tc>
          <w:tcPr>
            <w:tcW w:w="1325" w:type="dxa"/>
            <w:vAlign w:val="center"/>
          </w:tcPr>
          <w:p>
            <w:pPr>
              <w:widowControl/>
              <w:snapToGrid w:val="0"/>
              <w:jc w:val="center"/>
              <w:rPr>
                <w:rFonts w:ascii="Times New Roman" w:hAnsi="Times New Roman" w:cs="Times New Roman"/>
                <w:sz w:val="16"/>
                <w:szCs w:val="16"/>
              </w:rPr>
            </w:pPr>
            <w:r>
              <w:rPr>
                <w:rFonts w:hint="eastAsia" w:ascii="Times New Roman" w:hAnsi="Times New Roman" w:cs="Times New Roman"/>
                <w:sz w:val="16"/>
                <w:szCs w:val="16"/>
              </w:rPr>
              <w:t xml:space="preserve">ZH37021520010   </w:t>
            </w:r>
          </w:p>
        </w:tc>
        <w:tc>
          <w:tcPr>
            <w:tcW w:w="69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北安街道</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山东省</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青岛市</w:t>
            </w:r>
          </w:p>
        </w:tc>
        <w:tc>
          <w:tcPr>
            <w:tcW w:w="43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即墨区</w:t>
            </w:r>
          </w:p>
        </w:tc>
        <w:tc>
          <w:tcPr>
            <w:tcW w:w="700" w:type="dxa"/>
            <w:vAlign w:val="center"/>
          </w:tcPr>
          <w:p>
            <w:pPr>
              <w:snapToGrid w:val="0"/>
              <w:jc w:val="center"/>
              <w:rPr>
                <w:rFonts w:ascii="Times New Roman" w:hAnsi="Times New Roman" w:cs="Times New Roman"/>
                <w:sz w:val="16"/>
                <w:szCs w:val="16"/>
              </w:rPr>
            </w:pPr>
            <w:r>
              <w:rPr>
                <w:rFonts w:hint="eastAsia" w:ascii="Times New Roman" w:hAnsi="Times New Roman" w:cs="Times New Roman"/>
                <w:sz w:val="16"/>
                <w:szCs w:val="16"/>
              </w:rPr>
              <w:t>重点管控</w:t>
            </w:r>
            <w:r>
              <w:rPr>
                <w:rFonts w:ascii="Times New Roman" w:hAnsi="Times New Roman" w:cs="Times New Roman"/>
                <w:sz w:val="16"/>
                <w:szCs w:val="16"/>
              </w:rPr>
              <w:t>单元</w:t>
            </w:r>
          </w:p>
        </w:tc>
        <w:tc>
          <w:tcPr>
            <w:tcW w:w="1135"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宋化泉水库、一般生态空间、大气环境弱扩散敏感区、大气环境受体敏感区</w:t>
            </w:r>
          </w:p>
        </w:tc>
        <w:tc>
          <w:tcPr>
            <w:tcW w:w="1414"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1.引导工业企业入驻工业园区。新建有污染物排放的工业项目，除在安全生产等方面有特殊要求的以外，应当进入工业园区或者工业集聚区。</w:t>
            </w:r>
          </w:p>
          <w:p>
            <w:pPr>
              <w:snapToGrid w:val="0"/>
              <w:jc w:val="left"/>
              <w:rPr>
                <w:rFonts w:ascii="Times New Roman" w:hAnsi="Times New Roman" w:cs="Times New Roman"/>
                <w:sz w:val="16"/>
                <w:szCs w:val="16"/>
              </w:rPr>
            </w:pPr>
            <w:r>
              <w:rPr>
                <w:rFonts w:ascii="Times New Roman" w:hAnsi="Times New Roman" w:cs="Times New Roman"/>
                <w:sz w:val="16"/>
                <w:szCs w:val="16"/>
              </w:rPr>
              <w:t>2.饮用水源保护区严格按照《中华人民共和国水污染防治法》《山东省水污染防治条例》</w:t>
            </w:r>
            <w:r>
              <w:rPr>
                <w:rFonts w:hint="eastAsia" w:ascii="Times New Roman" w:hAnsi="Times New Roman" w:cs="Times New Roman"/>
                <w:sz w:val="16"/>
                <w:szCs w:val="16"/>
                <w:lang w:eastAsia="zh-CN"/>
              </w:rPr>
              <w:t>《青岛市饮用水水源保护条例》</w:t>
            </w:r>
            <w:r>
              <w:rPr>
                <w:rFonts w:ascii="Times New Roman" w:hAnsi="Times New Roman" w:cs="Times New Roman"/>
                <w:sz w:val="16"/>
                <w:szCs w:val="16"/>
              </w:rPr>
              <w:t>及相关法律法规实施保护管理。</w:t>
            </w:r>
          </w:p>
        </w:tc>
        <w:tc>
          <w:tcPr>
            <w:tcW w:w="2829"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1.对于涉重金属的企业，推行“一企一管”，产生一类污染物的要在车间排放口达标。加强涉重企业污水排放的在线监测,并逐步推行废水分类收集、分质处理。</w:t>
            </w:r>
          </w:p>
          <w:p>
            <w:pPr>
              <w:snapToGrid w:val="0"/>
              <w:rPr>
                <w:rFonts w:ascii="Times New Roman" w:hAnsi="Times New Roman" w:cs="Times New Roman"/>
                <w:sz w:val="16"/>
                <w:szCs w:val="16"/>
              </w:rPr>
            </w:pPr>
            <w:r>
              <w:rPr>
                <w:rFonts w:ascii="Times New Roman" w:hAnsi="Times New Roman" w:cs="Times New Roman"/>
                <w:sz w:val="16"/>
                <w:szCs w:val="16"/>
              </w:rPr>
              <w:t>2.机械制造行业下料、机械加工、抛丸、打磨、喷砂、清理滚筒、热处理、化学预处理、电镀等环节设置废气有效收集治理设施。焊接环节根据作业点位数配备焊接烟尘净化器，或设置专门操作间并设置集气系统对焊接烟尘进行有效收集治理。</w:t>
            </w:r>
          </w:p>
          <w:p>
            <w:pPr>
              <w:snapToGrid w:val="0"/>
              <w:rPr>
                <w:rFonts w:ascii="Times New Roman" w:hAnsi="Times New Roman" w:cs="Times New Roman"/>
                <w:sz w:val="16"/>
                <w:szCs w:val="16"/>
              </w:rPr>
            </w:pPr>
            <w:r>
              <w:rPr>
                <w:rFonts w:ascii="Times New Roman" w:hAnsi="Times New Roman" w:cs="Times New Roman"/>
                <w:sz w:val="16"/>
                <w:szCs w:val="16"/>
              </w:rPr>
              <w:t>3.表面涂装行业鼓励推进源头替代，引导使用低VOCs含量的涂料替代溶剂型引导使用低VOCs含量的涂料替代溶剂型涂料，从源头减少VOCs产生。鼓励企业采用自动化、智能化喷涂设备替代人工喷涂，减少使用空气喷涂技术。提高废气收集率。遵循“应收尽收、分质收集”的原则，科学设计废气收集系统，将无组织排放转变为有组织排放进行控制。涂料、稀释剂、清洗剂等原辅材料应密闭存储，调配、使用、回收等过程应采用密闭设备或在密闭空间内操作，采用密闭管道或密闭容器等输送。推进建设适宜高效的治污设施和技术，提高VOCs治理效率。</w:t>
            </w:r>
          </w:p>
          <w:p>
            <w:pPr>
              <w:snapToGrid w:val="0"/>
              <w:rPr>
                <w:rFonts w:ascii="Times New Roman" w:hAnsi="Times New Roman" w:cs="Times New Roman"/>
                <w:sz w:val="16"/>
                <w:szCs w:val="16"/>
              </w:rPr>
            </w:pPr>
            <w:r>
              <w:rPr>
                <w:rFonts w:ascii="Times New Roman" w:hAnsi="Times New Roman" w:cs="Times New Roman"/>
                <w:sz w:val="16"/>
                <w:szCs w:val="16"/>
              </w:rPr>
              <w:t>4.印刷行业推进源头替代，通过使用低VOCs含量油墨替代溶剂型油墨，推进使用先进印刷工艺，从源头减少VOCs产生。油墨等原辅材料存储、调配工段应对空间进行微负压改造，辊刷、覆压工艺宜设置于密闭工作间内，集中排风并导入VOCs处理设施处理。工艺废气在过滤后宜采用浓缩结合燃烧法等工艺进行处理。</w:t>
            </w:r>
          </w:p>
          <w:p>
            <w:pPr>
              <w:snapToGrid w:val="0"/>
              <w:rPr>
                <w:rFonts w:ascii="Times New Roman" w:hAnsi="Times New Roman" w:cs="Times New Roman"/>
                <w:sz w:val="16"/>
                <w:szCs w:val="16"/>
              </w:rPr>
            </w:pPr>
            <w:r>
              <w:rPr>
                <w:rFonts w:ascii="Times New Roman" w:hAnsi="Times New Roman" w:cs="Times New Roman"/>
                <w:sz w:val="16"/>
                <w:szCs w:val="16"/>
              </w:rPr>
              <w:t>5.纺织服装行业优先采用清洁生产技术，禁止选用列入《产业结构调整指导目录》限制类、淘汰类的落后生产工艺和设备，提高资源、能源利用率，按照《纺织工业环境保护设施设计标准》《纺织染整工业废水治理工程技术规范》等有关规定，减少污染物的产生和排放。</w:t>
            </w:r>
          </w:p>
          <w:p>
            <w:pPr>
              <w:snapToGrid w:val="0"/>
              <w:rPr>
                <w:rFonts w:ascii="Times New Roman" w:hAnsi="Times New Roman" w:cs="Times New Roman"/>
                <w:sz w:val="16"/>
                <w:szCs w:val="16"/>
              </w:rPr>
            </w:pPr>
            <w:r>
              <w:rPr>
                <w:rFonts w:ascii="Times New Roman" w:hAnsi="Times New Roman" w:cs="Times New Roman"/>
                <w:sz w:val="16"/>
                <w:szCs w:val="16"/>
              </w:rPr>
              <w:t>6.电镀、热镀锌等表面处理行业污染物排放管控：应按照“清污分流、雨污分流、分类收集、分质处理”原则，设立完善的废水收集、处理和回用系统，确保一类污染物车间或车间（园区）处理设施排放口达标，提高水的循环利用率，减少重金属污染物排放量。对废气进行严格的收集、控制与处理，减少无组织排放。采取分区防渗等措施有效防范地下水和土壤污染。按照国家有关规定，对固体废物进行规范收集、贮存和无害化处置。</w:t>
            </w:r>
          </w:p>
        </w:tc>
        <w:tc>
          <w:tcPr>
            <w:tcW w:w="2550"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1.涉酸、涉重等土壤、地下水高污染风险企业的车间、危废间、污水处理站、储罐等重点管控区进行重点防渗。</w:t>
            </w:r>
          </w:p>
          <w:p>
            <w:pPr>
              <w:snapToGrid w:val="0"/>
              <w:rPr>
                <w:rFonts w:ascii="Times New Roman" w:hAnsi="Times New Roman" w:cs="Times New Roman"/>
                <w:sz w:val="16"/>
                <w:szCs w:val="16"/>
              </w:rPr>
            </w:pPr>
            <w:r>
              <w:rPr>
                <w:rFonts w:ascii="Times New Roman" w:hAnsi="Times New Roman" w:cs="Times New Roman"/>
                <w:sz w:val="16"/>
                <w:szCs w:val="16"/>
              </w:rPr>
              <w:t>2.按照《中华人民共和国水污染防治法》等，加强饮用水源保护区风险预防和预警应急工作。</w:t>
            </w:r>
          </w:p>
        </w:tc>
        <w:tc>
          <w:tcPr>
            <w:tcW w:w="1624"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1.推广集中供能和清洁能源利用。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2.全面开展节水型社会建设，促进再生水利用。</w:t>
            </w:r>
          </w:p>
          <w:p>
            <w:pPr>
              <w:snapToGrid w:val="0"/>
              <w:rPr>
                <w:rFonts w:ascii="Times New Roman" w:hAnsi="Times New Roman" w:cs="Times New Roman"/>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2</w:t>
            </w:r>
          </w:p>
        </w:tc>
        <w:tc>
          <w:tcPr>
            <w:tcW w:w="1325" w:type="dxa"/>
            <w:vAlign w:val="center"/>
          </w:tcPr>
          <w:p>
            <w:pPr>
              <w:widowControl/>
              <w:snapToGrid w:val="0"/>
              <w:jc w:val="center"/>
              <w:rPr>
                <w:rFonts w:ascii="Times New Roman" w:hAnsi="Times New Roman" w:cs="Times New Roman"/>
                <w:sz w:val="16"/>
                <w:szCs w:val="16"/>
              </w:rPr>
            </w:pPr>
            <w:r>
              <w:rPr>
                <w:rFonts w:ascii="Times New Roman" w:hAnsi="Times New Roman" w:cs="Times New Roman"/>
                <w:sz w:val="16"/>
                <w:szCs w:val="16"/>
              </w:rPr>
              <w:t>ZH37021520005</w:t>
            </w:r>
          </w:p>
        </w:tc>
        <w:tc>
          <w:tcPr>
            <w:tcW w:w="69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通济街道</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山东省</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青岛市</w:t>
            </w:r>
          </w:p>
        </w:tc>
        <w:tc>
          <w:tcPr>
            <w:tcW w:w="43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即墨区</w:t>
            </w:r>
          </w:p>
        </w:tc>
        <w:tc>
          <w:tcPr>
            <w:tcW w:w="70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重点管控单元</w:t>
            </w:r>
          </w:p>
        </w:tc>
        <w:tc>
          <w:tcPr>
            <w:tcW w:w="1135" w:type="dxa"/>
            <w:vAlign w:val="center"/>
          </w:tcPr>
          <w:p>
            <w:pPr>
              <w:jc w:val="left"/>
              <w:rPr>
                <w:rFonts w:ascii="Times New Roman" w:hAnsi="Times New Roman" w:cs="Times New Roman"/>
                <w:sz w:val="16"/>
                <w:szCs w:val="16"/>
              </w:rPr>
            </w:pPr>
            <w:r>
              <w:rPr>
                <w:rFonts w:ascii="Times New Roman" w:hAnsi="Times New Roman" w:cs="Times New Roman"/>
                <w:sz w:val="16"/>
                <w:szCs w:val="16"/>
              </w:rPr>
              <w:t>马山自然保护区、一般生态空间、大气环境受体敏感区、水源涵养区</w:t>
            </w:r>
          </w:p>
        </w:tc>
        <w:tc>
          <w:tcPr>
            <w:tcW w:w="1414"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1.严格按照规划要求合理布局工业企业，依法开展规划环评或跟踪评价。</w:t>
            </w:r>
          </w:p>
          <w:p>
            <w:pPr>
              <w:snapToGrid w:val="0"/>
              <w:jc w:val="left"/>
              <w:rPr>
                <w:rFonts w:ascii="Times New Roman" w:hAnsi="Times New Roman" w:cs="Times New Roman"/>
                <w:sz w:val="16"/>
                <w:szCs w:val="16"/>
              </w:rPr>
            </w:pPr>
            <w:r>
              <w:rPr>
                <w:rFonts w:ascii="Times New Roman" w:hAnsi="Times New Roman" w:cs="Times New Roman"/>
                <w:sz w:val="16"/>
                <w:szCs w:val="16"/>
              </w:rPr>
              <w:t>2.引导工业企业入驻工业园区。新建有污染物排放的工业项目，除在安全生产等方面有特殊要求的以外，应当进入工业园区或者工业集聚区。</w:t>
            </w:r>
          </w:p>
        </w:tc>
        <w:tc>
          <w:tcPr>
            <w:tcW w:w="2829"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1.涉及重金属的企业做好污染物的排放管控，做好及其所在园区污水处理设施监测、监管，确保在线监测设备正常运行。</w:t>
            </w:r>
          </w:p>
          <w:p>
            <w:pPr>
              <w:snapToGrid w:val="0"/>
              <w:rPr>
                <w:rFonts w:ascii="Times New Roman" w:hAnsi="Times New Roman" w:cs="Times New Roman"/>
                <w:sz w:val="16"/>
                <w:szCs w:val="16"/>
              </w:rPr>
            </w:pPr>
            <w:r>
              <w:rPr>
                <w:rFonts w:ascii="Times New Roman" w:hAnsi="Times New Roman" w:cs="Times New Roman"/>
                <w:sz w:val="16"/>
                <w:szCs w:val="16"/>
              </w:rPr>
              <w:t>2.加强印刷等行业企业挥发性有机物排放管控，涉及挥发性有机物排放的行业应严格遵守《挥发性有机物无组织排放控制标准》（GB37822-2019）和山东省地方标准《挥发性有机物排放标准》各部分相关标准。印刷行业推进源头替代，通过使用低VOCs含量油墨替代溶剂型油墨，推进使用先进印刷工艺，从源头减少VOCs产生。油墨等原辅材料存储、调配工段应对空间进行微负压改造，辊刷、覆压工艺宜设置于密闭工作间内，集中排风并导入VOCs处理设施处理。工艺废气在过滤后宜采用浓缩结合燃烧法等工艺进行处理。</w:t>
            </w:r>
          </w:p>
          <w:p>
            <w:pPr>
              <w:snapToGrid w:val="0"/>
              <w:rPr>
                <w:rFonts w:ascii="Times New Roman" w:hAnsi="Times New Roman" w:cs="Times New Roman"/>
                <w:sz w:val="16"/>
                <w:szCs w:val="16"/>
              </w:rPr>
            </w:pPr>
            <w:r>
              <w:rPr>
                <w:rFonts w:ascii="Times New Roman" w:hAnsi="Times New Roman" w:cs="Times New Roman"/>
                <w:sz w:val="16"/>
                <w:szCs w:val="16"/>
              </w:rPr>
              <w:t>3.涂装行业鼓励推进源头替代，引导使用低VOCs含量的涂料替代溶剂型引导使用低VOCs含量的涂料替代溶剂型涂料，从源头减少VOCs产生。推进使用先进生产工艺，鼓励企业采用自动化、智能化喷涂设备替代人工喷涂，减少使用空气喷涂技术。提高废气收集率。遵循“应收尽收、分质收集”的原则，科学设计废气收集系统，将无组织排放转变为有组织排放进行控制。涂料、稀释剂、清洗剂等原辅材料应密闭存储，调配、使用、回收等过程应采用密闭设备或在密闭空间内操作，采用密闭管道或密闭容器等输送。推进建设适宜高效的治污设施，合理选择治理技术，提高VOCs治理效率。</w:t>
            </w:r>
          </w:p>
          <w:p>
            <w:pPr>
              <w:snapToGrid w:val="0"/>
              <w:rPr>
                <w:rFonts w:ascii="Times New Roman" w:hAnsi="Times New Roman" w:cs="Times New Roman"/>
                <w:sz w:val="16"/>
                <w:szCs w:val="16"/>
              </w:rPr>
            </w:pPr>
            <w:r>
              <w:rPr>
                <w:rFonts w:ascii="Times New Roman" w:hAnsi="Times New Roman" w:cs="Times New Roman"/>
                <w:sz w:val="16"/>
                <w:szCs w:val="16"/>
              </w:rPr>
              <w:t>4.食品加工行业加强臭气异味的处理和防治；安装净化装置或者采取其他措施，防止排放恶臭气体；含盐废水处理，做到达标排放。</w:t>
            </w:r>
          </w:p>
          <w:p>
            <w:pPr>
              <w:snapToGrid w:val="0"/>
              <w:rPr>
                <w:rFonts w:ascii="Times New Roman" w:hAnsi="Times New Roman" w:cs="Times New Roman"/>
                <w:sz w:val="16"/>
                <w:szCs w:val="16"/>
              </w:rPr>
            </w:pPr>
            <w:r>
              <w:rPr>
                <w:rFonts w:ascii="Times New Roman" w:hAnsi="Times New Roman" w:cs="Times New Roman"/>
                <w:sz w:val="16"/>
                <w:szCs w:val="16"/>
              </w:rPr>
              <w:t>5.服装印染行业优先采用清洁生产技术，禁止选用列入《产业结构调整指导目录》限制类、淘汰类的落后生产工艺和设备，提高资源、能源利用率，按照《纺织工业环境保护设施设计标准》《》《纺织染整工业废水治理工程技术规范》等有关规定，减少污染物的产生和排放。</w:t>
            </w:r>
          </w:p>
          <w:p>
            <w:pPr>
              <w:snapToGrid w:val="0"/>
              <w:rPr>
                <w:rFonts w:ascii="Times New Roman" w:hAnsi="Times New Roman" w:cs="Times New Roman"/>
                <w:sz w:val="16"/>
                <w:szCs w:val="16"/>
              </w:rPr>
            </w:pPr>
            <w:r>
              <w:rPr>
                <w:rFonts w:ascii="Times New Roman" w:hAnsi="Times New Roman" w:cs="Times New Roman"/>
                <w:sz w:val="16"/>
                <w:szCs w:val="16"/>
              </w:rPr>
              <w:t>6.规模化畜禽养殖场、养殖小区应有序完成畜禽粪便处理利用设施和污水收集处理设施配套建设，防止造成面源污染。</w:t>
            </w:r>
          </w:p>
        </w:tc>
        <w:tc>
          <w:tcPr>
            <w:tcW w:w="2550"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1.建立健全环境风险事故防范措施和应急预案，严防郭庄工业集聚区水环境风险事故发生。</w:t>
            </w:r>
          </w:p>
          <w:p>
            <w:pPr>
              <w:snapToGrid w:val="0"/>
              <w:rPr>
                <w:rFonts w:ascii="Times New Roman" w:hAnsi="Times New Roman" w:cs="Times New Roman"/>
                <w:sz w:val="16"/>
                <w:szCs w:val="16"/>
              </w:rPr>
            </w:pPr>
            <w:r>
              <w:rPr>
                <w:rFonts w:ascii="Times New Roman" w:hAnsi="Times New Roman" w:cs="Times New Roman"/>
                <w:sz w:val="16"/>
                <w:szCs w:val="16"/>
              </w:rPr>
              <w:t>2.涉酸、涉重等土壤、地下水高污染风险企业的车间、危废间、污水处理站、储罐等重点管控区进行重点防渗。</w:t>
            </w:r>
          </w:p>
        </w:tc>
        <w:tc>
          <w:tcPr>
            <w:tcW w:w="1624"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1.推广集中供能和清洁能源利用。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2.全面开展节水型社会建设，促进再生水利用。</w:t>
            </w:r>
          </w:p>
          <w:p>
            <w:pPr>
              <w:snapToGrid w:val="0"/>
              <w:rPr>
                <w:rFonts w:ascii="Times New Roman" w:hAnsi="Times New Roman" w:cs="Times New Roman"/>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3</w:t>
            </w:r>
          </w:p>
        </w:tc>
        <w:tc>
          <w:tcPr>
            <w:tcW w:w="132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ZH37021520001</w:t>
            </w:r>
          </w:p>
        </w:tc>
        <w:tc>
          <w:tcPr>
            <w:tcW w:w="69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龙山街道</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山东省</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青岛市</w:t>
            </w:r>
          </w:p>
        </w:tc>
        <w:tc>
          <w:tcPr>
            <w:tcW w:w="43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即墨区</w:t>
            </w:r>
          </w:p>
        </w:tc>
        <w:tc>
          <w:tcPr>
            <w:tcW w:w="70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重点管控单元</w:t>
            </w:r>
          </w:p>
        </w:tc>
        <w:tc>
          <w:tcPr>
            <w:tcW w:w="1135"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国家级公益林、生态评估区域一般生态空间、水环境一般管控区、大气环境一般管控分区、大气环境受体敏感区</w:t>
            </w:r>
          </w:p>
        </w:tc>
        <w:tc>
          <w:tcPr>
            <w:tcW w:w="1414"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1.国家级公益林严格按照《中华人民共和国森林法》实施管控、《关于在国土空间规划中统筹划定落实三条控制线的指导意见》实施管控。根据《国家公益林管理办法》：国有一级国家级公益林，不得开展任何形式的生产经营活动。</w:t>
            </w:r>
          </w:p>
          <w:p>
            <w:pPr>
              <w:snapToGrid w:val="0"/>
              <w:jc w:val="left"/>
              <w:rPr>
                <w:rFonts w:ascii="Times New Roman" w:hAnsi="Times New Roman" w:cs="Times New Roman"/>
                <w:sz w:val="16"/>
                <w:szCs w:val="16"/>
              </w:rPr>
            </w:pPr>
            <w:r>
              <w:rPr>
                <w:rFonts w:ascii="Times New Roman" w:hAnsi="Times New Roman" w:cs="Times New Roman"/>
                <w:sz w:val="16"/>
                <w:szCs w:val="16"/>
              </w:rPr>
              <w:t>2.严格按照规划要求合理布局工业企业，依法开展规划环评或跟踪评价。</w:t>
            </w:r>
          </w:p>
        </w:tc>
        <w:tc>
          <w:tcPr>
            <w:tcW w:w="2829"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1.涉及挥发性有机物排放的行业应严格遵守《挥发性有机物无组织排放控制标准》（GB37822-2019）和山东省地方标准《挥发性有机物排放标准》各部分相关标准。</w:t>
            </w:r>
          </w:p>
          <w:p>
            <w:pPr>
              <w:snapToGrid w:val="0"/>
              <w:rPr>
                <w:rFonts w:ascii="Times New Roman" w:hAnsi="Times New Roman" w:cs="Times New Roman"/>
                <w:sz w:val="16"/>
                <w:szCs w:val="16"/>
              </w:rPr>
            </w:pPr>
            <w:r>
              <w:rPr>
                <w:rFonts w:ascii="Times New Roman" w:hAnsi="Times New Roman" w:cs="Times New Roman"/>
                <w:sz w:val="16"/>
                <w:szCs w:val="16"/>
              </w:rPr>
              <w:t>2.完善市政配套设施建设，加强污水收集管网体系的管理和维护，完善排水管网建设与改造，推进雨污分流改造。</w:t>
            </w:r>
          </w:p>
          <w:p>
            <w:pPr>
              <w:snapToGrid w:val="0"/>
              <w:rPr>
                <w:rFonts w:ascii="Times New Roman" w:hAnsi="Times New Roman" w:cs="Times New Roman"/>
                <w:sz w:val="16"/>
                <w:szCs w:val="16"/>
              </w:rPr>
            </w:pPr>
            <w:r>
              <w:rPr>
                <w:rFonts w:ascii="Times New Roman" w:hAnsi="Times New Roman" w:cs="Times New Roman"/>
                <w:sz w:val="16"/>
                <w:szCs w:val="16"/>
              </w:rPr>
              <w:t>3.涂装行业鼓励推进源头替代，引导使用低VOCs含量的涂料替代溶剂型引导使用低VOCs含量的涂料替代溶剂型涂料，从源头减少VOCs产生。推进使用先进生产工艺，鼓励企业采用自动化、智能化喷涂设备替代人工喷涂，减少使用空气喷涂技术。提高废气收集率。遵循“应收尽收、分质收集”的原则，科学设计废气收集系统，将无组织排放转变为有组织排放进行控制。涂料、稀释剂、清洗剂等原辅材料应密闭存储，调配、使用、回收等过程应采用密闭设备或在密闭空间内操作，采用密闭管道或密闭容器等输送。推进建设适宜高效的治污设施，合理选择治理技术，提高VOCs治理效率。</w:t>
            </w:r>
          </w:p>
          <w:p>
            <w:pPr>
              <w:snapToGrid w:val="0"/>
              <w:rPr>
                <w:rFonts w:ascii="Times New Roman" w:hAnsi="Times New Roman" w:cs="Times New Roman"/>
                <w:sz w:val="16"/>
                <w:szCs w:val="16"/>
              </w:rPr>
            </w:pPr>
            <w:r>
              <w:rPr>
                <w:rFonts w:ascii="Times New Roman" w:hAnsi="Times New Roman" w:cs="Times New Roman"/>
                <w:sz w:val="16"/>
                <w:szCs w:val="16"/>
              </w:rPr>
              <w:t>4.机械制造行业下料、机械加工、抛丸、打磨、喷砂、清理滚筒、热处理、化学预处理、电镀等环节设置废气有效收集治理设施。焊接环节根据作业点位数配备焊接烟尘净化器，或设置专门操作间并设置集气系统对焊接烟尘进行有效收集治理。涂装环节落实表面涂装行业的控制VOCs排放等要求。</w:t>
            </w:r>
          </w:p>
          <w:p>
            <w:pPr>
              <w:snapToGrid w:val="0"/>
              <w:rPr>
                <w:rFonts w:ascii="Times New Roman" w:hAnsi="Times New Roman" w:cs="Times New Roman"/>
                <w:sz w:val="16"/>
                <w:szCs w:val="16"/>
              </w:rPr>
            </w:pPr>
            <w:r>
              <w:rPr>
                <w:rFonts w:ascii="Times New Roman" w:hAnsi="Times New Roman" w:cs="Times New Roman"/>
                <w:sz w:val="16"/>
                <w:szCs w:val="16"/>
              </w:rPr>
              <w:t>5.规模化畜禽养殖场、养殖小区应有序完成畜禽粪便处理利用设施和污水收集处理设施配套建设，防止造成面源污染。</w:t>
            </w:r>
          </w:p>
        </w:tc>
        <w:tc>
          <w:tcPr>
            <w:tcW w:w="2550"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1.工业企业产生的固体废物特别是危险废物应严格按照国家规定综合利用或妥善处置，严防二次污染。</w:t>
            </w:r>
          </w:p>
          <w:p>
            <w:pPr>
              <w:snapToGrid w:val="0"/>
              <w:rPr>
                <w:rFonts w:ascii="Times New Roman" w:hAnsi="Times New Roman" w:cs="Times New Roman"/>
                <w:sz w:val="16"/>
                <w:szCs w:val="16"/>
              </w:rPr>
            </w:pPr>
            <w:r>
              <w:rPr>
                <w:rFonts w:ascii="Times New Roman" w:hAnsi="Times New Roman" w:cs="Times New Roman"/>
                <w:sz w:val="16"/>
                <w:szCs w:val="16"/>
              </w:rPr>
              <w:t>2.建立健全环境风险事故防范措施和应急预案，严防环境安全事故发生。</w:t>
            </w:r>
          </w:p>
        </w:tc>
        <w:tc>
          <w:tcPr>
            <w:tcW w:w="1624"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1.推广集中供能和清洁能源利用。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2.全面开展节水型社会建设，促进再生水利用。</w:t>
            </w:r>
          </w:p>
          <w:p>
            <w:pPr>
              <w:snapToGrid w:val="0"/>
              <w:rPr>
                <w:rFonts w:ascii="Times New Roman" w:hAnsi="Times New Roman" w:cs="Times New Roman"/>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4</w:t>
            </w:r>
          </w:p>
        </w:tc>
        <w:tc>
          <w:tcPr>
            <w:tcW w:w="132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ZH37021520002</w:t>
            </w:r>
          </w:p>
        </w:tc>
        <w:tc>
          <w:tcPr>
            <w:tcW w:w="69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鳌山卫街道</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山东省</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青岛市</w:t>
            </w:r>
          </w:p>
        </w:tc>
        <w:tc>
          <w:tcPr>
            <w:tcW w:w="43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即墨区</w:t>
            </w:r>
          </w:p>
        </w:tc>
        <w:tc>
          <w:tcPr>
            <w:tcW w:w="70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重点管控单元</w:t>
            </w:r>
          </w:p>
        </w:tc>
        <w:tc>
          <w:tcPr>
            <w:tcW w:w="1135"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国家级公益林一般生态空间、水环境一般管控区、大气环境一般管控区、大气环境受体敏感区</w:t>
            </w:r>
          </w:p>
        </w:tc>
        <w:tc>
          <w:tcPr>
            <w:tcW w:w="1414"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1.引导工业企业入驻工业园区。新建有污染物排放的工业项目，除在安全生产等方面有特殊要求的以外，应当进入工业园区或者工业集聚区。</w:t>
            </w:r>
          </w:p>
          <w:p>
            <w:pPr>
              <w:snapToGrid w:val="0"/>
              <w:jc w:val="left"/>
              <w:rPr>
                <w:rFonts w:ascii="Times New Roman" w:hAnsi="Times New Roman" w:cs="Times New Roman"/>
                <w:sz w:val="16"/>
                <w:szCs w:val="16"/>
              </w:rPr>
            </w:pPr>
            <w:r>
              <w:rPr>
                <w:rFonts w:ascii="Times New Roman" w:hAnsi="Times New Roman" w:cs="Times New Roman"/>
                <w:sz w:val="16"/>
                <w:szCs w:val="16"/>
              </w:rPr>
              <w:t>2.国家级公益林严格按照《中华人民共和国森林法》实施管控、《关于在国土空间规划中统筹划定落实三条控制线的指导意见》实施管控。</w:t>
            </w:r>
          </w:p>
          <w:p>
            <w:pPr>
              <w:snapToGrid w:val="0"/>
              <w:jc w:val="left"/>
              <w:rPr>
                <w:rFonts w:ascii="Times New Roman" w:hAnsi="Times New Roman" w:cs="Times New Roman"/>
                <w:sz w:val="16"/>
                <w:szCs w:val="16"/>
              </w:rPr>
            </w:pPr>
          </w:p>
        </w:tc>
        <w:tc>
          <w:tcPr>
            <w:tcW w:w="2829"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1.完善排水管网建设与改造，推进雨污分流改造。</w:t>
            </w:r>
          </w:p>
          <w:p>
            <w:pPr>
              <w:snapToGrid w:val="0"/>
              <w:rPr>
                <w:rFonts w:ascii="Times New Roman" w:hAnsi="Times New Roman" w:cs="Times New Roman"/>
                <w:sz w:val="16"/>
                <w:szCs w:val="16"/>
              </w:rPr>
            </w:pPr>
            <w:r>
              <w:rPr>
                <w:rFonts w:ascii="Times New Roman" w:hAnsi="Times New Roman" w:cs="Times New Roman"/>
                <w:sz w:val="16"/>
                <w:szCs w:val="16"/>
              </w:rPr>
              <w:t>2.深入开展工业污染源全面达标排放、重点排污单位自动监控专项整治。</w:t>
            </w:r>
          </w:p>
          <w:p>
            <w:pPr>
              <w:snapToGrid w:val="0"/>
              <w:rPr>
                <w:rFonts w:ascii="Times New Roman" w:hAnsi="Times New Roman" w:cs="Times New Roman"/>
                <w:sz w:val="16"/>
                <w:szCs w:val="16"/>
              </w:rPr>
            </w:pPr>
            <w:r>
              <w:rPr>
                <w:rFonts w:ascii="Times New Roman" w:hAnsi="Times New Roman" w:cs="Times New Roman"/>
                <w:sz w:val="16"/>
                <w:szCs w:val="16"/>
              </w:rPr>
              <w:t>3.食品加工行业加强臭气异味的处理和防治；安装净化装置或者采取其他措施，防止排放恶臭气体；含盐废水处理，做到达标排放。</w:t>
            </w:r>
          </w:p>
        </w:tc>
        <w:tc>
          <w:tcPr>
            <w:tcW w:w="2550"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1.产生、利用或处置危险废物的企业，在贮存、转移、利用、处置过程中，应配套防扬散、防流失、防渗漏及其他防止污染环境的措施。</w:t>
            </w:r>
          </w:p>
          <w:p>
            <w:pPr>
              <w:snapToGrid w:val="0"/>
              <w:rPr>
                <w:rFonts w:ascii="Times New Roman" w:hAnsi="Times New Roman" w:cs="Times New Roman"/>
                <w:sz w:val="16"/>
                <w:szCs w:val="16"/>
              </w:rPr>
            </w:pPr>
            <w:r>
              <w:rPr>
                <w:rFonts w:ascii="Times New Roman" w:hAnsi="Times New Roman" w:cs="Times New Roman"/>
                <w:sz w:val="16"/>
                <w:szCs w:val="16"/>
              </w:rPr>
              <w:t>2.建立健全环境风险事故防范措施和应急预案，严防环境安全事故发生。</w:t>
            </w:r>
          </w:p>
        </w:tc>
        <w:tc>
          <w:tcPr>
            <w:tcW w:w="1624"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1.合理利用现有污水处理厂尾水资源，积极推进中水回用。</w:t>
            </w:r>
          </w:p>
          <w:p>
            <w:pPr>
              <w:snapToGrid w:val="0"/>
              <w:rPr>
                <w:rFonts w:ascii="Times New Roman" w:hAnsi="Times New Roman" w:cs="Times New Roman"/>
                <w:sz w:val="16"/>
                <w:szCs w:val="16"/>
              </w:rPr>
            </w:pPr>
            <w:r>
              <w:rPr>
                <w:rFonts w:ascii="Times New Roman" w:hAnsi="Times New Roman" w:cs="Times New Roman"/>
                <w:sz w:val="16"/>
                <w:szCs w:val="16"/>
              </w:rPr>
              <w:t>2.推广集中供能和清洁能源利用。</w:t>
            </w:r>
          </w:p>
          <w:p>
            <w:pPr>
              <w:snapToGrid w:val="0"/>
              <w:rPr>
                <w:rFonts w:ascii="Times New Roman" w:hAnsi="Times New Roman" w:cs="Times New Roman"/>
                <w:kern w:val="0"/>
                <w:sz w:val="16"/>
                <w:szCs w:val="16"/>
              </w:rPr>
            </w:pPr>
            <w:r>
              <w:rPr>
                <w:rFonts w:ascii="Times New Roman" w:hAnsi="Times New Roman" w:cs="Times New Roman"/>
                <w:sz w:val="16"/>
                <w:szCs w:val="16"/>
              </w:rPr>
              <w:t>3</w:t>
            </w:r>
            <w:r>
              <w:rPr>
                <w:rFonts w:ascii="Times New Roman" w:hAnsi="Times New Roman" w:cs="Times New Roman"/>
                <w:kern w:val="0"/>
                <w:sz w:val="16"/>
                <w:szCs w:val="16"/>
              </w:rPr>
              <w:t>.全面开展节水型社会建设，促进再生水利用。</w:t>
            </w:r>
          </w:p>
          <w:p>
            <w:pPr>
              <w:snapToGrid w:val="0"/>
              <w:rPr>
                <w:rFonts w:ascii="Times New Roman" w:hAnsi="Times New Roman" w:cs="Times New Roman"/>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5</w:t>
            </w:r>
          </w:p>
        </w:tc>
        <w:tc>
          <w:tcPr>
            <w:tcW w:w="132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ZH37021520004</w:t>
            </w:r>
          </w:p>
        </w:tc>
        <w:tc>
          <w:tcPr>
            <w:tcW w:w="69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蓝谷高新区（原华山镇）</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山东省</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青岛市</w:t>
            </w:r>
          </w:p>
        </w:tc>
        <w:tc>
          <w:tcPr>
            <w:tcW w:w="43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即墨区</w:t>
            </w:r>
          </w:p>
        </w:tc>
        <w:tc>
          <w:tcPr>
            <w:tcW w:w="70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重点管控单元</w:t>
            </w:r>
          </w:p>
        </w:tc>
        <w:tc>
          <w:tcPr>
            <w:tcW w:w="1135"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水环境工业源重点管控区、大气环境弱扩散敏感区、龙华河、大气环境受体敏感区</w:t>
            </w:r>
          </w:p>
        </w:tc>
        <w:tc>
          <w:tcPr>
            <w:tcW w:w="1414"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1.鼓励完善开发区产业链的项目及规划产业延伸的无污染、轻污染的项目入区。严禁建设能耗高、废气和废水污染严重的项目。</w:t>
            </w:r>
          </w:p>
          <w:p>
            <w:pPr>
              <w:snapToGrid w:val="0"/>
              <w:jc w:val="left"/>
              <w:rPr>
                <w:rFonts w:ascii="Times New Roman" w:hAnsi="Times New Roman" w:cs="Times New Roman"/>
                <w:sz w:val="16"/>
                <w:szCs w:val="16"/>
              </w:rPr>
            </w:pPr>
            <w:r>
              <w:rPr>
                <w:rFonts w:ascii="Times New Roman" w:hAnsi="Times New Roman" w:cs="Times New Roman"/>
                <w:sz w:val="16"/>
                <w:szCs w:val="16"/>
              </w:rPr>
              <w:t>2.</w:t>
            </w:r>
            <w:r>
              <w:rPr>
                <w:rFonts w:ascii="Times New Roman" w:hAnsi="Times New Roman" w:eastAsia="宋体" w:cs="Times New Roman"/>
                <w:kern w:val="0"/>
                <w:sz w:val="16"/>
                <w:szCs w:val="16"/>
                <w:lang w:val="zh-CN"/>
              </w:rPr>
              <w:t>严格执行《青岛市畜禽养殖污染防治规划》相关要求，调整优化养殖业布局，鼓励转型升级，发展循环养殖。</w:t>
            </w:r>
          </w:p>
          <w:p>
            <w:pPr>
              <w:snapToGrid w:val="0"/>
              <w:jc w:val="left"/>
              <w:rPr>
                <w:rFonts w:ascii="Times New Roman" w:hAnsi="Times New Roman" w:cs="Times New Roman"/>
                <w:sz w:val="16"/>
                <w:szCs w:val="16"/>
              </w:rPr>
            </w:pPr>
            <w:r>
              <w:rPr>
                <w:rFonts w:ascii="Times New Roman" w:hAnsi="Times New Roman" w:cs="Times New Roman"/>
                <w:sz w:val="16"/>
                <w:szCs w:val="16"/>
              </w:rPr>
              <w:t>3.新建、扩建、搬迁的化学原料药和生物生化制品建设项目应位于产业园区，并符合园区产业定位、园区规划、规划环评及审查意见要求。</w:t>
            </w:r>
          </w:p>
          <w:p>
            <w:pPr>
              <w:snapToGrid w:val="0"/>
              <w:jc w:val="left"/>
              <w:rPr>
                <w:rFonts w:ascii="Times New Roman" w:hAnsi="Times New Roman" w:cs="Times New Roman"/>
                <w:sz w:val="16"/>
                <w:szCs w:val="16"/>
              </w:rPr>
            </w:pPr>
          </w:p>
        </w:tc>
        <w:tc>
          <w:tcPr>
            <w:tcW w:w="2829"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1.加强工业企业挥发性有机物排放管控，涉及挥发性有机物排放的行业应严格遵守《挥发性有机物无组织排放控制标准》（GB37822-2019）和山东省地方标准《挥发性有机物排放标准》各部分相关标准。</w:t>
            </w:r>
          </w:p>
          <w:p>
            <w:pPr>
              <w:snapToGrid w:val="0"/>
              <w:rPr>
                <w:rFonts w:ascii="Times New Roman" w:hAnsi="Times New Roman" w:cs="Times New Roman"/>
                <w:sz w:val="16"/>
                <w:szCs w:val="16"/>
              </w:rPr>
            </w:pPr>
            <w:r>
              <w:rPr>
                <w:rFonts w:ascii="Times New Roman" w:hAnsi="Times New Roman" w:cs="Times New Roman"/>
                <w:sz w:val="16"/>
                <w:szCs w:val="16"/>
              </w:rPr>
              <w:t>2.规模化畜禽养殖场、养殖小区应有序完成畜禽粪便处理利用设施和污水收集处理设施配套建设，防止造成面源污染。</w:t>
            </w:r>
          </w:p>
          <w:p>
            <w:pPr>
              <w:snapToGrid w:val="0"/>
              <w:rPr>
                <w:rFonts w:ascii="Times New Roman" w:hAnsi="Times New Roman" w:cs="Times New Roman"/>
                <w:sz w:val="16"/>
                <w:szCs w:val="16"/>
              </w:rPr>
            </w:pPr>
            <w:r>
              <w:rPr>
                <w:rFonts w:ascii="Times New Roman" w:hAnsi="Times New Roman" w:cs="Times New Roman"/>
                <w:sz w:val="16"/>
                <w:szCs w:val="16"/>
              </w:rPr>
              <w:t>3.机械制造行业下料、机械加工、抛丸、打磨、喷砂、清理滚筒、热处理、化学预处理等环节设置废气有效收集治理设施。焊接环节根据作业点位数配备焊接烟尘净化器，或设置专门操作间并设置集气系统对焊接烟尘进行有效收集治理。</w:t>
            </w:r>
          </w:p>
          <w:p>
            <w:pPr>
              <w:snapToGrid w:val="0"/>
              <w:rPr>
                <w:rFonts w:ascii="Times New Roman" w:hAnsi="Times New Roman" w:cs="Times New Roman"/>
                <w:sz w:val="16"/>
                <w:szCs w:val="16"/>
              </w:rPr>
            </w:pPr>
            <w:r>
              <w:rPr>
                <w:rFonts w:ascii="Times New Roman" w:hAnsi="Times New Roman" w:cs="Times New Roman"/>
                <w:sz w:val="16"/>
                <w:szCs w:val="16"/>
              </w:rPr>
              <w:t>4.表面涂装行业鼓励推进源头替代，引导使用低VOCs含量的涂料替代溶剂型引导使用低VOCs含量的涂料替代溶剂型涂料，从源头减少VOCs产生。推进使用先进生产工艺，鼓励企业采用自动化、智能化喷涂设备替代人工喷涂，减少使用空气喷涂技术。提高废气收集率。遵循“应收尽收、分质收集”的原则，科学设计废气收集系统，将无组织排放转变为有组织排放进行控制。涂料、稀释剂、清洗剂等原辅材料应密闭存储，调配、使用、回收等过程应采用密闭设备或在密闭空间内操作，采用密闭管道或密闭容器等输送。推进建设适宜高效的治污设施，合理选择治理技术，提高VOCs治理效率。</w:t>
            </w:r>
          </w:p>
          <w:p>
            <w:pPr>
              <w:snapToGrid w:val="0"/>
              <w:rPr>
                <w:rFonts w:ascii="Times New Roman" w:hAnsi="Times New Roman" w:cs="Times New Roman"/>
                <w:sz w:val="16"/>
                <w:szCs w:val="16"/>
              </w:rPr>
            </w:pPr>
            <w:r>
              <w:rPr>
                <w:rFonts w:ascii="Times New Roman" w:hAnsi="Times New Roman" w:cs="Times New Roman"/>
                <w:sz w:val="16"/>
                <w:szCs w:val="16"/>
              </w:rPr>
              <w:t>5.制药行业按照“清污分流、雨污分流、分类收集、分质处理”原则，设立完善的废水收集、处理系统。第一类污染物排放浓度在车间或车间处理设施排放口达标。实验室废水、动物房废水等含有药物活性成份的废水，应单独收集并进行灭菌、灭活预处理。毒性大、难降解及高含盐等废水应单独收集、处理后，再与其他废水一并进入污水处理系统处理。含有药物活性成份的污泥，须进行灭活预处理。对未明确是否具有危险特性的动植物提取残渣、制药污水处理产生的污泥等，应进行危险废物鉴别，在鉴别结论出来之前暂按危险废物管理。生物生化制品类企业废水、废气及固体废物的处理处置应考虑生物安全性因素。</w:t>
            </w:r>
          </w:p>
        </w:tc>
        <w:tc>
          <w:tcPr>
            <w:tcW w:w="2550"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1.产生、利用或处置危险废物的企业，在贮存、转移、利用、处置过程中，应配套防扬散、防流失、防渗漏及其他防止污染环境的措施。</w:t>
            </w:r>
          </w:p>
          <w:p>
            <w:pPr>
              <w:snapToGrid w:val="0"/>
              <w:rPr>
                <w:rFonts w:ascii="Times New Roman" w:hAnsi="Times New Roman" w:cs="Times New Roman"/>
                <w:sz w:val="16"/>
                <w:szCs w:val="16"/>
              </w:rPr>
            </w:pPr>
            <w:r>
              <w:rPr>
                <w:rFonts w:ascii="Times New Roman" w:hAnsi="Times New Roman" w:cs="Times New Roman"/>
                <w:sz w:val="16"/>
                <w:szCs w:val="16"/>
              </w:rPr>
              <w:t>2.对生物生化制品类企业，废水、废气及固体废物的处理处置应考虑生物安全性因素。存在生物安全性风险的抗生素制药废水，应进行预处理以破坏抗生素分子结构。通过高效过滤器控制颗粒物排放，减少生物气溶胶可能带来的风险。涉及生物安全性风险的固体废物应按照危险废物进行无害化处置。</w:t>
            </w:r>
          </w:p>
        </w:tc>
        <w:tc>
          <w:tcPr>
            <w:tcW w:w="1624"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1.合理利用现有污水处理厂尾水资源，积极推进中水回用;</w:t>
            </w:r>
          </w:p>
          <w:p>
            <w:pPr>
              <w:snapToGrid w:val="0"/>
              <w:rPr>
                <w:rFonts w:ascii="Times New Roman" w:hAnsi="Times New Roman" w:cs="Times New Roman"/>
                <w:sz w:val="16"/>
                <w:szCs w:val="16"/>
              </w:rPr>
            </w:pPr>
            <w:r>
              <w:rPr>
                <w:rFonts w:ascii="Times New Roman" w:hAnsi="Times New Roman" w:cs="Times New Roman"/>
                <w:sz w:val="16"/>
                <w:szCs w:val="16"/>
              </w:rPr>
              <w:t>2.推广集中供能和清洁能源利用。</w:t>
            </w:r>
          </w:p>
          <w:p>
            <w:pPr>
              <w:snapToGrid w:val="0"/>
              <w:rPr>
                <w:rFonts w:ascii="Times New Roman" w:hAnsi="Times New Roman" w:cs="Times New Roman"/>
                <w:kern w:val="0"/>
                <w:sz w:val="16"/>
                <w:szCs w:val="16"/>
              </w:rPr>
            </w:pPr>
            <w:r>
              <w:rPr>
                <w:rFonts w:ascii="Times New Roman" w:hAnsi="Times New Roman" w:cs="Times New Roman"/>
                <w:sz w:val="16"/>
                <w:szCs w:val="16"/>
              </w:rPr>
              <w:t>3</w:t>
            </w:r>
            <w:r>
              <w:rPr>
                <w:rFonts w:ascii="Times New Roman" w:hAnsi="Times New Roman" w:cs="Times New Roman"/>
                <w:kern w:val="0"/>
                <w:sz w:val="16"/>
                <w:szCs w:val="16"/>
              </w:rPr>
              <w:t>.全面开展节水型社会建设，促进再生水利用。</w:t>
            </w:r>
          </w:p>
          <w:p>
            <w:pPr>
              <w:snapToGrid w:val="0"/>
              <w:rPr>
                <w:rFonts w:ascii="Times New Roman" w:hAnsi="Times New Roman" w:cs="Times New Roman"/>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6</w:t>
            </w:r>
          </w:p>
        </w:tc>
        <w:tc>
          <w:tcPr>
            <w:tcW w:w="132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ZH37021520003</w:t>
            </w:r>
          </w:p>
        </w:tc>
        <w:tc>
          <w:tcPr>
            <w:tcW w:w="69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段泊岚镇</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山东省</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青岛市</w:t>
            </w:r>
          </w:p>
        </w:tc>
        <w:tc>
          <w:tcPr>
            <w:tcW w:w="43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即墨区</w:t>
            </w:r>
          </w:p>
        </w:tc>
        <w:tc>
          <w:tcPr>
            <w:tcW w:w="70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重点管控单元</w:t>
            </w:r>
          </w:p>
        </w:tc>
        <w:tc>
          <w:tcPr>
            <w:tcW w:w="1135"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大沽河、大沽河生态廊道一般生态空间、农业面源重点管控区、大气弱扩散敏感区、大气环境受体敏感区</w:t>
            </w:r>
          </w:p>
        </w:tc>
        <w:tc>
          <w:tcPr>
            <w:tcW w:w="1414"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饮用水源保护区严格按照《中华人民共和国水污染防治法》《山东省水污染防治条例》</w:t>
            </w:r>
            <w:r>
              <w:rPr>
                <w:rFonts w:hint="eastAsia" w:ascii="Times New Roman" w:hAnsi="Times New Roman" w:cs="Times New Roman"/>
                <w:sz w:val="16"/>
                <w:szCs w:val="16"/>
                <w:lang w:eastAsia="zh-CN"/>
              </w:rPr>
              <w:t>《青岛市饮用水水源保护条例》</w:t>
            </w:r>
            <w:r>
              <w:rPr>
                <w:rFonts w:ascii="Times New Roman" w:hAnsi="Times New Roman" w:cs="Times New Roman"/>
                <w:sz w:val="16"/>
                <w:szCs w:val="16"/>
              </w:rPr>
              <w:t>及相关法律法规实施保护管理。</w:t>
            </w:r>
          </w:p>
        </w:tc>
        <w:tc>
          <w:tcPr>
            <w:tcW w:w="2829"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建材行业加强物料运输、装卸、储存、输送、生产等各环节无组织排放管控。矿石料场设置防风抑尘网或封闭。石子、页岩、煤矸石、煤、粘土、矿渣、石膏、炉渣等封闭储存。熟料、粉煤灰、矿粉和除尘灰等密闭储存。石子、页岩、煤等物料破碎、筛分、搅拌、粉磨等设备采取密闭措施，并配备有效集尘除尘设施。袋装水泥包装下料口、装车点位和散装水泥装车配备有效集尘除尘设施。</w:t>
            </w:r>
          </w:p>
          <w:p>
            <w:pPr>
              <w:snapToGrid w:val="0"/>
              <w:rPr>
                <w:rFonts w:ascii="Times New Roman" w:hAnsi="Times New Roman" w:cs="Times New Roman"/>
                <w:sz w:val="16"/>
                <w:szCs w:val="16"/>
              </w:rPr>
            </w:pPr>
            <w:r>
              <w:rPr>
                <w:rFonts w:ascii="Times New Roman" w:hAnsi="Times New Roman" w:cs="Times New Roman"/>
                <w:sz w:val="16"/>
                <w:szCs w:val="16"/>
              </w:rPr>
              <w:t>2.机械加工行业下料、机械加工、抛丸、打磨、喷砂、清理滚筒、热处理、化学预处理、电镀等环节设置废气有效收集治理设施。焊接环节根据作业点位数配备焊接烟尘净化器，或设置专门操作间并设置集气系统对焊接烟尘进行有效收集治理。涂装环节落实表面涂装行业的控制VOCs排放等要求。</w:t>
            </w:r>
          </w:p>
          <w:p>
            <w:pPr>
              <w:snapToGrid w:val="0"/>
              <w:rPr>
                <w:rFonts w:ascii="Times New Roman" w:hAnsi="Times New Roman" w:cs="Times New Roman"/>
                <w:sz w:val="16"/>
                <w:szCs w:val="16"/>
              </w:rPr>
            </w:pPr>
            <w:r>
              <w:rPr>
                <w:rFonts w:ascii="Times New Roman" w:hAnsi="Times New Roman" w:cs="Times New Roman"/>
                <w:sz w:val="16"/>
                <w:szCs w:val="16"/>
              </w:rPr>
              <w:t>3.加强工业企业挥发性有机物排放管控，涉及挥发性有机物排放的行业应严格遵守《挥发性有机物无组织排放控制标准》（GB37822-2019）和山东省地方标准《挥发性有机物排放标准》各部分相关标准。</w:t>
            </w:r>
          </w:p>
          <w:p>
            <w:pPr>
              <w:snapToGrid w:val="0"/>
              <w:rPr>
                <w:rFonts w:ascii="Times New Roman" w:hAnsi="Times New Roman" w:cs="Times New Roman"/>
                <w:sz w:val="16"/>
                <w:szCs w:val="16"/>
              </w:rPr>
            </w:pPr>
            <w:r>
              <w:rPr>
                <w:rFonts w:ascii="Times New Roman" w:hAnsi="Times New Roman" w:cs="Times New Roman"/>
                <w:sz w:val="16"/>
                <w:szCs w:val="16"/>
              </w:rPr>
              <w:t>4.深入开展工业污染源全面达标排放、重点排污单位自动监控专项整治。</w:t>
            </w:r>
          </w:p>
          <w:p>
            <w:pPr>
              <w:snapToGrid w:val="0"/>
              <w:rPr>
                <w:rFonts w:ascii="Times New Roman" w:hAnsi="Times New Roman" w:cs="Times New Roman"/>
                <w:sz w:val="16"/>
                <w:szCs w:val="16"/>
              </w:rPr>
            </w:pPr>
            <w:r>
              <w:rPr>
                <w:rFonts w:ascii="Times New Roman" w:hAnsi="Times New Roman" w:cs="Times New Roman"/>
                <w:sz w:val="16"/>
                <w:szCs w:val="16"/>
              </w:rPr>
              <w:t>5.加强农村生活源和农业种植面源污染的防治，推广农作物病虫害绿色防控技术，推行科学种植，合理使用化肥农药，减少农业面源污染。</w:t>
            </w:r>
          </w:p>
          <w:p>
            <w:pPr>
              <w:snapToGrid w:val="0"/>
              <w:jc w:val="left"/>
              <w:rPr>
                <w:rFonts w:ascii="Times New Roman" w:hAnsi="Times New Roman" w:cs="Times New Roman"/>
                <w:sz w:val="16"/>
                <w:szCs w:val="16"/>
              </w:rPr>
            </w:pPr>
            <w:r>
              <w:rPr>
                <w:rFonts w:ascii="Times New Roman" w:hAnsi="Times New Roman" w:cs="Times New Roman"/>
                <w:sz w:val="16"/>
                <w:szCs w:val="16"/>
              </w:rPr>
              <w:t>6.规模化畜禽养殖场、养殖小区应有序完成畜禽粪便处理利用设施和污水收集处理设施配套建设，防止造成面源污染。</w:t>
            </w:r>
          </w:p>
        </w:tc>
        <w:tc>
          <w:tcPr>
            <w:tcW w:w="2550"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1.产生、利用或处置危险废物的企业，在贮存、转移、利用、处置过程中，应配套防扬散、防流失、防渗漏及其他防止污染环境的措施。</w:t>
            </w:r>
          </w:p>
          <w:p>
            <w:pPr>
              <w:snapToGrid w:val="0"/>
              <w:rPr>
                <w:rFonts w:ascii="Times New Roman" w:hAnsi="Times New Roman" w:cs="Times New Roman"/>
                <w:sz w:val="16"/>
                <w:szCs w:val="16"/>
              </w:rPr>
            </w:pPr>
            <w:r>
              <w:rPr>
                <w:rFonts w:ascii="Times New Roman" w:hAnsi="Times New Roman" w:cs="Times New Roman"/>
                <w:sz w:val="16"/>
                <w:szCs w:val="16"/>
              </w:rPr>
              <w:t>2.建立健全环境风险事故防范措施和应急预案，严防环境安全事故发生。</w:t>
            </w:r>
          </w:p>
        </w:tc>
        <w:tc>
          <w:tcPr>
            <w:tcW w:w="1624"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1.合理利用现有污水处理厂尾水资源，积极推进中水回用。</w:t>
            </w:r>
          </w:p>
          <w:p>
            <w:pPr>
              <w:snapToGrid w:val="0"/>
              <w:rPr>
                <w:rFonts w:ascii="Times New Roman" w:hAnsi="Times New Roman" w:cs="Times New Roman"/>
                <w:sz w:val="16"/>
                <w:szCs w:val="16"/>
              </w:rPr>
            </w:pPr>
            <w:r>
              <w:rPr>
                <w:rFonts w:ascii="Times New Roman" w:hAnsi="Times New Roman" w:cs="Times New Roman"/>
                <w:sz w:val="16"/>
                <w:szCs w:val="16"/>
              </w:rPr>
              <w:t>2.推广集中供能和清洁能源利用。</w:t>
            </w:r>
          </w:p>
          <w:p>
            <w:pPr>
              <w:snapToGrid w:val="0"/>
              <w:rPr>
                <w:rFonts w:ascii="Times New Roman" w:hAnsi="Times New Roman" w:cs="Times New Roman"/>
                <w:kern w:val="0"/>
                <w:sz w:val="16"/>
                <w:szCs w:val="16"/>
              </w:rPr>
            </w:pPr>
            <w:r>
              <w:rPr>
                <w:rFonts w:ascii="Times New Roman" w:hAnsi="Times New Roman" w:cs="Times New Roman"/>
                <w:sz w:val="16"/>
                <w:szCs w:val="16"/>
              </w:rPr>
              <w:t>3</w:t>
            </w:r>
            <w:r>
              <w:rPr>
                <w:rFonts w:ascii="Times New Roman" w:hAnsi="Times New Roman" w:cs="Times New Roman"/>
                <w:kern w:val="0"/>
                <w:sz w:val="16"/>
                <w:szCs w:val="16"/>
              </w:rPr>
              <w:t>.全面开展节水型社会建设，促进再生水利用。</w:t>
            </w:r>
          </w:p>
          <w:p>
            <w:pPr>
              <w:snapToGrid w:val="0"/>
              <w:rPr>
                <w:rFonts w:ascii="Times New Roman" w:hAnsi="Times New Roman" w:cs="Times New Roman"/>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7</w:t>
            </w:r>
          </w:p>
        </w:tc>
        <w:tc>
          <w:tcPr>
            <w:tcW w:w="132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ZH37021530008</w:t>
            </w:r>
          </w:p>
        </w:tc>
        <w:tc>
          <w:tcPr>
            <w:tcW w:w="69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灵山街道</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山东省</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青岛市</w:t>
            </w:r>
          </w:p>
        </w:tc>
        <w:tc>
          <w:tcPr>
            <w:tcW w:w="43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即墨区</w:t>
            </w:r>
          </w:p>
        </w:tc>
        <w:tc>
          <w:tcPr>
            <w:tcW w:w="70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一般管控单元</w:t>
            </w:r>
          </w:p>
        </w:tc>
        <w:tc>
          <w:tcPr>
            <w:tcW w:w="1135"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宋化泉水库、水环境农业面源重点管控区、大气环境弱扩散敏感区、大气环境受体敏感区</w:t>
            </w:r>
          </w:p>
        </w:tc>
        <w:tc>
          <w:tcPr>
            <w:tcW w:w="1414" w:type="dxa"/>
            <w:vAlign w:val="center"/>
          </w:tcPr>
          <w:p>
            <w:pPr>
              <w:snapToGrid w:val="0"/>
              <w:jc w:val="left"/>
              <w:rPr>
                <w:rFonts w:ascii="Times New Roman" w:hAnsi="Times New Roman" w:cs="Times New Roman"/>
                <w:sz w:val="16"/>
                <w:szCs w:val="16"/>
              </w:rPr>
            </w:pPr>
            <w:r>
              <w:rPr>
                <w:rFonts w:ascii="Times New Roman" w:hAnsi="Times New Roman" w:eastAsia="宋体" w:cs="Times New Roman"/>
                <w:kern w:val="0"/>
                <w:sz w:val="16"/>
                <w:szCs w:val="16"/>
                <w:lang w:val="zh-CN"/>
              </w:rPr>
              <w:t>饮用水水源保护区按照《中华人民共和国水污染防治法》《山东省水污染防治条例》</w:t>
            </w:r>
            <w:r>
              <w:rPr>
                <w:rFonts w:hint="eastAsia" w:ascii="Times New Roman" w:hAnsi="Times New Roman" w:eastAsia="宋体" w:cs="Times New Roman"/>
                <w:kern w:val="0"/>
                <w:sz w:val="16"/>
                <w:szCs w:val="16"/>
                <w:lang w:val="zh-CN"/>
              </w:rPr>
              <w:t>《青岛市饮用水水源保护条例》</w:t>
            </w:r>
            <w:r>
              <w:rPr>
                <w:rFonts w:ascii="Times New Roman" w:hAnsi="Times New Roman" w:eastAsia="宋体" w:cs="Times New Roman"/>
                <w:kern w:val="0"/>
                <w:sz w:val="16"/>
                <w:szCs w:val="16"/>
                <w:lang w:val="zh-CN"/>
              </w:rPr>
              <w:t>及相关法律法规实施保护管理。</w:t>
            </w:r>
          </w:p>
        </w:tc>
        <w:tc>
          <w:tcPr>
            <w:tcW w:w="2829"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1.加强工业企业挥发性有机物排放管控，涉及挥发性有机物排放的行业应严格遵守《挥发性有机物无组织排放控制标准》（GB37822-2019）和山东省地方标准《挥发性有机物排放标准》各部分相关标准。</w:t>
            </w:r>
          </w:p>
          <w:p>
            <w:pPr>
              <w:snapToGrid w:val="0"/>
              <w:rPr>
                <w:rFonts w:ascii="Times New Roman" w:hAnsi="Times New Roman" w:cs="Times New Roman"/>
                <w:sz w:val="16"/>
                <w:szCs w:val="16"/>
              </w:rPr>
            </w:pPr>
            <w:r>
              <w:rPr>
                <w:rFonts w:ascii="Times New Roman" w:hAnsi="Times New Roman" w:cs="Times New Roman"/>
                <w:sz w:val="16"/>
                <w:szCs w:val="16"/>
              </w:rPr>
              <w:t>2.做好工业固体废物和生活垃圾的分类收集、转运、综合利用和无害化处理。推行清洁生产，减少固体废物产生量。提升固体废物的资源化综合利用率。</w:t>
            </w:r>
          </w:p>
          <w:p>
            <w:pPr>
              <w:snapToGrid w:val="0"/>
              <w:rPr>
                <w:rFonts w:ascii="Times New Roman" w:hAnsi="Times New Roman" w:cs="Times New Roman"/>
                <w:sz w:val="16"/>
                <w:szCs w:val="16"/>
              </w:rPr>
            </w:pPr>
            <w:r>
              <w:rPr>
                <w:rFonts w:ascii="Times New Roman" w:hAnsi="Times New Roman" w:cs="Times New Roman"/>
                <w:sz w:val="16"/>
                <w:szCs w:val="16"/>
              </w:rPr>
              <w:t>3.电镀、热镀锌等表面处理行业污染物排放管控：应按照“清污分流、雨污分流、分类收集、分质处理”原则，设立完善的废水收集、处理和回用系统，确保一类污染物车间或车间（园区）处理设施排放口达标，提高水的循环利用率，减少重金属污染物排放量。对废气进行严格的收集、控制与处理，减少无组织排放。采取分区防渗等措施有效防范地下水和土壤污染。按照国家有关规定，对固体废物进行规范收集、贮存和无害化处置。</w:t>
            </w:r>
          </w:p>
          <w:p>
            <w:pPr>
              <w:snapToGrid w:val="0"/>
              <w:rPr>
                <w:rFonts w:ascii="Times New Roman" w:hAnsi="Times New Roman" w:cs="Times New Roman"/>
                <w:sz w:val="16"/>
                <w:szCs w:val="16"/>
              </w:rPr>
            </w:pPr>
            <w:r>
              <w:rPr>
                <w:rFonts w:ascii="Times New Roman" w:hAnsi="Times New Roman" w:cs="Times New Roman"/>
                <w:sz w:val="16"/>
                <w:szCs w:val="16"/>
              </w:rPr>
              <w:t>4.塑料制品行业在加热挤出工段宜采用上吸风方式对废气进行有效收集，吹塑工段宜采取环绕方式对废气进行有效收集。加热挤出、压制、吹塑（发泡）、印刷等工艺产生的废气经除尘后宜采用浓缩结合燃烧法等工艺进行处理。使用含氯原料的工艺废气在处理过程中应充分考虑二噁英及酸性气体的控制。</w:t>
            </w:r>
          </w:p>
          <w:p>
            <w:pPr>
              <w:snapToGrid w:val="0"/>
              <w:rPr>
                <w:rFonts w:ascii="Times New Roman" w:hAnsi="Times New Roman" w:cs="Times New Roman"/>
                <w:sz w:val="16"/>
                <w:szCs w:val="16"/>
              </w:rPr>
            </w:pPr>
            <w:r>
              <w:rPr>
                <w:rFonts w:ascii="Times New Roman" w:hAnsi="Times New Roman" w:cs="Times New Roman"/>
                <w:sz w:val="16"/>
                <w:szCs w:val="16"/>
              </w:rPr>
              <w:t>5.橡胶制品加工行业原料破碎、过筛、搅拌等工段产生的废气在除尘后需经恶臭污染物治理设施处理后外排。密炼、硫化工序产生的废气，宜在过滤除尘、化学洗涤预处理后，采用浓缩结合燃烧法等工艺进行处理。治污工艺宜采用喷淋降温+化学洗涤等预处理工艺，结合催化燃烧法、低温等离子、生物法等工艺进行处理。</w:t>
            </w:r>
          </w:p>
          <w:p>
            <w:pPr>
              <w:snapToGrid w:val="0"/>
              <w:rPr>
                <w:rFonts w:ascii="Times New Roman" w:hAnsi="Times New Roman" w:cs="Times New Roman"/>
                <w:sz w:val="16"/>
                <w:szCs w:val="16"/>
              </w:rPr>
            </w:pPr>
            <w:r>
              <w:rPr>
                <w:rFonts w:ascii="Times New Roman" w:hAnsi="Times New Roman" w:cs="Times New Roman"/>
                <w:sz w:val="16"/>
                <w:szCs w:val="16"/>
              </w:rPr>
              <w:t>6.规模化畜禽养殖场、养殖小区应有序完成畜禽粪便处理利用设施和污水收集处理设施配套建设，防止造成面源污染。</w:t>
            </w:r>
          </w:p>
        </w:tc>
        <w:tc>
          <w:tcPr>
            <w:tcW w:w="2550"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产生、利用或处置危险废物的企业，在贮存、转移、利用、处置过程中，应配套防扬散、防流失、防渗漏及其他防止污染环境的措施。</w:t>
            </w:r>
          </w:p>
        </w:tc>
        <w:tc>
          <w:tcPr>
            <w:tcW w:w="1624"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1.合理利用现有污水处理厂尾水资源，积极推进中水回用。</w:t>
            </w:r>
          </w:p>
          <w:p>
            <w:pPr>
              <w:snapToGrid w:val="0"/>
              <w:rPr>
                <w:rFonts w:ascii="Times New Roman" w:hAnsi="Times New Roman" w:cs="Times New Roman"/>
                <w:sz w:val="16"/>
                <w:szCs w:val="16"/>
              </w:rPr>
            </w:pPr>
            <w:r>
              <w:rPr>
                <w:rFonts w:ascii="Times New Roman" w:hAnsi="Times New Roman" w:cs="Times New Roman"/>
                <w:sz w:val="16"/>
                <w:szCs w:val="16"/>
              </w:rPr>
              <w:t>2.推广集中供能和清洁能源利用。</w:t>
            </w:r>
          </w:p>
          <w:p>
            <w:pPr>
              <w:snapToGrid w:val="0"/>
              <w:rPr>
                <w:rFonts w:ascii="Times New Roman" w:hAnsi="Times New Roman" w:cs="Times New Roman"/>
                <w:kern w:val="0"/>
                <w:sz w:val="16"/>
                <w:szCs w:val="16"/>
              </w:rPr>
            </w:pPr>
            <w:r>
              <w:rPr>
                <w:rFonts w:ascii="Times New Roman" w:hAnsi="Times New Roman" w:cs="Times New Roman"/>
                <w:sz w:val="16"/>
                <w:szCs w:val="16"/>
              </w:rPr>
              <w:t>3</w:t>
            </w:r>
            <w:r>
              <w:rPr>
                <w:rFonts w:ascii="Times New Roman" w:hAnsi="Times New Roman" w:cs="Times New Roman"/>
                <w:kern w:val="0"/>
                <w:sz w:val="16"/>
                <w:szCs w:val="16"/>
              </w:rPr>
              <w:t>.全面开展节水型社会建设，促进再生水利用。</w:t>
            </w:r>
          </w:p>
          <w:p>
            <w:pPr>
              <w:snapToGrid w:val="0"/>
              <w:rPr>
                <w:rFonts w:ascii="Times New Roman" w:hAnsi="Times New Roman" w:cs="Times New Roman"/>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8</w:t>
            </w:r>
          </w:p>
        </w:tc>
        <w:tc>
          <w:tcPr>
            <w:tcW w:w="132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ZH37021520007</w:t>
            </w:r>
          </w:p>
        </w:tc>
        <w:tc>
          <w:tcPr>
            <w:tcW w:w="69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移风店镇</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山东省</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青岛市</w:t>
            </w:r>
          </w:p>
        </w:tc>
        <w:tc>
          <w:tcPr>
            <w:tcW w:w="43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即墨区</w:t>
            </w:r>
          </w:p>
        </w:tc>
        <w:tc>
          <w:tcPr>
            <w:tcW w:w="70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重点管控单元</w:t>
            </w:r>
          </w:p>
        </w:tc>
        <w:tc>
          <w:tcPr>
            <w:tcW w:w="1135"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大沽河生态廊道一般生态空间、大沽河、大沽河地下水、农业面源重点管控区、大气弱扩散敏感区、流浩河、大气环境受体敏感区</w:t>
            </w:r>
          </w:p>
        </w:tc>
        <w:tc>
          <w:tcPr>
            <w:tcW w:w="1414"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1.引导工业企业入驻工业园区。新建有污染物排放的工业项目，除在安全生产等方面有特殊要求的以外，应当进入工业园区或者工业集聚区。</w:t>
            </w:r>
          </w:p>
          <w:p>
            <w:pPr>
              <w:snapToGrid w:val="0"/>
              <w:jc w:val="left"/>
              <w:rPr>
                <w:rFonts w:ascii="Times New Roman" w:hAnsi="Times New Roman" w:cs="Times New Roman"/>
                <w:sz w:val="16"/>
                <w:szCs w:val="16"/>
              </w:rPr>
            </w:pPr>
            <w:r>
              <w:rPr>
                <w:rFonts w:ascii="Times New Roman" w:hAnsi="Times New Roman" w:cs="Times New Roman"/>
                <w:sz w:val="16"/>
                <w:szCs w:val="16"/>
              </w:rPr>
              <w:t>2.</w:t>
            </w:r>
            <w:r>
              <w:rPr>
                <w:rFonts w:ascii="Times New Roman" w:hAnsi="Times New Roman" w:eastAsia="宋体" w:cs="Times New Roman"/>
                <w:kern w:val="0"/>
                <w:sz w:val="16"/>
                <w:szCs w:val="16"/>
                <w:lang w:val="zh-CN"/>
              </w:rPr>
              <w:t>严格执行《青岛市畜禽养殖污染防治规划》相关要求，调整优化养殖业布局，鼓励转型升级，发展循环养殖。</w:t>
            </w:r>
          </w:p>
          <w:p>
            <w:pPr>
              <w:snapToGrid w:val="0"/>
              <w:jc w:val="left"/>
              <w:rPr>
                <w:rFonts w:ascii="Times New Roman" w:hAnsi="Times New Roman" w:cs="Times New Roman"/>
                <w:sz w:val="16"/>
                <w:szCs w:val="16"/>
              </w:rPr>
            </w:pPr>
            <w:r>
              <w:rPr>
                <w:rFonts w:ascii="Times New Roman" w:hAnsi="Times New Roman" w:cs="Times New Roman"/>
                <w:sz w:val="16"/>
                <w:szCs w:val="16"/>
              </w:rPr>
              <w:t>3.</w:t>
            </w:r>
            <w:r>
              <w:rPr>
                <w:rFonts w:ascii="Times New Roman" w:hAnsi="Times New Roman" w:eastAsia="宋体" w:cs="Times New Roman"/>
                <w:kern w:val="0"/>
                <w:sz w:val="16"/>
                <w:szCs w:val="16"/>
                <w:lang w:val="zh-CN"/>
              </w:rPr>
              <w:t>饮用水水源保护区按照《中华人民共和国水污染防治法》《山东省水污染防治条例》</w:t>
            </w:r>
            <w:r>
              <w:rPr>
                <w:rFonts w:hint="eastAsia" w:ascii="Times New Roman" w:hAnsi="Times New Roman" w:eastAsia="宋体" w:cs="Times New Roman"/>
                <w:kern w:val="0"/>
                <w:sz w:val="16"/>
                <w:szCs w:val="16"/>
                <w:lang w:val="zh-CN"/>
              </w:rPr>
              <w:t>《青岛市饮用水水源保护条例》</w:t>
            </w:r>
            <w:r>
              <w:rPr>
                <w:rFonts w:ascii="Times New Roman" w:hAnsi="Times New Roman" w:eastAsia="宋体" w:cs="Times New Roman"/>
                <w:kern w:val="0"/>
                <w:sz w:val="16"/>
                <w:szCs w:val="16"/>
                <w:lang w:val="zh-CN"/>
              </w:rPr>
              <w:t>及相关法律法规实施保护管理。</w:t>
            </w:r>
          </w:p>
        </w:tc>
        <w:tc>
          <w:tcPr>
            <w:tcW w:w="2829"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1.规模化畜禽养殖场、养殖小区应有序完成畜禽粪便处理利用设施和污水收集处理设施配套建设，防止造成面源污染。</w:t>
            </w:r>
          </w:p>
          <w:p>
            <w:pPr>
              <w:snapToGrid w:val="0"/>
              <w:rPr>
                <w:rFonts w:ascii="Times New Roman" w:hAnsi="Times New Roman" w:cs="Times New Roman"/>
                <w:sz w:val="16"/>
                <w:szCs w:val="16"/>
              </w:rPr>
            </w:pPr>
            <w:r>
              <w:rPr>
                <w:rFonts w:ascii="Times New Roman" w:hAnsi="Times New Roman" w:cs="Times New Roman"/>
                <w:sz w:val="16"/>
                <w:szCs w:val="16"/>
              </w:rPr>
              <w:t>2.加强农村生活源和农业种植面源污染的防治，推广农作物病虫害绿色防控技术，推行科学种植，合理使用化肥农药，减少农业面源污染。</w:t>
            </w:r>
          </w:p>
          <w:p>
            <w:pPr>
              <w:snapToGrid w:val="0"/>
              <w:rPr>
                <w:rFonts w:ascii="Times New Roman" w:hAnsi="Times New Roman" w:cs="Times New Roman"/>
                <w:sz w:val="16"/>
                <w:szCs w:val="16"/>
              </w:rPr>
            </w:pPr>
            <w:r>
              <w:rPr>
                <w:rFonts w:ascii="Times New Roman" w:hAnsi="Times New Roman" w:cs="Times New Roman"/>
                <w:sz w:val="16"/>
                <w:szCs w:val="16"/>
              </w:rPr>
              <w:t>3.加强工业企业挥发性有机物排放管控，涉及挥发性有机物排放的行业应严格遵守《挥发性有机物无组织排放控制标准》（GB37822-2019）和山东省地方标准《挥发性有机物排放标准》各部分相关标准。</w:t>
            </w:r>
          </w:p>
        </w:tc>
        <w:tc>
          <w:tcPr>
            <w:tcW w:w="2550"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1.工业企业应规范固体废物的处理措施，对产生的固体废物特别是危险废物应严格按照国家规定综合利用或妥善处置，严防二次污染。</w:t>
            </w:r>
          </w:p>
          <w:p>
            <w:pPr>
              <w:snapToGrid w:val="0"/>
              <w:rPr>
                <w:rFonts w:ascii="Times New Roman" w:hAnsi="Times New Roman" w:cs="Times New Roman"/>
                <w:sz w:val="16"/>
                <w:szCs w:val="16"/>
              </w:rPr>
            </w:pPr>
            <w:r>
              <w:rPr>
                <w:rFonts w:ascii="Times New Roman" w:hAnsi="Times New Roman" w:cs="Times New Roman"/>
                <w:sz w:val="16"/>
                <w:szCs w:val="16"/>
              </w:rPr>
              <w:t>2.建立健全环境风险事故防范措施和应急预案，严防环境安全事故发生。</w:t>
            </w:r>
          </w:p>
        </w:tc>
        <w:tc>
          <w:tcPr>
            <w:tcW w:w="1624"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1.推广集中供能和清洁能源利用。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2.全面开展节水型社会建设，促进再生水利用。</w:t>
            </w:r>
          </w:p>
          <w:p>
            <w:pPr>
              <w:snapToGrid w:val="0"/>
              <w:rPr>
                <w:rFonts w:ascii="Times New Roman" w:hAnsi="Times New Roman" w:cs="Times New Roman"/>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9</w:t>
            </w:r>
          </w:p>
        </w:tc>
        <w:tc>
          <w:tcPr>
            <w:tcW w:w="132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ZH37021520008</w:t>
            </w:r>
          </w:p>
        </w:tc>
        <w:tc>
          <w:tcPr>
            <w:tcW w:w="69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环秀街道</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山东省</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青岛市</w:t>
            </w:r>
          </w:p>
        </w:tc>
        <w:tc>
          <w:tcPr>
            <w:tcW w:w="43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即墨区</w:t>
            </w:r>
          </w:p>
        </w:tc>
        <w:tc>
          <w:tcPr>
            <w:tcW w:w="70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重点管控单元</w:t>
            </w:r>
          </w:p>
        </w:tc>
        <w:tc>
          <w:tcPr>
            <w:tcW w:w="1135"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水环境城镇生活源重点管控区、一般生态空间、大气环境受体敏感区</w:t>
            </w:r>
          </w:p>
        </w:tc>
        <w:tc>
          <w:tcPr>
            <w:tcW w:w="1414"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1.引导工业企业入驻工业园区。新建有污染物排放的工业项目，除在安全生产等方面有特殊要求的以外，应当进入工业园区或者工业集聚区。</w:t>
            </w:r>
          </w:p>
          <w:p>
            <w:pPr>
              <w:snapToGrid w:val="0"/>
              <w:jc w:val="left"/>
              <w:rPr>
                <w:rFonts w:ascii="Times New Roman" w:hAnsi="Times New Roman" w:cs="Times New Roman"/>
                <w:sz w:val="16"/>
                <w:szCs w:val="16"/>
              </w:rPr>
            </w:pPr>
            <w:r>
              <w:rPr>
                <w:rFonts w:ascii="Times New Roman" w:hAnsi="Times New Roman" w:cs="Times New Roman"/>
                <w:sz w:val="16"/>
                <w:szCs w:val="16"/>
              </w:rPr>
              <w:t>2.严格落实规划及规划环评的空间准入要求。</w:t>
            </w:r>
          </w:p>
        </w:tc>
        <w:tc>
          <w:tcPr>
            <w:tcW w:w="2829"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1.涉及挥发性有机物排放的行业应严格遵守《挥发性有机物无组织排放控制标准》（GB37822-2019）和山东省地方标准《挥发性有机物排放标准》各部分相关标准。</w:t>
            </w:r>
          </w:p>
          <w:p>
            <w:pPr>
              <w:snapToGrid w:val="0"/>
              <w:rPr>
                <w:rFonts w:ascii="Times New Roman" w:hAnsi="Times New Roman" w:cs="Times New Roman"/>
                <w:sz w:val="16"/>
                <w:szCs w:val="16"/>
              </w:rPr>
            </w:pPr>
            <w:r>
              <w:rPr>
                <w:rFonts w:ascii="Times New Roman" w:hAnsi="Times New Roman" w:cs="Times New Roman"/>
                <w:sz w:val="16"/>
                <w:szCs w:val="16"/>
              </w:rPr>
              <w:t>2.规模化畜禽养殖场、养殖小区应有序完成畜禽粪便处理利用设施和污水收集处理设施配套建设，防止造成面源污染。</w:t>
            </w:r>
          </w:p>
          <w:p>
            <w:pPr>
              <w:snapToGrid w:val="0"/>
              <w:rPr>
                <w:rFonts w:ascii="Times New Roman" w:hAnsi="Times New Roman" w:cs="Times New Roman"/>
                <w:sz w:val="16"/>
                <w:szCs w:val="16"/>
              </w:rPr>
            </w:pPr>
            <w:r>
              <w:rPr>
                <w:rFonts w:ascii="Times New Roman" w:hAnsi="Times New Roman" w:cs="Times New Roman"/>
                <w:sz w:val="16"/>
                <w:szCs w:val="16"/>
              </w:rPr>
              <w:t>3.机械加工行业下料、机械加工、抛丸、打磨、喷砂、清理滚筒、热处理、化学预处理等环节设置废气有效收集治理设施。焊接环节根据作业点位数配备焊接烟尘净化器，或设置专门操作间并设置集气系统对焊接烟尘进行有效收集治理。</w:t>
            </w:r>
          </w:p>
          <w:p>
            <w:pPr>
              <w:snapToGrid w:val="0"/>
              <w:rPr>
                <w:rFonts w:ascii="Times New Roman" w:hAnsi="Times New Roman" w:cs="Times New Roman"/>
                <w:sz w:val="16"/>
                <w:szCs w:val="16"/>
              </w:rPr>
            </w:pPr>
            <w:r>
              <w:rPr>
                <w:rFonts w:ascii="Times New Roman" w:hAnsi="Times New Roman" w:cs="Times New Roman"/>
                <w:sz w:val="16"/>
                <w:szCs w:val="16"/>
              </w:rPr>
              <w:t>4.表面涂装行业鼓励推进源头替代，引导使用低VOCs含量的涂料替代溶剂型引导使用低VOCs含量的涂料替代溶剂型涂料，从源头减少VOCs产生。推进使用先进生产工艺，鼓励企业采用自动化、智能化喷涂设备替代人工喷涂，减少使用空气喷涂技术。提高废气收集率。遵循“应收尽收、分质收集”的原则，科学设计废气收集系统，将无组织排放转变为有组织排放进行控制。涂料、稀释剂、清洗剂等原辅材料应密闭存储，调配、使用、回收等过程应采用密闭设备或在密闭空间内操作，采用密闭管道或密闭容器等输送。推进建设适宜高效的治污设施，合理选择治理技术，提高VOCs治理效率。</w:t>
            </w:r>
          </w:p>
          <w:p>
            <w:pPr>
              <w:snapToGrid w:val="0"/>
              <w:rPr>
                <w:rFonts w:ascii="Times New Roman" w:hAnsi="Times New Roman" w:cs="Times New Roman"/>
                <w:sz w:val="16"/>
                <w:szCs w:val="16"/>
              </w:rPr>
            </w:pPr>
            <w:r>
              <w:rPr>
                <w:rFonts w:ascii="Times New Roman" w:hAnsi="Times New Roman" w:cs="Times New Roman"/>
                <w:sz w:val="16"/>
                <w:szCs w:val="16"/>
              </w:rPr>
              <w:t>5.对于涉重金属的企业，推行“一企一管”，产生一类污染物的要在车间排放口达标。涉重企业应确保在线监测设备正常运行，对产生的危险废物严格按照相关法律法规进行处置。</w:t>
            </w:r>
          </w:p>
        </w:tc>
        <w:tc>
          <w:tcPr>
            <w:tcW w:w="2550"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1.工业企业产生的固体废物特别是危险废物应严格按照国家规定综合利用或妥善处置，严防二次污染。</w:t>
            </w:r>
          </w:p>
          <w:p>
            <w:pPr>
              <w:snapToGrid w:val="0"/>
              <w:rPr>
                <w:rFonts w:ascii="Times New Roman" w:hAnsi="Times New Roman" w:cs="Times New Roman"/>
                <w:sz w:val="16"/>
                <w:szCs w:val="16"/>
              </w:rPr>
            </w:pPr>
            <w:r>
              <w:rPr>
                <w:rFonts w:ascii="Times New Roman" w:hAnsi="Times New Roman" w:cs="Times New Roman"/>
                <w:sz w:val="16"/>
                <w:szCs w:val="16"/>
              </w:rPr>
              <w:t>2.建立健全环境风险事故防范措施和应急预案，严防环境安全事故发生。</w:t>
            </w:r>
          </w:p>
          <w:p>
            <w:pPr>
              <w:snapToGrid w:val="0"/>
              <w:rPr>
                <w:rFonts w:ascii="Times New Roman" w:hAnsi="Times New Roman" w:cs="Times New Roman"/>
                <w:sz w:val="16"/>
                <w:szCs w:val="16"/>
              </w:rPr>
            </w:pPr>
            <w:r>
              <w:rPr>
                <w:rFonts w:ascii="Times New Roman" w:hAnsi="Times New Roman" w:cs="Times New Roman"/>
                <w:sz w:val="16"/>
                <w:szCs w:val="16"/>
              </w:rPr>
              <w:t>3.涉酸、涉重等土壤、地下水高污染风险企业的车间、危废间、污水处理站、储罐等重点管控区进行重点防渗。</w:t>
            </w:r>
          </w:p>
        </w:tc>
        <w:tc>
          <w:tcPr>
            <w:tcW w:w="1624"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1.推广集中供能和清洁能源利用。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2.全面开展节水型社会建设，促进再生水利用。</w:t>
            </w:r>
          </w:p>
          <w:p>
            <w:pPr>
              <w:snapToGrid w:val="0"/>
              <w:rPr>
                <w:rFonts w:ascii="Times New Roman" w:hAnsi="Times New Roman" w:cs="Times New Roman"/>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10</w:t>
            </w:r>
          </w:p>
        </w:tc>
        <w:tc>
          <w:tcPr>
            <w:tcW w:w="132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ZH37021520006</w:t>
            </w:r>
          </w:p>
        </w:tc>
        <w:tc>
          <w:tcPr>
            <w:tcW w:w="69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即墨汽车产业新城</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山东省</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青岛市</w:t>
            </w:r>
          </w:p>
        </w:tc>
        <w:tc>
          <w:tcPr>
            <w:tcW w:w="43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即墨区</w:t>
            </w:r>
          </w:p>
        </w:tc>
        <w:tc>
          <w:tcPr>
            <w:tcW w:w="70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重点管控单元</w:t>
            </w:r>
          </w:p>
        </w:tc>
        <w:tc>
          <w:tcPr>
            <w:tcW w:w="1135"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水环境一般管控区、大气环境高排放污染区、大气环境受体敏感区</w:t>
            </w:r>
          </w:p>
        </w:tc>
        <w:tc>
          <w:tcPr>
            <w:tcW w:w="1414"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1.引导工业企业入驻工业园区。新建有污染物排放的工业项目，除在安全生产等方面有特殊要求的以外，应当进入工业园区或者工业集聚区。</w:t>
            </w:r>
          </w:p>
          <w:p>
            <w:pPr>
              <w:snapToGrid w:val="0"/>
              <w:jc w:val="left"/>
              <w:rPr>
                <w:rFonts w:ascii="Times New Roman" w:hAnsi="Times New Roman" w:cs="Times New Roman"/>
                <w:sz w:val="16"/>
                <w:szCs w:val="16"/>
              </w:rPr>
            </w:pPr>
            <w:r>
              <w:rPr>
                <w:rFonts w:ascii="Times New Roman" w:hAnsi="Times New Roman" w:cs="Times New Roman"/>
                <w:sz w:val="16"/>
                <w:szCs w:val="16"/>
              </w:rPr>
              <w:t>2.鼓励园区循环经济链条上的必备项目，以及低能耗、低水耗、低污染、高效益、高科技的环保型项目。</w:t>
            </w:r>
          </w:p>
        </w:tc>
        <w:tc>
          <w:tcPr>
            <w:tcW w:w="2829"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1.加强工业企业挥发性有机物排放管控，涉及挥发性有机物排放的行业应严格遵守《挥发性有机物无组织排放控制标准》（GB37822-2019）和山东省地方标准《挥发性有机物排放标准》相关标准。</w:t>
            </w:r>
          </w:p>
          <w:p>
            <w:pPr>
              <w:snapToGrid w:val="0"/>
              <w:rPr>
                <w:rFonts w:ascii="Times New Roman" w:hAnsi="Times New Roman" w:cs="Times New Roman"/>
                <w:sz w:val="16"/>
                <w:szCs w:val="16"/>
              </w:rPr>
            </w:pPr>
            <w:r>
              <w:rPr>
                <w:rFonts w:ascii="Times New Roman" w:hAnsi="Times New Roman" w:cs="Times New Roman"/>
                <w:sz w:val="16"/>
                <w:szCs w:val="16"/>
              </w:rPr>
              <w:t>2.汽车整车制造行业水性涂料等低挥发性有机物含量涂料占总涂料使用量比例不低于80%。推广使用“三涂一烘”“两涂一烘”或免中涂等紧凑型工艺、静电喷涂技术、自动化喷涂设备。涂装车间采用集中自动输调漆系统并密闭作业，喷漆室、流平室及烘干室采取封闭措施控制无组织排放。喷漆室配备高效漆雾净化装置，流平室、烘干室以及使用溶剂型涂料的喷漆室、调漆间等应配备高效有机废气净化装置。总装车间补漆室配套有机废气净化设施，整车检测下线工位设汽车尾气收集装置。喷漆工位配套有机废气净化装置，发动机试验车间（工位）配套尾气净化设施。燃油供应系统配备油气回收装置。各燃烧类处理设施采用天然气等清洁能源作为燃料。涂装车间含重金属废水（液）应单独收集处理，第一类污染物排放浓度在车间或车间处理设施排放口达标。</w:t>
            </w:r>
          </w:p>
          <w:p>
            <w:pPr>
              <w:snapToGrid w:val="0"/>
              <w:rPr>
                <w:rFonts w:ascii="Times New Roman" w:hAnsi="Times New Roman" w:cs="Times New Roman"/>
                <w:sz w:val="16"/>
                <w:szCs w:val="16"/>
              </w:rPr>
            </w:pPr>
            <w:r>
              <w:rPr>
                <w:rFonts w:ascii="Times New Roman" w:hAnsi="Times New Roman" w:cs="Times New Roman"/>
                <w:sz w:val="16"/>
                <w:szCs w:val="16"/>
              </w:rPr>
              <w:t>3.电镀、热镀锌等表面处理行业污染物排放管控：应按照“清污分流、雨污分流、分类收集、分质处理”原则，设立完善的废水收集、处理和回用系统，确保一类污染物车间或车间（园区）处理设施排放口达标，提高水的循环利用率，减少重金属污染物排放量。对废气进行严格的收集、控制与处理，减少无组织排放。采取分区防渗等措施有效防范地下水和土壤污染。按照国家有关规定，对固体废物进行规范收集、贮存和无害化处置。</w:t>
            </w:r>
          </w:p>
          <w:p>
            <w:pPr>
              <w:snapToGrid w:val="0"/>
              <w:rPr>
                <w:rFonts w:ascii="Times New Roman" w:hAnsi="Times New Roman" w:cs="Times New Roman"/>
                <w:sz w:val="16"/>
                <w:szCs w:val="16"/>
              </w:rPr>
            </w:pPr>
            <w:r>
              <w:rPr>
                <w:rFonts w:ascii="Times New Roman" w:hAnsi="Times New Roman" w:cs="Times New Roman"/>
                <w:sz w:val="16"/>
                <w:szCs w:val="16"/>
              </w:rPr>
              <w:t>4.机械制造行业下料、机械加工、抛丸、打磨、喷砂、清理滚筒、热处理、化学预处理、电镀等环节设置废气有效收集治理设施。焊接环节根据作业点位数配备焊接烟尘净化器，或设置专门操作间并设置集气系统对焊接烟尘进行有效收集治理。涂装环节落实表面涂装行业的控制VOCs排放等要求。</w:t>
            </w:r>
          </w:p>
        </w:tc>
        <w:tc>
          <w:tcPr>
            <w:tcW w:w="2550"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1.排放有毒有害水污染物名录中水污染物的企业事业单位和其他生产经营者，应当对排污口和周边环境进行监测，采取有效措施防范环境风险。</w:t>
            </w:r>
          </w:p>
          <w:p>
            <w:pPr>
              <w:snapToGrid w:val="0"/>
              <w:rPr>
                <w:rFonts w:ascii="Times New Roman" w:hAnsi="Times New Roman" w:cs="Times New Roman"/>
                <w:sz w:val="16"/>
                <w:szCs w:val="16"/>
              </w:rPr>
            </w:pPr>
            <w:r>
              <w:rPr>
                <w:rFonts w:ascii="Times New Roman" w:hAnsi="Times New Roman" w:cs="Times New Roman"/>
                <w:sz w:val="16"/>
                <w:szCs w:val="16"/>
              </w:rPr>
              <w:t>2.污水处理设施、物料及固废堆存场所必须进行严格的防渗处理。各物料输送管道、污水管道必须进行严格的防腐处理。</w:t>
            </w:r>
          </w:p>
          <w:p>
            <w:pPr>
              <w:snapToGrid w:val="0"/>
              <w:rPr>
                <w:rFonts w:ascii="Times New Roman" w:hAnsi="Times New Roman" w:cs="Times New Roman"/>
                <w:sz w:val="16"/>
                <w:szCs w:val="16"/>
              </w:rPr>
            </w:pPr>
            <w:r>
              <w:rPr>
                <w:rFonts w:ascii="Times New Roman" w:hAnsi="Times New Roman" w:cs="Times New Roman"/>
                <w:sz w:val="16"/>
                <w:szCs w:val="16"/>
              </w:rPr>
              <w:t>3.汽车整车行业做好油库、化学品库泄漏的环境风险防范措施，突发环境事件应急预案编制要求，纳入区域突发环境事件应急联动机制。</w:t>
            </w:r>
          </w:p>
        </w:tc>
        <w:tc>
          <w:tcPr>
            <w:tcW w:w="1624"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1.推广集中供能和清洁能源利用。</w:t>
            </w:r>
          </w:p>
          <w:p>
            <w:pPr>
              <w:snapToGrid w:val="0"/>
              <w:rPr>
                <w:rFonts w:ascii="Times New Roman" w:hAnsi="Times New Roman" w:cs="Times New Roman"/>
                <w:sz w:val="16"/>
                <w:szCs w:val="16"/>
              </w:rPr>
            </w:pPr>
            <w:r>
              <w:rPr>
                <w:rFonts w:ascii="Times New Roman" w:hAnsi="Times New Roman" w:cs="Times New Roman"/>
                <w:sz w:val="16"/>
                <w:szCs w:val="16"/>
              </w:rPr>
              <w:t>2.清洁生产水平达到国际国内先进水平。</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3.全面开展节水型社会建设，促进再生水利用。</w:t>
            </w:r>
          </w:p>
          <w:p>
            <w:pPr>
              <w:snapToGrid w:val="0"/>
              <w:rPr>
                <w:rFonts w:ascii="Times New Roman" w:hAnsi="Times New Roman" w:cs="Times New Roman"/>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11</w:t>
            </w:r>
          </w:p>
        </w:tc>
        <w:tc>
          <w:tcPr>
            <w:tcW w:w="132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ZH37021530004</w:t>
            </w:r>
          </w:p>
        </w:tc>
        <w:tc>
          <w:tcPr>
            <w:tcW w:w="690" w:type="dxa"/>
            <w:vAlign w:val="center"/>
          </w:tcPr>
          <w:p>
            <w:pPr>
              <w:snapToGrid w:val="0"/>
              <w:jc w:val="center"/>
              <w:rPr>
                <w:rFonts w:ascii="Times New Roman" w:hAnsi="Times New Roman" w:cs="Times New Roman"/>
                <w:sz w:val="16"/>
                <w:szCs w:val="16"/>
              </w:rPr>
            </w:pPr>
            <w:r>
              <w:rPr>
                <w:rFonts w:ascii="Times New Roman" w:hAnsi="Times New Roman" w:cs="Times New Roman"/>
                <w:b w:val="0"/>
                <w:bCs w:val="0"/>
                <w:sz w:val="16"/>
                <w:szCs w:val="16"/>
              </w:rPr>
              <w:t>大信街道</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山东省</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青岛市</w:t>
            </w:r>
          </w:p>
        </w:tc>
        <w:tc>
          <w:tcPr>
            <w:tcW w:w="43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即墨区</w:t>
            </w:r>
          </w:p>
        </w:tc>
        <w:tc>
          <w:tcPr>
            <w:tcW w:w="70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一般管控单元</w:t>
            </w:r>
          </w:p>
        </w:tc>
        <w:tc>
          <w:tcPr>
            <w:tcW w:w="1135"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马山自然保护区、国家级公益林一般生态空间、挪城水库、水环境农业面源重点管控区、大气环境弱扩散敏感区、水环境优先保护区、大气环境受体敏感区</w:t>
            </w:r>
          </w:p>
          <w:p>
            <w:pPr>
              <w:snapToGrid w:val="0"/>
              <w:jc w:val="left"/>
              <w:rPr>
                <w:rFonts w:ascii="Times New Roman" w:hAnsi="Times New Roman" w:cs="Times New Roman"/>
                <w:sz w:val="16"/>
                <w:szCs w:val="16"/>
              </w:rPr>
            </w:pPr>
          </w:p>
        </w:tc>
        <w:tc>
          <w:tcPr>
            <w:tcW w:w="1414"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1.引导工业企业入驻工业园区。新建有污染物排放的工业项目，除在安全生产等方面有特殊要求的以外，应当进入工业园区或者工业集聚区。</w:t>
            </w:r>
          </w:p>
          <w:p>
            <w:pPr>
              <w:snapToGrid w:val="0"/>
              <w:jc w:val="left"/>
              <w:rPr>
                <w:rFonts w:ascii="Times New Roman" w:hAnsi="Times New Roman" w:cs="Times New Roman"/>
                <w:sz w:val="16"/>
                <w:szCs w:val="16"/>
              </w:rPr>
            </w:pPr>
            <w:r>
              <w:rPr>
                <w:rFonts w:ascii="Times New Roman" w:hAnsi="Times New Roman" w:cs="Times New Roman"/>
                <w:sz w:val="16"/>
                <w:szCs w:val="16"/>
              </w:rPr>
              <w:t>2.</w:t>
            </w:r>
            <w:r>
              <w:rPr>
                <w:rFonts w:ascii="Times New Roman" w:hAnsi="Times New Roman" w:eastAsia="宋体" w:cs="Times New Roman"/>
                <w:kern w:val="0"/>
                <w:sz w:val="16"/>
                <w:szCs w:val="16"/>
                <w:lang w:val="zh-CN"/>
              </w:rPr>
              <w:t>严格执行《青岛市畜禽养殖污染防治规划》相关要求，调整优化养殖业布局，鼓励转型升级，发展循环养殖。</w:t>
            </w:r>
          </w:p>
          <w:p>
            <w:pPr>
              <w:snapToGrid w:val="0"/>
              <w:jc w:val="left"/>
              <w:rPr>
                <w:rFonts w:ascii="Times New Roman" w:hAnsi="Times New Roman" w:cs="Times New Roman"/>
                <w:sz w:val="16"/>
                <w:szCs w:val="16"/>
              </w:rPr>
            </w:pPr>
            <w:r>
              <w:rPr>
                <w:rFonts w:ascii="Times New Roman" w:hAnsi="Times New Roman" w:cs="Times New Roman"/>
                <w:sz w:val="16"/>
                <w:szCs w:val="16"/>
              </w:rPr>
              <w:t>3.轮胎产业原则上应在山东省政府认定的化工园区、专业化工园区和重点监控点内实施。符合国土空间规划、产业发展规划等相关规划。满足产能置换实施办法相关要求。</w:t>
            </w:r>
          </w:p>
          <w:p>
            <w:pPr>
              <w:snapToGrid w:val="0"/>
              <w:jc w:val="left"/>
              <w:rPr>
                <w:rFonts w:ascii="Times New Roman" w:hAnsi="Times New Roman" w:cs="Times New Roman"/>
                <w:sz w:val="16"/>
                <w:szCs w:val="16"/>
              </w:rPr>
            </w:pPr>
            <w:r>
              <w:rPr>
                <w:rFonts w:ascii="Times New Roman" w:hAnsi="Times New Roman" w:cs="Times New Roman"/>
                <w:sz w:val="16"/>
                <w:szCs w:val="16"/>
              </w:rPr>
              <w:t>4.</w:t>
            </w:r>
            <w:r>
              <w:rPr>
                <w:rFonts w:ascii="Times New Roman" w:hAnsi="Times New Roman" w:eastAsia="宋体" w:cs="Times New Roman"/>
                <w:kern w:val="0"/>
                <w:sz w:val="16"/>
                <w:szCs w:val="16"/>
                <w:lang w:val="zh-CN"/>
              </w:rPr>
              <w:t>饮用水水源保护区按照《中华人民共和国水污染防治法》《山东省水污染防治条例》</w:t>
            </w:r>
            <w:r>
              <w:rPr>
                <w:rFonts w:hint="eastAsia" w:ascii="Times New Roman" w:hAnsi="Times New Roman" w:eastAsia="宋体" w:cs="Times New Roman"/>
                <w:kern w:val="0"/>
                <w:sz w:val="16"/>
                <w:szCs w:val="16"/>
                <w:lang w:val="zh-CN"/>
              </w:rPr>
              <w:t>《青岛市饮用水水源保护条例》</w:t>
            </w:r>
            <w:r>
              <w:rPr>
                <w:rFonts w:ascii="Times New Roman" w:hAnsi="Times New Roman" w:eastAsia="宋体" w:cs="Times New Roman"/>
                <w:kern w:val="0"/>
                <w:sz w:val="16"/>
                <w:szCs w:val="16"/>
                <w:lang w:val="zh-CN"/>
              </w:rPr>
              <w:t>及相关法律法规实施保护管理。</w:t>
            </w:r>
          </w:p>
        </w:tc>
        <w:tc>
          <w:tcPr>
            <w:tcW w:w="2829"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1.规模化畜禽养殖场、养殖小区应有序完成畜禽粪便处理利用设施和污水收集处理设施配套建设，防止造成面源污染。</w:t>
            </w:r>
          </w:p>
          <w:p>
            <w:pPr>
              <w:snapToGrid w:val="0"/>
              <w:rPr>
                <w:rFonts w:ascii="Times New Roman" w:hAnsi="Times New Roman" w:cs="Times New Roman"/>
                <w:sz w:val="16"/>
                <w:szCs w:val="16"/>
              </w:rPr>
            </w:pPr>
            <w:r>
              <w:rPr>
                <w:rFonts w:ascii="Times New Roman" w:hAnsi="Times New Roman" w:cs="Times New Roman"/>
                <w:sz w:val="16"/>
                <w:szCs w:val="16"/>
              </w:rPr>
              <w:t>2.加强农村生活源和农业种植面源污染的防治，推广农作物病虫害绿色防控技术，推行科学种植，合理使用化肥农药，源头削减农业面源污染。</w:t>
            </w:r>
          </w:p>
          <w:p>
            <w:pPr>
              <w:snapToGrid w:val="0"/>
              <w:rPr>
                <w:rFonts w:ascii="Times New Roman" w:hAnsi="Times New Roman" w:cs="Times New Roman"/>
                <w:sz w:val="16"/>
                <w:szCs w:val="16"/>
              </w:rPr>
            </w:pPr>
            <w:r>
              <w:rPr>
                <w:rFonts w:ascii="Times New Roman" w:hAnsi="Times New Roman" w:cs="Times New Roman"/>
                <w:sz w:val="16"/>
                <w:szCs w:val="16"/>
              </w:rPr>
              <w:t>3.加强工业企业挥发性有机物排放管控，涉及挥发性有机物排放的行业应严格遵守《挥发性有机物无组织排放控制标准》（GB37822-2019）和山东省地方标准《挥发性有机物排放标准》各部分相关标准。</w:t>
            </w:r>
          </w:p>
          <w:p>
            <w:pPr>
              <w:snapToGrid w:val="0"/>
              <w:rPr>
                <w:rFonts w:ascii="Times New Roman" w:hAnsi="Times New Roman" w:cs="Times New Roman"/>
                <w:sz w:val="16"/>
                <w:szCs w:val="16"/>
              </w:rPr>
            </w:pPr>
            <w:r>
              <w:rPr>
                <w:rFonts w:ascii="Times New Roman" w:hAnsi="Times New Roman" w:cs="Times New Roman"/>
                <w:sz w:val="16"/>
                <w:szCs w:val="16"/>
              </w:rPr>
              <w:t>4.生活垃圾焚烧发电企业应确保各项污染防治设施的正常运行，控制焚烧烟气、恶臭等不利环境影响，落实分区防控要求，防止污染地下水和土壤。</w:t>
            </w:r>
          </w:p>
          <w:p>
            <w:pPr>
              <w:snapToGrid w:val="0"/>
              <w:rPr>
                <w:rFonts w:ascii="Times New Roman" w:hAnsi="Times New Roman" w:cs="Times New Roman"/>
                <w:sz w:val="16"/>
                <w:szCs w:val="16"/>
              </w:rPr>
            </w:pPr>
            <w:r>
              <w:rPr>
                <w:rFonts w:ascii="Times New Roman" w:hAnsi="Times New Roman" w:cs="Times New Roman"/>
                <w:sz w:val="16"/>
                <w:szCs w:val="16"/>
              </w:rPr>
              <w:t>5.轮胎行业炼胶工艺环节全流程产生的废气均应采取有效收集措施，宜采用下进风+上吸风方式。硫化产生的工艺废气宜采用设备内引风收集，开盖时宜采用上吸风方式收集，集气罩在不影响作业的前提下应尽可能靠近开盖位置，轮胎冷却工段产生的工艺废气宜采用侧吸风+下吸风方式进行收集。原料破碎、过筛、搅拌等工段产生的废气在除尘后需经恶臭污染物治理设施处理后外排。密炼、硫化工序产生的废气，宜在过滤除尘、化学洗涤预处理后，采用浓缩结合燃烧法等工艺进行处理。</w:t>
            </w:r>
          </w:p>
        </w:tc>
        <w:tc>
          <w:tcPr>
            <w:tcW w:w="2550"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1.工业企业产生的固体废物特别是危险废物应严格按照国家规定综合利用或妥善处置，严防二次污染。</w:t>
            </w:r>
          </w:p>
          <w:p>
            <w:pPr>
              <w:snapToGrid w:val="0"/>
              <w:rPr>
                <w:rFonts w:ascii="Times New Roman" w:hAnsi="Times New Roman" w:cs="Times New Roman"/>
                <w:sz w:val="16"/>
                <w:szCs w:val="16"/>
              </w:rPr>
            </w:pPr>
            <w:r>
              <w:rPr>
                <w:rFonts w:ascii="Times New Roman" w:hAnsi="Times New Roman" w:cs="Times New Roman"/>
                <w:sz w:val="16"/>
                <w:szCs w:val="16"/>
              </w:rPr>
              <w:t>2.建立健全环境风险事故防范措施和应急预案，严防环境安全事故发生。</w:t>
            </w:r>
          </w:p>
          <w:p>
            <w:pPr>
              <w:snapToGrid w:val="0"/>
              <w:rPr>
                <w:rFonts w:ascii="Times New Roman" w:hAnsi="Times New Roman" w:cs="Times New Roman"/>
                <w:sz w:val="16"/>
                <w:szCs w:val="16"/>
              </w:rPr>
            </w:pPr>
            <w:r>
              <w:rPr>
                <w:rFonts w:ascii="Times New Roman" w:hAnsi="Times New Roman" w:cs="Times New Roman"/>
                <w:sz w:val="16"/>
                <w:szCs w:val="16"/>
              </w:rPr>
              <w:t>3.生活垃圾焚烧发电企业应协助当地政府做好相关规划控制工作，防护距离范围内不得新建学校、医院、居民区等环境敏感点。做好各项设施运行维护，消除风险隐患，预防事故发生。</w:t>
            </w:r>
          </w:p>
        </w:tc>
        <w:tc>
          <w:tcPr>
            <w:tcW w:w="1624"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1.合理利用现有污水处理厂尾水资源，积极推进中水回用。</w:t>
            </w:r>
          </w:p>
          <w:p>
            <w:pPr>
              <w:snapToGrid w:val="0"/>
              <w:rPr>
                <w:rFonts w:ascii="Times New Roman" w:hAnsi="Times New Roman" w:cs="Times New Roman"/>
                <w:sz w:val="16"/>
                <w:szCs w:val="16"/>
              </w:rPr>
            </w:pPr>
            <w:r>
              <w:rPr>
                <w:rFonts w:ascii="Times New Roman" w:hAnsi="Times New Roman" w:cs="Times New Roman"/>
                <w:sz w:val="16"/>
                <w:szCs w:val="16"/>
              </w:rPr>
              <w:t>2.推广集中供能和清洁能源利用。</w:t>
            </w:r>
          </w:p>
          <w:p>
            <w:pPr>
              <w:snapToGrid w:val="0"/>
              <w:rPr>
                <w:rFonts w:ascii="Times New Roman" w:hAnsi="Times New Roman" w:cs="Times New Roman"/>
                <w:kern w:val="0"/>
                <w:sz w:val="16"/>
                <w:szCs w:val="16"/>
              </w:rPr>
            </w:pPr>
            <w:r>
              <w:rPr>
                <w:rFonts w:ascii="Times New Roman" w:hAnsi="Times New Roman" w:cs="Times New Roman"/>
                <w:sz w:val="16"/>
                <w:szCs w:val="16"/>
              </w:rPr>
              <w:t>3</w:t>
            </w:r>
            <w:r>
              <w:rPr>
                <w:rFonts w:ascii="Times New Roman" w:hAnsi="Times New Roman" w:cs="Times New Roman"/>
                <w:kern w:val="0"/>
                <w:sz w:val="16"/>
                <w:szCs w:val="16"/>
              </w:rPr>
              <w:t>.全面开展节水型社会建设，促进再生水利用。</w:t>
            </w:r>
          </w:p>
          <w:p>
            <w:pPr>
              <w:snapToGrid w:val="0"/>
              <w:rPr>
                <w:rFonts w:ascii="Times New Roman" w:hAnsi="Times New Roman" w:cs="Times New Roman"/>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12</w:t>
            </w:r>
          </w:p>
        </w:tc>
        <w:tc>
          <w:tcPr>
            <w:tcW w:w="132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ZH37021530001</w:t>
            </w:r>
          </w:p>
        </w:tc>
        <w:tc>
          <w:tcPr>
            <w:tcW w:w="690" w:type="dxa"/>
            <w:vAlign w:val="center"/>
          </w:tcPr>
          <w:p>
            <w:pPr>
              <w:snapToGrid w:val="0"/>
              <w:jc w:val="center"/>
              <w:rPr>
                <w:rFonts w:ascii="Times New Roman" w:hAnsi="Times New Roman" w:cs="Times New Roman"/>
                <w:b/>
                <w:bCs/>
                <w:sz w:val="16"/>
                <w:szCs w:val="16"/>
              </w:rPr>
            </w:pPr>
            <w:r>
              <w:rPr>
                <w:rFonts w:ascii="Times New Roman" w:hAnsi="Times New Roman" w:cs="Times New Roman"/>
                <w:sz w:val="16"/>
                <w:szCs w:val="16"/>
              </w:rPr>
              <w:t>田横旅游度假区</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山东省</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青岛市</w:t>
            </w:r>
          </w:p>
        </w:tc>
        <w:tc>
          <w:tcPr>
            <w:tcW w:w="43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即墨区</w:t>
            </w:r>
          </w:p>
        </w:tc>
        <w:tc>
          <w:tcPr>
            <w:tcW w:w="70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一般管控单元</w:t>
            </w:r>
          </w:p>
        </w:tc>
        <w:tc>
          <w:tcPr>
            <w:tcW w:w="1135"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国家级公益林一般生态空间、一般管控区、大气环境一般管控区、大气环境受体敏感区</w:t>
            </w:r>
          </w:p>
        </w:tc>
        <w:tc>
          <w:tcPr>
            <w:tcW w:w="1414"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1.以临港等高端蓝色产业为主，推动现有产业升级改造。</w:t>
            </w:r>
          </w:p>
          <w:p>
            <w:pPr>
              <w:snapToGrid w:val="0"/>
              <w:rPr>
                <w:rFonts w:ascii="Times New Roman" w:hAnsi="Times New Roman" w:cs="Times New Roman"/>
                <w:sz w:val="16"/>
                <w:szCs w:val="16"/>
              </w:rPr>
            </w:pPr>
            <w:r>
              <w:rPr>
                <w:rFonts w:ascii="Times New Roman" w:hAnsi="Times New Roman" w:cs="Times New Roman"/>
                <w:sz w:val="16"/>
                <w:szCs w:val="16"/>
              </w:rPr>
              <w:t>2.清理整顿近岸海域非法和不符合分区管控要求的海水养殖。</w:t>
            </w:r>
          </w:p>
        </w:tc>
        <w:tc>
          <w:tcPr>
            <w:tcW w:w="2829"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1.完善市政配套设施建设，加强污水收集管网体系的管理和维护，完善排水管网建设与改造，推进雨污分流改造。</w:t>
            </w:r>
          </w:p>
          <w:p>
            <w:pPr>
              <w:snapToGrid w:val="0"/>
              <w:rPr>
                <w:rFonts w:ascii="Times New Roman" w:hAnsi="Times New Roman" w:cs="Times New Roman"/>
                <w:kern w:val="0"/>
                <w:sz w:val="16"/>
                <w:szCs w:val="16"/>
              </w:rPr>
            </w:pPr>
            <w:r>
              <w:rPr>
                <w:rFonts w:ascii="Times New Roman" w:hAnsi="Times New Roman" w:cs="Times New Roman"/>
                <w:sz w:val="16"/>
                <w:szCs w:val="16"/>
              </w:rPr>
              <w:t>2.规模化畜禽养殖场、养殖小区应有序完成畜禽粪便处理利用设施和污水收集处理设施配套建设，防止造成面源污染。</w:t>
            </w:r>
          </w:p>
          <w:p>
            <w:pPr>
              <w:snapToGrid w:val="0"/>
              <w:rPr>
                <w:rFonts w:ascii="Times New Roman" w:hAnsi="Times New Roman" w:cs="Times New Roman"/>
                <w:sz w:val="16"/>
                <w:szCs w:val="16"/>
              </w:rPr>
            </w:pPr>
            <w:r>
              <w:rPr>
                <w:rFonts w:ascii="Times New Roman" w:hAnsi="Times New Roman" w:cs="Times New Roman"/>
                <w:sz w:val="16"/>
                <w:szCs w:val="16"/>
              </w:rPr>
              <w:t>3.逐步解决海水养殖尾水，加快提升尾水达标排放率，对养殖浮球进行升级改造。</w:t>
            </w:r>
          </w:p>
          <w:p>
            <w:pPr>
              <w:snapToGrid w:val="0"/>
              <w:rPr>
                <w:rFonts w:ascii="Times New Roman" w:hAnsi="Times New Roman" w:cs="Times New Roman"/>
                <w:sz w:val="16"/>
                <w:szCs w:val="16"/>
              </w:rPr>
            </w:pPr>
            <w:r>
              <w:rPr>
                <w:rFonts w:ascii="Times New Roman" w:hAnsi="Times New Roman" w:cs="Times New Roman"/>
                <w:sz w:val="16"/>
                <w:szCs w:val="16"/>
              </w:rPr>
              <w:t>4.机械加工行业下料、机械加工、抛丸、打磨、喷砂、清理滚筒、热处理、化学预处理、电镀等环节设置废气有效收集治理设施。焊接环节根据作业点位数配备焊接烟尘净化器，或设置专门操作间并设置集气系统对焊接烟尘进行有效收集治理。涂装环节落实表面涂装行业的控制VOCs排放等要求。</w:t>
            </w:r>
          </w:p>
        </w:tc>
        <w:tc>
          <w:tcPr>
            <w:tcW w:w="2550"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1.工业企业产生的固体废物特别是危险废物应严格按照国家规定综合利用或妥善处置，严防二次污染。</w:t>
            </w:r>
          </w:p>
          <w:p>
            <w:pPr>
              <w:snapToGrid w:val="0"/>
              <w:rPr>
                <w:rFonts w:ascii="Times New Roman" w:hAnsi="Times New Roman" w:cs="Times New Roman"/>
                <w:sz w:val="16"/>
                <w:szCs w:val="16"/>
              </w:rPr>
            </w:pPr>
            <w:r>
              <w:rPr>
                <w:rFonts w:ascii="Times New Roman" w:hAnsi="Times New Roman" w:cs="Times New Roman"/>
                <w:sz w:val="16"/>
                <w:szCs w:val="16"/>
              </w:rPr>
              <w:t>2.建立健全环境风险事故防范措施和应急预案，严防环境安全事故发生。</w:t>
            </w:r>
          </w:p>
        </w:tc>
        <w:tc>
          <w:tcPr>
            <w:tcW w:w="1624"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1.推广集中供能和清洁能源利用。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2.全面开展节水型社会建设，促进再生水利用。</w:t>
            </w:r>
          </w:p>
          <w:p>
            <w:pPr>
              <w:snapToGrid w:val="0"/>
              <w:rPr>
                <w:rFonts w:ascii="Times New Roman" w:hAnsi="Times New Roman" w:cs="Times New Roman"/>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13</w:t>
            </w:r>
          </w:p>
        </w:tc>
        <w:tc>
          <w:tcPr>
            <w:tcW w:w="132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ZH37021530002</w:t>
            </w:r>
          </w:p>
        </w:tc>
        <w:tc>
          <w:tcPr>
            <w:tcW w:w="69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田横镇</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山东省</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青岛市</w:t>
            </w:r>
          </w:p>
        </w:tc>
        <w:tc>
          <w:tcPr>
            <w:tcW w:w="43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即墨区</w:t>
            </w:r>
          </w:p>
        </w:tc>
        <w:tc>
          <w:tcPr>
            <w:tcW w:w="70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一般管控单元</w:t>
            </w:r>
          </w:p>
        </w:tc>
        <w:tc>
          <w:tcPr>
            <w:tcW w:w="1135"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国家级公益林一般生态空间、水环境一般管控区、大气环境一般管控区、大气环境受体敏感区</w:t>
            </w:r>
          </w:p>
        </w:tc>
        <w:tc>
          <w:tcPr>
            <w:tcW w:w="1414"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1.积极发展旅游、商贸物流、城市综合体、房地产、现代服务、教育服务等第三产业和基础设施建设产业。</w:t>
            </w:r>
          </w:p>
          <w:p>
            <w:pPr>
              <w:snapToGrid w:val="0"/>
              <w:jc w:val="left"/>
              <w:rPr>
                <w:rFonts w:ascii="Times New Roman" w:hAnsi="Times New Roman" w:cs="Times New Roman"/>
                <w:sz w:val="16"/>
                <w:szCs w:val="16"/>
              </w:rPr>
            </w:pPr>
            <w:r>
              <w:rPr>
                <w:rFonts w:ascii="Times New Roman" w:hAnsi="Times New Roman" w:cs="Times New Roman"/>
                <w:sz w:val="16"/>
                <w:szCs w:val="16"/>
              </w:rPr>
              <w:t>2.产业布局应符合相关法律法规及国土空间规划、产业发展规划等相关规划以及规划环评要求。</w:t>
            </w:r>
          </w:p>
        </w:tc>
        <w:tc>
          <w:tcPr>
            <w:tcW w:w="2829"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1.完善市政配套设施建设，加强污水收集管网体系的管理和维护，完善排水管网建设与改造，推进雨污分流改造。</w:t>
            </w:r>
          </w:p>
          <w:p>
            <w:pPr>
              <w:snapToGrid w:val="0"/>
              <w:rPr>
                <w:rFonts w:ascii="Times New Roman" w:hAnsi="Times New Roman" w:cs="Times New Roman"/>
                <w:sz w:val="16"/>
                <w:szCs w:val="16"/>
              </w:rPr>
            </w:pPr>
            <w:r>
              <w:rPr>
                <w:rFonts w:ascii="Times New Roman" w:hAnsi="Times New Roman" w:cs="Times New Roman"/>
                <w:sz w:val="16"/>
                <w:szCs w:val="16"/>
              </w:rPr>
              <w:t>2.规模化畜禽养殖场、养殖小区应有序完成畜禽粪便处理利用设施和污水收集处理设施配套建设，防止造成面源污染。</w:t>
            </w:r>
          </w:p>
        </w:tc>
        <w:tc>
          <w:tcPr>
            <w:tcW w:w="2550"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建立健全环境风险事故防范措施和应急预案，严防环境安全事故发生。</w:t>
            </w:r>
          </w:p>
        </w:tc>
        <w:tc>
          <w:tcPr>
            <w:tcW w:w="1624"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1.推广集中供能和清洁能源利用。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2.全面开展节水型社会建设，促进再生水利用。</w:t>
            </w:r>
          </w:p>
          <w:p>
            <w:pPr>
              <w:snapToGrid w:val="0"/>
              <w:rPr>
                <w:rFonts w:ascii="Times New Roman" w:hAnsi="Times New Roman" w:cs="Times New Roman"/>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14</w:t>
            </w:r>
          </w:p>
        </w:tc>
        <w:tc>
          <w:tcPr>
            <w:tcW w:w="132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ZH37021530003</w:t>
            </w:r>
          </w:p>
        </w:tc>
        <w:tc>
          <w:tcPr>
            <w:tcW w:w="69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金口镇</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山东省</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青岛市</w:t>
            </w:r>
          </w:p>
        </w:tc>
        <w:tc>
          <w:tcPr>
            <w:tcW w:w="43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即墨区</w:t>
            </w:r>
          </w:p>
        </w:tc>
        <w:tc>
          <w:tcPr>
            <w:tcW w:w="70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一般管控单元</w:t>
            </w:r>
          </w:p>
        </w:tc>
        <w:tc>
          <w:tcPr>
            <w:tcW w:w="1135"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金口镇国家级公益林、王圈水库、一般生态空间、水环境一般管控区、大气环境一般管控区、院西水库、大气环境受体敏感区</w:t>
            </w:r>
          </w:p>
        </w:tc>
        <w:tc>
          <w:tcPr>
            <w:tcW w:w="1414"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1.引导工业企业入驻工业园区。新建有污染物排放的工业项目，除在安全生产等方面有特殊要求的以外，应当进入工业园区或者工业集聚区。</w:t>
            </w:r>
          </w:p>
          <w:p>
            <w:pPr>
              <w:snapToGrid w:val="0"/>
              <w:jc w:val="left"/>
              <w:rPr>
                <w:rFonts w:ascii="Times New Roman" w:hAnsi="Times New Roman" w:cs="Times New Roman"/>
                <w:sz w:val="16"/>
                <w:szCs w:val="16"/>
              </w:rPr>
            </w:pPr>
            <w:r>
              <w:rPr>
                <w:rFonts w:ascii="Times New Roman" w:hAnsi="Times New Roman" w:cs="Times New Roman"/>
                <w:sz w:val="16"/>
                <w:szCs w:val="16"/>
              </w:rPr>
              <w:t>2.饮用水源保护区严格按照《中华人民共和国水污染防治法》《山东省水污染防治条例》</w:t>
            </w:r>
            <w:r>
              <w:rPr>
                <w:rFonts w:hint="eastAsia" w:ascii="Times New Roman" w:hAnsi="Times New Roman" w:cs="Times New Roman"/>
                <w:sz w:val="16"/>
                <w:szCs w:val="16"/>
                <w:lang w:eastAsia="zh-CN"/>
              </w:rPr>
              <w:t>《青岛市饮用水水源保护条例》</w:t>
            </w:r>
            <w:r>
              <w:rPr>
                <w:rFonts w:ascii="Times New Roman" w:hAnsi="Times New Roman" w:cs="Times New Roman"/>
                <w:sz w:val="16"/>
                <w:szCs w:val="16"/>
              </w:rPr>
              <w:t>及相关法律法规实施保护管理。</w:t>
            </w:r>
          </w:p>
          <w:p>
            <w:pPr>
              <w:snapToGrid w:val="0"/>
              <w:jc w:val="left"/>
              <w:rPr>
                <w:rFonts w:ascii="Times New Roman" w:hAnsi="Times New Roman" w:cs="Times New Roman"/>
                <w:sz w:val="16"/>
                <w:szCs w:val="16"/>
              </w:rPr>
            </w:pPr>
            <w:r>
              <w:rPr>
                <w:rFonts w:ascii="Times New Roman" w:hAnsi="Times New Roman" w:cs="Times New Roman"/>
                <w:sz w:val="16"/>
                <w:szCs w:val="16"/>
              </w:rPr>
              <w:t>3.国家级公益林严格按照《中华人民共和国森林法》实施管控、《关于在国土空间规划中统筹划定落实三条控制线的指导意见》实施管控。根据《国家公益林管理办法》：国有一级国家级公益林，不得开展任何形式的生产经营活动。</w:t>
            </w:r>
          </w:p>
        </w:tc>
        <w:tc>
          <w:tcPr>
            <w:tcW w:w="2829"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1.涉及挥发性有机物排放的行业应严格遵守《挥发性有机物无组织排放控制标准》（GB37822-2019）和山东省地方标准《挥发性有机物排放标准》各部分相关标准。</w:t>
            </w:r>
          </w:p>
          <w:p>
            <w:pPr>
              <w:snapToGrid w:val="0"/>
              <w:rPr>
                <w:rFonts w:ascii="Times New Roman" w:hAnsi="Times New Roman" w:cs="Times New Roman"/>
                <w:sz w:val="16"/>
                <w:szCs w:val="16"/>
              </w:rPr>
            </w:pPr>
            <w:r>
              <w:rPr>
                <w:rFonts w:ascii="Times New Roman" w:hAnsi="Times New Roman" w:cs="Times New Roman"/>
                <w:sz w:val="16"/>
                <w:szCs w:val="16"/>
              </w:rPr>
              <w:t>2.机械加工行业下料、机械加工、抛丸、打磨、喷砂、清理滚筒、热处理、化学预处理等环节设置废气有效收集治理设施。焊接环节根据作业点位数配备焊接烟尘净化器，或设置专门操作间并设置集气系统对焊接烟尘进行有效收集治理。</w:t>
            </w:r>
          </w:p>
          <w:p>
            <w:pPr>
              <w:snapToGrid w:val="0"/>
              <w:rPr>
                <w:rFonts w:ascii="Times New Roman" w:hAnsi="Times New Roman" w:cs="Times New Roman"/>
                <w:sz w:val="16"/>
                <w:szCs w:val="16"/>
              </w:rPr>
            </w:pPr>
            <w:r>
              <w:rPr>
                <w:rFonts w:ascii="Times New Roman" w:hAnsi="Times New Roman" w:cs="Times New Roman"/>
                <w:sz w:val="16"/>
                <w:szCs w:val="16"/>
              </w:rPr>
              <w:t>3.表面喷涂行业鼓励推进源头替代，引导使用低VOCs含量的涂料替代溶剂型引导使用低VOCs含量的涂料替代溶剂型涂料，从源头减少VOCs产生。推进使用先进生产工艺，鼓励企业采用自动化、智能化喷涂设备替代人工喷涂，减少使用空气喷涂技术。提高废气收集率。遵循“应收尽收、分质收集”的原则，科学设计废气收集系统，将无组织排放转变为有组织排放进行控制。涂料、稀释剂、清洗剂等原辅材料应密闭存储，调配、使用、回收等过程应采用密闭设备或在密闭空间内操作，采用密闭管道或密闭容器等输送。推进建设适宜高效的治污设施，合理选择治理技术，提高VOCs治理效率。</w:t>
            </w:r>
          </w:p>
          <w:p>
            <w:pPr>
              <w:snapToGrid w:val="0"/>
              <w:rPr>
                <w:rFonts w:ascii="Times New Roman" w:hAnsi="Times New Roman" w:cs="Times New Roman"/>
                <w:sz w:val="16"/>
                <w:szCs w:val="16"/>
              </w:rPr>
            </w:pPr>
            <w:r>
              <w:rPr>
                <w:rFonts w:ascii="Times New Roman" w:hAnsi="Times New Roman" w:cs="Times New Roman"/>
                <w:sz w:val="16"/>
                <w:szCs w:val="16"/>
              </w:rPr>
              <w:t>4.电镀、热镀锌等表面处理行业污染物排放管控：应按照“清污分流、雨污分流、分类收集、分质处理”原则，设立完善的废水收集、处理和回用系统，确保一类污染物车间或车间（园区）处理设施排放口达标，提高水的循环利用率，减少重金属污染物排放量。对废气进行严格的收集、控制与处理，减少无组织排放。采取分区防渗等措施有效防范地下水和土壤污染。按照国家有关规定，对固体废物进行规范收集、贮存和无害化处置。</w:t>
            </w:r>
          </w:p>
          <w:p>
            <w:pPr>
              <w:snapToGrid w:val="0"/>
              <w:rPr>
                <w:rFonts w:ascii="Times New Roman" w:hAnsi="Times New Roman" w:cs="Times New Roman"/>
                <w:sz w:val="16"/>
                <w:szCs w:val="16"/>
              </w:rPr>
            </w:pPr>
            <w:r>
              <w:rPr>
                <w:rFonts w:ascii="Times New Roman" w:hAnsi="Times New Roman" w:cs="Times New Roman"/>
                <w:sz w:val="16"/>
                <w:szCs w:val="16"/>
              </w:rPr>
              <w:t>5.规模化畜禽养殖场、养殖小区应有序完成畜禽粪便处理利用设施和污水收集处理设施配套建设，防止造成面源污染。</w:t>
            </w:r>
          </w:p>
        </w:tc>
        <w:tc>
          <w:tcPr>
            <w:tcW w:w="2550"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1.工业企业产生的固体废物特别是危险废物应严格按照国家规定综合利用或妥善处置，严防二次污染。</w:t>
            </w:r>
          </w:p>
          <w:p>
            <w:pPr>
              <w:snapToGrid w:val="0"/>
              <w:rPr>
                <w:rFonts w:ascii="Times New Roman" w:hAnsi="Times New Roman" w:cs="Times New Roman"/>
                <w:sz w:val="16"/>
                <w:szCs w:val="16"/>
              </w:rPr>
            </w:pPr>
            <w:r>
              <w:rPr>
                <w:rFonts w:ascii="Times New Roman" w:hAnsi="Times New Roman" w:cs="Times New Roman"/>
                <w:sz w:val="16"/>
                <w:szCs w:val="16"/>
              </w:rPr>
              <w:t>2.建立健全环境风险事故防范措施和应急预案，严防环境安全事故发生。</w:t>
            </w:r>
          </w:p>
          <w:p>
            <w:pPr>
              <w:snapToGrid w:val="0"/>
              <w:rPr>
                <w:rFonts w:ascii="Times New Roman" w:hAnsi="Times New Roman" w:cs="Times New Roman"/>
                <w:sz w:val="16"/>
                <w:szCs w:val="16"/>
              </w:rPr>
            </w:pPr>
            <w:r>
              <w:rPr>
                <w:rFonts w:ascii="Times New Roman" w:hAnsi="Times New Roman" w:cs="Times New Roman"/>
                <w:sz w:val="16"/>
                <w:szCs w:val="16"/>
              </w:rPr>
              <w:t>3.涉及重金属的企业应加强环境风险防范。</w:t>
            </w:r>
          </w:p>
        </w:tc>
        <w:tc>
          <w:tcPr>
            <w:tcW w:w="1624"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1.合理利用现有污水处理厂尾水资源。</w:t>
            </w:r>
          </w:p>
          <w:p>
            <w:pPr>
              <w:snapToGrid w:val="0"/>
              <w:rPr>
                <w:rFonts w:ascii="Times New Roman" w:hAnsi="Times New Roman" w:cs="Times New Roman"/>
                <w:sz w:val="16"/>
                <w:szCs w:val="16"/>
              </w:rPr>
            </w:pPr>
            <w:r>
              <w:rPr>
                <w:rFonts w:ascii="Times New Roman" w:hAnsi="Times New Roman" w:cs="Times New Roman"/>
                <w:sz w:val="16"/>
                <w:szCs w:val="16"/>
              </w:rPr>
              <w:t>2.积极推进中水回用推广集中供能和清洁能源利用。</w:t>
            </w:r>
          </w:p>
          <w:p>
            <w:pPr>
              <w:snapToGrid w:val="0"/>
              <w:rPr>
                <w:rFonts w:ascii="Times New Roman" w:hAnsi="Times New Roman" w:cs="Times New Roman"/>
                <w:kern w:val="0"/>
                <w:sz w:val="16"/>
                <w:szCs w:val="16"/>
              </w:rPr>
            </w:pPr>
            <w:r>
              <w:rPr>
                <w:rFonts w:ascii="Times New Roman" w:hAnsi="Times New Roman" w:cs="Times New Roman"/>
                <w:sz w:val="16"/>
                <w:szCs w:val="16"/>
              </w:rPr>
              <w:t>3</w:t>
            </w:r>
            <w:r>
              <w:rPr>
                <w:rFonts w:ascii="Times New Roman" w:hAnsi="Times New Roman" w:cs="Times New Roman"/>
                <w:kern w:val="0"/>
                <w:sz w:val="16"/>
                <w:szCs w:val="16"/>
              </w:rPr>
              <w:t>.全面开展节水型社会建设，促进再生水利用。</w:t>
            </w:r>
          </w:p>
          <w:p>
            <w:pPr>
              <w:snapToGrid w:val="0"/>
              <w:rPr>
                <w:rFonts w:ascii="Times New Roman" w:hAnsi="Times New Roman" w:cs="Times New Roman"/>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15</w:t>
            </w:r>
          </w:p>
        </w:tc>
        <w:tc>
          <w:tcPr>
            <w:tcW w:w="132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ZH37021520009</w:t>
            </w:r>
          </w:p>
        </w:tc>
        <w:tc>
          <w:tcPr>
            <w:tcW w:w="69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蓝村街道</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山东省</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青岛市</w:t>
            </w:r>
          </w:p>
        </w:tc>
        <w:tc>
          <w:tcPr>
            <w:tcW w:w="43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即墨区</w:t>
            </w:r>
          </w:p>
        </w:tc>
        <w:tc>
          <w:tcPr>
            <w:tcW w:w="70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重点管控单元</w:t>
            </w:r>
          </w:p>
        </w:tc>
        <w:tc>
          <w:tcPr>
            <w:tcW w:w="1135"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国家级公益林、棘洪滩水库、挪城水库、挪城水库一般生态空间、引黄济青输水河、水环境工业源重点管控区、大气环境受体敏感区、大气环境一般管控区</w:t>
            </w:r>
          </w:p>
        </w:tc>
        <w:tc>
          <w:tcPr>
            <w:tcW w:w="1414"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1.引导工业企业入驻工业园区。新建有污染物排放的工业项目，除在安全生产等方面有特殊要求的以外，应当进入工业园区或者工业集聚区。</w:t>
            </w:r>
          </w:p>
          <w:p>
            <w:pPr>
              <w:snapToGrid w:val="0"/>
              <w:jc w:val="left"/>
              <w:rPr>
                <w:rFonts w:ascii="Times New Roman" w:hAnsi="Times New Roman" w:cs="Times New Roman"/>
                <w:sz w:val="16"/>
                <w:szCs w:val="16"/>
              </w:rPr>
            </w:pPr>
            <w:r>
              <w:rPr>
                <w:rFonts w:ascii="Times New Roman" w:hAnsi="Times New Roman" w:cs="Times New Roman"/>
                <w:sz w:val="16"/>
                <w:szCs w:val="16"/>
              </w:rPr>
              <w:t>2.鼓励循环经济发展，吸引国际知名企业落户园区。</w:t>
            </w:r>
          </w:p>
          <w:p>
            <w:pPr>
              <w:snapToGrid w:val="0"/>
              <w:jc w:val="left"/>
              <w:rPr>
                <w:rFonts w:ascii="Times New Roman" w:hAnsi="Times New Roman" w:cs="Times New Roman"/>
                <w:sz w:val="16"/>
                <w:szCs w:val="16"/>
              </w:rPr>
            </w:pPr>
            <w:r>
              <w:rPr>
                <w:rFonts w:ascii="Times New Roman" w:hAnsi="Times New Roman" w:cs="Times New Roman"/>
                <w:sz w:val="16"/>
                <w:szCs w:val="16"/>
              </w:rPr>
              <w:t>3.</w:t>
            </w:r>
            <w:r>
              <w:rPr>
                <w:rFonts w:ascii="Times New Roman" w:hAnsi="Times New Roman" w:eastAsia="宋体" w:cs="Times New Roman"/>
                <w:kern w:val="0"/>
                <w:sz w:val="16"/>
                <w:szCs w:val="16"/>
                <w:lang w:val="zh-CN"/>
              </w:rPr>
              <w:t>严格执行《青岛市畜禽养殖污染防治规划》相关要求，调整优化养殖业布局，鼓励转型升级，发展循环养殖。</w:t>
            </w:r>
          </w:p>
          <w:p>
            <w:pPr>
              <w:snapToGrid w:val="0"/>
              <w:jc w:val="left"/>
              <w:rPr>
                <w:rFonts w:ascii="Times New Roman" w:hAnsi="Times New Roman" w:cs="Times New Roman"/>
                <w:sz w:val="16"/>
                <w:szCs w:val="16"/>
              </w:rPr>
            </w:pPr>
            <w:r>
              <w:rPr>
                <w:rFonts w:ascii="Times New Roman" w:hAnsi="Times New Roman" w:cs="Times New Roman"/>
                <w:sz w:val="16"/>
                <w:szCs w:val="16"/>
              </w:rPr>
              <w:t>4.国家级公益林严格按照《中华人民共和国森林法》实施管控、《关于在国土空间规划中统筹划定落实三条控制线的指导意见》实施管控。根据《国家公益林管理办法》：国有一级国家级公益林，不得开展任何形式的生产经营活动。</w:t>
            </w:r>
          </w:p>
          <w:p>
            <w:pPr>
              <w:snapToGrid w:val="0"/>
              <w:jc w:val="left"/>
              <w:rPr>
                <w:rFonts w:ascii="Times New Roman" w:hAnsi="Times New Roman" w:cs="Times New Roman"/>
                <w:sz w:val="16"/>
                <w:szCs w:val="16"/>
              </w:rPr>
            </w:pPr>
            <w:r>
              <w:rPr>
                <w:rFonts w:ascii="Times New Roman" w:hAnsi="Times New Roman" w:cs="Times New Roman"/>
                <w:sz w:val="16"/>
                <w:szCs w:val="16"/>
              </w:rPr>
              <w:t>5.饮用水源保护区严格按照《中华人民共和国水污染防治法》《山东省水污染防治条例》</w:t>
            </w:r>
            <w:r>
              <w:rPr>
                <w:rFonts w:hint="eastAsia" w:ascii="Times New Roman" w:hAnsi="Times New Roman" w:cs="Times New Roman"/>
                <w:sz w:val="16"/>
                <w:szCs w:val="16"/>
                <w:lang w:eastAsia="zh-CN"/>
              </w:rPr>
              <w:t>《青岛市饮用水水源保护条例》</w:t>
            </w:r>
            <w:r>
              <w:rPr>
                <w:rFonts w:ascii="Times New Roman" w:hAnsi="Times New Roman" w:cs="Times New Roman"/>
                <w:sz w:val="16"/>
                <w:szCs w:val="16"/>
              </w:rPr>
              <w:t>及相关法律法规实施保护管理。</w:t>
            </w:r>
          </w:p>
        </w:tc>
        <w:tc>
          <w:tcPr>
            <w:tcW w:w="2829"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1.加强工业企业挥发性有机物排放管控，涉及挥发性有机物排放的行业应严格遵守《挥发性有机物无组织排放控制标准》（GB37822-2019）和山东省地方标准《挥发性有机物排放标准》各部分相关标准。</w:t>
            </w:r>
          </w:p>
          <w:p>
            <w:pPr>
              <w:snapToGrid w:val="0"/>
              <w:rPr>
                <w:rFonts w:ascii="Times New Roman" w:hAnsi="Times New Roman" w:cs="Times New Roman"/>
                <w:sz w:val="16"/>
                <w:szCs w:val="16"/>
              </w:rPr>
            </w:pPr>
            <w:r>
              <w:rPr>
                <w:rFonts w:ascii="Times New Roman" w:hAnsi="Times New Roman" w:cs="Times New Roman"/>
                <w:sz w:val="16"/>
                <w:szCs w:val="16"/>
              </w:rPr>
              <w:t>2.完善市政配套设施建设，加强污水收集管网体系的管理和维护，完善排水管网建设与改造，推进雨污分流改造，合理利用现有污水处理厂尾水资源，积极推进中水回用。</w:t>
            </w:r>
          </w:p>
          <w:p>
            <w:pPr>
              <w:snapToGrid w:val="0"/>
              <w:rPr>
                <w:rFonts w:ascii="Times New Roman" w:hAnsi="Times New Roman" w:cs="Times New Roman"/>
                <w:sz w:val="16"/>
                <w:szCs w:val="16"/>
              </w:rPr>
            </w:pPr>
            <w:r>
              <w:rPr>
                <w:rFonts w:ascii="Times New Roman" w:hAnsi="Times New Roman" w:cs="Times New Roman"/>
                <w:sz w:val="16"/>
                <w:szCs w:val="16"/>
              </w:rPr>
              <w:t>3.做好工业固体废物和生活垃圾的分类收集、转运、综合利用和无害化处理，推行清洁生产，减少固体废物产生量。提升固体废物的资源化综合利用率。</w:t>
            </w:r>
          </w:p>
          <w:p>
            <w:pPr>
              <w:snapToGrid w:val="0"/>
              <w:rPr>
                <w:rFonts w:ascii="Times New Roman" w:hAnsi="Times New Roman" w:cs="Times New Roman"/>
                <w:sz w:val="16"/>
                <w:szCs w:val="16"/>
              </w:rPr>
            </w:pPr>
            <w:r>
              <w:rPr>
                <w:rFonts w:ascii="Times New Roman" w:hAnsi="Times New Roman" w:cs="Times New Roman"/>
                <w:sz w:val="16"/>
                <w:szCs w:val="16"/>
              </w:rPr>
              <w:t>4.橡胶制品行业原料破碎、过筛、搅拌等工段产生的废气在除尘后需经恶臭污染物治理设施处理后外排。密炼、硫化工序产生的废气，宜在过滤除尘、化学洗涤预处理后，采用浓缩结合燃烧法等工艺进行处理。治污工艺宜采用喷淋降温+化学洗涤等预处理工艺，结合催化燃烧法、低温等离子、生物法等工艺进行处理。</w:t>
            </w:r>
          </w:p>
          <w:p>
            <w:pPr>
              <w:snapToGrid w:val="0"/>
              <w:rPr>
                <w:rFonts w:ascii="Times New Roman" w:hAnsi="Times New Roman" w:cs="Times New Roman"/>
                <w:sz w:val="16"/>
                <w:szCs w:val="16"/>
              </w:rPr>
            </w:pPr>
            <w:r>
              <w:rPr>
                <w:rFonts w:ascii="Times New Roman" w:hAnsi="Times New Roman" w:cs="Times New Roman"/>
                <w:sz w:val="16"/>
                <w:szCs w:val="16"/>
              </w:rPr>
              <w:t>5.家具制造行业推广使用低VOCs涂料和水性胶粘剂。推广使用粉末静电喷涂、辐射固化、辊涂、淋涂等高效工艺。产尘环节设置有效的废气收集治理设施。含VOCs原辅材料密闭储存，使用过程在密闭空间内操作并设置负压集气处理系统。推进建设适宜高效的治污设施，喷涂废气应设置高效漆雾处理装置。喷涂、晾（风）干、烘干废气应合理选择治理技术，提高VOCs治理效率。</w:t>
            </w:r>
          </w:p>
          <w:p>
            <w:pPr>
              <w:snapToGrid w:val="0"/>
              <w:rPr>
                <w:rFonts w:ascii="Times New Roman" w:hAnsi="Times New Roman" w:cs="Times New Roman"/>
                <w:sz w:val="16"/>
                <w:szCs w:val="16"/>
              </w:rPr>
            </w:pPr>
            <w:r>
              <w:rPr>
                <w:rFonts w:ascii="Times New Roman" w:hAnsi="Times New Roman" w:cs="Times New Roman"/>
                <w:sz w:val="16"/>
                <w:szCs w:val="16"/>
              </w:rPr>
              <w:t>6.生活垃圾焚烧发电企业应确保各项污染防治设施的正常运行，控制焚烧烟气、恶臭等不利环境影响，落实分区防控要求，防止污染地下水和土壤。</w:t>
            </w:r>
          </w:p>
        </w:tc>
        <w:tc>
          <w:tcPr>
            <w:tcW w:w="2550"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1.工业企业产生的固体废物特别是危险废物应严格按照国家规定综合利用或妥善处置，严防二次污染。</w:t>
            </w:r>
          </w:p>
          <w:p>
            <w:pPr>
              <w:snapToGrid w:val="0"/>
              <w:rPr>
                <w:rFonts w:ascii="Times New Roman" w:hAnsi="Times New Roman" w:cs="Times New Roman"/>
                <w:sz w:val="16"/>
                <w:szCs w:val="16"/>
              </w:rPr>
            </w:pPr>
            <w:r>
              <w:rPr>
                <w:rFonts w:ascii="Times New Roman" w:hAnsi="Times New Roman" w:cs="Times New Roman"/>
                <w:sz w:val="16"/>
                <w:szCs w:val="16"/>
              </w:rPr>
              <w:t>2.建立健全环境风险事故防范措施和应急预案，严防环境安全事故发生。</w:t>
            </w:r>
          </w:p>
          <w:p>
            <w:pPr>
              <w:snapToGrid w:val="0"/>
              <w:rPr>
                <w:rFonts w:ascii="Times New Roman" w:hAnsi="Times New Roman" w:cs="Times New Roman"/>
                <w:sz w:val="16"/>
                <w:szCs w:val="16"/>
              </w:rPr>
            </w:pPr>
            <w:r>
              <w:rPr>
                <w:rFonts w:ascii="Times New Roman" w:hAnsi="Times New Roman" w:cs="Times New Roman"/>
                <w:sz w:val="16"/>
                <w:szCs w:val="16"/>
              </w:rPr>
              <w:t>3.生活垃圾焚烧发电企业应协助当地政府做好相关规划控制工作，防护距离范围内不得新建学校、医院、居民区等环境敏感点。做好各项设施运行维护，消除风险隐患，预防事故排放。</w:t>
            </w:r>
          </w:p>
        </w:tc>
        <w:tc>
          <w:tcPr>
            <w:tcW w:w="1624"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1.推广集中供能和清洁能源利用。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2.全面开展节水型社会建设，促进再生水利用。</w:t>
            </w:r>
          </w:p>
          <w:p>
            <w:pPr>
              <w:snapToGrid w:val="0"/>
              <w:rPr>
                <w:rFonts w:ascii="Times New Roman" w:hAnsi="Times New Roman" w:cs="Times New Roman"/>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16</w:t>
            </w:r>
          </w:p>
        </w:tc>
        <w:tc>
          <w:tcPr>
            <w:tcW w:w="132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ZH37021530005</w:t>
            </w:r>
          </w:p>
        </w:tc>
        <w:tc>
          <w:tcPr>
            <w:tcW w:w="69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龙泉街道</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山东省</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青岛市</w:t>
            </w:r>
          </w:p>
        </w:tc>
        <w:tc>
          <w:tcPr>
            <w:tcW w:w="43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即墨区</w:t>
            </w:r>
          </w:p>
        </w:tc>
        <w:tc>
          <w:tcPr>
            <w:tcW w:w="70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一般管控单元</w:t>
            </w:r>
          </w:p>
        </w:tc>
        <w:tc>
          <w:tcPr>
            <w:tcW w:w="1135"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国家级公益林、一般生态空间、大气环境高污染排放区、王圈水库、大气环境受体敏感区</w:t>
            </w:r>
          </w:p>
        </w:tc>
        <w:tc>
          <w:tcPr>
            <w:tcW w:w="1414"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1.引导工业企业入驻工业园区。新建有污染物排放的工业项目，除在安全生产等方面有特殊要求的以外，应当进入工业园区或者工业集聚区。</w:t>
            </w:r>
          </w:p>
          <w:p>
            <w:pPr>
              <w:snapToGrid w:val="0"/>
              <w:jc w:val="left"/>
              <w:rPr>
                <w:rFonts w:ascii="Times New Roman" w:hAnsi="Times New Roman" w:cs="Times New Roman"/>
                <w:sz w:val="16"/>
                <w:szCs w:val="16"/>
              </w:rPr>
            </w:pPr>
            <w:r>
              <w:rPr>
                <w:rFonts w:ascii="Times New Roman" w:hAnsi="Times New Roman" w:cs="Times New Roman"/>
                <w:sz w:val="16"/>
                <w:szCs w:val="16"/>
              </w:rPr>
              <w:t>2.鼓励循环经济发展，吸引国际知名企业落户园区。</w:t>
            </w:r>
          </w:p>
          <w:p>
            <w:pPr>
              <w:snapToGrid w:val="0"/>
              <w:jc w:val="left"/>
              <w:rPr>
                <w:rFonts w:ascii="Times New Roman" w:hAnsi="Times New Roman" w:cs="Times New Roman"/>
                <w:sz w:val="16"/>
                <w:szCs w:val="16"/>
              </w:rPr>
            </w:pPr>
            <w:r>
              <w:rPr>
                <w:rFonts w:ascii="Times New Roman" w:hAnsi="Times New Roman" w:cs="Times New Roman"/>
                <w:sz w:val="16"/>
                <w:szCs w:val="16"/>
              </w:rPr>
              <w:t>3.</w:t>
            </w:r>
            <w:r>
              <w:rPr>
                <w:rFonts w:ascii="Times New Roman" w:hAnsi="Times New Roman" w:eastAsia="宋体" w:cs="Times New Roman"/>
                <w:kern w:val="0"/>
                <w:sz w:val="16"/>
                <w:szCs w:val="16"/>
                <w:lang w:val="zh-CN"/>
              </w:rPr>
              <w:t>严格执行《青岛市畜禽养殖污染防治规划》相关要求，调整优化养殖业布局，鼓励转型升级，发展循环养殖。</w:t>
            </w:r>
          </w:p>
          <w:p>
            <w:pPr>
              <w:snapToGrid w:val="0"/>
              <w:jc w:val="left"/>
              <w:rPr>
                <w:rFonts w:ascii="Times New Roman" w:hAnsi="Times New Roman" w:cs="Times New Roman"/>
                <w:sz w:val="16"/>
                <w:szCs w:val="16"/>
              </w:rPr>
            </w:pPr>
            <w:r>
              <w:rPr>
                <w:rFonts w:ascii="Times New Roman" w:hAnsi="Times New Roman" w:cs="Times New Roman"/>
                <w:sz w:val="16"/>
                <w:szCs w:val="16"/>
              </w:rPr>
              <w:t>4.</w:t>
            </w:r>
            <w:r>
              <w:rPr>
                <w:rFonts w:ascii="Times New Roman" w:hAnsi="Times New Roman" w:eastAsia="宋体" w:cs="Times New Roman"/>
                <w:kern w:val="0"/>
                <w:sz w:val="16"/>
                <w:szCs w:val="16"/>
                <w:lang w:val="zh-CN"/>
              </w:rPr>
              <w:t>饮用水水源保护区按照《中华人民共和国水污染防治法》《山东省水污染防治条例》</w:t>
            </w:r>
            <w:r>
              <w:rPr>
                <w:rFonts w:hint="eastAsia" w:ascii="Times New Roman" w:hAnsi="Times New Roman" w:eastAsia="宋体" w:cs="Times New Roman"/>
                <w:kern w:val="0"/>
                <w:sz w:val="16"/>
                <w:szCs w:val="16"/>
                <w:lang w:val="zh-CN"/>
              </w:rPr>
              <w:t>《青岛市饮用水水源保护条例》</w:t>
            </w:r>
            <w:r>
              <w:rPr>
                <w:rFonts w:ascii="Times New Roman" w:hAnsi="Times New Roman" w:eastAsia="宋体" w:cs="Times New Roman"/>
                <w:kern w:val="0"/>
                <w:sz w:val="16"/>
                <w:szCs w:val="16"/>
                <w:lang w:val="zh-CN"/>
              </w:rPr>
              <w:t>及相关法律法规实施保护管理。</w:t>
            </w:r>
          </w:p>
        </w:tc>
        <w:tc>
          <w:tcPr>
            <w:tcW w:w="2829"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1.对于涉重金属的企业，推行“一企一管”，产生一类污染物的要在车间排放口达标，应确保在线监测设备正常运行，对产生的危险废物严格按照相关法律法规进行处置。</w:t>
            </w:r>
          </w:p>
          <w:p>
            <w:pPr>
              <w:snapToGrid w:val="0"/>
              <w:rPr>
                <w:rFonts w:ascii="Times New Roman" w:hAnsi="Times New Roman" w:cs="Times New Roman"/>
                <w:sz w:val="16"/>
                <w:szCs w:val="16"/>
              </w:rPr>
            </w:pPr>
            <w:r>
              <w:rPr>
                <w:rFonts w:ascii="Times New Roman" w:hAnsi="Times New Roman" w:cs="Times New Roman"/>
                <w:sz w:val="16"/>
                <w:szCs w:val="16"/>
              </w:rPr>
              <w:t>2.汽车整车制造行业水性涂料等低挥发性有机物含量涂料占总涂料使用量比例不低于80%。推广使用“三涂一烘”“两涂一烘”或免中涂等紧凑型工艺、静电喷涂技术、自动化喷涂设备。涂装车间采用集中自动输调漆系统并密闭作业，喷漆室、流平室及烘干室采取封闭措施控制无组织排放。喷漆室配备高效漆雾净化装置，流平室、烘干室以及使用溶剂型涂料的喷漆室、调漆间等应配备高效有机废气净化装置。总装车间补漆室配套有机废气净化设施，整车检测下线工位设汽车尾气收集装置。喷漆工位配套有机废气净化装置，发动机试验车间（工位）配套尾气净化设施。燃油供应系统配备油气回收装置。各燃烧类处理设施采用天然气等清洁能源作为燃料。涂装车间含重金属废水（液）应单独收集处理，第一类污染物排放浓度在车间或车间处理设施排放口达标。</w:t>
            </w:r>
          </w:p>
          <w:p>
            <w:pPr>
              <w:snapToGrid w:val="0"/>
              <w:rPr>
                <w:rFonts w:ascii="Times New Roman" w:hAnsi="Times New Roman" w:cs="Times New Roman"/>
                <w:sz w:val="16"/>
                <w:szCs w:val="16"/>
              </w:rPr>
            </w:pPr>
            <w:r>
              <w:rPr>
                <w:rFonts w:ascii="Times New Roman" w:hAnsi="Times New Roman" w:cs="Times New Roman"/>
                <w:sz w:val="16"/>
                <w:szCs w:val="16"/>
              </w:rPr>
              <w:t>3.表面喷涂行业鼓励推进源头替代，引导使用低VOCs含量的涂料替代溶剂型引导使用低VOCs含量的涂料替代溶剂型涂料，从源头减少VOCs产生。推进使用先进生产工艺，鼓励企业采用自动化、智能化喷涂设备替代人工喷涂，减少使用空气喷涂技术。提高废气收集率。遵循“应收尽收、分质收集”的原则，科学设计废气收集系统，将无组织排放转变为有组织排放进行控制。涂料、稀释剂、清洗剂等原辅材料应密闭存储，调配、使用、回收等过程应采用密闭设备或在密闭空间内操作，采用密闭管道或密闭容器等输送。推进建设适宜高效的治污设施，合理选择治理技术，提高VOCs治理效率。</w:t>
            </w:r>
          </w:p>
          <w:p>
            <w:pPr>
              <w:snapToGrid w:val="0"/>
              <w:rPr>
                <w:rFonts w:ascii="Times New Roman" w:hAnsi="Times New Roman" w:cs="Times New Roman"/>
                <w:sz w:val="16"/>
                <w:szCs w:val="16"/>
              </w:rPr>
            </w:pPr>
            <w:r>
              <w:rPr>
                <w:rFonts w:ascii="Times New Roman" w:hAnsi="Times New Roman" w:cs="Times New Roman"/>
                <w:sz w:val="16"/>
                <w:szCs w:val="16"/>
              </w:rPr>
              <w:t>4.加强工业企业挥发性有机物排放管控，涉及挥发性有机物排放的行业应严格遵守《挥发性有机物无组织排放控制标准》（GB37822-2019）和山东省地方标准《挥发性有机物排放标准》各部分相关标准。</w:t>
            </w:r>
          </w:p>
          <w:p>
            <w:pPr>
              <w:snapToGrid w:val="0"/>
              <w:rPr>
                <w:rFonts w:ascii="Times New Roman" w:hAnsi="Times New Roman" w:cs="Times New Roman"/>
                <w:sz w:val="16"/>
                <w:szCs w:val="16"/>
              </w:rPr>
            </w:pPr>
            <w:r>
              <w:rPr>
                <w:rFonts w:ascii="Times New Roman" w:hAnsi="Times New Roman" w:cs="Times New Roman"/>
                <w:sz w:val="16"/>
                <w:szCs w:val="16"/>
              </w:rPr>
              <w:t>5.做好工业固体废物和生活垃圾的分类收集、转运、综合利用和无害化处理。推行清洁生产，减少固体废物产生量。提升固体废物的资源化综合利用率。</w:t>
            </w:r>
          </w:p>
        </w:tc>
        <w:tc>
          <w:tcPr>
            <w:tcW w:w="2550"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1.涉酸、涉重等土壤、地下水高污染风险企业的车间、危废间、污水处理站、储罐等重点管控区进行重点防渗。</w:t>
            </w:r>
          </w:p>
          <w:p>
            <w:pPr>
              <w:snapToGrid w:val="0"/>
              <w:rPr>
                <w:rFonts w:ascii="Times New Roman" w:hAnsi="Times New Roman" w:cs="Times New Roman"/>
                <w:sz w:val="16"/>
                <w:szCs w:val="16"/>
              </w:rPr>
            </w:pPr>
            <w:r>
              <w:rPr>
                <w:rFonts w:ascii="Times New Roman" w:hAnsi="Times New Roman" w:cs="Times New Roman"/>
                <w:sz w:val="16"/>
                <w:szCs w:val="16"/>
              </w:rPr>
              <w:t>2.禁止将重金属或者其他有毒有害物质含量超标的工业固体废物、生活垃圾或者污染土壤用于土地复垦。</w:t>
            </w:r>
          </w:p>
          <w:p>
            <w:pPr>
              <w:snapToGrid w:val="0"/>
              <w:rPr>
                <w:rFonts w:ascii="Times New Roman" w:hAnsi="Times New Roman" w:cs="Times New Roman"/>
                <w:sz w:val="16"/>
                <w:szCs w:val="16"/>
              </w:rPr>
            </w:pPr>
            <w:r>
              <w:rPr>
                <w:rFonts w:ascii="Times New Roman" w:hAnsi="Times New Roman" w:cs="Times New Roman"/>
                <w:sz w:val="16"/>
                <w:szCs w:val="16"/>
              </w:rPr>
              <w:t>3.建立健全环境风险事故防范措施和应急预案，严防环境安全事故发生。</w:t>
            </w:r>
          </w:p>
        </w:tc>
        <w:tc>
          <w:tcPr>
            <w:tcW w:w="1624" w:type="dxa"/>
            <w:vAlign w:val="center"/>
          </w:tcPr>
          <w:p>
            <w:pPr>
              <w:snapToGrid w:val="0"/>
              <w:rPr>
                <w:rFonts w:ascii="Times New Roman" w:hAnsi="Times New Roman" w:cs="Times New Roman"/>
                <w:sz w:val="16"/>
                <w:szCs w:val="16"/>
              </w:rPr>
            </w:pPr>
          </w:p>
          <w:p>
            <w:pPr>
              <w:snapToGrid w:val="0"/>
              <w:rPr>
                <w:rFonts w:ascii="Times New Roman" w:hAnsi="Times New Roman" w:cs="Times New Roman"/>
                <w:sz w:val="16"/>
                <w:szCs w:val="16"/>
              </w:rPr>
            </w:pPr>
            <w:r>
              <w:rPr>
                <w:rFonts w:ascii="Times New Roman" w:hAnsi="Times New Roman" w:cs="Times New Roman"/>
                <w:sz w:val="16"/>
                <w:szCs w:val="16"/>
              </w:rPr>
              <w:t>1.严格落实高污染燃料禁燃区相关管控要求。</w:t>
            </w:r>
          </w:p>
          <w:p>
            <w:pPr>
              <w:snapToGrid w:val="0"/>
              <w:rPr>
                <w:rFonts w:ascii="Times New Roman" w:hAnsi="Times New Roman" w:cs="Times New Roman"/>
                <w:sz w:val="16"/>
                <w:szCs w:val="16"/>
              </w:rPr>
            </w:pPr>
            <w:r>
              <w:rPr>
                <w:rFonts w:ascii="Times New Roman" w:hAnsi="Times New Roman" w:cs="Times New Roman"/>
                <w:sz w:val="16"/>
                <w:szCs w:val="16"/>
              </w:rPr>
              <w:t>2.推广集中供能和清洁能源利用。</w:t>
            </w:r>
          </w:p>
          <w:p>
            <w:pPr>
              <w:snapToGrid w:val="0"/>
              <w:rPr>
                <w:rFonts w:ascii="Times New Roman" w:hAnsi="Times New Roman" w:cs="Times New Roman"/>
                <w:sz w:val="16"/>
                <w:szCs w:val="16"/>
              </w:rPr>
            </w:pPr>
            <w:r>
              <w:rPr>
                <w:rFonts w:ascii="Times New Roman" w:hAnsi="Times New Roman" w:cs="Times New Roman"/>
                <w:sz w:val="16"/>
                <w:szCs w:val="16"/>
              </w:rPr>
              <w:t>3</w:t>
            </w:r>
            <w:r>
              <w:rPr>
                <w:rFonts w:ascii="Times New Roman" w:hAnsi="Times New Roman" w:cs="Times New Roman"/>
                <w:kern w:val="0"/>
                <w:sz w:val="16"/>
                <w:szCs w:val="16"/>
              </w:rPr>
              <w:t>.全面开展节水型社会建设，促进再生水利用。</w:t>
            </w:r>
          </w:p>
          <w:p>
            <w:pPr>
              <w:snapToGrid w:val="0"/>
              <w:rPr>
                <w:rFonts w:ascii="Times New Roman" w:hAnsi="Times New Roman" w:cs="Times New Roman"/>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17</w:t>
            </w:r>
          </w:p>
        </w:tc>
        <w:tc>
          <w:tcPr>
            <w:tcW w:w="132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ZH37021530006</w:t>
            </w:r>
          </w:p>
        </w:tc>
        <w:tc>
          <w:tcPr>
            <w:tcW w:w="69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温泉街道</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山东省</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青岛市</w:t>
            </w:r>
          </w:p>
        </w:tc>
        <w:tc>
          <w:tcPr>
            <w:tcW w:w="43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即墨区</w:t>
            </w:r>
          </w:p>
        </w:tc>
        <w:tc>
          <w:tcPr>
            <w:tcW w:w="70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一般管控单元</w:t>
            </w:r>
          </w:p>
        </w:tc>
        <w:tc>
          <w:tcPr>
            <w:tcW w:w="1135"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国家级公益林、王圈水库、一般生态空间、水环境一般管控区、大气环境一般管控区、大气环境受体敏感区</w:t>
            </w:r>
          </w:p>
        </w:tc>
        <w:tc>
          <w:tcPr>
            <w:tcW w:w="1414"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1.国家级公益林严格按照《中华人民共和国森林法》实施管控、《关于在国土空间规划中统筹划定落实三条控制线的指导意见》实施管控。根据《国家公益林管理办法》：国有一级国家级公益林，不得开展任何形式的生产经营活动。</w:t>
            </w:r>
          </w:p>
          <w:p>
            <w:pPr>
              <w:snapToGrid w:val="0"/>
              <w:jc w:val="left"/>
              <w:rPr>
                <w:rFonts w:ascii="Times New Roman" w:hAnsi="Times New Roman" w:cs="Times New Roman"/>
                <w:sz w:val="16"/>
                <w:szCs w:val="16"/>
              </w:rPr>
            </w:pPr>
            <w:r>
              <w:rPr>
                <w:rFonts w:ascii="Times New Roman" w:hAnsi="Times New Roman" w:cs="Times New Roman"/>
                <w:sz w:val="16"/>
                <w:szCs w:val="16"/>
              </w:rPr>
              <w:t>2.饮用水源保护区严格按照《中华人民共和国水污染防治法》《山东省水污染防治条例》</w:t>
            </w:r>
            <w:r>
              <w:rPr>
                <w:rFonts w:hint="eastAsia" w:ascii="Times New Roman" w:hAnsi="Times New Roman" w:cs="Times New Roman"/>
                <w:sz w:val="16"/>
                <w:szCs w:val="16"/>
                <w:lang w:eastAsia="zh-CN"/>
              </w:rPr>
              <w:t>《青岛市饮用水水源保护条例》</w:t>
            </w:r>
            <w:r>
              <w:rPr>
                <w:rFonts w:ascii="Times New Roman" w:hAnsi="Times New Roman" w:cs="Times New Roman"/>
                <w:sz w:val="16"/>
                <w:szCs w:val="16"/>
              </w:rPr>
              <w:t>及相关法律法规实施保护管理。</w:t>
            </w:r>
          </w:p>
          <w:p>
            <w:pPr>
              <w:snapToGrid w:val="0"/>
              <w:jc w:val="left"/>
              <w:rPr>
                <w:rFonts w:ascii="Times New Roman" w:hAnsi="Times New Roman" w:cs="Times New Roman"/>
                <w:sz w:val="16"/>
                <w:szCs w:val="16"/>
              </w:rPr>
            </w:pPr>
            <w:r>
              <w:rPr>
                <w:rFonts w:ascii="Times New Roman" w:hAnsi="Times New Roman" w:cs="Times New Roman"/>
                <w:sz w:val="16"/>
                <w:szCs w:val="16"/>
              </w:rPr>
              <w:t>3.积极发展旅游、商贸物流、城市综合体、房地产、现代服务、教育服务等第三产业和基础设施建设产业。</w:t>
            </w:r>
          </w:p>
        </w:tc>
        <w:tc>
          <w:tcPr>
            <w:tcW w:w="2829"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1.规模化畜禽养殖场、养殖小区应有序完成畜禽粪便处理利用设施和污水收集处理设施配套建设，防止造成面源污染。</w:t>
            </w:r>
          </w:p>
          <w:p>
            <w:pPr>
              <w:snapToGrid w:val="0"/>
              <w:rPr>
                <w:rFonts w:ascii="Times New Roman" w:hAnsi="Times New Roman" w:cs="Times New Roman"/>
                <w:sz w:val="16"/>
                <w:szCs w:val="16"/>
              </w:rPr>
            </w:pPr>
            <w:r>
              <w:rPr>
                <w:rFonts w:ascii="Times New Roman" w:hAnsi="Times New Roman" w:cs="Times New Roman"/>
                <w:sz w:val="16"/>
                <w:szCs w:val="16"/>
              </w:rPr>
              <w:t>2.完善市政配套设施建设，加强污水收集管网体系的管理和维护，完善排水管网建设与改造，推进雨污分流改造。</w:t>
            </w:r>
          </w:p>
        </w:tc>
        <w:tc>
          <w:tcPr>
            <w:tcW w:w="2550"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建立健全环境风险事故防范措施和应急预案，严防环境安全事故发生。</w:t>
            </w:r>
          </w:p>
        </w:tc>
        <w:tc>
          <w:tcPr>
            <w:tcW w:w="1624"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1.推广集中供能和清洁能源利用。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2.全面开展节水型社会建设，促进再生水利用。</w:t>
            </w:r>
          </w:p>
          <w:p>
            <w:pPr>
              <w:snapToGrid w:val="0"/>
              <w:rPr>
                <w:rFonts w:ascii="Times New Roman" w:hAnsi="Times New Roman" w:cs="Times New Roman"/>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18</w:t>
            </w:r>
          </w:p>
        </w:tc>
        <w:tc>
          <w:tcPr>
            <w:tcW w:w="132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ZH37021530007</w:t>
            </w:r>
          </w:p>
        </w:tc>
        <w:tc>
          <w:tcPr>
            <w:tcW w:w="69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潮海街道</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山东省</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青岛市</w:t>
            </w:r>
          </w:p>
        </w:tc>
        <w:tc>
          <w:tcPr>
            <w:tcW w:w="43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即墨区</w:t>
            </w:r>
          </w:p>
        </w:tc>
        <w:tc>
          <w:tcPr>
            <w:tcW w:w="70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一般管控单元</w:t>
            </w:r>
          </w:p>
        </w:tc>
        <w:tc>
          <w:tcPr>
            <w:tcW w:w="1135"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水环境工业源重点管控区、大气环境高污染排放区、大气环境受体敏感区</w:t>
            </w:r>
          </w:p>
        </w:tc>
        <w:tc>
          <w:tcPr>
            <w:tcW w:w="1414"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1.引导工业企业入驻工业园区。新建有污染物排放的工业项目，除在安全生产等方面有特殊要求的以外，应当进入工业园区或者工业集聚区。</w:t>
            </w:r>
          </w:p>
          <w:p>
            <w:pPr>
              <w:snapToGrid w:val="0"/>
              <w:jc w:val="left"/>
              <w:rPr>
                <w:rFonts w:ascii="Times New Roman" w:hAnsi="Times New Roman" w:cs="Times New Roman"/>
                <w:sz w:val="16"/>
                <w:szCs w:val="16"/>
              </w:rPr>
            </w:pPr>
            <w:r>
              <w:rPr>
                <w:rFonts w:ascii="Times New Roman" w:hAnsi="Times New Roman" w:cs="Times New Roman"/>
                <w:sz w:val="16"/>
                <w:szCs w:val="16"/>
              </w:rPr>
              <w:t>2.鼓励完善开发区产业链的项目及规划产业延伸的无污染、轻污染的项目入区。控制建设与开发区产业定位关联性不强及产业链关联不密切的项目。严禁建设能耗高、废气和废水污染严重的项目。</w:t>
            </w:r>
          </w:p>
        </w:tc>
        <w:tc>
          <w:tcPr>
            <w:tcW w:w="2829"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1.加强工业企业挥发性有机物排放管控，涉及挥发性有机物排放的行业应严格遵守《挥发性有机物无组织排放控制标准》（GB37822-2019）和山东省地方标准《挥发性有机物排放标准》各部分相关标准。</w:t>
            </w:r>
          </w:p>
          <w:p>
            <w:pPr>
              <w:snapToGrid w:val="0"/>
              <w:rPr>
                <w:rFonts w:ascii="Times New Roman" w:hAnsi="Times New Roman" w:cs="Times New Roman"/>
                <w:sz w:val="16"/>
                <w:szCs w:val="16"/>
              </w:rPr>
            </w:pPr>
            <w:r>
              <w:rPr>
                <w:rFonts w:ascii="Times New Roman" w:hAnsi="Times New Roman" w:cs="Times New Roman"/>
                <w:sz w:val="16"/>
                <w:szCs w:val="16"/>
              </w:rPr>
              <w:t>2.涂装行业鼓励推进源头替代，引导使用低VOCs含量的涂料替代溶剂型引导使用低VOCs含量的涂料替代溶剂型涂料，从源头减少VOCs产生。推进使用先进生产工艺，鼓励企业采用自动化、智能化喷涂设备替代人工喷涂，减少使用空气喷涂技术。提高废气收集率。遵循“应收尽收、分质收集”的原则，科学设计废气收集系统，将无组织排放转变为有组织排放进行控制。涂料、稀释剂、清洗剂等原辅材料应密闭存储，调配、使用、回收等过程应采用密闭设备或在密闭空间内操作，采用密闭管道或密闭容器等输送。推进建设适宜高效的治污设施，合理选择治理技术，提高VOCs治理效率。</w:t>
            </w:r>
          </w:p>
          <w:p>
            <w:pPr>
              <w:snapToGrid w:val="0"/>
              <w:rPr>
                <w:rFonts w:ascii="Times New Roman" w:hAnsi="Times New Roman" w:cs="Times New Roman"/>
                <w:sz w:val="16"/>
                <w:szCs w:val="16"/>
              </w:rPr>
            </w:pPr>
            <w:r>
              <w:rPr>
                <w:rFonts w:ascii="Times New Roman" w:hAnsi="Times New Roman" w:cs="Times New Roman"/>
                <w:sz w:val="16"/>
                <w:szCs w:val="16"/>
              </w:rPr>
              <w:t>3.机械加工行业下料、机械加工、抛丸、打磨、喷砂、清理滚筒、热处理、化学预处理等环节设置废气有效收集治理设施。焊接环节根据作业点位数配备焊接烟尘净化器，或设置专门操作间并设置集气系统对焊接烟尘进行有效收集治理。</w:t>
            </w:r>
          </w:p>
          <w:p>
            <w:pPr>
              <w:snapToGrid w:val="0"/>
              <w:rPr>
                <w:rFonts w:ascii="Times New Roman" w:hAnsi="Times New Roman" w:cs="Times New Roman"/>
                <w:sz w:val="16"/>
                <w:szCs w:val="16"/>
              </w:rPr>
            </w:pPr>
            <w:r>
              <w:rPr>
                <w:rFonts w:ascii="Times New Roman" w:hAnsi="Times New Roman" w:cs="Times New Roman"/>
                <w:sz w:val="16"/>
                <w:szCs w:val="16"/>
              </w:rPr>
              <w:t>4.针织服装行业应优先采用清洁生产技术，禁止选用列入《产业结构调整指导目录》限制类、淘汰类的落后生产工艺和设备，提高资源、能源利用率，按照《纺织工业环境保护设施设计标准》《纺织染整工业废水治理工程技术规范》等有关规定，减少污染物的产生和排放。</w:t>
            </w:r>
          </w:p>
        </w:tc>
        <w:tc>
          <w:tcPr>
            <w:tcW w:w="2550"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建立健全环境风险事故防范措施和应急预案，严防环境风险事故发生</w:t>
            </w:r>
          </w:p>
        </w:tc>
        <w:tc>
          <w:tcPr>
            <w:tcW w:w="1624"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1.推广集中供能和清洁能源利用。</w:t>
            </w:r>
          </w:p>
          <w:p>
            <w:pPr>
              <w:snapToGrid w:val="0"/>
              <w:rPr>
                <w:rFonts w:ascii="Times New Roman" w:hAnsi="Times New Roman" w:cs="Times New Roman"/>
                <w:sz w:val="16"/>
                <w:szCs w:val="16"/>
              </w:rPr>
            </w:pPr>
            <w:r>
              <w:rPr>
                <w:rFonts w:ascii="Times New Roman" w:hAnsi="Times New Roman" w:cs="Times New Roman"/>
                <w:sz w:val="16"/>
                <w:szCs w:val="16"/>
              </w:rPr>
              <w:t>2.合理利用现有污水处理厂尾水资源，积极推进中水回用。</w:t>
            </w:r>
          </w:p>
          <w:p>
            <w:pPr>
              <w:snapToGrid w:val="0"/>
              <w:rPr>
                <w:rFonts w:ascii="Times New Roman" w:hAnsi="Times New Roman" w:cs="Times New Roman"/>
                <w:kern w:val="0"/>
                <w:sz w:val="16"/>
                <w:szCs w:val="16"/>
              </w:rPr>
            </w:pPr>
            <w:r>
              <w:rPr>
                <w:rFonts w:ascii="Times New Roman" w:hAnsi="Times New Roman" w:cs="Times New Roman"/>
                <w:sz w:val="16"/>
                <w:szCs w:val="16"/>
              </w:rPr>
              <w:t>3</w:t>
            </w:r>
            <w:r>
              <w:rPr>
                <w:rFonts w:ascii="Times New Roman" w:hAnsi="Times New Roman" w:cs="Times New Roman"/>
                <w:kern w:val="0"/>
                <w:sz w:val="16"/>
                <w:szCs w:val="16"/>
              </w:rPr>
              <w:t>.全面开展节水型社会建设，促进再生水利用。</w:t>
            </w:r>
          </w:p>
          <w:p>
            <w:pPr>
              <w:snapToGrid w:val="0"/>
              <w:rPr>
                <w:rFonts w:ascii="Times New Roman" w:hAnsi="Times New Roman" w:cs="Times New Roman"/>
                <w:sz w:val="16"/>
                <w:szCs w:val="16"/>
              </w:rPr>
            </w:pPr>
          </w:p>
        </w:tc>
      </w:tr>
    </w:tbl>
    <w:p>
      <w:pPr>
        <w:pStyle w:val="17"/>
        <w:jc w:val="left"/>
        <w:rPr>
          <w:rFonts w:ascii="Times New Roman" w:hAnsi="Times New Roman" w:eastAsiaTheme="minorEastAsia"/>
          <w:sz w:val="16"/>
          <w:szCs w:val="16"/>
        </w:rPr>
      </w:pPr>
    </w:p>
    <w:p>
      <w:pPr>
        <w:rPr>
          <w:rFonts w:ascii="Times New Roman" w:hAnsi="Times New Roman" w:cs="Times New Roman"/>
          <w:lang w:val="zh-CN"/>
        </w:rPr>
      </w:pPr>
      <w:bookmarkStart w:id="49" w:name="_Toc67649340"/>
      <w:bookmarkStart w:id="50" w:name="_Toc27165"/>
      <w:r>
        <w:rPr>
          <w:rFonts w:ascii="Times New Roman" w:hAnsi="Times New Roman" w:cs="Times New Roman"/>
          <w:lang w:val="zh-CN"/>
        </w:rPr>
        <w:br w:type="page"/>
      </w:r>
    </w:p>
    <w:p>
      <w:pPr>
        <w:widowControl/>
        <w:adjustRightInd w:val="0"/>
        <w:snapToGrid w:val="0"/>
        <w:spacing w:line="360" w:lineRule="auto"/>
        <w:jc w:val="center"/>
        <w:outlineLvl w:val="1"/>
        <w:rPr>
          <w:rFonts w:ascii="Times New Roman" w:hAnsi="Times New Roman" w:eastAsia="黑体" w:cs="Times New Roman"/>
          <w:b/>
          <w:kern w:val="44"/>
          <w:sz w:val="28"/>
          <w:szCs w:val="28"/>
        </w:rPr>
      </w:pPr>
      <w:bookmarkStart w:id="51" w:name="_Toc137761112"/>
      <w:r>
        <w:rPr>
          <w:rFonts w:ascii="Times New Roman" w:hAnsi="Times New Roman" w:eastAsia="黑体" w:cs="Times New Roman"/>
          <w:b/>
          <w:kern w:val="44"/>
          <w:sz w:val="28"/>
          <w:szCs w:val="28"/>
        </w:rPr>
        <w:t>(八)胶州市环境管控单元生态环境准入清单</w:t>
      </w:r>
      <w:bookmarkEnd w:id="49"/>
      <w:bookmarkEnd w:id="50"/>
      <w:bookmarkEnd w:id="51"/>
    </w:p>
    <w:tbl>
      <w:tblPr>
        <w:tblStyle w:val="13"/>
        <w:tblW w:w="13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
        <w:gridCol w:w="1323"/>
        <w:gridCol w:w="703"/>
        <w:gridCol w:w="435"/>
        <w:gridCol w:w="435"/>
        <w:gridCol w:w="438"/>
        <w:gridCol w:w="703"/>
        <w:gridCol w:w="825"/>
        <w:gridCol w:w="1664"/>
        <w:gridCol w:w="4006"/>
        <w:gridCol w:w="1843"/>
        <w:gridCol w:w="11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78" w:type="dxa"/>
            <w:vMerge w:val="restart"/>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序号</w:t>
            </w:r>
          </w:p>
        </w:tc>
        <w:tc>
          <w:tcPr>
            <w:tcW w:w="1323" w:type="dxa"/>
            <w:vMerge w:val="restart"/>
            <w:vAlign w:val="center"/>
          </w:tcPr>
          <w:p>
            <w:pPr>
              <w:widowControl/>
              <w:adjustRightInd w:val="0"/>
              <w:snapToGrid w:val="0"/>
              <w:jc w:val="center"/>
              <w:rPr>
                <w:rFonts w:ascii="Times New Roman" w:hAnsi="Times New Roman" w:cs="Times New Roman"/>
                <w:b/>
                <w:kern w:val="0"/>
                <w:sz w:val="16"/>
                <w:szCs w:val="16"/>
              </w:rPr>
            </w:pPr>
            <w:r>
              <w:rPr>
                <w:rFonts w:ascii="Times New Roman" w:hAnsi="Times New Roman" w:cs="Times New Roman"/>
                <w:b/>
                <w:kern w:val="0"/>
                <w:sz w:val="16"/>
                <w:szCs w:val="16"/>
              </w:rPr>
              <w:t>环境管控单元编码</w:t>
            </w:r>
          </w:p>
        </w:tc>
        <w:tc>
          <w:tcPr>
            <w:tcW w:w="703" w:type="dxa"/>
            <w:vMerge w:val="restart"/>
            <w:vAlign w:val="center"/>
          </w:tcPr>
          <w:p>
            <w:pPr>
              <w:snapToGrid w:val="0"/>
              <w:ind w:left="-160" w:leftChars="-50" w:right="-166" w:rightChars="-52"/>
              <w:jc w:val="center"/>
              <w:rPr>
                <w:rFonts w:ascii="Times New Roman" w:hAnsi="Times New Roman" w:cs="Times New Roman"/>
                <w:b/>
                <w:kern w:val="0"/>
                <w:sz w:val="16"/>
                <w:szCs w:val="16"/>
              </w:rPr>
            </w:pPr>
            <w:r>
              <w:rPr>
                <w:rFonts w:ascii="Times New Roman" w:hAnsi="Times New Roman" w:cs="Times New Roman"/>
                <w:b/>
                <w:sz w:val="16"/>
                <w:szCs w:val="16"/>
              </w:rPr>
              <w:t>环境管控单元名称</w:t>
            </w:r>
          </w:p>
        </w:tc>
        <w:tc>
          <w:tcPr>
            <w:tcW w:w="1308" w:type="dxa"/>
            <w:gridSpan w:val="3"/>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行政区划</w:t>
            </w:r>
          </w:p>
        </w:tc>
        <w:tc>
          <w:tcPr>
            <w:tcW w:w="703" w:type="dxa"/>
            <w:vMerge w:val="restart"/>
            <w:vAlign w:val="center"/>
          </w:tcPr>
          <w:p>
            <w:pPr>
              <w:widowControl/>
              <w:adjustRightInd w:val="0"/>
              <w:snapToGrid w:val="0"/>
              <w:jc w:val="center"/>
              <w:rPr>
                <w:rFonts w:ascii="Times New Roman" w:hAnsi="Times New Roman" w:cs="Times New Roman"/>
                <w:b/>
                <w:kern w:val="0"/>
                <w:sz w:val="16"/>
                <w:szCs w:val="16"/>
              </w:rPr>
            </w:pPr>
            <w:r>
              <w:rPr>
                <w:rFonts w:ascii="Times New Roman" w:hAnsi="Times New Roman" w:cs="Times New Roman"/>
                <w:b/>
                <w:kern w:val="0"/>
                <w:sz w:val="16"/>
                <w:szCs w:val="16"/>
              </w:rPr>
              <w:t>管控单元分类</w:t>
            </w:r>
          </w:p>
        </w:tc>
        <w:tc>
          <w:tcPr>
            <w:tcW w:w="825" w:type="dxa"/>
            <w:vMerge w:val="restart"/>
            <w:vAlign w:val="center"/>
          </w:tcPr>
          <w:p>
            <w:pPr>
              <w:adjustRightInd w:val="0"/>
              <w:snapToGrid w:val="0"/>
              <w:jc w:val="center"/>
              <w:rPr>
                <w:rFonts w:ascii="Times New Roman" w:hAnsi="Times New Roman" w:cs="Times New Roman"/>
                <w:b/>
                <w:kern w:val="0"/>
                <w:sz w:val="16"/>
                <w:szCs w:val="16"/>
              </w:rPr>
            </w:pPr>
            <w:r>
              <w:rPr>
                <w:rFonts w:ascii="Times New Roman" w:hAnsi="Times New Roman" w:cs="Times New Roman"/>
                <w:b/>
                <w:kern w:val="0"/>
                <w:sz w:val="16"/>
                <w:szCs w:val="16"/>
              </w:rPr>
              <w:t>涉及的主要管控细类</w:t>
            </w:r>
          </w:p>
        </w:tc>
        <w:tc>
          <w:tcPr>
            <w:tcW w:w="1664" w:type="dxa"/>
            <w:vMerge w:val="restart"/>
            <w:vAlign w:val="center"/>
          </w:tcPr>
          <w:p>
            <w:pPr>
              <w:adjustRightInd w:val="0"/>
              <w:snapToGrid w:val="0"/>
              <w:jc w:val="center"/>
              <w:rPr>
                <w:rFonts w:ascii="Times New Roman" w:hAnsi="Times New Roman" w:cs="Times New Roman"/>
                <w:b/>
                <w:kern w:val="0"/>
                <w:sz w:val="16"/>
                <w:szCs w:val="16"/>
              </w:rPr>
            </w:pPr>
            <w:r>
              <w:rPr>
                <w:rFonts w:ascii="Times New Roman" w:hAnsi="Times New Roman" w:cs="Times New Roman"/>
                <w:b/>
                <w:kern w:val="0"/>
                <w:sz w:val="16"/>
                <w:szCs w:val="16"/>
              </w:rPr>
              <w:t>空间布局约束</w:t>
            </w:r>
          </w:p>
        </w:tc>
        <w:tc>
          <w:tcPr>
            <w:tcW w:w="4006" w:type="dxa"/>
            <w:vMerge w:val="restart"/>
            <w:vAlign w:val="center"/>
          </w:tcPr>
          <w:p>
            <w:pPr>
              <w:adjustRightInd w:val="0"/>
              <w:snapToGrid w:val="0"/>
              <w:jc w:val="center"/>
              <w:rPr>
                <w:rFonts w:ascii="Times New Roman" w:hAnsi="Times New Roman" w:cs="Times New Roman"/>
                <w:b/>
                <w:kern w:val="0"/>
                <w:sz w:val="16"/>
                <w:szCs w:val="16"/>
              </w:rPr>
            </w:pPr>
            <w:r>
              <w:rPr>
                <w:rFonts w:ascii="Times New Roman" w:hAnsi="Times New Roman" w:cs="Times New Roman"/>
                <w:b/>
                <w:kern w:val="0"/>
                <w:sz w:val="16"/>
                <w:szCs w:val="16"/>
              </w:rPr>
              <w:t>污染物排放管控</w:t>
            </w:r>
          </w:p>
        </w:tc>
        <w:tc>
          <w:tcPr>
            <w:tcW w:w="1843" w:type="dxa"/>
            <w:vMerge w:val="restart"/>
            <w:vAlign w:val="center"/>
          </w:tcPr>
          <w:p>
            <w:pPr>
              <w:adjustRightInd w:val="0"/>
              <w:snapToGrid w:val="0"/>
              <w:jc w:val="center"/>
              <w:rPr>
                <w:rFonts w:ascii="Times New Roman" w:hAnsi="Times New Roman" w:cs="Times New Roman"/>
                <w:b/>
                <w:kern w:val="0"/>
                <w:sz w:val="16"/>
                <w:szCs w:val="16"/>
              </w:rPr>
            </w:pPr>
            <w:r>
              <w:rPr>
                <w:rFonts w:ascii="Times New Roman" w:hAnsi="Times New Roman" w:cs="Times New Roman"/>
                <w:b/>
                <w:kern w:val="0"/>
                <w:sz w:val="16"/>
                <w:szCs w:val="16"/>
              </w:rPr>
              <w:t>环境风险防控</w:t>
            </w:r>
          </w:p>
        </w:tc>
        <w:tc>
          <w:tcPr>
            <w:tcW w:w="1195" w:type="dxa"/>
            <w:vMerge w:val="restart"/>
            <w:vAlign w:val="center"/>
          </w:tcPr>
          <w:p>
            <w:pPr>
              <w:adjustRightInd w:val="0"/>
              <w:snapToGrid w:val="0"/>
              <w:jc w:val="center"/>
              <w:rPr>
                <w:rFonts w:ascii="Times New Roman" w:hAnsi="Times New Roman" w:cs="Times New Roman"/>
                <w:b/>
                <w:kern w:val="0"/>
                <w:sz w:val="16"/>
                <w:szCs w:val="16"/>
              </w:rPr>
            </w:pPr>
            <w:r>
              <w:rPr>
                <w:rFonts w:ascii="Times New Roman" w:hAnsi="Times New Roman" w:cs="Times New Roman"/>
                <w:b/>
                <w:kern w:val="0"/>
                <w:sz w:val="16"/>
                <w:szCs w:val="16"/>
              </w:rPr>
              <w:t>资源开发效率要求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78" w:type="dxa"/>
            <w:vMerge w:val="continue"/>
            <w:vAlign w:val="center"/>
          </w:tcPr>
          <w:p>
            <w:pPr>
              <w:widowControl/>
              <w:adjustRightInd w:val="0"/>
              <w:snapToGrid w:val="0"/>
              <w:jc w:val="center"/>
              <w:rPr>
                <w:rFonts w:ascii="Times New Roman" w:hAnsi="Times New Roman" w:cs="Times New Roman"/>
                <w:b/>
                <w:kern w:val="44"/>
                <w:sz w:val="16"/>
                <w:szCs w:val="16"/>
              </w:rPr>
            </w:pPr>
          </w:p>
        </w:tc>
        <w:tc>
          <w:tcPr>
            <w:tcW w:w="1323" w:type="dxa"/>
            <w:vMerge w:val="continue"/>
            <w:vAlign w:val="center"/>
          </w:tcPr>
          <w:p>
            <w:pPr>
              <w:widowControl/>
              <w:adjustRightInd w:val="0"/>
              <w:snapToGrid w:val="0"/>
              <w:jc w:val="center"/>
              <w:rPr>
                <w:rFonts w:ascii="Times New Roman" w:hAnsi="Times New Roman" w:cs="Times New Roman"/>
                <w:b/>
                <w:kern w:val="0"/>
                <w:sz w:val="16"/>
                <w:szCs w:val="16"/>
              </w:rPr>
            </w:pPr>
          </w:p>
        </w:tc>
        <w:tc>
          <w:tcPr>
            <w:tcW w:w="703" w:type="dxa"/>
            <w:vMerge w:val="continue"/>
            <w:vAlign w:val="center"/>
          </w:tcPr>
          <w:p>
            <w:pPr>
              <w:adjustRightInd w:val="0"/>
              <w:snapToGrid w:val="0"/>
              <w:jc w:val="center"/>
              <w:rPr>
                <w:rFonts w:ascii="Times New Roman" w:hAnsi="Times New Roman" w:cs="Times New Roman"/>
                <w:b/>
                <w:kern w:val="0"/>
                <w:sz w:val="16"/>
                <w:szCs w:val="16"/>
              </w:rPr>
            </w:pPr>
          </w:p>
        </w:tc>
        <w:tc>
          <w:tcPr>
            <w:tcW w:w="435" w:type="dxa"/>
            <w:vAlign w:val="center"/>
          </w:tcPr>
          <w:p>
            <w:pPr>
              <w:widowControl/>
              <w:adjustRightInd w:val="0"/>
              <w:snapToGrid w:val="0"/>
              <w:jc w:val="center"/>
              <w:rPr>
                <w:rFonts w:ascii="Times New Roman" w:hAnsi="Times New Roman" w:cs="Times New Roman"/>
                <w:b/>
                <w:kern w:val="0"/>
                <w:sz w:val="16"/>
                <w:szCs w:val="16"/>
              </w:rPr>
            </w:pPr>
            <w:r>
              <w:rPr>
                <w:rFonts w:ascii="Times New Roman" w:hAnsi="Times New Roman" w:cs="Times New Roman"/>
                <w:b/>
                <w:kern w:val="0"/>
                <w:sz w:val="16"/>
                <w:szCs w:val="16"/>
              </w:rPr>
              <w:t>省</w:t>
            </w:r>
          </w:p>
        </w:tc>
        <w:tc>
          <w:tcPr>
            <w:tcW w:w="435" w:type="dxa"/>
            <w:vAlign w:val="center"/>
          </w:tcPr>
          <w:p>
            <w:pPr>
              <w:adjustRightInd w:val="0"/>
              <w:snapToGrid w:val="0"/>
              <w:jc w:val="center"/>
              <w:rPr>
                <w:rFonts w:ascii="Times New Roman" w:hAnsi="Times New Roman" w:cs="Times New Roman"/>
                <w:b/>
                <w:kern w:val="0"/>
                <w:sz w:val="16"/>
                <w:szCs w:val="16"/>
              </w:rPr>
            </w:pPr>
            <w:r>
              <w:rPr>
                <w:rFonts w:ascii="Times New Roman" w:hAnsi="Times New Roman" w:cs="Times New Roman"/>
                <w:b/>
                <w:kern w:val="0"/>
                <w:sz w:val="16"/>
                <w:szCs w:val="16"/>
              </w:rPr>
              <w:t>市</w:t>
            </w:r>
          </w:p>
        </w:tc>
        <w:tc>
          <w:tcPr>
            <w:tcW w:w="438" w:type="dxa"/>
            <w:vAlign w:val="center"/>
          </w:tcPr>
          <w:p>
            <w:pPr>
              <w:adjustRightInd w:val="0"/>
              <w:snapToGrid w:val="0"/>
              <w:jc w:val="center"/>
              <w:rPr>
                <w:rFonts w:ascii="Times New Roman" w:hAnsi="Times New Roman" w:cs="Times New Roman"/>
                <w:b/>
                <w:kern w:val="0"/>
                <w:sz w:val="16"/>
                <w:szCs w:val="16"/>
              </w:rPr>
            </w:pPr>
            <w:r>
              <w:rPr>
                <w:rFonts w:ascii="Times New Roman" w:hAnsi="Times New Roman" w:cs="Times New Roman"/>
                <w:b/>
                <w:kern w:val="0"/>
                <w:sz w:val="16"/>
                <w:szCs w:val="16"/>
              </w:rPr>
              <w:t>县</w:t>
            </w:r>
          </w:p>
        </w:tc>
        <w:tc>
          <w:tcPr>
            <w:tcW w:w="703" w:type="dxa"/>
            <w:vMerge w:val="continue"/>
            <w:vAlign w:val="center"/>
          </w:tcPr>
          <w:p>
            <w:pPr>
              <w:widowControl/>
              <w:adjustRightInd w:val="0"/>
              <w:snapToGrid w:val="0"/>
              <w:jc w:val="center"/>
              <w:rPr>
                <w:rFonts w:ascii="Times New Roman" w:hAnsi="Times New Roman" w:cs="Times New Roman"/>
                <w:b/>
                <w:kern w:val="44"/>
                <w:sz w:val="16"/>
                <w:szCs w:val="16"/>
              </w:rPr>
            </w:pPr>
          </w:p>
        </w:tc>
        <w:tc>
          <w:tcPr>
            <w:tcW w:w="825" w:type="dxa"/>
            <w:vMerge w:val="continue"/>
            <w:vAlign w:val="center"/>
          </w:tcPr>
          <w:p>
            <w:pPr>
              <w:widowControl/>
              <w:adjustRightInd w:val="0"/>
              <w:snapToGrid w:val="0"/>
              <w:jc w:val="center"/>
              <w:rPr>
                <w:rFonts w:ascii="Times New Roman" w:hAnsi="Times New Roman" w:cs="Times New Roman"/>
                <w:b/>
                <w:kern w:val="44"/>
                <w:sz w:val="16"/>
                <w:szCs w:val="16"/>
              </w:rPr>
            </w:pPr>
          </w:p>
        </w:tc>
        <w:tc>
          <w:tcPr>
            <w:tcW w:w="1664" w:type="dxa"/>
            <w:vMerge w:val="continue"/>
            <w:vAlign w:val="center"/>
          </w:tcPr>
          <w:p>
            <w:pPr>
              <w:widowControl/>
              <w:adjustRightInd w:val="0"/>
              <w:snapToGrid w:val="0"/>
              <w:jc w:val="center"/>
              <w:rPr>
                <w:rFonts w:ascii="Times New Roman" w:hAnsi="Times New Roman" w:cs="Times New Roman"/>
                <w:b/>
                <w:kern w:val="44"/>
                <w:sz w:val="16"/>
                <w:szCs w:val="16"/>
              </w:rPr>
            </w:pPr>
          </w:p>
        </w:tc>
        <w:tc>
          <w:tcPr>
            <w:tcW w:w="4006" w:type="dxa"/>
            <w:vMerge w:val="continue"/>
            <w:vAlign w:val="center"/>
          </w:tcPr>
          <w:p>
            <w:pPr>
              <w:widowControl/>
              <w:adjustRightInd w:val="0"/>
              <w:snapToGrid w:val="0"/>
              <w:jc w:val="center"/>
              <w:rPr>
                <w:rFonts w:ascii="Times New Roman" w:hAnsi="Times New Roman" w:cs="Times New Roman"/>
                <w:b/>
                <w:kern w:val="44"/>
                <w:sz w:val="16"/>
                <w:szCs w:val="16"/>
              </w:rPr>
            </w:pPr>
          </w:p>
        </w:tc>
        <w:tc>
          <w:tcPr>
            <w:tcW w:w="1843" w:type="dxa"/>
            <w:vMerge w:val="continue"/>
            <w:vAlign w:val="center"/>
          </w:tcPr>
          <w:p>
            <w:pPr>
              <w:widowControl/>
              <w:adjustRightInd w:val="0"/>
              <w:snapToGrid w:val="0"/>
              <w:jc w:val="center"/>
              <w:rPr>
                <w:rFonts w:ascii="Times New Roman" w:hAnsi="Times New Roman" w:cs="Times New Roman"/>
                <w:b/>
                <w:kern w:val="44"/>
                <w:sz w:val="16"/>
                <w:szCs w:val="16"/>
              </w:rPr>
            </w:pPr>
          </w:p>
        </w:tc>
        <w:tc>
          <w:tcPr>
            <w:tcW w:w="1195" w:type="dxa"/>
            <w:vMerge w:val="continue"/>
            <w:vAlign w:val="center"/>
          </w:tcPr>
          <w:p>
            <w:pPr>
              <w:widowControl/>
              <w:adjustRightInd w:val="0"/>
              <w:snapToGrid w:val="0"/>
              <w:jc w:val="center"/>
              <w:rPr>
                <w:rFonts w:ascii="Times New Roman" w:hAnsi="Times New Roman" w:cs="Times New Roman"/>
                <w:b/>
                <w:kern w:val="44"/>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w:t>
            </w:r>
          </w:p>
        </w:tc>
        <w:tc>
          <w:tcPr>
            <w:tcW w:w="1323" w:type="dxa"/>
            <w:vAlign w:val="center"/>
          </w:tcPr>
          <w:p>
            <w:pPr>
              <w:widowControl/>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ZH37028110001</w:t>
            </w:r>
          </w:p>
        </w:tc>
        <w:tc>
          <w:tcPr>
            <w:tcW w:w="70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洋河镇</w:t>
            </w:r>
          </w:p>
        </w:tc>
        <w:tc>
          <w:tcPr>
            <w:tcW w:w="435"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5"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8"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胶州市</w:t>
            </w:r>
          </w:p>
        </w:tc>
        <w:tc>
          <w:tcPr>
            <w:tcW w:w="70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优先保护单元</w:t>
            </w:r>
          </w:p>
        </w:tc>
        <w:tc>
          <w:tcPr>
            <w:tcW w:w="825" w:type="dxa"/>
            <w:vAlign w:val="center"/>
          </w:tcPr>
          <w:p>
            <w:pPr>
              <w:snapToGrid w:val="0"/>
              <w:jc w:val="left"/>
              <w:rPr>
                <w:rFonts w:ascii="Times New Roman" w:hAnsi="Times New Roman" w:cs="Times New Roman"/>
                <w:kern w:val="0"/>
                <w:sz w:val="16"/>
                <w:szCs w:val="16"/>
              </w:rPr>
            </w:pPr>
            <w:r>
              <w:rPr>
                <w:rFonts w:hint="eastAsia" w:ascii="Times New Roman" w:hAnsi="Times New Roman" w:cs="Times New Roman"/>
                <w:kern w:val="0"/>
                <w:sz w:val="16"/>
                <w:szCs w:val="16"/>
                <w:lang w:val="en-US" w:eastAsia="zh-CN"/>
              </w:rPr>
              <w:t>艾山自然保护区、</w:t>
            </w:r>
            <w:r>
              <w:rPr>
                <w:rFonts w:ascii="Times New Roman" w:hAnsi="Times New Roman" w:cs="Times New Roman"/>
                <w:kern w:val="0"/>
                <w:sz w:val="16"/>
                <w:szCs w:val="16"/>
              </w:rPr>
              <w:t>艾山风景名胜区、山洲水库、国家级公益林一般生态空间、洋河、</w:t>
            </w:r>
            <w:r>
              <w:rPr>
                <w:rFonts w:hint="eastAsia" w:ascii="Times New Roman" w:hAnsi="Times New Roman" w:cs="Times New Roman"/>
                <w:kern w:val="0"/>
                <w:sz w:val="16"/>
                <w:szCs w:val="16"/>
              </w:rPr>
              <w:t>巨洋河</w:t>
            </w:r>
            <w:r>
              <w:rPr>
                <w:rFonts w:ascii="Times New Roman" w:hAnsi="Times New Roman" w:cs="Times New Roman"/>
                <w:kern w:val="0"/>
                <w:sz w:val="16"/>
                <w:szCs w:val="16"/>
              </w:rPr>
              <w:t>、大气环境一般管控区、大气环境受体敏感区</w:t>
            </w:r>
          </w:p>
        </w:tc>
        <w:tc>
          <w:tcPr>
            <w:tcW w:w="1664" w:type="dxa"/>
            <w:vAlign w:val="center"/>
          </w:tcPr>
          <w:p>
            <w:pPr>
              <w:numPr>
                <w:ilvl w:val="0"/>
                <w:numId w:val="0"/>
              </w:numPr>
              <w:snapToGrid w:val="0"/>
              <w:jc w:val="left"/>
              <w:rPr>
                <w:rFonts w:hint="eastAsia" w:ascii="Times New Roman" w:hAnsi="Times New Roman" w:eastAsia="宋体" w:cs="Times New Roman"/>
                <w:sz w:val="16"/>
                <w:szCs w:val="16"/>
                <w:lang w:val="en-US" w:eastAsia="zh-CN"/>
              </w:rPr>
            </w:pPr>
            <w:r>
              <w:rPr>
                <w:rFonts w:ascii="Times New Roman" w:hAnsi="Times New Roman" w:cs="Times New Roman"/>
                <w:kern w:val="0"/>
                <w:sz w:val="16"/>
                <w:szCs w:val="16"/>
              </w:rPr>
              <w:t>1.严格按照《中华人民共和国自然保护区条例》《</w:t>
            </w:r>
            <w:r>
              <w:rPr>
                <w:rFonts w:hint="eastAsia" w:ascii="Times New Roman" w:hAnsi="Times New Roman" w:cs="Times New Roman"/>
                <w:kern w:val="0"/>
                <w:sz w:val="16"/>
                <w:szCs w:val="16"/>
              </w:rPr>
              <w:t>青岛市饮用水水源保护条例</w:t>
            </w:r>
            <w:r>
              <w:rPr>
                <w:rFonts w:ascii="Times New Roman" w:hAnsi="Times New Roman" w:cs="Times New Roman"/>
                <w:kern w:val="0"/>
                <w:sz w:val="16"/>
                <w:szCs w:val="16"/>
              </w:rPr>
              <w:t>》对自然保护区和饮用水源保护区实施保护。</w:t>
            </w:r>
            <w:r>
              <w:rPr>
                <w:rFonts w:hint="eastAsia" w:ascii="Times New Roman" w:hAnsi="Times New Roman" w:cs="Times New Roman"/>
                <w:kern w:val="0"/>
                <w:sz w:val="16"/>
                <w:szCs w:val="16"/>
                <w:lang w:val="en-US" w:eastAsia="zh-CN"/>
              </w:rPr>
              <w:t>饮用水水源一级保护区内禁止新建、改建、扩建与供水设施和保护水源无关的建设项目，</w:t>
            </w:r>
            <w:r>
              <w:rPr>
                <w:rFonts w:hint="eastAsia" w:ascii="Times New Roman" w:hAnsi="Times New Roman" w:eastAsia="宋体" w:cs="Times New Roman"/>
                <w:sz w:val="16"/>
                <w:szCs w:val="16"/>
                <w:lang w:eastAsia="zh-CN"/>
              </w:rPr>
              <w:t>饮用水水源二级保护区内</w:t>
            </w:r>
            <w:r>
              <w:rPr>
                <w:rFonts w:hint="eastAsia" w:ascii="Times New Roman" w:hAnsi="Times New Roman" w:eastAsia="宋体" w:cs="Times New Roman"/>
                <w:sz w:val="16"/>
                <w:szCs w:val="16"/>
                <w:lang w:val="en-US" w:eastAsia="zh-CN"/>
              </w:rPr>
              <w:t>禁止新建、改建、扩建排放污染物的建设项目。</w:t>
            </w:r>
            <w:r>
              <w:rPr>
                <w:rFonts w:hint="eastAsia" w:ascii="Times New Roman" w:hAnsi="Times New Roman" w:cs="Times New Roman"/>
                <w:kern w:val="0"/>
                <w:sz w:val="16"/>
                <w:szCs w:val="16"/>
                <w:lang w:eastAsia="zh-CN"/>
              </w:rPr>
              <w:t>（</w:t>
            </w:r>
            <w:r>
              <w:rPr>
                <w:rFonts w:ascii="Arial" w:hAnsi="Arial" w:eastAsia="宋体" w:cs="Arial"/>
                <w:i w:val="0"/>
                <w:iCs w:val="0"/>
                <w:caps w:val="0"/>
                <w:color w:val="333333"/>
                <w:spacing w:val="0"/>
                <w:sz w:val="15"/>
                <w:szCs w:val="15"/>
                <w:shd w:val="clear" w:fill="FFFFFF"/>
              </w:rPr>
              <w:t>★</w:t>
            </w:r>
            <w:r>
              <w:rPr>
                <w:rFonts w:hint="eastAsia" w:ascii="Times New Roman" w:hAnsi="Times New Roman" w:cs="Times New Roman"/>
                <w:kern w:val="0"/>
                <w:sz w:val="16"/>
                <w:szCs w:val="16"/>
                <w:lang w:eastAsia="zh-CN"/>
              </w:rPr>
              <w:t>）</w:t>
            </w:r>
          </w:p>
          <w:p>
            <w:pPr>
              <w:numPr>
                <w:ilvl w:val="0"/>
                <w:numId w:val="0"/>
              </w:numPr>
              <w:snapToGrid w:val="0"/>
              <w:jc w:val="left"/>
              <w:rPr>
                <w:rFonts w:hint="eastAsia" w:ascii="Times New Roman" w:hAnsi="Times New Roman" w:eastAsia="宋体" w:cs="Times New Roman"/>
                <w:kern w:val="0"/>
                <w:sz w:val="16"/>
                <w:szCs w:val="16"/>
                <w:lang w:eastAsia="zh-CN"/>
              </w:rPr>
            </w:pPr>
            <w:r>
              <w:rPr>
                <w:rFonts w:hint="eastAsia" w:ascii="Times New Roman" w:hAnsi="Times New Roman" w:eastAsia="宋体" w:cs="Times New Roman"/>
                <w:sz w:val="16"/>
                <w:szCs w:val="16"/>
                <w:lang w:val="en-US" w:eastAsia="zh-CN"/>
              </w:rPr>
              <w:t>2.</w:t>
            </w:r>
            <w:r>
              <w:rPr>
                <w:rFonts w:hint="eastAsia" w:ascii="Times New Roman" w:hAnsi="Times New Roman" w:eastAsia="宋体" w:cs="Times New Roman"/>
                <w:sz w:val="16"/>
                <w:szCs w:val="16"/>
              </w:rPr>
              <w:t>禁止违反风景名胜区规划，在风景名胜区内禁止设立各类开发区或者在核心景区内建设宾馆、招待所、培训中心、疗养院以及与风景名胜资源保护无关的其他建筑物</w:t>
            </w:r>
            <w:r>
              <w:rPr>
                <w:rFonts w:hint="eastAsia" w:ascii="Times New Roman" w:hAnsi="Times New Roman" w:eastAsia="宋体" w:cs="Times New Roman"/>
                <w:sz w:val="16"/>
                <w:szCs w:val="16"/>
                <w:lang w:eastAsia="zh-CN"/>
              </w:rPr>
              <w:t>。</w:t>
            </w:r>
            <w:r>
              <w:rPr>
                <w:rFonts w:hint="eastAsia" w:ascii="Times New Roman" w:hAnsi="Times New Roman" w:cs="Times New Roman"/>
                <w:kern w:val="0"/>
                <w:sz w:val="16"/>
                <w:szCs w:val="16"/>
                <w:lang w:eastAsia="zh-CN"/>
              </w:rPr>
              <w:t>（</w:t>
            </w:r>
            <w:r>
              <w:rPr>
                <w:rFonts w:ascii="Arial" w:hAnsi="Arial" w:eastAsia="宋体" w:cs="Arial"/>
                <w:i w:val="0"/>
                <w:iCs w:val="0"/>
                <w:caps w:val="0"/>
                <w:color w:val="333333"/>
                <w:spacing w:val="0"/>
                <w:sz w:val="15"/>
                <w:szCs w:val="15"/>
                <w:shd w:val="clear" w:fill="FFFFFF"/>
              </w:rPr>
              <w:t>★</w:t>
            </w:r>
            <w:r>
              <w:rPr>
                <w:rFonts w:hint="eastAsia" w:ascii="Times New Roman" w:hAnsi="Times New Roman" w:cs="Times New Roman"/>
                <w:kern w:val="0"/>
                <w:sz w:val="16"/>
                <w:szCs w:val="16"/>
                <w:lang w:eastAsia="zh-CN"/>
              </w:rPr>
              <w:t>）</w:t>
            </w:r>
          </w:p>
          <w:p>
            <w:pPr>
              <w:snapToGrid w:val="0"/>
              <w:jc w:val="left"/>
              <w:rPr>
                <w:rFonts w:ascii="Times New Roman" w:hAnsi="Times New Roman" w:cs="Times New Roman"/>
                <w:kern w:val="0"/>
                <w:sz w:val="16"/>
                <w:szCs w:val="16"/>
              </w:rPr>
            </w:pPr>
            <w:r>
              <w:rPr>
                <w:rFonts w:hint="eastAsia" w:ascii="Times New Roman" w:hAnsi="Times New Roman" w:cs="Times New Roman"/>
                <w:kern w:val="0"/>
                <w:sz w:val="16"/>
                <w:szCs w:val="16"/>
                <w:lang w:val="en-US" w:eastAsia="zh-CN"/>
              </w:rPr>
              <w:t>3</w:t>
            </w:r>
            <w:r>
              <w:rPr>
                <w:rFonts w:ascii="Times New Roman" w:hAnsi="Times New Roman" w:cs="Times New Roman"/>
                <w:kern w:val="0"/>
                <w:sz w:val="16"/>
                <w:szCs w:val="16"/>
              </w:rPr>
              <w:t>.引导工业企业入驻工业园区。新建有污染物排放的工业项目，除在安全生产等方面有特殊要求的以外，应当进入工业园区或者工业集聚区。</w:t>
            </w:r>
          </w:p>
          <w:p>
            <w:pPr>
              <w:snapToGrid w:val="0"/>
              <w:jc w:val="left"/>
              <w:rPr>
                <w:rFonts w:ascii="Times New Roman" w:hAnsi="Times New Roman" w:cs="Times New Roman"/>
                <w:kern w:val="0"/>
                <w:sz w:val="16"/>
                <w:szCs w:val="16"/>
              </w:rPr>
            </w:pPr>
            <w:r>
              <w:rPr>
                <w:rFonts w:hint="eastAsia" w:ascii="Times New Roman" w:hAnsi="Times New Roman" w:cs="Times New Roman"/>
                <w:kern w:val="0"/>
                <w:sz w:val="16"/>
                <w:szCs w:val="16"/>
                <w:lang w:val="en-US" w:eastAsia="zh-CN"/>
              </w:rPr>
              <w:t>4</w:t>
            </w:r>
            <w:r>
              <w:rPr>
                <w:rFonts w:ascii="Times New Roman" w:hAnsi="Times New Roman" w:cs="Times New Roman"/>
                <w:kern w:val="0"/>
                <w:sz w:val="16"/>
                <w:szCs w:val="16"/>
              </w:rPr>
              <w:t>.积极发展生态旅游业等第三产业。</w:t>
            </w:r>
          </w:p>
          <w:p>
            <w:pPr>
              <w:snapToGrid w:val="0"/>
              <w:jc w:val="left"/>
              <w:rPr>
                <w:rFonts w:ascii="Times New Roman" w:hAnsi="Times New Roman" w:cs="Times New Roman"/>
                <w:kern w:val="0"/>
                <w:sz w:val="16"/>
                <w:szCs w:val="16"/>
              </w:rPr>
            </w:pPr>
            <w:r>
              <w:rPr>
                <w:rFonts w:hint="eastAsia" w:ascii="Times New Roman" w:hAnsi="Times New Roman" w:cs="Times New Roman"/>
                <w:kern w:val="0"/>
                <w:sz w:val="16"/>
                <w:szCs w:val="16"/>
                <w:lang w:val="en-US" w:eastAsia="zh-CN"/>
              </w:rPr>
              <w:t>5</w:t>
            </w:r>
            <w:r>
              <w:rPr>
                <w:rFonts w:ascii="Times New Roman" w:hAnsi="Times New Roman" w:cs="Times New Roman"/>
                <w:kern w:val="0"/>
                <w:sz w:val="16"/>
                <w:szCs w:val="16"/>
              </w:rPr>
              <w:t>.严格执行《青岛市畜禽养殖污染防治规划》相关要求</w:t>
            </w:r>
            <w:r>
              <w:rPr>
                <w:rFonts w:ascii="Times New Roman" w:hAnsi="Times New Roman" w:eastAsia="宋体" w:cs="Times New Roman"/>
                <w:kern w:val="0"/>
                <w:sz w:val="16"/>
                <w:szCs w:val="16"/>
              </w:rPr>
              <w:t>，</w:t>
            </w:r>
            <w:r>
              <w:rPr>
                <w:rFonts w:ascii="Times New Roman" w:hAnsi="Times New Roman" w:cs="Times New Roman"/>
                <w:kern w:val="0"/>
                <w:sz w:val="16"/>
                <w:szCs w:val="16"/>
              </w:rPr>
              <w:t>调整优化养殖业布局，鼓励转型升级，发展循环养殖。</w:t>
            </w:r>
            <w:r>
              <w:rPr>
                <w:rFonts w:hint="eastAsia" w:ascii="Times New Roman" w:hAnsi="Times New Roman" w:cs="Times New Roman"/>
                <w:kern w:val="0"/>
                <w:sz w:val="16"/>
                <w:szCs w:val="16"/>
                <w:lang w:eastAsia="zh-CN"/>
              </w:rPr>
              <w:t>（</w:t>
            </w:r>
            <w:r>
              <w:rPr>
                <w:rFonts w:ascii="Arial" w:hAnsi="Arial" w:eastAsia="宋体" w:cs="Arial"/>
                <w:i w:val="0"/>
                <w:iCs w:val="0"/>
                <w:caps w:val="0"/>
                <w:color w:val="333333"/>
                <w:spacing w:val="0"/>
                <w:sz w:val="15"/>
                <w:szCs w:val="15"/>
                <w:shd w:val="clear" w:fill="FFFFFF"/>
              </w:rPr>
              <w:t>★</w:t>
            </w:r>
            <w:r>
              <w:rPr>
                <w:rFonts w:hint="eastAsia" w:ascii="Times New Roman" w:hAnsi="Times New Roman" w:cs="Times New Roman"/>
                <w:kern w:val="0"/>
                <w:sz w:val="16"/>
                <w:szCs w:val="16"/>
                <w:lang w:eastAsia="zh-CN"/>
              </w:rPr>
              <w:t>）</w:t>
            </w:r>
          </w:p>
          <w:p>
            <w:pPr>
              <w:snapToGrid w:val="0"/>
              <w:jc w:val="left"/>
              <w:rPr>
                <w:rFonts w:ascii="Times New Roman" w:hAnsi="Times New Roman" w:cs="Times New Roman"/>
                <w:kern w:val="0"/>
                <w:sz w:val="16"/>
                <w:szCs w:val="16"/>
              </w:rPr>
            </w:pPr>
            <w:r>
              <w:rPr>
                <w:rFonts w:hint="eastAsia" w:ascii="Times New Roman" w:hAnsi="Times New Roman" w:eastAsia="宋体" w:cs="Times New Roman"/>
                <w:sz w:val="16"/>
                <w:szCs w:val="16"/>
                <w:lang w:val="en-US" w:eastAsia="zh-CN"/>
              </w:rPr>
              <w:t>6.禁止在洋河、巨洋河河道管理范围内建设妨碍行洪的建（构）筑物、乱倾乱倒、非法采砂取石和从事其他妨碍河道行洪的生产经营活动。</w:t>
            </w:r>
            <w:r>
              <w:rPr>
                <w:rFonts w:hint="eastAsia" w:ascii="Times New Roman" w:hAnsi="Times New Roman" w:eastAsia="宋体" w:cs="Times New Roman"/>
                <w:sz w:val="16"/>
                <w:szCs w:val="16"/>
              </w:rPr>
              <w:t>在大坝保护范围之外500米范围内不得设置日取水量10000立方米以上的取水工程。</w:t>
            </w:r>
            <w:r>
              <w:rPr>
                <w:rFonts w:hint="eastAsia" w:ascii="Times New Roman" w:hAnsi="Times New Roman" w:cs="Times New Roman"/>
                <w:kern w:val="0"/>
                <w:sz w:val="16"/>
                <w:szCs w:val="16"/>
                <w:lang w:eastAsia="zh-CN"/>
              </w:rPr>
              <w:t>（</w:t>
            </w:r>
            <w:r>
              <w:rPr>
                <w:rFonts w:ascii="Arial" w:hAnsi="Arial" w:eastAsia="宋体" w:cs="Arial"/>
                <w:i w:val="0"/>
                <w:iCs w:val="0"/>
                <w:caps w:val="0"/>
                <w:color w:val="333333"/>
                <w:spacing w:val="0"/>
                <w:sz w:val="15"/>
                <w:szCs w:val="15"/>
                <w:shd w:val="clear" w:fill="FFFFFF"/>
              </w:rPr>
              <w:t>★</w:t>
            </w:r>
            <w:r>
              <w:rPr>
                <w:rFonts w:hint="eastAsia" w:ascii="Times New Roman" w:hAnsi="Times New Roman" w:cs="Times New Roman"/>
                <w:kern w:val="0"/>
                <w:sz w:val="16"/>
                <w:szCs w:val="16"/>
                <w:lang w:eastAsia="zh-CN"/>
              </w:rPr>
              <w:t>）</w:t>
            </w:r>
          </w:p>
        </w:tc>
        <w:tc>
          <w:tcPr>
            <w:tcW w:w="4006"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1.鼓励表面涂装行业使用低VOCs涂料替代溶剂型涂料，涂料、稀释剂、清洗剂等原辅材料应密闭储存，调配、使用、回收等过程应采用密闭设备或在密闭空间内操作。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2.涉及下料、抛丸、打磨、喷砂、清理滚筒等机械加工工艺的企业需设置废气有效收集治理设施。</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w:t>
            </w:r>
            <w:r>
              <w:rPr>
                <w:rFonts w:ascii="Times New Roman" w:hAnsi="Times New Roman" w:cs="Times New Roman"/>
                <w:sz w:val="16"/>
                <w:szCs w:val="16"/>
              </w:rPr>
              <w:t>规模化畜禽养殖场、养殖小区应有序完成畜禽粪便处理利用设施和污水收集处理设施配套建设，防止造成面源污染。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4.企业应做好危险废物、一般工业固体废物和生活垃圾的分类收集、转运、综合利用和无害化处理。</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5.加快农村生活污水综合治理，建设分散式污水处理设施。</w:t>
            </w:r>
          </w:p>
          <w:p>
            <w:pPr>
              <w:snapToGrid w:val="0"/>
              <w:rPr>
                <w:rFonts w:ascii="Times New Roman" w:hAnsi="Times New Roman" w:cs="Times New Roman"/>
                <w:kern w:val="0"/>
                <w:sz w:val="16"/>
                <w:szCs w:val="16"/>
              </w:rPr>
            </w:pPr>
          </w:p>
        </w:tc>
        <w:tc>
          <w:tcPr>
            <w:tcW w:w="184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1.按照《中华人民共和国水污染防治法》《中华人民共和国自然保护区条例》相关要求，加强饮用水源保护区和自然保护区风险预防和预警应急工作。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2.产生、利用或处置固体废物（含危险废物、医疗废物）的企业，在贮存、转移、利用、处置固体废物过程中，应配套防扬散、防流失、防渗漏及其他防止污染环境的措施。</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3.健全事故应急体系，落实有效的事故风险防范和应急措施，有效防范污染事故发生。</w:t>
            </w:r>
          </w:p>
        </w:tc>
        <w:tc>
          <w:tcPr>
            <w:tcW w:w="119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3.推行清洁生产，减少固体废物产生量。提升固体废物的资源化综合利用率。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2</w:t>
            </w:r>
          </w:p>
        </w:tc>
        <w:tc>
          <w:tcPr>
            <w:tcW w:w="132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ZH37028120001</w:t>
            </w:r>
          </w:p>
        </w:tc>
        <w:tc>
          <w:tcPr>
            <w:tcW w:w="70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胶北街道</w:t>
            </w:r>
          </w:p>
        </w:tc>
        <w:tc>
          <w:tcPr>
            <w:tcW w:w="435"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5"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8"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胶州市</w:t>
            </w:r>
          </w:p>
        </w:tc>
        <w:tc>
          <w:tcPr>
            <w:tcW w:w="70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825"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水环境工业源重点管控区、墨水河、大气环境受体敏感区、大气环境一般管控区、大气环境受体敏感区</w:t>
            </w:r>
          </w:p>
        </w:tc>
        <w:tc>
          <w:tcPr>
            <w:tcW w:w="1664"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1.借力东部临空经济区发展，引导临空指向性产业落户。</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2.引导工业企业入驻工业园区。新建有污染物排放的工业项目，除在安全生产等方面有特殊要求的以外，应当进入工业园区或者工业集聚区。</w:t>
            </w:r>
          </w:p>
        </w:tc>
        <w:tc>
          <w:tcPr>
            <w:tcW w:w="4006"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1.鼓励表面涂装行业使用低VOCs涂料替代溶剂型涂料，涂料、稀释剂、清洗剂等原辅材料应密闭储存，调配、使用、回收等过程应采用密闭设备或在密闭空间内操作。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2.涉及下料、抛丸、打磨、喷砂、清理滚筒等机械加工工艺的企业需设置废气有效收集治理设施。</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w:t>
            </w:r>
            <w:r>
              <w:rPr>
                <w:rFonts w:ascii="Times New Roman" w:hAnsi="Times New Roman" w:cs="Times New Roman"/>
                <w:sz w:val="16"/>
                <w:szCs w:val="16"/>
              </w:rPr>
              <w:t>规模化畜禽养殖场、养殖小区应有序完成畜禽粪便处理利用设施和污水收集处理设施配套建设，防止造成面源污染。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4.企业应做好危险废物、一般工业固体废物和生活垃圾的分类收集、转运、综合利用和无害化处理。推行清洁生产，减少固体废物产生量。提升固体废物的资源化综合利用率。</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5.加大工业堆场扬尘管控力度，露天堆放的应加以覆盖或建设自动喷淋装置，进一步加强对建设工程施工、建筑物拆除、交通运输、道路保洁、物料运输与堆存、采石取土、养护绿化等活动的扬尘管理。</w:t>
            </w:r>
          </w:p>
        </w:tc>
        <w:tc>
          <w:tcPr>
            <w:tcW w:w="184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1.产生、利用或处置固体废物（含危险废物、医疗废物）的企业，在贮存、转移、利用、处置固体废物过程中，应配套防扬散、防流失、防渗漏及其他防止污染环境的措施。</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2.健全事故应急体系，落实有效的事故风险防范和应急措施，有效防范污染事故发生。</w:t>
            </w:r>
          </w:p>
        </w:tc>
        <w:tc>
          <w:tcPr>
            <w:tcW w:w="119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3</w:t>
            </w:r>
          </w:p>
        </w:tc>
        <w:tc>
          <w:tcPr>
            <w:tcW w:w="132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ZH37028120002</w:t>
            </w:r>
          </w:p>
        </w:tc>
        <w:tc>
          <w:tcPr>
            <w:tcW w:w="70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三里河街道</w:t>
            </w:r>
          </w:p>
        </w:tc>
        <w:tc>
          <w:tcPr>
            <w:tcW w:w="435"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5"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8"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胶州市</w:t>
            </w:r>
          </w:p>
        </w:tc>
        <w:tc>
          <w:tcPr>
            <w:tcW w:w="70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825"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三里河风景名胜区一般生态空间、水环境城镇生活源重点管控区、大气环境受体敏感区、大气环境一般管控区</w:t>
            </w:r>
          </w:p>
        </w:tc>
        <w:tc>
          <w:tcPr>
            <w:tcW w:w="1664"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1.严格按照相关规划要求合理布局工业企业。</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2.引导工业企业入驻工业园区。新建有污染物排放的工业项目，除在安全生产等方面有特殊要求的以外，应当进入工业园区或者工业集聚区。</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3.严格落实河长制，加强云溪河和青年水库的监管和水质监测。</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4.严格按照《风景名胜区条例》等相关法律法规，对三里河风景名胜区进行监管。</w:t>
            </w:r>
          </w:p>
        </w:tc>
        <w:tc>
          <w:tcPr>
            <w:tcW w:w="4006"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1.鼓励表面涂装行业使用低VOCs涂料替代溶剂型涂料，涂料、稀释剂、清洗剂等原辅材料应密闭储存，调配、使用、回收等过程应采用密闭设备或在密闭空间内操作。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2.涉及下料、抛丸、打磨、喷砂、清理滚筒等机械加工工艺的企业需设置废气有效收集治理设施。</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3.企业应做好危险废物、一般工业固体废物和生活垃圾的分类收集、转运、综合利用和无害化处理。推行清洁生产，减少固体废物产生量。提升固体废物的资源化综合利用率。</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4.加大工业堆场扬尘管控力度，露天堆放的应加以覆盖或建设自动喷淋装置，进一步加强对建设工程施工、建筑物拆除、交通运输、道路保洁、物料运输与堆存、采石取土、养护绿化等活动的扬尘管理。</w:t>
            </w:r>
          </w:p>
        </w:tc>
        <w:tc>
          <w:tcPr>
            <w:tcW w:w="184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1.产生、利用或处置固体废物（含危险废物、医疗废物）的企业，在贮存、转移、利用、处置固体废物过程中，应配套防扬散、防流失、防渗漏及其他防止污染环境的措施。</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2.健全事故应急体系，落实有效的事故风险防范和应急措施，有效防范污染事故发生。</w:t>
            </w:r>
          </w:p>
        </w:tc>
        <w:tc>
          <w:tcPr>
            <w:tcW w:w="119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4</w:t>
            </w:r>
          </w:p>
        </w:tc>
        <w:tc>
          <w:tcPr>
            <w:tcW w:w="132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ZH37028130004</w:t>
            </w:r>
          </w:p>
        </w:tc>
        <w:tc>
          <w:tcPr>
            <w:tcW w:w="70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胶莱街道</w:t>
            </w:r>
          </w:p>
        </w:tc>
        <w:tc>
          <w:tcPr>
            <w:tcW w:w="435"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5"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8"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胶州市</w:t>
            </w:r>
          </w:p>
        </w:tc>
        <w:tc>
          <w:tcPr>
            <w:tcW w:w="70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一般管控单元</w:t>
            </w:r>
          </w:p>
        </w:tc>
        <w:tc>
          <w:tcPr>
            <w:tcW w:w="825"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大沽河生态廊道一般生态空间、水环境农业面源重点管控区、南胶莱河、墨水河、引黄济青输水河、大沽河、大沽河地下水、大气环境一般管控区、大气环境受体敏感区</w:t>
            </w:r>
          </w:p>
        </w:tc>
        <w:tc>
          <w:tcPr>
            <w:tcW w:w="1664"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1.借力东部临空经济区发展，引导临空指向性产业落地，打造胶州市北部工业重镇。</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2.严格按照相关规划要求合理布局工业企业。</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3.引导工业企业入驻工业园区。新建有污染物排放的工业项目，除在安全生产等方面有特殊要求的以外，应当进入工业园区或者工业集聚区。</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4.</w:t>
            </w:r>
            <w:r>
              <w:rPr>
                <w:rFonts w:ascii="Times New Roman" w:hAnsi="Times New Roman" w:eastAsia="宋体" w:cs="Times New Roman"/>
                <w:kern w:val="0"/>
                <w:sz w:val="16"/>
                <w:szCs w:val="16"/>
                <w:lang w:val="zh-CN"/>
              </w:rPr>
              <w:t>饮用水水源保护区按照《中华人民共和国水污染防治法》《山东省水污染防治条例》</w:t>
            </w:r>
            <w:r>
              <w:rPr>
                <w:rFonts w:hint="eastAsia" w:ascii="Times New Roman" w:hAnsi="Times New Roman" w:eastAsia="宋体" w:cs="Times New Roman"/>
                <w:kern w:val="0"/>
                <w:sz w:val="16"/>
                <w:szCs w:val="16"/>
                <w:lang w:val="zh-CN"/>
              </w:rPr>
              <w:t>《青岛市饮用水水源保护条例》</w:t>
            </w:r>
            <w:r>
              <w:rPr>
                <w:rFonts w:ascii="Times New Roman" w:hAnsi="Times New Roman" w:eastAsia="宋体" w:cs="Times New Roman"/>
                <w:kern w:val="0"/>
                <w:sz w:val="16"/>
                <w:szCs w:val="16"/>
                <w:lang w:val="zh-CN"/>
              </w:rPr>
              <w:t>及相关法律法规实施保护管理。</w:t>
            </w:r>
          </w:p>
        </w:tc>
        <w:tc>
          <w:tcPr>
            <w:tcW w:w="4006"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1.表面涂装行业宜使用低VOCs涂料替代溶剂型涂料，涂料、稀释剂、清洗剂等原辅材料应密闭储存，调配、使用、回收等过程应采用密闭设备或在密闭空间内操作。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2.涉及下料、抛丸、打磨、喷砂、清理滚筒等机械加工工艺的企业需设置废气有效收集治理设施。</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w:t>
            </w:r>
            <w:r>
              <w:rPr>
                <w:rFonts w:ascii="Times New Roman" w:hAnsi="Times New Roman" w:cs="Times New Roman"/>
                <w:sz w:val="16"/>
                <w:szCs w:val="16"/>
              </w:rPr>
              <w:t>规模化畜禽养殖场、养殖小区应有序完成畜禽粪便处理利用设施和污水收集处理设施配套建设，防止造成面源污染。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4.企业应做好危险废物、一般工业固体废物和生活垃圾的分类收集、转运、综合利用和无害化处理。推行清洁生产，减少固体废物产生量。提升固体废物的资源化综合利用率。</w:t>
            </w:r>
          </w:p>
        </w:tc>
        <w:tc>
          <w:tcPr>
            <w:tcW w:w="184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1.产生、利用或处置固体废物（含危险废物、医疗废物）的企业，在贮存、转移、利用、处置固体废物过程中，应配套防扬散、防流失、防渗漏及其他防止污染环境的措施。</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2.健全事故应急体系，落实有效的事故风险防范和应急措施，有效防范污染事故发生。</w:t>
            </w:r>
          </w:p>
        </w:tc>
        <w:tc>
          <w:tcPr>
            <w:tcW w:w="119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5</w:t>
            </w:r>
          </w:p>
        </w:tc>
        <w:tc>
          <w:tcPr>
            <w:tcW w:w="132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ZH37028120004</w:t>
            </w:r>
          </w:p>
        </w:tc>
        <w:tc>
          <w:tcPr>
            <w:tcW w:w="70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李哥庄镇</w:t>
            </w:r>
          </w:p>
        </w:tc>
        <w:tc>
          <w:tcPr>
            <w:tcW w:w="435"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5"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8"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胶州市</w:t>
            </w:r>
          </w:p>
        </w:tc>
        <w:tc>
          <w:tcPr>
            <w:tcW w:w="70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825"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大沽河生态廊道、棘洪滩水库一般生态空间、水环境农业面源重点管控区、大气环境一般管控区、大气环境受体敏感区</w:t>
            </w:r>
          </w:p>
        </w:tc>
        <w:tc>
          <w:tcPr>
            <w:tcW w:w="1664"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1.借力东部临空经济区发展，引导临空指向性产业落地，打造胶州市北部工业重镇。</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2.严格按照相关规划要求合理布局工业企业。</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3.引导工业企业入驻工业园区。新建有污染物排放的工业项目，除在安全生产等方面有特殊要求的以外，应当进入工业园区或者工业集聚区。</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4.</w:t>
            </w:r>
            <w:r>
              <w:rPr>
                <w:rFonts w:ascii="Times New Roman" w:hAnsi="Times New Roman" w:eastAsia="宋体" w:cs="Times New Roman"/>
                <w:kern w:val="0"/>
                <w:sz w:val="16"/>
                <w:szCs w:val="16"/>
                <w:lang w:val="zh-CN"/>
              </w:rPr>
              <w:t>饮用水水源保护区按照《中华人民共和国水污染防治法》《山东省水污染防治条例》</w:t>
            </w:r>
            <w:r>
              <w:rPr>
                <w:rFonts w:hint="eastAsia" w:ascii="Times New Roman" w:hAnsi="Times New Roman" w:eastAsia="宋体" w:cs="Times New Roman"/>
                <w:kern w:val="0"/>
                <w:sz w:val="16"/>
                <w:szCs w:val="16"/>
                <w:lang w:val="zh-CN"/>
              </w:rPr>
              <w:t>《青岛市饮用水水源保护条例》</w:t>
            </w:r>
            <w:r>
              <w:rPr>
                <w:rFonts w:ascii="Times New Roman" w:hAnsi="Times New Roman" w:eastAsia="宋体" w:cs="Times New Roman"/>
                <w:kern w:val="0"/>
                <w:sz w:val="16"/>
                <w:szCs w:val="16"/>
                <w:lang w:val="zh-CN"/>
              </w:rPr>
              <w:t>及相关法律法规实施保护管理。</w:t>
            </w:r>
          </w:p>
        </w:tc>
        <w:tc>
          <w:tcPr>
            <w:tcW w:w="4006"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1.表面涂装行业宜使用低VOCs涂料替代溶剂型涂料，涂料、稀释剂、清洗剂等原辅材料应密闭储存，调配、使用、回收等过程应采用密闭设备或在密闭空间内操作。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2.涉及下料、抛丸、打磨、喷砂、清理滚筒等机械加工工艺的企业需设置废气有效收集治理设施。</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3.企业应做好危险废物、一般工业固体废物和生活垃圾的分类收集、转运、综合利用和无害化处理。推行清洁生产，减少固体废物产生量。提升固体废物的资源化综合利用率。</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4.加快农村生活污水综合治理，建设分散式污水处理设施，</w:t>
            </w:r>
            <w:r>
              <w:rPr>
                <w:rFonts w:ascii="Times New Roman" w:hAnsi="Times New Roman" w:cs="Times New Roman"/>
                <w:sz w:val="16"/>
                <w:szCs w:val="16"/>
              </w:rPr>
              <w:t>规模化畜禽养殖场、养殖小区应有序完成畜禽粪便处理利用设施和污水收集处理设施配套建设，防止造成面源污染。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严格做好原有涉重企业用地监管，用地用途发生变更或者在土地使用权收回、转让前，土地使用权人应当按照规定进行土壤污染状况调查，报市生态环境局备案，对污染物含量超过土壤污染风险管控标准的地块，应依法开展建设用地土壤污染风险管控和修复相关活动。</w:t>
            </w:r>
          </w:p>
        </w:tc>
        <w:tc>
          <w:tcPr>
            <w:tcW w:w="184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1.产生、利用或处置固体废物（含危险废物、医疗废物）的企业，在贮存、转移、利用、处置固体废物过程中，应配套防扬散、防流失、防渗漏及其他防止污染环境的措施。</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2.建立健全事故应急体系，落实有效的事故风险防范和应急措施，有效防范污染事故发生。</w:t>
            </w:r>
          </w:p>
        </w:tc>
        <w:tc>
          <w:tcPr>
            <w:tcW w:w="119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6</w:t>
            </w:r>
          </w:p>
        </w:tc>
        <w:tc>
          <w:tcPr>
            <w:tcW w:w="132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ZH37028120005</w:t>
            </w:r>
          </w:p>
        </w:tc>
        <w:tc>
          <w:tcPr>
            <w:tcW w:w="70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中云街道</w:t>
            </w:r>
          </w:p>
        </w:tc>
        <w:tc>
          <w:tcPr>
            <w:tcW w:w="435"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5"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8"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胶州市</w:t>
            </w:r>
          </w:p>
        </w:tc>
        <w:tc>
          <w:tcPr>
            <w:tcW w:w="70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825"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水环境城镇生活源重点管控区、大气环境受体敏感区、大气环境一般管控区</w:t>
            </w:r>
          </w:p>
        </w:tc>
        <w:tc>
          <w:tcPr>
            <w:tcW w:w="1664"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1.严格按照相关规划要求合理布局工业企业，大力发展现代服务业等第三产业。</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2.引导工业企业入驻工业园区。新建有污染物排放的工业项目，除在安全生产等方面有特殊要求的以外，应当进入工业园区或者工业集聚区。</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3.严格落实河长制，加强云溪河的监管和水质监测。</w:t>
            </w:r>
          </w:p>
        </w:tc>
        <w:tc>
          <w:tcPr>
            <w:tcW w:w="4006"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1.表面涂装行业宜使用低VOCs涂料替代溶剂型涂料，涂料、稀释剂、清洗剂等原辅材料应密闭储存，调配、使用、回收等过程应采用密闭设备或在密闭空间内操作。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2.涉及下料、抛丸、打磨、喷砂、清理滚筒等机械加工工艺的企业需设置废气有效收集治理设施。</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3.企业应做好危险废物、一般工业固体废物和生活垃圾的分类收集、转运、综合利用和无害化处理。推行清洁生产，减少固体废物产生量。提升固体废物的资源化综合利用率。</w:t>
            </w:r>
          </w:p>
        </w:tc>
        <w:tc>
          <w:tcPr>
            <w:tcW w:w="184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1.产生、利用或处置固体废物（含危险废物、医疗废物）的企业，在贮存、转移、利用、处置固体废物过程中，应配套防扬散、防流失、防渗漏及其他防止污染环境的措施。</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2.建立健全事故应急体系，落实有效的事故风险防范和应急措施，有效防范污染事故发生。</w:t>
            </w:r>
          </w:p>
        </w:tc>
        <w:tc>
          <w:tcPr>
            <w:tcW w:w="119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7</w:t>
            </w:r>
          </w:p>
        </w:tc>
        <w:tc>
          <w:tcPr>
            <w:tcW w:w="132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ZH37028120006</w:t>
            </w:r>
          </w:p>
        </w:tc>
        <w:tc>
          <w:tcPr>
            <w:tcW w:w="70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九龙街道</w:t>
            </w:r>
          </w:p>
        </w:tc>
        <w:tc>
          <w:tcPr>
            <w:tcW w:w="435"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5"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8"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胶州市</w:t>
            </w:r>
          </w:p>
        </w:tc>
        <w:tc>
          <w:tcPr>
            <w:tcW w:w="70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825"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三里河风景名胜区、国家级公益林一般生态空间、水环境工业源重点管控区、洋河、大气环境优先保护区、大气环境高污染排放区、大气环境布局敏感区、大气环境受体敏感区</w:t>
            </w:r>
          </w:p>
        </w:tc>
        <w:tc>
          <w:tcPr>
            <w:tcW w:w="1664"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1.以上合示范区建设为契机，引导工业企业入驻工业园区。新建有污染物排放的工业项目，除在安全生产等方面有特殊要求的以外，应当进入工业园区或者工业集聚区。</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2.优先发展特色农业、生态旅游业和符合产业政策及区域产业定位的低碳环保工业项目。</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3.严格按照《风景名胜区条例》《青岛市湿地保护条例》等相关要求对风景名胜区、湿地公园进行保护。</w:t>
            </w:r>
          </w:p>
        </w:tc>
        <w:tc>
          <w:tcPr>
            <w:tcW w:w="4006"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表面涂装行业宜使用低VOCs涂料替代溶剂型涂料，涂料、稀释剂、清洗剂等原辅材料应密闭储存，调配、使用、回收等过程应采用密闭设备或在密闭空间内操作，涂装车间含重金属废水（液）应单独收集处理，第一类污染物排放浓度在车间或车间处理设施排放口达标。</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2.涉及下料、机械加工、抛丸、打磨、喷砂、清理滚筒等工艺的企业需设置废气有效收集治理设施，涉及电镀工艺的企业需设置废气有效收集治理设施。</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制药企业应按照“清污分流、雨污分流、分类收集、分质处理”原则，设立完善的废水收集、处理系统，含有药物活性成份的污泥，须进行灭活预处理，生物生化制品类企业废水、废气及固体废物的处理处置应考虑生物安全性因素。</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w:t>
            </w:r>
            <w:r>
              <w:rPr>
                <w:rFonts w:ascii="Times New Roman" w:hAnsi="Times New Roman" w:cs="Times New Roman"/>
                <w:sz w:val="16"/>
                <w:szCs w:val="16"/>
              </w:rPr>
              <w:t>规模化畜禽养殖场、养殖小区应有序完成畜禽粪便处理利用设施和污水收集处理设施配套建设，防止造成面源污染。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5.企业应做好危险废物、一般工业固体废物和生活垃圾的分类收集、转运、综合利用和无害化处理。推行清洁生产，减少固体废物产生量。提升固体废物的资源化综合利用率。</w:t>
            </w:r>
          </w:p>
          <w:p>
            <w:pPr>
              <w:snapToGrid w:val="0"/>
              <w:rPr>
                <w:rFonts w:ascii="Times New Roman" w:hAnsi="Times New Roman" w:cs="Times New Roman"/>
                <w:kern w:val="0"/>
                <w:sz w:val="16"/>
                <w:szCs w:val="16"/>
              </w:rPr>
            </w:pPr>
          </w:p>
        </w:tc>
        <w:tc>
          <w:tcPr>
            <w:tcW w:w="184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1.产生、利用或处置固体废物（含危险废物、医疗废物）的企业，在贮存、转移、利用、处置固体废物过程中，应配套防扬散、防流失、防渗漏及其他防止污染环境的措施。</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2.涉重企业等地下水污染高风险地区应当采取防渗漏等措施。</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3.建立健全事故应急体系，落实有效的事故风险防范和应急措施，有效防范污染事故发生。</w:t>
            </w:r>
          </w:p>
        </w:tc>
        <w:tc>
          <w:tcPr>
            <w:tcW w:w="119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8</w:t>
            </w:r>
          </w:p>
        </w:tc>
        <w:tc>
          <w:tcPr>
            <w:tcW w:w="132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ZH37028120007</w:t>
            </w:r>
          </w:p>
        </w:tc>
        <w:tc>
          <w:tcPr>
            <w:tcW w:w="70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胶东街道</w:t>
            </w:r>
          </w:p>
        </w:tc>
        <w:tc>
          <w:tcPr>
            <w:tcW w:w="435"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5"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8"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胶州市</w:t>
            </w:r>
          </w:p>
        </w:tc>
        <w:tc>
          <w:tcPr>
            <w:tcW w:w="70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825"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少海湿地公园、大沽河生态廊道一般生态空间、水环境工业源重点管控区、南胶莱河、大沽河、大沽河地下水、大气环境高污染排放区、大气环境一般管控区、大气环境受体敏感区</w:t>
            </w:r>
          </w:p>
        </w:tc>
        <w:tc>
          <w:tcPr>
            <w:tcW w:w="1664"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1.按照临空经济区和新机场规划，鼓励发展临空经济导向的临空物流、航空制造维修、临空总部、航空培训、研发创新类相关企业发展。</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2.禁止高耗水、高污染类产业、企业落户。</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3.鼓励循环经济发展，吸引国际知名企业落户园区，积极推动临空经济区相关产业链发展完善，力争建成示范性绿色园区。</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4.</w:t>
            </w:r>
            <w:r>
              <w:rPr>
                <w:rFonts w:ascii="Times New Roman" w:hAnsi="Times New Roman" w:eastAsia="宋体" w:cs="Times New Roman"/>
                <w:kern w:val="0"/>
                <w:sz w:val="16"/>
                <w:szCs w:val="16"/>
                <w:lang w:val="zh-CN"/>
              </w:rPr>
              <w:t>饮用水水源保护区按照《中华人民共和国水污染防治法》《山东省水污染防治条例》</w:t>
            </w:r>
            <w:r>
              <w:rPr>
                <w:rFonts w:hint="eastAsia" w:ascii="Times New Roman" w:hAnsi="Times New Roman" w:eastAsia="宋体" w:cs="Times New Roman"/>
                <w:kern w:val="0"/>
                <w:sz w:val="16"/>
                <w:szCs w:val="16"/>
                <w:lang w:val="zh-CN"/>
              </w:rPr>
              <w:t>《青岛市饮用水水源保护条例》</w:t>
            </w:r>
            <w:r>
              <w:rPr>
                <w:rFonts w:ascii="Times New Roman" w:hAnsi="Times New Roman" w:eastAsia="宋体" w:cs="Times New Roman"/>
                <w:kern w:val="0"/>
                <w:sz w:val="16"/>
                <w:szCs w:val="16"/>
                <w:lang w:val="zh-CN"/>
              </w:rPr>
              <w:t>及相关法律法规实施保护管理。</w:t>
            </w:r>
          </w:p>
        </w:tc>
        <w:tc>
          <w:tcPr>
            <w:tcW w:w="4006"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1.表面涂装行业宜使用低VOCs涂料替代溶剂型涂料，涂料、稀释剂、清洗剂等原辅材料应密闭储存，调配、使用、回收等过程应采用密闭设备或在密闭空间内操作。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w:t>
            </w:r>
            <w:bookmarkStart w:id="52" w:name="OLE_LINK9"/>
            <w:r>
              <w:rPr>
                <w:rFonts w:ascii="Times New Roman" w:hAnsi="Times New Roman" w:cs="Times New Roman"/>
                <w:kern w:val="0"/>
                <w:sz w:val="16"/>
                <w:szCs w:val="16"/>
              </w:rPr>
              <w:t>.</w:t>
            </w:r>
            <w:bookmarkEnd w:id="52"/>
            <w:r>
              <w:rPr>
                <w:rFonts w:ascii="Times New Roman" w:hAnsi="Times New Roman" w:cs="Times New Roman"/>
                <w:kern w:val="0"/>
                <w:sz w:val="16"/>
                <w:szCs w:val="16"/>
              </w:rPr>
              <w:t>涉及下料、抛丸、打磨、喷砂、清理滚筒等机械加工工艺的企业需设置废气有效收集治理设施。</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纺织印染行业优先采用清洁生产技术，禁止选用列入《产业结构调整指导目录》限制类、淘汰类的落后生产工艺和设备，提高资源、能源利用率，按照《印染行业废水污染防治技术政策》《纺织工业环境保护设施设计标准》《纺织染整工业废水治理工程技术规范》等有关规定，减少污染物的产生和排放。</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4.完善市政配套设施建设，加强污水收集管网体系的管理和维护，完善排水管网建设与改造，推进雨污分流改造。</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5.企业应做好危险废物、一般工业固体废物和生活垃圾的分类收集、转运、综合利用和无害化处理。推行清洁生产，减少固体废物产生量。提升固体废物的资源化综合利用率。</w:t>
            </w:r>
          </w:p>
        </w:tc>
        <w:tc>
          <w:tcPr>
            <w:tcW w:w="184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1.积极推进三力本诺企业有序搬迁。</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2.产生、利用或处置固体废物（含危险废物、医疗废物）的企业，在贮存、转移、利用、处置固体废物过程中，应配套防扬散、防流失、防渗漏及其他防止污染环境的措施。</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3.建立健全事故应急体系，落实有效的事故风险防范和应急措施，有效防范污染事故发生。</w:t>
            </w:r>
          </w:p>
        </w:tc>
        <w:tc>
          <w:tcPr>
            <w:tcW w:w="119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9</w:t>
            </w:r>
          </w:p>
        </w:tc>
        <w:tc>
          <w:tcPr>
            <w:tcW w:w="132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ZH37028120003</w:t>
            </w:r>
          </w:p>
        </w:tc>
        <w:tc>
          <w:tcPr>
            <w:tcW w:w="70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阜安街道</w:t>
            </w:r>
          </w:p>
        </w:tc>
        <w:tc>
          <w:tcPr>
            <w:tcW w:w="435"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5"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8"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胶州市</w:t>
            </w:r>
          </w:p>
        </w:tc>
        <w:tc>
          <w:tcPr>
            <w:tcW w:w="70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重点管控单元</w:t>
            </w:r>
          </w:p>
        </w:tc>
        <w:tc>
          <w:tcPr>
            <w:tcW w:w="82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水环境城镇生活源重点管控区、大气环境受体敏感区</w:t>
            </w:r>
          </w:p>
        </w:tc>
        <w:tc>
          <w:tcPr>
            <w:tcW w:w="1664"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1.引导工业企业入驻工业园区。新建有污染物排放的工业项目，除在安全生产等方面有特殊要求的以外，应当进入工业园区或者工业集聚区。</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2.严格按照规划要求合理布局工业企业，符合区域产业规划的工业企业优先落户，推动现有产业升级改造。</w:t>
            </w:r>
          </w:p>
        </w:tc>
        <w:tc>
          <w:tcPr>
            <w:tcW w:w="4006"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1.表面涂装行业宜使用低VOCs涂料替代溶剂型涂料，涂料、稀释剂、清洗剂等原辅材料应密闭储存，调配、使用、回收等过程应采用密闭设备或在密闭空间内操作。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2.涉及下料、抛丸、打磨、喷砂、清理滚筒等机械加工工艺的企业需设置废气有效收集治理设施。</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汽修行业企业喷涂工艺废气参照表面涂装行业进行收集、处理。喷枪清洗过程应保持污染治理设施的开启状态，根据机动车维修行业的排污特征，宜采用过滤（喷淋）结合活性炭吸附方式处理。当排放浓度或处理效率不能满足排放要求时，应及时更换吸附剂。</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4.企业应做好危险废物、一般工业固体废物和生活垃圾的分类收集、转运、综合利用和无害化处理。推行清洁生产，减少固体废物产生量。提升固体废物的资源化综合利用率。</w:t>
            </w:r>
          </w:p>
        </w:tc>
        <w:tc>
          <w:tcPr>
            <w:tcW w:w="184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1.产生、利用或处置固体废物（含危险废物、医疗废物）的企业，在贮存、转移、利用、处置固体废物过程中，应配套防扬散、防流失、防渗漏及其他防止污染环境的措施。</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2.建立健全事故应急体系，落实有效的事故风险防范和应急措施，有效防范污染事故发生。</w:t>
            </w:r>
          </w:p>
        </w:tc>
        <w:tc>
          <w:tcPr>
            <w:tcW w:w="119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10</w:t>
            </w:r>
          </w:p>
        </w:tc>
        <w:tc>
          <w:tcPr>
            <w:tcW w:w="132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ZH37028130001</w:t>
            </w:r>
          </w:p>
        </w:tc>
        <w:tc>
          <w:tcPr>
            <w:tcW w:w="70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胶西街道</w:t>
            </w:r>
          </w:p>
        </w:tc>
        <w:tc>
          <w:tcPr>
            <w:tcW w:w="435"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5"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8"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胶州市</w:t>
            </w:r>
          </w:p>
        </w:tc>
        <w:tc>
          <w:tcPr>
            <w:tcW w:w="70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一般管控单元</w:t>
            </w:r>
          </w:p>
        </w:tc>
        <w:tc>
          <w:tcPr>
            <w:tcW w:w="825"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水环境一般管控区、墨水河、大气环境受体敏感区、大气环境一般管控区</w:t>
            </w:r>
          </w:p>
        </w:tc>
        <w:tc>
          <w:tcPr>
            <w:tcW w:w="1664"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引导工业企业入驻工业园区。新建有污染物排放的工业项目，除在安全生产等方面有特殊要求的以外，应当进入工业园区或者工业集聚区。</w:t>
            </w:r>
          </w:p>
        </w:tc>
        <w:tc>
          <w:tcPr>
            <w:tcW w:w="4006"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1.表面涂装行业宜使用低VOCs涂料替代溶剂型涂料，涂料、稀释剂、清洗剂等原辅材料应密闭储存，调配、使用、回收等过程应采用密闭设备或在密闭空间内操作。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2.涉及下料、抛丸、打磨、喷砂、清理滚筒等机械加工工艺的企业需设置废气有效收集治理设施。</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3.完善市政配套设施建设，加强污水收集管网体系的管理和维护，完善排水管网建设与改造，推进雨污分流改造。</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4.企业应做好危险废物、一般工业固体废物和生活垃圾的分类收集、转运、综合利用和无害化处理。推行清洁生产，减少固体废物产生量。提升固体废物的资源化综合利用率。</w:t>
            </w:r>
          </w:p>
        </w:tc>
        <w:tc>
          <w:tcPr>
            <w:tcW w:w="184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1.产生、利用或处置固体废物（含危险废物、医疗废物）的企业，在贮存、转移、利用、处置固体废物过程中，应配套防扬散、防流失、防渗漏及其他防止污染环境的措施。</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2.建立健全事故应急体系，落实有效的事故风险防范和应急措施，有效防范污染事故发生。</w:t>
            </w:r>
          </w:p>
        </w:tc>
        <w:tc>
          <w:tcPr>
            <w:tcW w:w="119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11</w:t>
            </w:r>
          </w:p>
        </w:tc>
        <w:tc>
          <w:tcPr>
            <w:tcW w:w="132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ZH37028130002</w:t>
            </w:r>
          </w:p>
        </w:tc>
        <w:tc>
          <w:tcPr>
            <w:tcW w:w="70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里岔镇</w:t>
            </w:r>
          </w:p>
        </w:tc>
        <w:tc>
          <w:tcPr>
            <w:tcW w:w="435"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5"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8"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胶州市</w:t>
            </w:r>
          </w:p>
        </w:tc>
        <w:tc>
          <w:tcPr>
            <w:tcW w:w="70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一般管控单元</w:t>
            </w:r>
          </w:p>
        </w:tc>
        <w:tc>
          <w:tcPr>
            <w:tcW w:w="825"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山洲水库、红旗水库、水环境一般、大气环境一般管控区、大气环境受体敏感区</w:t>
            </w:r>
          </w:p>
        </w:tc>
        <w:tc>
          <w:tcPr>
            <w:tcW w:w="1664"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w:t>
            </w:r>
            <w:r>
              <w:rPr>
                <w:rFonts w:ascii="Times New Roman" w:hAnsi="Times New Roman" w:eastAsia="宋体" w:cs="Times New Roman"/>
                <w:kern w:val="0"/>
                <w:sz w:val="16"/>
                <w:szCs w:val="16"/>
                <w:lang w:val="zh-CN"/>
              </w:rPr>
              <w:t>饮用水水源保护区按照《中华人民共和国水污染防治法》《山东省水污染防治条例》</w:t>
            </w:r>
            <w:r>
              <w:rPr>
                <w:rFonts w:hint="eastAsia" w:ascii="Times New Roman" w:hAnsi="Times New Roman" w:eastAsia="宋体" w:cs="Times New Roman"/>
                <w:kern w:val="0"/>
                <w:sz w:val="16"/>
                <w:szCs w:val="16"/>
                <w:lang w:val="zh-CN"/>
              </w:rPr>
              <w:t>《青岛市饮用水水源保护条例》</w:t>
            </w:r>
            <w:r>
              <w:rPr>
                <w:rFonts w:ascii="Times New Roman" w:hAnsi="Times New Roman" w:eastAsia="宋体" w:cs="Times New Roman"/>
                <w:kern w:val="0"/>
                <w:sz w:val="16"/>
                <w:szCs w:val="16"/>
                <w:lang w:val="zh-CN"/>
              </w:rPr>
              <w:t>及相关法律法规实施保护管理。</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2.引导工业企业入驻工业园区。新建有污染物排放的工业项目，除在安全生产等方面有特殊要求的以外，应当进入工业园区或者工业集聚区。</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3.</w:t>
            </w:r>
            <w:r>
              <w:rPr>
                <w:rFonts w:ascii="Times New Roman" w:hAnsi="Times New Roman" w:eastAsia="宋体" w:cs="Times New Roman"/>
                <w:kern w:val="0"/>
                <w:sz w:val="16"/>
                <w:szCs w:val="16"/>
                <w:lang w:val="zh-CN"/>
              </w:rPr>
              <w:t>严格执行《青岛市畜禽养殖污染防治规划》相关要求，调整优化养殖业布局，鼓励转型升级，发展循环养殖。</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4.工业集聚区外的区域鼓励积极发展现代农业，推进生态旅游。</w:t>
            </w:r>
          </w:p>
        </w:tc>
        <w:tc>
          <w:tcPr>
            <w:tcW w:w="4006"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1.表面涂装行业宜使用低VOCs涂料替代溶剂型涂料，涂料、稀释剂、清洗剂等原辅材料应密闭储存，调配、使用、回收等过程应采用密闭设备或在密闭空间内操作。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2.涉及下料、抛丸、打磨、喷砂、清理滚筒等机械加工工艺的企业需设置废气有效收集治理设施。</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纺织印染行业优先采用清洁生产技术，禁止选用列入《产业结构调整指导目录》限制类、淘汰类的落后生产工艺和设备，提高资源、能源利用率，按照《印染行业废水污染防治技术政策》《纺织工业环境保护设施设计标准》《纺织染整工业废水治理工程技术规范》等有关规定，减少污染物的产生和排放。</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w:t>
            </w:r>
            <w:r>
              <w:rPr>
                <w:rFonts w:ascii="Times New Roman" w:hAnsi="Times New Roman" w:cs="Times New Roman"/>
                <w:sz w:val="16"/>
                <w:szCs w:val="16"/>
              </w:rPr>
              <w:t>规模化畜禽养殖场、养殖小区应有序完成畜禽粪便处理利用设施和污水收集处理设施配套建设，防止造成面源污染。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5.企业应做好危险废物、一般工业固体废物和生活垃圾的分类收集、转运、综合利用和无害化处理。推行清洁生产，减少固体废物产生量。提升固体废物的资源化综合利用率。</w:t>
            </w:r>
          </w:p>
        </w:tc>
        <w:tc>
          <w:tcPr>
            <w:tcW w:w="184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1.产生、利用或处置固体废物（含危险废物、医疗废物）的企业，在贮存、转移、利用、处置固体废物过程中，应配套防扬散、防流失、防渗漏及其他防止污染环境的措施。</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2.建立健全事故应急体系，落实有效的事故风险防范和应急措施，有效防范污染事故发生。</w:t>
            </w:r>
          </w:p>
        </w:tc>
        <w:tc>
          <w:tcPr>
            <w:tcW w:w="119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12</w:t>
            </w:r>
          </w:p>
        </w:tc>
        <w:tc>
          <w:tcPr>
            <w:tcW w:w="132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ZH37028130003</w:t>
            </w:r>
          </w:p>
        </w:tc>
        <w:tc>
          <w:tcPr>
            <w:tcW w:w="70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铺集镇</w:t>
            </w:r>
          </w:p>
        </w:tc>
        <w:tc>
          <w:tcPr>
            <w:tcW w:w="435"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山东省</w:t>
            </w:r>
          </w:p>
        </w:tc>
        <w:tc>
          <w:tcPr>
            <w:tcW w:w="435"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青岛市</w:t>
            </w:r>
          </w:p>
        </w:tc>
        <w:tc>
          <w:tcPr>
            <w:tcW w:w="438"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胶州市</w:t>
            </w:r>
          </w:p>
        </w:tc>
        <w:tc>
          <w:tcPr>
            <w:tcW w:w="703" w:type="dxa"/>
            <w:vAlign w:val="center"/>
          </w:tcPr>
          <w:p>
            <w:pPr>
              <w:snapToGrid w:val="0"/>
              <w:jc w:val="center"/>
              <w:rPr>
                <w:rFonts w:ascii="Times New Roman" w:hAnsi="Times New Roman" w:cs="Times New Roman"/>
                <w:kern w:val="0"/>
                <w:sz w:val="16"/>
                <w:szCs w:val="16"/>
              </w:rPr>
            </w:pPr>
            <w:r>
              <w:rPr>
                <w:rFonts w:ascii="Times New Roman" w:hAnsi="Times New Roman" w:cs="Times New Roman"/>
                <w:kern w:val="0"/>
                <w:sz w:val="16"/>
                <w:szCs w:val="16"/>
              </w:rPr>
              <w:t>一般管控单元</w:t>
            </w:r>
          </w:p>
        </w:tc>
        <w:tc>
          <w:tcPr>
            <w:tcW w:w="825"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胶河、水环境一般管控区、大气环境一般管控区、大气环境受体敏感区</w:t>
            </w:r>
          </w:p>
        </w:tc>
        <w:tc>
          <w:tcPr>
            <w:tcW w:w="1664" w:type="dxa"/>
            <w:vAlign w:val="center"/>
          </w:tcPr>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1.按照相关规划所列主导产业实施布局，引导工业企业入驻工业园区。新建有污染物排放的工业项目，除在安全生产等方面有特殊要求的以外，应当进入工业园区或者工业集聚区。</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2.</w:t>
            </w:r>
            <w:r>
              <w:rPr>
                <w:rFonts w:ascii="Times New Roman" w:hAnsi="Times New Roman" w:eastAsia="宋体" w:cs="Times New Roman"/>
                <w:kern w:val="0"/>
                <w:sz w:val="16"/>
                <w:szCs w:val="16"/>
                <w:lang w:val="zh-CN"/>
              </w:rPr>
              <w:t>严格执行《青岛市畜禽养殖污染防治规划》相关要求，调整优化养殖业布局，鼓励转型升级，发展循环养殖。</w:t>
            </w:r>
          </w:p>
          <w:p>
            <w:pPr>
              <w:snapToGrid w:val="0"/>
              <w:jc w:val="left"/>
              <w:rPr>
                <w:rFonts w:ascii="Times New Roman" w:hAnsi="Times New Roman" w:cs="Times New Roman"/>
                <w:kern w:val="0"/>
                <w:sz w:val="16"/>
                <w:szCs w:val="16"/>
              </w:rPr>
            </w:pPr>
            <w:r>
              <w:rPr>
                <w:rFonts w:ascii="Times New Roman" w:hAnsi="Times New Roman" w:cs="Times New Roman"/>
                <w:kern w:val="0"/>
                <w:sz w:val="16"/>
                <w:szCs w:val="16"/>
              </w:rPr>
              <w:t>3.工业集聚区外的区域鼓励积极发展现代农业，推进生态旅游。</w:t>
            </w:r>
          </w:p>
        </w:tc>
        <w:tc>
          <w:tcPr>
            <w:tcW w:w="4006"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1.表面涂装行业宜使用低VOCs涂料替代溶剂型涂料，涂料、稀释剂、清洗剂等原辅材料应密闭储存，调配、使用、回收等过程应采用密闭设备或在密闭空间内操作。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2.涉及下料、抛丸、打磨、喷砂、清理滚筒等机械加工工艺的企业需设置废气有效收集治理设施。</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纺织印染行业优先采用清洁生产技术，禁止选用列入《产业结构调整指导目录》限制类、淘汰类的落后生产工艺和设备，提高资源、能源利用率，按照《印染行业废水污染防治技术政策》《纺织工业环境保护设施设计标准》《纺织染整工业废水治理工程技术规范》等有关规定，减少污染物的产生和排放。</w:t>
            </w:r>
          </w:p>
          <w:p>
            <w:pPr>
              <w:snapToGrid w:val="0"/>
              <w:rPr>
                <w:rFonts w:ascii="Times New Roman" w:hAnsi="Times New Roman" w:cs="Times New Roman"/>
                <w:kern w:val="0"/>
                <w:sz w:val="16"/>
                <w:szCs w:val="16"/>
              </w:rPr>
            </w:pPr>
            <w:r>
              <w:rPr>
                <w:rFonts w:ascii="Times New Roman" w:hAnsi="Times New Roman" w:cs="Times New Roman"/>
                <w:kern w:val="0"/>
                <w:sz w:val="16"/>
                <w:szCs w:val="16"/>
              </w:rPr>
              <w:t>4.</w:t>
            </w:r>
            <w:r>
              <w:rPr>
                <w:rFonts w:ascii="Times New Roman" w:hAnsi="Times New Roman" w:cs="Times New Roman"/>
                <w:sz w:val="16"/>
                <w:szCs w:val="16"/>
              </w:rPr>
              <w:t>规模化畜禽养殖场、养殖小区应有序完成畜禽粪便处理利用设施和污水收集处理设施配套建设，防止造成面源污染。</w:t>
            </w:r>
          </w:p>
          <w:p>
            <w:pPr>
              <w:snapToGrid w:val="0"/>
              <w:rPr>
                <w:rFonts w:ascii="Times New Roman" w:hAnsi="Times New Roman" w:cs="Times New Roman"/>
                <w:kern w:val="0"/>
                <w:sz w:val="16"/>
                <w:szCs w:val="16"/>
              </w:rPr>
            </w:pPr>
            <w:r>
              <w:rPr>
                <w:rFonts w:ascii="Times New Roman" w:hAnsi="Times New Roman" w:cs="Times New Roman"/>
                <w:kern w:val="0"/>
                <w:sz w:val="16"/>
                <w:szCs w:val="16"/>
              </w:rPr>
              <w:t>5.企业应做好危险废物、一般工业固体废物和生活垃圾的分类收集、转运、综合利用和无害化处理。推行清洁生产，减少固体废物产生量。提升固体废物的资源化综合利用率。</w:t>
            </w:r>
          </w:p>
        </w:tc>
        <w:tc>
          <w:tcPr>
            <w:tcW w:w="1843"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1.按照《中华人民共和国水污染防治法》等，加强饮用水源保护区风险预防和预警应急工作。</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2.产生、利用或处置固体废物（含危险废物、医疗废物）的企业，在贮存、转移、利用、处置固体废物过程中，应配套防扬散、防流失、防渗漏及其他防止污染环境的措施。</w:t>
            </w:r>
          </w:p>
          <w:p>
            <w:pPr>
              <w:snapToGrid w:val="0"/>
              <w:rPr>
                <w:rFonts w:ascii="Times New Roman" w:hAnsi="Times New Roman" w:cs="Times New Roman"/>
                <w:kern w:val="0"/>
                <w:sz w:val="16"/>
                <w:szCs w:val="16"/>
              </w:rPr>
            </w:pPr>
            <w:r>
              <w:rPr>
                <w:rFonts w:ascii="Times New Roman" w:hAnsi="Times New Roman" w:cs="Times New Roman"/>
                <w:kern w:val="0"/>
                <w:sz w:val="16"/>
                <w:szCs w:val="16"/>
              </w:rPr>
              <w:t>3.建立健全事故应急体系，落实有效的事故风险防范和应急措施，有效防范污染事故发生。</w:t>
            </w:r>
          </w:p>
        </w:tc>
        <w:tc>
          <w:tcPr>
            <w:tcW w:w="1195" w:type="dxa"/>
            <w:vAlign w:val="center"/>
          </w:tcPr>
          <w:p>
            <w:pPr>
              <w:snapToGrid w:val="0"/>
              <w:rPr>
                <w:rFonts w:ascii="Times New Roman" w:hAnsi="Times New Roman" w:cs="Times New Roman"/>
                <w:kern w:val="0"/>
                <w:sz w:val="16"/>
                <w:szCs w:val="16"/>
              </w:rPr>
            </w:pPr>
            <w:r>
              <w:rPr>
                <w:rFonts w:ascii="Times New Roman" w:hAnsi="Times New Roman" w:cs="Times New Roman"/>
                <w:kern w:val="0"/>
                <w:sz w:val="16"/>
                <w:szCs w:val="16"/>
              </w:rPr>
              <w:t>1.全面开展节水型社会建设，促进再生水利用。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kern w:val="0"/>
                <w:sz w:val="16"/>
                <w:szCs w:val="16"/>
              </w:rPr>
              <w:t>2.构建清洁低碳能源体系，推广和实施可再生能源应用。</w:t>
            </w:r>
          </w:p>
        </w:tc>
      </w:tr>
    </w:tbl>
    <w:p>
      <w:pPr>
        <w:widowControl/>
        <w:jc w:val="left"/>
        <w:rPr>
          <w:rFonts w:ascii="Times New Roman" w:hAnsi="Times New Roman" w:cs="Times New Roman"/>
          <w:b/>
          <w:kern w:val="44"/>
          <w:sz w:val="16"/>
          <w:szCs w:val="16"/>
          <w:lang w:val="zh-CN"/>
        </w:rPr>
      </w:pPr>
      <w:bookmarkStart w:id="53" w:name="_Toc67649341"/>
      <w:bookmarkStart w:id="54" w:name="_Toc15384"/>
      <w:r>
        <w:rPr>
          <w:rFonts w:ascii="Times New Roman" w:hAnsi="Times New Roman" w:cs="Times New Roman"/>
          <w:b/>
          <w:kern w:val="44"/>
          <w:sz w:val="16"/>
          <w:szCs w:val="16"/>
          <w:lang w:val="zh-CN"/>
        </w:rPr>
        <w:br w:type="page"/>
      </w:r>
    </w:p>
    <w:p>
      <w:pPr>
        <w:widowControl/>
        <w:adjustRightInd w:val="0"/>
        <w:snapToGrid w:val="0"/>
        <w:spacing w:line="360" w:lineRule="auto"/>
        <w:jc w:val="center"/>
        <w:outlineLvl w:val="1"/>
        <w:rPr>
          <w:rFonts w:ascii="Times New Roman" w:hAnsi="Times New Roman" w:eastAsia="黑体" w:cs="Times New Roman"/>
          <w:b/>
          <w:kern w:val="44"/>
          <w:sz w:val="28"/>
          <w:szCs w:val="28"/>
        </w:rPr>
      </w:pPr>
      <w:bookmarkStart w:id="55" w:name="_Toc137761113"/>
      <w:r>
        <w:rPr>
          <w:rFonts w:ascii="Times New Roman" w:hAnsi="Times New Roman" w:eastAsia="黑体" w:cs="Times New Roman"/>
          <w:b/>
          <w:kern w:val="44"/>
          <w:sz w:val="28"/>
          <w:szCs w:val="28"/>
        </w:rPr>
        <w:t>(九)平度市环境管控单元生态环境准入清单</w:t>
      </w:r>
      <w:bookmarkEnd w:id="53"/>
      <w:bookmarkEnd w:id="54"/>
      <w:bookmarkEnd w:id="55"/>
    </w:p>
    <w:tbl>
      <w:tblPr>
        <w:tblStyle w:val="13"/>
        <w:tblW w:w="13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
        <w:gridCol w:w="1316"/>
        <w:gridCol w:w="699"/>
        <w:gridCol w:w="434"/>
        <w:gridCol w:w="434"/>
        <w:gridCol w:w="435"/>
        <w:gridCol w:w="700"/>
        <w:gridCol w:w="1135"/>
        <w:gridCol w:w="1414"/>
        <w:gridCol w:w="4390"/>
        <w:gridCol w:w="1418"/>
        <w:gridCol w:w="11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78" w:type="dxa"/>
            <w:vMerge w:val="restart"/>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序号</w:t>
            </w:r>
          </w:p>
        </w:tc>
        <w:tc>
          <w:tcPr>
            <w:tcW w:w="1316" w:type="dxa"/>
            <w:vMerge w:val="restart"/>
            <w:vAlign w:val="center"/>
          </w:tcPr>
          <w:p>
            <w:pPr>
              <w:widowControl/>
              <w:adjustRightInd w:val="0"/>
              <w:snapToGrid w:val="0"/>
              <w:jc w:val="center"/>
              <w:rPr>
                <w:rFonts w:ascii="Times New Roman" w:hAnsi="Times New Roman" w:cs="Times New Roman"/>
                <w:b/>
                <w:sz w:val="16"/>
                <w:szCs w:val="16"/>
              </w:rPr>
            </w:pPr>
            <w:r>
              <w:rPr>
                <w:rFonts w:ascii="Times New Roman" w:hAnsi="Times New Roman" w:cs="Times New Roman"/>
                <w:b/>
                <w:sz w:val="16"/>
                <w:szCs w:val="16"/>
              </w:rPr>
              <w:t>环境管控单元编码</w:t>
            </w:r>
          </w:p>
        </w:tc>
        <w:tc>
          <w:tcPr>
            <w:tcW w:w="699" w:type="dxa"/>
            <w:vMerge w:val="restart"/>
            <w:vAlign w:val="center"/>
          </w:tcPr>
          <w:p>
            <w:pPr>
              <w:snapToGrid w:val="0"/>
              <w:ind w:left="-160" w:leftChars="-50" w:right="-166" w:rightChars="-52"/>
              <w:jc w:val="center"/>
              <w:rPr>
                <w:rFonts w:ascii="Times New Roman" w:hAnsi="Times New Roman" w:cs="Times New Roman"/>
                <w:b/>
                <w:sz w:val="16"/>
                <w:szCs w:val="16"/>
              </w:rPr>
            </w:pPr>
            <w:r>
              <w:rPr>
                <w:rFonts w:ascii="Times New Roman" w:hAnsi="Times New Roman" w:cs="Times New Roman"/>
                <w:b/>
                <w:sz w:val="16"/>
                <w:szCs w:val="16"/>
              </w:rPr>
              <w:t>环境管控单元名称</w:t>
            </w:r>
          </w:p>
        </w:tc>
        <w:tc>
          <w:tcPr>
            <w:tcW w:w="1303" w:type="dxa"/>
            <w:gridSpan w:val="3"/>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行政区划</w:t>
            </w:r>
          </w:p>
        </w:tc>
        <w:tc>
          <w:tcPr>
            <w:tcW w:w="700" w:type="dxa"/>
            <w:vMerge w:val="restart"/>
            <w:vAlign w:val="center"/>
          </w:tcPr>
          <w:p>
            <w:pPr>
              <w:widowControl/>
              <w:adjustRightInd w:val="0"/>
              <w:snapToGrid w:val="0"/>
              <w:jc w:val="center"/>
              <w:rPr>
                <w:rFonts w:ascii="Times New Roman" w:hAnsi="Times New Roman" w:cs="Times New Roman"/>
                <w:b/>
                <w:sz w:val="16"/>
                <w:szCs w:val="16"/>
              </w:rPr>
            </w:pPr>
            <w:r>
              <w:rPr>
                <w:rFonts w:ascii="Times New Roman" w:hAnsi="Times New Roman" w:cs="Times New Roman"/>
                <w:b/>
                <w:sz w:val="16"/>
                <w:szCs w:val="16"/>
              </w:rPr>
              <w:t>管控单元分类</w:t>
            </w:r>
          </w:p>
        </w:tc>
        <w:tc>
          <w:tcPr>
            <w:tcW w:w="1135" w:type="dxa"/>
            <w:vMerge w:val="restart"/>
            <w:vAlign w:val="center"/>
          </w:tcPr>
          <w:p>
            <w:pPr>
              <w:adjustRightInd w:val="0"/>
              <w:snapToGrid w:val="0"/>
              <w:jc w:val="center"/>
              <w:rPr>
                <w:rFonts w:ascii="Times New Roman" w:hAnsi="Times New Roman" w:cs="Times New Roman"/>
                <w:b/>
                <w:sz w:val="16"/>
                <w:szCs w:val="16"/>
              </w:rPr>
            </w:pPr>
            <w:r>
              <w:rPr>
                <w:rFonts w:ascii="Times New Roman" w:hAnsi="Times New Roman" w:cs="Times New Roman"/>
                <w:b/>
                <w:kern w:val="0"/>
                <w:sz w:val="16"/>
                <w:szCs w:val="16"/>
              </w:rPr>
              <w:t>涉及的主要</w:t>
            </w:r>
            <w:r>
              <w:rPr>
                <w:rFonts w:ascii="Times New Roman" w:hAnsi="Times New Roman" w:cs="Times New Roman"/>
                <w:b/>
                <w:kern w:val="44"/>
                <w:sz w:val="16"/>
                <w:szCs w:val="16"/>
              </w:rPr>
              <w:t>管控细类</w:t>
            </w:r>
          </w:p>
        </w:tc>
        <w:tc>
          <w:tcPr>
            <w:tcW w:w="1414" w:type="dxa"/>
            <w:vMerge w:val="restart"/>
            <w:vAlign w:val="center"/>
          </w:tcPr>
          <w:p>
            <w:pPr>
              <w:adjustRightInd w:val="0"/>
              <w:snapToGrid w:val="0"/>
              <w:jc w:val="center"/>
              <w:rPr>
                <w:rFonts w:ascii="Times New Roman" w:hAnsi="Times New Roman" w:cs="Times New Roman"/>
                <w:b/>
                <w:sz w:val="16"/>
                <w:szCs w:val="16"/>
              </w:rPr>
            </w:pPr>
            <w:r>
              <w:rPr>
                <w:rFonts w:ascii="Times New Roman" w:hAnsi="Times New Roman" w:cs="Times New Roman"/>
                <w:b/>
                <w:sz w:val="16"/>
                <w:szCs w:val="16"/>
              </w:rPr>
              <w:t>空间布局约束</w:t>
            </w:r>
          </w:p>
        </w:tc>
        <w:tc>
          <w:tcPr>
            <w:tcW w:w="4390" w:type="dxa"/>
            <w:vMerge w:val="restart"/>
            <w:vAlign w:val="center"/>
          </w:tcPr>
          <w:p>
            <w:pPr>
              <w:adjustRightInd w:val="0"/>
              <w:snapToGrid w:val="0"/>
              <w:jc w:val="center"/>
              <w:rPr>
                <w:rFonts w:ascii="Times New Roman" w:hAnsi="Times New Roman" w:cs="Times New Roman"/>
                <w:b/>
                <w:sz w:val="16"/>
                <w:szCs w:val="16"/>
              </w:rPr>
            </w:pPr>
            <w:r>
              <w:rPr>
                <w:rFonts w:ascii="Times New Roman" w:hAnsi="Times New Roman" w:cs="Times New Roman"/>
                <w:b/>
                <w:sz w:val="16"/>
                <w:szCs w:val="16"/>
              </w:rPr>
              <w:t>污染物排放管控</w:t>
            </w:r>
          </w:p>
        </w:tc>
        <w:tc>
          <w:tcPr>
            <w:tcW w:w="1418" w:type="dxa"/>
            <w:vMerge w:val="restart"/>
            <w:vAlign w:val="center"/>
          </w:tcPr>
          <w:p>
            <w:pPr>
              <w:adjustRightInd w:val="0"/>
              <w:snapToGrid w:val="0"/>
              <w:jc w:val="center"/>
              <w:rPr>
                <w:rFonts w:ascii="Times New Roman" w:hAnsi="Times New Roman" w:cs="Times New Roman"/>
                <w:b/>
                <w:sz w:val="16"/>
                <w:szCs w:val="16"/>
              </w:rPr>
            </w:pPr>
            <w:r>
              <w:rPr>
                <w:rFonts w:ascii="Times New Roman" w:hAnsi="Times New Roman" w:cs="Times New Roman"/>
                <w:b/>
                <w:sz w:val="16"/>
                <w:szCs w:val="16"/>
              </w:rPr>
              <w:t>环境风险防控</w:t>
            </w:r>
          </w:p>
        </w:tc>
        <w:tc>
          <w:tcPr>
            <w:tcW w:w="1195" w:type="dxa"/>
            <w:vMerge w:val="restart"/>
            <w:vAlign w:val="center"/>
          </w:tcPr>
          <w:p>
            <w:pPr>
              <w:adjustRightInd w:val="0"/>
              <w:snapToGrid w:val="0"/>
              <w:jc w:val="center"/>
              <w:rPr>
                <w:rFonts w:ascii="Times New Roman" w:hAnsi="Times New Roman" w:cs="Times New Roman"/>
                <w:b/>
                <w:sz w:val="16"/>
                <w:szCs w:val="16"/>
              </w:rPr>
            </w:pPr>
            <w:r>
              <w:rPr>
                <w:rFonts w:ascii="Times New Roman" w:hAnsi="Times New Roman" w:cs="Times New Roman"/>
                <w:b/>
                <w:sz w:val="16"/>
                <w:szCs w:val="16"/>
              </w:rPr>
              <w:t>资源开发效率要求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78" w:type="dxa"/>
            <w:vMerge w:val="continue"/>
            <w:vAlign w:val="center"/>
          </w:tcPr>
          <w:p>
            <w:pPr>
              <w:widowControl/>
              <w:adjustRightInd w:val="0"/>
              <w:snapToGrid w:val="0"/>
              <w:jc w:val="center"/>
              <w:rPr>
                <w:rFonts w:ascii="Times New Roman" w:hAnsi="Times New Roman" w:cs="Times New Roman"/>
                <w:b/>
                <w:kern w:val="44"/>
                <w:sz w:val="16"/>
                <w:szCs w:val="16"/>
              </w:rPr>
            </w:pPr>
          </w:p>
        </w:tc>
        <w:tc>
          <w:tcPr>
            <w:tcW w:w="1316" w:type="dxa"/>
            <w:vMerge w:val="continue"/>
            <w:vAlign w:val="center"/>
          </w:tcPr>
          <w:p>
            <w:pPr>
              <w:widowControl/>
              <w:adjustRightInd w:val="0"/>
              <w:snapToGrid w:val="0"/>
              <w:jc w:val="center"/>
              <w:rPr>
                <w:rFonts w:ascii="Times New Roman" w:hAnsi="Times New Roman" w:cs="Times New Roman"/>
                <w:b/>
                <w:sz w:val="16"/>
                <w:szCs w:val="16"/>
              </w:rPr>
            </w:pPr>
          </w:p>
        </w:tc>
        <w:tc>
          <w:tcPr>
            <w:tcW w:w="699" w:type="dxa"/>
            <w:vMerge w:val="continue"/>
            <w:vAlign w:val="center"/>
          </w:tcPr>
          <w:p>
            <w:pPr>
              <w:adjustRightInd w:val="0"/>
              <w:snapToGrid w:val="0"/>
              <w:jc w:val="center"/>
              <w:rPr>
                <w:rFonts w:ascii="Times New Roman" w:hAnsi="Times New Roman" w:cs="Times New Roman"/>
                <w:b/>
                <w:sz w:val="16"/>
                <w:szCs w:val="16"/>
              </w:rPr>
            </w:pPr>
          </w:p>
        </w:tc>
        <w:tc>
          <w:tcPr>
            <w:tcW w:w="434" w:type="dxa"/>
            <w:vAlign w:val="center"/>
          </w:tcPr>
          <w:p>
            <w:pPr>
              <w:widowControl/>
              <w:adjustRightInd w:val="0"/>
              <w:snapToGrid w:val="0"/>
              <w:jc w:val="center"/>
              <w:rPr>
                <w:rFonts w:ascii="Times New Roman" w:hAnsi="Times New Roman" w:cs="Times New Roman"/>
                <w:b/>
                <w:sz w:val="16"/>
                <w:szCs w:val="16"/>
              </w:rPr>
            </w:pPr>
            <w:r>
              <w:rPr>
                <w:rFonts w:ascii="Times New Roman" w:hAnsi="Times New Roman" w:cs="Times New Roman"/>
                <w:b/>
                <w:sz w:val="16"/>
                <w:szCs w:val="16"/>
              </w:rPr>
              <w:t>省</w:t>
            </w:r>
          </w:p>
        </w:tc>
        <w:tc>
          <w:tcPr>
            <w:tcW w:w="434" w:type="dxa"/>
            <w:vAlign w:val="center"/>
          </w:tcPr>
          <w:p>
            <w:pPr>
              <w:adjustRightInd w:val="0"/>
              <w:snapToGrid w:val="0"/>
              <w:jc w:val="center"/>
              <w:rPr>
                <w:rFonts w:ascii="Times New Roman" w:hAnsi="Times New Roman" w:cs="Times New Roman"/>
                <w:b/>
                <w:sz w:val="16"/>
                <w:szCs w:val="16"/>
              </w:rPr>
            </w:pPr>
            <w:r>
              <w:rPr>
                <w:rFonts w:ascii="Times New Roman" w:hAnsi="Times New Roman" w:cs="Times New Roman"/>
                <w:b/>
                <w:sz w:val="16"/>
                <w:szCs w:val="16"/>
              </w:rPr>
              <w:t>市</w:t>
            </w:r>
          </w:p>
        </w:tc>
        <w:tc>
          <w:tcPr>
            <w:tcW w:w="435" w:type="dxa"/>
            <w:vAlign w:val="center"/>
          </w:tcPr>
          <w:p>
            <w:pPr>
              <w:adjustRightInd w:val="0"/>
              <w:snapToGrid w:val="0"/>
              <w:jc w:val="center"/>
              <w:rPr>
                <w:rFonts w:ascii="Times New Roman" w:hAnsi="Times New Roman" w:cs="Times New Roman"/>
                <w:b/>
                <w:sz w:val="16"/>
                <w:szCs w:val="16"/>
              </w:rPr>
            </w:pPr>
            <w:r>
              <w:rPr>
                <w:rFonts w:ascii="Times New Roman" w:hAnsi="Times New Roman" w:cs="Times New Roman"/>
                <w:b/>
                <w:sz w:val="16"/>
                <w:szCs w:val="16"/>
              </w:rPr>
              <w:t>县</w:t>
            </w:r>
          </w:p>
        </w:tc>
        <w:tc>
          <w:tcPr>
            <w:tcW w:w="700" w:type="dxa"/>
            <w:vMerge w:val="continue"/>
            <w:vAlign w:val="center"/>
          </w:tcPr>
          <w:p>
            <w:pPr>
              <w:widowControl/>
              <w:adjustRightInd w:val="0"/>
              <w:snapToGrid w:val="0"/>
              <w:jc w:val="center"/>
              <w:rPr>
                <w:rFonts w:ascii="Times New Roman" w:hAnsi="Times New Roman" w:cs="Times New Roman"/>
                <w:b/>
                <w:kern w:val="44"/>
                <w:sz w:val="16"/>
                <w:szCs w:val="16"/>
              </w:rPr>
            </w:pPr>
          </w:p>
        </w:tc>
        <w:tc>
          <w:tcPr>
            <w:tcW w:w="1135" w:type="dxa"/>
            <w:vMerge w:val="continue"/>
          </w:tcPr>
          <w:p>
            <w:pPr>
              <w:widowControl/>
              <w:adjustRightInd w:val="0"/>
              <w:snapToGrid w:val="0"/>
              <w:jc w:val="center"/>
              <w:rPr>
                <w:rFonts w:ascii="Times New Roman" w:hAnsi="Times New Roman" w:cs="Times New Roman"/>
                <w:b/>
                <w:kern w:val="44"/>
                <w:sz w:val="16"/>
                <w:szCs w:val="16"/>
              </w:rPr>
            </w:pPr>
          </w:p>
        </w:tc>
        <w:tc>
          <w:tcPr>
            <w:tcW w:w="1414" w:type="dxa"/>
            <w:vMerge w:val="continue"/>
            <w:vAlign w:val="center"/>
          </w:tcPr>
          <w:p>
            <w:pPr>
              <w:widowControl/>
              <w:adjustRightInd w:val="0"/>
              <w:snapToGrid w:val="0"/>
              <w:jc w:val="center"/>
              <w:rPr>
                <w:rFonts w:ascii="Times New Roman" w:hAnsi="Times New Roman" w:cs="Times New Roman"/>
                <w:b/>
                <w:kern w:val="44"/>
                <w:sz w:val="16"/>
                <w:szCs w:val="16"/>
              </w:rPr>
            </w:pPr>
          </w:p>
        </w:tc>
        <w:tc>
          <w:tcPr>
            <w:tcW w:w="4390" w:type="dxa"/>
            <w:vMerge w:val="continue"/>
            <w:vAlign w:val="center"/>
          </w:tcPr>
          <w:p>
            <w:pPr>
              <w:widowControl/>
              <w:adjustRightInd w:val="0"/>
              <w:snapToGrid w:val="0"/>
              <w:jc w:val="center"/>
              <w:rPr>
                <w:rFonts w:ascii="Times New Roman" w:hAnsi="Times New Roman" w:cs="Times New Roman"/>
                <w:b/>
                <w:kern w:val="44"/>
                <w:sz w:val="16"/>
                <w:szCs w:val="16"/>
              </w:rPr>
            </w:pPr>
          </w:p>
        </w:tc>
        <w:tc>
          <w:tcPr>
            <w:tcW w:w="1418" w:type="dxa"/>
            <w:vMerge w:val="continue"/>
            <w:vAlign w:val="center"/>
          </w:tcPr>
          <w:p>
            <w:pPr>
              <w:widowControl/>
              <w:adjustRightInd w:val="0"/>
              <w:snapToGrid w:val="0"/>
              <w:jc w:val="center"/>
              <w:rPr>
                <w:rFonts w:ascii="Times New Roman" w:hAnsi="Times New Roman" w:cs="Times New Roman"/>
                <w:b/>
                <w:kern w:val="44"/>
                <w:sz w:val="16"/>
                <w:szCs w:val="16"/>
              </w:rPr>
            </w:pPr>
          </w:p>
        </w:tc>
        <w:tc>
          <w:tcPr>
            <w:tcW w:w="1195" w:type="dxa"/>
            <w:vMerge w:val="continue"/>
            <w:vAlign w:val="center"/>
          </w:tcPr>
          <w:p>
            <w:pPr>
              <w:widowControl/>
              <w:adjustRightInd w:val="0"/>
              <w:snapToGrid w:val="0"/>
              <w:jc w:val="center"/>
              <w:rPr>
                <w:rFonts w:ascii="Times New Roman" w:hAnsi="Times New Roman" w:cs="Times New Roman"/>
                <w:b/>
                <w:kern w:val="44"/>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w:t>
            </w:r>
          </w:p>
        </w:tc>
        <w:tc>
          <w:tcPr>
            <w:tcW w:w="1316" w:type="dxa"/>
            <w:vAlign w:val="center"/>
          </w:tcPr>
          <w:p>
            <w:pPr>
              <w:widowControl/>
              <w:snapToGrid w:val="0"/>
              <w:jc w:val="center"/>
              <w:rPr>
                <w:rFonts w:ascii="Times New Roman" w:hAnsi="Times New Roman" w:cs="Times New Roman"/>
                <w:sz w:val="16"/>
                <w:szCs w:val="16"/>
              </w:rPr>
            </w:pPr>
            <w:r>
              <w:rPr>
                <w:rFonts w:ascii="Times New Roman" w:hAnsi="Times New Roman" w:cs="Times New Roman"/>
                <w:sz w:val="16"/>
                <w:szCs w:val="16"/>
              </w:rPr>
              <w:t>ZH37028310001</w:t>
            </w:r>
          </w:p>
        </w:tc>
        <w:tc>
          <w:tcPr>
            <w:tcW w:w="699"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旧店镇</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山东省</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青岛市</w:t>
            </w:r>
          </w:p>
        </w:tc>
        <w:tc>
          <w:tcPr>
            <w:tcW w:w="43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平度市</w:t>
            </w:r>
          </w:p>
        </w:tc>
        <w:tc>
          <w:tcPr>
            <w:tcW w:w="70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优先保护单元</w:t>
            </w:r>
          </w:p>
        </w:tc>
        <w:tc>
          <w:tcPr>
            <w:tcW w:w="1135" w:type="dxa"/>
            <w:vAlign w:val="center"/>
          </w:tcPr>
          <w:p>
            <w:pPr>
              <w:snapToGrid w:val="0"/>
              <w:jc w:val="left"/>
              <w:rPr>
                <w:rFonts w:ascii="Times New Roman" w:hAnsi="Times New Roman" w:cs="Times New Roman"/>
                <w:sz w:val="16"/>
                <w:szCs w:val="16"/>
              </w:rPr>
            </w:pPr>
            <w:r>
              <w:rPr>
                <w:rFonts w:hint="eastAsia" w:ascii="Times New Roman" w:hAnsi="Times New Roman" w:cs="Times New Roman"/>
                <w:sz w:val="16"/>
                <w:szCs w:val="16"/>
                <w:lang w:val="en-US" w:eastAsia="zh-CN"/>
              </w:rPr>
              <w:t>大泽山自然保护区、</w:t>
            </w:r>
            <w:r>
              <w:rPr>
                <w:rFonts w:ascii="Times New Roman" w:hAnsi="Times New Roman" w:cs="Times New Roman"/>
                <w:sz w:val="16"/>
                <w:szCs w:val="16"/>
              </w:rPr>
              <w:t>尹府水库、涧口水库、黄同水库、生态评价区域一般生态空间、水环境一般管控区、大气环境弱扩散敏感区、大气环境受体敏感区</w:t>
            </w:r>
          </w:p>
        </w:tc>
        <w:tc>
          <w:tcPr>
            <w:tcW w:w="1414"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1.饮用水源保护区严格按照《中华人民共和国水污染防治法》《山东省水污染防治条例》</w:t>
            </w:r>
            <w:r>
              <w:rPr>
                <w:rFonts w:hint="eastAsia" w:ascii="Times New Roman" w:hAnsi="Times New Roman" w:cs="Times New Roman"/>
                <w:sz w:val="16"/>
                <w:szCs w:val="16"/>
                <w:lang w:eastAsia="zh-CN"/>
              </w:rPr>
              <w:t>《青岛市饮用水水源保护条例》</w:t>
            </w:r>
            <w:r>
              <w:rPr>
                <w:rFonts w:ascii="Times New Roman" w:hAnsi="Times New Roman" w:cs="Times New Roman"/>
                <w:sz w:val="16"/>
                <w:szCs w:val="16"/>
              </w:rPr>
              <w:t>及相关法律法规实施保护管理。</w:t>
            </w:r>
          </w:p>
          <w:p>
            <w:pPr>
              <w:snapToGrid w:val="0"/>
              <w:jc w:val="left"/>
              <w:rPr>
                <w:rFonts w:ascii="Times New Roman" w:hAnsi="Times New Roman" w:cs="Times New Roman"/>
                <w:sz w:val="16"/>
                <w:szCs w:val="16"/>
              </w:rPr>
            </w:pPr>
            <w:r>
              <w:rPr>
                <w:rFonts w:ascii="Times New Roman" w:hAnsi="Times New Roman" w:cs="Times New Roman"/>
                <w:sz w:val="16"/>
                <w:szCs w:val="16"/>
              </w:rPr>
              <w:t>2.严格控制新建独立选矿厂尾矿库,严禁新建“头顶库”、总坝高超过200米的尾矿库。</w:t>
            </w:r>
          </w:p>
          <w:p>
            <w:pPr>
              <w:snapToGrid w:val="0"/>
              <w:jc w:val="left"/>
              <w:rPr>
                <w:rFonts w:ascii="Times New Roman" w:hAnsi="Times New Roman" w:cs="Times New Roman"/>
                <w:sz w:val="16"/>
                <w:szCs w:val="16"/>
              </w:rPr>
            </w:pPr>
            <w:r>
              <w:rPr>
                <w:rFonts w:ascii="Times New Roman" w:hAnsi="Times New Roman" w:cs="Times New Roman"/>
                <w:sz w:val="16"/>
                <w:szCs w:val="16"/>
              </w:rPr>
              <w:t>3.尾矿库下游1公里范围内不得新设置居民区、工矿企业、集贸市场、休闲健身娱乐广场等人员密集场所。</w:t>
            </w:r>
          </w:p>
        </w:tc>
        <w:tc>
          <w:tcPr>
            <w:tcW w:w="4390"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1.做好尾矿库监管，减少矿区废水排放和大气污染，推进废弃矿坑生态修复与综合利用。</w:t>
            </w:r>
          </w:p>
          <w:p>
            <w:pPr>
              <w:snapToGrid w:val="0"/>
              <w:rPr>
                <w:rFonts w:ascii="Times New Roman" w:hAnsi="Times New Roman" w:cs="Times New Roman"/>
                <w:sz w:val="16"/>
                <w:szCs w:val="16"/>
              </w:rPr>
            </w:pPr>
            <w:r>
              <w:rPr>
                <w:rFonts w:ascii="Times New Roman" w:hAnsi="Times New Roman" w:cs="Times New Roman"/>
                <w:sz w:val="16"/>
                <w:szCs w:val="16"/>
              </w:rPr>
              <w:t>2.规模化畜禽养殖场、养殖小区应有序完成畜禽粪便处理利用设施和污水收集处理设施配套建设，防止造成面源污染。</w:t>
            </w:r>
          </w:p>
          <w:p>
            <w:pPr>
              <w:snapToGrid w:val="0"/>
              <w:rPr>
                <w:rFonts w:ascii="Times New Roman" w:hAnsi="Times New Roman" w:cs="Times New Roman"/>
                <w:sz w:val="16"/>
                <w:szCs w:val="16"/>
              </w:rPr>
            </w:pPr>
            <w:r>
              <w:rPr>
                <w:rFonts w:ascii="Times New Roman" w:hAnsi="Times New Roman" w:cs="Times New Roman"/>
                <w:sz w:val="16"/>
                <w:szCs w:val="16"/>
              </w:rPr>
              <w:t>3.工业企业应加强氟化物和总磷污染物排放的管控。</w:t>
            </w:r>
          </w:p>
          <w:p>
            <w:pPr>
              <w:snapToGrid w:val="0"/>
              <w:rPr>
                <w:rFonts w:ascii="Times New Roman" w:hAnsi="Times New Roman" w:cs="Times New Roman"/>
                <w:sz w:val="16"/>
                <w:szCs w:val="16"/>
              </w:rPr>
            </w:pPr>
            <w:r>
              <w:rPr>
                <w:rFonts w:ascii="Times New Roman" w:hAnsi="Times New Roman" w:cs="Times New Roman"/>
                <w:sz w:val="16"/>
                <w:szCs w:val="16"/>
              </w:rPr>
              <w:t>4.完善市政配套设施建设，结合“厕所改革”等行动，加快农村生活污水处理设施建设，推进农村生活污水整治。</w:t>
            </w:r>
          </w:p>
        </w:tc>
        <w:tc>
          <w:tcPr>
            <w:tcW w:w="1418"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1.工业企业产生的固体废物特别是危险废物应严格按照国家规定综合利用或妥善处置，严防二次污染。</w:t>
            </w:r>
          </w:p>
          <w:p>
            <w:pPr>
              <w:snapToGrid w:val="0"/>
              <w:rPr>
                <w:rFonts w:ascii="Times New Roman" w:hAnsi="Times New Roman" w:cs="Times New Roman"/>
                <w:sz w:val="16"/>
                <w:szCs w:val="16"/>
              </w:rPr>
            </w:pPr>
            <w:r>
              <w:rPr>
                <w:rFonts w:ascii="Times New Roman" w:hAnsi="Times New Roman" w:cs="Times New Roman"/>
                <w:sz w:val="16"/>
                <w:szCs w:val="16"/>
              </w:rPr>
              <w:t>2.建立健全环境风险事故防范措施和应急预案，严防环境安全事故发生。</w:t>
            </w:r>
          </w:p>
          <w:p>
            <w:pPr>
              <w:snapToGrid w:val="0"/>
              <w:rPr>
                <w:rFonts w:ascii="Times New Roman" w:hAnsi="Times New Roman" w:cs="Times New Roman"/>
                <w:sz w:val="16"/>
                <w:szCs w:val="16"/>
              </w:rPr>
            </w:pPr>
            <w:r>
              <w:rPr>
                <w:rFonts w:ascii="Times New Roman" w:hAnsi="Times New Roman" w:cs="Times New Roman"/>
                <w:sz w:val="16"/>
                <w:szCs w:val="16"/>
              </w:rPr>
              <w:t>3.严格尾矿库建设项目准入，严把新（改、扩）建尾矿库立项、用地、环保、安全准入关，严控新增环境污染风险。完善防渗漏和防扬散措施，建设地下水水质监测井并定期监测。</w:t>
            </w:r>
          </w:p>
        </w:tc>
        <w:tc>
          <w:tcPr>
            <w:tcW w:w="1195"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1.推广集中供能和清洁能源利用。</w:t>
            </w:r>
          </w:p>
          <w:p>
            <w:pPr>
              <w:snapToGrid w:val="0"/>
              <w:rPr>
                <w:rFonts w:ascii="Times New Roman" w:hAnsi="Times New Roman" w:cs="Times New Roman"/>
                <w:sz w:val="16"/>
                <w:szCs w:val="16"/>
              </w:rPr>
            </w:pPr>
            <w:r>
              <w:rPr>
                <w:rFonts w:ascii="Times New Roman" w:hAnsi="Times New Roman" w:cs="Times New Roman"/>
                <w:sz w:val="16"/>
                <w:szCs w:val="16"/>
              </w:rPr>
              <w:t>2.鼓励推广节水器具、节水工艺等，发展节水农业，提高水资源利用效率。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2</w:t>
            </w:r>
          </w:p>
        </w:tc>
        <w:tc>
          <w:tcPr>
            <w:tcW w:w="1316"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ZH37028310002</w:t>
            </w:r>
          </w:p>
        </w:tc>
        <w:tc>
          <w:tcPr>
            <w:tcW w:w="699"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大泽山镇</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山东省</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青岛市</w:t>
            </w:r>
          </w:p>
        </w:tc>
        <w:tc>
          <w:tcPr>
            <w:tcW w:w="43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平度市</w:t>
            </w:r>
          </w:p>
        </w:tc>
        <w:tc>
          <w:tcPr>
            <w:tcW w:w="70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优先保护单元</w:t>
            </w:r>
          </w:p>
        </w:tc>
        <w:tc>
          <w:tcPr>
            <w:tcW w:w="1135" w:type="dxa"/>
            <w:vAlign w:val="center"/>
          </w:tcPr>
          <w:p>
            <w:pPr>
              <w:snapToGrid w:val="0"/>
              <w:jc w:val="left"/>
              <w:rPr>
                <w:rFonts w:ascii="Times New Roman" w:hAnsi="Times New Roman" w:cs="Times New Roman"/>
                <w:sz w:val="16"/>
                <w:szCs w:val="16"/>
              </w:rPr>
            </w:pPr>
            <w:r>
              <w:rPr>
                <w:rFonts w:hint="eastAsia" w:ascii="Times New Roman" w:hAnsi="Times New Roman" w:cs="Times New Roman"/>
                <w:sz w:val="16"/>
                <w:szCs w:val="16"/>
                <w:lang w:val="en-US" w:eastAsia="zh-CN"/>
              </w:rPr>
              <w:t>大泽山自然保护区、</w:t>
            </w:r>
            <w:r>
              <w:rPr>
                <w:rFonts w:ascii="Times New Roman" w:hAnsi="Times New Roman" w:cs="Times New Roman"/>
                <w:sz w:val="16"/>
                <w:szCs w:val="16"/>
              </w:rPr>
              <w:t>大泽山风景名胜区一般生态空间、淄阳河、大泽山水库、淄阳水库、茶山水库、涧口水库、水环境一般管控区、大气环境一般管控区、大气环境受体敏感区</w:t>
            </w:r>
          </w:p>
        </w:tc>
        <w:tc>
          <w:tcPr>
            <w:tcW w:w="1414"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1.风景名胜区严格落实《风景名胜区条例》等要求。</w:t>
            </w:r>
          </w:p>
          <w:p>
            <w:pPr>
              <w:snapToGrid w:val="0"/>
              <w:jc w:val="left"/>
              <w:rPr>
                <w:rFonts w:ascii="Times New Roman" w:hAnsi="Times New Roman" w:cs="Times New Roman"/>
                <w:sz w:val="16"/>
                <w:szCs w:val="16"/>
              </w:rPr>
            </w:pPr>
            <w:r>
              <w:rPr>
                <w:rFonts w:ascii="Times New Roman" w:hAnsi="Times New Roman" w:cs="Times New Roman"/>
                <w:sz w:val="16"/>
                <w:szCs w:val="16"/>
              </w:rPr>
              <w:t>2.依据《山东省环境保护条例》中产业结构调整和产业布局优化的要求，引导工业企业入驻工业园区。</w:t>
            </w:r>
          </w:p>
          <w:p>
            <w:pPr>
              <w:snapToGrid w:val="0"/>
              <w:jc w:val="left"/>
              <w:rPr>
                <w:rFonts w:ascii="Times New Roman" w:hAnsi="Times New Roman" w:cs="Times New Roman"/>
                <w:sz w:val="16"/>
                <w:szCs w:val="16"/>
              </w:rPr>
            </w:pPr>
            <w:r>
              <w:rPr>
                <w:rFonts w:ascii="Times New Roman" w:hAnsi="Times New Roman" w:cs="Times New Roman"/>
                <w:sz w:val="16"/>
                <w:szCs w:val="16"/>
              </w:rPr>
              <w:t>3.鼓励积极发展现代农业、生态农业及特色旅游业。</w:t>
            </w:r>
          </w:p>
        </w:tc>
        <w:tc>
          <w:tcPr>
            <w:tcW w:w="4390"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机械制造行业下料、机械加工、抛丸、打磨、喷砂、清理滚筒、热处理、化学预处理、电镀等环节设置废气有效收集治理设施。焊接环节根据作业点位数配备焊接烟尘净化器，或设置专门操作间并设置集气系统对焊接烟尘进行有效收集治理。涂装环节落实表面涂装行业的控制VOCs排放等要求。</w:t>
            </w:r>
          </w:p>
          <w:p>
            <w:pPr>
              <w:snapToGrid w:val="0"/>
              <w:rPr>
                <w:rFonts w:ascii="Times New Roman" w:hAnsi="Times New Roman" w:cs="Times New Roman"/>
                <w:sz w:val="16"/>
                <w:szCs w:val="16"/>
              </w:rPr>
            </w:pPr>
            <w:r>
              <w:rPr>
                <w:rFonts w:ascii="Times New Roman" w:hAnsi="Times New Roman" w:cs="Times New Roman"/>
                <w:sz w:val="16"/>
                <w:szCs w:val="16"/>
              </w:rPr>
              <w:t>2.强化含氟废水排放企业的环境监管。对含氟废水排放不能满足周边水体功能区要求的，依法依规责令限期整治或停产整治。</w:t>
            </w:r>
          </w:p>
          <w:p>
            <w:pPr>
              <w:snapToGrid w:val="0"/>
              <w:rPr>
                <w:rFonts w:ascii="Times New Roman" w:hAnsi="Times New Roman" w:cs="Times New Roman"/>
                <w:sz w:val="16"/>
                <w:szCs w:val="16"/>
              </w:rPr>
            </w:pPr>
            <w:r>
              <w:rPr>
                <w:rFonts w:ascii="Times New Roman" w:hAnsi="Times New Roman" w:cs="Times New Roman"/>
                <w:sz w:val="16"/>
                <w:szCs w:val="16"/>
              </w:rPr>
              <w:t>3.做好尾矿库监管，减少矿区废水排放和大气污染，推进废弃矿坑生态修复与综合利用。</w:t>
            </w:r>
          </w:p>
          <w:p>
            <w:pPr>
              <w:snapToGrid w:val="0"/>
              <w:rPr>
                <w:rFonts w:ascii="Times New Roman" w:hAnsi="Times New Roman" w:cs="Times New Roman"/>
                <w:sz w:val="16"/>
                <w:szCs w:val="16"/>
              </w:rPr>
            </w:pPr>
            <w:r>
              <w:rPr>
                <w:rFonts w:ascii="Times New Roman" w:hAnsi="Times New Roman" w:cs="Times New Roman"/>
                <w:sz w:val="16"/>
                <w:szCs w:val="16"/>
              </w:rPr>
              <w:t>4.完善市政配套设施建设，结合“厕所改革”等行动，加快农村生活污水处理设施建设，推进农村生活污水整治。</w:t>
            </w:r>
          </w:p>
          <w:p>
            <w:pPr>
              <w:snapToGrid w:val="0"/>
              <w:rPr>
                <w:rFonts w:ascii="Times New Roman" w:hAnsi="Times New Roman" w:cs="Times New Roman"/>
                <w:sz w:val="16"/>
                <w:szCs w:val="16"/>
              </w:rPr>
            </w:pPr>
            <w:r>
              <w:rPr>
                <w:rFonts w:ascii="Times New Roman" w:hAnsi="Times New Roman" w:cs="Times New Roman"/>
                <w:sz w:val="16"/>
                <w:szCs w:val="16"/>
              </w:rPr>
              <w:t>5.加快泽河沿线石材加工、化工、铸造、炭素生产、废塑料加工等“散乱污”企业整治。</w:t>
            </w:r>
          </w:p>
        </w:tc>
        <w:tc>
          <w:tcPr>
            <w:tcW w:w="1418"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1.规范固体废物的处理措施，对工业企业产生的固体废物特别是危险废物应严格按照国家规定综合利用或妥善处置，严防二次污染。</w:t>
            </w:r>
          </w:p>
          <w:p>
            <w:pPr>
              <w:snapToGrid w:val="0"/>
              <w:rPr>
                <w:rFonts w:ascii="Times New Roman" w:hAnsi="Times New Roman" w:cs="Times New Roman"/>
                <w:sz w:val="16"/>
                <w:szCs w:val="16"/>
              </w:rPr>
            </w:pPr>
            <w:r>
              <w:rPr>
                <w:rFonts w:ascii="Times New Roman" w:hAnsi="Times New Roman" w:cs="Times New Roman"/>
                <w:sz w:val="16"/>
                <w:szCs w:val="16"/>
              </w:rPr>
              <w:t>2.建立健全环境风险事故防范措施和应急预案，严防环境安全事故发生。</w:t>
            </w:r>
          </w:p>
        </w:tc>
        <w:tc>
          <w:tcPr>
            <w:tcW w:w="1195"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1.鼓励推广节水器具、节水工艺等，发展节水农业，提高水资源利用效率。</w:t>
            </w:r>
          </w:p>
          <w:p>
            <w:pPr>
              <w:snapToGrid w:val="0"/>
              <w:rPr>
                <w:rFonts w:ascii="Times New Roman" w:hAnsi="Times New Roman" w:cs="Times New Roman"/>
                <w:sz w:val="16"/>
                <w:szCs w:val="16"/>
              </w:rPr>
            </w:pPr>
            <w:r>
              <w:rPr>
                <w:rFonts w:ascii="Times New Roman" w:hAnsi="Times New Roman" w:cs="Times New Roman"/>
                <w:sz w:val="16"/>
                <w:szCs w:val="16"/>
              </w:rPr>
              <w:t>2.稳妥推进尾矿资源综合利用。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3</w:t>
            </w:r>
          </w:p>
        </w:tc>
        <w:tc>
          <w:tcPr>
            <w:tcW w:w="1316"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ZH37028310003</w:t>
            </w:r>
          </w:p>
        </w:tc>
        <w:tc>
          <w:tcPr>
            <w:tcW w:w="699"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东阁街道</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山东省</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青岛市</w:t>
            </w:r>
          </w:p>
        </w:tc>
        <w:tc>
          <w:tcPr>
            <w:tcW w:w="43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平度市</w:t>
            </w:r>
          </w:p>
        </w:tc>
        <w:tc>
          <w:tcPr>
            <w:tcW w:w="70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优先保护单元</w:t>
            </w:r>
          </w:p>
        </w:tc>
        <w:tc>
          <w:tcPr>
            <w:tcW w:w="1135" w:type="dxa"/>
            <w:vAlign w:val="center"/>
          </w:tcPr>
          <w:p>
            <w:pPr>
              <w:snapToGrid w:val="0"/>
              <w:jc w:val="left"/>
              <w:rPr>
                <w:rFonts w:ascii="Times New Roman" w:hAnsi="Times New Roman" w:cs="Times New Roman"/>
                <w:sz w:val="16"/>
                <w:szCs w:val="16"/>
              </w:rPr>
            </w:pPr>
            <w:r>
              <w:rPr>
                <w:rFonts w:hint="eastAsia" w:ascii="Times New Roman" w:hAnsi="Times New Roman" w:cs="Times New Roman"/>
                <w:sz w:val="16"/>
                <w:szCs w:val="16"/>
                <w:lang w:val="en-US" w:eastAsia="zh-CN"/>
              </w:rPr>
              <w:t>大泽山自然保护区、</w:t>
            </w:r>
            <w:r>
              <w:rPr>
                <w:rFonts w:ascii="Times New Roman" w:hAnsi="Times New Roman" w:cs="Times New Roman"/>
                <w:sz w:val="16"/>
                <w:szCs w:val="16"/>
              </w:rPr>
              <w:t>大泽山风景名胜区、崮山地下水一般生态空间、黄山水库、双庙水库、水源涵养区、一般管控区、大气弱扩散敏感区、大气环境受体敏感区</w:t>
            </w:r>
          </w:p>
        </w:tc>
        <w:tc>
          <w:tcPr>
            <w:tcW w:w="1414"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1.风景名胜区严格落实《风景名胜区条例》等要求。</w:t>
            </w:r>
          </w:p>
          <w:p>
            <w:pPr>
              <w:snapToGrid w:val="0"/>
              <w:jc w:val="left"/>
              <w:rPr>
                <w:rFonts w:ascii="Times New Roman" w:hAnsi="Times New Roman" w:cs="Times New Roman"/>
                <w:sz w:val="16"/>
                <w:szCs w:val="16"/>
              </w:rPr>
            </w:pPr>
            <w:r>
              <w:rPr>
                <w:rFonts w:ascii="Times New Roman" w:hAnsi="Times New Roman" w:cs="Times New Roman"/>
                <w:sz w:val="16"/>
                <w:szCs w:val="16"/>
              </w:rPr>
              <w:t>2.饮用水源保护区严格按照《中华人民共和国水污染防治法》《山东省水污染防治条例》</w:t>
            </w:r>
            <w:r>
              <w:rPr>
                <w:rFonts w:hint="eastAsia" w:ascii="Times New Roman" w:hAnsi="Times New Roman" w:cs="Times New Roman"/>
                <w:sz w:val="16"/>
                <w:szCs w:val="16"/>
                <w:lang w:eastAsia="zh-CN"/>
              </w:rPr>
              <w:t>《青岛市饮用水水源保护条例》</w:t>
            </w:r>
            <w:r>
              <w:rPr>
                <w:rFonts w:ascii="Times New Roman" w:hAnsi="Times New Roman" w:cs="Times New Roman"/>
                <w:sz w:val="16"/>
                <w:szCs w:val="16"/>
              </w:rPr>
              <w:t>及相关法律法规实施保护管理。</w:t>
            </w:r>
          </w:p>
          <w:p>
            <w:pPr>
              <w:snapToGrid w:val="0"/>
              <w:jc w:val="left"/>
              <w:rPr>
                <w:rFonts w:ascii="Times New Roman" w:hAnsi="Times New Roman" w:cs="Times New Roman"/>
                <w:sz w:val="16"/>
                <w:szCs w:val="16"/>
              </w:rPr>
            </w:pPr>
            <w:r>
              <w:rPr>
                <w:rFonts w:ascii="Times New Roman" w:hAnsi="Times New Roman" w:cs="Times New Roman"/>
                <w:sz w:val="16"/>
                <w:szCs w:val="16"/>
              </w:rPr>
              <w:t>3.依据《山东省环境保护条例》中产业结构调整和产业布局优化的要求，引导工业企业入驻工业园区。</w:t>
            </w:r>
          </w:p>
        </w:tc>
        <w:tc>
          <w:tcPr>
            <w:tcW w:w="4390"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建材行业加强物料运输、装卸、储存、输送、生产等各环节无组织排放管控。矿石料场设置防风抑尘网或封闭。石子、页岩、煤矸石、煤、粘土、矿渣、石膏、炉渣等封闭储存。熟料、粉煤灰、矿粉和除尘灰等密闭储存。石子、页岩、煤等物料破碎、筛分、搅拌、粉磨等设备采取密闭措施，并配备有效集尘除尘设施。袋装水泥包装下料口、装车点位和散装水泥装车配备有效集尘除尘设施。实施雨污管网等排水设施建设改造，加强污水收集管网体系的管理和维护，推进老城区雨污分流改造，加快推进再生水循环利用。</w:t>
            </w:r>
          </w:p>
          <w:p>
            <w:pPr>
              <w:snapToGrid w:val="0"/>
              <w:rPr>
                <w:rFonts w:ascii="Times New Roman" w:hAnsi="Times New Roman" w:cs="Times New Roman"/>
                <w:sz w:val="16"/>
                <w:szCs w:val="16"/>
              </w:rPr>
            </w:pPr>
            <w:r>
              <w:rPr>
                <w:rFonts w:ascii="Times New Roman" w:hAnsi="Times New Roman" w:cs="Times New Roman"/>
                <w:sz w:val="16"/>
                <w:szCs w:val="16"/>
              </w:rPr>
              <w:t>2.做好生活垃圾和工业固体废物分类收集、转运、综合利用和无害化处理。</w:t>
            </w:r>
          </w:p>
          <w:p>
            <w:pPr>
              <w:snapToGrid w:val="0"/>
              <w:rPr>
                <w:rFonts w:ascii="Times New Roman" w:hAnsi="Times New Roman" w:cs="Times New Roman"/>
                <w:sz w:val="16"/>
                <w:szCs w:val="16"/>
              </w:rPr>
            </w:pPr>
            <w:r>
              <w:rPr>
                <w:rFonts w:ascii="Times New Roman" w:hAnsi="Times New Roman" w:cs="Times New Roman"/>
                <w:sz w:val="16"/>
                <w:szCs w:val="16"/>
              </w:rPr>
              <w:t>3.加强餐饮业油烟治理，完善厨余垃圾收运系统。</w:t>
            </w:r>
          </w:p>
        </w:tc>
        <w:tc>
          <w:tcPr>
            <w:tcW w:w="1418"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1.工业企业产生的固体废物特别是危险废物应严格按照国家规定综合利用或妥善处置，严防二次污染。</w:t>
            </w:r>
          </w:p>
          <w:p>
            <w:pPr>
              <w:snapToGrid w:val="0"/>
              <w:rPr>
                <w:rFonts w:ascii="Times New Roman" w:hAnsi="Times New Roman" w:cs="Times New Roman"/>
                <w:sz w:val="16"/>
                <w:szCs w:val="16"/>
              </w:rPr>
            </w:pPr>
            <w:r>
              <w:rPr>
                <w:rFonts w:ascii="Times New Roman" w:hAnsi="Times New Roman" w:cs="Times New Roman"/>
                <w:sz w:val="16"/>
                <w:szCs w:val="16"/>
              </w:rPr>
              <w:t>2.建立健全环境风险事故防范措施和应急预案，严防环境安全事故发生。</w:t>
            </w:r>
          </w:p>
          <w:p>
            <w:pPr>
              <w:snapToGrid w:val="0"/>
              <w:rPr>
                <w:rFonts w:ascii="Times New Roman" w:hAnsi="Times New Roman" w:cs="Times New Roman"/>
                <w:sz w:val="16"/>
                <w:szCs w:val="16"/>
              </w:rPr>
            </w:pPr>
            <w:r>
              <w:rPr>
                <w:rFonts w:ascii="Times New Roman" w:hAnsi="Times New Roman" w:cs="Times New Roman"/>
                <w:sz w:val="16"/>
                <w:szCs w:val="16"/>
              </w:rPr>
              <w:t>3.生活垃圾处理厂做好防渗防漏，防范地下水污染。</w:t>
            </w:r>
          </w:p>
        </w:tc>
        <w:tc>
          <w:tcPr>
            <w:tcW w:w="1195"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1.推广集中供能和清洁能源利用。</w:t>
            </w:r>
          </w:p>
          <w:p>
            <w:pPr>
              <w:snapToGrid w:val="0"/>
              <w:rPr>
                <w:rFonts w:ascii="Times New Roman" w:hAnsi="Times New Roman" w:cs="Times New Roman"/>
                <w:sz w:val="16"/>
                <w:szCs w:val="16"/>
              </w:rPr>
            </w:pPr>
            <w:r>
              <w:rPr>
                <w:rFonts w:ascii="Times New Roman" w:hAnsi="Times New Roman" w:cs="Times New Roman"/>
                <w:sz w:val="16"/>
                <w:szCs w:val="16"/>
              </w:rPr>
              <w:t>2.鼓励推广节水器具、节水工艺等，提高水资源利用效率。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4</w:t>
            </w:r>
          </w:p>
        </w:tc>
        <w:tc>
          <w:tcPr>
            <w:tcW w:w="1316"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ZH37028310004</w:t>
            </w:r>
          </w:p>
        </w:tc>
        <w:tc>
          <w:tcPr>
            <w:tcW w:w="699"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仁兆镇</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山东省</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青岛市</w:t>
            </w:r>
          </w:p>
        </w:tc>
        <w:tc>
          <w:tcPr>
            <w:tcW w:w="43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平度市</w:t>
            </w:r>
          </w:p>
        </w:tc>
        <w:tc>
          <w:tcPr>
            <w:tcW w:w="70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优先保护单元</w:t>
            </w:r>
          </w:p>
        </w:tc>
        <w:tc>
          <w:tcPr>
            <w:tcW w:w="1135"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大沽河生态廊道、一般生态空间、大沽河、水环境农业面源重点管控区、大气弱扩散敏感区、仁兆镇岚西村井群、大气环境受体敏感区</w:t>
            </w:r>
          </w:p>
        </w:tc>
        <w:tc>
          <w:tcPr>
            <w:tcW w:w="1414"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1.严格落实《青岛市大沽河管理办法》等大沽河建设和保护相关要求。</w:t>
            </w:r>
          </w:p>
          <w:p>
            <w:pPr>
              <w:snapToGrid w:val="0"/>
              <w:jc w:val="left"/>
              <w:rPr>
                <w:rFonts w:ascii="Times New Roman" w:hAnsi="Times New Roman" w:cs="Times New Roman"/>
                <w:sz w:val="16"/>
                <w:szCs w:val="16"/>
              </w:rPr>
            </w:pPr>
            <w:r>
              <w:rPr>
                <w:rFonts w:ascii="Times New Roman" w:hAnsi="Times New Roman" w:cs="Times New Roman"/>
                <w:sz w:val="16"/>
                <w:szCs w:val="16"/>
              </w:rPr>
              <w:t>2.饮用水源保护区严格按照《中华人民共和国水污染防治法》《山东省水污染防治条例》</w:t>
            </w:r>
            <w:r>
              <w:rPr>
                <w:rFonts w:hint="eastAsia" w:ascii="Times New Roman" w:hAnsi="Times New Roman" w:cs="Times New Roman"/>
                <w:sz w:val="16"/>
                <w:szCs w:val="16"/>
                <w:lang w:eastAsia="zh-CN"/>
              </w:rPr>
              <w:t>《青岛市饮用水水源保护条例》</w:t>
            </w:r>
            <w:r>
              <w:rPr>
                <w:rFonts w:ascii="Times New Roman" w:hAnsi="Times New Roman" w:cs="Times New Roman"/>
                <w:sz w:val="16"/>
                <w:szCs w:val="16"/>
              </w:rPr>
              <w:t>及相关法律法规实施保护管理。</w:t>
            </w:r>
          </w:p>
          <w:p>
            <w:pPr>
              <w:snapToGrid w:val="0"/>
              <w:jc w:val="left"/>
              <w:rPr>
                <w:rFonts w:ascii="Times New Roman" w:hAnsi="Times New Roman" w:cs="Times New Roman"/>
                <w:sz w:val="16"/>
                <w:szCs w:val="16"/>
              </w:rPr>
            </w:pPr>
            <w:r>
              <w:rPr>
                <w:rFonts w:ascii="Times New Roman" w:hAnsi="Times New Roman" w:cs="Times New Roman"/>
                <w:sz w:val="16"/>
                <w:szCs w:val="16"/>
              </w:rPr>
              <w:t>3.鼓励积极发展现代农业，推进生态旅游。</w:t>
            </w:r>
          </w:p>
        </w:tc>
        <w:tc>
          <w:tcPr>
            <w:tcW w:w="4390"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1.做好农村生活垃圾集中分类收集、转运、综合利用和无害化处理。农药包装袋（瓶）及农膜的回收，提升固体废物的资源化综合利用率。</w:t>
            </w:r>
          </w:p>
          <w:p>
            <w:pPr>
              <w:snapToGrid w:val="0"/>
              <w:rPr>
                <w:rFonts w:ascii="Times New Roman" w:hAnsi="Times New Roman" w:cs="Times New Roman"/>
                <w:sz w:val="16"/>
                <w:szCs w:val="16"/>
              </w:rPr>
            </w:pPr>
            <w:r>
              <w:rPr>
                <w:rFonts w:ascii="Times New Roman" w:hAnsi="Times New Roman" w:cs="Times New Roman"/>
                <w:sz w:val="16"/>
                <w:szCs w:val="16"/>
              </w:rPr>
              <w:t>2.加快农村生活污水处理设施建设，推进农村生活污水整治。</w:t>
            </w:r>
          </w:p>
          <w:p>
            <w:pPr>
              <w:snapToGrid w:val="0"/>
              <w:rPr>
                <w:rFonts w:ascii="Times New Roman" w:hAnsi="Times New Roman" w:cs="Times New Roman"/>
                <w:sz w:val="16"/>
                <w:szCs w:val="16"/>
              </w:rPr>
            </w:pPr>
            <w:r>
              <w:rPr>
                <w:rFonts w:ascii="Times New Roman" w:hAnsi="Times New Roman" w:cs="Times New Roman"/>
                <w:sz w:val="16"/>
                <w:szCs w:val="16"/>
              </w:rPr>
              <w:t>3.推广农作物病虫害绿色防控技术，推行科学种植，合理使用化肥农药，减少农业面源污染。</w:t>
            </w:r>
          </w:p>
          <w:p>
            <w:pPr>
              <w:snapToGrid w:val="0"/>
              <w:rPr>
                <w:rFonts w:ascii="Times New Roman" w:hAnsi="Times New Roman" w:cs="Times New Roman"/>
                <w:sz w:val="16"/>
                <w:szCs w:val="16"/>
              </w:rPr>
            </w:pPr>
            <w:r>
              <w:rPr>
                <w:rFonts w:ascii="Times New Roman" w:hAnsi="Times New Roman" w:cs="Times New Roman"/>
                <w:sz w:val="16"/>
                <w:szCs w:val="16"/>
              </w:rPr>
              <w:t>4.规模化畜禽养殖场、养殖小区应有序完成畜禽粪便处理利用设施和污水收集处理设施配套建设，防止造成面源污染。</w:t>
            </w:r>
          </w:p>
        </w:tc>
        <w:tc>
          <w:tcPr>
            <w:tcW w:w="1418"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1.建立健全环境风险事故防范措施和应急预案，严防环境安全事故发生。</w:t>
            </w:r>
          </w:p>
        </w:tc>
        <w:tc>
          <w:tcPr>
            <w:tcW w:w="1195"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1.推广集中供能和清洁能源利用。</w:t>
            </w:r>
          </w:p>
          <w:p>
            <w:pPr>
              <w:snapToGrid w:val="0"/>
              <w:rPr>
                <w:rFonts w:ascii="Times New Roman" w:hAnsi="Times New Roman" w:cs="Times New Roman"/>
                <w:sz w:val="16"/>
                <w:szCs w:val="16"/>
              </w:rPr>
            </w:pPr>
            <w:r>
              <w:rPr>
                <w:rFonts w:ascii="Times New Roman" w:hAnsi="Times New Roman" w:cs="Times New Roman"/>
                <w:sz w:val="16"/>
                <w:szCs w:val="16"/>
              </w:rPr>
              <w:t>2.鼓励推广节水器具、节水工艺等，提高水资源利用效率。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5</w:t>
            </w:r>
          </w:p>
        </w:tc>
        <w:tc>
          <w:tcPr>
            <w:tcW w:w="1316"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ZH37028330006</w:t>
            </w:r>
          </w:p>
        </w:tc>
        <w:tc>
          <w:tcPr>
            <w:tcW w:w="699"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店子镇</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山东省</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青岛市</w:t>
            </w:r>
          </w:p>
        </w:tc>
        <w:tc>
          <w:tcPr>
            <w:tcW w:w="43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平度市</w:t>
            </w:r>
          </w:p>
        </w:tc>
        <w:tc>
          <w:tcPr>
            <w:tcW w:w="70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一般管控单元</w:t>
            </w:r>
          </w:p>
        </w:tc>
        <w:tc>
          <w:tcPr>
            <w:tcW w:w="1135" w:type="dxa"/>
            <w:vAlign w:val="center"/>
          </w:tcPr>
          <w:p>
            <w:pPr>
              <w:snapToGrid w:val="0"/>
              <w:jc w:val="left"/>
              <w:rPr>
                <w:rFonts w:ascii="Times New Roman" w:hAnsi="Times New Roman" w:cs="Times New Roman"/>
                <w:sz w:val="16"/>
                <w:szCs w:val="16"/>
              </w:rPr>
            </w:pPr>
            <w:r>
              <w:rPr>
                <w:rFonts w:hint="eastAsia" w:ascii="Times New Roman" w:hAnsi="Times New Roman" w:cs="Times New Roman"/>
                <w:sz w:val="16"/>
                <w:szCs w:val="16"/>
                <w:lang w:val="en-US" w:eastAsia="zh-CN"/>
              </w:rPr>
              <w:t>大泽山自然保护区、</w:t>
            </w:r>
            <w:r>
              <w:rPr>
                <w:rFonts w:ascii="Times New Roman" w:hAnsi="Times New Roman" w:cs="Times New Roman"/>
                <w:sz w:val="16"/>
                <w:szCs w:val="16"/>
              </w:rPr>
              <w:t>大泽山风景名胜区、生态评估区域一般生态空间、双山水库、双山河、水环境农业面源重点管控区、大气环境一般管控区、大气环境受体敏感区</w:t>
            </w:r>
          </w:p>
        </w:tc>
        <w:tc>
          <w:tcPr>
            <w:tcW w:w="1414"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1.风景名胜区严格落实《风景名胜区条例》等要求。</w:t>
            </w:r>
          </w:p>
        </w:tc>
        <w:tc>
          <w:tcPr>
            <w:tcW w:w="4390"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1.加强农村生活源和农业种植面源污染的管控。推广农作物病虫害绿色防控技术，推行科学种植，合理使用化肥农药，减少农业面源污染。</w:t>
            </w:r>
          </w:p>
          <w:p>
            <w:pPr>
              <w:snapToGrid w:val="0"/>
              <w:rPr>
                <w:rFonts w:ascii="Times New Roman" w:hAnsi="Times New Roman" w:cs="Times New Roman"/>
                <w:sz w:val="16"/>
                <w:szCs w:val="16"/>
              </w:rPr>
            </w:pPr>
            <w:r>
              <w:rPr>
                <w:rFonts w:ascii="Times New Roman" w:hAnsi="Times New Roman" w:cs="Times New Roman"/>
                <w:sz w:val="16"/>
                <w:szCs w:val="16"/>
              </w:rPr>
              <w:t>2.铸造行业熔炼炉、熔化炉等装置配备有效集尘除尘设施，硅砂、焦炭、炉渣等封闭储存，煤粉、膨润土、涂料、树脂等密闭储存，浇注、冷却、造型、制芯等环节设置有效集尘除尘设施，开箱、落砂、旧砂回用再生、抛丸等环节采取密闭措施，配备有效集尘除尘设施，有机溶剂用密闭储存，制模、铸型、制芯、浇注、冷却涉VOCs排放工序均应采取收集处理措施。</w:t>
            </w:r>
          </w:p>
        </w:tc>
        <w:tc>
          <w:tcPr>
            <w:tcW w:w="1418"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1.工业企业产生的固体废物特别是危险废物应严格按照国家规定综合利用或妥善处置，严防二次污染。</w:t>
            </w:r>
          </w:p>
          <w:p>
            <w:pPr>
              <w:snapToGrid w:val="0"/>
              <w:rPr>
                <w:rFonts w:ascii="Times New Roman" w:hAnsi="Times New Roman" w:cs="Times New Roman"/>
                <w:sz w:val="16"/>
                <w:szCs w:val="16"/>
              </w:rPr>
            </w:pPr>
            <w:r>
              <w:rPr>
                <w:rFonts w:ascii="Times New Roman" w:hAnsi="Times New Roman" w:cs="Times New Roman"/>
                <w:sz w:val="16"/>
                <w:szCs w:val="16"/>
              </w:rPr>
              <w:t>2.建立健全环境风险事故防范措施和应急预案，严防环境安全事故发生。</w:t>
            </w:r>
          </w:p>
        </w:tc>
        <w:tc>
          <w:tcPr>
            <w:tcW w:w="1195"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1.推广集中供能和清洁能源利用。</w:t>
            </w:r>
          </w:p>
          <w:p>
            <w:pPr>
              <w:snapToGrid w:val="0"/>
              <w:rPr>
                <w:rFonts w:ascii="Times New Roman" w:hAnsi="Times New Roman" w:cs="Times New Roman"/>
                <w:sz w:val="16"/>
                <w:szCs w:val="16"/>
              </w:rPr>
            </w:pPr>
            <w:r>
              <w:rPr>
                <w:rFonts w:ascii="Times New Roman" w:hAnsi="Times New Roman" w:cs="Times New Roman"/>
                <w:sz w:val="16"/>
                <w:szCs w:val="16"/>
              </w:rPr>
              <w:t>2.鼓励推广节水器具、节水工艺等，提高水资源利用效率。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6</w:t>
            </w:r>
          </w:p>
        </w:tc>
        <w:tc>
          <w:tcPr>
            <w:tcW w:w="1316"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ZH37028320002</w:t>
            </w:r>
          </w:p>
        </w:tc>
        <w:tc>
          <w:tcPr>
            <w:tcW w:w="699"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云山镇</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山东省</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青岛市</w:t>
            </w:r>
          </w:p>
        </w:tc>
        <w:tc>
          <w:tcPr>
            <w:tcW w:w="43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平度市</w:t>
            </w:r>
          </w:p>
        </w:tc>
        <w:tc>
          <w:tcPr>
            <w:tcW w:w="70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重点管控单元</w:t>
            </w:r>
          </w:p>
        </w:tc>
        <w:tc>
          <w:tcPr>
            <w:tcW w:w="1135"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尹府水库、云山丈岭地下水、生态评估区域一般生态空间、猪洞河、落药河、尹府水库、云山丈岭地下水、农业面源重点管控区、大气弱扩散敏感区、大气环境受体敏感区</w:t>
            </w:r>
          </w:p>
        </w:tc>
        <w:tc>
          <w:tcPr>
            <w:tcW w:w="1414"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1.饮用水源保护区严格按照《中华人民共和国水污染防治法》《山东省水污染防治条例》</w:t>
            </w:r>
            <w:r>
              <w:rPr>
                <w:rFonts w:hint="eastAsia" w:ascii="Times New Roman" w:hAnsi="Times New Roman" w:cs="Times New Roman"/>
                <w:sz w:val="16"/>
                <w:szCs w:val="16"/>
                <w:lang w:eastAsia="zh-CN"/>
              </w:rPr>
              <w:t>《青岛市饮用水水源保护条例》</w:t>
            </w:r>
            <w:r>
              <w:rPr>
                <w:rFonts w:ascii="Times New Roman" w:hAnsi="Times New Roman" w:cs="Times New Roman"/>
                <w:sz w:val="16"/>
                <w:szCs w:val="16"/>
              </w:rPr>
              <w:t>及相关法律法规实施保护管理。</w:t>
            </w:r>
          </w:p>
          <w:p>
            <w:pPr>
              <w:snapToGrid w:val="0"/>
              <w:jc w:val="left"/>
              <w:rPr>
                <w:rFonts w:ascii="Times New Roman" w:hAnsi="Times New Roman" w:cs="Times New Roman"/>
                <w:sz w:val="16"/>
                <w:szCs w:val="16"/>
              </w:rPr>
            </w:pPr>
            <w:r>
              <w:rPr>
                <w:rFonts w:ascii="Times New Roman" w:hAnsi="Times New Roman" w:cs="Times New Roman"/>
                <w:sz w:val="16"/>
                <w:szCs w:val="16"/>
              </w:rPr>
              <w:t>2.鼓励发展现代种植业、生态农业及特色旅游业。</w:t>
            </w:r>
          </w:p>
        </w:tc>
        <w:tc>
          <w:tcPr>
            <w:tcW w:w="4390"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1.规模化畜禽养殖场、养殖小区应有序完成畜禽粪便处理利用设施和污水收集处理设施配套建设，防止造成面源污染。</w:t>
            </w:r>
          </w:p>
          <w:p>
            <w:pPr>
              <w:snapToGrid w:val="0"/>
              <w:rPr>
                <w:rFonts w:ascii="Times New Roman" w:hAnsi="Times New Roman" w:cs="Times New Roman"/>
                <w:sz w:val="16"/>
                <w:szCs w:val="16"/>
              </w:rPr>
            </w:pPr>
            <w:r>
              <w:rPr>
                <w:rFonts w:ascii="Times New Roman" w:hAnsi="Times New Roman" w:cs="Times New Roman"/>
                <w:sz w:val="16"/>
                <w:szCs w:val="16"/>
              </w:rPr>
              <w:t>2.推广农作物病虫害绿色防控技术，推行科学种植，合理使用化肥农药，削减农业面源污染。</w:t>
            </w:r>
          </w:p>
          <w:p>
            <w:pPr>
              <w:snapToGrid w:val="0"/>
              <w:rPr>
                <w:rFonts w:ascii="Times New Roman" w:hAnsi="Times New Roman" w:cs="Times New Roman"/>
                <w:sz w:val="16"/>
                <w:szCs w:val="16"/>
              </w:rPr>
            </w:pPr>
            <w:r>
              <w:rPr>
                <w:rFonts w:ascii="Times New Roman" w:hAnsi="Times New Roman" w:cs="Times New Roman"/>
                <w:sz w:val="16"/>
                <w:szCs w:val="16"/>
              </w:rPr>
              <w:t>3.机械制造行业下料、机械加工、抛丸、打磨、喷砂、清理滚筒、热处理、化学预处理等环节设置废气有效收集治理设施。焊接环节根据作业点位数配备焊接烟尘净化器，或设置专门操作间并设置集气系统对焊接烟尘进行有效收集治理。</w:t>
            </w:r>
          </w:p>
          <w:p>
            <w:pPr>
              <w:snapToGrid w:val="0"/>
              <w:rPr>
                <w:rFonts w:ascii="Times New Roman" w:hAnsi="Times New Roman" w:cs="Times New Roman"/>
                <w:sz w:val="16"/>
                <w:szCs w:val="16"/>
              </w:rPr>
            </w:pPr>
            <w:r>
              <w:rPr>
                <w:rFonts w:ascii="Times New Roman" w:hAnsi="Times New Roman" w:cs="Times New Roman"/>
                <w:sz w:val="16"/>
                <w:szCs w:val="16"/>
              </w:rPr>
              <w:t>4.涂装行业鼓励推进源头替代，引导使用低VOCs含量的涂料替代溶剂型引导使用低VOCs含量的涂料替代溶剂型涂料，从源头减少VOCs产生。推进使用先进生产工艺，鼓励企业采用自动化、智能化喷涂设备替代人工喷涂，减少使用空气喷涂技术。提高废气收集率。遵循“应收尽收、分质收集”的原则，科学设计废气收集系统，将无组织排放转变为有组织排放进行控制。涂料、稀释剂、清洗剂等原辅材料应密闭存储，调配、使用、回收等过程应采用密闭设备或在密闭空间内操作，采用密闭管道或密闭容器等输送。推进建设适宜高效的治污设施，合理选择治理技术，提高VOCs治理效率。</w:t>
            </w:r>
          </w:p>
        </w:tc>
        <w:tc>
          <w:tcPr>
            <w:tcW w:w="1418"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1.建立健全环境风险事故防范措施和应急预案，严防环境安全事故发生。</w:t>
            </w:r>
          </w:p>
        </w:tc>
        <w:tc>
          <w:tcPr>
            <w:tcW w:w="1195"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1.推广集中供能和清洁能源利用。</w:t>
            </w:r>
          </w:p>
          <w:p>
            <w:pPr>
              <w:snapToGrid w:val="0"/>
              <w:rPr>
                <w:rFonts w:ascii="Times New Roman" w:hAnsi="Times New Roman" w:cs="Times New Roman"/>
                <w:sz w:val="16"/>
                <w:szCs w:val="16"/>
              </w:rPr>
            </w:pPr>
            <w:r>
              <w:rPr>
                <w:rFonts w:ascii="Times New Roman" w:hAnsi="Times New Roman" w:cs="Times New Roman"/>
                <w:sz w:val="16"/>
                <w:szCs w:val="16"/>
              </w:rPr>
              <w:t>2.鼓励推广节水器具、节水工艺等，发展节水农业，提高水资源利用效率。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7</w:t>
            </w:r>
          </w:p>
        </w:tc>
        <w:tc>
          <w:tcPr>
            <w:tcW w:w="1316"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ZH37028320003</w:t>
            </w:r>
          </w:p>
        </w:tc>
        <w:tc>
          <w:tcPr>
            <w:tcW w:w="699"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李园街道</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山东省</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青岛市</w:t>
            </w:r>
          </w:p>
        </w:tc>
        <w:tc>
          <w:tcPr>
            <w:tcW w:w="43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平度市</w:t>
            </w:r>
          </w:p>
        </w:tc>
        <w:tc>
          <w:tcPr>
            <w:tcW w:w="70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重点管控单元</w:t>
            </w:r>
          </w:p>
        </w:tc>
        <w:tc>
          <w:tcPr>
            <w:tcW w:w="1135"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生态评估区域一般生态空间、双庙水库、双山水库、水环境城镇生活源重点管控区、大气环境一般管控区、大气环境受体敏感区</w:t>
            </w:r>
          </w:p>
        </w:tc>
        <w:tc>
          <w:tcPr>
            <w:tcW w:w="1414"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1.依据《山东省环境保护条例》中产业结构调整和产业布局优化的要求，引导工业企业入驻工业园区。</w:t>
            </w:r>
          </w:p>
          <w:p>
            <w:pPr>
              <w:snapToGrid w:val="0"/>
              <w:jc w:val="left"/>
              <w:rPr>
                <w:rFonts w:ascii="Times New Roman" w:hAnsi="Times New Roman" w:cs="Times New Roman"/>
                <w:sz w:val="16"/>
                <w:szCs w:val="16"/>
              </w:rPr>
            </w:pPr>
            <w:r>
              <w:rPr>
                <w:rFonts w:ascii="Times New Roman" w:hAnsi="Times New Roman" w:cs="Times New Roman"/>
                <w:sz w:val="16"/>
                <w:szCs w:val="16"/>
              </w:rPr>
              <w:t>2.积极发展商贸、现代服务、教育服务等第三产业，加快老工业园区新旧动能转换、产业转型升级。</w:t>
            </w:r>
          </w:p>
          <w:p>
            <w:pPr>
              <w:snapToGrid w:val="0"/>
              <w:jc w:val="left"/>
              <w:rPr>
                <w:rFonts w:ascii="Times New Roman" w:hAnsi="Times New Roman" w:cs="Times New Roman"/>
                <w:sz w:val="16"/>
                <w:szCs w:val="16"/>
              </w:rPr>
            </w:pPr>
            <w:r>
              <w:rPr>
                <w:rFonts w:ascii="Times New Roman" w:hAnsi="Times New Roman" w:cs="Times New Roman"/>
                <w:sz w:val="16"/>
                <w:szCs w:val="16"/>
              </w:rPr>
              <w:t>3.严格落实自然保护地等相关管理要求。</w:t>
            </w:r>
          </w:p>
        </w:tc>
        <w:tc>
          <w:tcPr>
            <w:tcW w:w="4390"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1.实施雨污管网等排水设施建设改造，加强污水收集管网体系的管理和维护，推进老城区雨污分流改造，加快推进再生水循环利用。</w:t>
            </w:r>
          </w:p>
          <w:p>
            <w:pPr>
              <w:snapToGrid w:val="0"/>
              <w:rPr>
                <w:rFonts w:ascii="Times New Roman" w:hAnsi="Times New Roman" w:cs="Times New Roman"/>
                <w:sz w:val="16"/>
                <w:szCs w:val="16"/>
              </w:rPr>
            </w:pPr>
            <w:r>
              <w:rPr>
                <w:rFonts w:ascii="Times New Roman" w:hAnsi="Times New Roman" w:cs="Times New Roman"/>
                <w:sz w:val="16"/>
                <w:szCs w:val="16"/>
              </w:rPr>
              <w:t>2.加快泽河沿线整治石材加工、化工、铸造、炭素生产、废塑料加工等“散乱污”企业整治。</w:t>
            </w:r>
          </w:p>
          <w:p>
            <w:pPr>
              <w:snapToGrid w:val="0"/>
              <w:rPr>
                <w:rFonts w:ascii="Times New Roman" w:hAnsi="Times New Roman" w:cs="Times New Roman"/>
                <w:sz w:val="16"/>
                <w:szCs w:val="16"/>
              </w:rPr>
            </w:pPr>
            <w:r>
              <w:rPr>
                <w:rFonts w:ascii="Times New Roman" w:hAnsi="Times New Roman" w:cs="Times New Roman"/>
                <w:sz w:val="16"/>
                <w:szCs w:val="16"/>
              </w:rPr>
              <w:t>3.强化含氟废水排放企业的环境监管。对含氟废水排放不能满足周边水体功能区要求的，依法依规责令限期整治或停产整治。</w:t>
            </w:r>
          </w:p>
          <w:p>
            <w:pPr>
              <w:snapToGrid w:val="0"/>
              <w:rPr>
                <w:rFonts w:ascii="Times New Roman" w:hAnsi="Times New Roman" w:cs="Times New Roman"/>
                <w:sz w:val="16"/>
                <w:szCs w:val="16"/>
              </w:rPr>
            </w:pPr>
            <w:r>
              <w:rPr>
                <w:rFonts w:ascii="Times New Roman" w:hAnsi="Times New Roman" w:cs="Times New Roman"/>
                <w:sz w:val="16"/>
                <w:szCs w:val="16"/>
              </w:rPr>
              <w:t>4.加强餐饮业油烟治理，完善厨余垃圾收运系统。</w:t>
            </w:r>
          </w:p>
        </w:tc>
        <w:tc>
          <w:tcPr>
            <w:tcW w:w="1418"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1.建立健全环境风险事故防范措施和应急预案，严防环境安全事故发生。</w:t>
            </w:r>
          </w:p>
        </w:tc>
        <w:tc>
          <w:tcPr>
            <w:tcW w:w="1195"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1.推广集中供能和清洁能源利用。</w:t>
            </w:r>
          </w:p>
          <w:p>
            <w:pPr>
              <w:snapToGrid w:val="0"/>
              <w:rPr>
                <w:rFonts w:ascii="Times New Roman" w:hAnsi="Times New Roman" w:cs="Times New Roman"/>
                <w:sz w:val="16"/>
                <w:szCs w:val="16"/>
              </w:rPr>
            </w:pPr>
            <w:r>
              <w:rPr>
                <w:rFonts w:ascii="Times New Roman" w:hAnsi="Times New Roman" w:cs="Times New Roman"/>
                <w:sz w:val="16"/>
                <w:szCs w:val="16"/>
              </w:rPr>
              <w:t>2.鼓励推广节水器具、节水工艺等，提高水资源利用效率。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8</w:t>
            </w:r>
          </w:p>
        </w:tc>
        <w:tc>
          <w:tcPr>
            <w:tcW w:w="1316"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ZH37028320004</w:t>
            </w:r>
          </w:p>
        </w:tc>
        <w:tc>
          <w:tcPr>
            <w:tcW w:w="699"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平度新河化工园</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山东省</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青岛市</w:t>
            </w:r>
          </w:p>
        </w:tc>
        <w:tc>
          <w:tcPr>
            <w:tcW w:w="43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平度市</w:t>
            </w:r>
          </w:p>
        </w:tc>
        <w:tc>
          <w:tcPr>
            <w:tcW w:w="70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重点管控单元</w:t>
            </w:r>
          </w:p>
        </w:tc>
        <w:tc>
          <w:tcPr>
            <w:tcW w:w="1135"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淄阳河、水环境一般管控区、高污染排放区</w:t>
            </w:r>
          </w:p>
        </w:tc>
        <w:tc>
          <w:tcPr>
            <w:tcW w:w="1414"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1.以精细化工、无机化工为主导，控制引进中小型石油化工、蓄电池项目，适当发展物流高新等相关配套产业。</w:t>
            </w:r>
          </w:p>
          <w:p>
            <w:pPr>
              <w:snapToGrid w:val="0"/>
              <w:jc w:val="left"/>
              <w:rPr>
                <w:rFonts w:ascii="Times New Roman" w:hAnsi="Times New Roman" w:cs="Times New Roman"/>
                <w:sz w:val="16"/>
                <w:szCs w:val="16"/>
              </w:rPr>
            </w:pPr>
            <w:r>
              <w:rPr>
                <w:rFonts w:ascii="Times New Roman" w:hAnsi="Times New Roman" w:cs="Times New Roman"/>
                <w:sz w:val="16"/>
                <w:szCs w:val="16"/>
              </w:rPr>
              <w:t>2.化工园区内化工投资项目应严格遵守相关法律法规，符合国家产业政策，严禁淘汰类项目，严控限制类项目，限制新建剧毒化学品项目。</w:t>
            </w:r>
          </w:p>
          <w:p>
            <w:pPr>
              <w:snapToGrid w:val="0"/>
              <w:spacing w:line="240" w:lineRule="auto"/>
              <w:ind w:firstLine="0" w:firstLineChars="0"/>
              <w:rPr>
                <w:rFonts w:hint="eastAsia" w:ascii="Times New Roman Regular" w:hAnsi="Times New Roman Regular" w:eastAsia="宋体" w:cs="Times New Roman Regular"/>
                <w:kern w:val="0"/>
                <w:sz w:val="16"/>
                <w:szCs w:val="16"/>
                <w:lang w:eastAsia="zh-CN"/>
              </w:rPr>
            </w:pPr>
            <w:r>
              <w:rPr>
                <w:rFonts w:hint="eastAsia" w:ascii="Times New Roman Regular" w:hAnsi="Times New Roman Regular" w:eastAsia="宋体" w:cs="Times New Roman Regular"/>
                <w:kern w:val="0"/>
                <w:sz w:val="16"/>
                <w:szCs w:val="16"/>
                <w:lang w:val="en-US" w:eastAsia="zh-CN"/>
              </w:rPr>
              <w:t>3.</w:t>
            </w:r>
            <w:r>
              <w:rPr>
                <w:rFonts w:ascii="Times New Roman Regular" w:hAnsi="Times New Roman Regular" w:eastAsia="宋体" w:cs="Times New Roman Regular"/>
                <w:kern w:val="0"/>
                <w:sz w:val="16"/>
                <w:szCs w:val="16"/>
              </w:rPr>
              <w:t>严禁新建、扩建限制类项目，严禁建设淘汰类项目。园区内不得新上与化工产业非紧密关联的非化工项目</w:t>
            </w:r>
            <w:r>
              <w:rPr>
                <w:rFonts w:hint="eastAsia" w:ascii="Times New Roman Regular" w:hAnsi="Times New Roman Regular" w:eastAsia="宋体" w:cs="Times New Roman Regular"/>
                <w:kern w:val="0"/>
                <w:sz w:val="16"/>
                <w:szCs w:val="16"/>
                <w:lang w:eastAsia="zh-CN"/>
              </w:rPr>
              <w:t>。</w:t>
            </w:r>
          </w:p>
          <w:p>
            <w:pPr>
              <w:snapToGrid w:val="0"/>
              <w:jc w:val="left"/>
              <w:rPr>
                <w:rFonts w:ascii="Times New Roman" w:hAnsi="Times New Roman" w:cs="Times New Roman"/>
                <w:sz w:val="16"/>
                <w:szCs w:val="16"/>
              </w:rPr>
            </w:pPr>
          </w:p>
        </w:tc>
        <w:tc>
          <w:tcPr>
            <w:tcW w:w="4390"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1.加强北胶莱河的污染物防控，强化COD、BOD、氨氮、氟化物等污染物排放总量控制，整治地下水井污染问题。</w:t>
            </w:r>
          </w:p>
          <w:p>
            <w:pPr>
              <w:snapToGrid w:val="0"/>
              <w:rPr>
                <w:rFonts w:ascii="Times New Roman" w:hAnsi="Times New Roman" w:cs="Times New Roman"/>
                <w:sz w:val="16"/>
                <w:szCs w:val="16"/>
              </w:rPr>
            </w:pPr>
            <w:r>
              <w:rPr>
                <w:rFonts w:ascii="Times New Roman" w:hAnsi="Times New Roman" w:cs="Times New Roman"/>
                <w:sz w:val="16"/>
                <w:szCs w:val="16"/>
              </w:rPr>
              <w:t>2.建设项目主要污染物排放总量指标等量或减量替代，持续降低工业园区大气污染物排放总量。</w:t>
            </w:r>
          </w:p>
          <w:p>
            <w:pPr>
              <w:snapToGrid w:val="0"/>
              <w:rPr>
                <w:rFonts w:ascii="Times New Roman" w:hAnsi="Times New Roman" w:cs="Times New Roman"/>
                <w:sz w:val="16"/>
                <w:szCs w:val="16"/>
              </w:rPr>
            </w:pPr>
            <w:r>
              <w:rPr>
                <w:rFonts w:ascii="Times New Roman" w:hAnsi="Times New Roman" w:cs="Times New Roman"/>
                <w:sz w:val="16"/>
                <w:szCs w:val="16"/>
              </w:rPr>
              <w:t>3.新上天然气锅炉配套低氮燃烧设施。2020年1月1日起，全面执行《山东省区域性大气污染物综合排放标准》第四时段大气污染物排放浓度限值。</w:t>
            </w:r>
          </w:p>
          <w:p>
            <w:pPr>
              <w:snapToGrid w:val="0"/>
              <w:rPr>
                <w:rFonts w:ascii="Times New Roman" w:hAnsi="Times New Roman" w:cs="Times New Roman"/>
                <w:sz w:val="16"/>
                <w:szCs w:val="16"/>
              </w:rPr>
            </w:pPr>
            <w:r>
              <w:rPr>
                <w:rFonts w:ascii="Times New Roman" w:hAnsi="Times New Roman" w:cs="Times New Roman"/>
                <w:sz w:val="16"/>
                <w:szCs w:val="16"/>
              </w:rPr>
              <w:t>4.工业园区污水集中处理，进入工业园区污水处理设施或城镇污水处理设施的企业污水，须经预处理达到集中处理要求。对于化工园区、涉重金属的企业，推行“一企一管”，产生一类污染物的要在车间排放口达标。</w:t>
            </w:r>
          </w:p>
        </w:tc>
        <w:tc>
          <w:tcPr>
            <w:tcW w:w="1418"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1.排放有毒有害水污染物名录中水污染物的企业事业单位和其他生产经营者，应当对排污口和周边环境进行监测，采取有效措施防范环境风险。</w:t>
            </w:r>
          </w:p>
          <w:p>
            <w:pPr>
              <w:snapToGrid w:val="0"/>
              <w:rPr>
                <w:rFonts w:ascii="Times New Roman" w:hAnsi="Times New Roman" w:cs="Times New Roman"/>
                <w:sz w:val="16"/>
                <w:szCs w:val="16"/>
              </w:rPr>
            </w:pPr>
            <w:r>
              <w:rPr>
                <w:rFonts w:ascii="Times New Roman" w:hAnsi="Times New Roman" w:cs="Times New Roman"/>
                <w:sz w:val="16"/>
                <w:szCs w:val="16"/>
              </w:rPr>
              <w:t>2.生产、使用、储存、运输危险化学品的企业事业单位，应当采取风险防范措施，编制突发环境事件应急预案，预防环境污染事故的发生。</w:t>
            </w:r>
          </w:p>
          <w:p>
            <w:pPr>
              <w:snapToGrid w:val="0"/>
              <w:rPr>
                <w:rFonts w:ascii="Times New Roman" w:hAnsi="Times New Roman" w:cs="Times New Roman"/>
                <w:sz w:val="16"/>
                <w:szCs w:val="16"/>
              </w:rPr>
            </w:pPr>
            <w:r>
              <w:rPr>
                <w:rFonts w:ascii="Times New Roman" w:hAnsi="Times New Roman" w:cs="Times New Roman"/>
                <w:sz w:val="16"/>
                <w:szCs w:val="16"/>
              </w:rPr>
              <w:t>3.污水处理设施、物料及固废堆存场所必须进行严格的防渗处理。各物料输送管道、污水管道必须进行严格的防腐处理。</w:t>
            </w:r>
          </w:p>
          <w:p>
            <w:pPr>
              <w:snapToGrid w:val="0"/>
              <w:rPr>
                <w:rFonts w:ascii="Times New Roman" w:hAnsi="Times New Roman" w:cs="Times New Roman"/>
                <w:sz w:val="16"/>
                <w:szCs w:val="16"/>
              </w:rPr>
            </w:pPr>
            <w:r>
              <w:rPr>
                <w:rFonts w:ascii="Times New Roman" w:hAnsi="Times New Roman" w:cs="Times New Roman"/>
                <w:sz w:val="16"/>
                <w:szCs w:val="16"/>
              </w:rPr>
              <w:t>4.建立健全地下水水质监测系统，突发事件预警预报系统和事故应急防范措施。</w:t>
            </w:r>
          </w:p>
          <w:p>
            <w:pPr>
              <w:snapToGrid w:val="0"/>
              <w:rPr>
                <w:rFonts w:ascii="Times New Roman" w:hAnsi="Times New Roman" w:cs="Times New Roman"/>
                <w:sz w:val="16"/>
                <w:szCs w:val="16"/>
              </w:rPr>
            </w:pPr>
            <w:r>
              <w:rPr>
                <w:rFonts w:ascii="Times New Roman" w:hAnsi="Times New Roman" w:cs="Times New Roman"/>
                <w:sz w:val="16"/>
                <w:szCs w:val="16"/>
              </w:rPr>
              <w:t>5.稳妥推进危险废物的综合利用。</w:t>
            </w:r>
            <w:r>
              <w:rPr>
                <w:rFonts w:hint="eastAsia" w:ascii="Times New Roman" w:hAnsi="Times New Roman" w:cs="Times New Roman"/>
                <w:sz w:val="16"/>
                <w:szCs w:val="16"/>
                <w:lang w:val="en-US" w:eastAsia="zh-CN"/>
              </w:rPr>
              <w:t>6.</w:t>
            </w:r>
            <w:r>
              <w:rPr>
                <w:rFonts w:ascii="Times New Roman Regular" w:hAnsi="Times New Roman Regular" w:eastAsia="宋体" w:cs="Times New Roman Regular"/>
                <w:kern w:val="0"/>
                <w:sz w:val="16"/>
                <w:szCs w:val="16"/>
              </w:rPr>
              <w:t>园区纳入土壤污染重点监管单位的企业，应建立有毒有害污染物管理制度和土壤污染隐患排查制度，严格控制有毒有害物质排放，按照监测规范对其用地土壤、地下水环境每年至少开展1次监测。</w:t>
            </w:r>
          </w:p>
        </w:tc>
        <w:tc>
          <w:tcPr>
            <w:tcW w:w="1195"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1.持续降低工业园区单位GDP能耗及煤耗。</w:t>
            </w:r>
          </w:p>
          <w:p>
            <w:pPr>
              <w:snapToGrid w:val="0"/>
              <w:rPr>
                <w:rFonts w:ascii="Times New Roman" w:hAnsi="Times New Roman" w:cs="Times New Roman"/>
                <w:sz w:val="16"/>
                <w:szCs w:val="16"/>
              </w:rPr>
            </w:pPr>
            <w:r>
              <w:rPr>
                <w:rFonts w:ascii="Times New Roman" w:hAnsi="Times New Roman" w:cs="Times New Roman"/>
                <w:sz w:val="16"/>
                <w:szCs w:val="16"/>
              </w:rPr>
              <w:t>2.严格执行《产业园区水的分类使用及循环利用原则和要求》（GB</w:t>
            </w:r>
            <w:r>
              <w:rPr>
                <w:rFonts w:hint="eastAsia" w:ascii="Times New Roman" w:hAnsi="Times New Roman" w:cs="Times New Roman"/>
                <w:sz w:val="16"/>
                <w:szCs w:val="16"/>
                <w:lang w:val="en-US" w:eastAsia="zh-CN"/>
              </w:rPr>
              <w:t>/</w:t>
            </w:r>
            <w:r>
              <w:rPr>
                <w:rFonts w:ascii="Times New Roman" w:hAnsi="Times New Roman" w:cs="Times New Roman"/>
                <w:sz w:val="16"/>
                <w:szCs w:val="16"/>
              </w:rPr>
              <w:t>T36575-2018），加大中水回用力度，减少新鲜水取用量。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9</w:t>
            </w:r>
          </w:p>
        </w:tc>
        <w:tc>
          <w:tcPr>
            <w:tcW w:w="1316"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ZH37028320005</w:t>
            </w:r>
          </w:p>
        </w:tc>
        <w:tc>
          <w:tcPr>
            <w:tcW w:w="699"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白沙河街道</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山东省</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青岛市</w:t>
            </w:r>
          </w:p>
        </w:tc>
        <w:tc>
          <w:tcPr>
            <w:tcW w:w="43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平度市</w:t>
            </w:r>
          </w:p>
        </w:tc>
        <w:tc>
          <w:tcPr>
            <w:tcW w:w="70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重点管控单元</w:t>
            </w:r>
          </w:p>
        </w:tc>
        <w:tc>
          <w:tcPr>
            <w:tcW w:w="1135"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落药河、白沙河、农业面源重点管控区、布局敏感区、大气弱扩散敏感区、张戈庄社区井群、大气环境受体敏感区</w:t>
            </w:r>
          </w:p>
        </w:tc>
        <w:tc>
          <w:tcPr>
            <w:tcW w:w="1414"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1.严格按照用地布局规划要求合理布局工业企业，现有工业集聚区外不宜新增工业企业。</w:t>
            </w:r>
          </w:p>
        </w:tc>
        <w:tc>
          <w:tcPr>
            <w:tcW w:w="4390"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机械制造行业下料、机械加工、抛丸、打磨、喷砂、清理滚筒、热处理、化学预处理、电镀等环节设置废气有效收集治理设施。焊接环节根据作业点位数配备焊接烟尘净化器，或设置专门操作间并设置集气系统对焊接烟尘进行有效收集治理。涂装环节落实表面涂装行业的控制VOCs排放等要求。</w:t>
            </w:r>
          </w:p>
          <w:p>
            <w:pPr>
              <w:snapToGrid w:val="0"/>
              <w:rPr>
                <w:rFonts w:ascii="Times New Roman" w:hAnsi="Times New Roman" w:cs="Times New Roman"/>
                <w:sz w:val="16"/>
                <w:szCs w:val="16"/>
              </w:rPr>
            </w:pPr>
            <w:r>
              <w:rPr>
                <w:rFonts w:ascii="Times New Roman" w:hAnsi="Times New Roman" w:cs="Times New Roman"/>
                <w:sz w:val="16"/>
                <w:szCs w:val="16"/>
              </w:rPr>
              <w:t>2.印刷行业推进源头替代，通过使用低VOCs含量油墨替代溶剂型油墨，推进使用先进印刷工艺，从源头减少VOCs产生。油墨等原辅材料存储、调配工段应对空间进行微负压改造，辊刷、覆压工艺宜设置于密闭工作间内，集中排风并导入VOCs处理设施处理。工艺废气在过滤后宜采用浓缩结合燃烧法等工艺进行处理。</w:t>
            </w:r>
          </w:p>
          <w:p>
            <w:pPr>
              <w:snapToGrid w:val="0"/>
              <w:rPr>
                <w:rFonts w:ascii="Times New Roman" w:hAnsi="Times New Roman" w:cs="Times New Roman"/>
                <w:sz w:val="16"/>
                <w:szCs w:val="16"/>
              </w:rPr>
            </w:pPr>
            <w:r>
              <w:rPr>
                <w:rFonts w:ascii="Times New Roman" w:hAnsi="Times New Roman" w:cs="Times New Roman"/>
                <w:sz w:val="16"/>
                <w:szCs w:val="16"/>
              </w:rPr>
              <w:t>3.纺织行业优先采用清洁生产技术，禁止选用列入《产业结构调整指导目录》限制类、淘汰类的落后生产工艺和设备，提高资源、能源利用率，按照《印染行业废水污染防治技术政策》《纺织工业环境保护设施设计标准》《纺织染整工业废水治理工程技术规范》等有关规定，减少污染物的产生和排放。</w:t>
            </w:r>
          </w:p>
          <w:p>
            <w:pPr>
              <w:snapToGrid w:val="0"/>
              <w:rPr>
                <w:rFonts w:ascii="Times New Roman" w:hAnsi="Times New Roman" w:cs="Times New Roman"/>
                <w:sz w:val="16"/>
                <w:szCs w:val="16"/>
              </w:rPr>
            </w:pPr>
            <w:r>
              <w:rPr>
                <w:rFonts w:ascii="Times New Roman" w:hAnsi="Times New Roman" w:cs="Times New Roman"/>
                <w:sz w:val="16"/>
                <w:szCs w:val="16"/>
              </w:rPr>
              <w:t>4.对于涉重金属的企业，推行“一企一管”，产生一类污染物的要在车间排放口达标。涉重企业应确保在线监测设备正常运行，对产生的危险废物严格按照相关法律法规进行处置。</w:t>
            </w:r>
          </w:p>
          <w:p>
            <w:pPr>
              <w:snapToGrid w:val="0"/>
              <w:rPr>
                <w:rFonts w:ascii="Times New Roman" w:hAnsi="Times New Roman" w:cs="Times New Roman"/>
                <w:sz w:val="16"/>
                <w:szCs w:val="16"/>
              </w:rPr>
            </w:pPr>
            <w:r>
              <w:rPr>
                <w:rFonts w:ascii="Times New Roman" w:hAnsi="Times New Roman" w:cs="Times New Roman"/>
                <w:sz w:val="16"/>
                <w:szCs w:val="16"/>
              </w:rPr>
              <w:t>5.推广农作物病虫害绿色防控技术，合理使用化肥农药，减少农业面源污染。</w:t>
            </w:r>
          </w:p>
          <w:p>
            <w:pPr>
              <w:snapToGrid w:val="0"/>
              <w:rPr>
                <w:rFonts w:ascii="Times New Roman" w:hAnsi="Times New Roman" w:cs="Times New Roman"/>
                <w:sz w:val="16"/>
                <w:szCs w:val="16"/>
              </w:rPr>
            </w:pPr>
            <w:r>
              <w:rPr>
                <w:rFonts w:ascii="Times New Roman" w:hAnsi="Times New Roman" w:cs="Times New Roman"/>
                <w:sz w:val="16"/>
                <w:szCs w:val="16"/>
              </w:rPr>
              <w:t>6.加强污水收集管网体系的管理和维护，推进老城区雨污分流改造，加快推进再生水循环利。</w:t>
            </w:r>
          </w:p>
        </w:tc>
        <w:tc>
          <w:tcPr>
            <w:tcW w:w="1418"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1.涉酸、涉重等土壤、地下水高污染风险企业的车间、危废间、污水处理站、储罐等重点管控区进行重点防渗。</w:t>
            </w:r>
          </w:p>
          <w:p>
            <w:pPr>
              <w:snapToGrid w:val="0"/>
              <w:rPr>
                <w:rFonts w:ascii="Times New Roman" w:hAnsi="Times New Roman" w:cs="Times New Roman"/>
                <w:sz w:val="16"/>
                <w:szCs w:val="16"/>
              </w:rPr>
            </w:pPr>
            <w:r>
              <w:rPr>
                <w:rFonts w:ascii="Times New Roman" w:hAnsi="Times New Roman" w:cs="Times New Roman"/>
                <w:sz w:val="16"/>
                <w:szCs w:val="16"/>
              </w:rPr>
              <w:t>2.建立健全环境风险事故防范措施和应急预案，严防环境安全事故发生。</w:t>
            </w:r>
          </w:p>
        </w:tc>
        <w:tc>
          <w:tcPr>
            <w:tcW w:w="1195"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1.高污染燃料禁燃区内禁止新建、扩建、改建燃用高污染燃料的项目。推广集中供能和清洁能源利用。</w:t>
            </w:r>
          </w:p>
          <w:p>
            <w:pPr>
              <w:snapToGrid w:val="0"/>
              <w:rPr>
                <w:rFonts w:ascii="Times New Roman" w:hAnsi="Times New Roman" w:cs="Times New Roman"/>
                <w:sz w:val="16"/>
                <w:szCs w:val="16"/>
              </w:rPr>
            </w:pPr>
            <w:r>
              <w:rPr>
                <w:rFonts w:ascii="Times New Roman" w:hAnsi="Times New Roman" w:cs="Times New Roman"/>
                <w:sz w:val="16"/>
                <w:szCs w:val="16"/>
              </w:rPr>
              <w:t>2.鼓励推广节水器具、节水工艺等，发展节水农业，提高水资源利用效率。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10</w:t>
            </w:r>
          </w:p>
        </w:tc>
        <w:tc>
          <w:tcPr>
            <w:tcW w:w="1316"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ZH37028320006</w:t>
            </w:r>
          </w:p>
        </w:tc>
        <w:tc>
          <w:tcPr>
            <w:tcW w:w="699"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古岘镇</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山东省</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青岛市</w:t>
            </w:r>
          </w:p>
        </w:tc>
        <w:tc>
          <w:tcPr>
            <w:tcW w:w="43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平度市</w:t>
            </w:r>
          </w:p>
        </w:tc>
        <w:tc>
          <w:tcPr>
            <w:tcW w:w="70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重点管控单元</w:t>
            </w:r>
          </w:p>
        </w:tc>
        <w:tc>
          <w:tcPr>
            <w:tcW w:w="1135"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生态评估区域一般生态空间、小沽河、农业面源重点管控区、大气弱扩散敏感区、杜家集木井群、刘家集木供水井、大气环境受体敏感区</w:t>
            </w:r>
          </w:p>
        </w:tc>
        <w:tc>
          <w:tcPr>
            <w:tcW w:w="1414"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1.依据《山东省环境保护条例》中产业结构调整和产业布局优化的要求，引导工业企业入驻工业园区。</w:t>
            </w:r>
          </w:p>
          <w:p>
            <w:pPr>
              <w:snapToGrid w:val="0"/>
              <w:jc w:val="left"/>
              <w:rPr>
                <w:rFonts w:ascii="Times New Roman" w:hAnsi="Times New Roman" w:cs="Times New Roman"/>
                <w:sz w:val="16"/>
                <w:szCs w:val="16"/>
              </w:rPr>
            </w:pPr>
            <w:r>
              <w:rPr>
                <w:rFonts w:ascii="Times New Roman" w:hAnsi="Times New Roman" w:cs="Times New Roman"/>
                <w:sz w:val="16"/>
                <w:szCs w:val="16"/>
              </w:rPr>
              <w:t>2.严格落实相关规划及规划环评的准入要求。</w:t>
            </w:r>
          </w:p>
          <w:p>
            <w:pPr>
              <w:snapToGrid w:val="0"/>
              <w:jc w:val="left"/>
              <w:rPr>
                <w:rFonts w:ascii="Times New Roman" w:hAnsi="Times New Roman" w:cs="Times New Roman"/>
                <w:sz w:val="16"/>
                <w:szCs w:val="16"/>
              </w:rPr>
            </w:pPr>
            <w:r>
              <w:rPr>
                <w:rFonts w:ascii="Times New Roman" w:hAnsi="Times New Roman" w:cs="Times New Roman"/>
                <w:sz w:val="16"/>
                <w:szCs w:val="16"/>
              </w:rPr>
              <w:t>3.鼓励积极发展现代农业，推进生态旅游。</w:t>
            </w:r>
          </w:p>
        </w:tc>
        <w:tc>
          <w:tcPr>
            <w:tcW w:w="4390"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1.食品加工行业加强臭气异味的处理和防治；安装净化装置或者采取其他措施，防止排放恶臭气体；含盐废水处理，做到达标排放。</w:t>
            </w:r>
          </w:p>
        </w:tc>
        <w:tc>
          <w:tcPr>
            <w:tcW w:w="1418"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1.规范固体废物的处理措施，工业企业产生的固体废物特别是危险废物应严格按照国家规定综合利用或妥善处置，严防二次污染。</w:t>
            </w:r>
          </w:p>
          <w:p>
            <w:pPr>
              <w:snapToGrid w:val="0"/>
              <w:rPr>
                <w:rFonts w:ascii="Times New Roman" w:hAnsi="Times New Roman" w:cs="Times New Roman"/>
                <w:sz w:val="16"/>
                <w:szCs w:val="16"/>
              </w:rPr>
            </w:pPr>
            <w:r>
              <w:rPr>
                <w:rFonts w:ascii="Times New Roman" w:hAnsi="Times New Roman" w:cs="Times New Roman"/>
                <w:sz w:val="16"/>
                <w:szCs w:val="16"/>
              </w:rPr>
              <w:t>2.建立健全环境风险事故防范措施和应急预案，严防环境安全事故发生。</w:t>
            </w:r>
          </w:p>
        </w:tc>
        <w:tc>
          <w:tcPr>
            <w:tcW w:w="1195"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1.推广集中供能和清洁能源利用。</w:t>
            </w:r>
          </w:p>
          <w:p>
            <w:pPr>
              <w:snapToGrid w:val="0"/>
              <w:rPr>
                <w:rFonts w:ascii="Times New Roman" w:hAnsi="Times New Roman" w:cs="Times New Roman"/>
                <w:sz w:val="16"/>
                <w:szCs w:val="16"/>
              </w:rPr>
            </w:pPr>
            <w:r>
              <w:rPr>
                <w:rFonts w:ascii="Times New Roman" w:hAnsi="Times New Roman" w:cs="Times New Roman"/>
                <w:sz w:val="16"/>
                <w:szCs w:val="16"/>
              </w:rPr>
              <w:t>2.鼓励推广节水器具、节水工艺等，发展节水农业，提高水资源利用效率。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11</w:t>
            </w:r>
          </w:p>
        </w:tc>
        <w:tc>
          <w:tcPr>
            <w:tcW w:w="1316"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ZH37028320007</w:t>
            </w:r>
          </w:p>
        </w:tc>
        <w:tc>
          <w:tcPr>
            <w:tcW w:w="699"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同和街道</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山东省</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青岛市</w:t>
            </w:r>
          </w:p>
        </w:tc>
        <w:tc>
          <w:tcPr>
            <w:tcW w:w="43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平度市</w:t>
            </w:r>
          </w:p>
        </w:tc>
        <w:tc>
          <w:tcPr>
            <w:tcW w:w="70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重点管控单元</w:t>
            </w:r>
          </w:p>
        </w:tc>
        <w:tc>
          <w:tcPr>
            <w:tcW w:w="1135"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水环境城镇生活源重点管控区、布局敏感区、大气环境一般管控区、大气环境受体敏感区</w:t>
            </w:r>
          </w:p>
        </w:tc>
        <w:tc>
          <w:tcPr>
            <w:tcW w:w="1414"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1.依据《山东省环境保护条例》中产业结构调整和产业布局优化的要求，引导工业企业入驻工业园区。</w:t>
            </w:r>
          </w:p>
          <w:p>
            <w:pPr>
              <w:snapToGrid w:val="0"/>
              <w:jc w:val="left"/>
              <w:rPr>
                <w:rFonts w:ascii="Times New Roman" w:hAnsi="Times New Roman" w:cs="Times New Roman"/>
                <w:sz w:val="16"/>
                <w:szCs w:val="16"/>
              </w:rPr>
            </w:pPr>
            <w:r>
              <w:rPr>
                <w:rFonts w:ascii="Times New Roman" w:hAnsi="Times New Roman" w:cs="Times New Roman"/>
                <w:sz w:val="16"/>
                <w:szCs w:val="16"/>
              </w:rPr>
              <w:t>2.严格落实相关规划及规划环评的准入要求。</w:t>
            </w:r>
          </w:p>
          <w:p>
            <w:pPr>
              <w:snapToGrid w:val="0"/>
              <w:jc w:val="left"/>
              <w:rPr>
                <w:rFonts w:ascii="Times New Roman" w:hAnsi="Times New Roman" w:cs="Times New Roman"/>
                <w:sz w:val="16"/>
                <w:szCs w:val="16"/>
              </w:rPr>
            </w:pPr>
            <w:r>
              <w:rPr>
                <w:rFonts w:ascii="Times New Roman" w:hAnsi="Times New Roman" w:cs="Times New Roman"/>
                <w:sz w:val="16"/>
                <w:szCs w:val="16"/>
              </w:rPr>
              <w:t>3.严格控制“两高”行业新增产能，鼓励引进能源资源利用效率高、投入少产出高、清洁生产水平高的产业项目，禁止生产高风险、高污染产品、工艺，且无可行的污染防治措施和风险防范方案的机械制造项目。</w:t>
            </w:r>
          </w:p>
        </w:tc>
        <w:tc>
          <w:tcPr>
            <w:tcW w:w="4390"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1.实施雨污管网等排水设施建设改造，加强污水收集管网体系的管理和维护，推进老城区雨污分流改造，加快推进再生水循环利用。</w:t>
            </w:r>
          </w:p>
          <w:p>
            <w:pPr>
              <w:snapToGrid w:val="0"/>
              <w:rPr>
                <w:rFonts w:ascii="Times New Roman" w:hAnsi="Times New Roman" w:cs="Times New Roman"/>
                <w:sz w:val="16"/>
                <w:szCs w:val="16"/>
              </w:rPr>
            </w:pPr>
            <w:r>
              <w:rPr>
                <w:rFonts w:ascii="Times New Roman" w:hAnsi="Times New Roman" w:cs="Times New Roman"/>
                <w:sz w:val="16"/>
                <w:szCs w:val="16"/>
              </w:rPr>
              <w:t>2.机械制造行业下料、机械加工、抛丸、打磨、喷砂、清理滚筒、热处理、化学预处理、电镀等环节设置废气有效收集治理设施。焊接环节根据作业点位数配备焊接烟尘净化器，或设置专门操作间并设置集气系统对焊接烟尘进行有效收集治理。涂装环节落实表面涂装行业的控制VOCs排放等要求。</w:t>
            </w:r>
          </w:p>
          <w:p>
            <w:pPr>
              <w:snapToGrid w:val="0"/>
              <w:rPr>
                <w:rFonts w:ascii="Times New Roman" w:hAnsi="Times New Roman" w:cs="Times New Roman"/>
                <w:sz w:val="16"/>
                <w:szCs w:val="16"/>
              </w:rPr>
            </w:pPr>
            <w:r>
              <w:rPr>
                <w:rFonts w:ascii="Times New Roman" w:hAnsi="Times New Roman" w:cs="Times New Roman"/>
                <w:sz w:val="16"/>
                <w:szCs w:val="16"/>
              </w:rPr>
              <w:t>3.纺织制造行业优先采用清洁生产技术，禁止选用列入《产业结构调整指导目录》限制类、淘汰类的落后生产工艺和设备，提高资源、能源利用率，按照《印染行业废水污染防治技术政策》《纺织工业环境保护设施设计标准》《纺织染整工业废水治理工程技术规范》等有关规定，减少污染物的产生和排放。</w:t>
            </w:r>
          </w:p>
          <w:p>
            <w:pPr>
              <w:snapToGrid w:val="0"/>
              <w:rPr>
                <w:rFonts w:ascii="Times New Roman" w:hAnsi="Times New Roman" w:cs="Times New Roman"/>
                <w:sz w:val="16"/>
                <w:szCs w:val="16"/>
              </w:rPr>
            </w:pPr>
            <w:r>
              <w:rPr>
                <w:rFonts w:ascii="Times New Roman" w:hAnsi="Times New Roman" w:cs="Times New Roman"/>
                <w:sz w:val="16"/>
                <w:szCs w:val="16"/>
              </w:rPr>
              <w:t>4.塑料制造行业加热挤出工段宜采用上吸风方式对废气进行有效收集，吹塑工段宜采取环绕方式对废气进行有效收集。加热挤出、压制、吹塑（发泡）、印刷等工艺产生的废气经除尘后宜采用浓缩结合燃烧法等工艺进行处理。使用含氯原料的工艺废气在处理过程中应充分考虑二噁英及酸性气体的控制。</w:t>
            </w:r>
          </w:p>
          <w:p>
            <w:pPr>
              <w:snapToGrid w:val="0"/>
              <w:rPr>
                <w:rFonts w:ascii="Times New Roman" w:hAnsi="Times New Roman" w:cs="Times New Roman"/>
                <w:sz w:val="16"/>
                <w:szCs w:val="16"/>
              </w:rPr>
            </w:pPr>
            <w:r>
              <w:rPr>
                <w:rFonts w:ascii="Times New Roman" w:hAnsi="Times New Roman" w:cs="Times New Roman"/>
                <w:sz w:val="16"/>
                <w:szCs w:val="16"/>
              </w:rPr>
              <w:t>5.涉重企业推行“一企一管”，产生一类污染物的要在车间排放口达标，应确保在线监测设备正常运行，对产生的危险废物严格按照相关法律法规进行处置。</w:t>
            </w:r>
          </w:p>
        </w:tc>
        <w:tc>
          <w:tcPr>
            <w:tcW w:w="1418"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1.涉酸、涉重等土壤、地下水高污染风险企业的车间、危废间、污水处理站、储罐等重点管控区进行重点防渗。</w:t>
            </w:r>
          </w:p>
          <w:p>
            <w:pPr>
              <w:snapToGrid w:val="0"/>
              <w:rPr>
                <w:rFonts w:ascii="Times New Roman" w:hAnsi="Times New Roman" w:cs="Times New Roman"/>
                <w:sz w:val="16"/>
                <w:szCs w:val="16"/>
              </w:rPr>
            </w:pPr>
            <w:r>
              <w:rPr>
                <w:rFonts w:ascii="Times New Roman" w:hAnsi="Times New Roman" w:cs="Times New Roman"/>
                <w:sz w:val="16"/>
                <w:szCs w:val="16"/>
              </w:rPr>
              <w:t>2.工业企业产生的固体废物特别是危险废物应严格按照国家规定综合利用或妥善处置，严防二次污染。</w:t>
            </w:r>
          </w:p>
          <w:p>
            <w:pPr>
              <w:snapToGrid w:val="0"/>
              <w:rPr>
                <w:rFonts w:ascii="Times New Roman" w:hAnsi="Times New Roman" w:cs="Times New Roman"/>
                <w:sz w:val="16"/>
                <w:szCs w:val="16"/>
              </w:rPr>
            </w:pPr>
            <w:r>
              <w:rPr>
                <w:rFonts w:ascii="Times New Roman" w:hAnsi="Times New Roman" w:cs="Times New Roman"/>
                <w:sz w:val="16"/>
                <w:szCs w:val="16"/>
              </w:rPr>
              <w:t>3.建立健全环境风险事故防范措施和应急预案，严防环境安全事故发生。</w:t>
            </w:r>
          </w:p>
        </w:tc>
        <w:tc>
          <w:tcPr>
            <w:tcW w:w="1195"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1.推广集中供能和清洁能源利用。</w:t>
            </w:r>
          </w:p>
          <w:p>
            <w:pPr>
              <w:snapToGrid w:val="0"/>
              <w:rPr>
                <w:rFonts w:ascii="Times New Roman" w:hAnsi="Times New Roman" w:cs="Times New Roman"/>
                <w:sz w:val="16"/>
                <w:szCs w:val="16"/>
              </w:rPr>
            </w:pPr>
            <w:r>
              <w:rPr>
                <w:rFonts w:ascii="Times New Roman" w:hAnsi="Times New Roman" w:cs="Times New Roman"/>
                <w:sz w:val="16"/>
                <w:szCs w:val="16"/>
              </w:rPr>
              <w:t>2.鼓励推广节水器具、节水工艺等，提高水资源利用效率。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12</w:t>
            </w:r>
          </w:p>
        </w:tc>
        <w:tc>
          <w:tcPr>
            <w:tcW w:w="1316"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ZH37028320001</w:t>
            </w:r>
          </w:p>
        </w:tc>
        <w:tc>
          <w:tcPr>
            <w:tcW w:w="699"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凤台街道</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山东省</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青岛市</w:t>
            </w:r>
          </w:p>
        </w:tc>
        <w:tc>
          <w:tcPr>
            <w:tcW w:w="43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平度市</w:t>
            </w:r>
          </w:p>
        </w:tc>
        <w:tc>
          <w:tcPr>
            <w:tcW w:w="70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重点管控单元</w:t>
            </w:r>
          </w:p>
        </w:tc>
        <w:tc>
          <w:tcPr>
            <w:tcW w:w="1135"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水环境城镇生活源重点管控区、布局敏感区、大气环境受体敏感区</w:t>
            </w:r>
          </w:p>
        </w:tc>
        <w:tc>
          <w:tcPr>
            <w:tcW w:w="1414"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1.依据《山东省环境保护条例》中产业结构调整和产业布局优化的要求，引导工业企业入驻工业园区。</w:t>
            </w:r>
          </w:p>
          <w:p>
            <w:pPr>
              <w:snapToGrid w:val="0"/>
              <w:jc w:val="left"/>
              <w:rPr>
                <w:rFonts w:ascii="Times New Roman" w:hAnsi="Times New Roman" w:cs="Times New Roman"/>
                <w:sz w:val="16"/>
                <w:szCs w:val="16"/>
              </w:rPr>
            </w:pPr>
            <w:r>
              <w:rPr>
                <w:rFonts w:ascii="Times New Roman" w:hAnsi="Times New Roman" w:cs="Times New Roman"/>
                <w:sz w:val="16"/>
                <w:szCs w:val="16"/>
              </w:rPr>
              <w:t>2.积极发展商贸、现代服务、教育服务等第三产业。</w:t>
            </w:r>
          </w:p>
        </w:tc>
        <w:tc>
          <w:tcPr>
            <w:tcW w:w="4390"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纺织制造行业优先采用清洁生产技术，禁止选用列入《产业结构调整指导目录》限制类、淘汰类的落后生产工艺和设备，提高资源、能源利用率，按照《印染行业废水污染防治技术政策》《纺织工业环境保护设施设计标准》《纺织染整工业废水治理工程技术规范》等有关规定，减少污染物的产生和排放。</w:t>
            </w:r>
          </w:p>
          <w:p>
            <w:pPr>
              <w:snapToGrid w:val="0"/>
              <w:rPr>
                <w:rFonts w:ascii="Times New Roman" w:hAnsi="Times New Roman" w:cs="Times New Roman"/>
                <w:sz w:val="16"/>
                <w:szCs w:val="16"/>
              </w:rPr>
            </w:pPr>
            <w:r>
              <w:rPr>
                <w:rFonts w:ascii="Times New Roman" w:hAnsi="Times New Roman" w:cs="Times New Roman"/>
                <w:sz w:val="16"/>
                <w:szCs w:val="16"/>
              </w:rPr>
              <w:t>2.机械制造行业下料、机械加工、抛丸、打磨、喷砂、清理滚筒、热处理、化学预处理、电镀等环节设置废气有效收集治理设施。焊接环节根据作业点位数配备焊接烟尘净化器，或设置专门操作间并设置集气系统对焊接烟尘进行有效收集治理。涂装环节落实表面涂装行业的控制VOCs排放等要求。</w:t>
            </w:r>
          </w:p>
          <w:p>
            <w:pPr>
              <w:snapToGrid w:val="0"/>
              <w:rPr>
                <w:rFonts w:ascii="Times New Roman" w:hAnsi="Times New Roman" w:cs="Times New Roman"/>
                <w:sz w:val="16"/>
                <w:szCs w:val="16"/>
              </w:rPr>
            </w:pPr>
            <w:r>
              <w:rPr>
                <w:rFonts w:ascii="Times New Roman" w:hAnsi="Times New Roman" w:cs="Times New Roman"/>
                <w:sz w:val="16"/>
                <w:szCs w:val="16"/>
              </w:rPr>
              <w:t>3.包装印刷行业推进源头替代，通过使用低VOCs含量油墨替代溶剂型油墨，推进使用先进印刷工艺，从源头减少VOCs产生。油墨等原辅材料存储、调配工段应对空间进行微负压改造，辊刷、覆压工艺宜设置于密闭工作间内，集中排风并导入VOCs处理设施处理。工艺废气在过滤后宜采用浓缩结合燃烧法等工艺进行处理。</w:t>
            </w:r>
          </w:p>
          <w:p>
            <w:pPr>
              <w:snapToGrid w:val="0"/>
              <w:rPr>
                <w:rFonts w:ascii="Times New Roman" w:hAnsi="Times New Roman" w:cs="Times New Roman"/>
                <w:sz w:val="16"/>
                <w:szCs w:val="16"/>
              </w:rPr>
            </w:pPr>
            <w:r>
              <w:rPr>
                <w:rFonts w:ascii="Times New Roman" w:hAnsi="Times New Roman" w:cs="Times New Roman"/>
                <w:sz w:val="16"/>
                <w:szCs w:val="16"/>
              </w:rPr>
              <w:t>4.加强餐饮业油烟治理，完善厨余垃圾收运系统。</w:t>
            </w:r>
          </w:p>
          <w:p>
            <w:pPr>
              <w:snapToGrid w:val="0"/>
              <w:rPr>
                <w:rFonts w:ascii="Times New Roman" w:hAnsi="Times New Roman" w:cs="Times New Roman"/>
                <w:sz w:val="16"/>
                <w:szCs w:val="16"/>
              </w:rPr>
            </w:pPr>
            <w:r>
              <w:rPr>
                <w:rFonts w:ascii="Times New Roman" w:hAnsi="Times New Roman" w:cs="Times New Roman"/>
                <w:sz w:val="16"/>
                <w:szCs w:val="16"/>
              </w:rPr>
              <w:t>5.加强施工扬尘污染防治，严格落实施工场地遮盖、洒水抑尘、大型车辆进出场清洗、运送车辆封盖等措施。</w:t>
            </w:r>
          </w:p>
          <w:p>
            <w:pPr>
              <w:snapToGrid w:val="0"/>
              <w:rPr>
                <w:rFonts w:ascii="Times New Roman" w:hAnsi="Times New Roman" w:cs="Times New Roman"/>
                <w:sz w:val="16"/>
                <w:szCs w:val="16"/>
              </w:rPr>
            </w:pPr>
            <w:r>
              <w:rPr>
                <w:rFonts w:ascii="Times New Roman" w:hAnsi="Times New Roman" w:cs="Times New Roman"/>
                <w:sz w:val="16"/>
                <w:szCs w:val="16"/>
              </w:rPr>
              <w:t>6.推进老城区雨污分流改造，加快推进再生水循环利用。</w:t>
            </w:r>
          </w:p>
        </w:tc>
        <w:tc>
          <w:tcPr>
            <w:tcW w:w="1418"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1.涉酸、涉重等土壤、地下水高污染风险企业的车间、危废间、污水处理站、储罐等重点管控区应进行重点防渗。</w:t>
            </w:r>
          </w:p>
          <w:p>
            <w:pPr>
              <w:snapToGrid w:val="0"/>
              <w:rPr>
                <w:rFonts w:ascii="Times New Roman" w:hAnsi="Times New Roman" w:cs="Times New Roman"/>
                <w:sz w:val="16"/>
                <w:szCs w:val="16"/>
              </w:rPr>
            </w:pPr>
            <w:r>
              <w:rPr>
                <w:rFonts w:ascii="Times New Roman" w:hAnsi="Times New Roman" w:cs="Times New Roman"/>
                <w:sz w:val="16"/>
                <w:szCs w:val="16"/>
              </w:rPr>
              <w:t>2.建立健全环境风险事故防范措施和应急预案，严防环境安全事故发生。</w:t>
            </w:r>
          </w:p>
        </w:tc>
        <w:tc>
          <w:tcPr>
            <w:tcW w:w="1195"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1.推广集中供能和清洁能源利用。</w:t>
            </w:r>
          </w:p>
          <w:p>
            <w:pPr>
              <w:snapToGrid w:val="0"/>
              <w:rPr>
                <w:rFonts w:ascii="Times New Roman" w:hAnsi="Times New Roman" w:cs="Times New Roman"/>
                <w:sz w:val="16"/>
                <w:szCs w:val="16"/>
              </w:rPr>
            </w:pPr>
            <w:r>
              <w:rPr>
                <w:rFonts w:ascii="Times New Roman" w:hAnsi="Times New Roman" w:cs="Times New Roman"/>
                <w:sz w:val="16"/>
                <w:szCs w:val="16"/>
              </w:rPr>
              <w:t>2.鼓励推广节水器具、节水工艺等，提高水资源利用效率。</w:t>
            </w:r>
          </w:p>
          <w:p>
            <w:pPr>
              <w:snapToGrid w:val="0"/>
              <w:rPr>
                <w:rFonts w:ascii="Times New Roman" w:hAnsi="Times New Roman" w:cs="Times New Roman"/>
                <w:sz w:val="16"/>
                <w:szCs w:val="16"/>
              </w:rPr>
            </w:pPr>
            <w:r>
              <w:rPr>
                <w:rFonts w:ascii="Times New Roman" w:hAnsi="Times New Roman" w:cs="Times New Roman"/>
                <w:sz w:val="16"/>
                <w:szCs w:val="16"/>
              </w:rPr>
              <w:t>3.提升固体废物的资源化综合利用率。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13</w:t>
            </w:r>
          </w:p>
        </w:tc>
        <w:tc>
          <w:tcPr>
            <w:tcW w:w="1316"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ZH37028330007</w:t>
            </w:r>
          </w:p>
        </w:tc>
        <w:tc>
          <w:tcPr>
            <w:tcW w:w="699"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南村镇</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山东省</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青岛市</w:t>
            </w:r>
          </w:p>
        </w:tc>
        <w:tc>
          <w:tcPr>
            <w:tcW w:w="43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平度市</w:t>
            </w:r>
          </w:p>
        </w:tc>
        <w:tc>
          <w:tcPr>
            <w:tcW w:w="70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一般管控单元</w:t>
            </w:r>
          </w:p>
        </w:tc>
        <w:tc>
          <w:tcPr>
            <w:tcW w:w="1135"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大沽河生态廊道一般生态空间、落药河、引黄济青（南村段）、大沽河、南村镇大沽河井群、农业面源重点管控区、大气环境一般管控区、大气环境受体敏感区</w:t>
            </w:r>
          </w:p>
        </w:tc>
        <w:tc>
          <w:tcPr>
            <w:tcW w:w="1414"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1.依据《山东省环境保护条例》中产业结构调整和产业布局优化的要求，引导工业企业入驻工业园区。</w:t>
            </w:r>
          </w:p>
          <w:p>
            <w:pPr>
              <w:snapToGrid w:val="0"/>
              <w:jc w:val="left"/>
              <w:rPr>
                <w:rFonts w:ascii="Times New Roman" w:hAnsi="Times New Roman" w:cs="Times New Roman"/>
                <w:sz w:val="16"/>
                <w:szCs w:val="16"/>
              </w:rPr>
            </w:pPr>
            <w:r>
              <w:rPr>
                <w:rFonts w:ascii="Times New Roman" w:hAnsi="Times New Roman" w:cs="Times New Roman"/>
                <w:sz w:val="16"/>
                <w:szCs w:val="16"/>
              </w:rPr>
              <w:t>2.饮用水源保护区严格按照《中华人民共和国水污染防治法》《山东省水污染防治条例》</w:t>
            </w:r>
            <w:r>
              <w:rPr>
                <w:rFonts w:hint="eastAsia" w:ascii="Times New Roman" w:hAnsi="Times New Roman" w:cs="Times New Roman"/>
                <w:sz w:val="16"/>
                <w:szCs w:val="16"/>
                <w:lang w:eastAsia="zh-CN"/>
              </w:rPr>
              <w:t>《青岛市饮用水水源保护条例》</w:t>
            </w:r>
            <w:r>
              <w:rPr>
                <w:rFonts w:ascii="Times New Roman" w:hAnsi="Times New Roman" w:cs="Times New Roman"/>
                <w:sz w:val="16"/>
                <w:szCs w:val="16"/>
              </w:rPr>
              <w:t>及相关法律法规实施保护管理。</w:t>
            </w:r>
          </w:p>
        </w:tc>
        <w:tc>
          <w:tcPr>
            <w:tcW w:w="4390"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机械制造行业下料、机械加工、抛丸、打磨、喷砂、清理滚筒、热处理、化学预处理等环节设置废气有效收集治理设施。焊接环节根据作业点位数配备焊接烟尘净化器，或设置专门操作间并设置集气系统对焊接烟尘进行有效收集治理。</w:t>
            </w:r>
          </w:p>
          <w:p>
            <w:pPr>
              <w:snapToGrid w:val="0"/>
              <w:rPr>
                <w:rFonts w:ascii="Times New Roman" w:hAnsi="Times New Roman" w:cs="Times New Roman"/>
                <w:sz w:val="16"/>
                <w:szCs w:val="16"/>
              </w:rPr>
            </w:pPr>
            <w:r>
              <w:rPr>
                <w:rFonts w:ascii="Times New Roman" w:hAnsi="Times New Roman" w:cs="Times New Roman"/>
                <w:sz w:val="16"/>
                <w:szCs w:val="16"/>
              </w:rPr>
              <w:t>2.涂装行业鼓励推进源头替代，引导使用低VOCs含量的涂料替代溶剂型引导使用低VOCs含量的涂料替代溶剂型涂料，从源头减少VOCs产生。推进使用先进生产工艺，鼓励企业采用自动化、智能化喷涂设备替代人工喷涂，减少使用空气喷涂技术。提高废气收集率。遵循“应收尽收、分质收集”的原则，科学设计废气收集系统，将无组织排放转变为有组织排放进行控制。涂料、稀释剂、清洗剂等原辅材料应密闭存储，调配、使用、回收等过程应采用密闭设备或在密闭空间内操作，采用密闭管道或密闭容器等输送。推进建设适宜高效的治污设施，合理选择治理技术，提高VOCs治理效率。</w:t>
            </w:r>
          </w:p>
          <w:p>
            <w:pPr>
              <w:snapToGrid w:val="0"/>
              <w:rPr>
                <w:rFonts w:ascii="Times New Roman" w:hAnsi="Times New Roman" w:cs="Times New Roman"/>
                <w:sz w:val="16"/>
                <w:szCs w:val="16"/>
              </w:rPr>
            </w:pPr>
            <w:r>
              <w:rPr>
                <w:rFonts w:ascii="Times New Roman" w:hAnsi="Times New Roman" w:cs="Times New Roman"/>
                <w:sz w:val="16"/>
                <w:szCs w:val="16"/>
              </w:rPr>
              <w:t>3.食品加工行业应加强臭气异味的处理和防治，安装净化装置或者采取其他措施，防止排放恶臭气体，含盐废水做到达标排放。</w:t>
            </w:r>
          </w:p>
          <w:p>
            <w:pPr>
              <w:snapToGrid w:val="0"/>
              <w:rPr>
                <w:rFonts w:ascii="Times New Roman" w:hAnsi="Times New Roman" w:cs="Times New Roman"/>
                <w:sz w:val="16"/>
                <w:szCs w:val="16"/>
              </w:rPr>
            </w:pPr>
            <w:r>
              <w:rPr>
                <w:rFonts w:ascii="Times New Roman" w:hAnsi="Times New Roman" w:cs="Times New Roman"/>
                <w:sz w:val="16"/>
                <w:szCs w:val="16"/>
              </w:rPr>
              <w:t>4.完善市政管网建设，明确国电银河水务（青岛南村）有限公司排水去向。</w:t>
            </w:r>
          </w:p>
          <w:p>
            <w:pPr>
              <w:snapToGrid w:val="0"/>
              <w:rPr>
                <w:rFonts w:ascii="Times New Roman" w:hAnsi="Times New Roman" w:cs="Times New Roman"/>
                <w:sz w:val="16"/>
                <w:szCs w:val="16"/>
              </w:rPr>
            </w:pPr>
            <w:r>
              <w:rPr>
                <w:rFonts w:ascii="Times New Roman" w:hAnsi="Times New Roman" w:cs="Times New Roman"/>
                <w:sz w:val="16"/>
                <w:szCs w:val="16"/>
              </w:rPr>
              <w:t>5.推广农作物病虫害绿色防控技术，推行科学种植，合理使用化肥农药，减少农业面源污染。</w:t>
            </w:r>
          </w:p>
        </w:tc>
        <w:tc>
          <w:tcPr>
            <w:tcW w:w="1418"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1.建立健全环境风险事故防范措施和应急预案，严防环境安全事故发生。</w:t>
            </w:r>
          </w:p>
        </w:tc>
        <w:tc>
          <w:tcPr>
            <w:tcW w:w="1195"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1.推广集中供能和清洁能源利用;</w:t>
            </w:r>
          </w:p>
          <w:p>
            <w:pPr>
              <w:snapToGrid w:val="0"/>
              <w:rPr>
                <w:rFonts w:ascii="Times New Roman" w:hAnsi="Times New Roman" w:cs="Times New Roman"/>
                <w:sz w:val="16"/>
                <w:szCs w:val="16"/>
              </w:rPr>
            </w:pPr>
            <w:r>
              <w:rPr>
                <w:rFonts w:ascii="Times New Roman" w:hAnsi="Times New Roman" w:cs="Times New Roman"/>
                <w:sz w:val="16"/>
                <w:szCs w:val="16"/>
              </w:rPr>
              <w:t>2.鼓励推广节水器具、节水工艺等，发展节水农业，提高水资源利用效率。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14</w:t>
            </w:r>
          </w:p>
        </w:tc>
        <w:tc>
          <w:tcPr>
            <w:tcW w:w="1316"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ZH37028330001</w:t>
            </w:r>
          </w:p>
        </w:tc>
        <w:tc>
          <w:tcPr>
            <w:tcW w:w="699"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新河镇</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山东省</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青岛市</w:t>
            </w:r>
          </w:p>
        </w:tc>
        <w:tc>
          <w:tcPr>
            <w:tcW w:w="43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平度市</w:t>
            </w:r>
          </w:p>
        </w:tc>
        <w:tc>
          <w:tcPr>
            <w:tcW w:w="70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一般管控单元</w:t>
            </w:r>
          </w:p>
        </w:tc>
        <w:tc>
          <w:tcPr>
            <w:tcW w:w="1135"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水环境一般管控区、大气环境一般管控区、新河水库、大气环境受体敏感区</w:t>
            </w:r>
          </w:p>
        </w:tc>
        <w:tc>
          <w:tcPr>
            <w:tcW w:w="1414"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1.按照《山东省化工投资项目管理规定》，</w:t>
            </w:r>
            <w:r>
              <w:rPr>
                <w:rFonts w:ascii="Times New Roman" w:hAnsi="Times New Roman" w:cs="Times New Roman"/>
                <w:kern w:val="0"/>
                <w:sz w:val="16"/>
                <w:szCs w:val="16"/>
              </w:rPr>
              <w:t>化工项目</w:t>
            </w:r>
            <w:r>
              <w:rPr>
                <w:rFonts w:ascii="Times New Roman" w:hAnsi="Times New Roman" w:cs="Times New Roman"/>
                <w:sz w:val="16"/>
                <w:szCs w:val="16"/>
              </w:rPr>
              <w:t>原则上应在山东省政府认定的化工园区、专业化工园区和重点监控点内实施，并符合国土空间规划、产业发展规划等相关规划。</w:t>
            </w:r>
          </w:p>
          <w:p>
            <w:pPr>
              <w:snapToGrid w:val="0"/>
              <w:jc w:val="left"/>
              <w:rPr>
                <w:rFonts w:ascii="Times New Roman" w:hAnsi="Times New Roman" w:cs="Times New Roman"/>
                <w:sz w:val="16"/>
                <w:szCs w:val="16"/>
              </w:rPr>
            </w:pPr>
            <w:r>
              <w:rPr>
                <w:rFonts w:ascii="Times New Roman" w:hAnsi="Times New Roman" w:cs="Times New Roman"/>
                <w:sz w:val="16"/>
                <w:szCs w:val="16"/>
              </w:rPr>
              <w:t>2.产业布局应符合区域规划和规划环评要求。</w:t>
            </w:r>
          </w:p>
          <w:p>
            <w:pPr>
              <w:snapToGrid w:val="0"/>
              <w:jc w:val="left"/>
              <w:rPr>
                <w:rFonts w:ascii="Times New Roman" w:hAnsi="Times New Roman" w:cs="Times New Roman"/>
                <w:sz w:val="16"/>
                <w:szCs w:val="16"/>
              </w:rPr>
            </w:pPr>
            <w:r>
              <w:rPr>
                <w:rFonts w:ascii="Times New Roman" w:hAnsi="Times New Roman" w:cs="Times New Roman"/>
                <w:sz w:val="16"/>
                <w:szCs w:val="16"/>
              </w:rPr>
              <w:t>3.严格控制新建独立选矿厂尾矿库、严禁新建“头顶库”、总坝高超过200米的尾矿库。</w:t>
            </w:r>
          </w:p>
          <w:p>
            <w:pPr>
              <w:snapToGrid w:val="0"/>
              <w:jc w:val="left"/>
              <w:rPr>
                <w:rFonts w:ascii="Times New Roman" w:hAnsi="Times New Roman" w:cs="Times New Roman"/>
                <w:sz w:val="16"/>
                <w:szCs w:val="16"/>
              </w:rPr>
            </w:pPr>
            <w:r>
              <w:rPr>
                <w:rFonts w:ascii="Times New Roman" w:hAnsi="Times New Roman" w:cs="Times New Roman"/>
                <w:sz w:val="16"/>
                <w:szCs w:val="16"/>
              </w:rPr>
              <w:t>4.尾矿库下游1公里范围内不得新设置居民区、工矿企业、集贸市场、休闲健身娱乐广场等人员密集场所。</w:t>
            </w:r>
          </w:p>
        </w:tc>
        <w:tc>
          <w:tcPr>
            <w:tcW w:w="4390"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1.做好矿库监管，减少矿区废水排放和大气污染，推进废弃矿坑生态修复与综合利用。</w:t>
            </w:r>
          </w:p>
          <w:p>
            <w:pPr>
              <w:snapToGrid w:val="0"/>
              <w:rPr>
                <w:rFonts w:ascii="Times New Roman" w:hAnsi="Times New Roman" w:cs="Times New Roman"/>
                <w:sz w:val="16"/>
                <w:szCs w:val="16"/>
              </w:rPr>
            </w:pPr>
            <w:r>
              <w:rPr>
                <w:rFonts w:ascii="Times New Roman" w:hAnsi="Times New Roman" w:cs="Times New Roman"/>
                <w:sz w:val="16"/>
                <w:szCs w:val="16"/>
              </w:rPr>
              <w:t>2.化工行业加热炉等采用清洁燃料，采取必要的氮氧化物控制措施。催化裂化装置和动力站锅炉等采取必要的脱硫、脱硝和除尘措施。工艺废气采取有效治理措施，减少污染物排放。通过优化设备、储罐选型，装卸、废水处理、污泥处置、采样等环节密闭化，减少污染物无组织排放。储存、装卸、废水处理等环节采取高效的有机废气回收与治理措施。明确设备泄漏检测与修复（LDAR）制度。废水采取分类收集、分质处理措施。提高污水回用率，含油废水经处理后最大限度回用。含盐废水进行适当深度处理。根据地下水水文情况，按照《石油化工工程防渗技术规范》（GB、T50934）等相关要求，采取分区防渗措施，制定有效的地下水监控和应急方案。</w:t>
            </w:r>
          </w:p>
          <w:p>
            <w:pPr>
              <w:snapToGrid w:val="0"/>
              <w:rPr>
                <w:rFonts w:ascii="Times New Roman" w:hAnsi="Times New Roman" w:cs="Times New Roman"/>
                <w:sz w:val="16"/>
                <w:szCs w:val="16"/>
              </w:rPr>
            </w:pPr>
            <w:r>
              <w:rPr>
                <w:rFonts w:ascii="Times New Roman" w:hAnsi="Times New Roman" w:cs="Times New Roman"/>
                <w:sz w:val="16"/>
                <w:szCs w:val="16"/>
              </w:rPr>
              <w:t>3.机械制造行业下料、机械加工、抛丸、打磨、喷砂、清理滚筒、热处理、化学预处理、电镀等环节设置废气有效收集治理设施。焊接环节根据作业点位数配备焊接烟尘净化器，或设置专门操作间并设置集气系统对焊接烟尘进行有效收集治理。涂装环节落实表面涂装行业的控制VOCs排放等要求。</w:t>
            </w:r>
          </w:p>
        </w:tc>
        <w:tc>
          <w:tcPr>
            <w:tcW w:w="1418"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1.工业企业产生的固体废物特别是危险废物应严格按照国家规定综合利用或妥善处置，严防二次污染。</w:t>
            </w:r>
          </w:p>
          <w:p>
            <w:pPr>
              <w:snapToGrid w:val="0"/>
              <w:rPr>
                <w:rFonts w:ascii="Times New Roman" w:hAnsi="Times New Roman" w:cs="Times New Roman"/>
                <w:sz w:val="16"/>
                <w:szCs w:val="16"/>
              </w:rPr>
            </w:pPr>
            <w:r>
              <w:rPr>
                <w:rFonts w:ascii="Times New Roman" w:hAnsi="Times New Roman" w:cs="Times New Roman"/>
                <w:sz w:val="16"/>
                <w:szCs w:val="16"/>
              </w:rPr>
              <w:t>2.鼓励新开发矿山项目积极采用新设备、新工艺以及全尾砂充填、尾矿综合利用等措施，减少尾矿排放。</w:t>
            </w:r>
          </w:p>
          <w:p>
            <w:pPr>
              <w:snapToGrid w:val="0"/>
              <w:rPr>
                <w:rFonts w:ascii="Times New Roman" w:hAnsi="Times New Roman" w:cs="Times New Roman"/>
                <w:sz w:val="16"/>
                <w:szCs w:val="16"/>
              </w:rPr>
            </w:pPr>
            <w:r>
              <w:rPr>
                <w:rFonts w:ascii="Times New Roman" w:hAnsi="Times New Roman" w:cs="Times New Roman"/>
                <w:sz w:val="16"/>
                <w:szCs w:val="16"/>
              </w:rPr>
              <w:t>3.因公路、铁路以及其他项目建设导致尾矿库成为“头顶库”的，由项目建设单位或相关责任人出资对尾矿库进行治理。</w:t>
            </w:r>
          </w:p>
        </w:tc>
        <w:tc>
          <w:tcPr>
            <w:tcW w:w="1195"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1.推广集中供能和清洁能源利用。</w:t>
            </w:r>
          </w:p>
          <w:p>
            <w:pPr>
              <w:snapToGrid w:val="0"/>
              <w:rPr>
                <w:rFonts w:ascii="Times New Roman" w:hAnsi="Times New Roman" w:cs="Times New Roman"/>
                <w:sz w:val="16"/>
                <w:szCs w:val="16"/>
              </w:rPr>
            </w:pPr>
            <w:r>
              <w:rPr>
                <w:rFonts w:ascii="Times New Roman" w:hAnsi="Times New Roman" w:cs="Times New Roman"/>
                <w:sz w:val="16"/>
                <w:szCs w:val="16"/>
              </w:rPr>
              <w:t>2.鼓励推广节水器具、节水工艺等，发展节水农业，提高水资源利用效率。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15</w:t>
            </w:r>
          </w:p>
        </w:tc>
        <w:tc>
          <w:tcPr>
            <w:tcW w:w="1316"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ZH37028330002</w:t>
            </w:r>
          </w:p>
        </w:tc>
        <w:tc>
          <w:tcPr>
            <w:tcW w:w="699"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田庄镇</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山东省</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青岛市</w:t>
            </w:r>
          </w:p>
        </w:tc>
        <w:tc>
          <w:tcPr>
            <w:tcW w:w="43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平度市</w:t>
            </w:r>
          </w:p>
        </w:tc>
        <w:tc>
          <w:tcPr>
            <w:tcW w:w="70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一般管控单元</w:t>
            </w:r>
          </w:p>
        </w:tc>
        <w:tc>
          <w:tcPr>
            <w:tcW w:w="1135"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胶东调水渠、双山河、水环境一般管控区、大气环境一般管控区、新河水库、大气环境受体敏感区</w:t>
            </w:r>
          </w:p>
        </w:tc>
        <w:tc>
          <w:tcPr>
            <w:tcW w:w="1414"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1.按照《山东省化工投资项目管理规定》，</w:t>
            </w:r>
            <w:r>
              <w:rPr>
                <w:rFonts w:ascii="Times New Roman" w:hAnsi="Times New Roman" w:cs="Times New Roman"/>
                <w:kern w:val="0"/>
                <w:sz w:val="16"/>
                <w:szCs w:val="16"/>
              </w:rPr>
              <w:t>化工项目</w:t>
            </w:r>
            <w:r>
              <w:rPr>
                <w:rFonts w:ascii="Times New Roman" w:hAnsi="Times New Roman" w:cs="Times New Roman"/>
                <w:sz w:val="16"/>
                <w:szCs w:val="16"/>
              </w:rPr>
              <w:t>原则上应在山东省政府认定的化工园区、专业化工园区和重点监控点内实施，并符合国土空间规划、产业发展规划等相关规划。</w:t>
            </w:r>
          </w:p>
        </w:tc>
        <w:tc>
          <w:tcPr>
            <w:tcW w:w="4390"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机械制造行业下料、机械加工、抛丸、打磨、喷砂、清理滚筒、热处理、化学预处理等环节设置废气有效收集治理设施。焊接环节根据作业点位数配备焊接烟尘净化器，或设置专门操作间并设置集气系统对焊接烟尘进行有效收集治理。</w:t>
            </w:r>
          </w:p>
          <w:p>
            <w:pPr>
              <w:snapToGrid w:val="0"/>
              <w:rPr>
                <w:rFonts w:ascii="Times New Roman" w:hAnsi="Times New Roman" w:cs="Times New Roman"/>
                <w:sz w:val="16"/>
                <w:szCs w:val="16"/>
              </w:rPr>
            </w:pPr>
            <w:r>
              <w:rPr>
                <w:rFonts w:ascii="Times New Roman" w:hAnsi="Times New Roman" w:cs="Times New Roman"/>
                <w:sz w:val="16"/>
                <w:szCs w:val="16"/>
              </w:rPr>
              <w:t>2.表面涂装行业鼓励推进源头替代，引导使用低VOCs含量的涂料替代溶剂型引导使用低VOCs含量的涂料替代溶剂型涂料，从源头减少VOCs产生。推进使用先进生产工艺，鼓励企业采用自动化、智能化喷涂设备替代人工喷涂，减少使用空气喷涂技术。提高废气收集率。遵循“应收尽收、分质收集”的原则，科学设计废气收集系统，将无组织排放转变为有组织排放进行控制。推进建设适宜高效的治污设施，合理选择治理技术，提高VOCs治理效率。</w:t>
            </w:r>
          </w:p>
          <w:p>
            <w:pPr>
              <w:snapToGrid w:val="0"/>
              <w:rPr>
                <w:rFonts w:ascii="Times New Roman" w:hAnsi="Times New Roman" w:cs="Times New Roman"/>
                <w:sz w:val="16"/>
                <w:szCs w:val="16"/>
              </w:rPr>
            </w:pPr>
            <w:r>
              <w:rPr>
                <w:rFonts w:ascii="Times New Roman" w:hAnsi="Times New Roman" w:cs="Times New Roman"/>
                <w:sz w:val="16"/>
                <w:szCs w:val="16"/>
              </w:rPr>
              <w:t>3.铸造行业熔炼炉、熔化炉等装置配备有效集尘除尘设施，硅砂、焦炭、炉渣等封闭储存，煤粉、膨润土、涂料、树脂等密闭储存，浇注、冷却、造型、制芯等环节设置有效集尘除尘设施，开箱、落砂、旧砂回用再生、抛丸等环节采取密闭措施，配备有效集尘除尘设施，有机溶剂用密闭储存，制模、铸型、制芯、浇注、冷却涉VOCs排放工序均应采取收集处理措施。</w:t>
            </w:r>
          </w:p>
          <w:p>
            <w:pPr>
              <w:snapToGrid w:val="0"/>
              <w:rPr>
                <w:rFonts w:ascii="Times New Roman" w:hAnsi="Times New Roman" w:cs="Times New Roman"/>
                <w:sz w:val="16"/>
                <w:szCs w:val="16"/>
              </w:rPr>
            </w:pPr>
            <w:r>
              <w:rPr>
                <w:rFonts w:ascii="Times New Roman" w:hAnsi="Times New Roman" w:cs="Times New Roman"/>
                <w:sz w:val="16"/>
                <w:szCs w:val="16"/>
              </w:rPr>
              <w:t>4.生活垃圾焚烧发电企业应确保各项污染防治设施的正常运行，控制焚烧烟气、恶臭等不利环境影响，落实分区防控要求，防止污染地下水和土壤。</w:t>
            </w:r>
          </w:p>
        </w:tc>
        <w:tc>
          <w:tcPr>
            <w:tcW w:w="1418"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1.生活垃圾焚烧发电企业应协助当地政府做好相关规划控制工作，防护距离范围内不得新建学校、医院、居民区等环境敏感点。做好各项设施运行维护，消除风险隐患，预防事故发生。</w:t>
            </w:r>
          </w:p>
          <w:p>
            <w:pPr>
              <w:snapToGrid w:val="0"/>
              <w:rPr>
                <w:rFonts w:ascii="Times New Roman" w:hAnsi="Times New Roman" w:cs="Times New Roman"/>
                <w:sz w:val="16"/>
                <w:szCs w:val="16"/>
              </w:rPr>
            </w:pPr>
            <w:r>
              <w:rPr>
                <w:rFonts w:ascii="Times New Roman" w:hAnsi="Times New Roman" w:cs="Times New Roman"/>
                <w:sz w:val="16"/>
                <w:szCs w:val="16"/>
              </w:rPr>
              <w:t>2.工业企业产生的固体废物特别是危险废物应严格按照国家规定综合利用或妥善处置，严防二次污染。</w:t>
            </w:r>
          </w:p>
          <w:p>
            <w:pPr>
              <w:snapToGrid w:val="0"/>
              <w:rPr>
                <w:rFonts w:ascii="Times New Roman" w:hAnsi="Times New Roman" w:cs="Times New Roman"/>
                <w:sz w:val="16"/>
                <w:szCs w:val="16"/>
              </w:rPr>
            </w:pPr>
            <w:r>
              <w:rPr>
                <w:rFonts w:ascii="Times New Roman" w:hAnsi="Times New Roman" w:cs="Times New Roman"/>
                <w:sz w:val="16"/>
                <w:szCs w:val="16"/>
              </w:rPr>
              <w:t>3.建立健全环境风险事故防范措施和应急预案，严防环境安全事故发生。</w:t>
            </w:r>
          </w:p>
        </w:tc>
        <w:tc>
          <w:tcPr>
            <w:tcW w:w="1195"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1.推广集中供能和清洁能源利用。</w:t>
            </w:r>
          </w:p>
          <w:p>
            <w:pPr>
              <w:snapToGrid w:val="0"/>
              <w:rPr>
                <w:rFonts w:ascii="Times New Roman" w:hAnsi="Times New Roman" w:cs="Times New Roman"/>
                <w:sz w:val="16"/>
                <w:szCs w:val="16"/>
              </w:rPr>
            </w:pPr>
            <w:r>
              <w:rPr>
                <w:rFonts w:ascii="Times New Roman" w:hAnsi="Times New Roman" w:cs="Times New Roman"/>
                <w:sz w:val="16"/>
                <w:szCs w:val="16"/>
              </w:rPr>
              <w:t>2.鼓励推广节水器具、节水工艺等，发展节水农业，提高水资源利用效率。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16</w:t>
            </w:r>
          </w:p>
        </w:tc>
        <w:tc>
          <w:tcPr>
            <w:tcW w:w="1316"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ZH37028330003</w:t>
            </w:r>
          </w:p>
        </w:tc>
        <w:tc>
          <w:tcPr>
            <w:tcW w:w="699"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蓼兰镇</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山东省</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青岛市</w:t>
            </w:r>
          </w:p>
        </w:tc>
        <w:tc>
          <w:tcPr>
            <w:tcW w:w="43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平度市</w:t>
            </w:r>
          </w:p>
        </w:tc>
        <w:tc>
          <w:tcPr>
            <w:tcW w:w="70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一般管控单元</w:t>
            </w:r>
          </w:p>
        </w:tc>
        <w:tc>
          <w:tcPr>
            <w:tcW w:w="1135"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引黄济青输水河、水环境一般管控区、大气环境布局敏感区、大气环境一般管控区、大气环境受体敏感区</w:t>
            </w:r>
          </w:p>
        </w:tc>
        <w:tc>
          <w:tcPr>
            <w:tcW w:w="1414"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1.按照《山东省化工投资项目管理规定》，化工项目原则上应在山东省政府认定的化工园区、专业化工园区和重点监控点内实施，并符合国土空间规划、产业发展规划等相关规划。</w:t>
            </w:r>
          </w:p>
          <w:p>
            <w:pPr>
              <w:snapToGrid w:val="0"/>
              <w:jc w:val="left"/>
              <w:rPr>
                <w:rFonts w:ascii="Times New Roman" w:hAnsi="Times New Roman" w:cs="Times New Roman"/>
                <w:sz w:val="16"/>
                <w:szCs w:val="16"/>
              </w:rPr>
            </w:pPr>
          </w:p>
        </w:tc>
        <w:tc>
          <w:tcPr>
            <w:tcW w:w="4390"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机械制造行业下料、机械加工、抛丸、打磨、喷砂、清理滚筒、热处理、化学预处理等环节设置废气有效收集治理设施。焊接环节根据作业点位数配备焊接烟尘净化器，或设置专门操作间并设置集气系统对焊接烟尘进行有效收集治理。</w:t>
            </w:r>
          </w:p>
          <w:p>
            <w:pPr>
              <w:snapToGrid w:val="0"/>
              <w:rPr>
                <w:rFonts w:ascii="Times New Roman" w:hAnsi="Times New Roman" w:cs="Times New Roman"/>
                <w:sz w:val="16"/>
                <w:szCs w:val="16"/>
              </w:rPr>
            </w:pPr>
            <w:r>
              <w:rPr>
                <w:rFonts w:ascii="Times New Roman" w:hAnsi="Times New Roman" w:cs="Times New Roman"/>
                <w:sz w:val="16"/>
                <w:szCs w:val="16"/>
              </w:rPr>
              <w:t>2.涂装行业鼓励推进源头替代，引导使用低VOCs含量的涂料替代溶剂型引导使用低VOCs含量的涂料替代溶剂型涂料，从源头减少VOCs产生。推进使用先进生产工艺，鼓励企业采用自动化、智能化喷涂设备替代人工喷涂，减少使用空气喷涂技术。提高废气收集率。遵循“应收尽收、分质收集”的原则，科学设计废气收集系统，将无组织排放转变为有组织排放进行控制。涂料、稀释剂、清洗剂等原辅材料应密闭存储，调配、使用、回收等过程应采用密闭设备或在密闭空间内操作，采用密闭管道或密闭容器等输送。推进建设适宜高效的治污设施，合理选择治理技术，提高VOCs治理效率。</w:t>
            </w:r>
          </w:p>
        </w:tc>
        <w:tc>
          <w:tcPr>
            <w:tcW w:w="1418"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1.工业企业产生的固体废物特别是危险废物应严格按照国家规定综合利用或妥善处置，严防二次污染。</w:t>
            </w:r>
          </w:p>
          <w:p>
            <w:pPr>
              <w:snapToGrid w:val="0"/>
              <w:rPr>
                <w:rFonts w:ascii="Times New Roman" w:hAnsi="Times New Roman" w:cs="Times New Roman"/>
                <w:sz w:val="16"/>
                <w:szCs w:val="16"/>
              </w:rPr>
            </w:pPr>
            <w:r>
              <w:rPr>
                <w:rFonts w:ascii="Times New Roman" w:hAnsi="Times New Roman" w:cs="Times New Roman"/>
                <w:sz w:val="16"/>
                <w:szCs w:val="16"/>
              </w:rPr>
              <w:t>2.建立健全环境风险事故防范措施和应急预案，严防环境安全事故发生。</w:t>
            </w:r>
          </w:p>
        </w:tc>
        <w:tc>
          <w:tcPr>
            <w:tcW w:w="1195"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1.推广集中供能和清洁能源利用。</w:t>
            </w:r>
          </w:p>
          <w:p>
            <w:pPr>
              <w:snapToGrid w:val="0"/>
              <w:rPr>
                <w:rFonts w:ascii="Times New Roman" w:hAnsi="Times New Roman" w:cs="Times New Roman"/>
                <w:sz w:val="16"/>
                <w:szCs w:val="16"/>
              </w:rPr>
            </w:pPr>
            <w:r>
              <w:rPr>
                <w:rFonts w:ascii="Times New Roman" w:hAnsi="Times New Roman" w:cs="Times New Roman"/>
                <w:sz w:val="16"/>
                <w:szCs w:val="16"/>
              </w:rPr>
              <w:t>2.鼓励推广节水器具、节水工艺等，发展节水农业，提高水资源利用效率。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17</w:t>
            </w:r>
          </w:p>
        </w:tc>
        <w:tc>
          <w:tcPr>
            <w:tcW w:w="1316"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ZH37028330004</w:t>
            </w:r>
          </w:p>
        </w:tc>
        <w:tc>
          <w:tcPr>
            <w:tcW w:w="699"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崔家集镇</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山东省</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青岛市</w:t>
            </w:r>
          </w:p>
        </w:tc>
        <w:tc>
          <w:tcPr>
            <w:tcW w:w="43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平度市</w:t>
            </w:r>
          </w:p>
        </w:tc>
        <w:tc>
          <w:tcPr>
            <w:tcW w:w="70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一般管控单元</w:t>
            </w:r>
          </w:p>
        </w:tc>
        <w:tc>
          <w:tcPr>
            <w:tcW w:w="1135"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引黄济青输水河、水环境一般管控区、大气环境一般管控区、大气环境受体敏感区</w:t>
            </w:r>
          </w:p>
        </w:tc>
        <w:tc>
          <w:tcPr>
            <w:tcW w:w="1414" w:type="dxa"/>
            <w:vAlign w:val="center"/>
          </w:tcPr>
          <w:p>
            <w:pPr>
              <w:snapToGrid w:val="0"/>
              <w:jc w:val="left"/>
              <w:rPr>
                <w:rFonts w:hint="eastAsia" w:ascii="Times New Roman" w:hAnsi="Times New Roman" w:cs="Times New Roman"/>
                <w:sz w:val="16"/>
                <w:szCs w:val="16"/>
              </w:rPr>
            </w:pPr>
            <w:r>
              <w:rPr>
                <w:rFonts w:hint="eastAsia" w:ascii="Times New Roman" w:hAnsi="Times New Roman" w:cs="Times New Roman"/>
                <w:sz w:val="16"/>
                <w:szCs w:val="16"/>
                <w:lang w:val="en-US" w:eastAsia="zh-CN"/>
              </w:rPr>
              <w:t>1.</w:t>
            </w:r>
            <w:r>
              <w:rPr>
                <w:rFonts w:hint="eastAsia" w:ascii="Times New Roman" w:hAnsi="Times New Roman" w:cs="Times New Roman"/>
                <w:sz w:val="16"/>
                <w:szCs w:val="16"/>
              </w:rPr>
              <w:t>省胶东调水青岛段工程保护范围内不得从事建造或者设立生产、加工、储存、销售具有放射性或者易燃、易爆、剧毒等危险物品的场所、仓库。</w:t>
            </w:r>
            <w:r>
              <w:rPr>
                <w:rFonts w:hint="eastAsia" w:ascii="Times New Roman" w:hAnsi="Times New Roman" w:cs="Times New Roman"/>
                <w:kern w:val="0"/>
                <w:sz w:val="16"/>
                <w:szCs w:val="16"/>
                <w:lang w:eastAsia="zh-CN"/>
              </w:rPr>
              <w:t>（</w:t>
            </w:r>
            <w:r>
              <w:rPr>
                <w:rFonts w:ascii="Arial" w:hAnsi="Arial" w:eastAsia="宋体" w:cs="Arial"/>
                <w:i w:val="0"/>
                <w:iCs w:val="0"/>
                <w:caps w:val="0"/>
                <w:color w:val="333333"/>
                <w:spacing w:val="0"/>
                <w:sz w:val="15"/>
                <w:szCs w:val="15"/>
                <w:shd w:val="clear" w:fill="FFFFFF"/>
              </w:rPr>
              <w:t>★</w:t>
            </w:r>
            <w:r>
              <w:rPr>
                <w:rFonts w:hint="eastAsia" w:ascii="Times New Roman" w:hAnsi="Times New Roman" w:cs="Times New Roman"/>
                <w:kern w:val="0"/>
                <w:sz w:val="16"/>
                <w:szCs w:val="16"/>
                <w:lang w:eastAsia="zh-CN"/>
              </w:rPr>
              <w:t>）</w:t>
            </w:r>
          </w:p>
          <w:p>
            <w:pPr>
              <w:snapToGrid w:val="0"/>
              <w:jc w:val="left"/>
              <w:rPr>
                <w:rFonts w:hint="eastAsia" w:ascii="Times New Roman" w:hAnsi="Times New Roman" w:cs="Times New Roman"/>
                <w:sz w:val="16"/>
                <w:szCs w:val="16"/>
                <w:lang w:eastAsia="zh-CN"/>
              </w:rPr>
            </w:pPr>
            <w:r>
              <w:rPr>
                <w:rFonts w:hint="eastAsia" w:ascii="Times New Roman" w:hAnsi="Times New Roman" w:cs="Times New Roman"/>
                <w:sz w:val="16"/>
                <w:szCs w:val="16"/>
                <w:lang w:val="en-US" w:eastAsia="zh-CN"/>
              </w:rPr>
              <w:t>2</w:t>
            </w:r>
            <w:r>
              <w:rPr>
                <w:rFonts w:hint="eastAsia" w:ascii="Times New Roman" w:hAnsi="Times New Roman" w:cs="Times New Roman"/>
                <w:sz w:val="16"/>
                <w:szCs w:val="16"/>
              </w:rPr>
              <w:t>.</w:t>
            </w:r>
            <w:bookmarkStart w:id="56" w:name="OLE_LINK7"/>
            <w:r>
              <w:rPr>
                <w:rFonts w:hint="eastAsia" w:ascii="Times New Roman" w:hAnsi="Times New Roman" w:cs="Times New Roman"/>
                <w:sz w:val="16"/>
                <w:szCs w:val="16"/>
              </w:rPr>
              <w:t>在永久基本农田集中区域，不得新建可能造成土壤污染的建设项目</w:t>
            </w:r>
            <w:bookmarkEnd w:id="56"/>
            <w:r>
              <w:rPr>
                <w:rFonts w:hint="eastAsia" w:ascii="Times New Roman" w:hAnsi="Times New Roman" w:cs="Times New Roman"/>
                <w:sz w:val="16"/>
                <w:szCs w:val="16"/>
              </w:rPr>
              <w:t>；禁止任何单位和个人在基本农田保护区内建窑、建房、建坟、挖砂、采石、采矿、取土、堆放固体废弃物或者进行其他破坏基本农田的活动。</w:t>
            </w:r>
            <w:r>
              <w:rPr>
                <w:rFonts w:hint="eastAsia" w:ascii="Times New Roman" w:hAnsi="Times New Roman" w:cs="Times New Roman"/>
                <w:kern w:val="0"/>
                <w:sz w:val="16"/>
                <w:szCs w:val="16"/>
                <w:lang w:eastAsia="zh-CN"/>
              </w:rPr>
              <w:t>（</w:t>
            </w:r>
            <w:r>
              <w:rPr>
                <w:rFonts w:ascii="Arial" w:hAnsi="Arial" w:eastAsia="宋体" w:cs="Arial"/>
                <w:i w:val="0"/>
                <w:iCs w:val="0"/>
                <w:caps w:val="0"/>
                <w:color w:val="333333"/>
                <w:spacing w:val="0"/>
                <w:sz w:val="15"/>
                <w:szCs w:val="15"/>
                <w:shd w:val="clear" w:fill="FFFFFF"/>
              </w:rPr>
              <w:t>★</w:t>
            </w:r>
            <w:r>
              <w:rPr>
                <w:rFonts w:hint="eastAsia" w:ascii="Times New Roman" w:hAnsi="Times New Roman" w:cs="Times New Roman"/>
                <w:kern w:val="0"/>
                <w:sz w:val="16"/>
                <w:szCs w:val="16"/>
                <w:lang w:eastAsia="zh-CN"/>
              </w:rPr>
              <w:t>）</w:t>
            </w:r>
          </w:p>
          <w:p>
            <w:pPr>
              <w:snapToGrid w:val="0"/>
              <w:jc w:val="left"/>
              <w:rPr>
                <w:rFonts w:ascii="Times New Roman" w:hAnsi="Times New Roman" w:cs="Times New Roman"/>
                <w:sz w:val="16"/>
                <w:szCs w:val="16"/>
              </w:rPr>
            </w:pPr>
            <w:r>
              <w:rPr>
                <w:rFonts w:hint="eastAsia" w:ascii="Times New Roman" w:hAnsi="Times New Roman" w:cs="Times New Roman"/>
                <w:sz w:val="16"/>
                <w:szCs w:val="16"/>
                <w:lang w:val="en-US" w:eastAsia="zh-CN"/>
              </w:rPr>
              <w:t>3</w:t>
            </w:r>
            <w:r>
              <w:rPr>
                <w:rFonts w:ascii="Times New Roman" w:hAnsi="Times New Roman" w:cs="Times New Roman"/>
                <w:sz w:val="16"/>
                <w:szCs w:val="16"/>
              </w:rPr>
              <w:t>.按照《山东省化工投资项目管理规定》，化工项目原则上应在山东省政府认定的化工园区、专业化工园区和重点监控点内实施，并符合国土空间规划、产业发展规划等相关规划。</w:t>
            </w:r>
          </w:p>
          <w:p>
            <w:pPr>
              <w:snapToGrid w:val="0"/>
              <w:jc w:val="left"/>
              <w:rPr>
                <w:rFonts w:ascii="Times New Roman" w:hAnsi="Times New Roman" w:cs="Times New Roman"/>
                <w:sz w:val="16"/>
                <w:szCs w:val="16"/>
              </w:rPr>
            </w:pPr>
          </w:p>
        </w:tc>
        <w:tc>
          <w:tcPr>
            <w:tcW w:w="4390"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1.食品加工行业加强臭气异味的处理和防治；安装净化装置或者采取其他措施，防止排放恶臭气体；含盐废水处理，做到达标排放。</w:t>
            </w:r>
          </w:p>
          <w:p>
            <w:pPr>
              <w:snapToGrid w:val="0"/>
              <w:rPr>
                <w:rFonts w:ascii="Times New Roman" w:hAnsi="Times New Roman" w:cs="Times New Roman"/>
                <w:sz w:val="16"/>
                <w:szCs w:val="16"/>
              </w:rPr>
            </w:pPr>
            <w:r>
              <w:rPr>
                <w:rFonts w:ascii="Times New Roman" w:hAnsi="Times New Roman" w:cs="Times New Roman"/>
                <w:sz w:val="16"/>
                <w:szCs w:val="16"/>
              </w:rPr>
              <w:t>2.化工行业加热炉等采用清洁燃料，采取必要的氮氧化物控制措施。催化裂化装置和动力站锅炉等采取必要的脱硫、脱硝和除尘措施。工艺废气采取有效治理措施，减少污染物排放。通过优化设备、储罐选型，装卸、废水处理、污泥处置、采样等环节密闭化，减少污染物无组织排放。储存、装卸、废水处理等环节采取高效的有机废气回收与治理措施。明确设备泄漏检测与修复（LDAR）制度。废水采取分类收集、分质处理措施。提高污水回用率，含油废水经处理后最大限度回用。含盐废水进行适当深度处理。根据地下水水文情况，按照《石油化工工程防渗技术规范》（GB、T50934）等相关要求，采取分区防渗措施，制定有效的地下水监控和应急方案。</w:t>
            </w:r>
          </w:p>
          <w:p>
            <w:pPr>
              <w:snapToGrid w:val="0"/>
              <w:rPr>
                <w:rFonts w:ascii="Times New Roman" w:hAnsi="Times New Roman" w:cs="Times New Roman"/>
                <w:sz w:val="16"/>
                <w:szCs w:val="16"/>
              </w:rPr>
            </w:pPr>
          </w:p>
        </w:tc>
        <w:tc>
          <w:tcPr>
            <w:tcW w:w="1418"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1.对工业企业产生的固体废物特别是危险废物应严格按照国家规定综合利用或妥善处置，严防二次污染。</w:t>
            </w:r>
          </w:p>
          <w:p>
            <w:pPr>
              <w:snapToGrid w:val="0"/>
              <w:rPr>
                <w:rFonts w:ascii="Times New Roman" w:hAnsi="Times New Roman" w:cs="Times New Roman"/>
                <w:sz w:val="16"/>
                <w:szCs w:val="16"/>
              </w:rPr>
            </w:pPr>
            <w:r>
              <w:rPr>
                <w:rFonts w:ascii="Times New Roman" w:hAnsi="Times New Roman" w:cs="Times New Roman"/>
                <w:sz w:val="16"/>
                <w:szCs w:val="16"/>
              </w:rPr>
              <w:t>2.建立健全环境风险事故防范措施和应急预案，严防环境安全事故发生。</w:t>
            </w:r>
          </w:p>
          <w:p>
            <w:pPr>
              <w:snapToGrid w:val="0"/>
              <w:rPr>
                <w:rFonts w:ascii="Times New Roman" w:hAnsi="Times New Roman" w:cs="Times New Roman"/>
                <w:sz w:val="16"/>
                <w:szCs w:val="16"/>
              </w:rPr>
            </w:pPr>
          </w:p>
        </w:tc>
        <w:tc>
          <w:tcPr>
            <w:tcW w:w="1195"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1.强化节水措施，减少新鲜水用量，具备条件的地区，利用城市污水处理厂的中水、海水淡化水。</w:t>
            </w:r>
          </w:p>
          <w:p>
            <w:pPr>
              <w:snapToGrid w:val="0"/>
              <w:rPr>
                <w:rFonts w:hint="eastAsia" w:ascii="Times New Roman" w:hAnsi="Times New Roman" w:cs="Times New Roman"/>
                <w:sz w:val="16"/>
                <w:szCs w:val="16"/>
              </w:rPr>
            </w:pPr>
            <w:r>
              <w:rPr>
                <w:rFonts w:ascii="Times New Roman" w:hAnsi="Times New Roman" w:cs="Times New Roman"/>
                <w:sz w:val="16"/>
                <w:szCs w:val="16"/>
              </w:rPr>
              <w:t>2.取用地表水不得挤占生态用水、生活用水和农业用水。严格控制取用地下水。</w:t>
            </w:r>
          </w:p>
          <w:p>
            <w:pPr>
              <w:snapToGrid w:val="0"/>
              <w:rPr>
                <w:rFonts w:ascii="Times New Roman" w:hAnsi="Times New Roman" w:cs="Times New Roman"/>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18</w:t>
            </w:r>
          </w:p>
        </w:tc>
        <w:tc>
          <w:tcPr>
            <w:tcW w:w="1316"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ZH37028330005</w:t>
            </w:r>
          </w:p>
        </w:tc>
        <w:tc>
          <w:tcPr>
            <w:tcW w:w="699"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明村镇</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山东省</w:t>
            </w:r>
          </w:p>
        </w:tc>
        <w:tc>
          <w:tcPr>
            <w:tcW w:w="43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青岛市</w:t>
            </w:r>
          </w:p>
        </w:tc>
        <w:tc>
          <w:tcPr>
            <w:tcW w:w="435"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平度市</w:t>
            </w:r>
          </w:p>
        </w:tc>
        <w:tc>
          <w:tcPr>
            <w:tcW w:w="70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一般管控单元</w:t>
            </w:r>
          </w:p>
        </w:tc>
        <w:tc>
          <w:tcPr>
            <w:tcW w:w="1135"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胶东调水渠引黄济青（明村段）、明村地下水源地、水环境一般管控区、大气环境受体敏感区</w:t>
            </w:r>
          </w:p>
        </w:tc>
        <w:tc>
          <w:tcPr>
            <w:tcW w:w="1414"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1.按照《山东省化工投资项目管理规定》，化工项目原则上应在山东省政府认定的化工园区、专业化工园区和重点监控点内实施，并符合国土空间规划、产业发展规划等相关规划。</w:t>
            </w:r>
          </w:p>
        </w:tc>
        <w:tc>
          <w:tcPr>
            <w:tcW w:w="4390"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橡胶行业原料破碎、过筛、搅拌等工段产生的废气在除尘后需经恶臭污染物治理设施处理后外排。密炼、硫化工序产生的废气，宜在过滤除尘、化学洗涤预处理后，采用浓缩结合燃烧法等工艺进行处理。治污工艺宜采用喷淋降温+化学洗涤等预处理工艺，结合催化燃烧法、低温等离子、生物法等工艺进行处理。鼓励轮胎橡胶企业更新升级有机废气处理技术与设备，使有机废气收集率达90%以上。</w:t>
            </w:r>
          </w:p>
          <w:p>
            <w:pPr>
              <w:snapToGrid w:val="0"/>
              <w:rPr>
                <w:rFonts w:ascii="Times New Roman" w:hAnsi="Times New Roman" w:cs="Times New Roman"/>
                <w:sz w:val="16"/>
                <w:szCs w:val="16"/>
              </w:rPr>
            </w:pPr>
            <w:r>
              <w:rPr>
                <w:rFonts w:ascii="Times New Roman" w:hAnsi="Times New Roman" w:cs="Times New Roman"/>
                <w:sz w:val="16"/>
                <w:szCs w:val="16"/>
              </w:rPr>
              <w:t>2.铸造行业熔炼炉、熔化炉等装置配备有效集尘除尘设施，硅砂、焦炭、炉渣等封闭储存，煤粉、膨润土、涂料、树脂等密闭储存，浇注、冷却、造型、制芯等环节设置有效集尘除尘设施，开箱、落砂、旧砂回用再生、抛丸等环节采取密闭措施，配备有效集尘除尘设施，有机溶剂用密闭储存，制模、铸型、制芯、浇注、冷却涉VOCs排放工序均应采取收集处理措施。</w:t>
            </w:r>
          </w:p>
          <w:p>
            <w:pPr>
              <w:snapToGrid w:val="0"/>
              <w:rPr>
                <w:rFonts w:ascii="Times New Roman" w:hAnsi="Times New Roman" w:cs="Times New Roman"/>
                <w:sz w:val="16"/>
                <w:szCs w:val="16"/>
              </w:rPr>
            </w:pPr>
            <w:r>
              <w:rPr>
                <w:rFonts w:ascii="Times New Roman" w:hAnsi="Times New Roman" w:cs="Times New Roman"/>
                <w:sz w:val="16"/>
                <w:szCs w:val="16"/>
              </w:rPr>
              <w:t>3.轮胎行业炼胶工艺环节全流程产生的废气均应采取有效收集措施，宜采用下进风+上吸风方式。硫化产生的工艺废气宜采用设备内引风收集，开盖时宜采用上吸风方式收集，集气罩在不影响作业的前提下应尽可能靠近开盖位置，轮胎冷却工段产生的工艺废气宜采用侧吸风+下吸风方式进行收集。原料破碎、过筛、搅拌等工段产生的废气在除尘后需经恶臭污染物治理设施处理后外排。密炼、硫化工序产生的废气，宜在过滤除尘、化学洗涤预处理后，采用浓缩结合燃烧法等工艺进行处理。</w:t>
            </w:r>
          </w:p>
          <w:p>
            <w:pPr>
              <w:snapToGrid w:val="0"/>
              <w:rPr>
                <w:rFonts w:ascii="Times New Roman" w:hAnsi="Times New Roman" w:cs="Times New Roman"/>
                <w:sz w:val="16"/>
                <w:szCs w:val="16"/>
              </w:rPr>
            </w:pPr>
            <w:r>
              <w:rPr>
                <w:rFonts w:ascii="Times New Roman" w:hAnsi="Times New Roman" w:cs="Times New Roman"/>
                <w:sz w:val="16"/>
                <w:szCs w:val="16"/>
              </w:rPr>
              <w:t>4.加快农村生活污水处理设施建设，推进农村生活污水整治。</w:t>
            </w:r>
          </w:p>
          <w:p>
            <w:pPr>
              <w:snapToGrid w:val="0"/>
              <w:rPr>
                <w:rFonts w:ascii="Times New Roman" w:hAnsi="Times New Roman" w:cs="Times New Roman"/>
                <w:sz w:val="16"/>
                <w:szCs w:val="16"/>
              </w:rPr>
            </w:pPr>
            <w:r>
              <w:rPr>
                <w:rFonts w:ascii="Times New Roman" w:hAnsi="Times New Roman" w:cs="Times New Roman"/>
                <w:sz w:val="16"/>
                <w:szCs w:val="16"/>
              </w:rPr>
              <w:t>5.做好矿山监管，减少矿区废水排放和大气污染，推进废弃矿坑生态修复与综合利用。</w:t>
            </w:r>
          </w:p>
        </w:tc>
        <w:tc>
          <w:tcPr>
            <w:tcW w:w="1418"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1.建立健全环境风险事故防范措施和应急预案，严防环境安全事故发生。</w:t>
            </w:r>
          </w:p>
        </w:tc>
        <w:tc>
          <w:tcPr>
            <w:tcW w:w="1195"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1.推广集中供能和清洁能源利用。</w:t>
            </w:r>
          </w:p>
          <w:p>
            <w:pPr>
              <w:snapToGrid w:val="0"/>
              <w:rPr>
                <w:rFonts w:ascii="Times New Roman" w:hAnsi="Times New Roman" w:cs="Times New Roman"/>
                <w:sz w:val="16"/>
                <w:szCs w:val="16"/>
              </w:rPr>
            </w:pPr>
            <w:r>
              <w:rPr>
                <w:rFonts w:ascii="Times New Roman" w:hAnsi="Times New Roman" w:cs="Times New Roman"/>
                <w:sz w:val="16"/>
                <w:szCs w:val="16"/>
              </w:rPr>
              <w:t>2.鼓励推广节水器具、节水工艺等，发展节水农业，提高水资源利用效率。</w:t>
            </w:r>
          </w:p>
        </w:tc>
      </w:tr>
    </w:tbl>
    <w:p>
      <w:pPr>
        <w:widowControl/>
        <w:jc w:val="left"/>
        <w:rPr>
          <w:rFonts w:ascii="Times New Roman" w:hAnsi="Times New Roman" w:cs="Times New Roman"/>
          <w:sz w:val="16"/>
          <w:szCs w:val="16"/>
        </w:rPr>
      </w:pPr>
      <w:r>
        <w:rPr>
          <w:rFonts w:ascii="Times New Roman" w:hAnsi="Times New Roman" w:cs="Times New Roman"/>
          <w:sz w:val="16"/>
          <w:szCs w:val="16"/>
        </w:rPr>
        <w:br w:type="page"/>
      </w:r>
    </w:p>
    <w:p>
      <w:pPr>
        <w:widowControl/>
        <w:adjustRightInd w:val="0"/>
        <w:snapToGrid w:val="0"/>
        <w:spacing w:line="360" w:lineRule="auto"/>
        <w:jc w:val="center"/>
        <w:outlineLvl w:val="1"/>
        <w:rPr>
          <w:rFonts w:ascii="Times New Roman" w:hAnsi="Times New Roman" w:eastAsia="黑体" w:cs="Times New Roman"/>
          <w:b/>
          <w:kern w:val="44"/>
          <w:sz w:val="28"/>
          <w:szCs w:val="28"/>
        </w:rPr>
      </w:pPr>
      <w:bookmarkStart w:id="57" w:name="_Toc137761114"/>
      <w:bookmarkStart w:id="58" w:name="_Toc67649342"/>
      <w:bookmarkStart w:id="59" w:name="_Toc20435"/>
      <w:r>
        <w:rPr>
          <w:rFonts w:ascii="Times New Roman" w:hAnsi="Times New Roman" w:eastAsia="黑体" w:cs="Times New Roman"/>
          <w:b/>
          <w:kern w:val="44"/>
          <w:sz w:val="28"/>
          <w:szCs w:val="28"/>
        </w:rPr>
        <w:t>(十)莱西市环境管控单元生态环境准入清单</w:t>
      </w:r>
      <w:bookmarkEnd w:id="57"/>
      <w:bookmarkEnd w:id="58"/>
      <w:bookmarkEnd w:id="59"/>
    </w:p>
    <w:tbl>
      <w:tblPr>
        <w:tblStyle w:val="13"/>
        <w:tblW w:w="13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7"/>
        <w:gridCol w:w="1310"/>
        <w:gridCol w:w="694"/>
        <w:gridCol w:w="377"/>
        <w:gridCol w:w="429"/>
        <w:gridCol w:w="432"/>
        <w:gridCol w:w="697"/>
        <w:gridCol w:w="914"/>
        <w:gridCol w:w="1815"/>
        <w:gridCol w:w="3430"/>
        <w:gridCol w:w="2126"/>
        <w:gridCol w:w="13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87" w:type="dxa"/>
            <w:vMerge w:val="restart"/>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序号</w:t>
            </w:r>
          </w:p>
        </w:tc>
        <w:tc>
          <w:tcPr>
            <w:tcW w:w="1310" w:type="dxa"/>
            <w:vMerge w:val="restart"/>
            <w:vAlign w:val="center"/>
          </w:tcPr>
          <w:p>
            <w:pPr>
              <w:widowControl/>
              <w:adjustRightInd w:val="0"/>
              <w:snapToGrid w:val="0"/>
              <w:jc w:val="center"/>
              <w:rPr>
                <w:rFonts w:ascii="Times New Roman" w:hAnsi="Times New Roman" w:cs="Times New Roman"/>
                <w:b/>
                <w:sz w:val="16"/>
                <w:szCs w:val="16"/>
              </w:rPr>
            </w:pPr>
            <w:r>
              <w:rPr>
                <w:rFonts w:ascii="Times New Roman" w:hAnsi="Times New Roman" w:cs="Times New Roman"/>
                <w:b/>
                <w:sz w:val="16"/>
                <w:szCs w:val="16"/>
              </w:rPr>
              <w:t>环境管控单元编码</w:t>
            </w:r>
          </w:p>
        </w:tc>
        <w:tc>
          <w:tcPr>
            <w:tcW w:w="694" w:type="dxa"/>
            <w:vMerge w:val="restart"/>
            <w:vAlign w:val="center"/>
          </w:tcPr>
          <w:p>
            <w:pPr>
              <w:snapToGrid w:val="0"/>
              <w:ind w:left="-160" w:leftChars="-50" w:right="-166" w:rightChars="-52"/>
              <w:jc w:val="center"/>
              <w:rPr>
                <w:rFonts w:ascii="Times New Roman" w:hAnsi="Times New Roman" w:cs="Times New Roman"/>
                <w:b/>
                <w:sz w:val="16"/>
                <w:szCs w:val="16"/>
              </w:rPr>
            </w:pPr>
            <w:r>
              <w:rPr>
                <w:rFonts w:ascii="Times New Roman" w:hAnsi="Times New Roman" w:cs="Times New Roman"/>
                <w:b/>
                <w:sz w:val="16"/>
                <w:szCs w:val="16"/>
              </w:rPr>
              <w:t>环境管控单元名称</w:t>
            </w:r>
          </w:p>
        </w:tc>
        <w:tc>
          <w:tcPr>
            <w:tcW w:w="1238" w:type="dxa"/>
            <w:gridSpan w:val="3"/>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行政区划</w:t>
            </w:r>
          </w:p>
        </w:tc>
        <w:tc>
          <w:tcPr>
            <w:tcW w:w="697" w:type="dxa"/>
            <w:vMerge w:val="restart"/>
            <w:vAlign w:val="center"/>
          </w:tcPr>
          <w:p>
            <w:pPr>
              <w:widowControl/>
              <w:adjustRightInd w:val="0"/>
              <w:snapToGrid w:val="0"/>
              <w:jc w:val="center"/>
              <w:rPr>
                <w:rFonts w:ascii="Times New Roman" w:hAnsi="Times New Roman" w:cs="Times New Roman"/>
                <w:b/>
                <w:sz w:val="16"/>
                <w:szCs w:val="16"/>
              </w:rPr>
            </w:pPr>
            <w:r>
              <w:rPr>
                <w:rFonts w:ascii="Times New Roman" w:hAnsi="Times New Roman" w:cs="Times New Roman"/>
                <w:b/>
                <w:sz w:val="16"/>
                <w:szCs w:val="16"/>
              </w:rPr>
              <w:t>管控单元分类</w:t>
            </w:r>
          </w:p>
        </w:tc>
        <w:tc>
          <w:tcPr>
            <w:tcW w:w="914" w:type="dxa"/>
            <w:vMerge w:val="restart"/>
            <w:vAlign w:val="center"/>
          </w:tcPr>
          <w:p>
            <w:pPr>
              <w:adjustRightInd w:val="0"/>
              <w:snapToGrid w:val="0"/>
              <w:jc w:val="center"/>
              <w:rPr>
                <w:rFonts w:ascii="Times New Roman" w:hAnsi="Times New Roman" w:cs="Times New Roman"/>
                <w:b/>
                <w:sz w:val="16"/>
                <w:szCs w:val="16"/>
              </w:rPr>
            </w:pPr>
            <w:r>
              <w:rPr>
                <w:rFonts w:ascii="Times New Roman" w:hAnsi="Times New Roman" w:cs="Times New Roman"/>
                <w:b/>
                <w:sz w:val="16"/>
                <w:szCs w:val="16"/>
              </w:rPr>
              <w:t>涉及的主要管控细类</w:t>
            </w:r>
          </w:p>
        </w:tc>
        <w:tc>
          <w:tcPr>
            <w:tcW w:w="1815" w:type="dxa"/>
            <w:vMerge w:val="restart"/>
            <w:vAlign w:val="center"/>
          </w:tcPr>
          <w:p>
            <w:pPr>
              <w:adjustRightInd w:val="0"/>
              <w:snapToGrid w:val="0"/>
              <w:jc w:val="center"/>
              <w:rPr>
                <w:rFonts w:ascii="Times New Roman" w:hAnsi="Times New Roman" w:cs="Times New Roman"/>
                <w:b/>
                <w:sz w:val="16"/>
                <w:szCs w:val="16"/>
              </w:rPr>
            </w:pPr>
            <w:r>
              <w:rPr>
                <w:rFonts w:ascii="Times New Roman" w:hAnsi="Times New Roman" w:cs="Times New Roman"/>
                <w:b/>
                <w:sz w:val="16"/>
                <w:szCs w:val="16"/>
              </w:rPr>
              <w:t>空间布局约束</w:t>
            </w:r>
          </w:p>
        </w:tc>
        <w:tc>
          <w:tcPr>
            <w:tcW w:w="3430" w:type="dxa"/>
            <w:vMerge w:val="restart"/>
            <w:vAlign w:val="center"/>
          </w:tcPr>
          <w:p>
            <w:pPr>
              <w:adjustRightInd w:val="0"/>
              <w:snapToGrid w:val="0"/>
              <w:jc w:val="center"/>
              <w:rPr>
                <w:rFonts w:ascii="Times New Roman" w:hAnsi="Times New Roman" w:cs="Times New Roman"/>
                <w:b/>
                <w:sz w:val="16"/>
                <w:szCs w:val="16"/>
              </w:rPr>
            </w:pPr>
            <w:r>
              <w:rPr>
                <w:rFonts w:ascii="Times New Roman" w:hAnsi="Times New Roman" w:cs="Times New Roman"/>
                <w:b/>
                <w:sz w:val="16"/>
                <w:szCs w:val="16"/>
              </w:rPr>
              <w:t>污染物排放管控</w:t>
            </w:r>
          </w:p>
        </w:tc>
        <w:tc>
          <w:tcPr>
            <w:tcW w:w="2126" w:type="dxa"/>
            <w:vMerge w:val="restart"/>
            <w:vAlign w:val="center"/>
          </w:tcPr>
          <w:p>
            <w:pPr>
              <w:adjustRightInd w:val="0"/>
              <w:snapToGrid w:val="0"/>
              <w:jc w:val="center"/>
              <w:rPr>
                <w:rFonts w:ascii="Times New Roman" w:hAnsi="Times New Roman" w:cs="Times New Roman"/>
                <w:b/>
                <w:sz w:val="16"/>
                <w:szCs w:val="16"/>
              </w:rPr>
            </w:pPr>
            <w:r>
              <w:rPr>
                <w:rFonts w:ascii="Times New Roman" w:hAnsi="Times New Roman" w:cs="Times New Roman"/>
                <w:b/>
                <w:sz w:val="16"/>
                <w:szCs w:val="16"/>
              </w:rPr>
              <w:t>环境风险防控</w:t>
            </w:r>
          </w:p>
        </w:tc>
        <w:tc>
          <w:tcPr>
            <w:tcW w:w="1337" w:type="dxa"/>
            <w:vMerge w:val="restart"/>
            <w:vAlign w:val="center"/>
          </w:tcPr>
          <w:p>
            <w:pPr>
              <w:adjustRightInd w:val="0"/>
              <w:snapToGrid w:val="0"/>
              <w:jc w:val="center"/>
              <w:rPr>
                <w:rFonts w:ascii="Times New Roman" w:hAnsi="Times New Roman" w:cs="Times New Roman"/>
                <w:b/>
                <w:sz w:val="16"/>
                <w:szCs w:val="16"/>
              </w:rPr>
            </w:pPr>
            <w:r>
              <w:rPr>
                <w:rFonts w:ascii="Times New Roman" w:hAnsi="Times New Roman" w:cs="Times New Roman"/>
                <w:b/>
                <w:sz w:val="16"/>
                <w:szCs w:val="16"/>
              </w:rPr>
              <w:t>资源开发效率要求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blHeader/>
        </w:trPr>
        <w:tc>
          <w:tcPr>
            <w:tcW w:w="387" w:type="dxa"/>
            <w:vMerge w:val="continue"/>
            <w:vAlign w:val="center"/>
          </w:tcPr>
          <w:p>
            <w:pPr>
              <w:widowControl/>
              <w:adjustRightInd w:val="0"/>
              <w:snapToGrid w:val="0"/>
              <w:jc w:val="center"/>
              <w:rPr>
                <w:rFonts w:ascii="Times New Roman" w:hAnsi="Times New Roman" w:cs="Times New Roman"/>
                <w:b/>
                <w:kern w:val="44"/>
                <w:sz w:val="16"/>
                <w:szCs w:val="16"/>
              </w:rPr>
            </w:pPr>
          </w:p>
        </w:tc>
        <w:tc>
          <w:tcPr>
            <w:tcW w:w="1310" w:type="dxa"/>
            <w:vMerge w:val="continue"/>
            <w:vAlign w:val="center"/>
          </w:tcPr>
          <w:p>
            <w:pPr>
              <w:widowControl/>
              <w:adjustRightInd w:val="0"/>
              <w:snapToGrid w:val="0"/>
              <w:jc w:val="center"/>
              <w:rPr>
                <w:rFonts w:ascii="Times New Roman" w:hAnsi="Times New Roman" w:cs="Times New Roman"/>
                <w:b/>
                <w:sz w:val="16"/>
                <w:szCs w:val="16"/>
              </w:rPr>
            </w:pPr>
          </w:p>
        </w:tc>
        <w:tc>
          <w:tcPr>
            <w:tcW w:w="694" w:type="dxa"/>
            <w:vMerge w:val="continue"/>
            <w:vAlign w:val="center"/>
          </w:tcPr>
          <w:p>
            <w:pPr>
              <w:adjustRightInd w:val="0"/>
              <w:snapToGrid w:val="0"/>
              <w:jc w:val="center"/>
              <w:rPr>
                <w:rFonts w:ascii="Times New Roman" w:hAnsi="Times New Roman" w:cs="Times New Roman"/>
                <w:b/>
                <w:sz w:val="16"/>
                <w:szCs w:val="16"/>
              </w:rPr>
            </w:pPr>
          </w:p>
        </w:tc>
        <w:tc>
          <w:tcPr>
            <w:tcW w:w="377" w:type="dxa"/>
            <w:vAlign w:val="center"/>
          </w:tcPr>
          <w:p>
            <w:pPr>
              <w:widowControl/>
              <w:adjustRightInd w:val="0"/>
              <w:snapToGrid w:val="0"/>
              <w:jc w:val="center"/>
              <w:rPr>
                <w:rFonts w:ascii="Times New Roman" w:hAnsi="Times New Roman" w:cs="Times New Roman"/>
                <w:b/>
                <w:sz w:val="16"/>
                <w:szCs w:val="16"/>
              </w:rPr>
            </w:pPr>
            <w:r>
              <w:rPr>
                <w:rFonts w:ascii="Times New Roman" w:hAnsi="Times New Roman" w:cs="Times New Roman"/>
                <w:b/>
                <w:sz w:val="16"/>
                <w:szCs w:val="16"/>
              </w:rPr>
              <w:t>省</w:t>
            </w:r>
          </w:p>
        </w:tc>
        <w:tc>
          <w:tcPr>
            <w:tcW w:w="429" w:type="dxa"/>
            <w:vAlign w:val="center"/>
          </w:tcPr>
          <w:p>
            <w:pPr>
              <w:adjustRightInd w:val="0"/>
              <w:snapToGrid w:val="0"/>
              <w:jc w:val="center"/>
              <w:rPr>
                <w:rFonts w:ascii="Times New Roman" w:hAnsi="Times New Roman" w:cs="Times New Roman"/>
                <w:b/>
                <w:sz w:val="16"/>
                <w:szCs w:val="16"/>
              </w:rPr>
            </w:pPr>
            <w:r>
              <w:rPr>
                <w:rFonts w:ascii="Times New Roman" w:hAnsi="Times New Roman" w:cs="Times New Roman"/>
                <w:b/>
                <w:sz w:val="16"/>
                <w:szCs w:val="16"/>
              </w:rPr>
              <w:t>市</w:t>
            </w:r>
          </w:p>
        </w:tc>
        <w:tc>
          <w:tcPr>
            <w:tcW w:w="432" w:type="dxa"/>
            <w:vAlign w:val="center"/>
          </w:tcPr>
          <w:p>
            <w:pPr>
              <w:adjustRightInd w:val="0"/>
              <w:snapToGrid w:val="0"/>
              <w:jc w:val="center"/>
              <w:rPr>
                <w:rFonts w:ascii="Times New Roman" w:hAnsi="Times New Roman" w:cs="Times New Roman"/>
                <w:b/>
                <w:sz w:val="16"/>
                <w:szCs w:val="16"/>
              </w:rPr>
            </w:pPr>
            <w:r>
              <w:rPr>
                <w:rFonts w:ascii="Times New Roman" w:hAnsi="Times New Roman" w:cs="Times New Roman"/>
                <w:b/>
                <w:sz w:val="16"/>
                <w:szCs w:val="16"/>
              </w:rPr>
              <w:t>县</w:t>
            </w:r>
          </w:p>
        </w:tc>
        <w:tc>
          <w:tcPr>
            <w:tcW w:w="697" w:type="dxa"/>
            <w:vMerge w:val="continue"/>
            <w:vAlign w:val="center"/>
          </w:tcPr>
          <w:p>
            <w:pPr>
              <w:widowControl/>
              <w:adjustRightInd w:val="0"/>
              <w:snapToGrid w:val="0"/>
              <w:jc w:val="center"/>
              <w:rPr>
                <w:rFonts w:ascii="Times New Roman" w:hAnsi="Times New Roman" w:cs="Times New Roman"/>
                <w:b/>
                <w:kern w:val="44"/>
                <w:sz w:val="16"/>
                <w:szCs w:val="16"/>
              </w:rPr>
            </w:pPr>
          </w:p>
        </w:tc>
        <w:tc>
          <w:tcPr>
            <w:tcW w:w="914" w:type="dxa"/>
            <w:vMerge w:val="continue"/>
            <w:vAlign w:val="center"/>
          </w:tcPr>
          <w:p>
            <w:pPr>
              <w:widowControl/>
              <w:adjustRightInd w:val="0"/>
              <w:snapToGrid w:val="0"/>
              <w:jc w:val="center"/>
              <w:rPr>
                <w:rFonts w:ascii="Times New Roman" w:hAnsi="Times New Roman" w:cs="Times New Roman"/>
                <w:b/>
                <w:kern w:val="44"/>
                <w:sz w:val="16"/>
                <w:szCs w:val="16"/>
              </w:rPr>
            </w:pPr>
          </w:p>
        </w:tc>
        <w:tc>
          <w:tcPr>
            <w:tcW w:w="1815" w:type="dxa"/>
            <w:vMerge w:val="continue"/>
            <w:vAlign w:val="center"/>
          </w:tcPr>
          <w:p>
            <w:pPr>
              <w:widowControl/>
              <w:adjustRightInd w:val="0"/>
              <w:snapToGrid w:val="0"/>
              <w:jc w:val="center"/>
              <w:rPr>
                <w:rFonts w:ascii="Times New Roman" w:hAnsi="Times New Roman" w:cs="Times New Roman"/>
                <w:b/>
                <w:kern w:val="44"/>
                <w:sz w:val="16"/>
                <w:szCs w:val="16"/>
              </w:rPr>
            </w:pPr>
          </w:p>
        </w:tc>
        <w:tc>
          <w:tcPr>
            <w:tcW w:w="3430" w:type="dxa"/>
            <w:vMerge w:val="continue"/>
            <w:vAlign w:val="center"/>
          </w:tcPr>
          <w:p>
            <w:pPr>
              <w:widowControl/>
              <w:adjustRightInd w:val="0"/>
              <w:snapToGrid w:val="0"/>
              <w:jc w:val="center"/>
              <w:rPr>
                <w:rFonts w:ascii="Times New Roman" w:hAnsi="Times New Roman" w:cs="Times New Roman"/>
                <w:b/>
                <w:kern w:val="44"/>
                <w:sz w:val="16"/>
                <w:szCs w:val="16"/>
              </w:rPr>
            </w:pPr>
          </w:p>
        </w:tc>
        <w:tc>
          <w:tcPr>
            <w:tcW w:w="2126" w:type="dxa"/>
            <w:vMerge w:val="continue"/>
            <w:vAlign w:val="center"/>
          </w:tcPr>
          <w:p>
            <w:pPr>
              <w:widowControl/>
              <w:adjustRightInd w:val="0"/>
              <w:snapToGrid w:val="0"/>
              <w:jc w:val="center"/>
              <w:rPr>
                <w:rFonts w:ascii="Times New Roman" w:hAnsi="Times New Roman" w:cs="Times New Roman"/>
                <w:b/>
                <w:kern w:val="44"/>
                <w:sz w:val="16"/>
                <w:szCs w:val="16"/>
              </w:rPr>
            </w:pPr>
          </w:p>
        </w:tc>
        <w:tc>
          <w:tcPr>
            <w:tcW w:w="1337" w:type="dxa"/>
            <w:vMerge w:val="continue"/>
            <w:vAlign w:val="center"/>
          </w:tcPr>
          <w:p>
            <w:pPr>
              <w:widowControl/>
              <w:adjustRightInd w:val="0"/>
              <w:snapToGrid w:val="0"/>
              <w:jc w:val="center"/>
              <w:rPr>
                <w:rFonts w:ascii="Times New Roman" w:hAnsi="Times New Roman" w:cs="Times New Roman"/>
                <w:b/>
                <w:kern w:val="44"/>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7"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w:t>
            </w:r>
          </w:p>
        </w:tc>
        <w:tc>
          <w:tcPr>
            <w:tcW w:w="1310" w:type="dxa"/>
            <w:vAlign w:val="center"/>
          </w:tcPr>
          <w:p>
            <w:pPr>
              <w:widowControl/>
              <w:snapToGrid w:val="0"/>
              <w:jc w:val="center"/>
              <w:rPr>
                <w:rFonts w:ascii="Times New Roman" w:hAnsi="Times New Roman" w:cs="Times New Roman"/>
                <w:sz w:val="16"/>
                <w:szCs w:val="16"/>
              </w:rPr>
            </w:pPr>
            <w:r>
              <w:rPr>
                <w:rFonts w:ascii="Times New Roman" w:hAnsi="Times New Roman" w:cs="Times New Roman"/>
                <w:sz w:val="16"/>
                <w:szCs w:val="16"/>
              </w:rPr>
              <w:t>ZH37028510001</w:t>
            </w:r>
          </w:p>
        </w:tc>
        <w:tc>
          <w:tcPr>
            <w:tcW w:w="69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马连庄镇</w:t>
            </w:r>
          </w:p>
        </w:tc>
        <w:tc>
          <w:tcPr>
            <w:tcW w:w="377"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山东省</w:t>
            </w:r>
          </w:p>
        </w:tc>
        <w:tc>
          <w:tcPr>
            <w:tcW w:w="429"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青岛市</w:t>
            </w:r>
          </w:p>
        </w:tc>
        <w:tc>
          <w:tcPr>
            <w:tcW w:w="432"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莱西市</w:t>
            </w:r>
          </w:p>
        </w:tc>
        <w:tc>
          <w:tcPr>
            <w:tcW w:w="697"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优先保护单元</w:t>
            </w:r>
          </w:p>
        </w:tc>
        <w:tc>
          <w:tcPr>
            <w:tcW w:w="914"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大沽河生态廊道、产芝水库一般生态空间、产芝水库、大气环境一般管控区、大气环境受体敏感区</w:t>
            </w:r>
          </w:p>
        </w:tc>
        <w:tc>
          <w:tcPr>
            <w:tcW w:w="1815"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1.引导工业企业入驻工业园区。新建有污染物排放的工业项目，除在安全生产等方面有特殊要求的以外，应当进入工业园区或者工业集聚区。</w:t>
            </w:r>
          </w:p>
          <w:p>
            <w:pPr>
              <w:snapToGrid w:val="0"/>
              <w:jc w:val="left"/>
              <w:rPr>
                <w:rFonts w:ascii="Times New Roman" w:hAnsi="Times New Roman" w:cs="Times New Roman"/>
                <w:sz w:val="16"/>
                <w:szCs w:val="16"/>
              </w:rPr>
            </w:pPr>
            <w:r>
              <w:rPr>
                <w:rFonts w:ascii="Times New Roman" w:hAnsi="Times New Roman" w:cs="Times New Roman"/>
                <w:sz w:val="16"/>
                <w:szCs w:val="16"/>
              </w:rPr>
              <w:t>2.饮用水水源保护区按照《中华人民共和国水污染防治法》《山东省水污染防治条例》《</w:t>
            </w:r>
            <w:r>
              <w:rPr>
                <w:rFonts w:hint="eastAsia" w:ascii="Times New Roman" w:hAnsi="Times New Roman" w:cs="Times New Roman"/>
                <w:sz w:val="16"/>
                <w:szCs w:val="16"/>
              </w:rPr>
              <w:t>青岛市饮用水水源保护条例</w:t>
            </w:r>
            <w:r>
              <w:rPr>
                <w:rFonts w:ascii="Times New Roman" w:hAnsi="Times New Roman" w:cs="Times New Roman"/>
                <w:sz w:val="16"/>
                <w:szCs w:val="16"/>
              </w:rPr>
              <w:t>》及相关法律法规实施保护管理。</w:t>
            </w:r>
          </w:p>
        </w:tc>
        <w:tc>
          <w:tcPr>
            <w:tcW w:w="3430"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建材类企业加强物料运输、装卸、储存、输送、生产等各环节无组织排放管控。矿石料场设置防风抑尘网或封闭。石子、页岩、煤矸石、煤、粘土、矿渣、石膏、炉渣等封闭储存。熟料、粉煤灰、矿粉和除尘灰等密闭储存。石子、页岩、煤等物料破碎、筛分、搅拌、粉磨等设备采取密闭措施，并配备有效集尘除尘设施。袋装水泥包装下料口、装车点位和散装水泥装车配备有效集尘除尘设施。</w:t>
            </w:r>
          </w:p>
          <w:p>
            <w:pPr>
              <w:snapToGrid w:val="0"/>
              <w:rPr>
                <w:rFonts w:ascii="Times New Roman" w:hAnsi="Times New Roman" w:cs="Times New Roman"/>
                <w:sz w:val="16"/>
                <w:szCs w:val="16"/>
              </w:rPr>
            </w:pPr>
            <w:r>
              <w:rPr>
                <w:rFonts w:ascii="Times New Roman" w:hAnsi="Times New Roman" w:cs="Times New Roman"/>
                <w:sz w:val="16"/>
                <w:szCs w:val="16"/>
              </w:rPr>
              <w:t>2.采矿行业严格落实物料运输、装卸、储存、输送、生产等各环节扬尘污染防治设施，矿井涌水处理达到相关标准后全部综合利用、选矿废水收集后循环回用，不得外排，做好采矿废石与选矿尾砂综合利用，及时对场地、矿区等进行生态恢复。</w:t>
            </w:r>
          </w:p>
          <w:p>
            <w:pPr>
              <w:snapToGrid w:val="0"/>
              <w:rPr>
                <w:rFonts w:ascii="Times New Roman" w:hAnsi="Times New Roman" w:cs="Times New Roman"/>
                <w:sz w:val="16"/>
                <w:szCs w:val="16"/>
              </w:rPr>
            </w:pPr>
            <w:r>
              <w:rPr>
                <w:rFonts w:ascii="Times New Roman" w:hAnsi="Times New Roman" w:cs="Times New Roman"/>
                <w:sz w:val="16"/>
                <w:szCs w:val="16"/>
              </w:rPr>
              <w:t>3.规模化畜禽养殖场、养殖小区应有序完成畜禽粪便处理利用设施和污水收集处理设施配套建设，防止造成面源污染。</w:t>
            </w:r>
          </w:p>
        </w:tc>
        <w:tc>
          <w:tcPr>
            <w:tcW w:w="2126"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1.按照《中华人民共和国水污染防治法》等，加强饮用水源保护区风险预防和预警应急工作。</w:t>
            </w:r>
          </w:p>
          <w:p>
            <w:pPr>
              <w:snapToGrid w:val="0"/>
              <w:rPr>
                <w:rFonts w:ascii="Times New Roman" w:hAnsi="Times New Roman" w:cs="Times New Roman"/>
                <w:sz w:val="16"/>
                <w:szCs w:val="16"/>
              </w:rPr>
            </w:pPr>
            <w:r>
              <w:rPr>
                <w:rFonts w:ascii="Times New Roman" w:hAnsi="Times New Roman" w:cs="Times New Roman"/>
                <w:sz w:val="16"/>
                <w:szCs w:val="16"/>
              </w:rPr>
              <w:t>2.工业企业规范固体废物的处理措施，对产生的固体废物特别是危险废物应严格按照国家规定综合利用或妥善处置，严防二次污染。</w:t>
            </w:r>
          </w:p>
          <w:p>
            <w:pPr>
              <w:snapToGrid w:val="0"/>
              <w:rPr>
                <w:rFonts w:ascii="Times New Roman" w:hAnsi="Times New Roman" w:cs="Times New Roman"/>
                <w:sz w:val="16"/>
                <w:szCs w:val="16"/>
              </w:rPr>
            </w:pPr>
            <w:r>
              <w:rPr>
                <w:rFonts w:ascii="Times New Roman" w:hAnsi="Times New Roman" w:cs="Times New Roman"/>
                <w:sz w:val="16"/>
                <w:szCs w:val="16"/>
              </w:rPr>
              <w:t>3.化工企业、尾矿库等地下水污染高风险地区应当采取防渗漏等措施，建设地下水水质监测井并定期监测。</w:t>
            </w:r>
          </w:p>
          <w:p>
            <w:pPr>
              <w:snapToGrid w:val="0"/>
              <w:rPr>
                <w:rFonts w:ascii="Times New Roman" w:hAnsi="Times New Roman" w:cs="Times New Roman"/>
                <w:sz w:val="16"/>
                <w:szCs w:val="16"/>
              </w:rPr>
            </w:pPr>
            <w:r>
              <w:rPr>
                <w:rFonts w:ascii="Times New Roman" w:hAnsi="Times New Roman" w:cs="Times New Roman"/>
                <w:sz w:val="16"/>
                <w:szCs w:val="16"/>
              </w:rPr>
              <w:t>4.建立健全环境风险事故防范措施和应急预案，严防环境安全事故发生。加强联防联控。</w:t>
            </w:r>
          </w:p>
        </w:tc>
        <w:tc>
          <w:tcPr>
            <w:tcW w:w="1337"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1.推广集中供能和清洁能源利用，实施热、电行业超低排放改造。</w:t>
            </w:r>
          </w:p>
          <w:p>
            <w:pPr>
              <w:snapToGrid w:val="0"/>
              <w:rPr>
                <w:rFonts w:ascii="Times New Roman" w:hAnsi="Times New Roman" w:cs="Times New Roman"/>
                <w:sz w:val="16"/>
                <w:szCs w:val="16"/>
              </w:rPr>
            </w:pPr>
            <w:r>
              <w:rPr>
                <w:rFonts w:ascii="Times New Roman" w:hAnsi="Times New Roman" w:cs="Times New Roman"/>
                <w:sz w:val="16"/>
                <w:szCs w:val="16"/>
              </w:rPr>
              <w:t>2.加快漏损管网改造，减少管网漏损率、普及节水型器具。</w:t>
            </w:r>
          </w:p>
          <w:p>
            <w:pPr>
              <w:snapToGrid w:val="0"/>
              <w:rPr>
                <w:rFonts w:ascii="Times New Roman" w:hAnsi="Times New Roman" w:cs="Times New Roman"/>
                <w:kern w:val="0"/>
                <w:sz w:val="16"/>
                <w:szCs w:val="16"/>
              </w:rPr>
            </w:pPr>
            <w:r>
              <w:rPr>
                <w:rFonts w:ascii="Times New Roman" w:hAnsi="Times New Roman" w:cs="Times New Roman"/>
                <w:sz w:val="16"/>
                <w:szCs w:val="16"/>
              </w:rPr>
              <w:t>3</w:t>
            </w:r>
            <w:r>
              <w:rPr>
                <w:rFonts w:ascii="Times New Roman" w:hAnsi="Times New Roman" w:cs="Times New Roman"/>
                <w:kern w:val="0"/>
                <w:sz w:val="16"/>
                <w:szCs w:val="16"/>
              </w:rPr>
              <w:t>.全面开展节水型社会建设，促进再生水利用。</w:t>
            </w:r>
          </w:p>
          <w:p>
            <w:pPr>
              <w:snapToGrid w:val="0"/>
              <w:rPr>
                <w:rFonts w:ascii="Times New Roman" w:hAnsi="Times New Roman" w:cs="Times New Roman"/>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7"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2</w:t>
            </w:r>
          </w:p>
        </w:tc>
        <w:tc>
          <w:tcPr>
            <w:tcW w:w="131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ZH37028510002</w:t>
            </w:r>
          </w:p>
        </w:tc>
        <w:tc>
          <w:tcPr>
            <w:tcW w:w="69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南墅镇</w:t>
            </w:r>
          </w:p>
        </w:tc>
        <w:tc>
          <w:tcPr>
            <w:tcW w:w="377"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山东省</w:t>
            </w:r>
          </w:p>
        </w:tc>
        <w:tc>
          <w:tcPr>
            <w:tcW w:w="429"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青岛市</w:t>
            </w:r>
          </w:p>
        </w:tc>
        <w:tc>
          <w:tcPr>
            <w:tcW w:w="432"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莱西市</w:t>
            </w:r>
          </w:p>
        </w:tc>
        <w:tc>
          <w:tcPr>
            <w:tcW w:w="697"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优先保护单元</w:t>
            </w:r>
          </w:p>
        </w:tc>
        <w:tc>
          <w:tcPr>
            <w:tcW w:w="914"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南墅青山森林公园、国家级公益林一般生态空间、大气环境一般管控区、北墅水库、大气环境受体敏感区</w:t>
            </w:r>
          </w:p>
        </w:tc>
        <w:tc>
          <w:tcPr>
            <w:tcW w:w="1815" w:type="dxa"/>
            <w:vAlign w:val="center"/>
          </w:tcPr>
          <w:p>
            <w:pPr>
              <w:numPr>
                <w:ilvl w:val="0"/>
                <w:numId w:val="0"/>
              </w:numPr>
              <w:snapToGrid w:val="0"/>
              <w:jc w:val="left"/>
              <w:rPr>
                <w:rFonts w:hint="eastAsia" w:ascii="Times New Roman" w:hAnsi="Times New Roman" w:cs="Times New Roman"/>
                <w:kern w:val="0"/>
                <w:sz w:val="16"/>
                <w:szCs w:val="16"/>
                <w:lang w:eastAsia="zh-CN"/>
              </w:rPr>
            </w:pPr>
            <w:r>
              <w:rPr>
                <w:rFonts w:hint="eastAsia" w:ascii="Times New Roman" w:hAnsi="Times New Roman" w:cs="Times New Roman"/>
                <w:sz w:val="16"/>
                <w:szCs w:val="16"/>
                <w:lang w:val="en-US" w:eastAsia="zh-CN"/>
              </w:rPr>
              <w:t>1.</w:t>
            </w:r>
            <w:r>
              <w:rPr>
                <w:rFonts w:hint="eastAsia" w:ascii="Times New Roman" w:hAnsi="Times New Roman" w:cs="Times New Roman"/>
                <w:sz w:val="16"/>
                <w:szCs w:val="16"/>
              </w:rPr>
              <w:t>森林公园按照《中华人民共和国森林法》《森林法实施条例》</w:t>
            </w:r>
            <w:r>
              <w:rPr>
                <w:rFonts w:hint="default" w:ascii="Times New Roman" w:hAnsi="Times New Roman" w:eastAsia="宋体" w:cs="Times New Roman"/>
                <w:sz w:val="16"/>
                <w:szCs w:val="16"/>
                <w:lang w:eastAsia="zh-CN"/>
              </w:rPr>
              <w:t>《</w:t>
            </w:r>
            <w:r>
              <w:rPr>
                <w:rFonts w:ascii="Times New Roman" w:hAnsi="Times New Roman" w:eastAsia="宋体" w:cs="Times New Roman"/>
                <w:i w:val="0"/>
                <w:iCs w:val="0"/>
                <w:caps w:val="0"/>
                <w:spacing w:val="0"/>
                <w:sz w:val="16"/>
                <w:szCs w:val="16"/>
                <w:shd w:val="clear"/>
              </w:rPr>
              <w:t>国家级自然公园管理办法（试行）</w:t>
            </w:r>
            <w:r>
              <w:rPr>
                <w:rFonts w:hint="default" w:ascii="Times New Roman" w:hAnsi="Times New Roman" w:eastAsia="宋体" w:cs="Times New Roman"/>
                <w:i w:val="0"/>
                <w:iCs w:val="0"/>
                <w:caps w:val="0"/>
                <w:spacing w:val="0"/>
                <w:sz w:val="16"/>
                <w:szCs w:val="16"/>
                <w:shd w:val="clear"/>
                <w:lang w:eastAsia="zh-CN"/>
              </w:rPr>
              <w:t>》</w:t>
            </w:r>
            <w:r>
              <w:rPr>
                <w:rFonts w:hint="eastAsia" w:ascii="Times New Roman" w:hAnsi="Times New Roman" w:cs="Times New Roman"/>
                <w:sz w:val="16"/>
                <w:szCs w:val="16"/>
              </w:rPr>
              <w:t>《山东省森林资源管理条例》《青岛市森林公园管理条例》及相关法律法规实施保护管理。南墅青山森林公园内严禁从事开垦、采矿、挖砂、会所、房地产、开发区、高尔夫球场、风力光伏电场、火力发电、围湖（海）造田等不符合管控要求的开发活动。</w:t>
            </w:r>
            <w:r>
              <w:rPr>
                <w:rFonts w:hint="eastAsia" w:ascii="Times New Roman" w:hAnsi="Times New Roman" w:cs="Times New Roman"/>
                <w:kern w:val="0"/>
                <w:sz w:val="16"/>
                <w:szCs w:val="16"/>
                <w:lang w:eastAsia="zh-CN"/>
              </w:rPr>
              <w:t>（</w:t>
            </w:r>
            <w:r>
              <w:rPr>
                <w:rFonts w:ascii="Arial" w:hAnsi="Arial" w:eastAsia="宋体" w:cs="Arial"/>
                <w:i w:val="0"/>
                <w:iCs w:val="0"/>
                <w:caps w:val="0"/>
                <w:color w:val="333333"/>
                <w:spacing w:val="0"/>
                <w:sz w:val="15"/>
                <w:szCs w:val="15"/>
                <w:shd w:val="clear" w:fill="FFFFFF"/>
              </w:rPr>
              <w:t>★</w:t>
            </w:r>
            <w:r>
              <w:rPr>
                <w:rFonts w:hint="eastAsia" w:ascii="Times New Roman" w:hAnsi="Times New Roman" w:cs="Times New Roman"/>
                <w:kern w:val="0"/>
                <w:sz w:val="16"/>
                <w:szCs w:val="16"/>
                <w:lang w:eastAsia="zh-CN"/>
              </w:rPr>
              <w:t>）</w:t>
            </w:r>
          </w:p>
          <w:p>
            <w:pPr>
              <w:snapToGrid w:val="0"/>
              <w:jc w:val="left"/>
              <w:rPr>
                <w:rFonts w:hint="eastAsia" w:ascii="Times New Roman" w:hAnsi="Times New Roman" w:cs="Times New Roman"/>
                <w:sz w:val="16"/>
                <w:szCs w:val="16"/>
              </w:rPr>
            </w:pPr>
            <w:r>
              <w:rPr>
                <w:rFonts w:hint="eastAsia" w:ascii="Times New Roman" w:hAnsi="Times New Roman" w:cs="Times New Roman"/>
                <w:sz w:val="16"/>
                <w:szCs w:val="16"/>
              </w:rPr>
              <w:t>2.</w:t>
            </w:r>
            <w:r>
              <w:rPr>
                <w:rFonts w:hint="eastAsia" w:ascii="Times New Roman" w:hAnsi="Times New Roman" w:cs="Times New Roman"/>
                <w:kern w:val="0"/>
                <w:sz w:val="16"/>
                <w:szCs w:val="16"/>
                <w:lang w:val="en-US" w:eastAsia="zh-CN"/>
              </w:rPr>
              <w:t>饮用水水源一级保护区内</w:t>
            </w:r>
            <w:r>
              <w:rPr>
                <w:rFonts w:hint="eastAsia" w:ascii="Times New Roman" w:hAnsi="Times New Roman" w:cs="Times New Roman"/>
                <w:sz w:val="16"/>
                <w:szCs w:val="16"/>
              </w:rPr>
              <w:t>禁止新建、改建、扩建与供水设施和保护水源无关的建设项目，饮用水水源二级保护区内禁止新建、改建、扩建排放污染物的建设项目。</w:t>
            </w:r>
            <w:r>
              <w:rPr>
                <w:rFonts w:hint="eastAsia" w:ascii="Times New Roman" w:hAnsi="Times New Roman" w:cs="Times New Roman"/>
                <w:kern w:val="0"/>
                <w:sz w:val="16"/>
                <w:szCs w:val="16"/>
                <w:lang w:eastAsia="zh-CN"/>
              </w:rPr>
              <w:t>（</w:t>
            </w:r>
            <w:r>
              <w:rPr>
                <w:rFonts w:ascii="Arial" w:hAnsi="Arial" w:eastAsia="宋体" w:cs="Arial"/>
                <w:i w:val="0"/>
                <w:iCs w:val="0"/>
                <w:caps w:val="0"/>
                <w:color w:val="333333"/>
                <w:spacing w:val="0"/>
                <w:sz w:val="15"/>
                <w:szCs w:val="15"/>
                <w:shd w:val="clear" w:fill="FFFFFF"/>
              </w:rPr>
              <w:t>★</w:t>
            </w:r>
            <w:r>
              <w:rPr>
                <w:rFonts w:hint="eastAsia" w:ascii="Times New Roman" w:hAnsi="Times New Roman" w:cs="Times New Roman"/>
                <w:kern w:val="0"/>
                <w:sz w:val="16"/>
                <w:szCs w:val="16"/>
                <w:lang w:eastAsia="zh-CN"/>
              </w:rPr>
              <w:t>）</w:t>
            </w:r>
          </w:p>
          <w:p>
            <w:pPr>
              <w:snapToGrid w:val="0"/>
              <w:jc w:val="left"/>
              <w:rPr>
                <w:rFonts w:hint="eastAsia" w:ascii="Times New Roman" w:hAnsi="Times New Roman" w:cs="Times New Roman" w:eastAsiaTheme="minorEastAsia"/>
                <w:sz w:val="16"/>
                <w:szCs w:val="16"/>
                <w:lang w:eastAsia="zh-CN"/>
              </w:rPr>
            </w:pPr>
            <w:r>
              <w:rPr>
                <w:rFonts w:hint="eastAsia" w:ascii="Times New Roman" w:hAnsi="Times New Roman" w:cs="Times New Roman"/>
                <w:sz w:val="16"/>
                <w:szCs w:val="16"/>
              </w:rPr>
              <w:t>3.在永久基本农田集中区域，不得新建可能造成土壤污染的建设项目</w:t>
            </w:r>
            <w:r>
              <w:rPr>
                <w:rFonts w:hint="eastAsia" w:ascii="Times New Roman" w:hAnsi="Times New Roman" w:cs="Times New Roman"/>
                <w:kern w:val="0"/>
                <w:sz w:val="16"/>
                <w:szCs w:val="16"/>
                <w:lang w:eastAsia="zh-CN"/>
              </w:rPr>
              <w:t>（</w:t>
            </w:r>
            <w:r>
              <w:rPr>
                <w:rFonts w:ascii="Arial" w:hAnsi="Arial" w:eastAsia="宋体" w:cs="Arial"/>
                <w:i w:val="0"/>
                <w:iCs w:val="0"/>
                <w:caps w:val="0"/>
                <w:color w:val="333333"/>
                <w:spacing w:val="0"/>
                <w:sz w:val="15"/>
                <w:szCs w:val="15"/>
                <w:shd w:val="clear" w:fill="FFFFFF"/>
              </w:rPr>
              <w:t>★</w:t>
            </w:r>
            <w:r>
              <w:rPr>
                <w:rFonts w:hint="eastAsia" w:ascii="Times New Roman" w:hAnsi="Times New Roman" w:cs="Times New Roman"/>
                <w:kern w:val="0"/>
                <w:sz w:val="16"/>
                <w:szCs w:val="16"/>
                <w:lang w:eastAsia="zh-CN"/>
              </w:rPr>
              <w:t>）</w:t>
            </w:r>
          </w:p>
          <w:p>
            <w:pPr>
              <w:snapToGrid w:val="0"/>
              <w:jc w:val="left"/>
              <w:rPr>
                <w:rFonts w:ascii="Times New Roman" w:hAnsi="Times New Roman" w:cs="Times New Roman"/>
                <w:sz w:val="16"/>
                <w:szCs w:val="16"/>
              </w:rPr>
            </w:pPr>
            <w:r>
              <w:rPr>
                <w:rFonts w:hint="eastAsia" w:ascii="Times New Roman" w:hAnsi="Times New Roman" w:cs="Times New Roman"/>
                <w:sz w:val="16"/>
                <w:szCs w:val="16"/>
                <w:lang w:val="en-US" w:eastAsia="zh-CN"/>
              </w:rPr>
              <w:t>4</w:t>
            </w:r>
            <w:r>
              <w:rPr>
                <w:rFonts w:ascii="Times New Roman" w:hAnsi="Times New Roman" w:cs="Times New Roman"/>
                <w:sz w:val="16"/>
                <w:szCs w:val="16"/>
              </w:rPr>
              <w:t>.引导工业企业入驻工业园区。新建有污染物排放的工业项目，除在安全生产等方面有特殊要求的以外，应当进入工业园区或者工业集聚区。</w:t>
            </w:r>
          </w:p>
        </w:tc>
        <w:tc>
          <w:tcPr>
            <w:tcW w:w="3430"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1.石墨行业严格落实废气废水收集措施，做好控制粉尘排放，做好防渗措施，防止污染地下水。石墨园区污水集中处理，确保生产废水零排放。</w:t>
            </w:r>
            <w:r>
              <w:rPr>
                <w:rFonts w:hint="eastAsia" w:ascii="Times New Roman" w:hAnsi="Times New Roman" w:cs="Times New Roman"/>
                <w:sz w:val="16"/>
                <w:szCs w:val="16"/>
              </w:rPr>
              <w:t>原料转运、破碎、粉磨、干燥等重点烟、粉尘产生工序，应配备抑尘和除尘设施。烟气、含尘气体等废气经处理后，应符合国家和地方相关排放标准要求。</w:t>
            </w:r>
            <w:r>
              <w:rPr>
                <w:rFonts w:hint="eastAsia" w:ascii="Times New Roman" w:hAnsi="Times New Roman" w:cs="Times New Roman"/>
                <w:kern w:val="0"/>
                <w:sz w:val="16"/>
                <w:szCs w:val="16"/>
                <w:lang w:eastAsia="zh-CN"/>
              </w:rPr>
              <w:t>（</w:t>
            </w:r>
            <w:r>
              <w:rPr>
                <w:rFonts w:ascii="Arial" w:hAnsi="Arial" w:eastAsia="宋体" w:cs="Arial"/>
                <w:i w:val="0"/>
                <w:iCs w:val="0"/>
                <w:caps w:val="0"/>
                <w:color w:val="333333"/>
                <w:spacing w:val="0"/>
                <w:sz w:val="15"/>
                <w:szCs w:val="15"/>
                <w:shd w:val="clear" w:fill="FFFFFF"/>
              </w:rPr>
              <w:t>★</w:t>
            </w:r>
            <w:r>
              <w:rPr>
                <w:rFonts w:hint="eastAsia" w:ascii="Times New Roman" w:hAnsi="Times New Roman" w:cs="Times New Roman"/>
                <w:kern w:val="0"/>
                <w:sz w:val="16"/>
                <w:szCs w:val="16"/>
                <w:lang w:eastAsia="zh-CN"/>
              </w:rPr>
              <w:t>）</w:t>
            </w:r>
          </w:p>
          <w:p>
            <w:pPr>
              <w:snapToGrid w:val="0"/>
              <w:rPr>
                <w:rFonts w:ascii="Times New Roman" w:hAnsi="Times New Roman" w:cs="Times New Roman"/>
                <w:sz w:val="16"/>
                <w:szCs w:val="16"/>
              </w:rPr>
            </w:pPr>
            <w:r>
              <w:rPr>
                <w:rFonts w:ascii="Times New Roman" w:hAnsi="Times New Roman" w:cs="Times New Roman"/>
                <w:sz w:val="16"/>
                <w:szCs w:val="16"/>
              </w:rPr>
              <w:t>2.建材行业加强物料运输、装卸、储存、输送、生产等各环节无组织排放管控；矿石料场设置防风抑尘网或封闭；石子、页岩、煤矸石、煤、粘土、矿渣、石膏、炉渣等封闭储存；熟料、粉煤灰、矿粉和除尘灰等密闭储存；石子、页岩、煤等物料破碎、筛分、搅拌、粉磨等设备采取密闭措施，并配备有效集尘除尘设施；袋装水泥包装下料口、装车点位和散装水泥装车配备有效集尘除尘设施。</w:t>
            </w:r>
          </w:p>
          <w:p>
            <w:pPr>
              <w:snapToGrid w:val="0"/>
              <w:rPr>
                <w:rFonts w:ascii="Times New Roman" w:hAnsi="Times New Roman" w:cs="Times New Roman"/>
                <w:sz w:val="16"/>
                <w:szCs w:val="16"/>
              </w:rPr>
            </w:pPr>
            <w:r>
              <w:rPr>
                <w:rFonts w:ascii="Times New Roman" w:hAnsi="Times New Roman" w:cs="Times New Roman"/>
                <w:sz w:val="16"/>
                <w:szCs w:val="16"/>
              </w:rPr>
              <w:t>3.采矿行业严格落实物料运输、装卸、储存、输送、生产等各环节扬尘污染防治设施，矿井涌水处理达到相关标准后全部综合利用、选矿废水收集后循环回用，不得外排，做好采矿废石与选矿尾砂综合利用，及时对场地、矿区等进行生态恢复。</w:t>
            </w:r>
          </w:p>
          <w:p>
            <w:pPr>
              <w:snapToGrid w:val="0"/>
              <w:rPr>
                <w:rFonts w:ascii="Times New Roman" w:hAnsi="Times New Roman" w:cs="Times New Roman"/>
                <w:sz w:val="16"/>
                <w:szCs w:val="16"/>
              </w:rPr>
            </w:pPr>
            <w:r>
              <w:rPr>
                <w:rFonts w:ascii="Times New Roman" w:hAnsi="Times New Roman" w:cs="Times New Roman"/>
                <w:sz w:val="16"/>
                <w:szCs w:val="16"/>
              </w:rPr>
              <w:t>4.采矿行业积极采用新设备、新工艺以及全尾砂充填、尾矿综合利用等措施，减少尾矿排放。</w:t>
            </w:r>
          </w:p>
          <w:p>
            <w:pPr>
              <w:snapToGrid w:val="0"/>
              <w:rPr>
                <w:rFonts w:ascii="Times New Roman" w:hAnsi="Times New Roman" w:cs="Times New Roman"/>
                <w:sz w:val="16"/>
                <w:szCs w:val="16"/>
              </w:rPr>
            </w:pPr>
            <w:r>
              <w:rPr>
                <w:rFonts w:ascii="Times New Roman" w:hAnsi="Times New Roman" w:cs="Times New Roman"/>
                <w:sz w:val="16"/>
                <w:szCs w:val="16"/>
              </w:rPr>
              <w:t>5.规模化畜禽养殖场、养殖小区应有序完成畜禽粪便处理利用设施和污水收集处理设施配套建设，防止造成面源污染。</w:t>
            </w:r>
          </w:p>
        </w:tc>
        <w:tc>
          <w:tcPr>
            <w:tcW w:w="2126"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1.对工业企业产生的固体废物特别是危险废物应严格按照国家规定综合利用或妥善处置，严防二次污染。</w:t>
            </w:r>
          </w:p>
          <w:p>
            <w:pPr>
              <w:snapToGrid w:val="0"/>
              <w:rPr>
                <w:rFonts w:ascii="Times New Roman" w:hAnsi="Times New Roman" w:cs="Times New Roman"/>
                <w:sz w:val="16"/>
                <w:szCs w:val="16"/>
              </w:rPr>
            </w:pPr>
            <w:r>
              <w:rPr>
                <w:rFonts w:ascii="Times New Roman" w:hAnsi="Times New Roman" w:cs="Times New Roman"/>
                <w:sz w:val="16"/>
                <w:szCs w:val="16"/>
              </w:rPr>
              <w:t>2.建立健全事故应急体系，落实有效的事故风险防范和应急措施，有效防范污染事故发生。</w:t>
            </w:r>
          </w:p>
          <w:p>
            <w:pPr>
              <w:snapToGrid w:val="0"/>
              <w:rPr>
                <w:rFonts w:ascii="Times New Roman" w:hAnsi="Times New Roman" w:cs="Times New Roman"/>
                <w:sz w:val="16"/>
                <w:szCs w:val="16"/>
              </w:rPr>
            </w:pPr>
            <w:r>
              <w:rPr>
                <w:rFonts w:ascii="Times New Roman" w:hAnsi="Times New Roman" w:cs="Times New Roman"/>
                <w:sz w:val="16"/>
                <w:szCs w:val="16"/>
              </w:rPr>
              <w:t>3.尾矿库、石墨加工企业等地下水污染高风险地区应当采取防渗漏等措施。</w:t>
            </w:r>
          </w:p>
          <w:p>
            <w:pPr>
              <w:snapToGrid w:val="0"/>
              <w:rPr>
                <w:rFonts w:ascii="Times New Roman" w:hAnsi="Times New Roman" w:cs="Times New Roman"/>
                <w:sz w:val="16"/>
                <w:szCs w:val="16"/>
              </w:rPr>
            </w:pPr>
            <w:r>
              <w:rPr>
                <w:rFonts w:ascii="Times New Roman" w:hAnsi="Times New Roman" w:cs="Times New Roman"/>
                <w:sz w:val="16"/>
                <w:szCs w:val="16"/>
              </w:rPr>
              <w:t>4.按照《中华人民共和国水污染防治法》等，加强饮用水源保护区风险预防和预警应急工作。</w:t>
            </w:r>
          </w:p>
        </w:tc>
        <w:tc>
          <w:tcPr>
            <w:tcW w:w="1337"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1.推广集中供能和清洁能源利用，实施热、电行业超低排放改造。</w:t>
            </w:r>
          </w:p>
          <w:p>
            <w:pPr>
              <w:snapToGrid w:val="0"/>
              <w:rPr>
                <w:rFonts w:hint="eastAsia" w:ascii="Times New Roman" w:hAnsi="Times New Roman" w:eastAsia="宋体" w:cs="Times New Roman"/>
                <w:sz w:val="16"/>
                <w:szCs w:val="16"/>
              </w:rPr>
            </w:pPr>
            <w:r>
              <w:rPr>
                <w:rFonts w:hint="eastAsia" w:ascii="Times New Roman" w:hAnsi="Times New Roman" w:cs="Times New Roman"/>
                <w:sz w:val="16"/>
                <w:szCs w:val="16"/>
                <w:lang w:val="en-US" w:eastAsia="zh-CN"/>
              </w:rPr>
              <w:t>2.根据《石墨行业规范条件》</w:t>
            </w:r>
            <w:r>
              <w:rPr>
                <w:rFonts w:hint="eastAsia" w:ascii="Times New Roman" w:hAnsi="Times New Roman" w:eastAsia="宋体" w:cs="Times New Roman"/>
                <w:sz w:val="16"/>
                <w:szCs w:val="16"/>
              </w:rPr>
              <w:t>鼓励使用多碎少磨、磨浮短流程等节能环保的工艺技术，鼓励使用大型破碎磨矿设备、大型立式磨机、充气搅拌浮选机、自动板框压滤机、带脱硫功能压延机等先进设备，提高自动化和智能化水平。</w:t>
            </w:r>
            <w:r>
              <w:rPr>
                <w:rFonts w:hint="eastAsia" w:ascii="Times New Roman" w:hAnsi="Times New Roman" w:cs="Times New Roman"/>
                <w:kern w:val="0"/>
                <w:sz w:val="16"/>
                <w:szCs w:val="16"/>
                <w:lang w:eastAsia="zh-CN"/>
              </w:rPr>
              <w:t>（</w:t>
            </w:r>
            <w:r>
              <w:rPr>
                <w:rFonts w:ascii="Arial" w:hAnsi="Arial" w:eastAsia="宋体" w:cs="Arial"/>
                <w:i w:val="0"/>
                <w:iCs w:val="0"/>
                <w:caps w:val="0"/>
                <w:color w:val="333333"/>
                <w:spacing w:val="0"/>
                <w:sz w:val="15"/>
                <w:szCs w:val="15"/>
                <w:shd w:val="clear" w:fill="FFFFFF"/>
              </w:rPr>
              <w:t>★</w:t>
            </w:r>
            <w:r>
              <w:rPr>
                <w:rFonts w:hint="eastAsia" w:ascii="Times New Roman" w:hAnsi="Times New Roman" w:cs="Times New Roman"/>
                <w:kern w:val="0"/>
                <w:sz w:val="16"/>
                <w:szCs w:val="16"/>
                <w:lang w:eastAsia="zh-CN"/>
              </w:rPr>
              <w:t>）</w:t>
            </w:r>
          </w:p>
          <w:p>
            <w:pPr>
              <w:snapToGrid w:val="0"/>
              <w:ind w:left="0" w:leftChars="0" w:firstLine="0" w:firstLineChars="0"/>
              <w:rPr>
                <w:rFonts w:ascii="Times New Roman" w:hAnsi="Times New Roman" w:cs="Times New Roman"/>
                <w:sz w:val="16"/>
                <w:szCs w:val="16"/>
              </w:rPr>
            </w:pPr>
            <w:r>
              <w:rPr>
                <w:rFonts w:hint="eastAsia" w:ascii="Times New Roman" w:hAnsi="Times New Roman" w:cs="Times New Roman"/>
                <w:sz w:val="16"/>
                <w:szCs w:val="16"/>
              </w:rPr>
              <w:t>3.</w:t>
            </w:r>
            <w:r>
              <w:rPr>
                <w:rFonts w:ascii="Times New Roman" w:hAnsi="Times New Roman" w:cs="Times New Roman"/>
                <w:sz w:val="16"/>
                <w:szCs w:val="16"/>
              </w:rPr>
              <w:t>加快漏损管网改造，减少管网漏损率、普及节水型器具。</w:t>
            </w:r>
          </w:p>
          <w:p>
            <w:pPr>
              <w:snapToGrid w:val="0"/>
              <w:rPr>
                <w:rFonts w:ascii="Times New Roman" w:hAnsi="Times New Roman" w:cs="Times New Roman"/>
                <w:sz w:val="16"/>
                <w:szCs w:val="16"/>
              </w:rPr>
            </w:pPr>
            <w:r>
              <w:rPr>
                <w:rFonts w:hint="eastAsia" w:ascii="Times New Roman" w:hAnsi="Times New Roman" w:cs="Times New Roman"/>
                <w:sz w:val="16"/>
                <w:szCs w:val="16"/>
                <w:lang w:val="en-US" w:eastAsia="zh-CN"/>
              </w:rPr>
              <w:t>4</w:t>
            </w:r>
            <w:r>
              <w:rPr>
                <w:rFonts w:ascii="Times New Roman" w:hAnsi="Times New Roman" w:cs="Times New Roman"/>
                <w:sz w:val="16"/>
                <w:szCs w:val="16"/>
              </w:rPr>
              <w:t>.</w:t>
            </w:r>
            <w:r>
              <w:rPr>
                <w:rFonts w:ascii="Times New Roman" w:hAnsi="Times New Roman" w:cs="Times New Roman"/>
                <w:kern w:val="0"/>
                <w:sz w:val="16"/>
                <w:szCs w:val="16"/>
              </w:rPr>
              <w:t>全面开展节水型社会建设，促进再生水利用。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7"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3</w:t>
            </w:r>
          </w:p>
        </w:tc>
        <w:tc>
          <w:tcPr>
            <w:tcW w:w="131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ZH37028510003</w:t>
            </w:r>
          </w:p>
        </w:tc>
        <w:tc>
          <w:tcPr>
            <w:tcW w:w="69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河头店镇</w:t>
            </w:r>
          </w:p>
        </w:tc>
        <w:tc>
          <w:tcPr>
            <w:tcW w:w="377"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山东省</w:t>
            </w:r>
          </w:p>
        </w:tc>
        <w:tc>
          <w:tcPr>
            <w:tcW w:w="429"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青岛市</w:t>
            </w:r>
          </w:p>
        </w:tc>
        <w:tc>
          <w:tcPr>
            <w:tcW w:w="432"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莱西市</w:t>
            </w:r>
          </w:p>
        </w:tc>
        <w:tc>
          <w:tcPr>
            <w:tcW w:w="697"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优先保护单元</w:t>
            </w:r>
          </w:p>
        </w:tc>
        <w:tc>
          <w:tcPr>
            <w:tcW w:w="914"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大沽河生态廊道、产芝水库一般生态空间、产芝水库、大气环境一般管控区、高格庄水库、大气环境受体敏感区</w:t>
            </w:r>
          </w:p>
        </w:tc>
        <w:tc>
          <w:tcPr>
            <w:tcW w:w="1815"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1.引导工业企业入驻工业园区。新建有污染物排放的工业项目，除在安全生产等方面有特殊要求的以外，应当进入工业园区或者工业集聚区。</w:t>
            </w:r>
          </w:p>
          <w:p>
            <w:pPr>
              <w:snapToGrid w:val="0"/>
              <w:jc w:val="left"/>
              <w:rPr>
                <w:rFonts w:ascii="Times New Roman" w:hAnsi="Times New Roman" w:cs="Times New Roman"/>
                <w:sz w:val="16"/>
                <w:szCs w:val="16"/>
              </w:rPr>
            </w:pPr>
            <w:r>
              <w:rPr>
                <w:rFonts w:ascii="Times New Roman" w:hAnsi="Times New Roman" w:cs="Times New Roman"/>
                <w:sz w:val="16"/>
                <w:szCs w:val="16"/>
              </w:rPr>
              <w:t>2.饮用水水源保护区按照《中华人民共和国水污染防治法》《山东省水污染防治条例》《</w:t>
            </w:r>
            <w:r>
              <w:rPr>
                <w:rFonts w:hint="eastAsia" w:ascii="Times New Roman" w:hAnsi="Times New Roman" w:cs="Times New Roman"/>
                <w:sz w:val="16"/>
                <w:szCs w:val="16"/>
              </w:rPr>
              <w:t>青岛市饮用水水源保护条例</w:t>
            </w:r>
            <w:r>
              <w:rPr>
                <w:rFonts w:ascii="Times New Roman" w:hAnsi="Times New Roman" w:cs="Times New Roman"/>
                <w:sz w:val="16"/>
                <w:szCs w:val="16"/>
              </w:rPr>
              <w:t>》及相关法律法规实施保护管理。</w:t>
            </w:r>
          </w:p>
          <w:p>
            <w:pPr>
              <w:snapToGrid w:val="0"/>
              <w:jc w:val="left"/>
              <w:rPr>
                <w:rFonts w:ascii="Times New Roman" w:hAnsi="Times New Roman" w:cs="Times New Roman"/>
                <w:sz w:val="16"/>
                <w:szCs w:val="16"/>
              </w:rPr>
            </w:pPr>
            <w:r>
              <w:rPr>
                <w:rFonts w:ascii="Times New Roman" w:hAnsi="Times New Roman" w:cs="Times New Roman"/>
                <w:sz w:val="16"/>
                <w:szCs w:val="16"/>
              </w:rPr>
              <w:t>3.严格涉氟废水排放企业准入。</w:t>
            </w:r>
          </w:p>
        </w:tc>
        <w:tc>
          <w:tcPr>
            <w:tcW w:w="3430"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涂装行业推进源头替代，引导使用低VOCs含量的涂料替代溶剂型引导使用低VOCs含量的涂料替代溶剂型涂料，从源头减少VOCs产生。推进使用先进生产工艺，鼓励企业采用自动化、智能化喷涂设备替代人工喷涂，减少使用空气喷涂技术。提高废气收集率。遵循“应收尽收、分质收集”的原则，科学设计废气收集系统，将无组织排放转变为有组织排放进行控制。涂料、稀释剂、清洗剂等原辅材料应密闭存储，调配、使用、回收等过程应采用密闭设备或在密闭空间内操作，采用密闭管道或密闭容器等输送。推进建设适宜高效的治污设施，合理选择治理技术，提高VOCs治理效率。</w:t>
            </w:r>
          </w:p>
          <w:p>
            <w:pPr>
              <w:snapToGrid w:val="0"/>
              <w:rPr>
                <w:rFonts w:ascii="Times New Roman" w:hAnsi="Times New Roman" w:cs="Times New Roman"/>
                <w:sz w:val="16"/>
                <w:szCs w:val="16"/>
              </w:rPr>
            </w:pPr>
            <w:r>
              <w:rPr>
                <w:rFonts w:ascii="Times New Roman" w:hAnsi="Times New Roman" w:cs="Times New Roman"/>
                <w:sz w:val="16"/>
                <w:szCs w:val="16"/>
              </w:rPr>
              <w:t>2.机械加工行业下料、机械加工、抛丸、打磨、喷砂、清理滚筒、热处理、化学预处理、电镀等环节设置废气有效收集治理设施。焊接环节根据作业点位数配备焊接烟尘净化器，或设置专门操作间并设置集气系统对焊接烟尘进行有效收集治理。</w:t>
            </w:r>
          </w:p>
          <w:p>
            <w:pPr>
              <w:snapToGrid w:val="0"/>
              <w:rPr>
                <w:rFonts w:ascii="Times New Roman" w:hAnsi="Times New Roman" w:cs="Times New Roman"/>
                <w:sz w:val="16"/>
                <w:szCs w:val="16"/>
              </w:rPr>
            </w:pPr>
            <w:r>
              <w:rPr>
                <w:rFonts w:ascii="Times New Roman" w:hAnsi="Times New Roman" w:cs="Times New Roman"/>
                <w:sz w:val="16"/>
                <w:szCs w:val="16"/>
              </w:rPr>
              <w:t>3.工业企业排放的强酸、强碱、高盐、高氟废水，不得接入城镇生活污水处理厂。</w:t>
            </w:r>
          </w:p>
          <w:p>
            <w:pPr>
              <w:snapToGrid w:val="0"/>
              <w:rPr>
                <w:rFonts w:ascii="Times New Roman" w:hAnsi="Times New Roman" w:cs="Times New Roman"/>
                <w:sz w:val="16"/>
                <w:szCs w:val="16"/>
              </w:rPr>
            </w:pPr>
            <w:r>
              <w:rPr>
                <w:rFonts w:ascii="Times New Roman" w:hAnsi="Times New Roman" w:cs="Times New Roman"/>
                <w:sz w:val="16"/>
                <w:szCs w:val="16"/>
              </w:rPr>
              <w:t>4.采矿行业严格落实物料运输、装卸、储存、输送、生产等各环节扬尘污染防治设施，矿井涌水处理达到相关标准后全部综合利用、选矿废水收集后循环回用，不得外排，做好采矿废石与选矿尾砂综合利用，及时对场地、矿区等进行生态恢复。</w:t>
            </w:r>
          </w:p>
          <w:p>
            <w:pPr>
              <w:snapToGrid w:val="0"/>
              <w:rPr>
                <w:rFonts w:ascii="Times New Roman" w:hAnsi="Times New Roman" w:cs="Times New Roman"/>
                <w:sz w:val="16"/>
                <w:szCs w:val="16"/>
              </w:rPr>
            </w:pPr>
            <w:r>
              <w:rPr>
                <w:rFonts w:ascii="Times New Roman" w:hAnsi="Times New Roman" w:cs="Times New Roman"/>
                <w:sz w:val="16"/>
                <w:szCs w:val="16"/>
              </w:rPr>
              <w:t>5.采矿行业积极采用新设备、新工艺以及全尾砂充填、尾矿综合利用等措施，减少尾矿排放。</w:t>
            </w:r>
          </w:p>
        </w:tc>
        <w:tc>
          <w:tcPr>
            <w:tcW w:w="2126"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1.规范固体废物的处理措施，对工业企业产生的固体废物特别是危险废物应严格按照国家规定综合利用或妥善处置，严防二次污染。</w:t>
            </w:r>
          </w:p>
          <w:p>
            <w:pPr>
              <w:snapToGrid w:val="0"/>
              <w:rPr>
                <w:rFonts w:ascii="Times New Roman" w:hAnsi="Times New Roman" w:cs="Times New Roman"/>
                <w:sz w:val="16"/>
                <w:szCs w:val="16"/>
              </w:rPr>
            </w:pPr>
            <w:r>
              <w:rPr>
                <w:rFonts w:ascii="Times New Roman" w:hAnsi="Times New Roman" w:cs="Times New Roman"/>
                <w:sz w:val="16"/>
                <w:szCs w:val="16"/>
              </w:rPr>
              <w:t>2.化工企业、尾矿库等地下水污染高风险地区应当采取防渗漏等措施。</w:t>
            </w:r>
          </w:p>
          <w:p>
            <w:pPr>
              <w:snapToGrid w:val="0"/>
              <w:rPr>
                <w:rFonts w:ascii="Times New Roman" w:hAnsi="Times New Roman" w:cs="Times New Roman"/>
                <w:sz w:val="16"/>
                <w:szCs w:val="16"/>
              </w:rPr>
            </w:pPr>
            <w:r>
              <w:rPr>
                <w:rFonts w:ascii="Times New Roman" w:hAnsi="Times New Roman" w:cs="Times New Roman"/>
                <w:sz w:val="16"/>
                <w:szCs w:val="16"/>
              </w:rPr>
              <w:t>3.按照《中华人民共和国水污染防治法》等，加强饮用水源保护区风险预防和预警应急工作。</w:t>
            </w:r>
          </w:p>
          <w:p>
            <w:pPr>
              <w:snapToGrid w:val="0"/>
              <w:rPr>
                <w:rFonts w:ascii="Times New Roman" w:hAnsi="Times New Roman" w:cs="Times New Roman"/>
                <w:sz w:val="16"/>
                <w:szCs w:val="16"/>
              </w:rPr>
            </w:pPr>
            <w:r>
              <w:rPr>
                <w:rFonts w:ascii="Times New Roman" w:hAnsi="Times New Roman" w:cs="Times New Roman"/>
                <w:sz w:val="16"/>
                <w:szCs w:val="16"/>
              </w:rPr>
              <w:t>4.建立健全环境风险事故防范措施和应急预案，严防环境安全事故发生。</w:t>
            </w:r>
          </w:p>
        </w:tc>
        <w:tc>
          <w:tcPr>
            <w:tcW w:w="1337"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1.推广集中供能和清洁能源利用，实施热、电行业超低排放改造。</w:t>
            </w:r>
          </w:p>
          <w:p>
            <w:pPr>
              <w:snapToGrid w:val="0"/>
              <w:rPr>
                <w:rFonts w:ascii="Times New Roman" w:hAnsi="Times New Roman" w:cs="Times New Roman"/>
                <w:sz w:val="16"/>
                <w:szCs w:val="16"/>
              </w:rPr>
            </w:pPr>
            <w:r>
              <w:rPr>
                <w:rFonts w:ascii="Times New Roman" w:hAnsi="Times New Roman" w:cs="Times New Roman"/>
                <w:sz w:val="16"/>
                <w:szCs w:val="16"/>
              </w:rPr>
              <w:t>2.加快漏损管网改造，减少管网漏损率、普及节水型器具。</w:t>
            </w:r>
          </w:p>
          <w:p>
            <w:pPr>
              <w:snapToGrid w:val="0"/>
              <w:rPr>
                <w:rFonts w:ascii="Times New Roman" w:hAnsi="Times New Roman" w:cs="Times New Roman"/>
                <w:sz w:val="16"/>
                <w:szCs w:val="16"/>
              </w:rPr>
            </w:pPr>
            <w:r>
              <w:rPr>
                <w:rFonts w:ascii="Times New Roman" w:hAnsi="Times New Roman" w:cs="Times New Roman"/>
                <w:sz w:val="16"/>
                <w:szCs w:val="16"/>
              </w:rPr>
              <w:t>3.</w:t>
            </w:r>
            <w:r>
              <w:rPr>
                <w:rFonts w:ascii="Times New Roman" w:hAnsi="Times New Roman" w:cs="Times New Roman"/>
                <w:kern w:val="0"/>
                <w:sz w:val="16"/>
                <w:szCs w:val="16"/>
              </w:rPr>
              <w:t xml:space="preserve"> 全面开展节水型社会建设，促进再生水利用。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7"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4</w:t>
            </w:r>
          </w:p>
        </w:tc>
        <w:tc>
          <w:tcPr>
            <w:tcW w:w="131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ZH37028510004</w:t>
            </w:r>
          </w:p>
        </w:tc>
        <w:tc>
          <w:tcPr>
            <w:tcW w:w="69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水集街道（1）</w:t>
            </w:r>
          </w:p>
        </w:tc>
        <w:tc>
          <w:tcPr>
            <w:tcW w:w="377"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山东省</w:t>
            </w:r>
          </w:p>
        </w:tc>
        <w:tc>
          <w:tcPr>
            <w:tcW w:w="429"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青岛市</w:t>
            </w:r>
          </w:p>
        </w:tc>
        <w:tc>
          <w:tcPr>
            <w:tcW w:w="432"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莱西市</w:t>
            </w:r>
          </w:p>
        </w:tc>
        <w:tc>
          <w:tcPr>
            <w:tcW w:w="697"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优先保护单元</w:t>
            </w:r>
          </w:p>
        </w:tc>
        <w:tc>
          <w:tcPr>
            <w:tcW w:w="914"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大沽河生态廊道、产芝水库、产芝水库一般生态空间、大气环境受体敏感区</w:t>
            </w:r>
          </w:p>
        </w:tc>
        <w:tc>
          <w:tcPr>
            <w:tcW w:w="1815"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1.引导工业企业入驻工业园区。新建有污染物排放的工业项目，除在安全生产等方面有特殊要求的以外，应当进入工业园区或者工业集聚区。</w:t>
            </w:r>
          </w:p>
          <w:p>
            <w:pPr>
              <w:snapToGrid w:val="0"/>
              <w:jc w:val="left"/>
              <w:rPr>
                <w:rFonts w:ascii="Times New Roman" w:hAnsi="Times New Roman" w:cs="Times New Roman"/>
                <w:sz w:val="16"/>
                <w:szCs w:val="16"/>
              </w:rPr>
            </w:pPr>
            <w:r>
              <w:rPr>
                <w:rFonts w:ascii="Times New Roman" w:hAnsi="Times New Roman" w:cs="Times New Roman"/>
                <w:sz w:val="16"/>
                <w:szCs w:val="16"/>
              </w:rPr>
              <w:t>2.饮用水水源保护区按照《中华人民共和国水污染防治法》《山东省水污染防治条例》《</w:t>
            </w:r>
            <w:r>
              <w:rPr>
                <w:rFonts w:hint="eastAsia" w:ascii="Times New Roman" w:hAnsi="Times New Roman" w:cs="Times New Roman"/>
                <w:sz w:val="16"/>
                <w:szCs w:val="16"/>
              </w:rPr>
              <w:t>青岛市饮用水水源保护条例</w:t>
            </w:r>
            <w:r>
              <w:rPr>
                <w:rFonts w:ascii="Times New Roman" w:hAnsi="Times New Roman" w:cs="Times New Roman"/>
                <w:sz w:val="16"/>
                <w:szCs w:val="16"/>
              </w:rPr>
              <w:t>》及相关法律法规实施保护管理。</w:t>
            </w:r>
          </w:p>
          <w:p>
            <w:pPr>
              <w:snapToGrid w:val="0"/>
              <w:jc w:val="left"/>
              <w:rPr>
                <w:rFonts w:ascii="Times New Roman" w:hAnsi="Times New Roman" w:cs="Times New Roman"/>
                <w:sz w:val="16"/>
                <w:szCs w:val="16"/>
              </w:rPr>
            </w:pPr>
            <w:r>
              <w:rPr>
                <w:rFonts w:ascii="Times New Roman" w:hAnsi="Times New Roman" w:cs="Times New Roman"/>
                <w:sz w:val="16"/>
                <w:szCs w:val="16"/>
              </w:rPr>
              <w:t>3.严格涉氟废水排放企业准入。</w:t>
            </w:r>
          </w:p>
        </w:tc>
        <w:tc>
          <w:tcPr>
            <w:tcW w:w="3430"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1.食品加工行业加强臭气异味的处理和防治。安装净化装置或者采取其他措施，防止排放恶臭气体。</w:t>
            </w:r>
          </w:p>
          <w:p>
            <w:pPr>
              <w:snapToGrid w:val="0"/>
              <w:jc w:val="left"/>
              <w:rPr>
                <w:rFonts w:ascii="Times New Roman" w:hAnsi="Times New Roman" w:cs="Times New Roman"/>
                <w:sz w:val="16"/>
                <w:szCs w:val="16"/>
              </w:rPr>
            </w:pPr>
            <w:r>
              <w:rPr>
                <w:rFonts w:ascii="Times New Roman" w:hAnsi="Times New Roman" w:cs="Times New Roman"/>
                <w:sz w:val="16"/>
                <w:szCs w:val="16"/>
              </w:rPr>
              <w:t>2.机械加工行业下料、机械加工、抛丸、打磨、喷砂、清理滚筒、热处理、化学预处理、电镀等环节设置废气有效收集治理设施。焊接环节根据作业点位数配备焊接烟尘净化器，或设置专门操作间并设置集气系统对焊接烟尘进行有效收集治理。</w:t>
            </w:r>
          </w:p>
          <w:p>
            <w:pPr>
              <w:snapToGrid w:val="0"/>
              <w:rPr>
                <w:rFonts w:ascii="Times New Roman" w:hAnsi="Times New Roman" w:cs="Times New Roman"/>
                <w:sz w:val="16"/>
                <w:szCs w:val="16"/>
              </w:rPr>
            </w:pPr>
            <w:r>
              <w:rPr>
                <w:rFonts w:ascii="Times New Roman" w:hAnsi="Times New Roman" w:cs="Times New Roman"/>
                <w:sz w:val="16"/>
                <w:szCs w:val="16"/>
              </w:rPr>
              <w:t>3.涂装行业推进源头替代，引导使用低VOCs含量的涂料替代溶剂型引导使用低VOCs含量的涂料替代溶剂型涂料，从源头减少VOCs产生。推进使用先进生产工艺，鼓励企业采用自动化、智能化喷涂设备替代人工喷涂，减少使用空气喷涂技术。提高废气收集率。遵循“应收尽收、分质收集”的原则，科学设计废气收集系统，将无组织排放转变为有组织排放进行控制。涂料、稀释剂、清洗剂等原辅材料应密闭存储，调配、使用、回收等过程应采用密闭设备或在密闭空间内操作，采用密闭管道或密闭容器等输送。推进建设适宜高效的治污设施，合理选择治理技术，提高VOCs治理效率。</w:t>
            </w:r>
          </w:p>
          <w:p>
            <w:pPr>
              <w:snapToGrid w:val="0"/>
              <w:rPr>
                <w:rFonts w:ascii="Times New Roman" w:hAnsi="Times New Roman" w:cs="Times New Roman"/>
                <w:sz w:val="16"/>
                <w:szCs w:val="16"/>
              </w:rPr>
            </w:pPr>
            <w:r>
              <w:rPr>
                <w:rFonts w:ascii="Times New Roman" w:hAnsi="Times New Roman" w:cs="Times New Roman"/>
                <w:sz w:val="16"/>
                <w:szCs w:val="16"/>
              </w:rPr>
              <w:t>4.印染企业(有工业废水处理资质且出水达到国家标准的原料药制造企业除外)排放的高浓度重金属或难以生化降解废水，以及有关工业企业排放的强酸、强碱、高盐、高氟废水，不得接入城镇生活污水处理厂。</w:t>
            </w:r>
          </w:p>
          <w:p>
            <w:pPr>
              <w:snapToGrid w:val="0"/>
              <w:rPr>
                <w:rFonts w:ascii="Times New Roman" w:hAnsi="Times New Roman" w:cs="Times New Roman"/>
                <w:sz w:val="16"/>
                <w:szCs w:val="16"/>
              </w:rPr>
            </w:pPr>
            <w:r>
              <w:rPr>
                <w:rFonts w:ascii="Times New Roman" w:hAnsi="Times New Roman" w:cs="Times New Roman"/>
                <w:sz w:val="16"/>
                <w:szCs w:val="16"/>
              </w:rPr>
              <w:t>5.印染行业优先采用清洁生产技术，禁止选用列入《产业结构调整指导目录》限制类、淘汰类的落后生产工艺和设备，提高资源、能源利用率，按照《印染行业废水污染防治技术政策》《纺织工业环境保护设施设计标准》等有关规定，减少污染物的产生和排放。</w:t>
            </w:r>
          </w:p>
          <w:p>
            <w:pPr>
              <w:snapToGrid w:val="0"/>
              <w:rPr>
                <w:rFonts w:ascii="Times New Roman" w:hAnsi="Times New Roman" w:cs="Times New Roman"/>
                <w:sz w:val="16"/>
                <w:szCs w:val="16"/>
              </w:rPr>
            </w:pPr>
            <w:r>
              <w:rPr>
                <w:rFonts w:ascii="Times New Roman" w:hAnsi="Times New Roman" w:cs="Times New Roman"/>
                <w:sz w:val="16"/>
                <w:szCs w:val="16"/>
              </w:rPr>
              <w:t>6.污水处理厂严格确保处理设备正常运行，对园区内产生的危险废物严格按照相关法律法规进行监管、处置。污水处理厂应当安全处理处置污泥，保证处理处置后的污泥符合国家标准，对污泥的流向、用途、用量等进行跟踪、记录。禁止擅自倾倒、堆放、丢弃、遗撒城镇污水处理设施产生的污泥和处理后的污泥。</w:t>
            </w:r>
          </w:p>
        </w:tc>
        <w:tc>
          <w:tcPr>
            <w:tcW w:w="2126"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1.规范固体废物的处理措施，对工业企业产生的固体废物特别是危险废物应严格按照国家规定综合利用或妥善处置，严防二次污染。</w:t>
            </w:r>
          </w:p>
          <w:p>
            <w:pPr>
              <w:snapToGrid w:val="0"/>
              <w:rPr>
                <w:rFonts w:ascii="Times New Roman" w:hAnsi="Times New Roman" w:cs="Times New Roman"/>
                <w:sz w:val="16"/>
                <w:szCs w:val="16"/>
              </w:rPr>
            </w:pPr>
            <w:r>
              <w:rPr>
                <w:rFonts w:ascii="Times New Roman" w:hAnsi="Times New Roman" w:cs="Times New Roman"/>
                <w:sz w:val="16"/>
                <w:szCs w:val="16"/>
              </w:rPr>
              <w:t>2.按照《中华人民共和国水污染防治法》等，加强饮用水源保护区风险预防和预警应急工作。</w:t>
            </w:r>
          </w:p>
          <w:p>
            <w:pPr>
              <w:snapToGrid w:val="0"/>
              <w:rPr>
                <w:rFonts w:ascii="Times New Roman" w:hAnsi="Times New Roman" w:cs="Times New Roman"/>
                <w:sz w:val="16"/>
                <w:szCs w:val="16"/>
              </w:rPr>
            </w:pPr>
            <w:r>
              <w:rPr>
                <w:rFonts w:ascii="Times New Roman" w:hAnsi="Times New Roman" w:cs="Times New Roman"/>
                <w:sz w:val="16"/>
                <w:szCs w:val="16"/>
              </w:rPr>
              <w:t>3.建立健全环境风险事故防范措施和应急预案，严防环境安全事故发生。</w:t>
            </w:r>
          </w:p>
        </w:tc>
        <w:tc>
          <w:tcPr>
            <w:tcW w:w="1337"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1.推广集中供能和清洁能源利用，实施热、电行业超低排放改造。</w:t>
            </w:r>
          </w:p>
          <w:p>
            <w:pPr>
              <w:snapToGrid w:val="0"/>
              <w:rPr>
                <w:rFonts w:ascii="Times New Roman" w:hAnsi="Times New Roman" w:cs="Times New Roman"/>
                <w:sz w:val="16"/>
                <w:szCs w:val="16"/>
              </w:rPr>
            </w:pPr>
            <w:r>
              <w:rPr>
                <w:rFonts w:ascii="Times New Roman" w:hAnsi="Times New Roman" w:cs="Times New Roman"/>
                <w:sz w:val="16"/>
                <w:szCs w:val="16"/>
              </w:rPr>
              <w:t>2.加快漏损管网改造，减少管网漏损率、普及节水型器具。</w:t>
            </w:r>
          </w:p>
          <w:p>
            <w:pPr>
              <w:snapToGrid w:val="0"/>
              <w:rPr>
                <w:rFonts w:ascii="Times New Roman" w:hAnsi="Times New Roman" w:cs="Times New Roman"/>
                <w:sz w:val="16"/>
                <w:szCs w:val="16"/>
              </w:rPr>
            </w:pPr>
            <w:r>
              <w:rPr>
                <w:rFonts w:ascii="Times New Roman" w:hAnsi="Times New Roman" w:cs="Times New Roman"/>
                <w:sz w:val="16"/>
                <w:szCs w:val="16"/>
              </w:rPr>
              <w:t>3.</w:t>
            </w:r>
            <w:r>
              <w:rPr>
                <w:rFonts w:ascii="Times New Roman" w:hAnsi="Times New Roman" w:cs="Times New Roman"/>
                <w:kern w:val="0"/>
                <w:sz w:val="16"/>
                <w:szCs w:val="16"/>
              </w:rPr>
              <w:t>全面开展节水型社会建设，促进再生水利用。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7"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5</w:t>
            </w:r>
          </w:p>
        </w:tc>
        <w:tc>
          <w:tcPr>
            <w:tcW w:w="131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ZH37028530003</w:t>
            </w:r>
          </w:p>
        </w:tc>
        <w:tc>
          <w:tcPr>
            <w:tcW w:w="69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夏格庄镇</w:t>
            </w:r>
          </w:p>
        </w:tc>
        <w:tc>
          <w:tcPr>
            <w:tcW w:w="377"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山东省</w:t>
            </w:r>
          </w:p>
        </w:tc>
        <w:tc>
          <w:tcPr>
            <w:tcW w:w="429"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青岛市</w:t>
            </w:r>
          </w:p>
        </w:tc>
        <w:tc>
          <w:tcPr>
            <w:tcW w:w="432"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莱西市</w:t>
            </w:r>
          </w:p>
        </w:tc>
        <w:tc>
          <w:tcPr>
            <w:tcW w:w="697"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一般管控单元</w:t>
            </w:r>
          </w:p>
        </w:tc>
        <w:tc>
          <w:tcPr>
            <w:tcW w:w="914"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水环境农业面源重点管控区、大气环境一般管控区、大气环境受体敏感区</w:t>
            </w:r>
          </w:p>
        </w:tc>
        <w:tc>
          <w:tcPr>
            <w:tcW w:w="1815"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1.引导工业企业入驻工业园区。新建有污染物排放的工业项目，除在安全生产等方面有特殊要求的以外，应当进入工业园区或者工业集聚区。</w:t>
            </w:r>
          </w:p>
        </w:tc>
        <w:tc>
          <w:tcPr>
            <w:tcW w:w="3430"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塑料行业加热挤出工段宜采用上吸风方式对废气进行有效收集，吹塑工段宜采取环绕方式对废气进行有效收集。加热挤出、压制、吹塑（发泡）、印刷等工艺产生的废气经除尘后宜采用浓缩结合燃烧法等工艺进行处理。使用含氯原料的工艺废气在处理过程中应充分考虑二噁英及酸性气体的控制。做好生活垃圾和工业固体废物分类收集、转运、综合利用和无害化处理。推行清洁生产，减少固体废物产生量。提升固体废物的资源化综合利用率。</w:t>
            </w:r>
          </w:p>
          <w:p>
            <w:pPr>
              <w:snapToGrid w:val="0"/>
              <w:rPr>
                <w:rFonts w:ascii="Times New Roman" w:hAnsi="Times New Roman" w:cs="Times New Roman"/>
                <w:sz w:val="16"/>
                <w:szCs w:val="16"/>
              </w:rPr>
            </w:pPr>
            <w:r>
              <w:rPr>
                <w:rFonts w:ascii="Times New Roman" w:hAnsi="Times New Roman" w:cs="Times New Roman"/>
                <w:sz w:val="16"/>
                <w:szCs w:val="16"/>
              </w:rPr>
              <w:t>2.加快污水处理设施建设，将污水集中处理，管网覆盖不到位的村庄，建设分散式污水处理设施，提倡相邻村庄联合建设污水处理设施。完善工业集聚区污水管网。</w:t>
            </w:r>
          </w:p>
          <w:p>
            <w:pPr>
              <w:snapToGrid w:val="0"/>
              <w:rPr>
                <w:rFonts w:ascii="Times New Roman" w:hAnsi="Times New Roman" w:cs="Times New Roman"/>
                <w:sz w:val="16"/>
                <w:szCs w:val="16"/>
              </w:rPr>
            </w:pPr>
            <w:r>
              <w:rPr>
                <w:rFonts w:ascii="Times New Roman" w:hAnsi="Times New Roman" w:cs="Times New Roman"/>
                <w:sz w:val="16"/>
                <w:szCs w:val="16"/>
              </w:rPr>
              <w:t>3.印刷企业推进源头替代，通过使用低VOCs含量油墨替代溶剂型油墨，推进使用先进印刷工艺，从源头减少VOCs产生。油墨等原辅材料存储、调配工段应对空间进行微负压改造，辊刷、覆压工艺宜设置于密闭工作间内，集中排风并导入VOCs处理设施处理。工艺废气在过滤后宜采用浓缩结合燃烧法等工艺进行处理。</w:t>
            </w:r>
          </w:p>
          <w:p>
            <w:pPr>
              <w:snapToGrid w:val="0"/>
              <w:rPr>
                <w:rFonts w:ascii="Times New Roman" w:hAnsi="Times New Roman" w:cs="Times New Roman"/>
                <w:sz w:val="16"/>
                <w:szCs w:val="16"/>
              </w:rPr>
            </w:pPr>
            <w:r>
              <w:rPr>
                <w:rFonts w:ascii="Times New Roman" w:hAnsi="Times New Roman" w:cs="Times New Roman"/>
                <w:sz w:val="16"/>
                <w:szCs w:val="16"/>
              </w:rPr>
              <w:t>4.规模化畜禽养殖场、养殖小区应有序完成畜禽粪便处理利用设施和污水收集处理设施配套建设，防止造成面源污染。</w:t>
            </w:r>
          </w:p>
        </w:tc>
        <w:tc>
          <w:tcPr>
            <w:tcW w:w="2126"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1.规范固体废物的处理措施，对工业企业产生的固体废物特别是危险废物应严格按照国家规定综合利用或妥善处置，严防二次污染。</w:t>
            </w:r>
          </w:p>
          <w:p>
            <w:pPr>
              <w:snapToGrid w:val="0"/>
              <w:rPr>
                <w:rFonts w:ascii="Times New Roman" w:hAnsi="Times New Roman" w:cs="Times New Roman"/>
                <w:sz w:val="16"/>
                <w:szCs w:val="16"/>
              </w:rPr>
            </w:pPr>
            <w:r>
              <w:rPr>
                <w:rFonts w:ascii="Times New Roman" w:hAnsi="Times New Roman" w:cs="Times New Roman"/>
                <w:sz w:val="16"/>
                <w:szCs w:val="16"/>
              </w:rPr>
              <w:t>2.建立健全环境风险事故防范措施和应急预案，严防环境安全事故发生。</w:t>
            </w:r>
          </w:p>
          <w:p>
            <w:pPr>
              <w:snapToGrid w:val="0"/>
              <w:rPr>
                <w:rFonts w:ascii="Times New Roman" w:hAnsi="Times New Roman" w:cs="Times New Roman"/>
                <w:sz w:val="16"/>
                <w:szCs w:val="16"/>
              </w:rPr>
            </w:pPr>
            <w:r>
              <w:rPr>
                <w:rFonts w:ascii="Times New Roman" w:hAnsi="Times New Roman" w:cs="Times New Roman"/>
                <w:sz w:val="16"/>
                <w:szCs w:val="16"/>
              </w:rPr>
              <w:t>3.按照《中华人民共和国水污染防治法》等，加强饮用水源保护区风险预防和预警应急工作。</w:t>
            </w:r>
          </w:p>
        </w:tc>
        <w:tc>
          <w:tcPr>
            <w:tcW w:w="1337"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1.推广集中供能和清洁能源利用，实施热、电行业超低排放改造。</w:t>
            </w:r>
          </w:p>
          <w:p>
            <w:pPr>
              <w:snapToGrid w:val="0"/>
              <w:rPr>
                <w:rFonts w:ascii="Times New Roman" w:hAnsi="Times New Roman" w:cs="Times New Roman"/>
                <w:sz w:val="16"/>
                <w:szCs w:val="16"/>
              </w:rPr>
            </w:pPr>
            <w:r>
              <w:rPr>
                <w:rFonts w:ascii="Times New Roman" w:hAnsi="Times New Roman" w:cs="Times New Roman"/>
                <w:sz w:val="16"/>
                <w:szCs w:val="16"/>
              </w:rPr>
              <w:t>2.加快漏损管网改造，减少管网漏损率、普及节水型器具。</w:t>
            </w:r>
          </w:p>
          <w:p>
            <w:pPr>
              <w:snapToGrid w:val="0"/>
              <w:rPr>
                <w:rFonts w:ascii="Times New Roman" w:hAnsi="Times New Roman" w:cs="Times New Roman"/>
                <w:sz w:val="16"/>
                <w:szCs w:val="16"/>
              </w:rPr>
            </w:pPr>
            <w:r>
              <w:rPr>
                <w:rFonts w:ascii="Times New Roman" w:hAnsi="Times New Roman" w:cs="Times New Roman"/>
                <w:sz w:val="16"/>
                <w:szCs w:val="16"/>
              </w:rPr>
              <w:t>3.</w:t>
            </w:r>
            <w:r>
              <w:rPr>
                <w:rFonts w:ascii="Times New Roman" w:hAnsi="Times New Roman" w:cs="Times New Roman"/>
                <w:kern w:val="0"/>
                <w:sz w:val="16"/>
                <w:szCs w:val="16"/>
              </w:rPr>
              <w:t xml:space="preserve"> 全面开展节水型社会建设，促进再生水利用。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7"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6</w:t>
            </w:r>
          </w:p>
        </w:tc>
        <w:tc>
          <w:tcPr>
            <w:tcW w:w="131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ZH37028520002</w:t>
            </w:r>
          </w:p>
        </w:tc>
        <w:tc>
          <w:tcPr>
            <w:tcW w:w="69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店埠镇</w:t>
            </w:r>
          </w:p>
        </w:tc>
        <w:tc>
          <w:tcPr>
            <w:tcW w:w="377"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山东省</w:t>
            </w:r>
          </w:p>
        </w:tc>
        <w:tc>
          <w:tcPr>
            <w:tcW w:w="429"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青岛市</w:t>
            </w:r>
          </w:p>
        </w:tc>
        <w:tc>
          <w:tcPr>
            <w:tcW w:w="432"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莱西市</w:t>
            </w:r>
          </w:p>
        </w:tc>
        <w:tc>
          <w:tcPr>
            <w:tcW w:w="697"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重点管控单元</w:t>
            </w:r>
          </w:p>
        </w:tc>
        <w:tc>
          <w:tcPr>
            <w:tcW w:w="914"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大沽河生态廊道一般生态空间、大沽河、大沽河地下水、水环境农业面源重点管控区、大气环境弱扩散敏感区、大气环境受体敏感区</w:t>
            </w:r>
          </w:p>
        </w:tc>
        <w:tc>
          <w:tcPr>
            <w:tcW w:w="1815"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1.引导工业企业入驻工业园区。新建有污染物排放的工业项目，除在安全生产等方面有特殊要求的以外，应当进入工业园区或者工业集聚区。</w:t>
            </w:r>
          </w:p>
          <w:p>
            <w:pPr>
              <w:snapToGrid w:val="0"/>
              <w:jc w:val="left"/>
              <w:rPr>
                <w:rFonts w:ascii="Times New Roman" w:hAnsi="Times New Roman" w:cs="Times New Roman"/>
                <w:sz w:val="16"/>
                <w:szCs w:val="16"/>
              </w:rPr>
            </w:pPr>
            <w:r>
              <w:rPr>
                <w:rFonts w:ascii="Times New Roman" w:hAnsi="Times New Roman" w:cs="Times New Roman"/>
                <w:sz w:val="16"/>
                <w:szCs w:val="16"/>
              </w:rPr>
              <w:t>2.饮用水水源保护区按照《中华人民共和国水污染防治法》《山东省水污染防治条例》《</w:t>
            </w:r>
            <w:r>
              <w:rPr>
                <w:rFonts w:hint="eastAsia" w:ascii="Times New Roman" w:hAnsi="Times New Roman" w:cs="Times New Roman"/>
                <w:sz w:val="16"/>
                <w:szCs w:val="16"/>
              </w:rPr>
              <w:t>青岛市饮用水水源保护条例</w:t>
            </w:r>
            <w:r>
              <w:rPr>
                <w:rFonts w:ascii="Times New Roman" w:hAnsi="Times New Roman" w:cs="Times New Roman"/>
                <w:sz w:val="16"/>
                <w:szCs w:val="16"/>
              </w:rPr>
              <w:t>》及相关法律法规实施保护管理。</w:t>
            </w:r>
          </w:p>
          <w:p>
            <w:pPr>
              <w:snapToGrid w:val="0"/>
              <w:jc w:val="left"/>
              <w:rPr>
                <w:rFonts w:ascii="Times New Roman" w:hAnsi="Times New Roman" w:cs="Times New Roman"/>
                <w:sz w:val="16"/>
                <w:szCs w:val="16"/>
              </w:rPr>
            </w:pPr>
            <w:r>
              <w:rPr>
                <w:rFonts w:ascii="Times New Roman" w:hAnsi="Times New Roman" w:cs="Times New Roman"/>
                <w:sz w:val="16"/>
                <w:szCs w:val="16"/>
              </w:rPr>
              <w:t>3.严格涉氟废水排放企业准入。</w:t>
            </w:r>
          </w:p>
        </w:tc>
        <w:tc>
          <w:tcPr>
            <w:tcW w:w="3430"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1.食品加工行业加强臭气异味的处理和防治；安装净化装置或者采取其他措施，防止排放恶臭气体；含盐废水处理，做到达标排放。</w:t>
            </w:r>
          </w:p>
          <w:p>
            <w:pPr>
              <w:snapToGrid w:val="0"/>
              <w:rPr>
                <w:rFonts w:ascii="Times New Roman" w:hAnsi="Times New Roman" w:cs="Times New Roman"/>
                <w:sz w:val="16"/>
                <w:szCs w:val="16"/>
              </w:rPr>
            </w:pPr>
            <w:r>
              <w:rPr>
                <w:rFonts w:ascii="Times New Roman" w:hAnsi="Times New Roman" w:cs="Times New Roman"/>
                <w:sz w:val="16"/>
                <w:szCs w:val="16"/>
              </w:rPr>
              <w:t>2.规模化畜禽养殖场、养殖小区应有序完成畜禽粪便处理利用设施和污水收集处理设施配套建设，防止造成面源污染。</w:t>
            </w:r>
          </w:p>
          <w:p>
            <w:pPr>
              <w:snapToGrid w:val="0"/>
              <w:rPr>
                <w:rFonts w:ascii="Times New Roman" w:hAnsi="Times New Roman" w:cs="Times New Roman"/>
                <w:sz w:val="16"/>
                <w:szCs w:val="16"/>
              </w:rPr>
            </w:pPr>
            <w:r>
              <w:rPr>
                <w:rFonts w:ascii="Times New Roman" w:hAnsi="Times New Roman" w:cs="Times New Roman"/>
                <w:sz w:val="16"/>
                <w:szCs w:val="16"/>
              </w:rPr>
              <w:t>3.推广农作物病虫害绿色防控技术，推行科学种植，合理使用化肥农药，减少农业面源污染。</w:t>
            </w:r>
          </w:p>
          <w:p>
            <w:pPr>
              <w:snapToGrid w:val="0"/>
              <w:rPr>
                <w:rFonts w:ascii="Times New Roman" w:hAnsi="Times New Roman" w:cs="Times New Roman"/>
                <w:sz w:val="16"/>
                <w:szCs w:val="16"/>
              </w:rPr>
            </w:pPr>
            <w:r>
              <w:rPr>
                <w:rFonts w:ascii="Times New Roman" w:hAnsi="Times New Roman" w:cs="Times New Roman"/>
                <w:sz w:val="16"/>
                <w:szCs w:val="16"/>
              </w:rPr>
              <w:t>4.加快污水处理设施建设，将污水集中处理，管网覆盖不到位的村庄，建设分散式污水处理设施，提倡相邻村庄联合建设污水处理设施。完善工业集聚区污水管网。</w:t>
            </w:r>
          </w:p>
        </w:tc>
        <w:tc>
          <w:tcPr>
            <w:tcW w:w="2126"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1.按照《中华人民共和国水污染防治法》等，加强饮用水源保护区风险预防和预警应急工作。</w:t>
            </w:r>
          </w:p>
        </w:tc>
        <w:tc>
          <w:tcPr>
            <w:tcW w:w="1337"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1.推广集中供能和清洁能源利用，实施热、电行业超低排放改造。</w:t>
            </w:r>
          </w:p>
          <w:p>
            <w:pPr>
              <w:snapToGrid w:val="0"/>
              <w:rPr>
                <w:rFonts w:ascii="Times New Roman" w:hAnsi="Times New Roman" w:cs="Times New Roman"/>
                <w:sz w:val="16"/>
                <w:szCs w:val="16"/>
              </w:rPr>
            </w:pPr>
            <w:r>
              <w:rPr>
                <w:rFonts w:ascii="Times New Roman" w:hAnsi="Times New Roman" w:cs="Times New Roman"/>
                <w:sz w:val="16"/>
                <w:szCs w:val="16"/>
              </w:rPr>
              <w:t>2.加快漏损管网改造，减少管网漏损率、普及节水型器具。</w:t>
            </w:r>
          </w:p>
          <w:p>
            <w:pPr>
              <w:snapToGrid w:val="0"/>
              <w:rPr>
                <w:rFonts w:ascii="Times New Roman" w:hAnsi="Times New Roman" w:cs="Times New Roman"/>
                <w:sz w:val="16"/>
                <w:szCs w:val="16"/>
              </w:rPr>
            </w:pPr>
            <w:r>
              <w:rPr>
                <w:rFonts w:ascii="Times New Roman" w:hAnsi="Times New Roman" w:cs="Times New Roman"/>
                <w:sz w:val="16"/>
                <w:szCs w:val="16"/>
              </w:rPr>
              <w:t>3.</w:t>
            </w:r>
            <w:r>
              <w:rPr>
                <w:rFonts w:ascii="Times New Roman" w:hAnsi="Times New Roman" w:cs="Times New Roman"/>
                <w:kern w:val="0"/>
                <w:sz w:val="16"/>
                <w:szCs w:val="16"/>
              </w:rPr>
              <w:t xml:space="preserve"> 全面开展节水型社会建设，促进再生水利用。</w:t>
            </w:r>
          </w:p>
          <w:p>
            <w:pPr>
              <w:snapToGrid w:val="0"/>
              <w:rPr>
                <w:rFonts w:ascii="Times New Roman" w:hAnsi="Times New Roman" w:cs="Times New Roman"/>
                <w:sz w:val="16"/>
                <w:szCs w:val="16"/>
              </w:rPr>
            </w:pPr>
            <w:r>
              <w:rPr>
                <w:rFonts w:ascii="Times New Roman" w:hAnsi="Times New Roman" w:cs="Times New Roman"/>
                <w:sz w:val="16"/>
                <w:szCs w:val="16"/>
              </w:rPr>
              <w:t>4.续建农业生产配套与节水改造、高效节水灌溉等工程，优化调整农业种植结构。</w:t>
            </w:r>
          </w:p>
          <w:p>
            <w:pPr>
              <w:snapToGrid w:val="0"/>
              <w:rPr>
                <w:rFonts w:ascii="Times New Roman" w:hAnsi="Times New Roman" w:cs="Times New Roman"/>
                <w:kern w:val="0"/>
                <w:sz w:val="16"/>
                <w:szCs w:val="16"/>
              </w:rPr>
            </w:pPr>
            <w:r>
              <w:rPr>
                <w:rFonts w:ascii="Times New Roman" w:hAnsi="Times New Roman" w:cs="Times New Roman"/>
                <w:sz w:val="16"/>
                <w:szCs w:val="16"/>
              </w:rPr>
              <w:t>5</w:t>
            </w:r>
            <w:r>
              <w:rPr>
                <w:rFonts w:ascii="Times New Roman" w:hAnsi="Times New Roman" w:cs="Times New Roman"/>
                <w:kern w:val="0"/>
                <w:sz w:val="16"/>
                <w:szCs w:val="16"/>
              </w:rPr>
              <w:t>.全面开展节水型社会建设，促进再生水利用。</w:t>
            </w:r>
          </w:p>
          <w:p>
            <w:pPr>
              <w:snapToGrid w:val="0"/>
              <w:rPr>
                <w:rFonts w:ascii="Times New Roman" w:hAnsi="Times New Roman" w:cs="Times New Roman"/>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7"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7</w:t>
            </w:r>
          </w:p>
        </w:tc>
        <w:tc>
          <w:tcPr>
            <w:tcW w:w="131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ZH37028530004</w:t>
            </w:r>
          </w:p>
        </w:tc>
        <w:tc>
          <w:tcPr>
            <w:tcW w:w="69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沽河街道</w:t>
            </w:r>
          </w:p>
        </w:tc>
        <w:tc>
          <w:tcPr>
            <w:tcW w:w="377"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山东省</w:t>
            </w:r>
          </w:p>
        </w:tc>
        <w:tc>
          <w:tcPr>
            <w:tcW w:w="429"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青岛市</w:t>
            </w:r>
          </w:p>
        </w:tc>
        <w:tc>
          <w:tcPr>
            <w:tcW w:w="432"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莱西市</w:t>
            </w:r>
          </w:p>
        </w:tc>
        <w:tc>
          <w:tcPr>
            <w:tcW w:w="697"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一般管控单元</w:t>
            </w:r>
          </w:p>
        </w:tc>
        <w:tc>
          <w:tcPr>
            <w:tcW w:w="914"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大沽河生态廊道、产芝水库一般生态空间、产芝水库、水环境农业面源重点管控区、大气环境受体敏感区</w:t>
            </w:r>
          </w:p>
        </w:tc>
        <w:tc>
          <w:tcPr>
            <w:tcW w:w="1815"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1.引导工业企业入驻工业园区。新建有污染物排放的工业项目，除在安全生产等方面有特殊要求的以外，应当进入工业园区或者工业集聚区。</w:t>
            </w:r>
          </w:p>
          <w:p>
            <w:pPr>
              <w:snapToGrid w:val="0"/>
              <w:jc w:val="left"/>
              <w:rPr>
                <w:rFonts w:ascii="Times New Roman" w:hAnsi="Times New Roman" w:cs="Times New Roman"/>
                <w:sz w:val="16"/>
                <w:szCs w:val="16"/>
              </w:rPr>
            </w:pPr>
            <w:r>
              <w:rPr>
                <w:rFonts w:ascii="Times New Roman" w:hAnsi="Times New Roman" w:cs="Times New Roman"/>
                <w:sz w:val="16"/>
                <w:szCs w:val="16"/>
              </w:rPr>
              <w:t>2.饮用水水源保护区按照《中华人民共和国水污染防治法》《山东省水污染防治条例》《</w:t>
            </w:r>
            <w:r>
              <w:rPr>
                <w:rFonts w:hint="eastAsia" w:ascii="Times New Roman" w:hAnsi="Times New Roman" w:cs="Times New Roman"/>
                <w:sz w:val="16"/>
                <w:szCs w:val="16"/>
              </w:rPr>
              <w:t>青岛市饮用水水源保护条例</w:t>
            </w:r>
            <w:r>
              <w:rPr>
                <w:rFonts w:ascii="Times New Roman" w:hAnsi="Times New Roman" w:cs="Times New Roman"/>
                <w:sz w:val="16"/>
                <w:szCs w:val="16"/>
              </w:rPr>
              <w:t>》及相关法律法规实施保护管理。</w:t>
            </w:r>
          </w:p>
          <w:p>
            <w:pPr>
              <w:snapToGrid w:val="0"/>
              <w:jc w:val="left"/>
              <w:rPr>
                <w:rFonts w:ascii="Times New Roman" w:hAnsi="Times New Roman" w:cs="Times New Roman"/>
                <w:sz w:val="16"/>
                <w:szCs w:val="16"/>
              </w:rPr>
            </w:pPr>
            <w:r>
              <w:rPr>
                <w:rFonts w:ascii="Times New Roman" w:hAnsi="Times New Roman" w:cs="Times New Roman"/>
                <w:sz w:val="16"/>
                <w:szCs w:val="16"/>
              </w:rPr>
              <w:t>3.严格涉氟废水排放企业准入。</w:t>
            </w:r>
          </w:p>
        </w:tc>
        <w:tc>
          <w:tcPr>
            <w:tcW w:w="3430"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建材行业加强物料运输、装卸、储存、输送、生产等各环节无组织排放管控；矿石料场设置防风抑尘网或封闭；石子、页岩、煤矸石、煤、粘土、矿渣、石膏、炉渣等封闭储存；熟料、粉煤灰、矿粉和除尘灰等密闭储存；石子、页岩、煤等物料破碎、筛分、搅拌、粉磨等设备采取密闭措施，并配备有效集尘除尘设施；袋装水泥包装下料口、装车点位和散装水泥装车配备有效集尘除尘设施。</w:t>
            </w:r>
          </w:p>
          <w:p>
            <w:pPr>
              <w:snapToGrid w:val="0"/>
              <w:jc w:val="left"/>
              <w:rPr>
                <w:rFonts w:ascii="Times New Roman" w:hAnsi="Times New Roman" w:cs="Times New Roman"/>
                <w:sz w:val="16"/>
                <w:szCs w:val="16"/>
              </w:rPr>
            </w:pPr>
            <w:r>
              <w:rPr>
                <w:rFonts w:ascii="Times New Roman" w:hAnsi="Times New Roman" w:cs="Times New Roman"/>
                <w:sz w:val="16"/>
                <w:szCs w:val="16"/>
              </w:rPr>
              <w:t>2.食品加工行业加强臭气异味的处理和防治；安装净化装置或者采取其他措施，防止排放恶臭气体；含盐废水处理，做到达标排放。</w:t>
            </w:r>
          </w:p>
          <w:p>
            <w:pPr>
              <w:snapToGrid w:val="0"/>
              <w:rPr>
                <w:rFonts w:ascii="Times New Roman" w:hAnsi="Times New Roman" w:cs="Times New Roman"/>
                <w:sz w:val="16"/>
                <w:szCs w:val="16"/>
              </w:rPr>
            </w:pPr>
            <w:r>
              <w:rPr>
                <w:rFonts w:ascii="Times New Roman" w:hAnsi="Times New Roman" w:cs="Times New Roman"/>
                <w:sz w:val="16"/>
                <w:szCs w:val="16"/>
              </w:rPr>
              <w:t>3.规模化畜禽养殖场、养殖小区应有序完成畜禽粪便处理利用设施和污水收集处理设施配套建设，防止造成面源污染。</w:t>
            </w:r>
          </w:p>
          <w:p>
            <w:pPr>
              <w:snapToGrid w:val="0"/>
              <w:rPr>
                <w:rFonts w:ascii="Times New Roman" w:hAnsi="Times New Roman" w:cs="Times New Roman"/>
                <w:sz w:val="16"/>
                <w:szCs w:val="16"/>
              </w:rPr>
            </w:pPr>
            <w:r>
              <w:rPr>
                <w:rFonts w:ascii="Times New Roman" w:hAnsi="Times New Roman" w:cs="Times New Roman"/>
                <w:sz w:val="16"/>
                <w:szCs w:val="16"/>
              </w:rPr>
              <w:t>4.农业使用农作物病虫害绿色防控技术，科学种植，合理使用化肥农药，减少农业面源污染。</w:t>
            </w:r>
          </w:p>
        </w:tc>
        <w:tc>
          <w:tcPr>
            <w:tcW w:w="2126"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1.规范固体废物的处理措施，对工业企业产生的固体废物特别是危险废物应严格按照国家规定综合利用或妥善处置，严防二次污染。</w:t>
            </w:r>
          </w:p>
          <w:p>
            <w:pPr>
              <w:snapToGrid w:val="0"/>
              <w:rPr>
                <w:rFonts w:ascii="Times New Roman" w:hAnsi="Times New Roman" w:cs="Times New Roman"/>
                <w:sz w:val="16"/>
                <w:szCs w:val="16"/>
              </w:rPr>
            </w:pPr>
            <w:r>
              <w:rPr>
                <w:rFonts w:ascii="Times New Roman" w:hAnsi="Times New Roman" w:cs="Times New Roman"/>
                <w:sz w:val="16"/>
                <w:szCs w:val="16"/>
              </w:rPr>
              <w:t>2.建立健全环境风险事故防范措施和应急预案，严防环境安全事故发生。</w:t>
            </w:r>
          </w:p>
          <w:p>
            <w:pPr>
              <w:snapToGrid w:val="0"/>
              <w:rPr>
                <w:rFonts w:ascii="Times New Roman" w:hAnsi="Times New Roman" w:cs="Times New Roman"/>
                <w:sz w:val="16"/>
                <w:szCs w:val="16"/>
              </w:rPr>
            </w:pPr>
            <w:r>
              <w:rPr>
                <w:rFonts w:ascii="Times New Roman" w:hAnsi="Times New Roman" w:cs="Times New Roman"/>
                <w:sz w:val="16"/>
                <w:szCs w:val="16"/>
              </w:rPr>
              <w:t>3.严格落实环评制度的风险防控要求和安全距离，将各类开发建设活动的环境风险控制在可接受范围。</w:t>
            </w:r>
          </w:p>
          <w:p>
            <w:pPr>
              <w:snapToGrid w:val="0"/>
              <w:rPr>
                <w:rFonts w:ascii="Times New Roman" w:hAnsi="Times New Roman" w:cs="Times New Roman"/>
                <w:sz w:val="16"/>
                <w:szCs w:val="16"/>
              </w:rPr>
            </w:pPr>
            <w:r>
              <w:rPr>
                <w:rFonts w:ascii="Times New Roman" w:hAnsi="Times New Roman" w:cs="Times New Roman"/>
                <w:sz w:val="16"/>
                <w:szCs w:val="16"/>
              </w:rPr>
              <w:t>4.按照《中华人民共和国水污染防治法》等，加强饮用水源保护区风险预防和预警应急工作。</w:t>
            </w:r>
          </w:p>
        </w:tc>
        <w:tc>
          <w:tcPr>
            <w:tcW w:w="1337"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1.推广集中供能和清洁能源利用，实施热、电行业超低排放改造。</w:t>
            </w:r>
          </w:p>
          <w:p>
            <w:pPr>
              <w:snapToGrid w:val="0"/>
              <w:rPr>
                <w:rFonts w:ascii="Times New Roman" w:hAnsi="Times New Roman" w:cs="Times New Roman"/>
                <w:kern w:val="0"/>
                <w:sz w:val="16"/>
                <w:szCs w:val="16"/>
              </w:rPr>
            </w:pPr>
            <w:r>
              <w:rPr>
                <w:rFonts w:ascii="Times New Roman" w:hAnsi="Times New Roman" w:cs="Times New Roman"/>
                <w:sz w:val="16"/>
                <w:szCs w:val="16"/>
              </w:rPr>
              <w:t>2.</w:t>
            </w:r>
            <w:r>
              <w:rPr>
                <w:rFonts w:ascii="Times New Roman" w:hAnsi="Times New Roman" w:cs="Times New Roman"/>
                <w:kern w:val="0"/>
                <w:sz w:val="16"/>
                <w:szCs w:val="16"/>
              </w:rPr>
              <w:t>全面开展节水型社会建设，促进再生水利用。</w:t>
            </w:r>
          </w:p>
          <w:p>
            <w:pPr>
              <w:snapToGrid w:val="0"/>
              <w:rPr>
                <w:rFonts w:ascii="Times New Roman" w:hAnsi="Times New Roman" w:cs="Times New Roman"/>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7"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8</w:t>
            </w:r>
          </w:p>
        </w:tc>
        <w:tc>
          <w:tcPr>
            <w:tcW w:w="131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ZH37028520004</w:t>
            </w:r>
          </w:p>
        </w:tc>
        <w:tc>
          <w:tcPr>
            <w:tcW w:w="69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姜山镇</w:t>
            </w:r>
          </w:p>
        </w:tc>
        <w:tc>
          <w:tcPr>
            <w:tcW w:w="377"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山东省</w:t>
            </w:r>
          </w:p>
        </w:tc>
        <w:tc>
          <w:tcPr>
            <w:tcW w:w="429"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青岛市</w:t>
            </w:r>
          </w:p>
        </w:tc>
        <w:tc>
          <w:tcPr>
            <w:tcW w:w="432"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莱西市</w:t>
            </w:r>
          </w:p>
        </w:tc>
        <w:tc>
          <w:tcPr>
            <w:tcW w:w="697"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重点管控单元</w:t>
            </w:r>
          </w:p>
        </w:tc>
        <w:tc>
          <w:tcPr>
            <w:tcW w:w="914"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水环境工业源重点管控区、大气环境高污染排放区、大气环境受体敏感区</w:t>
            </w:r>
          </w:p>
        </w:tc>
        <w:tc>
          <w:tcPr>
            <w:tcW w:w="1815"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1.有序引导新能源汽车、高端装备制造业、纺织服装产业、新材料产业、生物医药等企业集聚发展。</w:t>
            </w:r>
          </w:p>
          <w:p>
            <w:pPr>
              <w:snapToGrid w:val="0"/>
              <w:jc w:val="left"/>
              <w:rPr>
                <w:rFonts w:ascii="Times New Roman" w:hAnsi="Times New Roman" w:cs="Times New Roman"/>
                <w:sz w:val="16"/>
                <w:szCs w:val="16"/>
              </w:rPr>
            </w:pPr>
            <w:r>
              <w:rPr>
                <w:rFonts w:ascii="Times New Roman" w:hAnsi="Times New Roman" w:cs="Times New Roman"/>
                <w:sz w:val="16"/>
                <w:szCs w:val="16"/>
              </w:rPr>
              <w:t>2.允许化工重点监控点发展化工，新建、扩建化工项目，原则上只能在公布地址的生产厂区进行。其他风险企业、涉重企业入园发展，化工重点监控企业可在生产厂区内实施新建、扩建和技术改造项目。</w:t>
            </w:r>
          </w:p>
        </w:tc>
        <w:tc>
          <w:tcPr>
            <w:tcW w:w="3430"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1.生活垃圾焚烧发电企业应确保各项污染防治设施的正常运行，采取高效废气污染控制措施，严格恶臭气体的无组织排放治理。防止污染地下水和土壤。</w:t>
            </w:r>
          </w:p>
          <w:p>
            <w:pPr>
              <w:snapToGrid w:val="0"/>
              <w:rPr>
                <w:rFonts w:ascii="Times New Roman" w:hAnsi="Times New Roman" w:cs="Times New Roman"/>
                <w:sz w:val="16"/>
                <w:szCs w:val="16"/>
              </w:rPr>
            </w:pPr>
            <w:r>
              <w:rPr>
                <w:rFonts w:ascii="Times New Roman" w:hAnsi="Times New Roman" w:cs="Times New Roman"/>
                <w:sz w:val="16"/>
                <w:szCs w:val="16"/>
              </w:rPr>
              <w:t>2.电镀、化工、印染等企业(有工业废水处理资质且出水达到国家标准的原料药制造企业除外)完善工业集聚区污水管网，对产生的高浓度重金属或难以生化降解废水，以及有关工业企业排放的强酸、强碱、高盐、高氟废水，进行处理，达标后排放。</w:t>
            </w:r>
          </w:p>
          <w:p>
            <w:pPr>
              <w:snapToGrid w:val="0"/>
              <w:rPr>
                <w:rFonts w:ascii="Times New Roman" w:hAnsi="Times New Roman" w:cs="Times New Roman"/>
                <w:sz w:val="16"/>
                <w:szCs w:val="16"/>
              </w:rPr>
            </w:pPr>
            <w:r>
              <w:rPr>
                <w:rFonts w:ascii="Times New Roman" w:hAnsi="Times New Roman" w:cs="Times New Roman"/>
                <w:sz w:val="16"/>
                <w:szCs w:val="16"/>
              </w:rPr>
              <w:t>3.对于化工园区、涉重金属的企业，推行“一企一管”，产生一类污染物的要在车间排放口达标。严格做好涉重企业及其所在园区污水处理设施监测、监管，确保在线监测设备正常运行，对园区内产生的危险废物严格按照相关法律法规进行监管、处置。做好重点区域防渗工作。</w:t>
            </w:r>
          </w:p>
          <w:p>
            <w:pPr>
              <w:snapToGrid w:val="0"/>
              <w:rPr>
                <w:rFonts w:ascii="Times New Roman" w:hAnsi="Times New Roman" w:cs="Times New Roman"/>
                <w:sz w:val="16"/>
                <w:szCs w:val="16"/>
              </w:rPr>
            </w:pPr>
            <w:r>
              <w:rPr>
                <w:rFonts w:ascii="Times New Roman" w:hAnsi="Times New Roman" w:cs="Times New Roman"/>
                <w:sz w:val="16"/>
                <w:szCs w:val="16"/>
              </w:rPr>
              <w:t>4.机械加工行业下料、机械加工、抛丸、打磨、喷砂、清理滚筒、热处理、化学预处理、电镀等环节设置废气有效收集治理设施。焊接环节根据作业点位数配备焊接烟尘净化器，或设置专门操作间并设置集气系统对焊接烟尘进行有效收集治理。</w:t>
            </w:r>
          </w:p>
          <w:p>
            <w:pPr>
              <w:snapToGrid w:val="0"/>
              <w:rPr>
                <w:rFonts w:ascii="Times New Roman" w:hAnsi="Times New Roman" w:cs="Times New Roman"/>
                <w:sz w:val="16"/>
                <w:szCs w:val="16"/>
              </w:rPr>
            </w:pPr>
            <w:r>
              <w:rPr>
                <w:rFonts w:ascii="Times New Roman" w:hAnsi="Times New Roman" w:cs="Times New Roman"/>
                <w:sz w:val="16"/>
                <w:szCs w:val="16"/>
              </w:rPr>
              <w:t>5.橡胶行业原料破碎、过筛、搅拌等工段产生的废气在除尘后需经恶臭污染物治理设施处理后外排。密炼、硫化工序产生的废气，宜在过滤除尘、化学洗涤预处理后，采用浓缩结合燃烧法等工艺进行处理。治污工艺宜采用喷淋降温+化学洗涤等预处理工艺，结合催化燃烧法、低温等离子、生物法等工艺进行处理。</w:t>
            </w:r>
          </w:p>
          <w:p>
            <w:pPr>
              <w:snapToGrid w:val="0"/>
              <w:rPr>
                <w:rFonts w:ascii="Times New Roman" w:hAnsi="Times New Roman" w:cs="Times New Roman"/>
                <w:sz w:val="16"/>
                <w:szCs w:val="16"/>
              </w:rPr>
            </w:pPr>
            <w:r>
              <w:rPr>
                <w:rFonts w:ascii="Times New Roman" w:hAnsi="Times New Roman" w:cs="Times New Roman"/>
                <w:sz w:val="16"/>
                <w:szCs w:val="16"/>
              </w:rPr>
              <w:t>6.企业炼胶工艺环节全流程产生的废气均应采取有效收集措施，宜采用下进风+上吸风方式。硫化产生的工艺废气宜采用设备内引风收集，开盖时宜采用上吸风方式收集，集气罩在不影响作业的前提下应尽可能靠近开盖位置，冷却工段产生的工艺废气宜采用侧吸风+下吸风方式进行收集。</w:t>
            </w:r>
          </w:p>
          <w:p>
            <w:pPr>
              <w:snapToGrid w:val="0"/>
              <w:rPr>
                <w:rFonts w:ascii="Times New Roman" w:hAnsi="Times New Roman" w:cs="Times New Roman"/>
                <w:sz w:val="16"/>
                <w:szCs w:val="16"/>
              </w:rPr>
            </w:pPr>
            <w:r>
              <w:rPr>
                <w:rFonts w:ascii="Times New Roman" w:hAnsi="Times New Roman" w:cs="Times New Roman"/>
                <w:sz w:val="16"/>
                <w:szCs w:val="16"/>
              </w:rPr>
              <w:t>7.涂装行业鼓励推进源头替代，引导使用低VOCs含量的涂料替代溶剂型引导使用低VOCs含量的涂料替代溶剂型涂料，从源头减少VOCs产生。推进使用先进生产工艺，鼓励企业采用自动化、智能化喷涂设备替代人工喷涂，减少使用空气喷涂技术。提高废气收集率。遵循“应收尽收、分质收集”的原则，科学设计废气收集系统，将无组织排放转变为有组织排放进行控制。涂料、稀释剂、清洗剂等原辅材料应密闭存储，调配、使用、回收等过程应采用密闭设备或在密闭空间内操作，采用密闭管道或密闭容器等输送。推进建设适宜高效的治污设施，合理选择治理技术，提高VOCs治理效率。</w:t>
            </w:r>
          </w:p>
        </w:tc>
        <w:tc>
          <w:tcPr>
            <w:tcW w:w="2126"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污水处理厂应采取措施安全处置污泥，保证处理处置后的污泥符合国家标准，对污泥的流向、用途、用量等进行跟踪、记录，并报告该区域排水主管部门、生态环境主管部门。禁止擅自倾倒、堆放、丢弃、遗撒城镇污水处理设施产生的污泥和处理后的污泥。</w:t>
            </w:r>
          </w:p>
          <w:p>
            <w:pPr>
              <w:snapToGrid w:val="0"/>
              <w:rPr>
                <w:rFonts w:ascii="Times New Roman" w:hAnsi="Times New Roman" w:cs="Times New Roman"/>
                <w:sz w:val="16"/>
                <w:szCs w:val="16"/>
              </w:rPr>
            </w:pPr>
            <w:r>
              <w:rPr>
                <w:rFonts w:ascii="Times New Roman" w:hAnsi="Times New Roman" w:cs="Times New Roman"/>
                <w:sz w:val="16"/>
                <w:szCs w:val="16"/>
              </w:rPr>
              <w:t>2.产生、利用或处置固体废物（含危险废物）的企业，规范固体废物的处理措施，在贮存、转移、利用、处置固体废物过程中，应配套防扬散、防流失、防渗漏及其他防止污染环境的措施。</w:t>
            </w:r>
          </w:p>
          <w:p>
            <w:pPr>
              <w:snapToGrid w:val="0"/>
              <w:rPr>
                <w:rFonts w:ascii="Times New Roman" w:hAnsi="Times New Roman" w:cs="Times New Roman"/>
                <w:sz w:val="16"/>
                <w:szCs w:val="16"/>
              </w:rPr>
            </w:pPr>
            <w:r>
              <w:rPr>
                <w:rFonts w:ascii="Times New Roman" w:hAnsi="Times New Roman" w:cs="Times New Roman"/>
                <w:sz w:val="16"/>
                <w:szCs w:val="16"/>
              </w:rPr>
              <w:t>3.做好垃圾填埋场防渗漏，防止污染地下水和土壤。</w:t>
            </w:r>
          </w:p>
          <w:p>
            <w:pPr>
              <w:snapToGrid w:val="0"/>
              <w:rPr>
                <w:rFonts w:ascii="Times New Roman" w:hAnsi="Times New Roman" w:cs="Times New Roman"/>
                <w:sz w:val="16"/>
                <w:szCs w:val="16"/>
              </w:rPr>
            </w:pPr>
            <w:r>
              <w:rPr>
                <w:rFonts w:ascii="Times New Roman" w:hAnsi="Times New Roman" w:cs="Times New Roman"/>
                <w:sz w:val="16"/>
                <w:szCs w:val="16"/>
              </w:rPr>
              <w:t>4.涉酸、涉重等土壤、地下水高污染风险企业的车间、危废间、污水处理站、储罐等重点管控区进行重点防渗。</w:t>
            </w:r>
          </w:p>
          <w:p>
            <w:pPr>
              <w:snapToGrid w:val="0"/>
              <w:rPr>
                <w:rFonts w:ascii="Times New Roman" w:hAnsi="Times New Roman" w:cs="Times New Roman"/>
                <w:sz w:val="16"/>
                <w:szCs w:val="16"/>
              </w:rPr>
            </w:pPr>
            <w:r>
              <w:rPr>
                <w:rFonts w:ascii="Times New Roman" w:hAnsi="Times New Roman" w:cs="Times New Roman"/>
                <w:sz w:val="16"/>
                <w:szCs w:val="16"/>
              </w:rPr>
              <w:t>5.生活垃圾焚烧发电企业应协助当地政府做好相关规划控制工作，防护距离范围内不得新建学校、医院、居民区等环境敏感点。做好各项设施运行维护，消除风险隐患，减少事故排放。</w:t>
            </w:r>
          </w:p>
          <w:p>
            <w:pPr>
              <w:snapToGrid w:val="0"/>
              <w:rPr>
                <w:rFonts w:ascii="Times New Roman" w:hAnsi="Times New Roman" w:cs="Times New Roman"/>
                <w:sz w:val="16"/>
                <w:szCs w:val="16"/>
              </w:rPr>
            </w:pPr>
            <w:r>
              <w:rPr>
                <w:rFonts w:ascii="Times New Roman" w:hAnsi="Times New Roman" w:cs="Times New Roman"/>
                <w:sz w:val="16"/>
                <w:szCs w:val="16"/>
              </w:rPr>
              <w:t>6.建立健全环境风险事故防范措施和应急预案，严防环境安全事故发生。</w:t>
            </w:r>
          </w:p>
        </w:tc>
        <w:tc>
          <w:tcPr>
            <w:tcW w:w="1337"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1.推广集中供能和清洁能源利用，实施热、电行业超低排放改造。</w:t>
            </w:r>
          </w:p>
          <w:p>
            <w:pPr>
              <w:snapToGrid w:val="0"/>
              <w:rPr>
                <w:rFonts w:ascii="Times New Roman" w:hAnsi="Times New Roman" w:cs="Times New Roman"/>
                <w:sz w:val="16"/>
                <w:szCs w:val="16"/>
              </w:rPr>
            </w:pPr>
            <w:r>
              <w:rPr>
                <w:rFonts w:ascii="Times New Roman" w:hAnsi="Times New Roman" w:cs="Times New Roman"/>
                <w:sz w:val="16"/>
                <w:szCs w:val="16"/>
              </w:rPr>
              <w:t>2.加快漏损管网改造，减少管网漏损率、普及节水型器具。</w:t>
            </w:r>
          </w:p>
          <w:p>
            <w:pPr>
              <w:snapToGrid w:val="0"/>
              <w:rPr>
                <w:rFonts w:ascii="Times New Roman" w:hAnsi="Times New Roman" w:cs="Times New Roman"/>
                <w:kern w:val="0"/>
                <w:sz w:val="16"/>
                <w:szCs w:val="16"/>
              </w:rPr>
            </w:pPr>
            <w:r>
              <w:rPr>
                <w:rFonts w:ascii="Times New Roman" w:hAnsi="Times New Roman" w:cs="Times New Roman"/>
                <w:sz w:val="16"/>
                <w:szCs w:val="16"/>
              </w:rPr>
              <w:t>3.</w:t>
            </w:r>
            <w:r>
              <w:rPr>
                <w:rFonts w:ascii="Times New Roman" w:hAnsi="Times New Roman" w:cs="Times New Roman"/>
                <w:kern w:val="0"/>
                <w:sz w:val="16"/>
                <w:szCs w:val="16"/>
              </w:rPr>
              <w:t>全面开展节水型社会建设，促进再生水利用。</w:t>
            </w:r>
          </w:p>
          <w:p>
            <w:pPr>
              <w:snapToGrid w:val="0"/>
              <w:rPr>
                <w:rFonts w:ascii="Times New Roman" w:hAnsi="Times New Roman" w:cs="Times New Roman"/>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7"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9</w:t>
            </w:r>
          </w:p>
        </w:tc>
        <w:tc>
          <w:tcPr>
            <w:tcW w:w="131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ZH37028520005</w:t>
            </w:r>
          </w:p>
        </w:tc>
        <w:tc>
          <w:tcPr>
            <w:tcW w:w="69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水集街道（2）</w:t>
            </w:r>
          </w:p>
        </w:tc>
        <w:tc>
          <w:tcPr>
            <w:tcW w:w="377"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山东省</w:t>
            </w:r>
          </w:p>
        </w:tc>
        <w:tc>
          <w:tcPr>
            <w:tcW w:w="429"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青岛市</w:t>
            </w:r>
          </w:p>
        </w:tc>
        <w:tc>
          <w:tcPr>
            <w:tcW w:w="432"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莱西市</w:t>
            </w:r>
          </w:p>
        </w:tc>
        <w:tc>
          <w:tcPr>
            <w:tcW w:w="697"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重点管控单元</w:t>
            </w:r>
          </w:p>
        </w:tc>
        <w:tc>
          <w:tcPr>
            <w:tcW w:w="914"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水环境城镇生活源重点管控区、大气环境弱扩散敏感区、产芝水库、大气环境受体敏感区</w:t>
            </w:r>
          </w:p>
        </w:tc>
        <w:tc>
          <w:tcPr>
            <w:tcW w:w="1815"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1.引导工业企业入驻工业园区。新建有污染物排放的工业项目，除在安全生产等方面有特殊要求的以外，应当进入工业园区或者工业集聚区。</w:t>
            </w:r>
          </w:p>
          <w:p>
            <w:pPr>
              <w:snapToGrid w:val="0"/>
              <w:jc w:val="left"/>
              <w:rPr>
                <w:rFonts w:ascii="Times New Roman" w:hAnsi="Times New Roman" w:cs="Times New Roman"/>
                <w:sz w:val="16"/>
                <w:szCs w:val="16"/>
              </w:rPr>
            </w:pPr>
            <w:r>
              <w:rPr>
                <w:rFonts w:ascii="Times New Roman" w:hAnsi="Times New Roman" w:cs="Times New Roman"/>
                <w:sz w:val="16"/>
                <w:szCs w:val="16"/>
              </w:rPr>
              <w:t>2.严格涉氟准入。</w:t>
            </w:r>
          </w:p>
          <w:p>
            <w:pPr>
              <w:snapToGrid w:val="0"/>
              <w:jc w:val="left"/>
              <w:rPr>
                <w:rFonts w:ascii="Times New Roman" w:hAnsi="Times New Roman" w:cs="Times New Roman"/>
                <w:sz w:val="16"/>
                <w:szCs w:val="16"/>
              </w:rPr>
            </w:pPr>
            <w:r>
              <w:rPr>
                <w:rFonts w:ascii="Times New Roman" w:hAnsi="Times New Roman" w:cs="Times New Roman"/>
                <w:sz w:val="16"/>
                <w:szCs w:val="16"/>
              </w:rPr>
              <w:t>3.有序引导纺织服装产业、食品加工等企业集聚发展。</w:t>
            </w:r>
          </w:p>
          <w:p>
            <w:pPr>
              <w:snapToGrid w:val="0"/>
              <w:jc w:val="left"/>
              <w:rPr>
                <w:rFonts w:ascii="Times New Roman" w:hAnsi="Times New Roman" w:cs="Times New Roman"/>
                <w:sz w:val="16"/>
                <w:szCs w:val="16"/>
              </w:rPr>
            </w:pPr>
            <w:r>
              <w:rPr>
                <w:rFonts w:ascii="Times New Roman" w:hAnsi="Times New Roman" w:cs="Times New Roman"/>
                <w:sz w:val="16"/>
                <w:szCs w:val="16"/>
              </w:rPr>
              <w:t>4.允许化工重点监控点发展化工，新建、扩建化工项目，原则上只能在公布地址的生产厂区进行。</w:t>
            </w:r>
          </w:p>
          <w:p>
            <w:pPr>
              <w:snapToGrid w:val="0"/>
              <w:jc w:val="left"/>
              <w:rPr>
                <w:rFonts w:ascii="Times New Roman" w:hAnsi="Times New Roman" w:cs="Times New Roman"/>
                <w:sz w:val="16"/>
                <w:szCs w:val="16"/>
              </w:rPr>
            </w:pPr>
            <w:r>
              <w:rPr>
                <w:rFonts w:ascii="Times New Roman" w:hAnsi="Times New Roman" w:cs="Times New Roman"/>
                <w:sz w:val="16"/>
                <w:szCs w:val="16"/>
              </w:rPr>
              <w:t>5. 饮用水水源保护区按照《中华人民共和国水污染防治法》《山东省水污染防治条例》《</w:t>
            </w:r>
            <w:r>
              <w:rPr>
                <w:rFonts w:hint="eastAsia" w:ascii="Times New Roman" w:hAnsi="Times New Roman" w:cs="Times New Roman"/>
                <w:sz w:val="16"/>
                <w:szCs w:val="16"/>
              </w:rPr>
              <w:t>青岛市饮用水水源保护条例</w:t>
            </w:r>
            <w:r>
              <w:rPr>
                <w:rFonts w:ascii="Times New Roman" w:hAnsi="Times New Roman" w:cs="Times New Roman"/>
                <w:sz w:val="16"/>
                <w:szCs w:val="16"/>
              </w:rPr>
              <w:t>》及相关法律法规实施保护管理。</w:t>
            </w:r>
          </w:p>
          <w:p>
            <w:pPr>
              <w:snapToGrid w:val="0"/>
              <w:jc w:val="left"/>
              <w:rPr>
                <w:rFonts w:ascii="Times New Roman" w:hAnsi="Times New Roman" w:cs="Times New Roman"/>
                <w:sz w:val="16"/>
                <w:szCs w:val="16"/>
              </w:rPr>
            </w:pPr>
          </w:p>
        </w:tc>
        <w:tc>
          <w:tcPr>
            <w:tcW w:w="3430"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电镀、化工等工业企业(有工业废水处理资质且出水达到国家标准的原料药制造企业除外)排放的高浓度重金属或难以生化降解废水，以及有关工业企业排放的强酸、强碱、高盐、高氟废水，不得接入城镇污水处理厂。</w:t>
            </w:r>
          </w:p>
          <w:p>
            <w:pPr>
              <w:snapToGrid w:val="0"/>
              <w:rPr>
                <w:rFonts w:ascii="Times New Roman" w:hAnsi="Times New Roman" w:cs="Times New Roman"/>
                <w:sz w:val="16"/>
                <w:szCs w:val="16"/>
              </w:rPr>
            </w:pPr>
            <w:r>
              <w:rPr>
                <w:rFonts w:ascii="Times New Roman" w:hAnsi="Times New Roman" w:cs="Times New Roman"/>
                <w:sz w:val="16"/>
                <w:szCs w:val="16"/>
              </w:rPr>
              <w:t>2.做好生活垃圾和工业固体废物分类收集、转运、综合利用和无害化处理。推行清洁生产，减少固体废物产生量。提升固体废物的资源化综合利用率。</w:t>
            </w:r>
          </w:p>
          <w:p>
            <w:pPr>
              <w:snapToGrid w:val="0"/>
              <w:rPr>
                <w:rFonts w:ascii="Times New Roman" w:hAnsi="Times New Roman" w:cs="Times New Roman"/>
                <w:sz w:val="16"/>
                <w:szCs w:val="16"/>
              </w:rPr>
            </w:pPr>
            <w:r>
              <w:rPr>
                <w:rFonts w:ascii="Times New Roman" w:hAnsi="Times New Roman" w:cs="Times New Roman"/>
                <w:sz w:val="16"/>
                <w:szCs w:val="16"/>
              </w:rPr>
              <w:t>3.规模化畜禽养殖场、养殖小区应有序完成畜禽粪便处理利用设施和污水收集处理设施配套建设，防止造成面源污染。</w:t>
            </w:r>
          </w:p>
          <w:p>
            <w:pPr>
              <w:snapToGrid w:val="0"/>
              <w:rPr>
                <w:rFonts w:ascii="Times New Roman" w:hAnsi="Times New Roman" w:cs="Times New Roman"/>
                <w:sz w:val="16"/>
                <w:szCs w:val="16"/>
              </w:rPr>
            </w:pPr>
            <w:r>
              <w:rPr>
                <w:rFonts w:ascii="Times New Roman" w:hAnsi="Times New Roman" w:cs="Times New Roman"/>
                <w:sz w:val="16"/>
                <w:szCs w:val="16"/>
              </w:rPr>
              <w:t>4.食品加工行业加强臭气异味的处理和防治；安装净化装置或者采取其他措施，防止排放恶臭气体；含盐废水处理，做到达标排放。</w:t>
            </w:r>
          </w:p>
          <w:p>
            <w:pPr>
              <w:snapToGrid w:val="0"/>
              <w:rPr>
                <w:rFonts w:ascii="Times New Roman" w:hAnsi="Times New Roman" w:cs="Times New Roman"/>
                <w:sz w:val="16"/>
                <w:szCs w:val="16"/>
              </w:rPr>
            </w:pPr>
            <w:r>
              <w:rPr>
                <w:rFonts w:ascii="Times New Roman" w:hAnsi="Times New Roman" w:cs="Times New Roman"/>
                <w:sz w:val="16"/>
                <w:szCs w:val="16"/>
              </w:rPr>
              <w:t>5.机械加工业下料、机械加工、抛丸、打磨、喷砂、清理滚筒、热处理、化学预处理、电镀等环节设置废气有效收集治理设施；焊接环节根据作业点位数配备焊接烟尘净化器，或设置专门操作间并设置集气系统对焊接烟尘进行有效收集治理。</w:t>
            </w:r>
          </w:p>
          <w:p>
            <w:pPr>
              <w:snapToGrid w:val="0"/>
              <w:jc w:val="left"/>
              <w:rPr>
                <w:rFonts w:ascii="Times New Roman" w:hAnsi="Times New Roman" w:cs="Times New Roman"/>
                <w:sz w:val="16"/>
                <w:szCs w:val="16"/>
              </w:rPr>
            </w:pPr>
            <w:r>
              <w:rPr>
                <w:rFonts w:ascii="Times New Roman" w:hAnsi="Times New Roman" w:cs="Times New Roman"/>
                <w:sz w:val="16"/>
                <w:szCs w:val="16"/>
              </w:rPr>
              <w:t>6.优先采用清洁生产技术，禁止选用列入《产业结构调整指导目录》限制类、淘汰类的落后生产工艺和设备，提高资源、能源利用率，按照《印染行业废水污染防治技术政策》《纺织工业环境保护设施设计标准》《纺织染整工业废水治理工程技术规范》等有关规定，减少污染物的产生和排放。</w:t>
            </w:r>
          </w:p>
          <w:p>
            <w:pPr>
              <w:snapToGrid w:val="0"/>
              <w:rPr>
                <w:rFonts w:ascii="Times New Roman" w:hAnsi="Times New Roman" w:cs="Times New Roman"/>
                <w:sz w:val="16"/>
                <w:szCs w:val="16"/>
              </w:rPr>
            </w:pPr>
            <w:r>
              <w:rPr>
                <w:rFonts w:ascii="Times New Roman" w:hAnsi="Times New Roman" w:cs="Times New Roman"/>
                <w:sz w:val="16"/>
                <w:szCs w:val="16"/>
              </w:rPr>
              <w:t>7.涂装行业鼓励推进源头替代，引导使用低VOCs含量的涂料替代溶剂型引导使用低VOCs含量的涂料替代溶剂型涂料，从源头减少VOCs产生。推进使用先进生产工艺，鼓励企业采用自动化、智能化喷涂设备替代人工喷涂，减少使用空气喷涂技术。提高废气收集率。遵循“应收尽收、分质收集”的原则，科学设计废气收集系统，将无组织排放转变为有组织排放进行控制。涂料、稀释剂、清洗剂等原辅材料应密闭存储，调配、使用、回收等过程应采用密闭设备或在密闭空间内操作，采用密闭管道或密闭容器等输送。推进建设适宜高效的治污设施，合理选择治理技术，提高VOCs治理效率。</w:t>
            </w:r>
          </w:p>
        </w:tc>
        <w:tc>
          <w:tcPr>
            <w:tcW w:w="2126"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1.规范固体废物的处理措施，对工业企业产生的固体废物特别是危险废物应严格按照国家规定综合利用或妥善处置，严防二次污染。</w:t>
            </w:r>
          </w:p>
          <w:p>
            <w:pPr>
              <w:snapToGrid w:val="0"/>
              <w:rPr>
                <w:rFonts w:ascii="Times New Roman" w:hAnsi="Times New Roman" w:cs="Times New Roman"/>
                <w:sz w:val="16"/>
                <w:szCs w:val="16"/>
              </w:rPr>
            </w:pPr>
            <w:r>
              <w:rPr>
                <w:rFonts w:ascii="Times New Roman" w:hAnsi="Times New Roman" w:cs="Times New Roman"/>
                <w:sz w:val="16"/>
                <w:szCs w:val="16"/>
              </w:rPr>
              <w:t>2.建立健全环境风险事故防范措施和应急预案，严防环境安全事故发生。</w:t>
            </w:r>
          </w:p>
          <w:p>
            <w:pPr>
              <w:snapToGrid w:val="0"/>
              <w:rPr>
                <w:rFonts w:ascii="Times New Roman" w:hAnsi="Times New Roman" w:cs="Times New Roman"/>
                <w:sz w:val="16"/>
                <w:szCs w:val="16"/>
              </w:rPr>
            </w:pPr>
            <w:r>
              <w:rPr>
                <w:rFonts w:ascii="Times New Roman" w:hAnsi="Times New Roman" w:cs="Times New Roman"/>
                <w:sz w:val="16"/>
                <w:szCs w:val="16"/>
              </w:rPr>
              <w:t>3.化工企业地下水污染高风险地区应当采取防渗漏等措施。</w:t>
            </w:r>
          </w:p>
        </w:tc>
        <w:tc>
          <w:tcPr>
            <w:tcW w:w="1337"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1.推广集中供能和清洁能源利用，实施热、电行业超低排放改造。</w:t>
            </w:r>
          </w:p>
          <w:p>
            <w:pPr>
              <w:snapToGrid w:val="0"/>
              <w:rPr>
                <w:rFonts w:ascii="Times New Roman" w:hAnsi="Times New Roman" w:cs="Times New Roman"/>
                <w:sz w:val="16"/>
                <w:szCs w:val="16"/>
              </w:rPr>
            </w:pPr>
            <w:r>
              <w:rPr>
                <w:rFonts w:ascii="Times New Roman" w:hAnsi="Times New Roman" w:cs="Times New Roman"/>
                <w:sz w:val="16"/>
                <w:szCs w:val="16"/>
              </w:rPr>
              <w:t>2.加快漏损管网改造，减少管网漏损率、普及节水型器具。</w:t>
            </w:r>
          </w:p>
          <w:p>
            <w:pPr>
              <w:snapToGrid w:val="0"/>
              <w:rPr>
                <w:rFonts w:ascii="Times New Roman" w:hAnsi="Times New Roman" w:cs="Times New Roman"/>
                <w:kern w:val="0"/>
                <w:sz w:val="16"/>
                <w:szCs w:val="16"/>
              </w:rPr>
            </w:pPr>
            <w:r>
              <w:rPr>
                <w:rFonts w:ascii="Times New Roman" w:hAnsi="Times New Roman" w:cs="Times New Roman"/>
                <w:sz w:val="16"/>
                <w:szCs w:val="16"/>
              </w:rPr>
              <w:t>3.</w:t>
            </w:r>
            <w:r>
              <w:rPr>
                <w:rFonts w:ascii="Times New Roman" w:hAnsi="Times New Roman" w:cs="Times New Roman"/>
                <w:kern w:val="0"/>
                <w:sz w:val="16"/>
                <w:szCs w:val="16"/>
              </w:rPr>
              <w:t>全面开展节水型社会建设，促进再生水利用。</w:t>
            </w:r>
          </w:p>
          <w:p>
            <w:pPr>
              <w:snapToGrid w:val="0"/>
              <w:rPr>
                <w:rFonts w:ascii="Times New Roman" w:hAnsi="Times New Roman" w:cs="Times New Roman"/>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7"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10</w:t>
            </w:r>
          </w:p>
        </w:tc>
        <w:tc>
          <w:tcPr>
            <w:tcW w:w="131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ZH37028520001</w:t>
            </w:r>
          </w:p>
        </w:tc>
        <w:tc>
          <w:tcPr>
            <w:tcW w:w="69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望城街道</w:t>
            </w:r>
          </w:p>
        </w:tc>
        <w:tc>
          <w:tcPr>
            <w:tcW w:w="377"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山东省</w:t>
            </w:r>
          </w:p>
        </w:tc>
        <w:tc>
          <w:tcPr>
            <w:tcW w:w="429"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青岛市</w:t>
            </w:r>
          </w:p>
        </w:tc>
        <w:tc>
          <w:tcPr>
            <w:tcW w:w="432"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莱西市</w:t>
            </w:r>
          </w:p>
        </w:tc>
        <w:tc>
          <w:tcPr>
            <w:tcW w:w="697"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重点管控单元</w:t>
            </w:r>
          </w:p>
        </w:tc>
        <w:tc>
          <w:tcPr>
            <w:tcW w:w="914"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水环境城镇生活源重点管控区、大气环境布局敏感区、大气环境受体敏感区</w:t>
            </w:r>
          </w:p>
        </w:tc>
        <w:tc>
          <w:tcPr>
            <w:tcW w:w="1815"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1.引导工业企业入驻工业园区。新建有污染物排放的工业项目，除在安全生产等方面有特殊要求的以外，应当进入工业园区或者工业集聚区。</w:t>
            </w:r>
          </w:p>
          <w:p>
            <w:pPr>
              <w:snapToGrid w:val="0"/>
              <w:jc w:val="left"/>
              <w:rPr>
                <w:rFonts w:ascii="Times New Roman" w:hAnsi="Times New Roman" w:cs="Times New Roman"/>
                <w:sz w:val="16"/>
                <w:szCs w:val="16"/>
              </w:rPr>
            </w:pPr>
            <w:r>
              <w:rPr>
                <w:rFonts w:ascii="Times New Roman" w:hAnsi="Times New Roman" w:cs="Times New Roman"/>
                <w:sz w:val="16"/>
                <w:szCs w:val="16"/>
              </w:rPr>
              <w:t>2.严格涉氟废水排放企业准入。</w:t>
            </w:r>
          </w:p>
          <w:p>
            <w:pPr>
              <w:snapToGrid w:val="0"/>
              <w:jc w:val="left"/>
              <w:rPr>
                <w:rFonts w:ascii="Times New Roman" w:hAnsi="Times New Roman" w:cs="Times New Roman"/>
                <w:sz w:val="16"/>
                <w:szCs w:val="16"/>
              </w:rPr>
            </w:pPr>
          </w:p>
        </w:tc>
        <w:tc>
          <w:tcPr>
            <w:tcW w:w="3430"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机械加工行业下料、机械加工、抛丸、打磨、喷砂、清理滚筒、热处理、化学预处理等环节设置废气有效收集治理设施。焊接环节根据作业点位数配备焊接烟尘净化器，或设置专门操作间并设置集气系统对焊接烟尘进行有效收集治理。</w:t>
            </w:r>
          </w:p>
          <w:p>
            <w:pPr>
              <w:snapToGrid w:val="0"/>
              <w:rPr>
                <w:rFonts w:ascii="Times New Roman" w:hAnsi="Times New Roman" w:cs="Times New Roman"/>
                <w:sz w:val="16"/>
                <w:szCs w:val="16"/>
              </w:rPr>
            </w:pPr>
            <w:r>
              <w:rPr>
                <w:rFonts w:ascii="Times New Roman" w:hAnsi="Times New Roman" w:cs="Times New Roman"/>
                <w:sz w:val="16"/>
                <w:szCs w:val="16"/>
              </w:rPr>
              <w:t>2.表面涂装行业鼓励推进源头替代，引导使用低VOCs含量的涂料替代溶剂型引导使用低VOCs含量的涂料替代溶剂型涂料，从源头减少VOCs产生。推进使用先进生产工艺，鼓励企业采用自动化、智能化喷涂设备替代人工喷涂，减少使用空气喷涂技术。提高废气收集率。遵循“应收尽收、分质收集”的原则，科学设计废气收集系统，将无组织排放转变为有组织排放进行控制。涂料、稀释剂、清洗剂等原辅材料应密闭存储，调配、使用、回收等过程应采用密闭设备或在密闭空间内操作，采用密闭管道或密闭容器等输送。推进建设适宜高效的治污设施，合理选择治理技术，提高VOCs治理效率。</w:t>
            </w:r>
          </w:p>
          <w:p>
            <w:pPr>
              <w:snapToGrid w:val="0"/>
              <w:rPr>
                <w:rFonts w:ascii="Times New Roman" w:hAnsi="Times New Roman" w:cs="Times New Roman"/>
                <w:sz w:val="16"/>
                <w:szCs w:val="16"/>
              </w:rPr>
            </w:pPr>
            <w:r>
              <w:rPr>
                <w:rFonts w:ascii="Times New Roman" w:hAnsi="Times New Roman" w:cs="Times New Roman"/>
                <w:sz w:val="16"/>
                <w:szCs w:val="16"/>
              </w:rPr>
              <w:t>3.建材行业加强物料运输、装卸、储存、输送、生产等各环节无组织排放管控；矿石料场设置防风抑尘网或封闭；石子、页岩、煤矸石、煤、粘土、矿渣、石膏、炉渣等封闭储存；熟料、粉煤灰、矿粉和除尘灰等密闭储存；石子、页岩、煤等物料破碎、筛分、搅拌、粉磨等设备采取密闭措施，并配备有效集尘除尘设施；袋装水泥包装下料口、装车点位和散装水泥装车配备有效集尘除尘设施。</w:t>
            </w:r>
          </w:p>
          <w:p>
            <w:pPr>
              <w:snapToGrid w:val="0"/>
              <w:rPr>
                <w:rFonts w:ascii="Times New Roman" w:hAnsi="Times New Roman" w:cs="Times New Roman"/>
                <w:sz w:val="16"/>
                <w:szCs w:val="16"/>
              </w:rPr>
            </w:pPr>
            <w:r>
              <w:rPr>
                <w:rFonts w:ascii="Times New Roman" w:hAnsi="Times New Roman" w:cs="Times New Roman"/>
                <w:sz w:val="16"/>
                <w:szCs w:val="16"/>
              </w:rPr>
              <w:t>4.推进城市生活污水收集处理设施建设、提标改造，加快雨污分流改造和老城区管网改造，逐步取消临时截污措施，加快推进再生水循环利用。</w:t>
            </w:r>
          </w:p>
        </w:tc>
        <w:tc>
          <w:tcPr>
            <w:tcW w:w="2126"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1.规范固体废物的处理措施，对工业企业产生的固体废物特别是危险废物应严格按照国家规定综合利用或妥善处置，严防二次污染。</w:t>
            </w:r>
          </w:p>
          <w:p>
            <w:pPr>
              <w:snapToGrid w:val="0"/>
              <w:rPr>
                <w:rFonts w:ascii="Times New Roman" w:hAnsi="Times New Roman" w:cs="Times New Roman"/>
                <w:sz w:val="16"/>
                <w:szCs w:val="16"/>
              </w:rPr>
            </w:pPr>
            <w:r>
              <w:rPr>
                <w:rFonts w:ascii="Times New Roman" w:hAnsi="Times New Roman" w:cs="Times New Roman"/>
                <w:sz w:val="16"/>
                <w:szCs w:val="16"/>
              </w:rPr>
              <w:t>2.建立健全环境风险事故防范措施和应急预案，严防环境安全事故发生。</w:t>
            </w:r>
          </w:p>
          <w:p>
            <w:pPr>
              <w:snapToGrid w:val="0"/>
              <w:rPr>
                <w:rFonts w:ascii="Times New Roman" w:hAnsi="Times New Roman" w:cs="Times New Roman"/>
                <w:sz w:val="16"/>
                <w:szCs w:val="16"/>
              </w:rPr>
            </w:pPr>
            <w:r>
              <w:rPr>
                <w:rFonts w:ascii="Times New Roman" w:hAnsi="Times New Roman" w:cs="Times New Roman"/>
                <w:sz w:val="16"/>
                <w:szCs w:val="16"/>
              </w:rPr>
              <w:t>3.按照《中华人民共和国水污染防治法》等，加强饮用水源保护区风险预防和预警应急工作。</w:t>
            </w:r>
          </w:p>
        </w:tc>
        <w:tc>
          <w:tcPr>
            <w:tcW w:w="1337"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1.推广集中供能和清洁能源利用，实施热、电行业超低排放改造。</w:t>
            </w:r>
          </w:p>
          <w:p>
            <w:pPr>
              <w:snapToGrid w:val="0"/>
              <w:rPr>
                <w:rFonts w:ascii="Times New Roman" w:hAnsi="Times New Roman" w:cs="Times New Roman"/>
                <w:sz w:val="16"/>
                <w:szCs w:val="16"/>
              </w:rPr>
            </w:pPr>
            <w:r>
              <w:rPr>
                <w:rFonts w:ascii="Times New Roman" w:hAnsi="Times New Roman" w:cs="Times New Roman"/>
                <w:sz w:val="16"/>
                <w:szCs w:val="16"/>
              </w:rPr>
              <w:t>2.加快漏损管网改造，减少管网漏损率、普及节水型器具。</w:t>
            </w:r>
          </w:p>
          <w:p>
            <w:pPr>
              <w:snapToGrid w:val="0"/>
              <w:rPr>
                <w:rFonts w:ascii="Times New Roman" w:hAnsi="Times New Roman" w:cs="Times New Roman"/>
                <w:kern w:val="0"/>
                <w:sz w:val="16"/>
                <w:szCs w:val="16"/>
              </w:rPr>
            </w:pPr>
            <w:r>
              <w:rPr>
                <w:rFonts w:ascii="Times New Roman" w:hAnsi="Times New Roman" w:cs="Times New Roman"/>
                <w:sz w:val="16"/>
                <w:szCs w:val="16"/>
              </w:rPr>
              <w:t>3.</w:t>
            </w:r>
            <w:r>
              <w:rPr>
                <w:rFonts w:ascii="Times New Roman" w:hAnsi="Times New Roman" w:cs="Times New Roman"/>
                <w:kern w:val="0"/>
                <w:sz w:val="16"/>
                <w:szCs w:val="16"/>
              </w:rPr>
              <w:t>全面开展节水型社会建设，促进再生水利用。</w:t>
            </w:r>
          </w:p>
          <w:p>
            <w:pPr>
              <w:snapToGrid w:val="0"/>
              <w:rPr>
                <w:rFonts w:ascii="Times New Roman" w:hAnsi="Times New Roman" w:cs="Times New Roman"/>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7"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11</w:t>
            </w:r>
          </w:p>
        </w:tc>
        <w:tc>
          <w:tcPr>
            <w:tcW w:w="131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ZH37028520003</w:t>
            </w:r>
          </w:p>
        </w:tc>
        <w:tc>
          <w:tcPr>
            <w:tcW w:w="69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望城街道</w:t>
            </w:r>
            <w:r>
              <w:rPr>
                <w:rFonts w:hint="eastAsia" w:ascii="Times New Roman" w:hAnsi="Times New Roman" w:cs="Times New Roman"/>
                <w:sz w:val="16"/>
                <w:szCs w:val="16"/>
                <w:lang w:eastAsia="zh-CN"/>
              </w:rPr>
              <w:t>（</w:t>
            </w:r>
            <w:r>
              <w:rPr>
                <w:rFonts w:hint="eastAsia" w:ascii="Times New Roman" w:hAnsi="Times New Roman" w:cs="Times New Roman"/>
                <w:sz w:val="16"/>
                <w:szCs w:val="16"/>
                <w:lang w:val="en-US" w:eastAsia="zh-CN"/>
              </w:rPr>
              <w:t>2</w:t>
            </w:r>
            <w:r>
              <w:rPr>
                <w:rFonts w:hint="eastAsia" w:ascii="Times New Roman" w:hAnsi="Times New Roman" w:cs="Times New Roman"/>
                <w:sz w:val="16"/>
                <w:szCs w:val="16"/>
                <w:lang w:eastAsia="zh-CN"/>
              </w:rPr>
              <w:t>）</w:t>
            </w:r>
          </w:p>
        </w:tc>
        <w:tc>
          <w:tcPr>
            <w:tcW w:w="377"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山东省</w:t>
            </w:r>
          </w:p>
        </w:tc>
        <w:tc>
          <w:tcPr>
            <w:tcW w:w="429"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青岛市</w:t>
            </w:r>
          </w:p>
        </w:tc>
        <w:tc>
          <w:tcPr>
            <w:tcW w:w="432"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莱西市</w:t>
            </w:r>
          </w:p>
        </w:tc>
        <w:tc>
          <w:tcPr>
            <w:tcW w:w="697"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重点管控单元</w:t>
            </w:r>
          </w:p>
        </w:tc>
        <w:tc>
          <w:tcPr>
            <w:tcW w:w="914"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水环境工业源重点管控区、大气环境高污染排放区、大气环境受体敏感区</w:t>
            </w:r>
          </w:p>
        </w:tc>
        <w:tc>
          <w:tcPr>
            <w:tcW w:w="1815"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1.引导工业企业入驻工业园区。新建有污染物排放的工业项目，除在安全生产等方面有特殊要求的以外，应当进入工业园区或者工业集聚区。</w:t>
            </w:r>
          </w:p>
        </w:tc>
        <w:tc>
          <w:tcPr>
            <w:tcW w:w="3430"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机械加工行业下料、机械加工、抛丸、打磨、喷砂、清理滚筒、热处理、化学预处理、电镀等环节设置废气有效收集治理设施。焊接环节根据作业点位数配备焊接烟尘净化器，或设置专门操作间并设置集气系统对焊接烟尘进行有效收集治理。</w:t>
            </w:r>
          </w:p>
          <w:p>
            <w:pPr>
              <w:snapToGrid w:val="0"/>
              <w:rPr>
                <w:rFonts w:ascii="Times New Roman" w:hAnsi="Times New Roman" w:cs="Times New Roman"/>
                <w:sz w:val="16"/>
                <w:szCs w:val="16"/>
              </w:rPr>
            </w:pPr>
            <w:r>
              <w:rPr>
                <w:rFonts w:ascii="Times New Roman" w:hAnsi="Times New Roman" w:cs="Times New Roman"/>
                <w:sz w:val="16"/>
                <w:szCs w:val="16"/>
              </w:rPr>
              <w:t>2.涂装行业鼓励推进源头替代，引导使用低VOCs含量的涂料替代溶剂型引导使用低VOCs含量的涂料替代溶剂型涂料，从源头减少VOCs产生。推进使用先进生产工艺，鼓励企业采用自动化、智能化喷涂设备替代人工喷涂，减少使用空气喷涂技术。提高废气收集率。遵循“应收尽收、分质收集”的原则，科学设计废气收集系统，将无组织排放转变为有组织排放进行控制。涂料、稀释剂、清洗剂等原辅材料应密闭存储，调配、使用、回收等过程应采用密闭设备或在密闭空间内操作，采用密闭管道或密闭容器等输送。推进建设适宜高效的治污设施，合理选择治理技术，提高VOCs治理效率。做好生活垃圾和工业固体废物分类收集、转运、综合利用和无害化处理。推行清洁生产，减少固体废物产生量。提升固体废物的资源化综合利用率。</w:t>
            </w:r>
          </w:p>
          <w:p>
            <w:pPr>
              <w:snapToGrid w:val="0"/>
              <w:rPr>
                <w:rFonts w:ascii="Times New Roman" w:hAnsi="Times New Roman" w:cs="Times New Roman"/>
                <w:sz w:val="16"/>
                <w:szCs w:val="16"/>
              </w:rPr>
            </w:pPr>
            <w:r>
              <w:rPr>
                <w:rFonts w:ascii="Times New Roman" w:hAnsi="Times New Roman" w:cs="Times New Roman"/>
                <w:sz w:val="16"/>
                <w:szCs w:val="16"/>
              </w:rPr>
              <w:t>3.加强施工扬尘污染防治，严格落实施工场地遮盖、洒水抑尘、大型车辆进出场清洗、运送车辆封盖等措施。</w:t>
            </w:r>
          </w:p>
          <w:p>
            <w:pPr>
              <w:snapToGrid w:val="0"/>
              <w:jc w:val="left"/>
              <w:rPr>
                <w:rFonts w:ascii="Times New Roman" w:hAnsi="Times New Roman" w:cs="Times New Roman"/>
                <w:sz w:val="16"/>
                <w:szCs w:val="16"/>
              </w:rPr>
            </w:pPr>
            <w:r>
              <w:rPr>
                <w:rFonts w:ascii="Times New Roman" w:hAnsi="Times New Roman" w:cs="Times New Roman"/>
                <w:sz w:val="16"/>
                <w:szCs w:val="16"/>
              </w:rPr>
              <w:t>4.食品加工行业加强臭气异味的处理和防治；安装净化装置或者采取其他措施，防止排放恶臭气体；含盐废水处理，做到达标排放。</w:t>
            </w:r>
          </w:p>
          <w:p>
            <w:pPr>
              <w:snapToGrid w:val="0"/>
              <w:jc w:val="left"/>
              <w:rPr>
                <w:rFonts w:ascii="Times New Roman" w:hAnsi="Times New Roman" w:cs="Times New Roman"/>
                <w:sz w:val="16"/>
                <w:szCs w:val="16"/>
              </w:rPr>
            </w:pPr>
            <w:r>
              <w:rPr>
                <w:rFonts w:ascii="Times New Roman" w:hAnsi="Times New Roman" w:cs="Times New Roman"/>
                <w:sz w:val="16"/>
                <w:szCs w:val="16"/>
              </w:rPr>
              <w:t>5.优先采用清洁生产技术，禁止选用列入《产业结构调整指导目录》限制类、淘汰类的落后生产工艺和设备，提高资源、能源利用率，按照《印染行业废水污染防治技术政策》《纺织工业环境保护设施设计标准》《纺织染整工业废水治理工程技术规范》等有关规定，减少污染物的产生和排放。</w:t>
            </w:r>
          </w:p>
        </w:tc>
        <w:tc>
          <w:tcPr>
            <w:tcW w:w="2126"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1.规范固体废物的处理措施，对工业企业产生的固体废物特别是危险废物应严格按照国家规定综合利用或妥善处置，严防二次污染。</w:t>
            </w:r>
          </w:p>
          <w:p>
            <w:pPr>
              <w:snapToGrid w:val="0"/>
              <w:rPr>
                <w:rFonts w:ascii="Times New Roman" w:hAnsi="Times New Roman" w:cs="Times New Roman"/>
                <w:sz w:val="16"/>
                <w:szCs w:val="16"/>
              </w:rPr>
            </w:pPr>
            <w:r>
              <w:rPr>
                <w:rFonts w:ascii="Times New Roman" w:hAnsi="Times New Roman" w:cs="Times New Roman"/>
                <w:sz w:val="16"/>
                <w:szCs w:val="16"/>
              </w:rPr>
              <w:t>2.建立健全环境风险事故防范措施和应急预案，严防环境安全事故发生。</w:t>
            </w:r>
          </w:p>
        </w:tc>
        <w:tc>
          <w:tcPr>
            <w:tcW w:w="1337"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1.推广集中供能和清洁能源利用，实施热、电行业超低排放改造。</w:t>
            </w:r>
          </w:p>
          <w:p>
            <w:pPr>
              <w:snapToGrid w:val="0"/>
              <w:rPr>
                <w:rFonts w:ascii="Times New Roman" w:hAnsi="Times New Roman" w:cs="Times New Roman"/>
                <w:sz w:val="16"/>
                <w:szCs w:val="16"/>
              </w:rPr>
            </w:pPr>
            <w:r>
              <w:rPr>
                <w:rFonts w:ascii="Times New Roman" w:hAnsi="Times New Roman" w:cs="Times New Roman"/>
                <w:sz w:val="16"/>
                <w:szCs w:val="16"/>
              </w:rPr>
              <w:t>2.加快漏损管网改造，减少管网漏损率、普及节水型器具。</w:t>
            </w:r>
          </w:p>
          <w:p>
            <w:pPr>
              <w:snapToGrid w:val="0"/>
              <w:rPr>
                <w:rFonts w:ascii="Times New Roman" w:hAnsi="Times New Roman" w:cs="Times New Roman"/>
                <w:kern w:val="0"/>
                <w:sz w:val="16"/>
                <w:szCs w:val="16"/>
              </w:rPr>
            </w:pPr>
            <w:r>
              <w:rPr>
                <w:rFonts w:ascii="Times New Roman" w:hAnsi="Times New Roman" w:cs="Times New Roman"/>
                <w:sz w:val="16"/>
                <w:szCs w:val="16"/>
              </w:rPr>
              <w:t>3.</w:t>
            </w:r>
            <w:r>
              <w:rPr>
                <w:rFonts w:ascii="Times New Roman" w:hAnsi="Times New Roman" w:cs="Times New Roman"/>
                <w:kern w:val="0"/>
                <w:sz w:val="16"/>
                <w:szCs w:val="16"/>
              </w:rPr>
              <w:t>全面开展节水型社会建设，促进再生水利用。</w:t>
            </w:r>
          </w:p>
          <w:p>
            <w:pPr>
              <w:snapToGrid w:val="0"/>
              <w:rPr>
                <w:rFonts w:ascii="Times New Roman" w:hAnsi="Times New Roman" w:cs="Times New Roman"/>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7"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12</w:t>
            </w:r>
          </w:p>
        </w:tc>
        <w:tc>
          <w:tcPr>
            <w:tcW w:w="131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ZH37028530001</w:t>
            </w:r>
          </w:p>
        </w:tc>
        <w:tc>
          <w:tcPr>
            <w:tcW w:w="69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院上镇</w:t>
            </w:r>
          </w:p>
        </w:tc>
        <w:tc>
          <w:tcPr>
            <w:tcW w:w="377"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山东省</w:t>
            </w:r>
          </w:p>
        </w:tc>
        <w:tc>
          <w:tcPr>
            <w:tcW w:w="429"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青岛市</w:t>
            </w:r>
          </w:p>
        </w:tc>
        <w:tc>
          <w:tcPr>
            <w:tcW w:w="432"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莱西市</w:t>
            </w:r>
          </w:p>
        </w:tc>
        <w:tc>
          <w:tcPr>
            <w:tcW w:w="697"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一般管控单元</w:t>
            </w:r>
          </w:p>
        </w:tc>
        <w:tc>
          <w:tcPr>
            <w:tcW w:w="914"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大沽河生态廊道、云山丈岭地下水一般生态空间、云山丈岭地下水源地、水环境一般管控区、大气环境弱扩散敏感区、大气环境受体敏感区</w:t>
            </w:r>
          </w:p>
        </w:tc>
        <w:tc>
          <w:tcPr>
            <w:tcW w:w="1815"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1.引导工业企业入驻工业园区。新建有污染物排放的工业项目，除在安全生产等方面有特殊要求的以外，应当进入工业园区或者工业集聚区。</w:t>
            </w:r>
          </w:p>
          <w:p>
            <w:pPr>
              <w:snapToGrid w:val="0"/>
              <w:jc w:val="left"/>
              <w:rPr>
                <w:rFonts w:ascii="Times New Roman" w:hAnsi="Times New Roman" w:cs="Times New Roman"/>
                <w:sz w:val="16"/>
                <w:szCs w:val="16"/>
              </w:rPr>
            </w:pPr>
            <w:r>
              <w:rPr>
                <w:rFonts w:ascii="Times New Roman" w:hAnsi="Times New Roman" w:cs="Times New Roman"/>
                <w:sz w:val="16"/>
                <w:szCs w:val="16"/>
              </w:rPr>
              <w:t>2.严格涉氟废水排放企业准入。</w:t>
            </w:r>
          </w:p>
        </w:tc>
        <w:tc>
          <w:tcPr>
            <w:tcW w:w="3430"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机械加工行业下料、机械加工、抛丸、打磨、喷砂、清理滚筒、热处理、化学预处理、电镀等环节设置废气有效收集治理设施。焊接环节根据作业点位数配备焊接烟尘净化器，或设置专门操作间并设置集气系统对焊接烟尘进行有效收集治理。</w:t>
            </w:r>
          </w:p>
          <w:p>
            <w:pPr>
              <w:snapToGrid w:val="0"/>
              <w:jc w:val="left"/>
              <w:rPr>
                <w:rFonts w:ascii="Times New Roman" w:hAnsi="Times New Roman" w:cs="Times New Roman"/>
                <w:sz w:val="16"/>
                <w:szCs w:val="16"/>
              </w:rPr>
            </w:pPr>
            <w:r>
              <w:rPr>
                <w:rFonts w:ascii="Times New Roman" w:hAnsi="Times New Roman" w:cs="Times New Roman"/>
                <w:sz w:val="16"/>
                <w:szCs w:val="16"/>
              </w:rPr>
              <w:t>2.印染行业优先采用清洁生产技术，禁止选用列入《产业结构调整指导目录》限制类、淘汰类的落后生产工艺和设备，提高资源、能源利用率，按照《印染行业废水污染防治技术政策》《纺织工业环境保护设施设计标准》《纺织染整工业废水治理工程技术规范》等有关规定，减少污染物的产生和排放。</w:t>
            </w:r>
          </w:p>
          <w:p>
            <w:pPr>
              <w:snapToGrid w:val="0"/>
              <w:rPr>
                <w:rFonts w:ascii="Times New Roman" w:hAnsi="Times New Roman" w:cs="Times New Roman"/>
                <w:sz w:val="16"/>
                <w:szCs w:val="16"/>
              </w:rPr>
            </w:pPr>
            <w:r>
              <w:rPr>
                <w:rFonts w:ascii="Times New Roman" w:hAnsi="Times New Roman" w:cs="Times New Roman"/>
                <w:sz w:val="16"/>
                <w:szCs w:val="16"/>
              </w:rPr>
              <w:t>3.表面涂装行业鼓励推进源头替代，引导使用低VOCs含量的涂料替代溶剂型引导使用低VOCs含量的涂料替代溶剂型涂料，从源头减少VOCs产生。推进使用先进生产工艺，鼓励企业采用自动化、智能化喷涂设备替代人工喷涂，减少使用空气喷涂技术。提高废气收集率。遵循“应收尽收、分质收集”的原则，科学设计废气收集系统，将无组织排放转变为有组织排放进行控制。涂料、稀释剂、清洗剂等原辅材料应密闭存储，调配、使用、回收等过程应采用密闭设备或在密闭空间内操作，采用密闭管道或密闭容器等输送。推进建设适宜高效的治污设施，合理选择治理技术，提高VOCs治理效率。</w:t>
            </w:r>
          </w:p>
          <w:p>
            <w:pPr>
              <w:snapToGrid w:val="0"/>
              <w:rPr>
                <w:rFonts w:ascii="Times New Roman" w:hAnsi="Times New Roman" w:cs="Times New Roman"/>
                <w:sz w:val="16"/>
                <w:szCs w:val="16"/>
              </w:rPr>
            </w:pPr>
            <w:r>
              <w:rPr>
                <w:rFonts w:ascii="Times New Roman" w:hAnsi="Times New Roman" w:cs="Times New Roman"/>
                <w:sz w:val="16"/>
                <w:szCs w:val="16"/>
              </w:rPr>
              <w:t>4.加快污水处理设施建设，将污水集中处理，完善工业集聚区污水管网。</w:t>
            </w:r>
          </w:p>
          <w:p>
            <w:pPr>
              <w:snapToGrid w:val="0"/>
              <w:rPr>
                <w:rFonts w:ascii="Times New Roman" w:hAnsi="Times New Roman" w:cs="Times New Roman"/>
                <w:sz w:val="16"/>
                <w:szCs w:val="16"/>
              </w:rPr>
            </w:pPr>
            <w:r>
              <w:rPr>
                <w:rFonts w:ascii="Times New Roman" w:hAnsi="Times New Roman" w:cs="Times New Roman"/>
                <w:sz w:val="16"/>
                <w:szCs w:val="16"/>
              </w:rPr>
              <w:t>5.规模化畜禽养殖场、养殖小区应有序完成畜禽粪便处理利用设施和污水收集处理设施配套建设，防止造成面源污染。</w:t>
            </w:r>
          </w:p>
          <w:p>
            <w:pPr>
              <w:snapToGrid w:val="0"/>
              <w:rPr>
                <w:rFonts w:ascii="Times New Roman" w:hAnsi="Times New Roman" w:cs="Times New Roman"/>
                <w:sz w:val="16"/>
                <w:szCs w:val="16"/>
              </w:rPr>
            </w:pPr>
            <w:r>
              <w:rPr>
                <w:rFonts w:ascii="Times New Roman" w:hAnsi="Times New Roman" w:cs="Times New Roman"/>
                <w:sz w:val="16"/>
                <w:szCs w:val="16"/>
              </w:rPr>
              <w:t>6.推广农作物病虫害绿色防控技术，推行科学种植，合理使用化肥农药，减少农业面源污染。</w:t>
            </w:r>
          </w:p>
        </w:tc>
        <w:tc>
          <w:tcPr>
            <w:tcW w:w="2126"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1.规范固体废物的处理措施，对工业企业产生的固体废物特别是危险废物应严格按照国家规定综合利用或妥善处置，严防二次污染。</w:t>
            </w:r>
          </w:p>
          <w:p>
            <w:pPr>
              <w:snapToGrid w:val="0"/>
              <w:rPr>
                <w:rFonts w:ascii="Times New Roman" w:hAnsi="Times New Roman" w:cs="Times New Roman"/>
                <w:sz w:val="16"/>
                <w:szCs w:val="16"/>
              </w:rPr>
            </w:pPr>
            <w:r>
              <w:rPr>
                <w:rFonts w:ascii="Times New Roman" w:hAnsi="Times New Roman" w:cs="Times New Roman"/>
                <w:sz w:val="16"/>
                <w:szCs w:val="16"/>
              </w:rPr>
              <w:t>2.建立健全环境风险事故防范措施和应急预案，严防环境安全事故发生。</w:t>
            </w:r>
          </w:p>
          <w:p>
            <w:pPr>
              <w:snapToGrid w:val="0"/>
              <w:rPr>
                <w:rFonts w:ascii="Times New Roman" w:hAnsi="Times New Roman" w:cs="Times New Roman"/>
                <w:sz w:val="16"/>
                <w:szCs w:val="16"/>
              </w:rPr>
            </w:pPr>
            <w:r>
              <w:rPr>
                <w:rFonts w:ascii="Times New Roman" w:hAnsi="Times New Roman" w:cs="Times New Roman"/>
                <w:sz w:val="16"/>
                <w:szCs w:val="16"/>
              </w:rPr>
              <w:t>3.按照《中华人民共和国水污染防治法》等，加强饮用水源保护区风险预防和预警应急工作。</w:t>
            </w:r>
          </w:p>
        </w:tc>
        <w:tc>
          <w:tcPr>
            <w:tcW w:w="1337"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1.推广集中供能和清洁能源利用，实施热、电行业超低排放改造。</w:t>
            </w:r>
          </w:p>
          <w:p>
            <w:pPr>
              <w:snapToGrid w:val="0"/>
              <w:rPr>
                <w:rFonts w:ascii="Times New Roman" w:hAnsi="Times New Roman" w:cs="Times New Roman"/>
                <w:sz w:val="16"/>
                <w:szCs w:val="16"/>
              </w:rPr>
            </w:pPr>
            <w:r>
              <w:rPr>
                <w:rFonts w:ascii="Times New Roman" w:hAnsi="Times New Roman" w:cs="Times New Roman"/>
                <w:sz w:val="16"/>
                <w:szCs w:val="16"/>
              </w:rPr>
              <w:t>2.加快漏损管网改造，减少管网漏损率、普及节水型器具。</w:t>
            </w:r>
          </w:p>
          <w:p>
            <w:pPr>
              <w:snapToGrid w:val="0"/>
              <w:rPr>
                <w:rFonts w:ascii="Times New Roman" w:hAnsi="Times New Roman" w:cs="Times New Roman"/>
                <w:sz w:val="16"/>
                <w:szCs w:val="16"/>
              </w:rPr>
            </w:pPr>
            <w:r>
              <w:rPr>
                <w:rFonts w:ascii="Times New Roman" w:hAnsi="Times New Roman" w:cs="Times New Roman"/>
                <w:sz w:val="16"/>
                <w:szCs w:val="16"/>
              </w:rPr>
              <w:t>3.</w:t>
            </w:r>
            <w:r>
              <w:rPr>
                <w:rFonts w:ascii="Times New Roman" w:hAnsi="Times New Roman" w:cs="Times New Roman"/>
                <w:kern w:val="0"/>
                <w:sz w:val="16"/>
                <w:szCs w:val="16"/>
              </w:rPr>
              <w:t>全面开展节水型社会建设，促进再生水利用。</w:t>
            </w:r>
          </w:p>
          <w:p>
            <w:pPr>
              <w:snapToGrid w:val="0"/>
              <w:rPr>
                <w:rFonts w:ascii="Times New Roman" w:hAnsi="Times New Roman" w:cs="Times New Roman"/>
                <w:kern w:val="0"/>
                <w:sz w:val="16"/>
                <w:szCs w:val="16"/>
              </w:rPr>
            </w:pPr>
            <w:r>
              <w:rPr>
                <w:rFonts w:ascii="Times New Roman" w:hAnsi="Times New Roman" w:cs="Times New Roman"/>
                <w:sz w:val="16"/>
                <w:szCs w:val="16"/>
              </w:rPr>
              <w:t>4.续建农业生产配套与节水改造、高效节水灌溉等工程，优化调整农业种植结构。</w:t>
            </w:r>
          </w:p>
          <w:p>
            <w:pPr>
              <w:snapToGrid w:val="0"/>
              <w:rPr>
                <w:rFonts w:ascii="Times New Roman" w:hAnsi="Times New Roman" w:cs="Times New Roman"/>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7" w:type="dxa"/>
            <w:vAlign w:val="center"/>
          </w:tcPr>
          <w:p>
            <w:pPr>
              <w:widowControl/>
              <w:adjustRightInd w:val="0"/>
              <w:snapToGrid w:val="0"/>
              <w:jc w:val="center"/>
              <w:rPr>
                <w:rFonts w:ascii="Times New Roman" w:hAnsi="Times New Roman" w:cs="Times New Roman"/>
                <w:b/>
                <w:kern w:val="44"/>
                <w:sz w:val="16"/>
                <w:szCs w:val="16"/>
              </w:rPr>
            </w:pPr>
            <w:r>
              <w:rPr>
                <w:rFonts w:ascii="Times New Roman" w:hAnsi="Times New Roman" w:cs="Times New Roman"/>
                <w:b/>
                <w:kern w:val="44"/>
                <w:sz w:val="16"/>
                <w:szCs w:val="16"/>
              </w:rPr>
              <w:t>13</w:t>
            </w:r>
          </w:p>
        </w:tc>
        <w:tc>
          <w:tcPr>
            <w:tcW w:w="1310"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ZH37028530002</w:t>
            </w:r>
          </w:p>
        </w:tc>
        <w:tc>
          <w:tcPr>
            <w:tcW w:w="694"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日庄镇</w:t>
            </w:r>
          </w:p>
        </w:tc>
        <w:tc>
          <w:tcPr>
            <w:tcW w:w="377"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山东省</w:t>
            </w:r>
          </w:p>
        </w:tc>
        <w:tc>
          <w:tcPr>
            <w:tcW w:w="429"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青岛市</w:t>
            </w:r>
          </w:p>
        </w:tc>
        <w:tc>
          <w:tcPr>
            <w:tcW w:w="432"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莱西市</w:t>
            </w:r>
          </w:p>
        </w:tc>
        <w:tc>
          <w:tcPr>
            <w:tcW w:w="697" w:type="dxa"/>
            <w:vAlign w:val="center"/>
          </w:tcPr>
          <w:p>
            <w:pPr>
              <w:snapToGrid w:val="0"/>
              <w:jc w:val="center"/>
              <w:rPr>
                <w:rFonts w:ascii="Times New Roman" w:hAnsi="Times New Roman" w:cs="Times New Roman"/>
                <w:sz w:val="16"/>
                <w:szCs w:val="16"/>
              </w:rPr>
            </w:pPr>
            <w:r>
              <w:rPr>
                <w:rFonts w:ascii="Times New Roman" w:hAnsi="Times New Roman" w:cs="Times New Roman"/>
                <w:sz w:val="16"/>
                <w:szCs w:val="16"/>
              </w:rPr>
              <w:t>一般管控单元</w:t>
            </w:r>
          </w:p>
        </w:tc>
        <w:tc>
          <w:tcPr>
            <w:tcW w:w="914"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大沽河生态廊道、产芝水库一般生态空间、产芝水库、水环境一般管控区、大气环境弱扩散敏感区、大气环境受体敏感区</w:t>
            </w:r>
          </w:p>
        </w:tc>
        <w:tc>
          <w:tcPr>
            <w:tcW w:w="1815" w:type="dxa"/>
            <w:vAlign w:val="center"/>
          </w:tcPr>
          <w:p>
            <w:pPr>
              <w:snapToGrid w:val="0"/>
              <w:jc w:val="left"/>
              <w:rPr>
                <w:rFonts w:ascii="Times New Roman" w:hAnsi="Times New Roman" w:cs="Times New Roman"/>
                <w:sz w:val="16"/>
                <w:szCs w:val="16"/>
              </w:rPr>
            </w:pPr>
            <w:r>
              <w:rPr>
                <w:rFonts w:ascii="Times New Roman" w:hAnsi="Times New Roman" w:cs="Times New Roman"/>
                <w:sz w:val="16"/>
                <w:szCs w:val="16"/>
              </w:rPr>
              <w:t>1.引导工业企业入驻工业园区。新建有污染物排放的工业项目，除在安全生产等方面有特殊要求的以外，应当进入工业园区或者工业集聚区。</w:t>
            </w:r>
          </w:p>
          <w:p>
            <w:pPr>
              <w:snapToGrid w:val="0"/>
              <w:jc w:val="left"/>
              <w:rPr>
                <w:rFonts w:ascii="Times New Roman" w:hAnsi="Times New Roman" w:cs="Times New Roman"/>
                <w:sz w:val="16"/>
                <w:szCs w:val="16"/>
              </w:rPr>
            </w:pPr>
            <w:r>
              <w:rPr>
                <w:rFonts w:ascii="Times New Roman" w:hAnsi="Times New Roman" w:cs="Times New Roman"/>
                <w:sz w:val="16"/>
                <w:szCs w:val="16"/>
              </w:rPr>
              <w:t>2.饮用水水源保护区按照《中华人民共和国水污染防治法》《山东省水污染防治条例》《</w:t>
            </w:r>
            <w:r>
              <w:rPr>
                <w:rFonts w:hint="eastAsia" w:ascii="Times New Roman" w:hAnsi="Times New Roman" w:cs="Times New Roman"/>
                <w:sz w:val="16"/>
                <w:szCs w:val="16"/>
              </w:rPr>
              <w:t>青岛市饮用水水源保护条例</w:t>
            </w:r>
            <w:r>
              <w:rPr>
                <w:rFonts w:ascii="Times New Roman" w:hAnsi="Times New Roman" w:cs="Times New Roman"/>
                <w:sz w:val="16"/>
                <w:szCs w:val="16"/>
              </w:rPr>
              <w:t>》及相关法律法规实施保护管理。</w:t>
            </w:r>
          </w:p>
        </w:tc>
        <w:tc>
          <w:tcPr>
            <w:tcW w:w="3430"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1.做好农村生活垃圾、工业垃圾集中分类收集、转运、综合利用和无害化处理。农药包装袋（瓶）及农膜的回收，提升固体废物的资源化综合利用率。</w:t>
            </w:r>
          </w:p>
          <w:p>
            <w:pPr>
              <w:snapToGrid w:val="0"/>
              <w:rPr>
                <w:rFonts w:ascii="Times New Roman" w:hAnsi="Times New Roman" w:cs="Times New Roman"/>
                <w:sz w:val="16"/>
                <w:szCs w:val="16"/>
              </w:rPr>
            </w:pPr>
            <w:r>
              <w:rPr>
                <w:rFonts w:ascii="Times New Roman" w:hAnsi="Times New Roman" w:cs="Times New Roman"/>
                <w:sz w:val="16"/>
                <w:szCs w:val="16"/>
              </w:rPr>
              <w:t>2.加快污水处理设施建设，将污水集中处理，管网覆盖不到位的村庄，建设分散式污水处理设施，提倡相邻村庄联合建设污水处理设施。完善工业集聚区污水管网。</w:t>
            </w:r>
          </w:p>
          <w:p>
            <w:pPr>
              <w:snapToGrid w:val="0"/>
              <w:rPr>
                <w:rFonts w:ascii="Times New Roman" w:hAnsi="Times New Roman" w:cs="Times New Roman"/>
                <w:sz w:val="16"/>
                <w:szCs w:val="16"/>
              </w:rPr>
            </w:pPr>
            <w:r>
              <w:rPr>
                <w:rFonts w:ascii="Times New Roman" w:hAnsi="Times New Roman" w:cs="Times New Roman"/>
                <w:sz w:val="16"/>
                <w:szCs w:val="16"/>
              </w:rPr>
              <w:t>3.规模化畜禽养殖场、养殖小区应有序完成畜禽粪便处理利用设施和污水收集处理设施配套建设，防止造成面源污染。</w:t>
            </w:r>
          </w:p>
          <w:p>
            <w:pPr>
              <w:snapToGrid w:val="0"/>
              <w:rPr>
                <w:rFonts w:ascii="Times New Roman" w:hAnsi="Times New Roman" w:cs="Times New Roman"/>
                <w:sz w:val="16"/>
                <w:szCs w:val="16"/>
              </w:rPr>
            </w:pPr>
            <w:r>
              <w:rPr>
                <w:rFonts w:ascii="Times New Roman" w:hAnsi="Times New Roman" w:cs="Times New Roman"/>
                <w:sz w:val="16"/>
                <w:szCs w:val="16"/>
              </w:rPr>
              <w:t>4.推广农作物病虫害绿色防控技术，推行科学种植，合理使用化肥农药，减少农业面源污染。</w:t>
            </w:r>
          </w:p>
          <w:p>
            <w:pPr>
              <w:snapToGrid w:val="0"/>
              <w:rPr>
                <w:rFonts w:ascii="Times New Roman" w:hAnsi="Times New Roman" w:cs="Times New Roman"/>
                <w:sz w:val="16"/>
                <w:szCs w:val="16"/>
              </w:rPr>
            </w:pPr>
          </w:p>
        </w:tc>
        <w:tc>
          <w:tcPr>
            <w:tcW w:w="2126"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1.规范固体废物的处理措施，对工业企业产生的固体废物特别是危险废物应严格按照国家规定综合利用或妥善处置，严防二次污染。</w:t>
            </w:r>
          </w:p>
          <w:p>
            <w:pPr>
              <w:snapToGrid w:val="0"/>
              <w:rPr>
                <w:rFonts w:ascii="Times New Roman" w:hAnsi="Times New Roman" w:cs="Times New Roman"/>
                <w:sz w:val="16"/>
                <w:szCs w:val="16"/>
              </w:rPr>
            </w:pPr>
            <w:r>
              <w:rPr>
                <w:rFonts w:ascii="Times New Roman" w:hAnsi="Times New Roman" w:cs="Times New Roman"/>
                <w:sz w:val="16"/>
                <w:szCs w:val="16"/>
              </w:rPr>
              <w:t>2.建立健全环境风险事故防范措施和应急预案，严防环境安全事故发生。</w:t>
            </w:r>
          </w:p>
          <w:p>
            <w:pPr>
              <w:snapToGrid w:val="0"/>
              <w:rPr>
                <w:rFonts w:ascii="Times New Roman" w:hAnsi="Times New Roman" w:cs="Times New Roman"/>
                <w:sz w:val="16"/>
                <w:szCs w:val="16"/>
              </w:rPr>
            </w:pPr>
            <w:r>
              <w:rPr>
                <w:rFonts w:ascii="Times New Roman" w:hAnsi="Times New Roman" w:cs="Times New Roman"/>
                <w:sz w:val="16"/>
                <w:szCs w:val="16"/>
              </w:rPr>
              <w:t>3.化工企业、尾矿库等地下水污染高风险地区应当采取防渗漏等措施，建设地下水水质监测井并定期监测。</w:t>
            </w:r>
          </w:p>
          <w:p>
            <w:pPr>
              <w:snapToGrid w:val="0"/>
              <w:rPr>
                <w:rFonts w:ascii="Times New Roman" w:hAnsi="Times New Roman" w:cs="Times New Roman"/>
                <w:sz w:val="16"/>
                <w:szCs w:val="16"/>
              </w:rPr>
            </w:pPr>
            <w:r>
              <w:rPr>
                <w:rFonts w:ascii="Times New Roman" w:hAnsi="Times New Roman" w:cs="Times New Roman"/>
                <w:sz w:val="16"/>
                <w:szCs w:val="16"/>
              </w:rPr>
              <w:t>4.环境风险较大、易燃易爆项目编制突发环境事件应急预案，健全三级防控体系和应急物资，定期开展应急演练，定期开展泄露检测和安全风险评估。</w:t>
            </w:r>
          </w:p>
          <w:p>
            <w:pPr>
              <w:snapToGrid w:val="0"/>
              <w:rPr>
                <w:rFonts w:ascii="Times New Roman" w:hAnsi="Times New Roman" w:cs="Times New Roman"/>
                <w:sz w:val="16"/>
                <w:szCs w:val="16"/>
              </w:rPr>
            </w:pPr>
            <w:r>
              <w:rPr>
                <w:rFonts w:ascii="Times New Roman" w:hAnsi="Times New Roman" w:cs="Times New Roman"/>
                <w:sz w:val="16"/>
                <w:szCs w:val="16"/>
              </w:rPr>
              <w:t>5.涉及重金属污染的企业事业单位和其他生产经营者，应当落实重金属安全防控措施，根据所含重金属的种类和数量对废水进行分类处理并实现含重金属污泥的减量化、无害化、资源化。</w:t>
            </w:r>
          </w:p>
          <w:p>
            <w:pPr>
              <w:snapToGrid w:val="0"/>
              <w:rPr>
                <w:rFonts w:ascii="Times New Roman" w:hAnsi="Times New Roman" w:cs="Times New Roman"/>
                <w:sz w:val="16"/>
                <w:szCs w:val="16"/>
              </w:rPr>
            </w:pPr>
            <w:r>
              <w:rPr>
                <w:rFonts w:ascii="Times New Roman" w:hAnsi="Times New Roman" w:cs="Times New Roman"/>
                <w:sz w:val="16"/>
                <w:szCs w:val="16"/>
              </w:rPr>
              <w:t>6.按照《中华人民共和国水污染防治法》等，加强饮用水源保护区风险预防和预警应急工作。</w:t>
            </w:r>
          </w:p>
        </w:tc>
        <w:tc>
          <w:tcPr>
            <w:tcW w:w="1337" w:type="dxa"/>
            <w:vAlign w:val="center"/>
          </w:tcPr>
          <w:p>
            <w:pPr>
              <w:snapToGrid w:val="0"/>
              <w:rPr>
                <w:rFonts w:ascii="Times New Roman" w:hAnsi="Times New Roman" w:cs="Times New Roman"/>
                <w:sz w:val="16"/>
                <w:szCs w:val="16"/>
              </w:rPr>
            </w:pPr>
            <w:r>
              <w:rPr>
                <w:rFonts w:ascii="Times New Roman" w:hAnsi="Times New Roman" w:cs="Times New Roman"/>
                <w:sz w:val="16"/>
                <w:szCs w:val="16"/>
              </w:rPr>
              <w:t>1.高污染燃料禁燃区内禁止新建、扩建、改建燃用高污染燃料的项目。推广集中供能和清洁能源利用，实施热、电行业超低排放改造。</w:t>
            </w:r>
          </w:p>
          <w:p>
            <w:pPr>
              <w:snapToGrid w:val="0"/>
              <w:rPr>
                <w:rFonts w:ascii="Times New Roman" w:hAnsi="Times New Roman" w:cs="Times New Roman"/>
                <w:sz w:val="16"/>
                <w:szCs w:val="16"/>
              </w:rPr>
            </w:pPr>
            <w:r>
              <w:rPr>
                <w:rFonts w:ascii="Times New Roman" w:hAnsi="Times New Roman" w:cs="Times New Roman"/>
                <w:sz w:val="16"/>
                <w:szCs w:val="16"/>
              </w:rPr>
              <w:t>2.加快漏损管网改造，减少管网漏损率、普及节水型器具。</w:t>
            </w:r>
          </w:p>
          <w:p>
            <w:pPr>
              <w:snapToGrid w:val="0"/>
              <w:rPr>
                <w:rFonts w:ascii="Times New Roman" w:hAnsi="Times New Roman" w:cs="Times New Roman"/>
                <w:sz w:val="16"/>
                <w:szCs w:val="16"/>
              </w:rPr>
            </w:pPr>
            <w:r>
              <w:rPr>
                <w:rFonts w:ascii="Times New Roman" w:hAnsi="Times New Roman" w:cs="Times New Roman"/>
                <w:sz w:val="16"/>
                <w:szCs w:val="16"/>
              </w:rPr>
              <w:t>3.</w:t>
            </w:r>
            <w:r>
              <w:rPr>
                <w:rFonts w:ascii="Times New Roman" w:hAnsi="Times New Roman" w:cs="Times New Roman"/>
                <w:kern w:val="0"/>
                <w:sz w:val="16"/>
                <w:szCs w:val="16"/>
              </w:rPr>
              <w:t>全面开展节水型社会建设，促进再生水利用。</w:t>
            </w:r>
          </w:p>
          <w:p>
            <w:pPr>
              <w:snapToGrid w:val="0"/>
              <w:rPr>
                <w:rFonts w:ascii="Times New Roman" w:hAnsi="Times New Roman" w:cs="Times New Roman"/>
                <w:sz w:val="16"/>
                <w:szCs w:val="16"/>
              </w:rPr>
            </w:pPr>
            <w:r>
              <w:rPr>
                <w:rFonts w:ascii="Times New Roman" w:hAnsi="Times New Roman" w:cs="Times New Roman"/>
                <w:sz w:val="16"/>
                <w:szCs w:val="16"/>
              </w:rPr>
              <w:t>4.续建农业生产配套与节水改造、高效节水灌溉等工程，优化调整农业种植结构。</w:t>
            </w:r>
          </w:p>
        </w:tc>
      </w:tr>
    </w:tbl>
    <w:p>
      <w:pPr>
        <w:pStyle w:val="17"/>
        <w:spacing w:line="280" w:lineRule="exact"/>
        <w:ind w:left="0"/>
        <w:jc w:val="left"/>
        <w:rPr>
          <w:rFonts w:hint="eastAsia" w:ascii="Times New Roman" w:hAnsi="Times New Roman" w:eastAsia="仿宋_GB2312"/>
          <w:sz w:val="30"/>
          <w:szCs w:val="30"/>
          <w:lang w:eastAsia="zh-CN"/>
        </w:rPr>
      </w:pPr>
      <w:r>
        <w:rPr>
          <w:rFonts w:ascii="Times New Roman" w:hAnsi="Times New Roman" w:eastAsia="仿宋_GB2312"/>
          <w:sz w:val="21"/>
          <w:szCs w:val="21"/>
        </w:rPr>
        <w:t>备注：</w:t>
      </w:r>
      <w:r>
        <w:rPr>
          <w:rFonts w:ascii="Arial" w:hAnsi="Arial" w:eastAsia="宋体" w:cs="Arial"/>
          <w:i w:val="0"/>
          <w:iCs w:val="0"/>
          <w:caps w:val="0"/>
          <w:color w:val="333333"/>
          <w:spacing w:val="0"/>
          <w:sz w:val="15"/>
          <w:szCs w:val="15"/>
          <w:shd w:val="clear" w:fill="FFFFFF"/>
        </w:rPr>
        <w:t>★</w:t>
      </w:r>
      <w:r>
        <w:rPr>
          <w:rFonts w:hint="eastAsia" w:ascii="Times New Roman" w:hAnsi="Times New Roman" w:eastAsia="仿宋_GB2312"/>
          <w:sz w:val="21"/>
          <w:szCs w:val="21"/>
          <w:lang w:val="en-US" w:eastAsia="zh-CN"/>
        </w:rPr>
        <w:t>要求作为试点要求对清单进行细化拓宽</w:t>
      </w:r>
      <w:r>
        <w:rPr>
          <w:rFonts w:ascii="Times New Roman" w:hAnsi="Times New Roman" w:eastAsia="仿宋_GB2312"/>
          <w:sz w:val="21"/>
          <w:szCs w:val="21"/>
        </w:rPr>
        <w:t>，</w:t>
      </w:r>
      <w:r>
        <w:rPr>
          <w:rFonts w:hint="eastAsia" w:ascii="Times New Roman" w:hAnsi="Times New Roman" w:eastAsia="仿宋_GB2312"/>
          <w:sz w:val="21"/>
          <w:szCs w:val="21"/>
        </w:rPr>
        <w:t>后续将根据本次试行结果进行评估和调整，试点期间相关管理要求如果和上位法律法规冲突，按最新法律法规政策标准要求执行。</w:t>
      </w:r>
    </w:p>
    <w:p>
      <w:pPr>
        <w:pStyle w:val="17"/>
        <w:jc w:val="left"/>
        <w:rPr>
          <w:rFonts w:ascii="Times New Roman" w:hAnsi="Times New Roman" w:eastAsiaTheme="minorEastAsia"/>
          <w:sz w:val="16"/>
          <w:szCs w:val="16"/>
        </w:rPr>
      </w:pPr>
    </w:p>
    <w:p>
      <w:pPr>
        <w:widowControl/>
        <w:jc w:val="left"/>
        <w:rPr>
          <w:rFonts w:ascii="Times New Roman" w:hAnsi="Times New Roman" w:cs="Times New Roman"/>
          <w:sz w:val="16"/>
          <w:szCs w:val="16"/>
        </w:rPr>
      </w:pPr>
    </w:p>
    <w:p>
      <w:pPr>
        <w:widowControl/>
        <w:jc w:val="left"/>
        <w:rPr>
          <w:rFonts w:ascii="Times New Roman" w:hAnsi="Times New Roman" w:cs="Times New Roman"/>
          <w:sz w:val="16"/>
          <w:szCs w:val="16"/>
        </w:rPr>
      </w:pPr>
    </w:p>
    <w:p>
      <w:pPr>
        <w:widowControl/>
        <w:jc w:val="left"/>
        <w:rPr>
          <w:rFonts w:ascii="Times New Roman" w:hAnsi="Times New Roman" w:cs="Times New Roman"/>
          <w:sz w:val="16"/>
          <w:szCs w:val="16"/>
        </w:rPr>
      </w:pPr>
    </w:p>
    <w:p>
      <w:pPr>
        <w:widowControl/>
        <w:jc w:val="left"/>
        <w:rPr>
          <w:rFonts w:ascii="Times New Roman" w:hAnsi="Times New Roman" w:cs="Times New Roman"/>
          <w:sz w:val="16"/>
          <w:szCs w:val="16"/>
        </w:rPr>
      </w:pPr>
    </w:p>
    <w:p>
      <w:pPr>
        <w:widowControl/>
        <w:jc w:val="left"/>
        <w:rPr>
          <w:rFonts w:ascii="Times New Roman" w:hAnsi="Times New Roman" w:cs="Times New Roman"/>
          <w:sz w:val="16"/>
          <w:szCs w:val="16"/>
        </w:rPr>
      </w:pPr>
    </w:p>
    <w:p>
      <w:pPr>
        <w:widowControl/>
        <w:jc w:val="left"/>
        <w:rPr>
          <w:rFonts w:ascii="Times New Roman" w:hAnsi="Times New Roman" w:cs="Times New Roman"/>
          <w:sz w:val="16"/>
          <w:szCs w:val="16"/>
        </w:rPr>
      </w:pPr>
    </w:p>
    <w:p>
      <w:pPr>
        <w:widowControl/>
        <w:jc w:val="left"/>
        <w:rPr>
          <w:rFonts w:ascii="Times New Roman" w:hAnsi="Times New Roman" w:cs="Times New Roman"/>
          <w:sz w:val="16"/>
          <w:szCs w:val="16"/>
        </w:rPr>
      </w:pPr>
    </w:p>
    <w:p>
      <w:pPr>
        <w:widowControl/>
        <w:jc w:val="left"/>
        <w:rPr>
          <w:rFonts w:ascii="Times New Roman" w:hAnsi="Times New Roman" w:cs="Times New Roman"/>
          <w:sz w:val="16"/>
          <w:szCs w:val="16"/>
        </w:rPr>
      </w:pPr>
    </w:p>
    <w:p>
      <w:pPr>
        <w:widowControl/>
        <w:jc w:val="left"/>
        <w:rPr>
          <w:rFonts w:ascii="Times New Roman" w:hAnsi="Times New Roman" w:cs="Times New Roman"/>
          <w:sz w:val="16"/>
          <w:szCs w:val="16"/>
        </w:rPr>
      </w:pPr>
    </w:p>
    <w:p>
      <w:pPr>
        <w:widowControl/>
        <w:jc w:val="left"/>
        <w:rPr>
          <w:rFonts w:ascii="Times New Roman" w:hAnsi="Times New Roman" w:cs="Times New Roman"/>
          <w:sz w:val="16"/>
          <w:szCs w:val="16"/>
        </w:rPr>
      </w:pPr>
    </w:p>
    <w:p>
      <w:pPr>
        <w:widowControl/>
        <w:jc w:val="left"/>
        <w:rPr>
          <w:rFonts w:ascii="Times New Roman" w:hAnsi="Times New Roman" w:cs="Times New Roman"/>
          <w:sz w:val="16"/>
          <w:szCs w:val="16"/>
        </w:rPr>
      </w:pPr>
    </w:p>
    <w:p>
      <w:pPr>
        <w:widowControl/>
        <w:jc w:val="left"/>
        <w:rPr>
          <w:rFonts w:ascii="Times New Roman" w:hAnsi="Times New Roman" w:cs="Times New Roman"/>
          <w:sz w:val="16"/>
          <w:szCs w:val="16"/>
        </w:rPr>
      </w:pPr>
    </w:p>
    <w:p>
      <w:pPr>
        <w:widowControl/>
        <w:jc w:val="left"/>
        <w:rPr>
          <w:rFonts w:ascii="Times New Roman" w:hAnsi="Times New Roman" w:cs="Times New Roman"/>
          <w:bCs/>
          <w:sz w:val="16"/>
          <w:szCs w:val="16"/>
        </w:rPr>
      </w:pPr>
    </w:p>
    <w:p>
      <w:pPr>
        <w:spacing w:before="120" w:beforeLines="50" w:after="120" w:afterLines="50" w:line="360" w:lineRule="auto"/>
        <w:ind w:firstLine="643" w:firstLineChars="200"/>
        <w:jc w:val="left"/>
        <w:outlineLvl w:val="0"/>
        <w:rPr>
          <w:rFonts w:ascii="Times New Roman" w:hAnsi="Times New Roman" w:eastAsia="黑体" w:cs="Times New Roman"/>
          <w:b/>
          <w:sz w:val="32"/>
          <w:szCs w:val="30"/>
        </w:rPr>
      </w:pPr>
      <w:bookmarkStart w:id="60" w:name="_Toc137761115"/>
      <w:r>
        <w:rPr>
          <w:rFonts w:ascii="Times New Roman" w:hAnsi="Times New Roman" w:eastAsia="黑体" w:cs="Times New Roman"/>
          <w:b/>
          <w:sz w:val="32"/>
          <w:szCs w:val="30"/>
        </w:rPr>
        <w:t>四、青岛市陆域环境管控单元汇总表</w:t>
      </w:r>
      <w:bookmarkEnd w:id="60"/>
    </w:p>
    <w:tbl>
      <w:tblPr>
        <w:tblStyle w:val="13"/>
        <w:tblW w:w="13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5"/>
        <w:gridCol w:w="692"/>
        <w:gridCol w:w="1674"/>
        <w:gridCol w:w="1303"/>
        <w:gridCol w:w="692"/>
        <w:gridCol w:w="1674"/>
        <w:gridCol w:w="1366"/>
        <w:gridCol w:w="692"/>
        <w:gridCol w:w="1674"/>
        <w:gridCol w:w="1303"/>
        <w:gridCol w:w="11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5" w:type="dxa"/>
            <w:vMerge w:val="restart"/>
            <w:vAlign w:val="center"/>
          </w:tcPr>
          <w:p>
            <w:pPr>
              <w:widowControl/>
              <w:spacing w:line="0" w:lineRule="atLeast"/>
              <w:jc w:val="center"/>
              <w:rPr>
                <w:rFonts w:ascii="Times New Roman" w:hAnsi="Times New Roman" w:eastAsia="仿宋_GB2312" w:cs="Times New Roman"/>
                <w:b/>
                <w:bCs/>
                <w:kern w:val="0"/>
                <w:sz w:val="30"/>
                <w:szCs w:val="30"/>
              </w:rPr>
            </w:pPr>
            <w:r>
              <w:rPr>
                <w:rFonts w:ascii="Times New Roman" w:hAnsi="Times New Roman" w:eastAsia="仿宋_GB2312" w:cs="Times New Roman"/>
                <w:b/>
                <w:bCs/>
                <w:kern w:val="0"/>
                <w:sz w:val="30"/>
                <w:szCs w:val="30"/>
              </w:rPr>
              <w:t>区市</w:t>
            </w:r>
          </w:p>
        </w:tc>
        <w:tc>
          <w:tcPr>
            <w:tcW w:w="3669" w:type="dxa"/>
            <w:gridSpan w:val="3"/>
            <w:vAlign w:val="center"/>
          </w:tcPr>
          <w:p>
            <w:pPr>
              <w:widowControl/>
              <w:spacing w:line="0" w:lineRule="atLeast"/>
              <w:jc w:val="center"/>
              <w:rPr>
                <w:rFonts w:ascii="Times New Roman" w:hAnsi="Times New Roman" w:eastAsia="仿宋_GB2312" w:cs="Times New Roman"/>
                <w:b/>
                <w:bCs/>
                <w:kern w:val="0"/>
                <w:sz w:val="30"/>
                <w:szCs w:val="30"/>
              </w:rPr>
            </w:pPr>
            <w:r>
              <w:rPr>
                <w:rFonts w:ascii="Times New Roman" w:hAnsi="Times New Roman" w:eastAsia="仿宋_GB2312" w:cs="Times New Roman"/>
                <w:b/>
                <w:bCs/>
                <w:kern w:val="0"/>
                <w:sz w:val="30"/>
                <w:szCs w:val="30"/>
              </w:rPr>
              <w:t>优先保护单元</w:t>
            </w:r>
          </w:p>
        </w:tc>
        <w:tc>
          <w:tcPr>
            <w:tcW w:w="3732" w:type="dxa"/>
            <w:gridSpan w:val="3"/>
            <w:vAlign w:val="center"/>
          </w:tcPr>
          <w:p>
            <w:pPr>
              <w:widowControl/>
              <w:spacing w:line="0" w:lineRule="atLeast"/>
              <w:jc w:val="center"/>
              <w:rPr>
                <w:rFonts w:ascii="Times New Roman" w:hAnsi="Times New Roman" w:eastAsia="仿宋_GB2312" w:cs="Times New Roman"/>
                <w:b/>
                <w:bCs/>
                <w:kern w:val="0"/>
                <w:sz w:val="30"/>
                <w:szCs w:val="30"/>
              </w:rPr>
            </w:pPr>
            <w:r>
              <w:rPr>
                <w:rFonts w:ascii="Times New Roman" w:hAnsi="Times New Roman" w:eastAsia="仿宋_GB2312" w:cs="Times New Roman"/>
                <w:b/>
                <w:bCs/>
                <w:kern w:val="0"/>
                <w:sz w:val="30"/>
                <w:szCs w:val="30"/>
              </w:rPr>
              <w:t>重点管控单元</w:t>
            </w:r>
          </w:p>
        </w:tc>
        <w:tc>
          <w:tcPr>
            <w:tcW w:w="3669" w:type="dxa"/>
            <w:gridSpan w:val="3"/>
            <w:vAlign w:val="center"/>
          </w:tcPr>
          <w:p>
            <w:pPr>
              <w:widowControl/>
              <w:spacing w:line="0" w:lineRule="atLeast"/>
              <w:jc w:val="center"/>
              <w:rPr>
                <w:rFonts w:ascii="Times New Roman" w:hAnsi="Times New Roman" w:eastAsia="仿宋_GB2312" w:cs="Times New Roman"/>
                <w:b/>
                <w:bCs/>
                <w:kern w:val="0"/>
                <w:sz w:val="30"/>
                <w:szCs w:val="30"/>
              </w:rPr>
            </w:pPr>
            <w:r>
              <w:rPr>
                <w:rFonts w:ascii="Times New Roman" w:hAnsi="Times New Roman" w:eastAsia="仿宋_GB2312" w:cs="Times New Roman"/>
                <w:b/>
                <w:bCs/>
                <w:kern w:val="0"/>
                <w:sz w:val="30"/>
                <w:szCs w:val="30"/>
              </w:rPr>
              <w:t>一般管控单元</w:t>
            </w:r>
          </w:p>
        </w:tc>
        <w:tc>
          <w:tcPr>
            <w:tcW w:w="1103" w:type="dxa"/>
            <w:vMerge w:val="restart"/>
            <w:vAlign w:val="center"/>
          </w:tcPr>
          <w:p>
            <w:pPr>
              <w:widowControl/>
              <w:spacing w:line="0" w:lineRule="atLeast"/>
              <w:jc w:val="center"/>
              <w:rPr>
                <w:rFonts w:ascii="Times New Roman" w:hAnsi="Times New Roman" w:eastAsia="仿宋_GB2312" w:cs="Times New Roman"/>
                <w:b/>
                <w:bCs/>
                <w:kern w:val="0"/>
                <w:sz w:val="30"/>
                <w:szCs w:val="30"/>
              </w:rPr>
            </w:pPr>
            <w:r>
              <w:rPr>
                <w:rFonts w:ascii="Times New Roman" w:hAnsi="Times New Roman" w:eastAsia="仿宋_GB2312" w:cs="Times New Roman"/>
                <w:b/>
                <w:bCs/>
                <w:kern w:val="0"/>
                <w:sz w:val="30"/>
                <w:szCs w:val="30"/>
              </w:rPr>
              <w:t>单元总数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5" w:type="dxa"/>
            <w:vMerge w:val="continue"/>
            <w:vAlign w:val="center"/>
          </w:tcPr>
          <w:p>
            <w:pPr>
              <w:widowControl/>
              <w:jc w:val="center"/>
              <w:rPr>
                <w:rFonts w:ascii="Times New Roman" w:hAnsi="Times New Roman" w:eastAsia="仿宋_GB2312" w:cs="Times New Roman"/>
                <w:b/>
                <w:bCs/>
                <w:kern w:val="0"/>
                <w:sz w:val="30"/>
                <w:szCs w:val="30"/>
              </w:rPr>
            </w:pPr>
          </w:p>
        </w:tc>
        <w:tc>
          <w:tcPr>
            <w:tcW w:w="692" w:type="dxa"/>
            <w:vAlign w:val="center"/>
          </w:tcPr>
          <w:p>
            <w:pPr>
              <w:widowControl/>
              <w:spacing w:line="0" w:lineRule="atLeast"/>
              <w:jc w:val="center"/>
              <w:rPr>
                <w:rFonts w:ascii="Times New Roman" w:hAnsi="Times New Roman" w:eastAsia="仿宋_GB2312" w:cs="Times New Roman"/>
                <w:b/>
                <w:bCs/>
                <w:kern w:val="0"/>
                <w:sz w:val="30"/>
                <w:szCs w:val="30"/>
              </w:rPr>
            </w:pPr>
            <w:r>
              <w:rPr>
                <w:rFonts w:ascii="Times New Roman" w:hAnsi="Times New Roman" w:eastAsia="仿宋_GB2312" w:cs="Times New Roman"/>
                <w:b/>
                <w:bCs/>
                <w:kern w:val="0"/>
                <w:sz w:val="30"/>
                <w:szCs w:val="30"/>
              </w:rPr>
              <w:t>数量</w:t>
            </w:r>
          </w:p>
        </w:tc>
        <w:tc>
          <w:tcPr>
            <w:tcW w:w="1674" w:type="dxa"/>
            <w:vAlign w:val="center"/>
          </w:tcPr>
          <w:p>
            <w:pPr>
              <w:widowControl/>
              <w:spacing w:line="0" w:lineRule="atLeast"/>
              <w:jc w:val="center"/>
              <w:rPr>
                <w:rFonts w:ascii="Times New Roman" w:hAnsi="Times New Roman" w:eastAsia="仿宋_GB2312" w:cs="Times New Roman"/>
                <w:b/>
                <w:bCs/>
                <w:kern w:val="0"/>
                <w:sz w:val="30"/>
                <w:szCs w:val="30"/>
              </w:rPr>
            </w:pPr>
            <w:r>
              <w:rPr>
                <w:rFonts w:ascii="Times New Roman" w:hAnsi="Times New Roman" w:eastAsia="仿宋_GB2312" w:cs="Times New Roman"/>
                <w:b/>
                <w:bCs/>
                <w:kern w:val="0"/>
                <w:sz w:val="30"/>
                <w:szCs w:val="30"/>
              </w:rPr>
              <w:t>面积（km²）</w:t>
            </w:r>
          </w:p>
        </w:tc>
        <w:tc>
          <w:tcPr>
            <w:tcW w:w="1303" w:type="dxa"/>
            <w:vAlign w:val="center"/>
          </w:tcPr>
          <w:p>
            <w:pPr>
              <w:widowControl/>
              <w:spacing w:line="0" w:lineRule="atLeast"/>
              <w:jc w:val="center"/>
              <w:rPr>
                <w:rFonts w:ascii="Times New Roman" w:hAnsi="Times New Roman" w:eastAsia="仿宋_GB2312" w:cs="Times New Roman"/>
                <w:b/>
                <w:bCs/>
                <w:kern w:val="0"/>
                <w:sz w:val="30"/>
                <w:szCs w:val="30"/>
              </w:rPr>
            </w:pPr>
            <w:r>
              <w:rPr>
                <w:rFonts w:ascii="Times New Roman" w:hAnsi="Times New Roman" w:eastAsia="仿宋_GB2312" w:cs="Times New Roman"/>
                <w:b/>
                <w:bCs/>
                <w:kern w:val="0"/>
                <w:sz w:val="30"/>
                <w:szCs w:val="30"/>
              </w:rPr>
              <w:t>面积占比</w:t>
            </w:r>
          </w:p>
        </w:tc>
        <w:tc>
          <w:tcPr>
            <w:tcW w:w="692" w:type="dxa"/>
            <w:vAlign w:val="center"/>
          </w:tcPr>
          <w:p>
            <w:pPr>
              <w:widowControl/>
              <w:spacing w:line="0" w:lineRule="atLeast"/>
              <w:jc w:val="center"/>
              <w:rPr>
                <w:rFonts w:ascii="Times New Roman" w:hAnsi="Times New Roman" w:eastAsia="仿宋_GB2312" w:cs="Times New Roman"/>
                <w:b/>
                <w:bCs/>
                <w:kern w:val="0"/>
                <w:sz w:val="30"/>
                <w:szCs w:val="30"/>
              </w:rPr>
            </w:pPr>
            <w:r>
              <w:rPr>
                <w:rFonts w:ascii="Times New Roman" w:hAnsi="Times New Roman" w:eastAsia="仿宋_GB2312" w:cs="Times New Roman"/>
                <w:b/>
                <w:bCs/>
                <w:kern w:val="0"/>
                <w:sz w:val="30"/>
                <w:szCs w:val="30"/>
              </w:rPr>
              <w:t>数量</w:t>
            </w:r>
          </w:p>
        </w:tc>
        <w:tc>
          <w:tcPr>
            <w:tcW w:w="1674" w:type="dxa"/>
            <w:vAlign w:val="center"/>
          </w:tcPr>
          <w:p>
            <w:pPr>
              <w:widowControl/>
              <w:spacing w:line="0" w:lineRule="atLeast"/>
              <w:jc w:val="center"/>
              <w:rPr>
                <w:rFonts w:ascii="Times New Roman" w:hAnsi="Times New Roman" w:eastAsia="仿宋_GB2312" w:cs="Times New Roman"/>
                <w:b/>
                <w:bCs/>
                <w:kern w:val="0"/>
                <w:sz w:val="30"/>
                <w:szCs w:val="30"/>
              </w:rPr>
            </w:pPr>
            <w:r>
              <w:rPr>
                <w:rFonts w:ascii="Times New Roman" w:hAnsi="Times New Roman" w:eastAsia="仿宋_GB2312" w:cs="Times New Roman"/>
                <w:b/>
                <w:bCs/>
                <w:kern w:val="0"/>
                <w:sz w:val="30"/>
                <w:szCs w:val="30"/>
              </w:rPr>
              <w:t>面积（km²）</w:t>
            </w:r>
          </w:p>
        </w:tc>
        <w:tc>
          <w:tcPr>
            <w:tcW w:w="1366" w:type="dxa"/>
            <w:vAlign w:val="center"/>
          </w:tcPr>
          <w:p>
            <w:pPr>
              <w:widowControl/>
              <w:spacing w:line="0" w:lineRule="atLeast"/>
              <w:jc w:val="center"/>
              <w:rPr>
                <w:rFonts w:ascii="Times New Roman" w:hAnsi="Times New Roman" w:eastAsia="仿宋_GB2312" w:cs="Times New Roman"/>
                <w:b/>
                <w:bCs/>
                <w:kern w:val="0"/>
                <w:sz w:val="30"/>
                <w:szCs w:val="30"/>
              </w:rPr>
            </w:pPr>
            <w:r>
              <w:rPr>
                <w:rFonts w:ascii="Times New Roman" w:hAnsi="Times New Roman" w:eastAsia="仿宋_GB2312" w:cs="Times New Roman"/>
                <w:b/>
                <w:bCs/>
                <w:kern w:val="0"/>
                <w:sz w:val="30"/>
                <w:szCs w:val="30"/>
              </w:rPr>
              <w:t>面积占比</w:t>
            </w:r>
          </w:p>
        </w:tc>
        <w:tc>
          <w:tcPr>
            <w:tcW w:w="692" w:type="dxa"/>
            <w:vAlign w:val="center"/>
          </w:tcPr>
          <w:p>
            <w:pPr>
              <w:widowControl/>
              <w:spacing w:line="0" w:lineRule="atLeast"/>
              <w:jc w:val="center"/>
              <w:rPr>
                <w:rFonts w:ascii="Times New Roman" w:hAnsi="Times New Roman" w:eastAsia="仿宋_GB2312" w:cs="Times New Roman"/>
                <w:b/>
                <w:bCs/>
                <w:kern w:val="0"/>
                <w:sz w:val="30"/>
                <w:szCs w:val="30"/>
              </w:rPr>
            </w:pPr>
            <w:r>
              <w:rPr>
                <w:rFonts w:ascii="Times New Roman" w:hAnsi="Times New Roman" w:eastAsia="仿宋_GB2312" w:cs="Times New Roman"/>
                <w:b/>
                <w:bCs/>
                <w:kern w:val="0"/>
                <w:sz w:val="30"/>
                <w:szCs w:val="30"/>
              </w:rPr>
              <w:t>数量</w:t>
            </w:r>
          </w:p>
        </w:tc>
        <w:tc>
          <w:tcPr>
            <w:tcW w:w="1674" w:type="dxa"/>
            <w:vAlign w:val="center"/>
          </w:tcPr>
          <w:p>
            <w:pPr>
              <w:widowControl/>
              <w:spacing w:line="0" w:lineRule="atLeast"/>
              <w:jc w:val="center"/>
              <w:rPr>
                <w:rFonts w:ascii="Times New Roman" w:hAnsi="Times New Roman" w:eastAsia="仿宋_GB2312" w:cs="Times New Roman"/>
                <w:b/>
                <w:bCs/>
                <w:kern w:val="0"/>
                <w:sz w:val="30"/>
                <w:szCs w:val="30"/>
              </w:rPr>
            </w:pPr>
            <w:r>
              <w:rPr>
                <w:rFonts w:ascii="Times New Roman" w:hAnsi="Times New Roman" w:eastAsia="仿宋_GB2312" w:cs="Times New Roman"/>
                <w:b/>
                <w:bCs/>
                <w:kern w:val="0"/>
                <w:sz w:val="30"/>
                <w:szCs w:val="30"/>
              </w:rPr>
              <w:t>面积（km²）</w:t>
            </w:r>
          </w:p>
        </w:tc>
        <w:tc>
          <w:tcPr>
            <w:tcW w:w="1303" w:type="dxa"/>
            <w:vAlign w:val="center"/>
          </w:tcPr>
          <w:p>
            <w:pPr>
              <w:widowControl/>
              <w:spacing w:line="0" w:lineRule="atLeast"/>
              <w:jc w:val="center"/>
              <w:rPr>
                <w:rFonts w:ascii="Times New Roman" w:hAnsi="Times New Roman" w:eastAsia="仿宋_GB2312" w:cs="Times New Roman"/>
                <w:b/>
                <w:bCs/>
                <w:kern w:val="0"/>
                <w:sz w:val="30"/>
                <w:szCs w:val="30"/>
              </w:rPr>
            </w:pPr>
            <w:r>
              <w:rPr>
                <w:rFonts w:ascii="Times New Roman" w:hAnsi="Times New Roman" w:eastAsia="仿宋_GB2312" w:cs="Times New Roman"/>
                <w:b/>
                <w:bCs/>
                <w:kern w:val="0"/>
                <w:sz w:val="30"/>
                <w:szCs w:val="30"/>
              </w:rPr>
              <w:t>面积占比</w:t>
            </w:r>
          </w:p>
        </w:tc>
        <w:tc>
          <w:tcPr>
            <w:tcW w:w="1103" w:type="dxa"/>
            <w:vMerge w:val="continue"/>
            <w:vAlign w:val="center"/>
          </w:tcPr>
          <w:p>
            <w:pPr>
              <w:widowControl/>
              <w:jc w:val="center"/>
              <w:rPr>
                <w:rFonts w:ascii="Times New Roman" w:hAnsi="Times New Roman" w:eastAsia="仿宋_GB2312" w:cs="Times New Roman"/>
                <w:b/>
                <w:bCs/>
                <w:kern w:val="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5"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市南区</w:t>
            </w:r>
          </w:p>
        </w:tc>
        <w:tc>
          <w:tcPr>
            <w:tcW w:w="692"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1</w:t>
            </w:r>
          </w:p>
        </w:tc>
        <w:tc>
          <w:tcPr>
            <w:tcW w:w="1674" w:type="dxa"/>
            <w:vAlign w:val="center"/>
          </w:tcPr>
          <w:p>
            <w:pPr>
              <w:widowControl/>
              <w:spacing w:line="0" w:lineRule="atLeast"/>
              <w:jc w:val="center"/>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 xml:space="preserve">5.98 </w:t>
            </w:r>
          </w:p>
        </w:tc>
        <w:tc>
          <w:tcPr>
            <w:tcW w:w="1303" w:type="dxa"/>
            <w:vAlign w:val="center"/>
          </w:tcPr>
          <w:p>
            <w:pPr>
              <w:widowControl/>
              <w:spacing w:line="0" w:lineRule="atLeast"/>
              <w:jc w:val="center"/>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20.40%</w:t>
            </w:r>
          </w:p>
        </w:tc>
        <w:tc>
          <w:tcPr>
            <w:tcW w:w="692"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9</w:t>
            </w:r>
          </w:p>
        </w:tc>
        <w:tc>
          <w:tcPr>
            <w:tcW w:w="1674" w:type="dxa"/>
            <w:vAlign w:val="center"/>
          </w:tcPr>
          <w:p>
            <w:pPr>
              <w:widowControl/>
              <w:spacing w:line="0" w:lineRule="atLeast"/>
              <w:jc w:val="center"/>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 xml:space="preserve">23.32 </w:t>
            </w:r>
          </w:p>
        </w:tc>
        <w:tc>
          <w:tcPr>
            <w:tcW w:w="1366" w:type="dxa"/>
            <w:vAlign w:val="center"/>
          </w:tcPr>
          <w:p>
            <w:pPr>
              <w:widowControl/>
              <w:spacing w:line="0" w:lineRule="atLeast"/>
              <w:jc w:val="center"/>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79.60%</w:t>
            </w:r>
          </w:p>
        </w:tc>
        <w:tc>
          <w:tcPr>
            <w:tcW w:w="692"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0</w:t>
            </w:r>
          </w:p>
        </w:tc>
        <w:tc>
          <w:tcPr>
            <w:tcW w:w="1674"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0</w:t>
            </w:r>
          </w:p>
        </w:tc>
        <w:tc>
          <w:tcPr>
            <w:tcW w:w="1303"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0</w:t>
            </w:r>
          </w:p>
        </w:tc>
        <w:tc>
          <w:tcPr>
            <w:tcW w:w="1103"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5"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市北区</w:t>
            </w:r>
          </w:p>
        </w:tc>
        <w:tc>
          <w:tcPr>
            <w:tcW w:w="692"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0</w:t>
            </w:r>
          </w:p>
        </w:tc>
        <w:tc>
          <w:tcPr>
            <w:tcW w:w="1674"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0</w:t>
            </w:r>
          </w:p>
        </w:tc>
        <w:tc>
          <w:tcPr>
            <w:tcW w:w="1303"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0</w:t>
            </w:r>
          </w:p>
        </w:tc>
        <w:tc>
          <w:tcPr>
            <w:tcW w:w="692"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22</w:t>
            </w:r>
          </w:p>
        </w:tc>
        <w:tc>
          <w:tcPr>
            <w:tcW w:w="1674" w:type="dxa"/>
            <w:vAlign w:val="center"/>
          </w:tcPr>
          <w:p>
            <w:pPr>
              <w:widowControl/>
              <w:spacing w:line="0" w:lineRule="atLeast"/>
              <w:jc w:val="center"/>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 xml:space="preserve">65.52 </w:t>
            </w:r>
          </w:p>
        </w:tc>
        <w:tc>
          <w:tcPr>
            <w:tcW w:w="1366"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100.00%</w:t>
            </w:r>
          </w:p>
        </w:tc>
        <w:tc>
          <w:tcPr>
            <w:tcW w:w="692"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0</w:t>
            </w:r>
          </w:p>
        </w:tc>
        <w:tc>
          <w:tcPr>
            <w:tcW w:w="1674"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0</w:t>
            </w:r>
          </w:p>
        </w:tc>
        <w:tc>
          <w:tcPr>
            <w:tcW w:w="1303"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0</w:t>
            </w:r>
          </w:p>
        </w:tc>
        <w:tc>
          <w:tcPr>
            <w:tcW w:w="1103"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5"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李沧区</w:t>
            </w:r>
          </w:p>
        </w:tc>
        <w:tc>
          <w:tcPr>
            <w:tcW w:w="692"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0</w:t>
            </w:r>
          </w:p>
        </w:tc>
        <w:tc>
          <w:tcPr>
            <w:tcW w:w="1674"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0</w:t>
            </w:r>
          </w:p>
        </w:tc>
        <w:tc>
          <w:tcPr>
            <w:tcW w:w="1303"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0</w:t>
            </w:r>
          </w:p>
        </w:tc>
        <w:tc>
          <w:tcPr>
            <w:tcW w:w="692"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11</w:t>
            </w:r>
          </w:p>
        </w:tc>
        <w:tc>
          <w:tcPr>
            <w:tcW w:w="1674" w:type="dxa"/>
            <w:vAlign w:val="center"/>
          </w:tcPr>
          <w:p>
            <w:pPr>
              <w:widowControl/>
              <w:spacing w:line="0" w:lineRule="atLeast"/>
              <w:jc w:val="center"/>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 xml:space="preserve">95.92 </w:t>
            </w:r>
          </w:p>
        </w:tc>
        <w:tc>
          <w:tcPr>
            <w:tcW w:w="1366"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100.00%</w:t>
            </w:r>
          </w:p>
        </w:tc>
        <w:tc>
          <w:tcPr>
            <w:tcW w:w="692"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0</w:t>
            </w:r>
          </w:p>
        </w:tc>
        <w:tc>
          <w:tcPr>
            <w:tcW w:w="1674"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0</w:t>
            </w:r>
          </w:p>
        </w:tc>
        <w:tc>
          <w:tcPr>
            <w:tcW w:w="1303"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0</w:t>
            </w:r>
          </w:p>
        </w:tc>
        <w:tc>
          <w:tcPr>
            <w:tcW w:w="1103"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5"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崂山区</w:t>
            </w:r>
          </w:p>
        </w:tc>
        <w:tc>
          <w:tcPr>
            <w:tcW w:w="692"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3</w:t>
            </w:r>
          </w:p>
        </w:tc>
        <w:tc>
          <w:tcPr>
            <w:tcW w:w="1674" w:type="dxa"/>
            <w:vAlign w:val="center"/>
          </w:tcPr>
          <w:p>
            <w:pPr>
              <w:widowControl/>
              <w:spacing w:line="0" w:lineRule="atLeast"/>
              <w:jc w:val="center"/>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320.39</w:t>
            </w:r>
          </w:p>
        </w:tc>
        <w:tc>
          <w:tcPr>
            <w:tcW w:w="1303" w:type="dxa"/>
            <w:vAlign w:val="center"/>
          </w:tcPr>
          <w:p>
            <w:pPr>
              <w:widowControl/>
              <w:spacing w:line="0" w:lineRule="atLeast"/>
              <w:jc w:val="center"/>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84.47%</w:t>
            </w:r>
          </w:p>
        </w:tc>
        <w:tc>
          <w:tcPr>
            <w:tcW w:w="692"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2</w:t>
            </w:r>
          </w:p>
        </w:tc>
        <w:tc>
          <w:tcPr>
            <w:tcW w:w="1674" w:type="dxa"/>
            <w:vAlign w:val="center"/>
          </w:tcPr>
          <w:p>
            <w:pPr>
              <w:widowControl/>
              <w:spacing w:line="0" w:lineRule="atLeast"/>
              <w:jc w:val="center"/>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 xml:space="preserve">58.89 </w:t>
            </w:r>
          </w:p>
        </w:tc>
        <w:tc>
          <w:tcPr>
            <w:tcW w:w="1366" w:type="dxa"/>
            <w:vAlign w:val="center"/>
          </w:tcPr>
          <w:p>
            <w:pPr>
              <w:widowControl/>
              <w:spacing w:line="0" w:lineRule="atLeast"/>
              <w:jc w:val="center"/>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15.53%</w:t>
            </w:r>
          </w:p>
        </w:tc>
        <w:tc>
          <w:tcPr>
            <w:tcW w:w="692"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0</w:t>
            </w:r>
          </w:p>
        </w:tc>
        <w:tc>
          <w:tcPr>
            <w:tcW w:w="1674"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0</w:t>
            </w:r>
          </w:p>
        </w:tc>
        <w:tc>
          <w:tcPr>
            <w:tcW w:w="1303"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0</w:t>
            </w:r>
          </w:p>
        </w:tc>
        <w:tc>
          <w:tcPr>
            <w:tcW w:w="1103"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5"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西海岸新区</w:t>
            </w:r>
          </w:p>
        </w:tc>
        <w:tc>
          <w:tcPr>
            <w:tcW w:w="692"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7</w:t>
            </w:r>
          </w:p>
        </w:tc>
        <w:tc>
          <w:tcPr>
            <w:tcW w:w="1674" w:type="dxa"/>
            <w:vAlign w:val="center"/>
          </w:tcPr>
          <w:p>
            <w:pPr>
              <w:widowControl/>
              <w:spacing w:line="0" w:lineRule="atLeast"/>
              <w:jc w:val="center"/>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 xml:space="preserve">675.56 </w:t>
            </w:r>
          </w:p>
        </w:tc>
        <w:tc>
          <w:tcPr>
            <w:tcW w:w="1303" w:type="dxa"/>
            <w:vAlign w:val="center"/>
          </w:tcPr>
          <w:p>
            <w:pPr>
              <w:widowControl/>
              <w:spacing w:line="0" w:lineRule="atLeast"/>
              <w:jc w:val="center"/>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33.08%</w:t>
            </w:r>
          </w:p>
        </w:tc>
        <w:tc>
          <w:tcPr>
            <w:tcW w:w="692"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13</w:t>
            </w:r>
          </w:p>
        </w:tc>
        <w:tc>
          <w:tcPr>
            <w:tcW w:w="1674" w:type="dxa"/>
            <w:vAlign w:val="center"/>
          </w:tcPr>
          <w:p>
            <w:pPr>
              <w:widowControl/>
              <w:spacing w:line="0" w:lineRule="atLeast"/>
              <w:jc w:val="center"/>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 xml:space="preserve">731.44 </w:t>
            </w:r>
          </w:p>
        </w:tc>
        <w:tc>
          <w:tcPr>
            <w:tcW w:w="1366" w:type="dxa"/>
            <w:vAlign w:val="center"/>
          </w:tcPr>
          <w:p>
            <w:pPr>
              <w:widowControl/>
              <w:spacing w:line="0" w:lineRule="atLeast"/>
              <w:jc w:val="center"/>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35.82%</w:t>
            </w:r>
          </w:p>
        </w:tc>
        <w:tc>
          <w:tcPr>
            <w:tcW w:w="692"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7</w:t>
            </w:r>
          </w:p>
        </w:tc>
        <w:tc>
          <w:tcPr>
            <w:tcW w:w="1674" w:type="dxa"/>
            <w:vAlign w:val="center"/>
          </w:tcPr>
          <w:p>
            <w:pPr>
              <w:widowControl/>
              <w:spacing w:line="0" w:lineRule="atLeast"/>
              <w:jc w:val="center"/>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 xml:space="preserve">634.91 </w:t>
            </w:r>
          </w:p>
        </w:tc>
        <w:tc>
          <w:tcPr>
            <w:tcW w:w="1303" w:type="dxa"/>
            <w:vAlign w:val="center"/>
          </w:tcPr>
          <w:p>
            <w:pPr>
              <w:widowControl/>
              <w:spacing w:line="0" w:lineRule="atLeast"/>
              <w:jc w:val="center"/>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31.09%</w:t>
            </w:r>
          </w:p>
        </w:tc>
        <w:tc>
          <w:tcPr>
            <w:tcW w:w="1103"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5"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城阳区</w:t>
            </w:r>
          </w:p>
        </w:tc>
        <w:tc>
          <w:tcPr>
            <w:tcW w:w="692"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1</w:t>
            </w:r>
          </w:p>
        </w:tc>
        <w:tc>
          <w:tcPr>
            <w:tcW w:w="1674" w:type="dxa"/>
            <w:vAlign w:val="center"/>
          </w:tcPr>
          <w:p>
            <w:pPr>
              <w:widowControl/>
              <w:spacing w:line="0" w:lineRule="atLeast"/>
              <w:jc w:val="center"/>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 xml:space="preserve">35.11 </w:t>
            </w:r>
          </w:p>
        </w:tc>
        <w:tc>
          <w:tcPr>
            <w:tcW w:w="1303" w:type="dxa"/>
            <w:vAlign w:val="center"/>
          </w:tcPr>
          <w:p>
            <w:pPr>
              <w:widowControl/>
              <w:spacing w:line="0" w:lineRule="atLeast"/>
              <w:jc w:val="center"/>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6.90%</w:t>
            </w:r>
          </w:p>
        </w:tc>
        <w:tc>
          <w:tcPr>
            <w:tcW w:w="692"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9</w:t>
            </w:r>
          </w:p>
        </w:tc>
        <w:tc>
          <w:tcPr>
            <w:tcW w:w="1674" w:type="dxa"/>
            <w:vAlign w:val="center"/>
          </w:tcPr>
          <w:p>
            <w:pPr>
              <w:widowControl/>
              <w:spacing w:line="0" w:lineRule="atLeast"/>
              <w:jc w:val="center"/>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 xml:space="preserve">473.52 </w:t>
            </w:r>
          </w:p>
        </w:tc>
        <w:tc>
          <w:tcPr>
            <w:tcW w:w="1366" w:type="dxa"/>
            <w:vAlign w:val="center"/>
          </w:tcPr>
          <w:p>
            <w:pPr>
              <w:widowControl/>
              <w:spacing w:line="0" w:lineRule="atLeast"/>
              <w:jc w:val="center"/>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93.10%</w:t>
            </w:r>
          </w:p>
        </w:tc>
        <w:tc>
          <w:tcPr>
            <w:tcW w:w="692"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0</w:t>
            </w:r>
          </w:p>
        </w:tc>
        <w:tc>
          <w:tcPr>
            <w:tcW w:w="1674"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0</w:t>
            </w:r>
          </w:p>
        </w:tc>
        <w:tc>
          <w:tcPr>
            <w:tcW w:w="1303"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0</w:t>
            </w:r>
          </w:p>
        </w:tc>
        <w:tc>
          <w:tcPr>
            <w:tcW w:w="1103"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5"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即墨区</w:t>
            </w:r>
          </w:p>
        </w:tc>
        <w:tc>
          <w:tcPr>
            <w:tcW w:w="692" w:type="dxa"/>
            <w:vAlign w:val="center"/>
          </w:tcPr>
          <w:p>
            <w:pPr>
              <w:widowControl/>
              <w:spacing w:line="0" w:lineRule="atLeast"/>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0</w:t>
            </w:r>
          </w:p>
        </w:tc>
        <w:tc>
          <w:tcPr>
            <w:tcW w:w="1674" w:type="dxa"/>
            <w:vAlign w:val="center"/>
          </w:tcPr>
          <w:p>
            <w:pPr>
              <w:widowControl/>
              <w:spacing w:line="0" w:lineRule="atLeast"/>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0</w:t>
            </w:r>
          </w:p>
        </w:tc>
        <w:tc>
          <w:tcPr>
            <w:tcW w:w="1303" w:type="dxa"/>
            <w:vAlign w:val="center"/>
          </w:tcPr>
          <w:p>
            <w:pPr>
              <w:widowControl/>
              <w:spacing w:line="0" w:lineRule="atLeast"/>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0</w:t>
            </w:r>
          </w:p>
        </w:tc>
        <w:tc>
          <w:tcPr>
            <w:tcW w:w="692" w:type="dxa"/>
            <w:vAlign w:val="center"/>
          </w:tcPr>
          <w:p>
            <w:pPr>
              <w:widowControl/>
              <w:spacing w:line="0" w:lineRule="atLeast"/>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10</w:t>
            </w:r>
          </w:p>
        </w:tc>
        <w:tc>
          <w:tcPr>
            <w:tcW w:w="1674" w:type="dxa"/>
            <w:vAlign w:val="center"/>
          </w:tcPr>
          <w:p>
            <w:pPr>
              <w:widowControl/>
              <w:spacing w:line="0" w:lineRule="atLeast"/>
              <w:jc w:val="center"/>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 xml:space="preserve">972.76 </w:t>
            </w:r>
          </w:p>
        </w:tc>
        <w:tc>
          <w:tcPr>
            <w:tcW w:w="1366" w:type="dxa"/>
            <w:vAlign w:val="center"/>
          </w:tcPr>
          <w:p>
            <w:pPr>
              <w:widowControl/>
              <w:spacing w:line="0" w:lineRule="atLeast"/>
              <w:jc w:val="center"/>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54.25%</w:t>
            </w:r>
          </w:p>
        </w:tc>
        <w:tc>
          <w:tcPr>
            <w:tcW w:w="692"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8</w:t>
            </w:r>
          </w:p>
        </w:tc>
        <w:tc>
          <w:tcPr>
            <w:tcW w:w="1674" w:type="dxa"/>
            <w:vAlign w:val="center"/>
          </w:tcPr>
          <w:p>
            <w:pPr>
              <w:widowControl/>
              <w:spacing w:line="0" w:lineRule="atLeast"/>
              <w:jc w:val="center"/>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 xml:space="preserve">820.30 </w:t>
            </w:r>
          </w:p>
        </w:tc>
        <w:tc>
          <w:tcPr>
            <w:tcW w:w="1303" w:type="dxa"/>
            <w:vAlign w:val="center"/>
          </w:tcPr>
          <w:p>
            <w:pPr>
              <w:widowControl/>
              <w:spacing w:line="0" w:lineRule="atLeast"/>
              <w:jc w:val="center"/>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45.75%</w:t>
            </w:r>
          </w:p>
        </w:tc>
        <w:tc>
          <w:tcPr>
            <w:tcW w:w="1103"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5"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胶州市</w:t>
            </w:r>
          </w:p>
        </w:tc>
        <w:tc>
          <w:tcPr>
            <w:tcW w:w="692"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1</w:t>
            </w:r>
          </w:p>
        </w:tc>
        <w:tc>
          <w:tcPr>
            <w:tcW w:w="1674"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129.55</w:t>
            </w:r>
          </w:p>
        </w:tc>
        <w:tc>
          <w:tcPr>
            <w:tcW w:w="1303" w:type="dxa"/>
            <w:vAlign w:val="center"/>
          </w:tcPr>
          <w:p>
            <w:pPr>
              <w:widowControl/>
              <w:spacing w:line="0" w:lineRule="atLeast"/>
              <w:jc w:val="center"/>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10.02%</w:t>
            </w:r>
          </w:p>
        </w:tc>
        <w:tc>
          <w:tcPr>
            <w:tcW w:w="692"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7</w:t>
            </w:r>
          </w:p>
        </w:tc>
        <w:tc>
          <w:tcPr>
            <w:tcW w:w="1674" w:type="dxa"/>
            <w:vAlign w:val="center"/>
          </w:tcPr>
          <w:p>
            <w:pPr>
              <w:widowControl/>
              <w:spacing w:line="0" w:lineRule="atLeast"/>
              <w:jc w:val="center"/>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 xml:space="preserve">564.30 </w:t>
            </w:r>
          </w:p>
        </w:tc>
        <w:tc>
          <w:tcPr>
            <w:tcW w:w="1366" w:type="dxa"/>
            <w:vAlign w:val="center"/>
          </w:tcPr>
          <w:p>
            <w:pPr>
              <w:widowControl/>
              <w:spacing w:line="0" w:lineRule="atLeast"/>
              <w:jc w:val="center"/>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43.63%</w:t>
            </w:r>
          </w:p>
        </w:tc>
        <w:tc>
          <w:tcPr>
            <w:tcW w:w="692"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4</w:t>
            </w:r>
          </w:p>
        </w:tc>
        <w:tc>
          <w:tcPr>
            <w:tcW w:w="1674" w:type="dxa"/>
            <w:vAlign w:val="center"/>
          </w:tcPr>
          <w:p>
            <w:pPr>
              <w:widowControl/>
              <w:spacing w:line="0" w:lineRule="atLeast"/>
              <w:jc w:val="center"/>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 xml:space="preserve">599.57 </w:t>
            </w:r>
          </w:p>
        </w:tc>
        <w:tc>
          <w:tcPr>
            <w:tcW w:w="1303" w:type="dxa"/>
            <w:vAlign w:val="center"/>
          </w:tcPr>
          <w:p>
            <w:pPr>
              <w:widowControl/>
              <w:spacing w:line="0" w:lineRule="atLeast"/>
              <w:jc w:val="center"/>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46.36%</w:t>
            </w:r>
          </w:p>
        </w:tc>
        <w:tc>
          <w:tcPr>
            <w:tcW w:w="1103"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5"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平度市</w:t>
            </w:r>
          </w:p>
        </w:tc>
        <w:tc>
          <w:tcPr>
            <w:tcW w:w="692"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4</w:t>
            </w:r>
          </w:p>
        </w:tc>
        <w:tc>
          <w:tcPr>
            <w:tcW w:w="1674"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850.90</w:t>
            </w:r>
          </w:p>
        </w:tc>
        <w:tc>
          <w:tcPr>
            <w:tcW w:w="1303"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26.79%</w:t>
            </w:r>
          </w:p>
        </w:tc>
        <w:tc>
          <w:tcPr>
            <w:tcW w:w="692"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7</w:t>
            </w:r>
          </w:p>
        </w:tc>
        <w:tc>
          <w:tcPr>
            <w:tcW w:w="1674"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806.18</w:t>
            </w:r>
          </w:p>
        </w:tc>
        <w:tc>
          <w:tcPr>
            <w:tcW w:w="1366"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25.39%</w:t>
            </w:r>
          </w:p>
        </w:tc>
        <w:tc>
          <w:tcPr>
            <w:tcW w:w="692"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7</w:t>
            </w:r>
          </w:p>
        </w:tc>
        <w:tc>
          <w:tcPr>
            <w:tcW w:w="1674"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1518.62</w:t>
            </w:r>
          </w:p>
        </w:tc>
        <w:tc>
          <w:tcPr>
            <w:tcW w:w="1303"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47.82%</w:t>
            </w:r>
          </w:p>
        </w:tc>
        <w:tc>
          <w:tcPr>
            <w:tcW w:w="1103"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5"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莱西市</w:t>
            </w:r>
          </w:p>
        </w:tc>
        <w:tc>
          <w:tcPr>
            <w:tcW w:w="692"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4</w:t>
            </w:r>
          </w:p>
        </w:tc>
        <w:tc>
          <w:tcPr>
            <w:tcW w:w="1674"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461.41</w:t>
            </w:r>
          </w:p>
        </w:tc>
        <w:tc>
          <w:tcPr>
            <w:tcW w:w="1303"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29.42%</w:t>
            </w:r>
          </w:p>
        </w:tc>
        <w:tc>
          <w:tcPr>
            <w:tcW w:w="692"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5</w:t>
            </w:r>
          </w:p>
        </w:tc>
        <w:tc>
          <w:tcPr>
            <w:tcW w:w="1674"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561.46</w:t>
            </w:r>
          </w:p>
        </w:tc>
        <w:tc>
          <w:tcPr>
            <w:tcW w:w="1366"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35.80%</w:t>
            </w:r>
          </w:p>
        </w:tc>
        <w:tc>
          <w:tcPr>
            <w:tcW w:w="692"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4</w:t>
            </w:r>
          </w:p>
        </w:tc>
        <w:tc>
          <w:tcPr>
            <w:tcW w:w="1674"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545.43</w:t>
            </w:r>
          </w:p>
        </w:tc>
        <w:tc>
          <w:tcPr>
            <w:tcW w:w="1303"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34.78%</w:t>
            </w:r>
          </w:p>
        </w:tc>
        <w:tc>
          <w:tcPr>
            <w:tcW w:w="1103"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5"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青岛市</w:t>
            </w:r>
          </w:p>
        </w:tc>
        <w:tc>
          <w:tcPr>
            <w:tcW w:w="692" w:type="dxa"/>
            <w:vAlign w:val="center"/>
          </w:tcPr>
          <w:p>
            <w:pPr>
              <w:widowControl/>
              <w:spacing w:line="0" w:lineRule="atLeast"/>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21</w:t>
            </w:r>
          </w:p>
        </w:tc>
        <w:tc>
          <w:tcPr>
            <w:tcW w:w="1674" w:type="dxa"/>
            <w:vAlign w:val="center"/>
          </w:tcPr>
          <w:p>
            <w:pPr>
              <w:widowControl/>
              <w:spacing w:line="0" w:lineRule="atLeast"/>
              <w:jc w:val="center"/>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 xml:space="preserve">2478.90 </w:t>
            </w:r>
          </w:p>
        </w:tc>
        <w:tc>
          <w:tcPr>
            <w:tcW w:w="1303" w:type="dxa"/>
            <w:vAlign w:val="center"/>
          </w:tcPr>
          <w:p>
            <w:pPr>
              <w:widowControl/>
              <w:spacing w:line="0" w:lineRule="atLeast"/>
              <w:jc w:val="center"/>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22.64%</w:t>
            </w:r>
          </w:p>
        </w:tc>
        <w:tc>
          <w:tcPr>
            <w:tcW w:w="692" w:type="dxa"/>
            <w:vAlign w:val="center"/>
          </w:tcPr>
          <w:p>
            <w:pPr>
              <w:widowControl/>
              <w:spacing w:line="0" w:lineRule="atLeast"/>
              <w:jc w:val="center"/>
              <w:rPr>
                <w:rFonts w:hint="eastAsia" w:ascii="Times New Roman" w:hAnsi="Times New Roman" w:eastAsia="仿宋_GB2312" w:cs="Times New Roman"/>
                <w:sz w:val="30"/>
                <w:szCs w:val="30"/>
                <w:lang w:eastAsia="zh-CN"/>
              </w:rPr>
            </w:pPr>
            <w:r>
              <w:rPr>
                <w:rFonts w:ascii="Times New Roman" w:hAnsi="Times New Roman" w:eastAsia="仿宋_GB2312" w:cs="Times New Roman"/>
                <w:sz w:val="30"/>
                <w:szCs w:val="30"/>
              </w:rPr>
              <w:t>9</w:t>
            </w:r>
            <w:r>
              <w:rPr>
                <w:rFonts w:hint="eastAsia" w:ascii="Times New Roman" w:hAnsi="Times New Roman" w:eastAsia="仿宋_GB2312" w:cs="Times New Roman"/>
                <w:sz w:val="30"/>
                <w:szCs w:val="30"/>
                <w:lang w:val="en-US" w:eastAsia="zh-CN"/>
              </w:rPr>
              <w:t>5</w:t>
            </w:r>
          </w:p>
        </w:tc>
        <w:tc>
          <w:tcPr>
            <w:tcW w:w="1674" w:type="dxa"/>
            <w:vAlign w:val="center"/>
          </w:tcPr>
          <w:p>
            <w:pPr>
              <w:widowControl/>
              <w:spacing w:line="0" w:lineRule="atLeast"/>
              <w:jc w:val="center"/>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 xml:space="preserve">4353.30 </w:t>
            </w:r>
          </w:p>
        </w:tc>
        <w:tc>
          <w:tcPr>
            <w:tcW w:w="1366" w:type="dxa"/>
            <w:vAlign w:val="center"/>
          </w:tcPr>
          <w:p>
            <w:pPr>
              <w:widowControl/>
              <w:spacing w:line="0" w:lineRule="atLeast"/>
              <w:jc w:val="center"/>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39.75%</w:t>
            </w:r>
          </w:p>
        </w:tc>
        <w:tc>
          <w:tcPr>
            <w:tcW w:w="692"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30</w:t>
            </w:r>
          </w:p>
        </w:tc>
        <w:tc>
          <w:tcPr>
            <w:tcW w:w="1674" w:type="dxa"/>
            <w:vAlign w:val="center"/>
          </w:tcPr>
          <w:p>
            <w:pPr>
              <w:widowControl/>
              <w:spacing w:line="0" w:lineRule="atLeast"/>
              <w:jc w:val="center"/>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 xml:space="preserve">4118.70 </w:t>
            </w:r>
          </w:p>
        </w:tc>
        <w:tc>
          <w:tcPr>
            <w:tcW w:w="1303" w:type="dxa"/>
            <w:vAlign w:val="center"/>
          </w:tcPr>
          <w:p>
            <w:pPr>
              <w:widowControl/>
              <w:spacing w:line="0" w:lineRule="atLeast"/>
              <w:jc w:val="center"/>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37.60%</w:t>
            </w:r>
          </w:p>
        </w:tc>
        <w:tc>
          <w:tcPr>
            <w:tcW w:w="1103" w:type="dxa"/>
            <w:vAlign w:val="center"/>
          </w:tcPr>
          <w:p>
            <w:pPr>
              <w:widowControl/>
              <w:spacing w:line="0" w:lineRule="atLeas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146</w:t>
            </w:r>
          </w:p>
        </w:tc>
      </w:tr>
    </w:tbl>
    <w:p>
      <w:pPr>
        <w:rPr>
          <w:rFonts w:ascii="Times New Roman" w:hAnsi="Times New Roman" w:eastAsia="华文中宋" w:cs="Times New Roman"/>
          <w:sz w:val="40"/>
          <w:szCs w:val="40"/>
        </w:rPr>
      </w:pPr>
    </w:p>
    <w:p>
      <w:pPr>
        <w:widowControl/>
        <w:jc w:val="left"/>
        <w:rPr>
          <w:rFonts w:ascii="Times New Roman" w:hAnsi="Times New Roman" w:eastAsia="黑体" w:cs="Times New Roman"/>
          <w:b/>
          <w:sz w:val="32"/>
          <w:szCs w:val="30"/>
        </w:rPr>
      </w:pPr>
      <w:r>
        <w:rPr>
          <w:rFonts w:ascii="Times New Roman" w:hAnsi="Times New Roman" w:eastAsia="黑体" w:cs="Times New Roman"/>
          <w:b/>
          <w:sz w:val="32"/>
          <w:szCs w:val="30"/>
        </w:rPr>
        <w:br w:type="page"/>
      </w:r>
    </w:p>
    <w:p>
      <w:pPr>
        <w:spacing w:before="120" w:beforeLines="50" w:after="120" w:afterLines="50" w:line="360" w:lineRule="auto"/>
        <w:ind w:firstLine="643" w:firstLineChars="200"/>
        <w:jc w:val="left"/>
        <w:outlineLvl w:val="0"/>
        <w:rPr>
          <w:rFonts w:ascii="Times New Roman" w:hAnsi="Times New Roman" w:eastAsia="黑体" w:cs="Times New Roman"/>
          <w:b/>
          <w:sz w:val="32"/>
          <w:szCs w:val="30"/>
        </w:rPr>
      </w:pPr>
      <w:bookmarkStart w:id="61" w:name="_Toc137761116"/>
      <w:r>
        <w:rPr>
          <w:rFonts w:ascii="Times New Roman" w:hAnsi="Times New Roman" w:eastAsia="黑体" w:cs="Times New Roman"/>
          <w:b/>
          <w:sz w:val="32"/>
          <w:szCs w:val="30"/>
        </w:rPr>
        <w:t>五、青岛市近岸海域环境管控单元生态环境准入清单</w:t>
      </w:r>
      <w:bookmarkEnd w:id="61"/>
    </w:p>
    <w:p>
      <w:pPr>
        <w:pStyle w:val="2"/>
        <w:ind w:left="5120"/>
      </w:pPr>
    </w:p>
    <w:tbl>
      <w:tblPr>
        <w:tblStyle w:val="13"/>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145"/>
        <w:gridCol w:w="1593"/>
        <w:gridCol w:w="1670"/>
        <w:gridCol w:w="1426"/>
        <w:gridCol w:w="3688"/>
        <w:gridCol w:w="1644"/>
        <w:gridCol w:w="1783"/>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2" w:hRule="atLeast"/>
          <w:tblHeader/>
        </w:trPr>
        <w:tc>
          <w:tcPr>
            <w:tcW w:w="404"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b/>
                <w:bCs w:val="0"/>
                <w:i w:val="0"/>
                <w:iCs w:val="0"/>
                <w:kern w:val="0"/>
                <w:sz w:val="16"/>
                <w:szCs w:val="16"/>
                <w:u w:val="none"/>
                <w:lang w:val="en-US" w:eastAsia="zh-CN" w:bidi="ar"/>
              </w:rPr>
            </w:pPr>
            <w:r>
              <w:rPr>
                <w:rFonts w:hint="default" w:ascii="Times New Roman" w:hAnsi="Times New Roman" w:cs="Times New Roman" w:eastAsiaTheme="minorEastAsia"/>
                <w:b/>
                <w:bCs w:val="0"/>
                <w:i w:val="0"/>
                <w:iCs w:val="0"/>
                <w:kern w:val="0"/>
                <w:sz w:val="16"/>
                <w:szCs w:val="16"/>
                <w:u w:val="none"/>
                <w:lang w:val="en-US" w:eastAsia="zh-CN" w:bidi="ar"/>
              </w:rPr>
              <w:t>序号</w:t>
            </w:r>
          </w:p>
        </w:tc>
        <w:tc>
          <w:tcPr>
            <w:tcW w:w="562"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b/>
                <w:bCs w:val="0"/>
                <w:i w:val="0"/>
                <w:iCs w:val="0"/>
                <w:kern w:val="0"/>
                <w:sz w:val="16"/>
                <w:szCs w:val="16"/>
                <w:u w:val="none"/>
                <w:lang w:val="en-US" w:eastAsia="zh-CN" w:bidi="ar"/>
              </w:rPr>
            </w:pPr>
            <w:r>
              <w:rPr>
                <w:rFonts w:hint="default" w:ascii="Times New Roman" w:hAnsi="Times New Roman" w:cs="Times New Roman" w:eastAsiaTheme="minorEastAsia"/>
                <w:b/>
                <w:bCs w:val="0"/>
                <w:i w:val="0"/>
                <w:iCs w:val="0"/>
                <w:kern w:val="0"/>
                <w:sz w:val="16"/>
                <w:szCs w:val="16"/>
                <w:u w:val="none"/>
                <w:lang w:val="en-US" w:eastAsia="zh-CN" w:bidi="ar"/>
              </w:rPr>
              <w:t>编码</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b/>
                <w:bCs w:val="0"/>
                <w:i w:val="0"/>
                <w:iCs w:val="0"/>
                <w:kern w:val="0"/>
                <w:sz w:val="16"/>
                <w:szCs w:val="16"/>
                <w:u w:val="none"/>
                <w:lang w:val="en-US" w:eastAsia="zh-CN" w:bidi="ar"/>
              </w:rPr>
            </w:pPr>
            <w:r>
              <w:rPr>
                <w:rFonts w:hint="default" w:ascii="Times New Roman" w:hAnsi="Times New Roman" w:cs="Times New Roman" w:eastAsiaTheme="minorEastAsia"/>
                <w:b/>
                <w:bCs w:val="0"/>
                <w:i w:val="0"/>
                <w:iCs w:val="0"/>
                <w:kern w:val="0"/>
                <w:sz w:val="16"/>
                <w:szCs w:val="16"/>
                <w:u w:val="none"/>
                <w:lang w:val="en-US" w:eastAsia="zh-CN" w:bidi="ar"/>
              </w:rPr>
              <w:t>名称</w:t>
            </w:r>
          </w:p>
        </w:tc>
        <w:tc>
          <w:tcPr>
            <w:tcW w:w="503"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b/>
                <w:bCs w:val="0"/>
                <w:i w:val="0"/>
                <w:iCs w:val="0"/>
                <w:kern w:val="0"/>
                <w:sz w:val="16"/>
                <w:szCs w:val="16"/>
                <w:u w:val="none"/>
                <w:lang w:val="en-US" w:eastAsia="zh-CN" w:bidi="ar"/>
              </w:rPr>
            </w:pPr>
            <w:r>
              <w:rPr>
                <w:rFonts w:hint="default" w:ascii="Times New Roman" w:hAnsi="Times New Roman" w:cs="Times New Roman" w:eastAsiaTheme="minorEastAsia"/>
                <w:b/>
                <w:bCs w:val="0"/>
                <w:i w:val="0"/>
                <w:iCs w:val="0"/>
                <w:kern w:val="0"/>
                <w:sz w:val="16"/>
                <w:szCs w:val="16"/>
                <w:u w:val="none"/>
                <w:lang w:val="en-US" w:eastAsia="zh-CN" w:bidi="ar"/>
              </w:rPr>
              <w:t>类别</w:t>
            </w:r>
          </w:p>
        </w:tc>
        <w:tc>
          <w:tcPr>
            <w:tcW w:w="1301"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b/>
                <w:bCs w:val="0"/>
                <w:i w:val="0"/>
                <w:iCs w:val="0"/>
                <w:kern w:val="0"/>
                <w:sz w:val="16"/>
                <w:szCs w:val="16"/>
                <w:u w:val="none"/>
                <w:lang w:val="en-US" w:eastAsia="zh-CN" w:bidi="ar"/>
              </w:rPr>
            </w:pPr>
            <w:r>
              <w:rPr>
                <w:rFonts w:hint="default" w:ascii="Times New Roman" w:hAnsi="Times New Roman" w:cs="Times New Roman" w:eastAsiaTheme="minorEastAsia"/>
                <w:b/>
                <w:bCs w:val="0"/>
                <w:i w:val="0"/>
                <w:iCs w:val="0"/>
                <w:kern w:val="0"/>
                <w:sz w:val="16"/>
                <w:szCs w:val="16"/>
                <w:u w:val="none"/>
                <w:lang w:val="en-US" w:eastAsia="zh-CN" w:bidi="ar"/>
              </w:rPr>
              <w:t>空间布局约束</w:t>
            </w:r>
          </w:p>
        </w:tc>
        <w:tc>
          <w:tcPr>
            <w:tcW w:w="580"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b/>
                <w:bCs w:val="0"/>
                <w:i w:val="0"/>
                <w:iCs w:val="0"/>
                <w:kern w:val="0"/>
                <w:sz w:val="16"/>
                <w:szCs w:val="16"/>
                <w:u w:val="none"/>
                <w:lang w:val="en-US" w:eastAsia="zh-CN" w:bidi="ar"/>
              </w:rPr>
            </w:pPr>
            <w:r>
              <w:rPr>
                <w:rFonts w:hint="default" w:ascii="Times New Roman" w:hAnsi="Times New Roman" w:cs="Times New Roman" w:eastAsiaTheme="minorEastAsia"/>
                <w:b/>
                <w:bCs w:val="0"/>
                <w:i w:val="0"/>
                <w:iCs w:val="0"/>
                <w:kern w:val="0"/>
                <w:sz w:val="16"/>
                <w:szCs w:val="16"/>
                <w:u w:val="none"/>
                <w:lang w:val="en-US" w:eastAsia="zh-CN" w:bidi="ar"/>
              </w:rPr>
              <w:t>污染物排放管控</w:t>
            </w:r>
          </w:p>
        </w:tc>
        <w:tc>
          <w:tcPr>
            <w:tcW w:w="62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b/>
                <w:bCs w:val="0"/>
                <w:i w:val="0"/>
                <w:iCs w:val="0"/>
                <w:kern w:val="0"/>
                <w:sz w:val="16"/>
                <w:szCs w:val="16"/>
                <w:u w:val="none"/>
                <w:lang w:val="en-US" w:eastAsia="zh-CN" w:bidi="ar"/>
              </w:rPr>
            </w:pPr>
            <w:r>
              <w:rPr>
                <w:rFonts w:hint="default" w:ascii="Times New Roman" w:hAnsi="Times New Roman" w:cs="Times New Roman" w:eastAsiaTheme="minorEastAsia"/>
                <w:b/>
                <w:bCs w:val="0"/>
                <w:i w:val="0"/>
                <w:iCs w:val="0"/>
                <w:kern w:val="0"/>
                <w:sz w:val="16"/>
                <w:szCs w:val="16"/>
                <w:u w:val="none"/>
                <w:lang w:val="en-US" w:eastAsia="zh-CN" w:bidi="ar"/>
              </w:rPr>
              <w:t>环境风险防控</w:t>
            </w:r>
          </w:p>
        </w:tc>
        <w:tc>
          <w:tcPr>
            <w:tcW w:w="428"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b/>
                <w:bCs w:val="0"/>
                <w:i w:val="0"/>
                <w:iCs w:val="0"/>
                <w:kern w:val="0"/>
                <w:sz w:val="16"/>
                <w:szCs w:val="16"/>
                <w:u w:val="none"/>
                <w:lang w:val="en-US" w:eastAsia="zh-CN" w:bidi="ar"/>
              </w:rPr>
            </w:pPr>
            <w:r>
              <w:rPr>
                <w:rFonts w:hint="default" w:ascii="Times New Roman" w:hAnsi="Times New Roman" w:cs="Times New Roman" w:eastAsiaTheme="minorEastAsia"/>
                <w:b/>
                <w:bCs w:val="0"/>
                <w:i w:val="0"/>
                <w:iCs w:val="0"/>
                <w:kern w:val="0"/>
                <w:sz w:val="16"/>
                <w:szCs w:val="16"/>
                <w:u w:val="none"/>
                <w:lang w:val="en-US" w:eastAsia="zh-CN" w:bidi="ar"/>
              </w:rPr>
              <w:t>资源开发效率要求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1</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HY37020020001</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海1</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重点管控单元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保护海域生态环境、航道锚地区水深地形条件，防止航运区淤积。防治船舶污染、海上溢油等污染事故。</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lang w:val="en-US" w:eastAsia="zh-CN"/>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加强海域污染防治和监测，避免对毗邻生态保护区产生不良影响。</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64"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2</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HY37020020002</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海2</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重点管控单元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港口建设应减少对海洋水动力环境、岸滩及海底地形地貌的影响。</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保护海域生态环境，防治港口与船舶污染。</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64"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3</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HY37020020003</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海3</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重点管控单元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及自然岸线。维持海洋水动力环境条件稳定，保障公路、铁路桥梁安全。用海范围内严禁建设其他永久性建筑物。禁止海砂开采、爆破作业等影响桥梁安全的用海活动，避免对桥梁基础设施的冲刷。</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加强海域污染防治和监测。</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4</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HY37020020004</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海4</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重点管控单元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保护海域生态环境。维持航道水深地形条件稳定。</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防治船舶污染、海上溢油等污染事故。加强海域污染防治和监测。</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5</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HY37020020005</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海5</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重点管控单元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及自然岸线。维持海洋水动力环境条件稳定，保障公路、铁路桥梁安全。用海范围内严禁建设其他永久性建筑物。禁止海砂开采、爆破作业等影响桥梁安全的用海活动，避免对桥梁基础设施的冲刷。</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加强海域污染防治和监测，避免对毗邻生态保护区产生不良影响。</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64"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6</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HY37020020006</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海6</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重点管控单元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保护海域生态环境及自然岸线。本海域内的无居民海岛按照无居民海岛清单进行管理。港口建设应减少对海洋水动力环境、岸滩及海底地形地貌的影响。</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加强海洋环境监测，防治港口与船舶污染。</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6"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7</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HY37020020007</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海7</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重点管控单元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保护海域生态环境及锚地区水深地形条件。防治船舶污染、海上溢油等污染事故。加强海域污染防治和监测。</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40"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8</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HY37020020008</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海8</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重点管控单元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保护海域生态环境、自然岸线及渔业资源。维护航道、锚地水深地形条件。本海域内的无居民海岛按照无居民海岛清单进行管理。港口建设应减少对海洋水动力环境、岸滩及海底地形地貌的影响。</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防治港口与船舶污染。加强海域污染防治和监测，避免对毗邻生态保护区产生不良影响。</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9</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HY37020020009</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海9</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重点管控单元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保护海域生态环境及自然岸线，维持港口水深地形条件稳定。防治港口与船舶污染。</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加强海域污染防治和监测，避免对毗邻生态保护区产生不良影响。</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10</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HY37020020010</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海10</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重点管控单元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保护海域生态环境。维持航道水深地形条件稳定。</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防治船舶污染、海上溢油等污染事故。加强海域污染防治和监测。</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11</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HY37020020011</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海11</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重点管控单元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保护海域生态环境及航道、锚地区水深地形条件。防治海上溢油等污染事故。</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加强海域污染防治和监测，避免对毗邻生态保护区产生不良影响。</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40"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12</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HY37020020012</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海12</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重点管控单元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保护海域生态环境、锚地区水深地形条件及海底排污管线。</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防治船舶污染、海上溢油等污染事故。加强海域污染防治和监测，避免对毗邻生态保护区产生影响。</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6"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13</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HY37020020013</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海13</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重点管控单元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保护海域生态环境、航道锚地、自然岸线重要渔业资源及海底电缆管道，维护港区、航道、锚地水深地形条件。加强海洋环境监测。</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64"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14</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HY37020010001</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海14</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优先保护单元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本区域的基本功能为生态控制，允许不破坏生态功能的适度参观旅游和必要的公共服务设施建设。山东崂山国家级风景名胜区范围内的有关活动遵守风景名胜区管理规定。保护海域生态环境、沙滩等自然岸线。</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加强海域污染防治和监测。</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6"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15</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HY37020020014</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海15</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重点管控单元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保护海域生态环境及临近海底电缆管道。加强海域污染防治和监测。</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64"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16</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HY37020020015</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海16</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重点管控单元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保护海域生态环境、沐官岛自然岸线。本海域内的无居民海岛按照无居民海岛清单进行管理。妥善处理有居民海岛生活垃圾。加强海洋环境监测，维持海洋水动力环境条件稳定。</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64"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17</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HY37020020016</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海17</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重点管控单元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保护海域生态环境、海底岩礁及海底排污管线，维持海域水深地形条件。</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加强海洋环境监测，避免对毗邻生态保护区产生不良影响。</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18</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HY37020010002</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海18</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优先保护单元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严格落实《关于加强生态保护红线管理的通知（试行）》（自然资发〔2022〕142号），生态保护红线内自然保护地核心保护区外，禁止开发性、生产性建设活动，在符合法律法规的前提下，仅允许少数对生态功能不造成破坏的有限人为活动。</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19</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HY37020010003</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海19</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优先保护单元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严格落实《关于加强生态保护红线管理的通知（试行）》（自然资发〔2022〕143号），生态保护红线内自然保护地核心保护区外，禁止开发性、生产性建设活动，在符合法律法规的前提下，仅允许少数对生态功能不造成破坏的有限人为活动。</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20</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HY37020010004</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海20</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优先保护单元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严格落实《关于加强生态保护红线管理的通知（试行）》（自然资发〔2022〕144号），生态保护红线内自然保护地核心保护区外，禁止开发性、生产性建设活动，在符合法律法规的前提下，仅允许少数对生态功能不造成破坏的有限人为活动。</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21</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HY37020010005</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海21</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优先保护单元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严格落实《关于加强生态保护红线管理的通知（试行）》（自然资发〔2022〕145号），生态保护红线内自然保护地核心保护区外，禁止开发性、生产性建设活动，在符合法律法规的前提下，仅允许少数对生态功能不造成破坏的有限人为活动。</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22</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HY37020010006</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海22</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优先保护单元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严格落实《关于加强生态保护红线管理的通知（试行）》（自然资发〔2022〕146号），生态保护红线内自然保护地核心保护区外，禁止开发性、生产性建设活动，在符合法律法规的前提下，仅允许少数对生态功能不造成破坏的有限人为活动。</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23</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HY37020010007</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海23</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优先保护单元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严格落实《关于加强生态保护红线管理的通知（试行）》（自然资发〔2022〕147号），生态保护红线内自然保护地核心保护区外，禁止开发性、生产性建设活动，在符合法律法规的前提下，仅允许少数对生态功能不造成破坏的有限人为活动。</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24</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HY37020010009</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海24</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优先保护单元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严格落实《关于加强生态保护红线管理的通知（试行）》（自然资发〔2022〕148号），生态保护红线内自然保护地核心保护区外，禁止开发性、生产性建设活动，在符合法律法规的前提下，仅允许少数对生态功能不造成破坏的有限人为活动。</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25</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HY37020010010</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海25</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优先保护单元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严格落实《关于加强生态保护红线管理的通知（试行）》（自然资发〔2022〕149号），生态保护红线内自然保护地核心保护区外，禁止开发性、生产性建设活动，在符合法律法规的前提下，仅允许少数对生态功能不造成破坏的有限人为活动。</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26</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HY37020010011</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海26</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优先保护单元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严格落实《关于加强生态保护红线管理的通知（试行）》（自然资发〔2022〕150号），生态保护红线内自然保护地核心保护区外，禁止开发性、生产性建设活动，在符合法律法规的前提下，仅允许少数对生态功能不造成破坏的有限人为活动。</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27</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HY37020010012</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海27</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优先保护单元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严格落实《关于加强生态保护红线管理的通知（试行）》（自然资发〔2022〕151号），生态保护红线内自然保护地核心保护区外，禁止开发性、生产性建设活动，在符合法律法规的前提下，仅允许少数对生态功能不造成破坏的有限人为活动。</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28</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HY37020010013</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海28</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优先保护单元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严格落实《关于加强生态保护红线管理的通知（试行）》（自然资发〔2022〕152号），生态保护红线内自然保护地核心保护区外，禁止开发性、生产性建设活动，在符合法律法规的前提下，仅允许少数对生态功能不造成破坏的有限人为活动。</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29</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HY37020010014</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海29</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优先保护单元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严格落实《关于加强生态保护红线管理的通知（试行）》（自然资发〔2022〕153号），生态保护红线内自然保护地核心保护区外，禁止开发性、生产性建设活动，在符合法律法规的前提下，仅允许少数对生态功能不造成破坏的有限人为活动。</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30</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HY37020010015</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海30</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优先保护单元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严格落实《关于加强生态保护红线管理的通知（试行）》（自然资发〔2022〕154号），生态保护红线内自然保护地核心保护区外，禁止开发性、生产性建设活动，在符合法律法规的前提下，仅允许少数对生态功能不造成破坏的有限人为活动。</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31</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HY37020010016</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海31</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优先保护单元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严格落实《关于加强生态保护红线管理的通知（试行）》（自然资发〔2022〕155号），生态保护红线内自然保护地核心保护区外，禁止开发性、生产性建设活动，在符合法律法规的前提下，仅允许少数对生态功能不造成破坏的有限人为活动。</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32</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HY37020010017</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海32</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优先保护单元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严格落实《关于加强生态保护红线管理的通知（试行）》（自然资发〔2022〕156号），生态保护红线内自然保护地核心保护区外，禁止开发性、生产性建设活动，在符合法律法规的前提下，仅允许少数对生态功能不造成破坏的有限人为活动。</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33</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HY37020030001</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海33</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一般管控单元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保护海洋自然生态系统，维持海洋水动力环境条件稳定。保护海域生态环境，</w:t>
            </w:r>
          </w:p>
        </w:tc>
        <w:tc>
          <w:tcPr>
            <w:tcW w:w="580"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加强污水达标排放和海水水质监测，避免对毗邻区域产生影响。</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34</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HY37020030002</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海34</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一般管控单元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保护海域生态环境、西施舌种质资源及自然岸线。保障河口行洪安全。</w:t>
            </w:r>
          </w:p>
        </w:tc>
        <w:tc>
          <w:tcPr>
            <w:tcW w:w="580"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实行陆源污染物入海总量控制，加强海洋环境监测。</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集约节约利用海域空间，支持开展底播、池塘、设施养殖，发展休闲渔业，鼓励立体综合用海。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35</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HY37020030003</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海35</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一般管控单元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系统、渔业资源、自然岸线及海底电缆管道，本海域内的无居民海岛按照无居民海岛清单进行管理。实行陆源污染物入海总量控制。加强海域污染防治和监测，避免对毗邻生态保护区产生不良影响。山东崂山国家级风景名胜区范围内的有关活动遵守风景名胜区管理规定。</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6"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36</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HY37020030004</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海36</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一般管控单元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保护海域生态环境、渔业资源及海底电缆管道。加强海域污染防治和监测。</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6"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37</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HY37020030005</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海37</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一般管控单元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保护海域生态环境、渔业资源及海底电缆管道。加强海域污染防治和监测。</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38</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HY37020030006</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海38</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一般管控单元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保护海域生态环境、渔业资源及海底电缆管道。</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加强海域污染防治和监测，避免对毗邻生态保护区产生不良影响。</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39</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HY37020030007</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海39</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一般管控单元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保护海域生态环境、渔业资源及自然岸线。本海域内的无居民海岛按照无居民海岛清单进行管理。实行陆源污染物入海总量控制。</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加强海域污染防治和监测，避免对毗邻生态保护区产生不良影响。</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40</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HY37020030008</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海40</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一般管控单元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保护海域生态环境、渔业资源及自然岸线。本海域内的无居民海岛按照无居民海岛清单进行管理。实行陆源污染物入海总量控制。</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加强海域污染防治和监测，避免对毗邻生态保护区产生不良影响。</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64"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41</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HY37020030009</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海41</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一般管控单元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保护海域生态环境和传统渔业资源。合理控制海水养殖密度。本海域内的无居民海岛按照无居民海岛清单进行管理。加强海洋环境质量监测和综合治理。</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6"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42</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HY37020030010</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海42</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一般管控单元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保护海域生态环境。实行陆源污染物入海总量控制。加强海域污染防治和监测，避免对毗邻生态保护区产生不良影响。</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6"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43</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HY37020030011</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海43</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一般管控单元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保护海域生态环境。加强海域污染防治和监测，避免对毗邻生态保护区产生不良影响。</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6"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44</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HY37020030012</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海44</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一般管控单元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保护海域生态环境。加强海域污染防治和监测，避免对毗邻生态保护区产生不良影响。</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6"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45</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HY37020030013</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海45</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一般管控单元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保护海域生态环境及自然岸线。严格控制岸线附近的景区建设工程，保持岸线形态、长度和邻近海域底质类型的稳定。加强海域污染防治和监测。</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46</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HY37020030014</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海46</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一般管控单元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保护海域生态环境、自然岸线和沙滩资源，本海域内的无居民海岛按照无居民海岛清单进行管理。</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加强海域污染防治和监测，避免对毗邻生态保护区产生不良影响。</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28"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47</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HY37020030015</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海47</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一般管控单元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保护海域生态环境、田横岛自然岸线、海珍品资源及海底电缆管道。本海域内的无居民海岛按照无居民海岛清单进行管理。妥善处理有居民海岛生活垃圾。</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保持岸线形态、长度和邻近海域底质类型的稳定，加强海域污染防治和监测，避免对毗邻生态保护区产生不良影响。</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64"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48</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HY37020030016</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海48</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一般管控单元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保护海域生态环境。本海域内的无居民海岛按照无居民海岛清单进行管理。保持海岛岸线形态、长度和邻近海域底质类型的稳定。加强海域污染防治和监测。</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49</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HY37020030017</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海49</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一般管控单元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保护自然景观、沙滩和自然岸线。严格控制岸线附近的景区建设工程，保持岸线形态、长度和邻近海域底质类型的稳定。对侵蚀岸段进行合理整治，逐步恢复自然生态环境。保障河道河口行洪安全。</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加强海洋环境质量监测，避免对毗邻生态保护区产生不良影响。</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64"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50</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HY37020030018</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海50</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一般管控单元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自然岸线、竹岔岛自然岸线及海底电缆管道。本海域内的无居民海岛按照无居民海岛清单进行管理。妥善处理有居民海岛生活垃圾。加强海域污染防治和监测，避免对毗邻生态保护区产生不良影响。</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51</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HY37020030019</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海51</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一般管控单元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保护海域生态环境及海底电缆管道。本海域内的无居民海岛按照无居民海岛清单进行管理。</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加强海域污染防治和监测，避免对毗邻生态保护区产生不良影响。</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52</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HY37020020017</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海52</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重点管控单元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保护海域生态环境，维持海洋水动力环境条件稳定。加强倾倒用海监测。</w:t>
            </w:r>
          </w:p>
        </w:tc>
        <w:tc>
          <w:tcPr>
            <w:tcW w:w="580"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禁止倾倒超过规定标准的有毒、有害物质。避免对毗邻区域产生影响。</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53</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HY37020020018</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海53</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重点管控单元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保护海域生态环境，维持海洋水动力环境条件稳定。</w:t>
            </w:r>
          </w:p>
        </w:tc>
        <w:tc>
          <w:tcPr>
            <w:tcW w:w="580"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加强污水达标排放和海水水质监测，避免对毗邻区域产生影响。</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严格控制排污范围，建设或调整时需经科学论证。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54</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HY37020020019</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海54</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重点管控单元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保护海域生态环境，维持海洋水动力环境条件稳定。</w:t>
            </w:r>
          </w:p>
        </w:tc>
        <w:tc>
          <w:tcPr>
            <w:tcW w:w="580"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加强污水达标排放和海水水质监测，避免对毗邻区域产生影响。</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严格控制排污范围，建设或调整时需经科学论证。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40"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55</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HY37020020020</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海55</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重点管控单元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山东崂山国家级风景名胜区范围内的有关活动遵守风景名胜区管理规定。保护海域生态环境及自然岸线，维持海洋水动力环境条件稳定。</w:t>
            </w:r>
          </w:p>
        </w:tc>
        <w:tc>
          <w:tcPr>
            <w:tcW w:w="580"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加强污水达标排放和海水水质监测，避免对毗邻生态保护区产生不良影响。</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56</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HY37020020021</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海56</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重点管控单元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山东崂山国家级风景名胜区范围内的有关活动遵守风景名胜区管理规定。保护海域生态环境，维持海洋水动力环境条件稳定。</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加强污水达标排放和海水水质监测，避免对毗邻区域产生影响。</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6"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57</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HY37020020022</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海57</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重点管控单元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山东崂山国家级风景名胜区范围内的有关活动遵守风景名胜区管理规定。保护海域生态环境，维持海洋水动力环境条件稳定。</w:t>
            </w:r>
          </w:p>
        </w:tc>
        <w:tc>
          <w:tcPr>
            <w:tcW w:w="580"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加强海域污染防治和监测。</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58</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HY37020020023</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海58</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重点管控单元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保护海域生态环境，维持海洋水动力环境条件稳定。加强倾倒用海监测、监视和检查。</w:t>
            </w:r>
          </w:p>
        </w:tc>
        <w:tc>
          <w:tcPr>
            <w:tcW w:w="580"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禁止倾倒超过规定标准的有毒、有害物质。避免对毗邻区域产生影响。</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64"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59</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HY37020020024</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海59</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重点管控单元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保护海域生态环境，维持海洋水动力环境条件稳定。</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加强污水达标排放和海水水质监测避免对毗邻区域产生影响。</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60</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HY37020020025</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海60</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重点管控单元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保护海域生态环境，维持海洋水动力环境条件稳定。</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加强污水达标排放和海水水质监测，避免对毗邻区域产生影响。</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61</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HY37020020026</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海61</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重点管控单元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保护海域生态环境及海底电缆管道，维持海洋水动力环境条件稳定。</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加强污水达标排放和海水水质监测，避免对毗邻区域产生影响。</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62</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HY37020020027</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海62</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重点管控单元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保护海域生态环境，维持海洋水动力环境条件稳定。</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加强污水达标排放和海水水质监测，避免对毗邻区域产生影响。</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63</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HY37020020028</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海63</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重点管控单元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保护海域生态环境，维持海洋水动力环境条件稳定。</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加强污水达标排放和海水水质监测，避免对毗邻生态保护区产生不良影响。</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64</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HY37020020029</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海64</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重点管控单元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保护海域生态环境，维持海洋水动力环境条件稳定。加强倾倒用海监测、监视和检查。</w:t>
            </w:r>
          </w:p>
        </w:tc>
        <w:tc>
          <w:tcPr>
            <w:tcW w:w="580"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禁止倾倒超过规定标准的有毒、有害物质。避免对毗邻区域产生影响。</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65</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HY37020020030</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海65</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重点管控单元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保护海域生态系统，维持海洋水动力环境条件稳定。</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加强污水达标排放和海水水质监测，避免对毗邻区域产生影响。</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6"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66</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HY37020020031</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海66</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重点管控单元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保护海域生态环境及自然岸线，维持海洋水动力环境条件稳定。</w:t>
            </w:r>
          </w:p>
        </w:tc>
        <w:tc>
          <w:tcPr>
            <w:tcW w:w="580"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加强海域污染防治和监测。</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67</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HY37020020032</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海67</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重点管控单元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保护海域生态系统，维持海洋水动力环境条件稳定。</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加强污水达标排放和海水水质监测，避免对毗邻区域产生影响。</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68</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HY37020020033</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海68</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重点管控单元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保护海域生态系统，维持海洋水动力环境条件稳定。</w:t>
            </w:r>
          </w:p>
        </w:tc>
        <w:tc>
          <w:tcPr>
            <w:tcW w:w="580"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加强污水达标排放和用海监测、监视和检查，避免对毗邻区域产生影响。</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40"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69</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HY37020020034</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海69</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重点管控单元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保护海域生态环境，维持海洋水动力环境条件稳定。</w:t>
            </w:r>
          </w:p>
        </w:tc>
        <w:tc>
          <w:tcPr>
            <w:tcW w:w="580"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加强倾倒用海监测。禁止倾倒超过规定标准的有毒、有害物质。避免对毗邻区域产生影响。</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70</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HY37020020035</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海70</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重点管控单元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保护海域生态环境，维持海洋水动力环境条件稳定。加强倾倒用海监测。</w:t>
            </w:r>
          </w:p>
        </w:tc>
        <w:tc>
          <w:tcPr>
            <w:tcW w:w="580"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禁止倾倒超过规定标准的有毒、有害物质。避免对毗邻区域产生影响。</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40"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71</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HY37020020036</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海71</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重点管控单元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保护海域生态环境及海底电缆管道，维持海洋水动力环境条件稳定。</w:t>
            </w:r>
          </w:p>
        </w:tc>
        <w:tc>
          <w:tcPr>
            <w:tcW w:w="580"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加强污水达标排放和海水水质监测，避免对毗邻生态保护区产生不良影响。</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72</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HY37020020037</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海72</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重点管控单元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保护海域生态环境，维持海洋水动力环境条件稳定。加强倾倒用海监测。</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禁止倾倒超过规定标准的有毒、有害物质。避免对毗邻区域产生影响。</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73</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HY37020020038</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海73</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重点管控单元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保护海域生态环境，维持海洋水动力环境条件稳定。加强倾倒用海监测。</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禁止倾倒超过规定标准的有毒、有害物质。避免对毗邻区域产生影响。</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74</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HY37020020039</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海74</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重点管控单元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保护海域生态环境。严格控制水下施工用海活动。</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加强海域污染防治和监测，避免对毗邻生态保护区产生不良影响。</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75</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HY37020020040</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海75</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重点管控单元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保护海域生态环境，维持海洋水动力环境条件稳定。</w:t>
            </w:r>
          </w:p>
        </w:tc>
        <w:tc>
          <w:tcPr>
            <w:tcW w:w="580"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严格实行工业污水达标排放。加强海域污染防治和动态监测。</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64"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76</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HY37020020041</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海76</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重点管控单元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保护海域生态环境及自然岸线。本海域内的无居民海岛按照无居民海岛清单进行管理。港口建设应减少对海洋水动力环境、岸滩及海底地形地貌的影响。</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加强海洋环境监测，防治港口与船舶污染。</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77</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HY37020020042</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海77</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重点管控单元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保护海域生态环境、锚地区水深地形条件，防止航运区淤积。防治船舶污染、海上溢油等污染事故。</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加强海域污染防治和监测，避免对毗邻生态保护区产生不良影响。</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40"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78</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HY37020010018</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海78</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优先保护单元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保护大沽河、白沙河、墨水河、洋河、跃进河等河口海域生态环境及自然岸线。</w:t>
            </w:r>
          </w:p>
        </w:tc>
        <w:tc>
          <w:tcPr>
            <w:tcW w:w="580"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减少周边海域环境点面源污染，严格实行入海污染物总量控制。加强海域污染防治和监测。</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6"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79</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HY37020010022</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海79</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优先保护单元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保护海域生态环境、沙滩等自然岸线。</w:t>
            </w:r>
          </w:p>
        </w:tc>
        <w:tc>
          <w:tcPr>
            <w:tcW w:w="580"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加强海域污染防治和监测。</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6"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80</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HY37020010028</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海80</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优先保护单元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保护海域生态环境、沙滩等自然岸线。</w:t>
            </w:r>
          </w:p>
        </w:tc>
        <w:tc>
          <w:tcPr>
            <w:tcW w:w="580"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加强海域污染防治和监测。</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6"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81</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HY37020010038</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海81</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优先保护单元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保护沙滩等自然岸线及海域生态环境。本区域内无居民海岛纳入生态保护红线管理。</w:t>
            </w:r>
          </w:p>
        </w:tc>
        <w:tc>
          <w:tcPr>
            <w:tcW w:w="580"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加强海域污染防治和监测。</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6"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82</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HY37020010040</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海82</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优先保护单元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保护海域生态环境、自然岸线及海底隧道。</w:t>
            </w:r>
          </w:p>
        </w:tc>
        <w:tc>
          <w:tcPr>
            <w:tcW w:w="580"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加强海域污染防治和监测。</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6"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83</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HY37020010051</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海83</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优先保护单元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保护岩礁等自然岸线和海域生态环境。</w:t>
            </w:r>
          </w:p>
        </w:tc>
        <w:tc>
          <w:tcPr>
            <w:tcW w:w="580"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加强海域污染防治和监测。</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84</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HY37020010053</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海84</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优先保护单元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保护沙滩自然岸线及流清河口生态系统。保障流清河口生态系统完整和行洪安全。</w:t>
            </w:r>
          </w:p>
        </w:tc>
        <w:tc>
          <w:tcPr>
            <w:tcW w:w="580"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实行陆源污染物入海总量控制。加强海域污染防治和监测。</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6"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85</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HY37020010057</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海85</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优先保护单元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保护海域生态环境及自然岸线。保证中部潮流通道的畅通，确保湾内纳潮量不减少。禁止排污、倾倒废弃物等不利于环境保护与资源恢复行为。</w:t>
            </w:r>
          </w:p>
        </w:tc>
        <w:tc>
          <w:tcPr>
            <w:tcW w:w="580"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加强海域污染防治和监测。</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6"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86</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HY37020010065</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海86</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优先保护单元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保护海域生态环境和渔业资源。</w:t>
            </w:r>
          </w:p>
        </w:tc>
        <w:tc>
          <w:tcPr>
            <w:tcW w:w="580"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加强海域污染防治和监测。</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87</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HY37020010067</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海87</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优先保护单元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严格落实《关于加强生态保护红线管理的通知（试行）》（自然资发〔2022〕156号），生态保护红线内自然保护地核心保护区外，禁止开发性、生产性建设活动，在符合法律法规的前提下，仅允许少数对生态功能不造成破坏的有限人为活动。</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88</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HY37020010069</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海88</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优先保护单元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严格落实《关于加强生态保护红线管理的通知（试行）》（自然资发〔2022〕157号），生态保护红线内自然保护地核心保护区外，禁止开发性、生产性建设活动，在符合法律法规的前提下，仅允许少数对生态功能不造成破坏的有限人为活动。</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89</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HY37020010071</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海89</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优先保护单元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严格落实《关于加强生态保护红线管理的通知（试行）》（自然资发〔2022〕158号），生态保护红线内自然保护地核心保护区外，禁止开发性、生产性建设活动，在符合法律法规的前提下，仅允许少数对生态功能不造成破坏的有限人为活动。</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90</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HY37020010073</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海90</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优先保护单元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严格落实《关于加强生态保护红线管理的通知（试行）》（自然资发〔2022〕159号），生态保护红线内自然保护地核心保护区外，禁止开发性、生产性建设活动，在符合法律法规的前提下，仅允许少数对生态功能不造成破坏的有限人为活动。</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64"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91</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HY37020030020</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海91</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一般管控单元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保护海域生态环境、渔业资源及自然岸线。本海域内的无居民海岛按照无居民海岛清单进行管理。</w:t>
            </w:r>
          </w:p>
        </w:tc>
        <w:tc>
          <w:tcPr>
            <w:tcW w:w="580"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加强海洋环境监测，防治陆源污染和养殖废水污染。</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64"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92</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HY37020030025</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海92</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一般管控单元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保护海域生态环境、渔业资源、自然岸线、航道锚地及海底电缆管道。本海域内的无居民海岛按照无居民海岛清单进行管理。</w:t>
            </w:r>
          </w:p>
        </w:tc>
        <w:tc>
          <w:tcPr>
            <w:tcW w:w="580"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实行陆源污染物入海总量控制。</w:t>
            </w:r>
          </w:p>
        </w:tc>
        <w:tc>
          <w:tcPr>
            <w:tcW w:w="629"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加强海洋环境监测，避免对毗邻生态保护区产生不良影响。</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93</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HY37020030027</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海93</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一般管控单元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保护海域生态环境及渔业资源。严格控制水下施工用海活动。加强渔业资源养护，严格执行休渔制度。</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加强海域污染防治和监测，避免对毗邻生态保护区产生不良影响。</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64"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94</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HY37020030031</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海94</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一般管控单元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保护海域生态环境、渔业资源。本海域内的无居民海岛按照无居民海岛清单进行管理。</w:t>
            </w:r>
          </w:p>
        </w:tc>
        <w:tc>
          <w:tcPr>
            <w:tcW w:w="580"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实行陆源污染物入海总量控制。</w:t>
            </w:r>
          </w:p>
        </w:tc>
        <w:tc>
          <w:tcPr>
            <w:tcW w:w="629"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加强海洋环境监测，避免对毗邻生态保护区产生不良影响。</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95</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HY37020030033</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海95</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一般管控单元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保护海域生态环境。本海域内的无居民海岛按照无居民海岛清单进行管理。</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加强海域污染防治和监测，避免对毗邻生态保护区产生不良影响。</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96</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HY37020030035</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海96</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一般管控单元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保护海域生态系统、自然岸线、沙滩、礁石、温泉资源。本海域内的无居民海岛按照无居民海岛清单进行管理。</w:t>
            </w:r>
          </w:p>
        </w:tc>
        <w:tc>
          <w:tcPr>
            <w:tcW w:w="580"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严格控制陆源污染。</w:t>
            </w:r>
          </w:p>
        </w:tc>
        <w:tc>
          <w:tcPr>
            <w:tcW w:w="629"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加强海域污染防治和监测，避免对毗邻生态保护区产生不良影响。</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97</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HY37020030037</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海97</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一般管控单元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大小管岛自然岸线、海岛生态系统及海珍品资源。本海域内的无居民海岛按照无居民海岛清单进行管理。妥善处理有居民海岛生活垃圾。严格控制海岛岸线附近的景区建设工程，严格限制在海岛岸边采挖砂石。</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加强海域污染防治和监测，避免对毗邻生态保护区产生不良影响。</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98</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HY37020020044</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海98</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重点管控单元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保护海域生态环境，维持海洋水动力环境条件稳定。</w:t>
            </w:r>
          </w:p>
        </w:tc>
        <w:tc>
          <w:tcPr>
            <w:tcW w:w="580"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加强污水达标排放和海水水质监测，避免对毗邻区域产生影响。</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99</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HY37020020048</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海99</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重点管控单元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保护海域生态环境、灵山岛自然岸线及海底电缆管道。本海域内的无居民海岛按照无居民海岛清单进行管理。妥善处理有居民海岛生活垃圾。</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加强海域污染防治和监测，避免对毗连生态保护区产生不良影响。</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100</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HY37020020049</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海100</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重点管控单元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保护海域生态环境、灵山岛自然岸线及海底电缆管道。本海域内的无居民海岛按照无居民海岛清单进行管理。妥善处理有居民海岛生活垃圾。</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加强海域污染防治和监测，避免对毗连生态保护区产生不良影响。</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2" w:hRule="atLeast"/>
        </w:trPr>
        <w:tc>
          <w:tcPr>
            <w:tcW w:w="404"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101</w:t>
            </w:r>
          </w:p>
        </w:tc>
        <w:tc>
          <w:tcPr>
            <w:tcW w:w="562" w:type="pct"/>
            <w:shd w:val="clear" w:color="auto" w:fill="auto"/>
            <w:noWrap/>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HY37020010075</w:t>
            </w:r>
          </w:p>
        </w:tc>
        <w:tc>
          <w:tcPr>
            <w:tcW w:w="589"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lang w:val="en-US" w:eastAsia="zh-CN" w:bidi="ar"/>
              </w:rPr>
            </w:pPr>
            <w:r>
              <w:rPr>
                <w:rFonts w:hint="default" w:ascii="Times New Roman" w:hAnsi="Times New Roman" w:cs="Times New Roman" w:eastAsiaTheme="minorEastAsia"/>
                <w:i w:val="0"/>
                <w:iCs w:val="0"/>
                <w:kern w:val="0"/>
                <w:sz w:val="16"/>
                <w:szCs w:val="16"/>
                <w:u w:val="none"/>
                <w:lang w:val="en-US" w:eastAsia="zh-CN" w:bidi="ar"/>
              </w:rPr>
              <w:t>海101</w:t>
            </w:r>
          </w:p>
        </w:tc>
        <w:tc>
          <w:tcPr>
            <w:tcW w:w="503" w:type="pct"/>
            <w:shd w:val="clear" w:color="auto" w:fill="auto"/>
            <w:vAlign w:val="center"/>
          </w:tcPr>
          <w:p>
            <w:pPr>
              <w:keepNext w:val="0"/>
              <w:keepLines w:val="0"/>
              <w:widowControl/>
              <w:suppressLineNumbers w:val="0"/>
              <w:snapToGrid w:val="0"/>
              <w:jc w:val="center"/>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优先保护单元</w:t>
            </w:r>
          </w:p>
        </w:tc>
        <w:tc>
          <w:tcPr>
            <w:tcW w:w="1301" w:type="pct"/>
            <w:shd w:val="clear" w:color="auto" w:fill="auto"/>
            <w:vAlign w:val="center"/>
          </w:tcPr>
          <w:p>
            <w:pPr>
              <w:keepNext w:val="0"/>
              <w:keepLines w:val="0"/>
              <w:widowControl/>
              <w:suppressLineNumbers w:val="0"/>
              <w:snapToGrid w:val="0"/>
              <w:jc w:val="left"/>
              <w:textAlignment w:val="auto"/>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bidi="ar"/>
              </w:rPr>
              <w:t>严格落实《关于加强生态保护红线管理的通知（试行）》（自然资发〔2022〕159号），生态保护红线内自然保护地核心保护区外，禁止开发性、生产性建设活动，在符合法律法规的前提下，仅允许少数对生态功能不造成破坏的有限人为活动。</w:t>
            </w:r>
          </w:p>
        </w:tc>
        <w:tc>
          <w:tcPr>
            <w:tcW w:w="580"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629"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c>
          <w:tcPr>
            <w:tcW w:w="428" w:type="pct"/>
            <w:shd w:val="clear" w:color="auto" w:fill="auto"/>
            <w:vAlign w:val="center"/>
          </w:tcPr>
          <w:p>
            <w:pPr>
              <w:snapToGrid w:val="0"/>
              <w:jc w:val="center"/>
              <w:rPr>
                <w:rFonts w:hint="default" w:ascii="Times New Roman" w:hAnsi="Times New Roman" w:cs="Times New Roman" w:eastAsiaTheme="minorEastAsia"/>
                <w:i w:val="0"/>
                <w:iCs w:val="0"/>
                <w:kern w:val="0"/>
                <w:sz w:val="16"/>
                <w:szCs w:val="16"/>
                <w:u w:val="none"/>
              </w:rPr>
            </w:pPr>
            <w:r>
              <w:rPr>
                <w:rFonts w:hint="default" w:ascii="Times New Roman" w:hAnsi="Times New Roman" w:cs="Times New Roman" w:eastAsiaTheme="minorEastAsia"/>
                <w:i w:val="0"/>
                <w:iCs w:val="0"/>
                <w:kern w:val="0"/>
                <w:sz w:val="16"/>
                <w:szCs w:val="16"/>
                <w:u w:val="none"/>
                <w:lang w:val="en-US" w:eastAsia="zh-CN"/>
              </w:rPr>
              <w:t>-</w:t>
            </w:r>
          </w:p>
        </w:tc>
      </w:tr>
    </w:tbl>
    <w:p>
      <w:pPr>
        <w:pStyle w:val="2"/>
        <w:ind w:left="5120"/>
      </w:pPr>
    </w:p>
    <w:p>
      <w:pPr>
        <w:rPr>
          <w:rFonts w:ascii="Times New Roman" w:hAnsi="Times New Roman" w:cs="Times New Roman"/>
        </w:rPr>
      </w:pPr>
    </w:p>
    <w:p>
      <w:pPr>
        <w:rPr>
          <w:rFonts w:hint="default"/>
          <w:lang w:val="en-US" w:eastAsia="zh-CN"/>
        </w:rPr>
      </w:pPr>
    </w:p>
    <w:sectPr>
      <w:pgSz w:w="16838" w:h="11906" w:orient="landscape"/>
      <w:pgMar w:top="1797" w:right="1440" w:bottom="1797" w:left="1440" w:header="851" w:footer="992" w:gutter="0"/>
      <w:pgNumType w:fmt="decimal"/>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Arial Unicode MS">
    <w:altName w:val="宋体"/>
    <w:panose1 w:val="020B0604020202020204"/>
    <w:charset w:val="86"/>
    <w:family w:val="auto"/>
    <w:pitch w:val="default"/>
    <w:sig w:usb0="00000000" w:usb1="00000000" w:usb2="0000003F" w:usb3="00000000" w:csb0="603F01FF" w:csb1="FFFF0000"/>
  </w:font>
  <w:font w:name="方正小标宋简体">
    <w:panose1 w:val="02010601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Times New Roman Regular">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6"/>
                            <w:rPr>
                              <w:rFonts w:ascii="宋体" w:hAnsi="宋体" w:cs="宋体"/>
                              <w:sz w:val="28"/>
                              <w:szCs w:val="44"/>
                            </w:rPr>
                          </w:pPr>
                          <w:r>
                            <w:rPr>
                              <w:rFonts w:hint="eastAsia" w:ascii="宋体" w:hAnsi="宋体" w:cs="宋体"/>
                              <w:sz w:val="28"/>
                              <w:szCs w:val="44"/>
                            </w:rPr>
                            <w:fldChar w:fldCharType="begin"/>
                          </w:r>
                          <w:r>
                            <w:rPr>
                              <w:rFonts w:hint="eastAsia" w:ascii="宋体" w:hAnsi="宋体" w:cs="宋体"/>
                              <w:sz w:val="28"/>
                              <w:szCs w:val="44"/>
                            </w:rPr>
                            <w:instrText xml:space="preserve"> PAGE  \* MERGEFORMAT </w:instrText>
                          </w:r>
                          <w:r>
                            <w:rPr>
                              <w:rFonts w:hint="eastAsia" w:ascii="宋体" w:hAnsi="宋体" w:cs="宋体"/>
                              <w:sz w:val="28"/>
                              <w:szCs w:val="44"/>
                            </w:rPr>
                            <w:fldChar w:fldCharType="separate"/>
                          </w:r>
                          <w:r>
                            <w:rPr>
                              <w:rFonts w:ascii="宋体" w:hAnsi="宋体" w:cs="宋体"/>
                              <w:sz w:val="28"/>
                              <w:szCs w:val="44"/>
                            </w:rPr>
                            <w:t>2</w:t>
                          </w:r>
                          <w:r>
                            <w:rPr>
                              <w:rFonts w:hint="eastAsia" w:ascii="宋体" w:hAnsi="宋体" w:cs="宋体"/>
                              <w:sz w:val="28"/>
                              <w:szCs w:val="44"/>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NJWO7QAAAABQEAAA8AAAAAAAAAAQAgAAAAIgAAAGRycy9kb3ducmV2&#10;LnhtbFBLAQIUABQAAAAIAIdO4kDOoES+ywEAAJYDAAAOAAAAAAAAAAEAIAAAAB8BAABkcnMvZTJv&#10;RG9jLnhtbFBLBQYAAAAABgAGAFkBAABcBQAAAAA=&#10;">
              <v:fill on="f" focussize="0,0"/>
              <v:stroke on="f" weight="0.5pt"/>
              <v:imagedata o:title=""/>
              <o:lock v:ext="edit" aspectratio="f"/>
              <v:textbox inset="0mm,0mm,0mm,0mm" style="mso-fit-shape-to-text:t;">
                <w:txbxContent>
                  <w:p>
                    <w:pPr>
                      <w:pStyle w:val="6"/>
                      <w:rPr>
                        <w:rFonts w:ascii="宋体" w:hAnsi="宋体" w:cs="宋体"/>
                        <w:sz w:val="28"/>
                        <w:szCs w:val="44"/>
                      </w:rPr>
                    </w:pPr>
                    <w:r>
                      <w:rPr>
                        <w:rFonts w:hint="eastAsia" w:ascii="宋体" w:hAnsi="宋体" w:cs="宋体"/>
                        <w:sz w:val="28"/>
                        <w:szCs w:val="44"/>
                      </w:rPr>
                      <w:fldChar w:fldCharType="begin"/>
                    </w:r>
                    <w:r>
                      <w:rPr>
                        <w:rFonts w:hint="eastAsia" w:ascii="宋体" w:hAnsi="宋体" w:cs="宋体"/>
                        <w:sz w:val="28"/>
                        <w:szCs w:val="44"/>
                      </w:rPr>
                      <w:instrText xml:space="preserve"> PAGE  \* MERGEFORMAT </w:instrText>
                    </w:r>
                    <w:r>
                      <w:rPr>
                        <w:rFonts w:hint="eastAsia" w:ascii="宋体" w:hAnsi="宋体" w:cs="宋体"/>
                        <w:sz w:val="28"/>
                        <w:szCs w:val="44"/>
                      </w:rPr>
                      <w:fldChar w:fldCharType="separate"/>
                    </w:r>
                    <w:r>
                      <w:rPr>
                        <w:rFonts w:ascii="宋体" w:hAnsi="宋体" w:cs="宋体"/>
                        <w:sz w:val="28"/>
                        <w:szCs w:val="44"/>
                      </w:rPr>
                      <w:t>2</w:t>
                    </w:r>
                    <w:r>
                      <w:rPr>
                        <w:rFonts w:hint="eastAsia" w:ascii="宋体" w:hAnsi="宋体" w:cs="宋体"/>
                        <w:sz w:val="28"/>
                        <w:szCs w:val="4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I</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6"/>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I</w:t>
                    </w:r>
                    <w:r>
                      <w:rPr>
                        <w:rFonts w:ascii="Times New Roman" w:hAnsi="Times New Roman" w:cs="Times New Roma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8708713"/>
    </w:sdtPr>
    <w:sdtEndPr>
      <w:rPr>
        <w:rFonts w:ascii="Times New Roman" w:hAnsi="Times New Roman" w:cs="Times New Roman"/>
      </w:rPr>
    </w:sdtEndPr>
    <w:sdtContent>
      <w:p>
        <w:pPr>
          <w:pStyle w:val="6"/>
          <w:jc w:val="cente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8</w:t>
        </w:r>
        <w:r>
          <w:rPr>
            <w:rFonts w:ascii="Times New Roman" w:hAnsi="Times New Roman" w:cs="Times New Roman"/>
          </w:rPr>
          <w:fldChar w:fldCharType="end"/>
        </w:r>
      </w:p>
    </w:sdtContent>
  </w:sdt>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HorizontalSpacing w:val="158"/>
  <w:drawingGridVerticalSpacing w:val="2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NmZmM1ZGMxMzZiNDhlZGFlNGU2YzE4MjUwZTA5YTIifQ=="/>
    <w:docVar w:name="KSO_WPS_MARK_KEY" w:val="7ab95a98-b164-4ffd-bd73-22b4abb593bc"/>
  </w:docVars>
  <w:rsids>
    <w:rsidRoot w:val="00CD0C64"/>
    <w:rsid w:val="00036BE1"/>
    <w:rsid w:val="00101930"/>
    <w:rsid w:val="00104065"/>
    <w:rsid w:val="001B2D76"/>
    <w:rsid w:val="001C693A"/>
    <w:rsid w:val="0024164A"/>
    <w:rsid w:val="002722E1"/>
    <w:rsid w:val="002934F8"/>
    <w:rsid w:val="002F4C71"/>
    <w:rsid w:val="003C335B"/>
    <w:rsid w:val="00462005"/>
    <w:rsid w:val="00463068"/>
    <w:rsid w:val="004A0D61"/>
    <w:rsid w:val="00513202"/>
    <w:rsid w:val="005D6B62"/>
    <w:rsid w:val="006B0737"/>
    <w:rsid w:val="006F11F0"/>
    <w:rsid w:val="00715101"/>
    <w:rsid w:val="00722053"/>
    <w:rsid w:val="008F799A"/>
    <w:rsid w:val="00974B11"/>
    <w:rsid w:val="009875F6"/>
    <w:rsid w:val="00A3671E"/>
    <w:rsid w:val="00A57DC9"/>
    <w:rsid w:val="00B40FDA"/>
    <w:rsid w:val="00C471EE"/>
    <w:rsid w:val="00CC54C1"/>
    <w:rsid w:val="00CD0C64"/>
    <w:rsid w:val="00CD4FAE"/>
    <w:rsid w:val="00D348C5"/>
    <w:rsid w:val="00D51528"/>
    <w:rsid w:val="00DE309D"/>
    <w:rsid w:val="00E61D75"/>
    <w:rsid w:val="00EA10F3"/>
    <w:rsid w:val="00F35FDD"/>
    <w:rsid w:val="00F85324"/>
    <w:rsid w:val="010D07BE"/>
    <w:rsid w:val="01D97989"/>
    <w:rsid w:val="01EA504B"/>
    <w:rsid w:val="02AA6226"/>
    <w:rsid w:val="02AE1145"/>
    <w:rsid w:val="033C0E47"/>
    <w:rsid w:val="03B718C2"/>
    <w:rsid w:val="04135B27"/>
    <w:rsid w:val="042B7C08"/>
    <w:rsid w:val="0448543C"/>
    <w:rsid w:val="04686C05"/>
    <w:rsid w:val="049A1BEE"/>
    <w:rsid w:val="04E91ACE"/>
    <w:rsid w:val="05161E1F"/>
    <w:rsid w:val="05D13B57"/>
    <w:rsid w:val="066F4376"/>
    <w:rsid w:val="07166720"/>
    <w:rsid w:val="07255BA9"/>
    <w:rsid w:val="075754DE"/>
    <w:rsid w:val="07620D9D"/>
    <w:rsid w:val="07C33188"/>
    <w:rsid w:val="07DA5A05"/>
    <w:rsid w:val="08B64EB3"/>
    <w:rsid w:val="09042EFA"/>
    <w:rsid w:val="090A2482"/>
    <w:rsid w:val="092E4D8E"/>
    <w:rsid w:val="09AF5ECF"/>
    <w:rsid w:val="0A36067C"/>
    <w:rsid w:val="0A3A6658"/>
    <w:rsid w:val="0AA25856"/>
    <w:rsid w:val="0ABD34CD"/>
    <w:rsid w:val="0ABF4A55"/>
    <w:rsid w:val="0AD318DC"/>
    <w:rsid w:val="0AE46FE6"/>
    <w:rsid w:val="0B9A3888"/>
    <w:rsid w:val="0C211FAF"/>
    <w:rsid w:val="0C3309B8"/>
    <w:rsid w:val="0C9E611B"/>
    <w:rsid w:val="0CA01062"/>
    <w:rsid w:val="0CBA54CB"/>
    <w:rsid w:val="0D2D5F02"/>
    <w:rsid w:val="0D464CEE"/>
    <w:rsid w:val="0D9D57F1"/>
    <w:rsid w:val="0DD52D28"/>
    <w:rsid w:val="0DE43A82"/>
    <w:rsid w:val="0DF030EB"/>
    <w:rsid w:val="0E39045D"/>
    <w:rsid w:val="0E7019A5"/>
    <w:rsid w:val="0F3C5371"/>
    <w:rsid w:val="0F447B98"/>
    <w:rsid w:val="0FCE583F"/>
    <w:rsid w:val="100E50E1"/>
    <w:rsid w:val="10387414"/>
    <w:rsid w:val="104B5DF8"/>
    <w:rsid w:val="11182B04"/>
    <w:rsid w:val="113009CA"/>
    <w:rsid w:val="11667AB9"/>
    <w:rsid w:val="124473D0"/>
    <w:rsid w:val="13494DE8"/>
    <w:rsid w:val="13622204"/>
    <w:rsid w:val="13C02C80"/>
    <w:rsid w:val="13E62A70"/>
    <w:rsid w:val="13E74336"/>
    <w:rsid w:val="15003A82"/>
    <w:rsid w:val="169B540B"/>
    <w:rsid w:val="16DD4854"/>
    <w:rsid w:val="17684D95"/>
    <w:rsid w:val="17CC57A6"/>
    <w:rsid w:val="18E1335F"/>
    <w:rsid w:val="197433B9"/>
    <w:rsid w:val="1977452F"/>
    <w:rsid w:val="19CE4A0B"/>
    <w:rsid w:val="19D200D6"/>
    <w:rsid w:val="19F03C04"/>
    <w:rsid w:val="1A9B4944"/>
    <w:rsid w:val="1AA7509C"/>
    <w:rsid w:val="1AC937FD"/>
    <w:rsid w:val="1B8558EE"/>
    <w:rsid w:val="1B912E98"/>
    <w:rsid w:val="1BF50626"/>
    <w:rsid w:val="1C7522B1"/>
    <w:rsid w:val="1CAD1CD2"/>
    <w:rsid w:val="1D6E0124"/>
    <w:rsid w:val="1F03523E"/>
    <w:rsid w:val="1F171E1D"/>
    <w:rsid w:val="1FA40E26"/>
    <w:rsid w:val="20B51A11"/>
    <w:rsid w:val="20C44E0F"/>
    <w:rsid w:val="20DF4620"/>
    <w:rsid w:val="21352935"/>
    <w:rsid w:val="21594433"/>
    <w:rsid w:val="215D170A"/>
    <w:rsid w:val="218156D7"/>
    <w:rsid w:val="21AA2676"/>
    <w:rsid w:val="22266AF2"/>
    <w:rsid w:val="233A686A"/>
    <w:rsid w:val="23647A04"/>
    <w:rsid w:val="23AC3027"/>
    <w:rsid w:val="23AE648F"/>
    <w:rsid w:val="25AE495F"/>
    <w:rsid w:val="263A2B6C"/>
    <w:rsid w:val="26560A0B"/>
    <w:rsid w:val="266B5817"/>
    <w:rsid w:val="26F7412E"/>
    <w:rsid w:val="27414AFB"/>
    <w:rsid w:val="27417CB1"/>
    <w:rsid w:val="279C5FC6"/>
    <w:rsid w:val="27B80676"/>
    <w:rsid w:val="289E349A"/>
    <w:rsid w:val="28B07F21"/>
    <w:rsid w:val="28FE2577"/>
    <w:rsid w:val="29177195"/>
    <w:rsid w:val="2A151ADB"/>
    <w:rsid w:val="2A18258A"/>
    <w:rsid w:val="2A5D00C7"/>
    <w:rsid w:val="2A684E58"/>
    <w:rsid w:val="2A7C5960"/>
    <w:rsid w:val="2AC0688B"/>
    <w:rsid w:val="2B03512A"/>
    <w:rsid w:val="2B111772"/>
    <w:rsid w:val="2B310017"/>
    <w:rsid w:val="2BC74EA2"/>
    <w:rsid w:val="2C2A2316"/>
    <w:rsid w:val="2C5A1829"/>
    <w:rsid w:val="2C5B768C"/>
    <w:rsid w:val="2C775A81"/>
    <w:rsid w:val="2CD606EC"/>
    <w:rsid w:val="2DB73B66"/>
    <w:rsid w:val="2DB902FA"/>
    <w:rsid w:val="2DBB7962"/>
    <w:rsid w:val="2DCF003E"/>
    <w:rsid w:val="2E0E6161"/>
    <w:rsid w:val="2ECA30E2"/>
    <w:rsid w:val="2F2A58D9"/>
    <w:rsid w:val="2F935C5D"/>
    <w:rsid w:val="30422BBA"/>
    <w:rsid w:val="30493864"/>
    <w:rsid w:val="30A52F14"/>
    <w:rsid w:val="317E7D03"/>
    <w:rsid w:val="31DC1342"/>
    <w:rsid w:val="32022D04"/>
    <w:rsid w:val="32764F2C"/>
    <w:rsid w:val="32A777DC"/>
    <w:rsid w:val="330C5088"/>
    <w:rsid w:val="3332434D"/>
    <w:rsid w:val="33490FBF"/>
    <w:rsid w:val="339043B9"/>
    <w:rsid w:val="339C4E66"/>
    <w:rsid w:val="33E24F70"/>
    <w:rsid w:val="34485E41"/>
    <w:rsid w:val="3521783B"/>
    <w:rsid w:val="35647CDB"/>
    <w:rsid w:val="356B39FB"/>
    <w:rsid w:val="356B602B"/>
    <w:rsid w:val="356E661C"/>
    <w:rsid w:val="3592302E"/>
    <w:rsid w:val="36040B4B"/>
    <w:rsid w:val="36570F69"/>
    <w:rsid w:val="368723A1"/>
    <w:rsid w:val="36AE32FA"/>
    <w:rsid w:val="372930B7"/>
    <w:rsid w:val="37B63DE0"/>
    <w:rsid w:val="37C24C19"/>
    <w:rsid w:val="37CA2FBB"/>
    <w:rsid w:val="38677078"/>
    <w:rsid w:val="3882760F"/>
    <w:rsid w:val="38C32995"/>
    <w:rsid w:val="38CB463C"/>
    <w:rsid w:val="394E2456"/>
    <w:rsid w:val="398052B4"/>
    <w:rsid w:val="399421E6"/>
    <w:rsid w:val="39AB5E03"/>
    <w:rsid w:val="3A243B10"/>
    <w:rsid w:val="3A71699C"/>
    <w:rsid w:val="3A985D06"/>
    <w:rsid w:val="3AAE500D"/>
    <w:rsid w:val="3AD47EED"/>
    <w:rsid w:val="3B073151"/>
    <w:rsid w:val="3B2621D3"/>
    <w:rsid w:val="3C1C637D"/>
    <w:rsid w:val="3C7544A7"/>
    <w:rsid w:val="3C921D38"/>
    <w:rsid w:val="3CD56B00"/>
    <w:rsid w:val="3D0625EC"/>
    <w:rsid w:val="3D6150B1"/>
    <w:rsid w:val="3E555110"/>
    <w:rsid w:val="3EEA0384"/>
    <w:rsid w:val="3EFA768B"/>
    <w:rsid w:val="3FFF17D6"/>
    <w:rsid w:val="40005EBA"/>
    <w:rsid w:val="404862DC"/>
    <w:rsid w:val="40FB4E3B"/>
    <w:rsid w:val="4166176B"/>
    <w:rsid w:val="41BC5E1D"/>
    <w:rsid w:val="42157A4A"/>
    <w:rsid w:val="426E79CE"/>
    <w:rsid w:val="439E7333"/>
    <w:rsid w:val="43A85B17"/>
    <w:rsid w:val="44BA70AB"/>
    <w:rsid w:val="44ED080A"/>
    <w:rsid w:val="44FF7003"/>
    <w:rsid w:val="45204250"/>
    <w:rsid w:val="45DC4A98"/>
    <w:rsid w:val="45FB24B4"/>
    <w:rsid w:val="462914CE"/>
    <w:rsid w:val="469D7E26"/>
    <w:rsid w:val="46B502C1"/>
    <w:rsid w:val="47422D50"/>
    <w:rsid w:val="474B6A59"/>
    <w:rsid w:val="476800FC"/>
    <w:rsid w:val="476B75AB"/>
    <w:rsid w:val="48267049"/>
    <w:rsid w:val="484611C8"/>
    <w:rsid w:val="48757F84"/>
    <w:rsid w:val="48BD6BD2"/>
    <w:rsid w:val="490D1FA0"/>
    <w:rsid w:val="493F20C4"/>
    <w:rsid w:val="499A3A73"/>
    <w:rsid w:val="49DE18DD"/>
    <w:rsid w:val="4A6E019F"/>
    <w:rsid w:val="4AE00A8C"/>
    <w:rsid w:val="4B68080D"/>
    <w:rsid w:val="4B8C67A1"/>
    <w:rsid w:val="4BAF63AB"/>
    <w:rsid w:val="4C563384"/>
    <w:rsid w:val="4C984AE6"/>
    <w:rsid w:val="4CA52F6D"/>
    <w:rsid w:val="4CB65AE0"/>
    <w:rsid w:val="4D624916"/>
    <w:rsid w:val="4D9E290E"/>
    <w:rsid w:val="4DAD0D29"/>
    <w:rsid w:val="4DE452E6"/>
    <w:rsid w:val="4E23222F"/>
    <w:rsid w:val="4E50267E"/>
    <w:rsid w:val="4EED094E"/>
    <w:rsid w:val="4F043D50"/>
    <w:rsid w:val="4F4E3EBA"/>
    <w:rsid w:val="4FBD3DED"/>
    <w:rsid w:val="4FFB2D3D"/>
    <w:rsid w:val="503C1766"/>
    <w:rsid w:val="50744D49"/>
    <w:rsid w:val="50B829BD"/>
    <w:rsid w:val="50CD5B8F"/>
    <w:rsid w:val="50D513B2"/>
    <w:rsid w:val="50FF6E4E"/>
    <w:rsid w:val="51C15D6C"/>
    <w:rsid w:val="525B61B9"/>
    <w:rsid w:val="526528D0"/>
    <w:rsid w:val="52B15411"/>
    <w:rsid w:val="52BB5A65"/>
    <w:rsid w:val="52E87329"/>
    <w:rsid w:val="538F7EE3"/>
    <w:rsid w:val="54470CF4"/>
    <w:rsid w:val="55FA184D"/>
    <w:rsid w:val="56265441"/>
    <w:rsid w:val="564A2581"/>
    <w:rsid w:val="566E223B"/>
    <w:rsid w:val="5688184B"/>
    <w:rsid w:val="56B66F33"/>
    <w:rsid w:val="5793333A"/>
    <w:rsid w:val="57A87EB0"/>
    <w:rsid w:val="58217806"/>
    <w:rsid w:val="58262DCE"/>
    <w:rsid w:val="582A0FB5"/>
    <w:rsid w:val="58B55676"/>
    <w:rsid w:val="59305086"/>
    <w:rsid w:val="5A7A7400"/>
    <w:rsid w:val="5A87275A"/>
    <w:rsid w:val="5AFD429E"/>
    <w:rsid w:val="5B336962"/>
    <w:rsid w:val="5BBB7663"/>
    <w:rsid w:val="5C602BCA"/>
    <w:rsid w:val="5C89084C"/>
    <w:rsid w:val="5CCD3F3F"/>
    <w:rsid w:val="5D601D51"/>
    <w:rsid w:val="5D6D0B56"/>
    <w:rsid w:val="5D9B4151"/>
    <w:rsid w:val="5D9D4E91"/>
    <w:rsid w:val="5ED92C00"/>
    <w:rsid w:val="5F5737A7"/>
    <w:rsid w:val="5F6917F1"/>
    <w:rsid w:val="60043372"/>
    <w:rsid w:val="60401CDE"/>
    <w:rsid w:val="60506387"/>
    <w:rsid w:val="60D70CA1"/>
    <w:rsid w:val="61F114E2"/>
    <w:rsid w:val="622A73F9"/>
    <w:rsid w:val="62525C25"/>
    <w:rsid w:val="6271733B"/>
    <w:rsid w:val="62976675"/>
    <w:rsid w:val="629D1473"/>
    <w:rsid w:val="62A3501A"/>
    <w:rsid w:val="62A8637B"/>
    <w:rsid w:val="630E2DDB"/>
    <w:rsid w:val="63CB14B5"/>
    <w:rsid w:val="64755F14"/>
    <w:rsid w:val="65640A91"/>
    <w:rsid w:val="656F7435"/>
    <w:rsid w:val="660A5060"/>
    <w:rsid w:val="66416528"/>
    <w:rsid w:val="664417CA"/>
    <w:rsid w:val="666503E3"/>
    <w:rsid w:val="668B57BA"/>
    <w:rsid w:val="674A0C3A"/>
    <w:rsid w:val="677463FB"/>
    <w:rsid w:val="67CE13E2"/>
    <w:rsid w:val="67E74D3A"/>
    <w:rsid w:val="68020498"/>
    <w:rsid w:val="68547529"/>
    <w:rsid w:val="689476F6"/>
    <w:rsid w:val="68BC1AD7"/>
    <w:rsid w:val="694B597C"/>
    <w:rsid w:val="698F159E"/>
    <w:rsid w:val="6A05012D"/>
    <w:rsid w:val="6AB0798D"/>
    <w:rsid w:val="6B1A4661"/>
    <w:rsid w:val="6BA42538"/>
    <w:rsid w:val="6BDD334B"/>
    <w:rsid w:val="6BF4397E"/>
    <w:rsid w:val="6C13004F"/>
    <w:rsid w:val="6CD373A2"/>
    <w:rsid w:val="6D4C1108"/>
    <w:rsid w:val="6DAD4D45"/>
    <w:rsid w:val="6DBB329B"/>
    <w:rsid w:val="6DD71B95"/>
    <w:rsid w:val="6DD84090"/>
    <w:rsid w:val="6E11552E"/>
    <w:rsid w:val="6ED21161"/>
    <w:rsid w:val="6F957231"/>
    <w:rsid w:val="70053E64"/>
    <w:rsid w:val="705A029E"/>
    <w:rsid w:val="706062DC"/>
    <w:rsid w:val="70D867D7"/>
    <w:rsid w:val="71F036B4"/>
    <w:rsid w:val="721B77B0"/>
    <w:rsid w:val="726025BD"/>
    <w:rsid w:val="7377000D"/>
    <w:rsid w:val="73832A2A"/>
    <w:rsid w:val="73AF5508"/>
    <w:rsid w:val="73B21C8E"/>
    <w:rsid w:val="74EB6265"/>
    <w:rsid w:val="750C04A2"/>
    <w:rsid w:val="753A3284"/>
    <w:rsid w:val="753D4BD6"/>
    <w:rsid w:val="75655C51"/>
    <w:rsid w:val="756B7CBD"/>
    <w:rsid w:val="75836028"/>
    <w:rsid w:val="758D640C"/>
    <w:rsid w:val="75F47C0F"/>
    <w:rsid w:val="76124A8D"/>
    <w:rsid w:val="761F2BBD"/>
    <w:rsid w:val="76FF78E2"/>
    <w:rsid w:val="776D2627"/>
    <w:rsid w:val="77B873FF"/>
    <w:rsid w:val="784E5021"/>
    <w:rsid w:val="7856002D"/>
    <w:rsid w:val="78714B98"/>
    <w:rsid w:val="78F827AC"/>
    <w:rsid w:val="795055AE"/>
    <w:rsid w:val="7959184D"/>
    <w:rsid w:val="7A527476"/>
    <w:rsid w:val="7B0D2A68"/>
    <w:rsid w:val="7B187EFC"/>
    <w:rsid w:val="7B3706AA"/>
    <w:rsid w:val="7B937ECA"/>
    <w:rsid w:val="7BDA1655"/>
    <w:rsid w:val="7C070929"/>
    <w:rsid w:val="7C445EA6"/>
    <w:rsid w:val="7C5C4760"/>
    <w:rsid w:val="7D140271"/>
    <w:rsid w:val="7D3134F6"/>
    <w:rsid w:val="7DD026F9"/>
    <w:rsid w:val="7EBF3AF2"/>
    <w:rsid w:val="7ED70086"/>
    <w:rsid w:val="7FA34579"/>
    <w:rsid w:val="7FC10B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32"/>
      <w:szCs w:val="22"/>
      <w:lang w:val="en-US" w:eastAsia="zh-CN" w:bidi="ar-SA"/>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index 9"/>
    <w:basedOn w:val="1"/>
    <w:next w:val="1"/>
    <w:qFormat/>
    <w:uiPriority w:val="0"/>
    <w:pPr>
      <w:ind w:left="3360"/>
    </w:pPr>
    <w:rPr>
      <w:rFonts w:ascii="Times New Roman" w:hAnsi="Times New Roman"/>
      <w:sz w:val="21"/>
    </w:rPr>
  </w:style>
  <w:style w:type="paragraph" w:styleId="3">
    <w:name w:val="annotation text"/>
    <w:basedOn w:val="1"/>
    <w:qFormat/>
    <w:uiPriority w:val="0"/>
    <w:pPr>
      <w:jc w:val="left"/>
    </w:pPr>
  </w:style>
  <w:style w:type="paragraph" w:styleId="4">
    <w:name w:val="Body Text Indent"/>
    <w:basedOn w:val="1"/>
    <w:next w:val="1"/>
    <w:qFormat/>
    <w:uiPriority w:val="0"/>
    <w:pPr>
      <w:ind w:firstLine="640" w:firstLineChars="200"/>
    </w:pPr>
    <w:rPr>
      <w:rFonts w:ascii="仿宋_GB2312" w:hAnsi="宋体" w:eastAsia="仿宋_GB2312" w:cs="Times New Roman"/>
      <w:sz w:val="32"/>
      <w:szCs w:val="32"/>
    </w:rPr>
  </w:style>
  <w:style w:type="paragraph" w:styleId="5">
    <w:name w:val="Balloon Text"/>
    <w:basedOn w:val="1"/>
    <w:link w:val="23"/>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unhideWhenUsed/>
    <w:qFormat/>
    <w:uiPriority w:val="39"/>
  </w:style>
  <w:style w:type="paragraph" w:styleId="9">
    <w:name w:val="toc 2"/>
    <w:basedOn w:val="1"/>
    <w:next w:val="1"/>
    <w:unhideWhenUsed/>
    <w:qFormat/>
    <w:uiPriority w:val="39"/>
    <w:pPr>
      <w:ind w:left="420" w:leftChars="200"/>
    </w:pPr>
  </w:style>
  <w:style w:type="paragraph" w:styleId="10">
    <w:name w:val="Normal (Web)"/>
    <w:basedOn w:val="1"/>
    <w:qFormat/>
    <w:uiPriority w:val="99"/>
    <w:pPr>
      <w:widowControl/>
      <w:spacing w:before="100" w:beforeAutospacing="1" w:after="100" w:afterAutospacing="1"/>
      <w:jc w:val="left"/>
    </w:pPr>
    <w:rPr>
      <w:rFonts w:ascii="宋体" w:hAnsi="宋体" w:cs="宋体"/>
      <w:color w:val="000000"/>
      <w:kern w:val="0"/>
      <w:sz w:val="24"/>
    </w:rPr>
  </w:style>
  <w:style w:type="paragraph" w:styleId="11">
    <w:name w:val="Title"/>
    <w:basedOn w:val="1"/>
    <w:next w:val="1"/>
    <w:qFormat/>
    <w:uiPriority w:val="10"/>
    <w:pPr>
      <w:spacing w:before="240" w:after="60"/>
      <w:jc w:val="center"/>
      <w:outlineLvl w:val="0"/>
    </w:pPr>
    <w:rPr>
      <w:rFonts w:ascii="等线 Light" w:hAnsi="等线 Light"/>
      <w:b/>
      <w:bCs/>
      <w:szCs w:val="32"/>
    </w:rPr>
  </w:style>
  <w:style w:type="paragraph" w:styleId="12">
    <w:name w:val="Body Text First Indent 2"/>
    <w:basedOn w:val="4"/>
    <w:next w:val="1"/>
    <w:qFormat/>
    <w:uiPriority w:val="0"/>
    <w:pPr>
      <w:widowControl w:val="0"/>
      <w:spacing w:after="120"/>
      <w:ind w:left="420" w:firstLine="420"/>
      <w:jc w:val="both"/>
    </w:pPr>
    <w:rPr>
      <w:rFonts w:ascii="Times New Roman" w:hAnsi="Times New Roman" w:eastAsia="Arial Unicode MS" w:cs="Arial Unicode MS"/>
      <w:color w:val="000000"/>
      <w:kern w:val="2"/>
      <w:sz w:val="21"/>
      <w:szCs w:val="21"/>
      <w:lang w:val="en-US" w:eastAsia="zh-CN" w:bidi="ar-SA"/>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Hyperlink"/>
    <w:basedOn w:val="15"/>
    <w:unhideWhenUsed/>
    <w:qFormat/>
    <w:uiPriority w:val="99"/>
    <w:rPr>
      <w:color w:val="0563C1" w:themeColor="hyperlink"/>
      <w:u w:val="single"/>
      <w14:textFill>
        <w14:solidFill>
          <w14:schemeClr w14:val="hlink"/>
        </w14:solidFill>
      </w14:textFill>
    </w:rPr>
  </w:style>
  <w:style w:type="paragraph" w:customStyle="1" w:styleId="17">
    <w:name w:val="图表"/>
    <w:basedOn w:val="11"/>
    <w:qFormat/>
    <w:uiPriority w:val="0"/>
    <w:pPr>
      <w:spacing w:before="0" w:after="0" w:line="360" w:lineRule="auto"/>
      <w:outlineLvl w:val="9"/>
    </w:pPr>
    <w:rPr>
      <w:rFonts w:ascii="黑体" w:hAnsi="黑体" w:eastAsia="黑体"/>
      <w:b w:val="0"/>
      <w:sz w:val="24"/>
    </w:rPr>
  </w:style>
  <w:style w:type="character" w:customStyle="1" w:styleId="18">
    <w:name w:val="font41"/>
    <w:qFormat/>
    <w:uiPriority w:val="0"/>
    <w:rPr>
      <w:rFonts w:hint="eastAsia" w:ascii="黑体" w:hAnsi="宋体" w:eastAsia="黑体" w:cs="黑体"/>
      <w:color w:val="FF0000"/>
      <w:sz w:val="21"/>
      <w:szCs w:val="21"/>
      <w:u w:val="none"/>
    </w:rPr>
  </w:style>
  <w:style w:type="character" w:customStyle="1" w:styleId="19">
    <w:name w:val="font51"/>
    <w:qFormat/>
    <w:uiPriority w:val="0"/>
    <w:rPr>
      <w:rFonts w:hint="default" w:ascii="Times New Roman" w:hAnsi="Times New Roman" w:cs="Times New Roman"/>
      <w:color w:val="FF0000"/>
      <w:sz w:val="21"/>
      <w:szCs w:val="21"/>
      <w:u w:val="none"/>
    </w:rPr>
  </w:style>
  <w:style w:type="character" w:customStyle="1" w:styleId="20">
    <w:name w:val="font11"/>
    <w:basedOn w:val="15"/>
    <w:qFormat/>
    <w:uiPriority w:val="0"/>
    <w:rPr>
      <w:rFonts w:hint="eastAsia" w:ascii="黑体" w:hAnsi="宋体" w:eastAsia="黑体" w:cs="黑体"/>
      <w:color w:val="FF0000"/>
      <w:sz w:val="21"/>
      <w:szCs w:val="21"/>
      <w:u w:val="none"/>
    </w:rPr>
  </w:style>
  <w:style w:type="character" w:customStyle="1" w:styleId="21">
    <w:name w:val="font21"/>
    <w:basedOn w:val="15"/>
    <w:qFormat/>
    <w:uiPriority w:val="0"/>
    <w:rPr>
      <w:rFonts w:hint="default" w:ascii="Times New Roman" w:hAnsi="Times New Roman" w:cs="Times New Roman"/>
      <w:color w:val="FF0000"/>
      <w:sz w:val="21"/>
      <w:szCs w:val="21"/>
      <w:u w:val="none"/>
    </w:rPr>
  </w:style>
  <w:style w:type="character" w:customStyle="1" w:styleId="22">
    <w:name w:val="font31"/>
    <w:basedOn w:val="15"/>
    <w:qFormat/>
    <w:uiPriority w:val="0"/>
    <w:rPr>
      <w:rFonts w:hint="eastAsia" w:ascii="黑体" w:hAnsi="宋体" w:eastAsia="黑体" w:cs="黑体"/>
      <w:color w:val="FF0000"/>
      <w:sz w:val="21"/>
      <w:szCs w:val="21"/>
      <w:u w:val="none"/>
    </w:rPr>
  </w:style>
  <w:style w:type="character" w:customStyle="1" w:styleId="23">
    <w:name w:val="批注框文本 Char"/>
    <w:basedOn w:val="15"/>
    <w:link w:val="5"/>
    <w:qFormat/>
    <w:uiPriority w:val="0"/>
    <w:rPr>
      <w:rFonts w:ascii="Calibri" w:hAnsi="Calibri"/>
      <w:kern w:val="2"/>
      <w:sz w:val="18"/>
      <w:szCs w:val="18"/>
    </w:rPr>
  </w:style>
  <w:style w:type="character" w:customStyle="1" w:styleId="24">
    <w:name w:val="font01"/>
    <w:qFormat/>
    <w:uiPriority w:val="0"/>
    <w:rPr>
      <w:rFonts w:hint="default" w:ascii="Times New Roman" w:hAnsi="Times New Roman" w:cs="Times New Roman"/>
      <w:color w:val="000000"/>
      <w:sz w:val="21"/>
      <w:szCs w:val="21"/>
      <w:u w:val="none"/>
    </w:rPr>
  </w:style>
  <w:style w:type="paragraph" w:customStyle="1" w:styleId="25">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11</Pages>
  <Words>2340</Words>
  <Characters>2685</Characters>
  <Lines>136</Lines>
  <Paragraphs>38</Paragraphs>
  <TotalTime>2</TotalTime>
  <ScaleCrop>false</ScaleCrop>
  <LinksUpToDate>false</LinksUpToDate>
  <CharactersWithSpaces>2689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2023-07-12T01:42:00Z</dcterms:created>
  <dc:creator>Administrator</dc:creator>
  <cp:lastModifiedBy>Administrator1</cp:lastModifiedBy>
  <cp:lastPrinted>2026-05-25T08:04:00Z</cp:lastPrinted>
  <dcterms:modified xsi:type="dcterms:W3CDTF">2026-05-26T05:56:27Z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B6EB36533A25463694ED125C87B3C8AD_13</vt:lpwstr>
  </property>
  <property fmtid="{D5CDD505-2E9C-101B-9397-08002B2CF9AE}" pid="4" name="KSOTemplateDocerSaveRecord">
    <vt:lpwstr>eyJoZGlkIjoiMmQyYWEyOGUwYmQwYjZkNGUyOWVkODVmYzYxMzk5NGQiLCJ1c2VySWQiOiIyMDU5NzQ0NzUifQ==</vt:lpwstr>
  </property>
</Properties>
</file>