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BC675">
      <w:pPr>
        <w:pStyle w:val="2"/>
        <w:spacing w:before="219"/>
        <w:ind w:right="15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2026年青岛智慧水务平台密码评测服务采购项目</w:t>
      </w:r>
      <w:r>
        <w:rPr>
          <w:sz w:val="36"/>
          <w:szCs w:val="36"/>
        </w:rPr>
        <w:t>竞争性</w:t>
      </w:r>
      <w:r>
        <w:rPr>
          <w:rFonts w:hint="eastAsia"/>
          <w:sz w:val="36"/>
          <w:szCs w:val="36"/>
        </w:rPr>
        <w:t>评审</w:t>
      </w:r>
      <w:r>
        <w:rPr>
          <w:sz w:val="36"/>
          <w:szCs w:val="36"/>
        </w:rPr>
        <w:t>结果公告</w:t>
      </w:r>
    </w:p>
    <w:p w14:paraId="69C52F2D">
      <w:pPr>
        <w:pStyle w:val="4"/>
        <w:rPr>
          <w:sz w:val="20"/>
        </w:rPr>
      </w:pPr>
    </w:p>
    <w:p w14:paraId="5D4F5A79">
      <w:pPr>
        <w:tabs>
          <w:tab w:val="left" w:pos="2197"/>
        </w:tabs>
        <w:spacing w:before="240" w:line="400" w:lineRule="exact"/>
        <w:ind w:left="111" w:right="252" w:firstLine="640"/>
        <w:jc w:val="both"/>
        <w:rPr>
          <w:color w:val="000000"/>
          <w:sz w:val="24"/>
          <w:szCs w:val="24"/>
        </w:rPr>
      </w:pPr>
      <w:bookmarkStart w:id="0" w:name="OLE_LINK115"/>
      <w:bookmarkStart w:id="1" w:name="OLE_LINK116"/>
      <w:r>
        <w:rPr>
          <w:rFonts w:hint="eastAsia"/>
          <w:color w:val="000000"/>
          <w:sz w:val="24"/>
          <w:szCs w:val="24"/>
        </w:rPr>
        <w:t>青岛市水务管理局</w:t>
      </w:r>
      <w:bookmarkEnd w:id="0"/>
      <w:bookmarkEnd w:id="1"/>
      <w:r>
        <w:rPr>
          <w:color w:val="000000"/>
          <w:sz w:val="24"/>
          <w:szCs w:val="24"/>
        </w:rPr>
        <w:t>通过竞争性</w:t>
      </w:r>
      <w:r>
        <w:rPr>
          <w:rFonts w:hint="eastAsia"/>
          <w:color w:val="000000"/>
          <w:sz w:val="24"/>
          <w:szCs w:val="24"/>
        </w:rPr>
        <w:t>评审</w:t>
      </w:r>
      <w:r>
        <w:rPr>
          <w:color w:val="000000"/>
          <w:sz w:val="24"/>
          <w:szCs w:val="24"/>
        </w:rPr>
        <w:t>方式，组织实施了以下项目的购买活动，现就购买结果公告如下：</w:t>
      </w:r>
    </w:p>
    <w:p w14:paraId="64F54DD3">
      <w:pPr>
        <w:tabs>
          <w:tab w:val="left" w:pos="8188"/>
        </w:tabs>
        <w:spacing w:before="240" w:line="400" w:lineRule="exact"/>
        <w:ind w:firstLine="480" w:firstLineChars="200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一、</w:t>
      </w:r>
      <w:r>
        <w:rPr>
          <w:color w:val="000000"/>
          <w:sz w:val="24"/>
          <w:szCs w:val="24"/>
        </w:rPr>
        <w:t>项目名称：</w:t>
      </w:r>
      <w:bookmarkStart w:id="2" w:name="OLE_LINK86"/>
      <w:bookmarkStart w:id="3" w:name="OLE_LINK85"/>
      <w:r>
        <w:rPr>
          <w:rFonts w:hint="eastAsia"/>
          <w:color w:val="000000"/>
          <w:sz w:val="24"/>
          <w:szCs w:val="24"/>
        </w:rPr>
        <w:t>2026年青岛智慧水务平台密码评测服务采购项目</w:t>
      </w:r>
      <w:bookmarkEnd w:id="2"/>
      <w:bookmarkEnd w:id="3"/>
    </w:p>
    <w:p w14:paraId="4744065C">
      <w:pPr>
        <w:tabs>
          <w:tab w:val="left" w:pos="8188"/>
        </w:tabs>
        <w:spacing w:before="240" w:line="400" w:lineRule="exact"/>
        <w:ind w:firstLine="480" w:firstLineChars="200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二、项目编号：</w:t>
      </w:r>
      <w:r>
        <w:rPr>
          <w:color w:val="000000"/>
          <w:sz w:val="24"/>
          <w:szCs w:val="24"/>
        </w:rPr>
        <w:t>TSZC2026-006</w:t>
      </w:r>
      <w:bookmarkStart w:id="4" w:name="_GoBack"/>
      <w:bookmarkEnd w:id="4"/>
    </w:p>
    <w:p w14:paraId="2887888D">
      <w:pPr>
        <w:tabs>
          <w:tab w:val="left" w:pos="8188"/>
        </w:tabs>
        <w:spacing w:before="240" w:line="400" w:lineRule="exact"/>
        <w:ind w:firstLine="480" w:firstLineChars="200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三、</w:t>
      </w:r>
      <w:r>
        <w:rPr>
          <w:color w:val="000000"/>
          <w:sz w:val="24"/>
          <w:szCs w:val="24"/>
        </w:rPr>
        <w:t>购买服务内容：</w:t>
      </w:r>
      <w:r>
        <w:rPr>
          <w:rFonts w:hint="eastAsia"/>
          <w:color w:val="000000"/>
          <w:sz w:val="24"/>
          <w:szCs w:val="24"/>
        </w:rPr>
        <w:t xml:space="preserve">完成对青岛市智慧水务平台提供商用密码应用安全性评估服务。           </w:t>
      </w:r>
    </w:p>
    <w:p w14:paraId="5A98768C">
      <w:pPr>
        <w:tabs>
          <w:tab w:val="left" w:pos="8668"/>
        </w:tabs>
        <w:spacing w:before="65" w:line="400" w:lineRule="exact"/>
        <w:ind w:left="88" w:leftChars="40" w:firstLine="434" w:firstLineChars="181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四</w:t>
      </w:r>
      <w:r>
        <w:rPr>
          <w:color w:val="000000"/>
          <w:sz w:val="24"/>
          <w:szCs w:val="24"/>
        </w:rPr>
        <w:t>、合同金额及报价明细</w:t>
      </w:r>
      <w:r>
        <w:rPr>
          <w:color w:val="000000"/>
          <w:sz w:val="24"/>
          <w:szCs w:val="24"/>
          <w:highlight w:val="none"/>
        </w:rPr>
        <w:t>（人民币）：</w:t>
      </w:r>
      <w:r>
        <w:rPr>
          <w:rFonts w:hint="eastAsia"/>
          <w:color w:val="000000"/>
          <w:sz w:val="24"/>
          <w:szCs w:val="24"/>
          <w:highlight w:val="none"/>
        </w:rPr>
        <w:t>79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/>
          <w:color w:val="000000"/>
          <w:sz w:val="24"/>
          <w:szCs w:val="24"/>
          <w:highlight w:val="none"/>
        </w:rPr>
        <w:t xml:space="preserve">00元      </w:t>
      </w:r>
    </w:p>
    <w:p w14:paraId="26096BEE">
      <w:pPr>
        <w:tabs>
          <w:tab w:val="left" w:pos="2197"/>
        </w:tabs>
        <w:spacing w:before="240" w:line="400" w:lineRule="exact"/>
        <w:ind w:right="252" w:firstLine="480" w:firstLineChars="200"/>
        <w:jc w:val="both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</w:rPr>
        <w:t>五、</w:t>
      </w:r>
      <w:r>
        <w:rPr>
          <w:color w:val="000000"/>
          <w:sz w:val="24"/>
          <w:szCs w:val="24"/>
        </w:rPr>
        <w:t>确定的服务提</w:t>
      </w:r>
      <w:r>
        <w:rPr>
          <w:color w:val="000000"/>
          <w:sz w:val="24"/>
          <w:szCs w:val="24"/>
          <w:highlight w:val="none"/>
        </w:rPr>
        <w:t>供方（乙方）：</w:t>
      </w:r>
      <w:r>
        <w:rPr>
          <w:rFonts w:hint="eastAsia"/>
          <w:color w:val="000000"/>
          <w:sz w:val="24"/>
          <w:szCs w:val="24"/>
          <w:highlight w:val="none"/>
        </w:rPr>
        <w:t xml:space="preserve">山东新潮信息技术有限公司  </w:t>
      </w:r>
    </w:p>
    <w:p w14:paraId="0A889BB4">
      <w:pPr>
        <w:tabs>
          <w:tab w:val="left" w:pos="8668"/>
        </w:tabs>
        <w:spacing w:before="65" w:line="400" w:lineRule="exact"/>
        <w:ind w:right="656" w:firstLine="480" w:firstLineChars="200"/>
        <w:jc w:val="both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 xml:space="preserve"> </w:t>
      </w:r>
      <w:r>
        <w:rPr>
          <w:rFonts w:hint="eastAsia"/>
          <w:color w:val="000000"/>
          <w:sz w:val="24"/>
          <w:szCs w:val="24"/>
          <w:highlight w:val="none"/>
        </w:rPr>
        <w:t>六</w:t>
      </w:r>
      <w:r>
        <w:rPr>
          <w:color w:val="000000"/>
          <w:sz w:val="24"/>
          <w:szCs w:val="24"/>
          <w:highlight w:val="none"/>
        </w:rPr>
        <w:t>、联系人及联系方式：</w:t>
      </w:r>
    </w:p>
    <w:p w14:paraId="4FA726F7">
      <w:pPr>
        <w:pStyle w:val="5"/>
        <w:widowControl/>
        <w:spacing w:before="270" w:beforeAutospacing="0" w:after="270" w:afterAutospacing="0" w:line="400" w:lineRule="exact"/>
        <w:ind w:firstLine="960" w:firstLineChars="40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购买主体：青岛市水务管理局</w:t>
      </w:r>
    </w:p>
    <w:p w14:paraId="411DA5FB">
      <w:pPr>
        <w:pStyle w:val="5"/>
        <w:widowControl/>
        <w:spacing w:before="270" w:beforeAutospacing="0" w:after="270" w:afterAutospacing="0" w:line="400" w:lineRule="exact"/>
        <w:ind w:firstLine="960" w:firstLineChars="40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联系方式：</w:t>
      </w:r>
      <w:r>
        <w:rPr>
          <w:rFonts w:ascii="宋体" w:hAnsi="宋体" w:eastAsia="宋体" w:cs="宋体"/>
          <w:color w:val="000000"/>
          <w:szCs w:val="24"/>
        </w:rPr>
        <w:t>0532-85916109</w:t>
      </w:r>
    </w:p>
    <w:p w14:paraId="01D3AEC7">
      <w:pPr>
        <w:pStyle w:val="5"/>
        <w:widowControl/>
        <w:spacing w:before="270" w:beforeAutospacing="0" w:after="270" w:afterAutospacing="0" w:line="400" w:lineRule="exact"/>
        <w:ind w:firstLine="960" w:firstLineChars="40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代理机构：中同盛（山东）工程咨询有限公司</w:t>
      </w:r>
    </w:p>
    <w:p w14:paraId="77276E7E">
      <w:pPr>
        <w:pStyle w:val="5"/>
        <w:widowControl/>
        <w:spacing w:before="270" w:beforeAutospacing="0" w:after="270" w:afterAutospacing="0" w:line="400" w:lineRule="exact"/>
        <w:ind w:firstLine="960" w:firstLineChars="40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电话：17685882285</w:t>
      </w:r>
    </w:p>
    <w:p w14:paraId="395C17A9">
      <w:pPr>
        <w:pStyle w:val="5"/>
        <w:widowControl/>
        <w:spacing w:before="270" w:beforeAutospacing="0" w:after="270" w:afterAutospacing="0" w:line="400" w:lineRule="exact"/>
        <w:ind w:firstLine="42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七、其他内容:无</w:t>
      </w:r>
    </w:p>
    <w:p w14:paraId="782E112C">
      <w:pPr>
        <w:pStyle w:val="4"/>
        <w:spacing w:line="400" w:lineRule="exact"/>
        <w:rPr>
          <w:sz w:val="24"/>
          <w:szCs w:val="24"/>
        </w:rPr>
      </w:pPr>
    </w:p>
    <w:p w14:paraId="7A33D1A2">
      <w:pPr>
        <w:pStyle w:val="5"/>
        <w:widowControl/>
        <w:spacing w:before="270" w:beforeAutospacing="0" w:after="270" w:afterAutospacing="0" w:line="400" w:lineRule="exact"/>
        <w:ind w:firstLine="6600" w:firstLineChars="2750"/>
        <w:rPr>
          <w:rFonts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2026</w:t>
      </w:r>
      <w:r>
        <w:rPr>
          <w:rFonts w:ascii="宋体" w:hAnsi="宋体" w:eastAsia="宋体" w:cs="宋体"/>
          <w:color w:val="000000"/>
          <w:szCs w:val="24"/>
        </w:rPr>
        <w:t>年</w:t>
      </w:r>
      <w:r>
        <w:rPr>
          <w:rFonts w:hint="eastAsia" w:ascii="宋体" w:hAnsi="宋体" w:eastAsia="宋体" w:cs="宋体"/>
          <w:color w:val="000000"/>
          <w:szCs w:val="24"/>
        </w:rPr>
        <w:t>5</w:t>
      </w:r>
      <w:r>
        <w:rPr>
          <w:rFonts w:ascii="宋体" w:hAnsi="宋体" w:eastAsia="宋体" w:cs="宋体"/>
          <w:color w:val="000000"/>
          <w:szCs w:val="24"/>
        </w:rPr>
        <w:t>月</w:t>
      </w:r>
      <w:r>
        <w:rPr>
          <w:rFonts w:hint="eastAsia" w:ascii="宋体" w:hAnsi="宋体" w:eastAsia="宋体" w:cs="宋体"/>
          <w:color w:val="000000"/>
          <w:szCs w:val="24"/>
        </w:rPr>
        <w:t>12</w:t>
      </w:r>
      <w:r>
        <w:rPr>
          <w:rFonts w:ascii="宋体" w:hAnsi="宋体" w:eastAsia="宋体" w:cs="宋体"/>
          <w:color w:val="000000"/>
          <w:szCs w:val="24"/>
        </w:rPr>
        <w:t>日</w:t>
      </w:r>
    </w:p>
    <w:p w14:paraId="6705A203">
      <w:pPr>
        <w:pStyle w:val="4"/>
        <w:tabs>
          <w:tab w:val="left" w:pos="2047"/>
          <w:tab w:val="left" w:pos="2748"/>
          <w:tab w:val="left" w:pos="3449"/>
          <w:tab w:val="left" w:pos="4848"/>
          <w:tab w:val="left" w:pos="6248"/>
          <w:tab w:val="left" w:pos="6948"/>
          <w:tab w:val="left" w:pos="7649"/>
        </w:tabs>
        <w:spacing w:before="222"/>
        <w:rPr>
          <w:rFonts w:hint="eastAsia"/>
        </w:rPr>
      </w:pPr>
    </w:p>
    <w:p w14:paraId="7ADD96A8">
      <w:pPr>
        <w:pStyle w:val="4"/>
        <w:tabs>
          <w:tab w:val="left" w:pos="2047"/>
          <w:tab w:val="left" w:pos="2748"/>
          <w:tab w:val="left" w:pos="3449"/>
          <w:tab w:val="left" w:pos="4848"/>
          <w:tab w:val="left" w:pos="6248"/>
          <w:tab w:val="left" w:pos="6948"/>
          <w:tab w:val="left" w:pos="7649"/>
        </w:tabs>
        <w:spacing w:before="222"/>
      </w:pPr>
    </w:p>
    <w:sectPr>
      <w:footerReference r:id="rId3" w:type="default"/>
      <w:footerReference r:id="rId4" w:type="even"/>
      <w:pgSz w:w="11910" w:h="16840"/>
      <w:pgMar w:top="1580" w:right="1160" w:bottom="1520" w:left="1420" w:header="0" w:footer="13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516D6"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475.35pt;margin-top:764.1pt;height:14.1pt;width:53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DAD79CE">
                <w:pPr>
                  <w:spacing w:line="282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— </w:t>
                </w: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sz w:val="24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B7167">
    <w:pPr>
      <w:pStyle w:val="4"/>
      <w:spacing w:line="14" w:lineRule="auto"/>
      <w:rPr>
        <w:sz w:val="20"/>
      </w:rPr>
    </w:pPr>
    <w:r>
      <w:pict>
        <v:shape id="_x0000_s4098" o:spid="_x0000_s4098" o:spt="202" type="#_x0000_t202" style="position:absolute;left:0pt;margin-left:75.5pt;margin-top:764.1pt;height:14.1pt;width:5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CEAC2A7">
                <w:pPr>
                  <w:spacing w:line="282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— </w:t>
                </w: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sz w:val="24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evenAndOddHeaders w:val="1"/>
  <w:drawingGridHorizontalSpacing w:val="110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I2ZmM3MjY2N2UzNjNhOTk4OGNkYTU5OTNhY2IwMzMifQ=="/>
  </w:docVars>
  <w:rsids>
    <w:rsidRoot w:val="004C20C3"/>
    <w:rsid w:val="00034918"/>
    <w:rsid w:val="001F11A7"/>
    <w:rsid w:val="0029015C"/>
    <w:rsid w:val="004C20C3"/>
    <w:rsid w:val="005861BC"/>
    <w:rsid w:val="005B1809"/>
    <w:rsid w:val="00654F0D"/>
    <w:rsid w:val="0089607E"/>
    <w:rsid w:val="00BD47A2"/>
    <w:rsid w:val="00D32BB9"/>
    <w:rsid w:val="035C1F7B"/>
    <w:rsid w:val="09C05A24"/>
    <w:rsid w:val="0B7051CF"/>
    <w:rsid w:val="0C3454E2"/>
    <w:rsid w:val="1EA837C4"/>
    <w:rsid w:val="25E17EBE"/>
    <w:rsid w:val="28BE68A7"/>
    <w:rsid w:val="3F6D1027"/>
    <w:rsid w:val="41B41E55"/>
    <w:rsid w:val="45D126A0"/>
    <w:rsid w:val="4608377F"/>
    <w:rsid w:val="47BA36BB"/>
    <w:rsid w:val="49F735E9"/>
    <w:rsid w:val="4AA94D30"/>
    <w:rsid w:val="514F7FF4"/>
    <w:rsid w:val="63374DFE"/>
    <w:rsid w:val="67082167"/>
    <w:rsid w:val="677F2644"/>
    <w:rsid w:val="6C9A13BC"/>
    <w:rsid w:val="78F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6"/>
      <w:ind w:right="142"/>
      <w:jc w:val="center"/>
      <w:outlineLvl w:val="0"/>
    </w:pPr>
    <w:rPr>
      <w:rFonts w:ascii="PMingLiU" w:hAnsi="PMingLiU" w:eastAsia="PMingLiU" w:cs="PMingLiU"/>
      <w:sz w:val="44"/>
      <w:szCs w:val="44"/>
    </w:rPr>
  </w:style>
  <w:style w:type="paragraph" w:styleId="3">
    <w:name w:val="heading 2"/>
    <w:basedOn w:val="1"/>
    <w:next w:val="1"/>
    <w:qFormat/>
    <w:uiPriority w:val="1"/>
    <w:pPr>
      <w:spacing w:line="423" w:lineRule="exact"/>
      <w:ind w:left="737"/>
      <w:outlineLvl w:val="1"/>
    </w:pPr>
    <w:rPr>
      <w:rFonts w:ascii="微软雅黑" w:hAnsi="微软雅黑" w:eastAsia="微软雅黑" w:cs="微软雅黑"/>
      <w:b/>
      <w:bCs/>
      <w:sz w:val="28"/>
      <w:szCs w:val="2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ascii="仿宋_GB2312" w:hAnsi="仿宋_GB2312" w:eastAsia="仿宋_GB2312" w:cs="Times New Roman"/>
      <w:sz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1" w:firstLine="626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289</Characters>
  <Lines>2</Lines>
  <Paragraphs>1</Paragraphs>
  <TotalTime>0</TotalTime>
  <ScaleCrop>false</ScaleCrop>
  <LinksUpToDate>false</LinksUpToDate>
  <CharactersWithSpaces>309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2021-04-25T01:11:00Z</dcterms:created>
  <dc:creator>Administrator</dc:creator>
  <cp:lastModifiedBy>Iam</cp:lastModifiedBy>
  <dcterms:modified xsi:type="dcterms:W3CDTF">2026-05-12T06:53:32Z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https://xpdf.net</vt:lpwstr>
  </property>
  <property fmtid="{D5CDD505-2E9C-101B-9397-08002B2CF9AE}" pid="3" name="KSOProductBuildVer">
    <vt:lpwstr>2052-12.1.0.25865</vt:lpwstr>
  </property>
  <property fmtid="{D5CDD505-2E9C-101B-9397-08002B2CF9AE}" pid="4" name="ICV">
    <vt:lpwstr>35805DDE2FDE470396A64EFC003A14B1</vt:lpwstr>
  </property>
  <property fmtid="{D5CDD505-2E9C-101B-9397-08002B2CF9AE}" pid="5" name="KSOTemplateDocerSaveRecord">
    <vt:lpwstr>eyJoZGlkIjoiODlmNzJjMDJjOWFhYjcwNjQ0YjRiZDQ2ZjRiNDg3YTUiLCJ1c2VySWQiOiI1NjUzODM5NDcifQ==</vt:lpwstr>
  </property>
</Properties>
</file>