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560" w:lineRule="exact"/>
        <w:jc w:val="center"/>
        <w:rPr>
          <w:rFonts w:hint="default" w:ascii="方正小标宋_GBK" w:hAnsi="方正小标宋_GBK" w:eastAsia="方正小标宋_GBK" w:cs="方正小标宋_GBK"/>
          <w:b w:val="0"/>
          <w:bCs w:val="0"/>
          <w:color w:val="404040"/>
          <w:sz w:val="44"/>
          <w:szCs w:val="44"/>
          <w:shd w:val="clear" w:color="auto" w:fill="FFFFFF"/>
        </w:rPr>
      </w:pPr>
      <w:r>
        <w:rPr>
          <w:rFonts w:ascii="方正小标宋_GBK" w:hAnsi="方正小标宋_GBK" w:eastAsia="方正小标宋_GBK" w:cs="方正小标宋_GBK"/>
          <w:b w:val="0"/>
          <w:bCs w:val="0"/>
          <w:color w:val="404040"/>
          <w:sz w:val="44"/>
          <w:szCs w:val="44"/>
          <w:shd w:val="clear" w:color="auto" w:fill="FFFFFF"/>
        </w:rPr>
        <w:t>青岛市商务局</w:t>
      </w:r>
    </w:p>
    <w:p>
      <w:pPr>
        <w:pStyle w:val="2"/>
        <w:widowControl/>
        <w:shd w:val="clear" w:color="auto" w:fill="FFFFFF"/>
        <w:spacing w:beforeAutospacing="0" w:afterAutospacing="0" w:line="560" w:lineRule="exact"/>
        <w:jc w:val="center"/>
        <w:rPr>
          <w:rFonts w:hint="default" w:ascii="方正小标宋_GBK" w:hAnsi="方正小标宋_GBK" w:eastAsia="方正小标宋_GBK" w:cs="方正小标宋_GBK"/>
          <w:b w:val="0"/>
          <w:bCs w:val="0"/>
          <w:color w:val="404040"/>
          <w:sz w:val="44"/>
          <w:szCs w:val="44"/>
          <w:shd w:val="clear" w:color="auto" w:fill="FFFFFF"/>
        </w:rPr>
      </w:pPr>
      <w:r>
        <w:rPr>
          <w:rFonts w:ascii="方正小标宋_GBK" w:hAnsi="方正小标宋_GBK" w:eastAsia="方正小标宋_GBK" w:cs="方正小标宋_GBK"/>
          <w:b w:val="0"/>
          <w:bCs w:val="0"/>
          <w:color w:val="404040"/>
          <w:sz w:val="44"/>
          <w:szCs w:val="44"/>
          <w:shd w:val="clear" w:color="auto" w:fill="FFFFFF"/>
        </w:rPr>
        <w:t>202</w:t>
      </w:r>
      <w:r>
        <w:rPr>
          <w:rFonts w:hint="eastAsia" w:ascii="方正小标宋_GBK" w:hAnsi="方正小标宋_GBK" w:eastAsia="方正小标宋_GBK" w:cs="方正小标宋_GBK"/>
          <w:b w:val="0"/>
          <w:bCs w:val="0"/>
          <w:color w:val="404040"/>
          <w:sz w:val="44"/>
          <w:szCs w:val="44"/>
          <w:shd w:val="clear" w:color="auto" w:fill="FFFFFF"/>
          <w:lang w:val="en-US" w:eastAsia="zh-CN"/>
        </w:rPr>
        <w:t>3</w:t>
      </w:r>
      <w:r>
        <w:rPr>
          <w:rFonts w:ascii="方正小标宋_GBK" w:hAnsi="方正小标宋_GBK" w:eastAsia="方正小标宋_GBK" w:cs="方正小标宋_GBK"/>
          <w:b w:val="0"/>
          <w:bCs w:val="0"/>
          <w:color w:val="404040"/>
          <w:sz w:val="44"/>
          <w:szCs w:val="44"/>
          <w:shd w:val="clear" w:color="auto" w:fill="FFFFFF"/>
        </w:rPr>
        <w:t>年政府信息公开工作年度报告</w:t>
      </w:r>
    </w:p>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本报告根据《中华人民共和国政府信息公开条例》的要求编制</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rPr>
        <w:t>如对本报告有任何疑问，请与</w:t>
      </w:r>
      <w:r>
        <w:rPr>
          <w:rFonts w:hint="eastAsia" w:ascii="仿宋_GB2312" w:hAnsi="仿宋_GB2312" w:eastAsia="仿宋_GB2312" w:cs="仿宋_GB2312"/>
          <w:color w:val="000000"/>
          <w:sz w:val="32"/>
          <w:szCs w:val="32"/>
          <w:shd w:val="clear" w:color="auto" w:fill="FFFFFF"/>
          <w:lang w:val="en-US" w:eastAsia="zh-CN"/>
        </w:rPr>
        <w:t>青岛</w:t>
      </w:r>
      <w:r>
        <w:rPr>
          <w:rFonts w:hint="eastAsia" w:ascii="仿宋_GB2312" w:hAnsi="仿宋_GB2312" w:eastAsia="仿宋_GB2312" w:cs="仿宋_GB2312"/>
          <w:color w:val="000000"/>
          <w:sz w:val="32"/>
          <w:szCs w:val="32"/>
          <w:shd w:val="clear" w:color="auto" w:fill="FFFFFF"/>
        </w:rPr>
        <w:t>市商务局政务（信息）公开领导小组办公室联系。地址：青岛市香港中路6号A座1301室；邮编：266071；电话:（0532）85918108</w:t>
      </w:r>
      <w:r>
        <w:rPr>
          <w:rFonts w:ascii="仿宋_GB2312" w:hAnsi="仿宋_GB2312" w:eastAsia="仿宋_GB2312" w:cs="仿宋_GB2312"/>
          <w:color w:val="000000"/>
          <w:sz w:val="32"/>
          <w:szCs w:val="32"/>
          <w:shd w:val="clear" w:color="auto" w:fill="FFFFFF"/>
        </w:rPr>
        <w:t>。</w:t>
      </w:r>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一、总体情况</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年，青岛市</w:t>
      </w:r>
      <w:r>
        <w:rPr>
          <w:rFonts w:hint="eastAsia" w:ascii="仿宋_GB2312" w:hAnsi="仿宋_GB2312" w:eastAsia="仿宋_GB2312" w:cs="仿宋_GB2312"/>
          <w:color w:val="000000"/>
          <w:sz w:val="32"/>
          <w:szCs w:val="32"/>
          <w:shd w:val="clear" w:color="auto" w:fill="FFFFFF"/>
          <w:lang w:val="en-US" w:eastAsia="zh-CN"/>
        </w:rPr>
        <w:t>商务</w:t>
      </w:r>
      <w:r>
        <w:rPr>
          <w:rFonts w:hint="eastAsia" w:ascii="仿宋_GB2312" w:hAnsi="仿宋_GB2312" w:eastAsia="仿宋_GB2312" w:cs="仿宋_GB2312"/>
          <w:color w:val="000000"/>
          <w:sz w:val="32"/>
          <w:szCs w:val="32"/>
          <w:shd w:val="clear" w:color="auto" w:fill="FFFFFF"/>
        </w:rPr>
        <w:t>局全面贯彻落实市委、市政府决策部署，坚持以公开为常态、不公开为例外，紧紧围绕商务重点工作，践行商务为民初心</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全面提升政务公开的标准化、规范化水平，以公开促落实、促规范、促服务。</w:t>
      </w:r>
    </w:p>
    <w:p>
      <w:pPr>
        <w:spacing w:line="560" w:lineRule="exact"/>
        <w:ind w:firstLine="640" w:firstLineChars="200"/>
        <w:rPr>
          <w:rFonts w:ascii="楷体" w:hAnsi="楷体" w:eastAsia="楷体" w:cs="宋体"/>
          <w:color w:val="000000"/>
          <w:sz w:val="32"/>
          <w:szCs w:val="32"/>
        </w:rPr>
      </w:pPr>
      <w:r>
        <w:rPr>
          <w:rFonts w:hint="eastAsia" w:ascii="楷体" w:hAnsi="楷体" w:eastAsia="楷体" w:cs="宋体"/>
          <w:color w:val="000000"/>
          <w:sz w:val="32"/>
          <w:szCs w:val="32"/>
        </w:rPr>
        <w:t>（一）</w:t>
      </w:r>
      <w:r>
        <w:rPr>
          <w:rFonts w:hint="eastAsia" w:ascii="楷体" w:hAnsi="楷体" w:eastAsia="楷体" w:cs="宋体"/>
          <w:color w:val="000000"/>
          <w:sz w:val="32"/>
          <w:szCs w:val="32"/>
          <w:lang w:val="en-US" w:eastAsia="zh-CN"/>
        </w:rPr>
        <w:t>主动公开工作求实求新</w:t>
      </w:r>
    </w:p>
    <w:p>
      <w:pPr>
        <w:spacing w:line="560" w:lineRule="exact"/>
        <w:ind w:firstLine="640" w:firstLineChars="200"/>
        <w:rPr>
          <w:rFonts w:ascii="仿宋_GB2312" w:hAnsi="仿宋_GB2312" w:eastAsia="仿宋_GB2312" w:cs="仿宋_GB2312"/>
          <w:color w:val="000000"/>
          <w:sz w:val="32"/>
          <w:szCs w:val="32"/>
          <w:highlight w:val="none"/>
          <w:shd w:val="clear" w:color="auto" w:fill="FFFFFF"/>
        </w:rPr>
      </w:pPr>
      <w:r>
        <w:rPr>
          <w:rFonts w:hint="eastAsia" w:ascii="仿宋_GB2312" w:hAnsi="仿宋_GB2312" w:eastAsia="仿宋_GB2312" w:cs="仿宋_GB2312"/>
          <w:color w:val="000000"/>
          <w:sz w:val="32"/>
          <w:szCs w:val="32"/>
          <w:shd w:val="clear" w:color="auto" w:fill="FFFFFF"/>
        </w:rPr>
        <w:t>一是继续按照要求做好常规性信息公开工作。202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年，对照市政府部门法定主动公开内容目录，</w:t>
      </w:r>
      <w:r>
        <w:rPr>
          <w:rFonts w:hint="eastAsia" w:ascii="仿宋_GB2312" w:hAnsi="仿宋_GB2312" w:eastAsia="仿宋_GB2312" w:cs="仿宋_GB2312"/>
          <w:color w:val="000000"/>
          <w:sz w:val="32"/>
          <w:szCs w:val="32"/>
          <w:shd w:val="clear" w:color="auto" w:fill="FFFFFF"/>
          <w:lang w:val="en-US" w:eastAsia="zh-CN"/>
        </w:rPr>
        <w:t>通过青岛政务网公开信息87条，局网站发布信息1869条</w:t>
      </w:r>
      <w:r>
        <w:rPr>
          <w:rFonts w:hint="eastAsia" w:ascii="仿宋_GB2312" w:hAnsi="仿宋_GB2312" w:eastAsia="仿宋_GB2312" w:cs="仿宋_GB2312"/>
          <w:color w:val="000000"/>
          <w:sz w:val="32"/>
          <w:szCs w:val="32"/>
          <w:shd w:val="clear" w:color="auto" w:fill="FFFFFF"/>
        </w:rPr>
        <w:t>。二是有效利用政务新媒体，提高政策知晓度。“通商青岛”公众号共发布信息</w:t>
      </w:r>
      <w:r>
        <w:rPr>
          <w:rFonts w:hint="eastAsia" w:ascii="仿宋_GB2312" w:hAnsi="仿宋_GB2312" w:eastAsia="仿宋_GB2312" w:cs="仿宋_GB2312"/>
          <w:color w:val="000000"/>
          <w:sz w:val="32"/>
          <w:szCs w:val="32"/>
          <w:shd w:val="clear" w:color="auto" w:fill="FFFFFF"/>
          <w:lang w:val="en-US" w:eastAsia="zh-CN"/>
        </w:rPr>
        <w:t>307</w:t>
      </w:r>
      <w:r>
        <w:rPr>
          <w:rFonts w:hint="eastAsia" w:ascii="仿宋_GB2312" w:hAnsi="仿宋_GB2312" w:eastAsia="仿宋_GB2312" w:cs="仿宋_GB2312"/>
          <w:color w:val="000000"/>
          <w:sz w:val="32"/>
          <w:szCs w:val="32"/>
          <w:shd w:val="clear" w:color="auto" w:fill="FFFFFF"/>
        </w:rPr>
        <w:t>条，“商务青岛”微博号发布信息</w:t>
      </w:r>
      <w:r>
        <w:rPr>
          <w:rFonts w:hint="eastAsia" w:ascii="仿宋_GB2312" w:hAnsi="仿宋_GB2312" w:eastAsia="仿宋_GB2312" w:cs="仿宋_GB2312"/>
          <w:color w:val="000000"/>
          <w:sz w:val="32"/>
          <w:szCs w:val="32"/>
          <w:shd w:val="clear" w:color="auto" w:fill="FFFFFF"/>
          <w:lang w:val="en-US" w:eastAsia="zh-CN"/>
        </w:rPr>
        <w:t>159</w:t>
      </w:r>
      <w:r>
        <w:rPr>
          <w:rFonts w:hint="eastAsia" w:ascii="仿宋_GB2312" w:hAnsi="仿宋_GB2312" w:eastAsia="仿宋_GB2312" w:cs="仿宋_GB2312"/>
          <w:color w:val="000000"/>
          <w:sz w:val="32"/>
          <w:szCs w:val="32"/>
          <w:shd w:val="clear" w:color="auto" w:fill="FFFFFF"/>
        </w:rPr>
        <w:t>条。三是创新政策解读形式，合理选择图片图表、座谈访谈等群众喜闻乐见的展现形式，进行立体式、多方位解读。全年发布图文式解读</w:t>
      </w:r>
      <w:r>
        <w:rPr>
          <w:rFonts w:hint="eastAsia" w:ascii="仿宋_GB2312" w:hAnsi="仿宋_GB2312" w:eastAsia="仿宋_GB2312" w:cs="仿宋_GB2312"/>
          <w:color w:val="000000"/>
          <w:sz w:val="32"/>
          <w:szCs w:val="32"/>
          <w:shd w:val="clear" w:color="auto" w:fill="FFFFFF"/>
          <w:lang w:val="en-US" w:eastAsia="zh-CN"/>
        </w:rPr>
        <w:t>13</w:t>
      </w:r>
      <w:r>
        <w:rPr>
          <w:rFonts w:hint="eastAsia" w:ascii="仿宋_GB2312" w:hAnsi="仿宋_GB2312" w:eastAsia="仿宋_GB2312" w:cs="仿宋_GB2312"/>
          <w:color w:val="000000"/>
          <w:sz w:val="32"/>
          <w:szCs w:val="32"/>
          <w:shd w:val="clear" w:color="auto" w:fill="FFFFFF"/>
        </w:rPr>
        <w:t>篇，</w:t>
      </w:r>
      <w:r>
        <w:rPr>
          <w:rFonts w:hint="eastAsia" w:ascii="仿宋_GB2312" w:hAnsi="仿宋_GB2312" w:eastAsia="仿宋_GB2312" w:cs="仿宋_GB2312"/>
          <w:color w:val="000000"/>
          <w:sz w:val="32"/>
          <w:szCs w:val="32"/>
          <w:highlight w:val="none"/>
          <w:shd w:val="clear" w:color="auto" w:fill="FFFFFF"/>
          <w:lang w:val="en-US" w:eastAsia="zh-CN"/>
        </w:rPr>
        <w:t>共组织8场新闻发布会，对青岛市“以商招商”及社会化招商支持政策、青岛市培育发展新型消费释放消费潜力三年行动方案（2023-2025年）等重点工作进行全面深入解读，取得较好的社会效果</w:t>
      </w:r>
      <w:r>
        <w:rPr>
          <w:rFonts w:hint="eastAsia" w:ascii="仿宋_GB2312" w:hAnsi="仿宋_GB2312" w:eastAsia="仿宋_GB2312" w:cs="仿宋_GB2312"/>
          <w:color w:val="000000"/>
          <w:sz w:val="32"/>
          <w:szCs w:val="32"/>
          <w:highlight w:val="none"/>
          <w:shd w:val="clear" w:color="auto" w:fill="FFFFFF"/>
        </w:rPr>
        <w:t>。</w:t>
      </w:r>
    </w:p>
    <w:p>
      <w:pPr>
        <w:spacing w:line="560" w:lineRule="exact"/>
        <w:ind w:firstLine="640" w:firstLineChars="200"/>
        <w:rPr>
          <w:rFonts w:ascii="楷体" w:hAnsi="楷体" w:eastAsia="楷体" w:cs="宋体"/>
          <w:color w:val="000000"/>
          <w:sz w:val="32"/>
          <w:szCs w:val="32"/>
          <w:highlight w:val="none"/>
        </w:rPr>
      </w:pPr>
      <w:r>
        <w:rPr>
          <w:rFonts w:hint="eastAsia" w:ascii="楷体" w:hAnsi="楷体" w:eastAsia="楷体" w:cs="宋体"/>
          <w:color w:val="000000"/>
          <w:sz w:val="32"/>
          <w:szCs w:val="32"/>
          <w:highlight w:val="none"/>
        </w:rPr>
        <w:t>（二）依申请公开依法依规</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严格按照依申请公开办理工作要求，进一步完善受理、审查、处理、答复以及保存备查等各个环节，不断提高依申请公开服务能力。202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年共受理依申请公开信息</w:t>
      </w:r>
      <w:r>
        <w:rPr>
          <w:rFonts w:hint="eastAsia" w:ascii="仿宋_GB2312" w:hAnsi="仿宋_GB2312" w:eastAsia="仿宋_GB2312" w:cs="仿宋_GB2312"/>
          <w:color w:val="000000"/>
          <w:sz w:val="32"/>
          <w:szCs w:val="32"/>
          <w:shd w:val="clear" w:color="auto" w:fill="FFFFFF"/>
          <w:lang w:val="en-US" w:eastAsia="zh-CN"/>
        </w:rPr>
        <w:t>12</w:t>
      </w:r>
      <w:r>
        <w:rPr>
          <w:rFonts w:hint="eastAsia" w:ascii="仿宋_GB2312" w:hAnsi="仿宋_GB2312" w:eastAsia="仿宋_GB2312" w:cs="仿宋_GB2312"/>
          <w:color w:val="000000"/>
          <w:sz w:val="32"/>
          <w:szCs w:val="32"/>
          <w:shd w:val="clear" w:color="auto" w:fill="FFFFFF"/>
        </w:rPr>
        <w:t>件，均严格按照《中华人民共和国政府信息公开条例》规定出具告知书，规范格式和内容，确保用词准确、严谨、规范，没有出现行政复议和行政诉讼情况。</w:t>
      </w:r>
    </w:p>
    <w:p>
      <w:pPr>
        <w:spacing w:line="560" w:lineRule="exact"/>
        <w:ind w:firstLine="640" w:firstLineChars="200"/>
        <w:rPr>
          <w:rFonts w:ascii="楷体" w:hAnsi="楷体" w:eastAsia="楷体" w:cs="宋体"/>
          <w:color w:val="000000"/>
          <w:sz w:val="32"/>
          <w:szCs w:val="32"/>
        </w:rPr>
      </w:pPr>
      <w:r>
        <w:rPr>
          <w:rFonts w:hint="eastAsia" w:ascii="楷体" w:hAnsi="楷体" w:eastAsia="楷体" w:cs="宋体"/>
          <w:color w:val="000000"/>
          <w:sz w:val="32"/>
          <w:szCs w:val="32"/>
        </w:rPr>
        <w:t>（三）政府信息管理</w:t>
      </w:r>
      <w:r>
        <w:rPr>
          <w:rFonts w:hint="eastAsia" w:ascii="楷体" w:hAnsi="楷体" w:eastAsia="楷体" w:cs="宋体"/>
          <w:color w:val="000000"/>
          <w:sz w:val="32"/>
          <w:szCs w:val="32"/>
          <w:lang w:val="en-US" w:eastAsia="zh-CN"/>
        </w:rPr>
        <w:t>机制完善</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根据政府信息公开条例要求，</w:t>
      </w:r>
      <w:r>
        <w:rPr>
          <w:rFonts w:hint="eastAsia" w:ascii="仿宋_GB2312" w:hAnsi="仿宋_GB2312" w:eastAsia="仿宋_GB2312" w:cs="仿宋_GB2312"/>
          <w:color w:val="000000"/>
          <w:sz w:val="32"/>
          <w:szCs w:val="32"/>
          <w:shd w:val="clear" w:color="auto" w:fill="FFFFFF"/>
          <w:lang w:val="en-US" w:eastAsia="zh-CN"/>
        </w:rPr>
        <w:t>结合</w:t>
      </w:r>
      <w:r>
        <w:rPr>
          <w:rFonts w:hint="eastAsia" w:ascii="仿宋_GB2312" w:hAnsi="仿宋_GB2312" w:eastAsia="仿宋_GB2312" w:cs="仿宋_GB2312"/>
          <w:color w:val="000000"/>
          <w:sz w:val="32"/>
          <w:szCs w:val="32"/>
          <w:shd w:val="clear" w:color="auto" w:fill="FFFFFF"/>
        </w:rPr>
        <w:t>专项印发</w:t>
      </w:r>
      <w:r>
        <w:rPr>
          <w:rFonts w:hint="eastAsia" w:ascii="仿宋_GB2312" w:hAnsi="仿宋_GB2312" w:eastAsia="仿宋_GB2312" w:cs="仿宋_GB2312"/>
          <w:color w:val="000000"/>
          <w:sz w:val="32"/>
          <w:szCs w:val="32"/>
          <w:shd w:val="clear" w:color="auto" w:fill="FFFFFF"/>
          <w:lang w:eastAsia="zh-CN"/>
        </w:rPr>
        <w:t>的</w:t>
      </w:r>
      <w:r>
        <w:rPr>
          <w:rFonts w:hint="eastAsia" w:ascii="仿宋_GB2312" w:hAnsi="仿宋_GB2312" w:eastAsia="仿宋_GB2312" w:cs="仿宋_GB2312"/>
          <w:color w:val="000000"/>
          <w:sz w:val="32"/>
          <w:szCs w:val="32"/>
          <w:shd w:val="clear" w:color="auto" w:fill="FFFFFF"/>
        </w:rPr>
        <w:t>《青岛市商务局关于加强外文网站管理的通知》《青岛市商务局关于加强新媒体平台管理的通知》等制度性文件，</w:t>
      </w:r>
      <w:r>
        <w:rPr>
          <w:rFonts w:hint="eastAsia" w:ascii="仿宋_GB2312" w:hAnsi="仿宋_GB2312" w:eastAsia="仿宋_GB2312" w:cs="仿宋_GB2312"/>
          <w:color w:val="000000"/>
          <w:sz w:val="32"/>
          <w:szCs w:val="32"/>
          <w:shd w:val="clear" w:color="auto" w:fill="FFFFFF"/>
          <w:lang w:val="en-US" w:eastAsia="zh-CN"/>
        </w:rPr>
        <w:t>责任到人</w:t>
      </w:r>
      <w:r>
        <w:rPr>
          <w:rFonts w:hint="eastAsia" w:ascii="仿宋_GB2312" w:hAnsi="仿宋_GB2312" w:eastAsia="仿宋_GB2312" w:cs="仿宋_GB2312"/>
          <w:color w:val="000000"/>
          <w:sz w:val="32"/>
          <w:szCs w:val="32"/>
          <w:shd w:val="clear" w:color="auto" w:fill="FFFFFF"/>
        </w:rPr>
        <w:t>，确保公开内容合法性、准确性、严肃性。做好规范性文件公开工作，强化规范性文件的监督管理，全面落实规范性文件有效期制度。</w:t>
      </w:r>
    </w:p>
    <w:p>
      <w:pPr>
        <w:spacing w:line="560" w:lineRule="exact"/>
        <w:ind w:firstLine="640" w:firstLineChars="200"/>
        <w:rPr>
          <w:rFonts w:ascii="楷体" w:hAnsi="楷体" w:eastAsia="楷体" w:cs="宋体"/>
          <w:color w:val="000000"/>
          <w:sz w:val="32"/>
          <w:szCs w:val="32"/>
        </w:rPr>
      </w:pPr>
      <w:r>
        <w:rPr>
          <w:rFonts w:hint="eastAsia" w:ascii="楷体" w:hAnsi="楷体" w:eastAsia="楷体" w:cs="宋体"/>
          <w:color w:val="000000"/>
          <w:sz w:val="32"/>
          <w:szCs w:val="32"/>
        </w:rPr>
        <w:t>（四）</w:t>
      </w:r>
      <w:r>
        <w:rPr>
          <w:rFonts w:hint="eastAsia" w:ascii="楷体" w:hAnsi="楷体" w:eastAsia="楷体" w:cs="宋体"/>
          <w:color w:val="000000"/>
          <w:sz w:val="32"/>
          <w:szCs w:val="32"/>
          <w:lang w:val="en-US" w:eastAsia="zh-CN"/>
        </w:rPr>
        <w:t>政务</w:t>
      </w:r>
      <w:r>
        <w:rPr>
          <w:rFonts w:hint="eastAsia" w:ascii="楷体" w:hAnsi="楷体" w:eastAsia="楷体" w:cs="宋体"/>
          <w:color w:val="000000"/>
          <w:sz w:val="32"/>
          <w:szCs w:val="32"/>
        </w:rPr>
        <w:t>平台建设</w:t>
      </w:r>
      <w:r>
        <w:rPr>
          <w:rFonts w:hint="eastAsia" w:ascii="楷体" w:hAnsi="楷体" w:eastAsia="楷体" w:cs="宋体"/>
          <w:color w:val="000000"/>
          <w:sz w:val="32"/>
          <w:szCs w:val="32"/>
          <w:lang w:val="en-US" w:eastAsia="zh-CN"/>
        </w:rPr>
        <w:t>渠道</w:t>
      </w:r>
      <w:r>
        <w:rPr>
          <w:rFonts w:hint="eastAsia" w:ascii="楷体" w:hAnsi="楷体" w:eastAsia="楷体" w:cs="宋体"/>
          <w:color w:val="000000"/>
          <w:sz w:val="32"/>
          <w:szCs w:val="32"/>
        </w:rPr>
        <w:t>畅通</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遵循</w:t>
      </w:r>
      <w:r>
        <w:rPr>
          <w:rFonts w:hint="eastAsia" w:ascii="仿宋_GB2312" w:hAnsi="仿宋_GB2312" w:eastAsia="仿宋_GB2312" w:cs="仿宋_GB2312"/>
          <w:color w:val="000000"/>
          <w:sz w:val="32"/>
          <w:szCs w:val="32"/>
          <w:shd w:val="clear" w:color="auto" w:fill="FFFFFF"/>
        </w:rPr>
        <w:t>打通政民互动平台，积极回应社会关切</w:t>
      </w:r>
      <w:r>
        <w:rPr>
          <w:rFonts w:ascii="仿宋_GB2312" w:hAnsi="仿宋_GB2312" w:eastAsia="仿宋_GB2312" w:cs="仿宋_GB2312"/>
          <w:color w:val="000000"/>
          <w:sz w:val="32"/>
          <w:szCs w:val="32"/>
          <w:shd w:val="clear" w:color="auto" w:fill="FFFFFF"/>
        </w:rPr>
        <w:t>的构建理念和宗旨，</w:t>
      </w:r>
      <w:r>
        <w:rPr>
          <w:rFonts w:hint="eastAsia" w:ascii="仿宋_GB2312" w:hAnsi="仿宋_GB2312" w:eastAsia="仿宋_GB2312" w:cs="仿宋_GB2312"/>
          <w:color w:val="000000"/>
          <w:sz w:val="32"/>
          <w:szCs w:val="32"/>
          <w:shd w:val="clear" w:color="auto" w:fill="FFFFFF"/>
        </w:rPr>
        <w:t>不断丰富</w:t>
      </w:r>
      <w:r>
        <w:rPr>
          <w:rFonts w:hint="eastAsia" w:ascii="仿宋_GB2312" w:hAnsi="仿宋_GB2312" w:eastAsia="仿宋_GB2312" w:cs="仿宋_GB2312"/>
          <w:color w:val="000000"/>
          <w:sz w:val="32"/>
          <w:szCs w:val="32"/>
          <w:shd w:val="clear" w:color="auto" w:fill="FFFFFF"/>
          <w:lang w:val="en-US" w:eastAsia="zh-CN"/>
        </w:rPr>
        <w:t>局网站</w:t>
      </w:r>
      <w:r>
        <w:rPr>
          <w:rFonts w:hint="eastAsia" w:ascii="仿宋_GB2312" w:hAnsi="仿宋_GB2312" w:eastAsia="仿宋_GB2312" w:cs="仿宋_GB2312"/>
          <w:color w:val="000000"/>
          <w:sz w:val="32"/>
          <w:szCs w:val="32"/>
          <w:shd w:val="clear" w:color="auto" w:fill="FFFFFF"/>
        </w:rPr>
        <w:t>服务内容，拓展服务方式。</w:t>
      </w:r>
      <w:r>
        <w:rPr>
          <w:rFonts w:hint="eastAsia" w:ascii="仿宋_GB2312" w:hAnsi="仿宋_GB2312" w:eastAsia="仿宋_GB2312" w:cs="仿宋_GB2312"/>
          <w:color w:val="000000"/>
          <w:sz w:val="32"/>
          <w:szCs w:val="32"/>
          <w:shd w:val="clear" w:color="auto" w:fill="FFFFFF"/>
          <w:lang w:val="en-US" w:eastAsia="zh-CN"/>
        </w:rPr>
        <w:t>2023年，局网站新开设专栏专题3个，全年常规性维护30个，全年</w:t>
      </w:r>
      <w:r>
        <w:rPr>
          <w:rFonts w:hint="eastAsia" w:ascii="仿宋_GB2312" w:hAnsi="仿宋_GB2312" w:eastAsia="仿宋_GB2312" w:cs="仿宋_GB2312"/>
          <w:color w:val="000000"/>
          <w:sz w:val="32"/>
          <w:szCs w:val="32"/>
          <w:shd w:val="clear" w:color="auto" w:fill="FFFFFF"/>
        </w:rPr>
        <w:t>总访问量达51.2万余次</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办结留言数量1991条，答复网民提问数量254条</w:t>
      </w:r>
      <w:r>
        <w:rPr>
          <w:rFonts w:ascii="仿宋_GB2312" w:hAnsi="仿宋_GB2312" w:eastAsia="仿宋_GB2312" w:cs="仿宋_GB2312"/>
          <w:color w:val="000000"/>
          <w:sz w:val="32"/>
          <w:szCs w:val="32"/>
          <w:shd w:val="clear" w:color="auto" w:fill="FFFFFF"/>
        </w:rPr>
        <w:t>。</w:t>
      </w:r>
    </w:p>
    <w:p>
      <w:pPr>
        <w:spacing w:line="560" w:lineRule="exact"/>
        <w:ind w:firstLine="640" w:firstLineChars="200"/>
        <w:rPr>
          <w:rFonts w:hint="eastAsia" w:ascii="楷体" w:hAnsi="楷体" w:eastAsia="楷体" w:cs="宋体"/>
          <w:color w:val="000000"/>
          <w:sz w:val="32"/>
          <w:szCs w:val="32"/>
          <w:lang w:val="en-US" w:eastAsia="zh-CN"/>
        </w:rPr>
      </w:pPr>
      <w:r>
        <w:rPr>
          <w:rFonts w:hint="eastAsia" w:ascii="楷体" w:hAnsi="楷体" w:eastAsia="楷体" w:cs="宋体"/>
          <w:color w:val="000000"/>
          <w:sz w:val="32"/>
          <w:szCs w:val="32"/>
        </w:rPr>
        <w:t>（五）监督保障</w:t>
      </w:r>
      <w:r>
        <w:rPr>
          <w:rFonts w:hint="eastAsia" w:ascii="楷体" w:hAnsi="楷体" w:eastAsia="楷体" w:cs="宋体"/>
          <w:color w:val="000000"/>
          <w:sz w:val="32"/>
          <w:szCs w:val="32"/>
          <w:lang w:val="en-US" w:eastAsia="zh-CN"/>
        </w:rPr>
        <w:t>责任压紧压实</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val="en-US" w:eastAsia="zh-CN"/>
        </w:rPr>
        <w:t>根据2023年青岛市政务公开工作要点，结合实际工作，</w:t>
      </w:r>
      <w:r>
        <w:rPr>
          <w:rFonts w:hint="eastAsia" w:ascii="仿宋_GB2312" w:hAnsi="仿宋_GB2312" w:eastAsia="仿宋_GB2312" w:cs="仿宋_GB2312"/>
          <w:color w:val="000000"/>
          <w:sz w:val="32"/>
          <w:szCs w:val="32"/>
          <w:shd w:val="clear" w:color="auto" w:fill="FFFFFF"/>
        </w:rPr>
        <w:t>在全局范围内印发《青岛市</w:t>
      </w:r>
      <w:r>
        <w:rPr>
          <w:rFonts w:hint="eastAsia" w:ascii="仿宋_GB2312" w:hAnsi="仿宋_GB2312" w:eastAsia="仿宋_GB2312" w:cs="仿宋_GB2312"/>
          <w:color w:val="000000"/>
          <w:sz w:val="32"/>
          <w:szCs w:val="32"/>
          <w:shd w:val="clear" w:color="auto" w:fill="FFFFFF"/>
          <w:lang w:val="en-US" w:eastAsia="zh-CN"/>
        </w:rPr>
        <w:t>商务</w:t>
      </w:r>
      <w:r>
        <w:rPr>
          <w:rFonts w:hint="eastAsia" w:ascii="仿宋_GB2312" w:hAnsi="仿宋_GB2312" w:eastAsia="仿宋_GB2312" w:cs="仿宋_GB2312"/>
          <w:color w:val="000000"/>
          <w:sz w:val="32"/>
          <w:szCs w:val="32"/>
          <w:shd w:val="clear" w:color="auto" w:fill="FFFFFF"/>
        </w:rPr>
        <w:t>局202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年政务公开工作实施方案》，落实责任，并定期进行调度。组织</w:t>
      </w:r>
      <w:r>
        <w:rPr>
          <w:rFonts w:hint="eastAsia" w:ascii="仿宋_GB2312" w:hAnsi="仿宋_GB2312" w:eastAsia="仿宋_GB2312" w:cs="仿宋_GB2312"/>
          <w:color w:val="000000"/>
          <w:sz w:val="32"/>
          <w:szCs w:val="32"/>
          <w:shd w:val="clear" w:color="auto" w:fill="FFFFFF"/>
          <w:lang w:val="en-US" w:eastAsia="zh-CN"/>
        </w:rPr>
        <w:t>各处室联络员</w:t>
      </w:r>
      <w:r>
        <w:rPr>
          <w:rFonts w:hint="eastAsia" w:ascii="仿宋_GB2312" w:hAnsi="仿宋_GB2312" w:eastAsia="仿宋_GB2312" w:cs="仿宋_GB2312"/>
          <w:color w:val="000000"/>
          <w:sz w:val="32"/>
          <w:szCs w:val="32"/>
          <w:shd w:val="clear" w:color="auto" w:fill="FFFFFF"/>
        </w:rPr>
        <w:t>开展培训工作，学习政府信息公开相关法规及文件，为做好政府信息公开工作打下了坚实基础</w:t>
      </w:r>
      <w:r>
        <w:rPr>
          <w:rFonts w:ascii="仿宋_GB2312" w:hAnsi="仿宋_GB2312" w:eastAsia="仿宋_GB2312" w:cs="仿宋_GB2312"/>
          <w:color w:val="000000"/>
          <w:sz w:val="32"/>
          <w:szCs w:val="32"/>
          <w:shd w:val="clear" w:color="auto" w:fill="FFFFFF"/>
        </w:rPr>
        <w:t>。</w:t>
      </w:r>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二、主动公开政府信息情况</w:t>
      </w:r>
    </w:p>
    <w:tbl>
      <w:tblPr>
        <w:tblStyle w:val="5"/>
        <w:tblW w:w="5000" w:type="pct"/>
        <w:tblInd w:w="0" w:type="dxa"/>
        <w:tblLayout w:type="autofit"/>
        <w:tblCellMar>
          <w:top w:w="0" w:type="dxa"/>
          <w:left w:w="108" w:type="dxa"/>
          <w:bottom w:w="0" w:type="dxa"/>
          <w:right w:w="108" w:type="dxa"/>
        </w:tblCellMar>
      </w:tblPr>
      <w:tblGrid>
        <w:gridCol w:w="2265"/>
        <w:gridCol w:w="2265"/>
        <w:gridCol w:w="2265"/>
        <w:gridCol w:w="2266"/>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c>
          <w:tcPr>
            <w:tcW w:w="1250" w:type="pct"/>
            <w:tcBorders>
              <w:top w:val="nil"/>
              <w:left w:val="nil"/>
              <w:bottom w:val="single" w:color="auto" w:sz="8" w:space="0"/>
              <w:right w:val="single" w:color="auto" w:sz="8" w:space="0"/>
            </w:tcBorders>
            <w:shd w:val="clear" w:color="auto" w:fill="auto"/>
            <w:vAlign w:val="center"/>
          </w:tcPr>
          <w:p>
            <w:pPr>
              <w:widowControl/>
              <w:jc w:val="left"/>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1</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Calibri" w:eastAsia="仿宋_GB2312" w:cs="Calibri"/>
                <w:color w:val="000000"/>
                <w:kern w:val="0"/>
                <w:szCs w:val="21"/>
              </w:rPr>
            </w:pPr>
            <w:r>
              <w:rPr>
                <w:rFonts w:hint="eastAsia" w:ascii="仿宋_GB2312" w:hAnsi="Calibri" w:eastAsia="仿宋_GB2312" w:cs="Calibri"/>
                <w:color w:val="000000"/>
                <w:kern w:val="0"/>
                <w:szCs w:val="21"/>
              </w:rPr>
              <w:t>　967（办件量）</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hAnsi="Calibri" w:eastAsia="仿宋_GB2312" w:cs="Calibri"/>
                <w:color w:val="000000"/>
                <w:kern w:val="0"/>
                <w:szCs w:val="21"/>
                <w:lang w:val="en-US" w:eastAsia="zh-CN"/>
              </w:rPr>
              <w:t>0</w:t>
            </w:r>
          </w:p>
        </w:tc>
      </w:tr>
    </w:tbl>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829" w:type="dxa"/>
            <w:vMerge w:val="continue"/>
            <w:shd w:val="clear" w:color="auto" w:fill="auto"/>
            <w:tcMar>
              <w:left w:w="108" w:type="dxa"/>
              <w:right w:w="108" w:type="dxa"/>
            </w:tcMar>
            <w:vAlign w:val="center"/>
          </w:tcPr>
          <w:p>
            <w:pPr>
              <w:jc w:val="center"/>
              <w:rPr>
                <w:rFonts w:ascii="黑体" w:hAnsi="黑体" w:eastAsia="黑体"/>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12</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ascii="仿宋_GB2312" w:hAnsi="Times New Roman" w:eastAsia="仿宋_GB2312"/>
                <w:szCs w:val="21"/>
              </w:rPr>
            </w:pPr>
            <w:r>
              <w:rPr>
                <w:rFonts w:hint="eastAsia" w:ascii="仿宋_GB2312" w:hAnsi="Times New Roman" w:eastAsia="仿宋_GB2312"/>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6</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12</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r>
    </w:tbl>
    <w:p/>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四、因政府信息公开工作被申请行政复议、提起行政诉讼情况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仿宋_GB2312" w:hAnsi="Times New Roman" w:eastAsia="仿宋_GB2312" w:cstheme="minorBidi"/>
                <w:kern w:val="2"/>
                <w:sz w:val="21"/>
                <w:szCs w:val="21"/>
                <w:lang w:val="en-US" w:eastAsia="zh-CN" w:bidi="ar-SA"/>
              </w:rPr>
            </w:pPr>
            <w:r>
              <w:rPr>
                <w:rFonts w:hint="eastAsia" w:ascii="仿宋_GB2312" w:hAnsi="Times New Roman" w:eastAsia="仿宋_GB2312"/>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rPr>
            </w:pPr>
            <w:r>
              <w:rPr>
                <w:rFonts w:hint="eastAsia" w:ascii="仿宋_GB2312" w:hAnsi="Times New Roman" w:eastAsia="仿宋_GB2312"/>
                <w:szCs w:val="21"/>
                <w:lang w:val="en-US" w:eastAsia="zh-CN"/>
              </w:rPr>
              <w:t>0</w:t>
            </w:r>
          </w:p>
        </w:tc>
      </w:tr>
    </w:tbl>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w:t>
      </w:r>
      <w:r>
        <w:rPr>
          <w:rFonts w:ascii="Times New Roman" w:hAnsi="Times New Roman" w:eastAsia="黑体" w:cs="Times New Roman"/>
          <w:sz w:val="32"/>
          <w:szCs w:val="32"/>
        </w:rPr>
        <w:t>存在的主要问题及改进情况</w:t>
      </w:r>
    </w:p>
    <w:p>
      <w:pPr>
        <w:spacing w:line="56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2023年我局政府信息公开工作虽然取得了一定成绩，但也存在</w:t>
      </w:r>
      <w:r>
        <w:rPr>
          <w:rFonts w:hint="eastAsia" w:ascii="仿宋_GB2312" w:hAnsi="仿宋_GB2312" w:eastAsia="仿宋_GB2312" w:cs="仿宋_GB2312"/>
          <w:color w:val="000000"/>
          <w:sz w:val="32"/>
          <w:szCs w:val="32"/>
          <w:shd w:val="clear" w:color="auto" w:fill="FFFFFF"/>
          <w:lang w:val="en-US" w:eastAsia="zh-CN"/>
        </w:rPr>
        <w:t>一些</w:t>
      </w:r>
      <w:r>
        <w:rPr>
          <w:rFonts w:hint="eastAsia" w:ascii="仿宋_GB2312" w:hAnsi="仿宋_GB2312" w:eastAsia="仿宋_GB2312" w:cs="仿宋_GB2312"/>
          <w:color w:val="000000"/>
          <w:sz w:val="32"/>
          <w:szCs w:val="32"/>
          <w:shd w:val="clear" w:color="auto" w:fill="FFFFFF"/>
        </w:rPr>
        <w:t>不足</w:t>
      </w:r>
      <w:r>
        <w:rPr>
          <w:rFonts w:hint="eastAsia" w:ascii="仿宋_GB2312" w:hAnsi="仿宋_GB2312" w:eastAsia="仿宋_GB2312" w:cs="仿宋_GB2312"/>
          <w:color w:val="000000"/>
          <w:sz w:val="32"/>
          <w:szCs w:val="32"/>
          <w:shd w:val="clear" w:color="auto" w:fill="FFFFFF"/>
          <w:lang w:eastAsia="zh-CN"/>
        </w:rPr>
        <w:t>：</w:t>
      </w:r>
      <w:r>
        <w:rPr>
          <w:rFonts w:ascii="仿宋_GB2312" w:hAnsi="仿宋_GB2312" w:eastAsia="仿宋_GB2312" w:cs="仿宋_GB2312"/>
          <w:color w:val="000000"/>
          <w:sz w:val="32"/>
          <w:szCs w:val="32"/>
          <w:shd w:val="clear" w:color="auto" w:fill="FFFFFF"/>
        </w:rPr>
        <w:t>一是</w:t>
      </w:r>
      <w:r>
        <w:rPr>
          <w:rFonts w:hint="eastAsia" w:ascii="仿宋_GB2312" w:hAnsi="仿宋_GB2312" w:eastAsia="仿宋_GB2312" w:cs="仿宋_GB2312"/>
          <w:color w:val="000000"/>
          <w:sz w:val="32"/>
          <w:szCs w:val="32"/>
          <w:shd w:val="clear" w:color="auto" w:fill="FFFFFF"/>
        </w:rPr>
        <w:t>政策解读</w:t>
      </w:r>
      <w:r>
        <w:rPr>
          <w:rFonts w:hint="eastAsia" w:ascii="仿宋_GB2312" w:hAnsi="仿宋_GB2312" w:eastAsia="仿宋_GB2312" w:cs="仿宋_GB2312"/>
          <w:color w:val="000000"/>
          <w:sz w:val="32"/>
          <w:szCs w:val="32"/>
          <w:shd w:val="clear" w:color="auto" w:fill="FFFFFF"/>
          <w:lang w:val="en-US" w:eastAsia="zh-CN"/>
        </w:rPr>
        <w:t>方式还不够多元</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下一步还需进一步</w:t>
      </w:r>
      <w:r>
        <w:rPr>
          <w:rFonts w:hint="eastAsia" w:ascii="仿宋_GB2312" w:hAnsi="仿宋_GB2312" w:eastAsia="仿宋_GB2312" w:cs="仿宋_GB2312"/>
          <w:color w:val="000000"/>
          <w:sz w:val="32"/>
          <w:szCs w:val="32"/>
          <w:shd w:val="clear" w:color="auto" w:fill="FFFFFF"/>
        </w:rPr>
        <w:t>丰富政策解读的形式，对标优秀部门，提升解读深度</w:t>
      </w:r>
      <w:r>
        <w:rPr>
          <w:rFonts w:ascii="仿宋_GB2312" w:hAnsi="仿宋_GB2312" w:eastAsia="仿宋_GB2312" w:cs="仿宋_GB2312"/>
          <w:color w:val="000000"/>
          <w:sz w:val="32"/>
          <w:szCs w:val="32"/>
          <w:shd w:val="clear" w:color="auto" w:fill="FFFFFF"/>
        </w:rPr>
        <w:t>；二是</w:t>
      </w:r>
      <w:r>
        <w:rPr>
          <w:rFonts w:hint="eastAsia" w:ascii="仿宋_GB2312" w:hAnsi="仿宋_GB2312" w:eastAsia="仿宋_GB2312" w:cs="仿宋_GB2312"/>
          <w:color w:val="000000"/>
          <w:sz w:val="32"/>
          <w:szCs w:val="32"/>
          <w:shd w:val="clear" w:color="auto" w:fill="FFFFFF"/>
          <w:lang w:val="en-US" w:eastAsia="zh-CN"/>
        </w:rPr>
        <w:t>政务公开工作经验的提炼总结还需进一步加强</w:t>
      </w:r>
      <w:r>
        <w:rPr>
          <w:rFonts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下一步要</w:t>
      </w:r>
      <w:r>
        <w:rPr>
          <w:rFonts w:hint="eastAsia" w:ascii="仿宋_GB2312" w:hAnsi="仿宋_GB2312" w:eastAsia="仿宋_GB2312" w:cs="仿宋_GB2312"/>
          <w:color w:val="000000"/>
          <w:sz w:val="32"/>
          <w:szCs w:val="32"/>
          <w:shd w:val="clear" w:color="auto" w:fill="FFFFFF"/>
        </w:rPr>
        <w:t>学习</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政务公开看山东</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微信公众号中</w:t>
      </w:r>
      <w:r>
        <w:rPr>
          <w:rFonts w:hint="eastAsia" w:ascii="仿宋_GB2312" w:hAnsi="仿宋_GB2312" w:eastAsia="仿宋_GB2312" w:cs="仿宋_GB2312"/>
          <w:color w:val="000000"/>
          <w:sz w:val="32"/>
          <w:szCs w:val="32"/>
          <w:shd w:val="clear" w:color="auto" w:fill="FFFFFF"/>
        </w:rPr>
        <w:t>优秀单位经验做法，</w:t>
      </w:r>
      <w:r>
        <w:rPr>
          <w:rFonts w:hint="eastAsia" w:ascii="仿宋_GB2312" w:hAnsi="仿宋_GB2312" w:eastAsia="仿宋_GB2312" w:cs="仿宋_GB2312"/>
          <w:color w:val="000000"/>
          <w:sz w:val="32"/>
          <w:szCs w:val="32"/>
          <w:shd w:val="clear" w:color="auto" w:fill="FFFFFF"/>
          <w:lang w:val="en-US" w:eastAsia="zh-CN"/>
        </w:rPr>
        <w:t>提升</w:t>
      </w:r>
      <w:r>
        <w:rPr>
          <w:rFonts w:hint="eastAsia" w:ascii="仿宋_GB2312" w:hAnsi="仿宋_GB2312" w:eastAsia="仿宋_GB2312" w:cs="仿宋_GB2312"/>
          <w:color w:val="000000"/>
          <w:sz w:val="32"/>
          <w:szCs w:val="32"/>
          <w:shd w:val="clear" w:color="auto" w:fill="FFFFFF"/>
        </w:rPr>
        <w:t>本单位</w:t>
      </w:r>
      <w:r>
        <w:rPr>
          <w:rFonts w:ascii="仿宋_GB2312" w:hAnsi="仿宋_GB2312" w:eastAsia="仿宋_GB2312" w:cs="仿宋_GB2312"/>
          <w:color w:val="000000"/>
          <w:sz w:val="32"/>
          <w:szCs w:val="32"/>
          <w:shd w:val="clear" w:color="auto" w:fill="FFFFFF"/>
        </w:rPr>
        <w:t>经验做法</w:t>
      </w:r>
      <w:r>
        <w:rPr>
          <w:rFonts w:hint="eastAsia" w:ascii="仿宋_GB2312" w:hAnsi="仿宋_GB2312" w:eastAsia="仿宋_GB2312" w:cs="仿宋_GB2312"/>
          <w:color w:val="000000"/>
          <w:sz w:val="32"/>
          <w:szCs w:val="32"/>
          <w:shd w:val="clear" w:color="auto" w:fill="FFFFFF"/>
          <w:lang w:eastAsia="zh-CN"/>
        </w:rPr>
        <w:t>的</w:t>
      </w:r>
      <w:r>
        <w:rPr>
          <w:rFonts w:hint="eastAsia" w:ascii="仿宋_GB2312" w:hAnsi="仿宋_GB2312" w:eastAsia="仿宋_GB2312" w:cs="仿宋_GB2312"/>
          <w:color w:val="000000"/>
          <w:sz w:val="32"/>
          <w:szCs w:val="32"/>
          <w:shd w:val="clear" w:color="auto" w:fill="FFFFFF"/>
          <w:lang w:val="en-US" w:eastAsia="zh-CN"/>
        </w:rPr>
        <w:t>提报质量</w:t>
      </w:r>
      <w:r>
        <w:rPr>
          <w:rFonts w:ascii="仿宋_GB2312" w:hAnsi="仿宋_GB2312" w:eastAsia="仿宋_GB2312" w:cs="仿宋_GB2312"/>
          <w:color w:val="000000"/>
          <w:sz w:val="32"/>
          <w:szCs w:val="32"/>
          <w:shd w:val="clear" w:color="auto" w:fill="FFFFFF"/>
        </w:rPr>
        <w:t>。</w:t>
      </w:r>
    </w:p>
    <w:p>
      <w:pPr>
        <w:spacing w:line="560" w:lineRule="exact"/>
        <w:ind w:firstLine="640" w:firstLineChars="200"/>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六、其他需要报告的事项</w:t>
      </w:r>
    </w:p>
    <w:p>
      <w:pPr>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（一）依据《政府信息公开信息处理费管理办法》，我局2023年未收取信息处理费。</w:t>
      </w:r>
    </w:p>
    <w:p>
      <w:pPr>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（二）我局已认真完成青岛市2023年度政务公开工作要点中涉及我局工作。</w:t>
      </w:r>
    </w:p>
    <w:p>
      <w:pPr>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（三）人大代表建议和政协提案办理情况：2023年，</w:t>
      </w:r>
      <w:r>
        <w:rPr>
          <w:rFonts w:hint="eastAsia" w:ascii="仿宋_GB2312" w:hAnsi="仿宋_GB2312" w:eastAsia="仿宋_GB2312" w:cs="仿宋_GB2312"/>
          <w:color w:val="000000"/>
          <w:sz w:val="32"/>
          <w:szCs w:val="32"/>
          <w:shd w:val="clear" w:color="auto" w:fill="FFFFFF"/>
        </w:rPr>
        <w:t>青岛市商务局办理人大代表建议</w:t>
      </w:r>
      <w:r>
        <w:rPr>
          <w:rFonts w:hint="eastAsia" w:ascii="仿宋_GB2312" w:hAnsi="仿宋_GB2312" w:eastAsia="仿宋_GB2312" w:cs="仿宋_GB2312"/>
          <w:color w:val="000000"/>
          <w:sz w:val="32"/>
          <w:szCs w:val="32"/>
          <w:shd w:val="clear" w:color="auto" w:fill="FFFFFF"/>
          <w:lang w:val="en-US" w:eastAsia="zh-CN"/>
        </w:rPr>
        <w:t>95</w:t>
      </w:r>
      <w:r>
        <w:rPr>
          <w:rFonts w:hint="eastAsia" w:ascii="仿宋_GB2312" w:hAnsi="仿宋_GB2312" w:eastAsia="仿宋_GB2312" w:cs="仿宋_GB2312"/>
          <w:color w:val="000000"/>
          <w:sz w:val="32"/>
          <w:szCs w:val="32"/>
          <w:shd w:val="clear" w:color="auto" w:fill="FFFFFF"/>
        </w:rPr>
        <w:t>件，</w:t>
      </w:r>
      <w:r>
        <w:rPr>
          <w:rFonts w:hint="eastAsia" w:ascii="仿宋_GB2312" w:hAnsi="仿宋_GB2312" w:eastAsia="仿宋_GB2312" w:cs="仿宋_GB2312"/>
          <w:color w:val="000000"/>
          <w:sz w:val="32"/>
          <w:szCs w:val="32"/>
          <w:shd w:val="clear" w:color="auto" w:fill="FFFFFF"/>
          <w:lang w:val="en-US" w:eastAsia="zh-CN"/>
        </w:rPr>
        <w:t>其中</w:t>
      </w:r>
      <w:r>
        <w:rPr>
          <w:rFonts w:hint="eastAsia" w:ascii="仿宋_GB2312" w:hAnsi="仿宋_GB2312" w:eastAsia="仿宋_GB2312" w:cs="仿宋_GB2312"/>
          <w:color w:val="000000"/>
          <w:sz w:val="32"/>
          <w:szCs w:val="32"/>
          <w:shd w:val="clear" w:color="auto" w:fill="FFFFFF"/>
        </w:rPr>
        <w:t>主办</w:t>
      </w:r>
      <w:r>
        <w:rPr>
          <w:rFonts w:hint="eastAsia" w:ascii="仿宋_GB2312" w:hAnsi="仿宋_GB2312" w:eastAsia="仿宋_GB2312" w:cs="仿宋_GB2312"/>
          <w:color w:val="000000"/>
          <w:sz w:val="32"/>
          <w:szCs w:val="32"/>
          <w:shd w:val="clear" w:color="auto" w:fill="FFFFFF"/>
          <w:lang w:val="en-US" w:eastAsia="zh-CN"/>
        </w:rPr>
        <w:t>41</w:t>
      </w:r>
      <w:r>
        <w:rPr>
          <w:rFonts w:hint="eastAsia" w:ascii="仿宋_GB2312" w:hAnsi="仿宋_GB2312" w:eastAsia="仿宋_GB2312" w:cs="仿宋_GB2312"/>
          <w:color w:val="000000"/>
          <w:sz w:val="32"/>
          <w:szCs w:val="32"/>
          <w:shd w:val="clear" w:color="auto" w:fill="FFFFFF"/>
        </w:rPr>
        <w:t>件，协办</w:t>
      </w:r>
      <w:r>
        <w:rPr>
          <w:rFonts w:hint="eastAsia" w:ascii="仿宋_GB2312" w:hAnsi="仿宋_GB2312" w:eastAsia="仿宋_GB2312" w:cs="仿宋_GB2312"/>
          <w:color w:val="000000"/>
          <w:sz w:val="32"/>
          <w:szCs w:val="32"/>
          <w:shd w:val="clear" w:color="auto" w:fill="FFFFFF"/>
          <w:lang w:val="en-US" w:eastAsia="zh-CN"/>
        </w:rPr>
        <w:t>54</w:t>
      </w:r>
      <w:r>
        <w:rPr>
          <w:rFonts w:hint="eastAsia" w:ascii="仿宋_GB2312" w:hAnsi="仿宋_GB2312" w:eastAsia="仿宋_GB2312" w:cs="仿宋_GB2312"/>
          <w:color w:val="000000"/>
          <w:sz w:val="32"/>
          <w:szCs w:val="32"/>
          <w:shd w:val="clear" w:color="auto" w:fill="FFFFFF"/>
        </w:rPr>
        <w:t>件；</w:t>
      </w:r>
      <w:r>
        <w:rPr>
          <w:rFonts w:hint="eastAsia" w:ascii="仿宋_GB2312" w:hAnsi="仿宋_GB2312" w:eastAsia="仿宋_GB2312" w:cs="仿宋_GB2312"/>
          <w:color w:val="000000"/>
          <w:sz w:val="32"/>
          <w:szCs w:val="32"/>
          <w:shd w:val="clear" w:color="auto" w:fill="FFFFFF"/>
          <w:lang w:val="en-US" w:eastAsia="zh-CN"/>
        </w:rPr>
        <w:t>办理</w:t>
      </w:r>
      <w:r>
        <w:rPr>
          <w:rFonts w:hint="eastAsia" w:ascii="仿宋_GB2312" w:hAnsi="仿宋_GB2312" w:eastAsia="仿宋_GB2312" w:cs="仿宋_GB2312"/>
          <w:color w:val="000000"/>
          <w:sz w:val="32"/>
          <w:szCs w:val="32"/>
          <w:shd w:val="clear" w:color="auto" w:fill="FFFFFF"/>
        </w:rPr>
        <w:t>政协提案</w:t>
      </w:r>
      <w:r>
        <w:rPr>
          <w:rFonts w:hint="eastAsia" w:ascii="仿宋_GB2312" w:hAnsi="仿宋_GB2312" w:eastAsia="仿宋_GB2312" w:cs="仿宋_GB2312"/>
          <w:color w:val="000000"/>
          <w:sz w:val="32"/>
          <w:szCs w:val="32"/>
          <w:shd w:val="clear" w:color="auto" w:fill="FFFFFF"/>
          <w:lang w:val="en-US" w:eastAsia="zh-CN"/>
        </w:rPr>
        <w:t>42</w:t>
      </w:r>
      <w:r>
        <w:rPr>
          <w:rFonts w:hint="eastAsia" w:ascii="仿宋_GB2312" w:hAnsi="仿宋_GB2312" w:eastAsia="仿宋_GB2312" w:cs="仿宋_GB2312"/>
          <w:color w:val="000000"/>
          <w:sz w:val="32"/>
          <w:szCs w:val="32"/>
          <w:shd w:val="clear" w:color="auto" w:fill="FFFFFF"/>
        </w:rPr>
        <w:t>件，主办</w:t>
      </w:r>
      <w:r>
        <w:rPr>
          <w:rFonts w:hint="eastAsia" w:ascii="仿宋_GB2312" w:hAnsi="仿宋_GB2312" w:eastAsia="仿宋_GB2312" w:cs="仿宋_GB2312"/>
          <w:color w:val="000000"/>
          <w:sz w:val="32"/>
          <w:szCs w:val="32"/>
          <w:shd w:val="clear" w:color="auto" w:fill="FFFFFF"/>
          <w:lang w:val="en-US" w:eastAsia="zh-CN"/>
        </w:rPr>
        <w:t>22</w:t>
      </w:r>
      <w:r>
        <w:rPr>
          <w:rFonts w:hint="eastAsia" w:ascii="仿宋_GB2312" w:hAnsi="仿宋_GB2312" w:eastAsia="仿宋_GB2312" w:cs="仿宋_GB2312"/>
          <w:color w:val="000000"/>
          <w:sz w:val="32"/>
          <w:szCs w:val="32"/>
          <w:shd w:val="clear" w:color="auto" w:fill="FFFFFF"/>
        </w:rPr>
        <w:t>件，协办</w:t>
      </w:r>
      <w:r>
        <w:rPr>
          <w:rFonts w:hint="eastAsia" w:ascii="仿宋_GB2312" w:hAnsi="仿宋_GB2312" w:eastAsia="仿宋_GB2312" w:cs="仿宋_GB2312"/>
          <w:color w:val="000000"/>
          <w:sz w:val="32"/>
          <w:szCs w:val="32"/>
          <w:shd w:val="clear" w:color="auto" w:fill="FFFFFF"/>
          <w:lang w:val="en-US" w:eastAsia="zh-CN"/>
        </w:rPr>
        <w:t>20</w:t>
      </w:r>
      <w:r>
        <w:rPr>
          <w:rFonts w:hint="eastAsia" w:ascii="仿宋_GB2312" w:hAnsi="仿宋_GB2312" w:eastAsia="仿宋_GB2312" w:cs="仿宋_GB2312"/>
          <w:color w:val="000000"/>
          <w:sz w:val="32"/>
          <w:szCs w:val="32"/>
          <w:shd w:val="clear" w:color="auto" w:fill="FFFFFF"/>
        </w:rPr>
        <w:t>件;主办组织提案</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件，</w:t>
      </w:r>
      <w:r>
        <w:rPr>
          <w:rFonts w:hint="eastAsia" w:ascii="仿宋_GB2312" w:hAnsi="仿宋_GB2312" w:eastAsia="仿宋_GB2312" w:cs="仿宋_GB2312"/>
          <w:color w:val="000000"/>
          <w:sz w:val="32"/>
          <w:szCs w:val="32"/>
          <w:shd w:val="clear" w:color="auto" w:fill="FFFFFF"/>
          <w:lang w:val="en-US" w:eastAsia="zh-CN"/>
        </w:rPr>
        <w:t>界别提案1</w:t>
      </w:r>
      <w:r>
        <w:rPr>
          <w:rFonts w:hint="eastAsia" w:ascii="仿宋_GB2312" w:hAnsi="仿宋_GB2312" w:eastAsia="仿宋_GB2312" w:cs="仿宋_GB2312"/>
          <w:color w:val="000000"/>
          <w:sz w:val="32"/>
          <w:szCs w:val="32"/>
          <w:shd w:val="clear" w:color="auto" w:fill="FFFFFF"/>
        </w:rPr>
        <w:t>件</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协办1件，议转建2件</w:t>
      </w:r>
      <w:r>
        <w:rPr>
          <w:rFonts w:hint="eastAsia" w:ascii="仿宋_GB2312" w:hAnsi="仿宋_GB2312" w:eastAsia="仿宋_GB2312" w:cs="仿宋_GB2312"/>
          <w:color w:val="000000"/>
          <w:sz w:val="32"/>
          <w:szCs w:val="32"/>
          <w:shd w:val="clear" w:color="auto" w:fill="FFFFFF"/>
        </w:rPr>
        <w:t>。办理的202</w:t>
      </w:r>
      <w:r>
        <w:rPr>
          <w:rFonts w:hint="eastAsia" w:ascii="仿宋_GB2312" w:hAnsi="仿宋_GB2312" w:eastAsia="仿宋_GB2312" w:cs="仿宋_GB2312"/>
          <w:color w:val="000000"/>
          <w:sz w:val="32"/>
          <w:szCs w:val="32"/>
          <w:shd w:val="clear" w:color="auto" w:fill="FFFFFF"/>
          <w:lang w:val="en-US" w:eastAsia="zh-CN"/>
        </w:rPr>
        <w:t>3</w:t>
      </w:r>
      <w:r>
        <w:rPr>
          <w:rFonts w:hint="eastAsia" w:ascii="仿宋_GB2312" w:hAnsi="仿宋_GB2312" w:eastAsia="仿宋_GB2312" w:cs="仿宋_GB2312"/>
          <w:color w:val="000000"/>
          <w:sz w:val="32"/>
          <w:szCs w:val="32"/>
          <w:shd w:val="clear" w:color="auto" w:fill="FFFFFF"/>
        </w:rPr>
        <w:t>年度人大代表建议及政协提案均按照时限要求办结，各位代表及委员对办理情况均表示满意。</w:t>
      </w:r>
    </w:p>
    <w:p>
      <w:pPr>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四）年度政务公开工作创新情况：聚焦消费扩容升级,围绕提振接触性消费、促进新能源汽车和智能家电消费等领域,加大针对恢复、扩大消费有关政策规划的公开和解读力度。利用新闻发布会针对青岛市培育发展新型消费释放消费潜力三年行动方案（2023-2025年）进行全面深入解读，开发“汽车消费补贴活动解读十问十答”及一图读懂，针对消费者关心的问题进行详细解答，消除了困惑和误解，让办事流程更加清楚明晰。</w:t>
      </w:r>
    </w:p>
    <w:p>
      <w:pPr>
        <w:spacing w:line="560" w:lineRule="exact"/>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（五）本行政机关政府信息公开工作年度报告数据统计需要说明的事项：报告中所列数据的统计期限自2023年1月1日起至2023年12月31日止。</w:t>
      </w:r>
    </w:p>
    <w:p>
      <w:pPr>
        <w:spacing w:line="560" w:lineRule="exact"/>
        <w:ind w:firstLine="640" w:firstLineChars="200"/>
        <w:rPr>
          <w:rFonts w:hint="default" w:ascii="仿宋_GB2312" w:hAnsi="仿宋_GB2312" w:eastAsia="仿宋_GB2312" w:cs="仿宋_GB2312"/>
          <w:color w:val="000000"/>
          <w:sz w:val="32"/>
          <w:szCs w:val="32"/>
          <w:shd w:val="clear" w:color="auto" w:fill="FFFFFF"/>
          <w:lang w:val="en-US" w:eastAsia="zh-CN"/>
        </w:rPr>
      </w:pPr>
      <w:bookmarkStart w:id="10" w:name="_GoBack"/>
      <w:r>
        <w:rPr>
          <w:rFonts w:hint="eastAsia" w:ascii="仿宋_GB2312" w:hAnsi="仿宋_GB2312" w:eastAsia="仿宋_GB2312" w:cs="仿宋_GB2312"/>
          <w:color w:val="000000"/>
          <w:sz w:val="32"/>
          <w:szCs w:val="32"/>
          <w:shd w:val="clear" w:color="auto" w:fill="FFFFFF"/>
          <w:lang w:val="en-US" w:eastAsia="zh-CN"/>
        </w:rPr>
        <w:t>（六）本行政机关认为需要报告的其他事项：无。</w:t>
      </w:r>
    </w:p>
    <w:bookmarkEnd w:id="10"/>
    <w:p>
      <w:pPr>
        <w:spacing w:line="560" w:lineRule="exact"/>
        <w:ind w:firstLine="640" w:firstLineChars="200"/>
        <w:rPr>
          <w:rFonts w:hint="default" w:ascii="仿宋_GB2312" w:hAnsi="仿宋_GB2312" w:eastAsia="仿宋_GB2312" w:cs="仿宋_GB2312"/>
          <w:color w:val="000000"/>
          <w:sz w:val="32"/>
          <w:szCs w:val="32"/>
          <w:shd w:val="clear" w:color="auto" w:fill="FFFFFF"/>
          <w:lang w:val="en-US"/>
        </w:rPr>
      </w:pPr>
      <w:r>
        <w:rPr>
          <w:rFonts w:hint="eastAsia" w:ascii="仿宋_GB2312" w:hAnsi="仿宋_GB2312" w:eastAsia="仿宋_GB2312" w:cs="仿宋_GB2312"/>
          <w:color w:val="000000"/>
          <w:sz w:val="32"/>
          <w:szCs w:val="32"/>
          <w:shd w:val="clear" w:color="auto" w:fill="FFFFFF"/>
          <w:lang w:val="en-US" w:eastAsia="zh-CN"/>
        </w:rPr>
        <w:t>（七）其他有关文件专门要求通过政府信息公开工作年度报告予以报告的事项：无。</w:t>
      </w:r>
    </w:p>
    <w:p>
      <w:pPr>
        <w:spacing w:line="560" w:lineRule="exact"/>
        <w:rPr>
          <w:rFonts w:ascii="仿宋_GB2312" w:hAnsi="仿宋_GB2312" w:eastAsia="仿宋_GB2312" w:cs="仿宋_GB2312"/>
          <w:color w:val="000000"/>
          <w:sz w:val="32"/>
          <w:szCs w:val="32"/>
          <w:shd w:val="clear" w:color="auto" w:fill="FFFFFF"/>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rPr>
                              <w:rFonts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- 7 -</w:t>
                          </w:r>
                          <w:r>
                            <w:rPr>
                              <w:rFonts w:hint="eastAsia" w:ascii="宋体" w:hAnsi="宋体" w:eastAsia="宋体" w:cs="宋体"/>
                              <w:sz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pPr>
                      <w:pStyle w:val="3"/>
                      <w:rPr>
                        <w:rFonts w:ascii="宋体" w:hAnsi="宋体" w:eastAsia="宋体" w:cs="宋体"/>
                        <w:sz w:val="24"/>
                      </w:rPr>
                    </w:pP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- 7 -</w:t>
                    </w:r>
                    <w:r>
                      <w:rPr>
                        <w:rFonts w:hint="eastAsia" w:ascii="宋体" w:hAnsi="宋体" w:eastAsia="宋体" w:cs="宋体"/>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ODY3N2ZhZDk5ZjEyODU1MDQ1NDBmNzliNTFjMjEifQ=="/>
  </w:docVars>
  <w:rsids>
    <w:rsidRoot w:val="008724E8"/>
    <w:rsid w:val="000605B1"/>
    <w:rsid w:val="000E23BE"/>
    <w:rsid w:val="002F7AD3"/>
    <w:rsid w:val="0041794C"/>
    <w:rsid w:val="005B1328"/>
    <w:rsid w:val="007B64C6"/>
    <w:rsid w:val="008724E8"/>
    <w:rsid w:val="008D2572"/>
    <w:rsid w:val="008F1CAC"/>
    <w:rsid w:val="00AD243B"/>
    <w:rsid w:val="00BD075F"/>
    <w:rsid w:val="00C436B9"/>
    <w:rsid w:val="00C5222D"/>
    <w:rsid w:val="00D807D7"/>
    <w:rsid w:val="00D84ABE"/>
    <w:rsid w:val="00DF3FBA"/>
    <w:rsid w:val="00F275B6"/>
    <w:rsid w:val="00F35D37"/>
    <w:rsid w:val="00F751D7"/>
    <w:rsid w:val="00FB3875"/>
    <w:rsid w:val="051145E3"/>
    <w:rsid w:val="06710728"/>
    <w:rsid w:val="088808A2"/>
    <w:rsid w:val="11E64458"/>
    <w:rsid w:val="17F50969"/>
    <w:rsid w:val="19580651"/>
    <w:rsid w:val="1A827E5B"/>
    <w:rsid w:val="23DA5380"/>
    <w:rsid w:val="24C61E14"/>
    <w:rsid w:val="2C76075B"/>
    <w:rsid w:val="2EAB0DC7"/>
    <w:rsid w:val="35AC655E"/>
    <w:rsid w:val="36243F74"/>
    <w:rsid w:val="37E81D0A"/>
    <w:rsid w:val="385555E4"/>
    <w:rsid w:val="39BB6A4E"/>
    <w:rsid w:val="4A1B28E8"/>
    <w:rsid w:val="57D217B0"/>
    <w:rsid w:val="5AAF3BFE"/>
    <w:rsid w:val="606E0606"/>
    <w:rsid w:val="658033E5"/>
    <w:rsid w:val="6C580D52"/>
    <w:rsid w:val="7AB540F6"/>
    <w:rsid w:val="7AD34D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2861</Words>
  <Characters>2997</Characters>
  <Lines>25</Lines>
  <Paragraphs>7</Paragraphs>
  <TotalTime>21</TotalTime>
  <ScaleCrop>false</ScaleCrop>
  <LinksUpToDate>false</LinksUpToDate>
  <CharactersWithSpaces>3009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2022-01-19T04:39:00Z</dcterms:created>
  <dc:creator>Administrator</dc:creator>
  <cp:lastModifiedBy>Aministrater</cp:lastModifiedBy>
  <dcterms:modified xsi:type="dcterms:W3CDTF">2024-01-24T07:53:31Z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9B0116D5B4444820AAACAEE09DF1525D_13</vt:lpwstr>
  </property>
</Properties>
</file>