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18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jc w:val="center"/>
        <w:textAlignment w:val="auto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青岛市博物馆公共空间照明系统改造项目</w:t>
      </w:r>
    </w:p>
    <w:p w14:paraId="6C202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jc w:val="center"/>
        <w:textAlignment w:val="auto"/>
        <w:rPr>
          <w:rFonts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32"/>
          <w:szCs w:val="32"/>
        </w:rPr>
        <w:t>采购需求</w:t>
      </w:r>
    </w:p>
    <w:p w14:paraId="1E71D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jc w:val="center"/>
        <w:textAlignment w:val="auto"/>
        <w:rPr>
          <w:rFonts w:ascii="黑体" w:hAnsi="黑体" w:eastAsia="黑体"/>
          <w:kern w:val="0"/>
          <w:sz w:val="28"/>
          <w:szCs w:val="28"/>
        </w:rPr>
      </w:pPr>
    </w:p>
    <w:p w14:paraId="44F9D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ascii="仿宋_GB2312" w:eastAsia="仿宋_GB2312"/>
          <w:b/>
          <w:kern w:val="0"/>
          <w:sz w:val="28"/>
          <w:szCs w:val="28"/>
        </w:rPr>
      </w:pPr>
      <w:r>
        <w:rPr>
          <w:rFonts w:hint="eastAsia" w:ascii="仿宋_GB2312" w:eastAsia="仿宋_GB2312"/>
          <w:b/>
          <w:kern w:val="0"/>
          <w:sz w:val="28"/>
          <w:szCs w:val="28"/>
        </w:rPr>
        <w:t>一、项目名称</w:t>
      </w:r>
    </w:p>
    <w:p w14:paraId="76E3201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0" w:firstLine="140" w:firstLineChars="50"/>
        <w:textAlignment w:val="auto"/>
        <w:rPr>
          <w:rFonts w:ascii="仿宋_GB2312" w:eastAsia="仿宋_GB2312"/>
          <w:kern w:val="0"/>
          <w:sz w:val="28"/>
          <w:szCs w:val="28"/>
        </w:rPr>
      </w:pPr>
      <w:r>
        <w:rPr>
          <w:rFonts w:hint="eastAsia" w:ascii="仿宋_GB2312" w:eastAsia="仿宋_GB2312"/>
          <w:kern w:val="0"/>
          <w:sz w:val="28"/>
          <w:szCs w:val="28"/>
        </w:rPr>
        <w:t>青岛市博物馆公共空间照明系统改造项目</w:t>
      </w:r>
    </w:p>
    <w:p w14:paraId="42C06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ascii="仿宋_GB2312" w:eastAsia="仿宋_GB2312"/>
          <w:b/>
          <w:kern w:val="0"/>
          <w:sz w:val="28"/>
          <w:szCs w:val="28"/>
        </w:rPr>
      </w:pPr>
      <w:r>
        <w:rPr>
          <w:rFonts w:hint="eastAsia" w:ascii="仿宋_GB2312" w:eastAsia="仿宋_GB2312"/>
          <w:b/>
          <w:kern w:val="0"/>
          <w:sz w:val="28"/>
          <w:szCs w:val="28"/>
        </w:rPr>
        <w:t>二、项目预算</w:t>
      </w:r>
    </w:p>
    <w:p w14:paraId="058CC7B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0" w:firstLine="140" w:firstLineChars="50"/>
        <w:textAlignment w:val="auto"/>
        <w:rPr>
          <w:rFonts w:ascii="仿宋_GB2312" w:eastAsia="仿宋_GB2312"/>
          <w:kern w:val="0"/>
          <w:sz w:val="28"/>
          <w:szCs w:val="28"/>
        </w:rPr>
      </w:pPr>
      <w:r>
        <w:rPr>
          <w:rFonts w:hint="eastAsia" w:ascii="仿宋_GB2312" w:eastAsia="仿宋_GB2312"/>
          <w:kern w:val="0"/>
          <w:sz w:val="28"/>
          <w:szCs w:val="28"/>
        </w:rPr>
        <w:t>项目总预算</w:t>
      </w:r>
      <w:r>
        <w:rPr>
          <w:rFonts w:hint="eastAsia" w:ascii="仿宋_GB2312" w:eastAsia="仿宋_GB2312"/>
          <w:kern w:val="0"/>
          <w:sz w:val="28"/>
          <w:szCs w:val="28"/>
          <w:lang w:val="en-US" w:eastAsia="zh-CN"/>
        </w:rPr>
        <w:t>90</w:t>
      </w:r>
      <w:r>
        <w:rPr>
          <w:rFonts w:hint="eastAsia" w:ascii="仿宋_GB2312" w:eastAsia="仿宋_GB2312"/>
          <w:kern w:val="0"/>
          <w:sz w:val="28"/>
          <w:szCs w:val="28"/>
        </w:rPr>
        <w:t>万元</w:t>
      </w:r>
    </w:p>
    <w:p w14:paraId="07953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ascii="仿宋_GB2312" w:eastAsia="仿宋_GB2312"/>
          <w:b/>
          <w:kern w:val="0"/>
          <w:sz w:val="28"/>
          <w:szCs w:val="28"/>
        </w:rPr>
      </w:pPr>
      <w:r>
        <w:rPr>
          <w:rFonts w:hint="eastAsia" w:ascii="仿宋_GB2312" w:eastAsia="仿宋_GB2312"/>
          <w:b/>
          <w:kern w:val="0"/>
          <w:sz w:val="28"/>
          <w:szCs w:val="28"/>
        </w:rPr>
        <w:t>三、建设地点</w:t>
      </w:r>
    </w:p>
    <w:p w14:paraId="576B4AB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0" w:firstLine="140" w:firstLineChars="50"/>
        <w:textAlignment w:val="auto"/>
        <w:rPr>
          <w:rFonts w:hint="default" w:ascii="仿宋_GB2312" w:eastAsia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kern w:val="0"/>
          <w:sz w:val="28"/>
          <w:szCs w:val="28"/>
        </w:rPr>
        <w:t>青岛市崂山区梅岭东路51号青岛市博物馆</w:t>
      </w:r>
    </w:p>
    <w:p w14:paraId="644F2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default" w:ascii="仿宋_GB2312" w:eastAsia="仿宋_GB2312"/>
          <w:b/>
          <w:kern w:val="0"/>
          <w:sz w:val="28"/>
          <w:szCs w:val="28"/>
          <w:lang w:val="en-US"/>
        </w:rPr>
      </w:pPr>
      <w:r>
        <w:rPr>
          <w:rFonts w:hint="eastAsia" w:ascii="仿宋_GB2312" w:eastAsia="仿宋_GB2312"/>
          <w:b/>
          <w:kern w:val="0"/>
          <w:sz w:val="28"/>
          <w:szCs w:val="28"/>
        </w:rPr>
        <w:t>四、</w:t>
      </w:r>
      <w:r>
        <w:rPr>
          <w:rFonts w:hint="eastAsia" w:ascii="仿宋_GB2312" w:eastAsia="仿宋_GB2312"/>
          <w:b/>
          <w:kern w:val="0"/>
          <w:sz w:val="28"/>
          <w:szCs w:val="28"/>
          <w:lang w:val="en-US" w:eastAsia="zh-CN"/>
        </w:rPr>
        <w:t>覆盖展区</w:t>
      </w:r>
    </w:p>
    <w:p w14:paraId="01CE77E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eastAsia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kern w:val="0"/>
          <w:sz w:val="28"/>
          <w:szCs w:val="28"/>
          <w:lang w:val="en-US" w:eastAsia="zh-CN"/>
        </w:rPr>
        <w:t>东区一、二层临时展厅，东区一、二层当代艺术空间，西区北魏石造像展示空间、东区常设开幕式举办空间，覆盖面积约2700</w:t>
      </w:r>
      <w:r>
        <w:rPr>
          <w:rFonts w:hint="eastAsia" w:ascii="仿宋_GB2312" w:eastAsia="仿宋_GB2312"/>
          <w:kern w:val="0"/>
          <w:sz w:val="28"/>
          <w:szCs w:val="28"/>
        </w:rPr>
        <w:t>平方米</w:t>
      </w:r>
      <w:r>
        <w:rPr>
          <w:rFonts w:hint="eastAsia" w:ascii="仿宋_GB2312" w:eastAsia="仿宋_GB2312"/>
          <w:kern w:val="0"/>
          <w:sz w:val="28"/>
          <w:szCs w:val="28"/>
          <w:lang w:val="en-US" w:eastAsia="zh-CN"/>
        </w:rPr>
        <w:t>。</w:t>
      </w:r>
    </w:p>
    <w:p w14:paraId="1E952F7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_GB2312" w:eastAsia="仿宋_GB2312"/>
          <w:kern w:val="0"/>
          <w:sz w:val="28"/>
          <w:szCs w:val="28"/>
        </w:rPr>
      </w:pPr>
      <w:r>
        <w:rPr>
          <w:rFonts w:hint="eastAsia" w:ascii="仿宋_GB2312" w:eastAsia="仿宋_GB2312"/>
          <w:kern w:val="0"/>
          <w:sz w:val="28"/>
          <w:szCs w:val="28"/>
        </w:rPr>
        <w:t>（具体数量及工程量请根据现场勘察</w:t>
      </w:r>
      <w:r>
        <w:rPr>
          <w:rFonts w:hint="eastAsia" w:ascii="仿宋_GB2312" w:eastAsia="仿宋_GB2312"/>
          <w:kern w:val="0"/>
          <w:sz w:val="28"/>
          <w:szCs w:val="28"/>
          <w:lang w:val="en-US" w:eastAsia="zh-CN"/>
        </w:rPr>
        <w:t>为准</w:t>
      </w:r>
      <w:r>
        <w:rPr>
          <w:rFonts w:hint="eastAsia" w:ascii="仿宋_GB2312" w:eastAsia="仿宋_GB2312"/>
          <w:kern w:val="0"/>
          <w:sz w:val="28"/>
          <w:szCs w:val="28"/>
        </w:rPr>
        <w:t>）</w:t>
      </w:r>
    </w:p>
    <w:p w14:paraId="69166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ascii="仿宋_GB2312" w:eastAsia="仿宋_GB2312"/>
          <w:b/>
          <w:kern w:val="0"/>
          <w:sz w:val="28"/>
          <w:szCs w:val="28"/>
        </w:rPr>
      </w:pPr>
      <w:r>
        <w:rPr>
          <w:rFonts w:hint="eastAsia" w:ascii="仿宋_GB2312" w:eastAsia="仿宋_GB2312"/>
          <w:b/>
          <w:kern w:val="0"/>
          <w:sz w:val="28"/>
          <w:szCs w:val="28"/>
        </w:rPr>
        <w:t>五、项目完成期限</w:t>
      </w:r>
    </w:p>
    <w:p w14:paraId="4742E52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0" w:firstLine="140" w:firstLineChars="50"/>
        <w:textAlignment w:val="auto"/>
        <w:rPr>
          <w:rFonts w:ascii="仿宋_GB2312" w:eastAsia="仿宋_GB2312"/>
          <w:kern w:val="0"/>
          <w:sz w:val="28"/>
          <w:szCs w:val="28"/>
          <w:highlight w:val="yellow"/>
        </w:rPr>
      </w:pPr>
      <w:r>
        <w:rPr>
          <w:rFonts w:hint="eastAsia" w:ascii="仿宋_GB2312" w:eastAsia="仿宋_GB2312"/>
          <w:kern w:val="0"/>
          <w:sz w:val="28"/>
          <w:szCs w:val="28"/>
          <w:highlight w:val="none"/>
        </w:rPr>
        <w:t>202</w:t>
      </w:r>
      <w:r>
        <w:rPr>
          <w:rFonts w:hint="eastAsia" w:ascii="仿宋_GB2312" w:eastAsia="仿宋_GB2312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28"/>
          <w:szCs w:val="28"/>
          <w:highlight w:val="none"/>
        </w:rPr>
        <w:t>年</w:t>
      </w:r>
      <w:r>
        <w:rPr>
          <w:rFonts w:hint="eastAsia" w:ascii="仿宋_GB2312" w:eastAsia="仿宋_GB2312"/>
          <w:kern w:val="0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_GB2312" w:eastAsia="仿宋_GB2312"/>
          <w:kern w:val="0"/>
          <w:sz w:val="28"/>
          <w:szCs w:val="28"/>
          <w:highlight w:val="none"/>
        </w:rPr>
        <w:t>月</w:t>
      </w:r>
      <w:r>
        <w:rPr>
          <w:rFonts w:hint="eastAsia" w:ascii="仿宋_GB2312" w:eastAsia="仿宋_GB2312"/>
          <w:kern w:val="0"/>
          <w:sz w:val="28"/>
          <w:szCs w:val="28"/>
          <w:highlight w:val="none"/>
          <w:lang w:val="en-US" w:eastAsia="zh-CN"/>
        </w:rPr>
        <w:t>31</w:t>
      </w:r>
      <w:r>
        <w:rPr>
          <w:rFonts w:hint="eastAsia" w:ascii="仿宋_GB2312" w:eastAsia="仿宋_GB2312"/>
          <w:kern w:val="0"/>
          <w:sz w:val="28"/>
          <w:szCs w:val="28"/>
          <w:highlight w:val="none"/>
        </w:rPr>
        <w:t>日</w:t>
      </w:r>
    </w:p>
    <w:p w14:paraId="7362F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default" w:ascii="仿宋_GB2312" w:eastAsia="仿宋_GB2312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kern w:val="0"/>
          <w:sz w:val="28"/>
          <w:szCs w:val="28"/>
        </w:rPr>
        <w:t>六、项目概况</w:t>
      </w:r>
      <w:r>
        <w:rPr>
          <w:rFonts w:hint="eastAsia" w:ascii="仿宋_GB2312" w:eastAsia="仿宋_GB2312"/>
          <w:b/>
          <w:kern w:val="0"/>
          <w:sz w:val="28"/>
          <w:szCs w:val="28"/>
          <w:lang w:val="en-US" w:eastAsia="zh-CN"/>
        </w:rPr>
        <w:t>和目标</w:t>
      </w:r>
    </w:p>
    <w:p w14:paraId="1FA21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为进一步规范博物馆文物展陈照明标准、提升公共参观服务环境、落实节能降耗及安全生产要求，解决现有照明设备老化光衰、显色性不足、光照不均、频闪眩光、能耗较高、控制系统老旧、线路不规范等问题，依据《博物馆照明设计规范》（GB/T 23863-2009）、《建筑照明设计标准》（GB 50034-2013）及消防相关规范，对本馆</w:t>
      </w: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三个临时</w:t>
      </w: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展厅、公共区域进行</w:t>
      </w:r>
      <w:r>
        <w:rPr>
          <w:rFonts w:hint="eastAsia" w:ascii="仿宋_GB2312" w:eastAsia="仿宋_GB2312"/>
          <w:kern w:val="0"/>
          <w:sz w:val="28"/>
          <w:szCs w:val="28"/>
        </w:rPr>
        <w:t>照明系统改造</w:t>
      </w: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。项目包含原有老旧照明设备拆除、线材及辅材更换、全新专业照明设备供货、安装布线、智能系统调试、灯光效果校准、场地复原、验收交付、人员培训及全套售后质保服务，确保改造后灯光系统满足文物保护、</w:t>
      </w: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观展舒适</w:t>
      </w: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、安全合规、节能运维、场景适配五大要求。</w:t>
      </w:r>
    </w:p>
    <w:p w14:paraId="03844EC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ascii="仿宋_GB2312" w:eastAsia="仿宋_GB2312"/>
          <w:b/>
          <w:kern w:val="0"/>
          <w:sz w:val="28"/>
          <w:szCs w:val="28"/>
        </w:rPr>
      </w:pPr>
      <w:r>
        <w:rPr>
          <w:rFonts w:hint="eastAsia" w:ascii="仿宋_GB2312" w:eastAsia="仿宋_GB2312"/>
          <w:b/>
          <w:kern w:val="0"/>
          <w:sz w:val="28"/>
          <w:szCs w:val="28"/>
        </w:rPr>
        <w:t>项目</w:t>
      </w:r>
      <w:r>
        <w:rPr>
          <w:rFonts w:hint="eastAsia" w:ascii="仿宋_GB2312" w:eastAsia="仿宋_GB2312"/>
          <w:b/>
          <w:kern w:val="0"/>
          <w:sz w:val="28"/>
          <w:szCs w:val="28"/>
          <w:lang w:val="en-US" w:eastAsia="zh-CN"/>
        </w:rPr>
        <w:t>采购</w:t>
      </w:r>
      <w:r>
        <w:rPr>
          <w:rFonts w:hint="eastAsia" w:ascii="仿宋_GB2312" w:eastAsia="仿宋_GB2312"/>
          <w:b/>
          <w:kern w:val="0"/>
          <w:sz w:val="28"/>
          <w:szCs w:val="28"/>
        </w:rPr>
        <w:t>需求</w:t>
      </w:r>
    </w:p>
    <w:p w14:paraId="3A389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本项目</w:t>
      </w: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的改造提升内容</w:t>
      </w: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包含原有老旧灯光设备拆除、全新专业照明设备供货、安装调试、线路规整、系统优化、验收交付及售后维保等全部内容</w:t>
      </w: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。</w:t>
      </w:r>
    </w:p>
    <w:p w14:paraId="1E68E6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default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/>
          <w:b/>
          <w:kern w:val="0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b/>
          <w:kern w:val="0"/>
          <w:sz w:val="28"/>
          <w:szCs w:val="28"/>
        </w:rPr>
        <w:t>一）</w:t>
      </w:r>
      <w:r>
        <w:rPr>
          <w:rFonts w:hint="eastAsia" w:ascii="仿宋_GB2312" w:eastAsia="仿宋_GB2312"/>
          <w:b/>
          <w:kern w:val="0"/>
          <w:sz w:val="28"/>
          <w:szCs w:val="28"/>
          <w:lang w:val="en-US" w:eastAsia="zh-CN"/>
        </w:rPr>
        <w:t>采购范围</w:t>
      </w:r>
    </w:p>
    <w:p w14:paraId="3CC1E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1.</w:t>
      </w: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实施范围为青岛市博物馆东区一层临时展厅（两个）、二层临时展厅（一个），东区一、二层当代艺术空间，西区北魏石造像展示空间，东区常设开幕式举办空间，覆盖面积约2700平方米</w:t>
      </w: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。</w:t>
      </w:r>
    </w:p>
    <w:p w14:paraId="1AD43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default" w:ascii="仿宋_GB2312" w:eastAsia="仿宋_GB2312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kern w:val="0"/>
          <w:sz w:val="28"/>
          <w:szCs w:val="28"/>
          <w:lang w:val="en-US" w:eastAsia="zh-CN"/>
        </w:rPr>
        <w:t>（二）采购内容</w:t>
      </w:r>
    </w:p>
    <w:p w14:paraId="255CE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1.原有设施拆除：老旧灯具、灯带、轨道、镇流器、驱动电源、照明开关、老旧控制器及破损线路</w:t>
      </w: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等</w:t>
      </w: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拆除、清运</w:t>
      </w: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（其中当代艺术空间因安装位檐口外凸，轨道需现场调整轨道结构、变更安装固定方式的，须将改造造成的吊顶、檐口破损修复复原）</w:t>
      </w: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；</w:t>
      </w:r>
    </w:p>
    <w:p w14:paraId="63674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2.线路改造升级：现场线路检测、故障线路更换、老旧线路全线规整、国标阻燃线材穿管铺设、线路标识固化、强弱电分离规整；</w:t>
      </w:r>
    </w:p>
    <w:p w14:paraId="34F8C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3.设备供货安装：全新专业展陈灯具、智能调光控制系统、配套辅材全套供货，并按规范安装固定；</w:t>
      </w:r>
    </w:p>
    <w:p w14:paraId="4416E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4.系统调试校准：分区分组灯光调试、照度色温校准、调光功能测试、应急联动测试、系统稳定性调试、整体灯光效果优化；</w:t>
      </w:r>
    </w:p>
    <w:p w14:paraId="6079C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5.现场文明施工：施工全过程成品保护、防尘防护、安全防护、施工垃圾日产日清、完工场地复原清洁；</w:t>
      </w:r>
    </w:p>
    <w:p w14:paraId="473BB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6.交付运维服务：竣工资料整理、验收配合、甲方人员操作及运维培训、质保期维保、终身技术支持。</w:t>
      </w:r>
    </w:p>
    <w:p w14:paraId="1AAD42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default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/>
          <w:b/>
          <w:kern w:val="0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b/>
          <w:kern w:val="0"/>
          <w:sz w:val="28"/>
          <w:szCs w:val="28"/>
          <w:lang w:val="en-US" w:eastAsia="zh-CN"/>
        </w:rPr>
        <w:t>三</w:t>
      </w:r>
      <w:r>
        <w:rPr>
          <w:rFonts w:hint="eastAsia" w:ascii="仿宋_GB2312" w:eastAsia="仿宋_GB2312"/>
          <w:b/>
          <w:kern w:val="0"/>
          <w:sz w:val="28"/>
          <w:szCs w:val="28"/>
        </w:rPr>
        <w:t>）</w:t>
      </w:r>
      <w:r>
        <w:rPr>
          <w:rFonts w:hint="eastAsia" w:ascii="仿宋_GB2312" w:eastAsia="仿宋_GB2312"/>
          <w:b/>
          <w:kern w:val="0"/>
          <w:sz w:val="28"/>
          <w:szCs w:val="28"/>
          <w:lang w:val="en-US" w:eastAsia="zh-CN"/>
        </w:rPr>
        <w:t>技术标准与规范依据</w:t>
      </w:r>
    </w:p>
    <w:p w14:paraId="73D94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本项目所有设备、施工工艺、验收标准必须严格执行国家及行业现行有效规范，包含但不限于：</w:t>
      </w:r>
    </w:p>
    <w:p w14:paraId="419EC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1.《博物馆照明设计规范》（GB/T 23863-2009）</w:t>
      </w: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；</w:t>
      </w:r>
    </w:p>
    <w:p w14:paraId="52B6B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2.《建筑照明设计标准》（GB 50034-2013）</w:t>
      </w: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；</w:t>
      </w:r>
    </w:p>
    <w:p w14:paraId="72C00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3.《建筑电气工程施工质量验收规范》（GB 50303-2015）</w:t>
      </w: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；</w:t>
      </w:r>
    </w:p>
    <w:p w14:paraId="50524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4.《建筑设计防火规范》（GB 50016）</w:t>
      </w: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；</w:t>
      </w:r>
    </w:p>
    <w:p w14:paraId="6E6E2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5.LED灯具国家3C认证标准、节能产品认证标准</w:t>
      </w: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；</w:t>
      </w:r>
    </w:p>
    <w:p w14:paraId="1E786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6.应急照明和疏散指示系统技术标准（GB 51309-2018）</w:t>
      </w: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。</w:t>
      </w:r>
    </w:p>
    <w:p w14:paraId="6D1824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default" w:ascii="仿宋_GB2312" w:eastAsia="仿宋_GB2312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kern w:val="0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b/>
          <w:kern w:val="0"/>
          <w:sz w:val="28"/>
          <w:szCs w:val="28"/>
          <w:lang w:val="en-US" w:eastAsia="zh-CN"/>
        </w:rPr>
        <w:t>四</w:t>
      </w:r>
      <w:r>
        <w:rPr>
          <w:rFonts w:hint="eastAsia" w:ascii="仿宋_GB2312" w:eastAsia="仿宋_GB2312"/>
          <w:b/>
          <w:kern w:val="0"/>
          <w:sz w:val="28"/>
          <w:szCs w:val="28"/>
        </w:rPr>
        <w:t>）</w:t>
      </w:r>
      <w:r>
        <w:rPr>
          <w:rFonts w:hint="eastAsia" w:ascii="仿宋_GB2312" w:eastAsia="仿宋_GB2312"/>
          <w:b/>
          <w:kern w:val="0"/>
          <w:sz w:val="28"/>
          <w:szCs w:val="28"/>
          <w:lang w:val="en-US" w:eastAsia="zh-CN"/>
        </w:rPr>
        <w:t>技术要求</w:t>
      </w:r>
    </w:p>
    <w:p w14:paraId="3E855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1.展厅</w:t>
      </w: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、展柜</w:t>
      </w: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照明设备要求：针对书画、织物、漆器、</w:t>
      </w: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瓷器、铜器、陶器、玉器</w:t>
      </w: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等</w:t>
      </w: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文物设计</w:t>
      </w: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保护性专业照明，无文物损伤风险，色彩还原精准，适配长期展陈使用；</w:t>
      </w:r>
    </w:p>
    <w:p w14:paraId="70394C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2</w:t>
      </w:r>
      <w:r>
        <w:rPr>
          <w:rFonts w:hint="eastAsia" w:ascii="仿宋_GB2312" w:eastAsia="仿宋_GB2312" w:hAnsiTheme="minorHAnsi" w:cstheme="minorBidi"/>
          <w:kern w:val="0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公共区域照明设备要求：针对</w:t>
      </w:r>
      <w:r>
        <w:rPr>
          <w:rFonts w:hint="eastAsia" w:ascii="仿宋_GB2312" w:eastAsia="仿宋_GB2312"/>
          <w:kern w:val="0"/>
          <w:sz w:val="28"/>
          <w:szCs w:val="28"/>
          <w:lang w:val="en-US" w:eastAsia="zh-CN"/>
        </w:rPr>
        <w:t>北魏石造像陈列展示要求、开幕式功能需求，兼顾文物保护、</w:t>
      </w: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通行安全、参观体验、节能降耗、消防应急等需求，适配高频次、长时间公共运营场景使用；</w:t>
      </w:r>
    </w:p>
    <w:p w14:paraId="71925B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3.所有改造线路采用国标阻燃电线，严格执行穿管暗敷/规整敷设标准，线路排布整齐、标识清晰、强弱电分离，无私拉乱接、裸露线路，完全符合消防安全及电气施工规范；</w:t>
      </w:r>
    </w:p>
    <w:p w14:paraId="53CDF9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4.照明控制系统支持分区、分组、分区域独立控制，可实现开关、调光、场景模式切换，操作简洁、运维便捷。系统运行稳定，无灯光串扰、闪烁、控制失灵、延时失效等问题，支持7×24小时长期稳定运行。</w:t>
      </w:r>
    </w:p>
    <w:p w14:paraId="4A3327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jc w:val="left"/>
        <w:textAlignment w:val="auto"/>
        <w:rPr>
          <w:rFonts w:hint="default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/>
          <w:b/>
          <w:kern w:val="0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b/>
          <w:kern w:val="0"/>
          <w:sz w:val="28"/>
          <w:szCs w:val="28"/>
          <w:lang w:val="en-US" w:eastAsia="zh-CN"/>
        </w:rPr>
        <w:t>五</w:t>
      </w:r>
      <w:r>
        <w:rPr>
          <w:rFonts w:hint="eastAsia" w:ascii="仿宋_GB2312" w:eastAsia="仿宋_GB2312"/>
          <w:b/>
          <w:kern w:val="0"/>
          <w:sz w:val="28"/>
          <w:szCs w:val="28"/>
        </w:rPr>
        <w:t>）</w:t>
      </w:r>
      <w:r>
        <w:rPr>
          <w:rFonts w:hint="eastAsia" w:ascii="仿宋_GB2312" w:eastAsia="仿宋_GB2312"/>
          <w:b/>
          <w:kern w:val="0"/>
          <w:sz w:val="28"/>
          <w:szCs w:val="28"/>
          <w:lang w:val="en-US" w:eastAsia="zh-CN"/>
        </w:rPr>
        <w:t>施工管理要求</w:t>
      </w:r>
    </w:p>
    <w:p w14:paraId="160648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1.施工前对展厅、展柜、地面、墙面等施工涉及的区域进行全覆盖防尘、防磕碰、防划伤保护；</w:t>
      </w:r>
    </w:p>
    <w:p w14:paraId="6D4651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2.施工人员须具备相应作业资质，严格遵守博物馆安防、消防、施工管理规定，高空作业、用电作业严格执行安全规范，全程落实安全防护措施，施工期间发生的一切安全事故、人员伤亡、财产损失均由中标人全权负责；</w:t>
      </w:r>
    </w:p>
    <w:p w14:paraId="3404B7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3.过程中产生的垃圾、废旧灯具、废弃线材等全部清理清运，施工区域涉及的展厅、展柜、地面、墙面清洁复原，保持场馆整洁原貌；</w:t>
      </w:r>
    </w:p>
    <w:p w14:paraId="797789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4.所有线路敷设、隐蔽施工工序须提前报采购人查验，验收合格后方可进行下一道工序施工，隐蔽工程须留存完整影像及验收资料。</w:t>
      </w:r>
    </w:p>
    <w:p w14:paraId="41F254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jc w:val="left"/>
        <w:textAlignment w:val="auto"/>
        <w:rPr>
          <w:rFonts w:hint="eastAsia" w:ascii="仿宋_GB2312" w:eastAsia="仿宋_GB2312"/>
          <w:b/>
          <w:kern w:val="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kern w:val="0"/>
          <w:sz w:val="28"/>
          <w:szCs w:val="28"/>
          <w:lang w:val="en-US" w:eastAsia="zh-CN"/>
        </w:rPr>
        <w:t>（六）设备质量与验收标准</w:t>
      </w:r>
    </w:p>
    <w:p w14:paraId="3BF96C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1.所有投标供货设备为全新原厂正品、未使用、无翻新、无瑕疵，具备3C认证、节能认证、产品合格证、出厂检测报告等完整资质文件；所有参数不低于本招标需求标准，采购人有权随机抽样送检，检测不合格的，中标人须无条件免费更换、整改，并承担全部检测及损失费用；</w:t>
      </w:r>
    </w:p>
    <w:p w14:paraId="0462D3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2.项目完工后，中标人须提交完整竣工图纸、设备资料、检测报告、施工台账、运维手册等全套验收资料；采购人依据国家规范及本采购需求逐项验收，灯光参数、施工质量、系统功能全部达标为验收合格，验收不合格须无条件限期整改，直至验收合格，产生的所有费用由中标人承担。</w:t>
      </w:r>
    </w:p>
    <w:p w14:paraId="6D2F7B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jc w:val="left"/>
        <w:textAlignment w:val="auto"/>
        <w:rPr>
          <w:rFonts w:ascii="仿宋_GB2312" w:eastAsia="仿宋_GB2312"/>
          <w:kern w:val="0"/>
          <w:sz w:val="28"/>
          <w:szCs w:val="28"/>
        </w:rPr>
      </w:pPr>
      <w:r>
        <w:rPr>
          <w:rFonts w:hint="eastAsia" w:ascii="仿宋_GB2312" w:eastAsia="仿宋_GB2312"/>
          <w:b/>
          <w:kern w:val="0"/>
          <w:sz w:val="28"/>
          <w:szCs w:val="28"/>
        </w:rPr>
        <w:t>（</w:t>
      </w:r>
      <w:r>
        <w:rPr>
          <w:rFonts w:hint="eastAsia" w:ascii="仿宋_GB2312" w:eastAsia="仿宋_GB2312"/>
          <w:b/>
          <w:kern w:val="0"/>
          <w:sz w:val="28"/>
          <w:szCs w:val="28"/>
          <w:lang w:val="en-US" w:eastAsia="zh-CN"/>
        </w:rPr>
        <w:t>七</w:t>
      </w:r>
      <w:r>
        <w:rPr>
          <w:rFonts w:hint="eastAsia" w:ascii="仿宋_GB2312" w:eastAsia="仿宋_GB2312"/>
          <w:b/>
          <w:kern w:val="0"/>
          <w:sz w:val="28"/>
          <w:szCs w:val="28"/>
        </w:rPr>
        <w:t>）</w:t>
      </w:r>
      <w:r>
        <w:rPr>
          <w:rFonts w:hint="eastAsia" w:ascii="仿宋_GB2312" w:eastAsia="仿宋_GB2312"/>
          <w:b/>
          <w:kern w:val="0"/>
          <w:sz w:val="28"/>
          <w:szCs w:val="28"/>
          <w:lang w:val="en-US" w:eastAsia="zh-CN"/>
        </w:rPr>
        <w:t>售后服务与质保承诺</w:t>
      </w:r>
    </w:p>
    <w:p w14:paraId="247026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1.项目整体质保期不少于3年，核心展陈专业灯具质保期不少于5年，质保期自整体项目竣工验收合格之日起计算；</w:t>
      </w:r>
    </w:p>
    <w:p w14:paraId="2F8421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2.质保期内设备及系统出现故障，中标人2小时内线上响应，24小时内到场处置，48小时内完成故障修复，重大故障优先加急处理；</w:t>
      </w:r>
    </w:p>
    <w:p w14:paraId="3B0BAB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3.质保期内非人为损坏的设备故障、线路故障、系统故障，全部免费维修、免费更换配件及设备，无任何隐性收费；</w:t>
      </w:r>
    </w:p>
    <w:p w14:paraId="17B0CC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4.项目交付后免费提供1—2次现场实操培训，覆盖系统操作、灯光调试、日常养护、简单故障排查等内容，确保运维人员熟练操作；</w:t>
      </w:r>
    </w:p>
    <w:p w14:paraId="318844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5.质保期满后，中标人提供终身成本价维修服务，持续提供技术咨询、系统优化、设备升级指导服务。</w:t>
      </w:r>
    </w:p>
    <w:p w14:paraId="1DDDE2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eastAsia" w:ascii="仿宋_GB2312" w:eastAsia="仿宋_GB2312"/>
          <w:b/>
          <w:kern w:val="0"/>
          <w:sz w:val="28"/>
          <w:szCs w:val="28"/>
        </w:rPr>
      </w:pPr>
      <w:r>
        <w:rPr>
          <w:rFonts w:hint="eastAsia" w:ascii="仿宋_GB2312" w:eastAsia="仿宋_GB2312"/>
          <w:b/>
          <w:kern w:val="0"/>
          <w:sz w:val="28"/>
          <w:szCs w:val="28"/>
          <w:lang w:val="en-US" w:eastAsia="zh-CN"/>
        </w:rPr>
        <w:t>（八）供应商资格及商务要求</w:t>
      </w:r>
    </w:p>
    <w:p w14:paraId="7B3A09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1.供应商须为独立法人单位，具备有效的营业执照，能够独立承担民事责任及本项目全部履约责任；</w:t>
      </w:r>
    </w:p>
    <w:p w14:paraId="0D0B84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2.供应商须具备照明工程相关施工服务能力，拥有博物馆、文化馆、美术馆、展厅等同类文旅场馆灯光改造项目业绩者优先；</w:t>
      </w:r>
    </w:p>
    <w:p w14:paraId="51AD8F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3.本项目不接受联合体投标，不允许转包、违法分包，一经发现取消中标资格、解除合同并追究违约责任；</w:t>
      </w:r>
    </w:p>
    <w:p w14:paraId="020697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4.本项目为总价包干报价，投标报价包含设备采购、运输、装卸、耗材、拆除、安装、调试、人工、安全防护、垃圾清运、培训、质保、税费等全部费用，采购人无需额外支付任何费用；</w:t>
      </w:r>
    </w:p>
    <w:p w14:paraId="027133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default" w:ascii="仿宋_GB2312" w:eastAsia="仿宋_GB2312" w:cstheme="minorBidi"/>
          <w:kern w:val="0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Fonts w:hint="eastAsia" w:ascii="仿宋_GB2312" w:eastAsia="仿宋_GB2312" w:cstheme="minorBidi"/>
          <w:kern w:val="0"/>
          <w:sz w:val="28"/>
          <w:szCs w:val="28"/>
          <w:lang w:val="en-US" w:eastAsia="zh-CN" w:bidi="ar-SA"/>
        </w:rPr>
        <w:t>5.供应商须承诺完全响应本项目全部技术、施工、售后条款，严格履约，若出现质量不达标、工期延误、服务违约等情况，自愿承担相应违约责任。</w:t>
      </w:r>
    </w:p>
    <w:p w14:paraId="2C4DEB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ascii="仿宋_GB2312" w:eastAsia="仿宋_GB2312"/>
          <w:b/>
          <w:kern w:val="0"/>
          <w:sz w:val="28"/>
          <w:szCs w:val="28"/>
        </w:rPr>
      </w:pPr>
      <w:r>
        <w:rPr>
          <w:rFonts w:hint="eastAsia" w:ascii="仿宋_GB2312" w:eastAsia="仿宋_GB2312"/>
          <w:b/>
          <w:kern w:val="0"/>
          <w:sz w:val="28"/>
          <w:szCs w:val="28"/>
        </w:rPr>
        <w:t>（</w:t>
      </w:r>
      <w:r>
        <w:rPr>
          <w:rFonts w:hint="eastAsia" w:ascii="仿宋_GB2312" w:eastAsia="仿宋_GB2312"/>
          <w:b/>
          <w:kern w:val="0"/>
          <w:sz w:val="28"/>
          <w:szCs w:val="28"/>
          <w:lang w:val="en-US" w:eastAsia="zh-CN"/>
        </w:rPr>
        <w:t>九</w:t>
      </w:r>
      <w:r>
        <w:rPr>
          <w:rFonts w:hint="eastAsia" w:ascii="仿宋_GB2312" w:eastAsia="仿宋_GB2312"/>
          <w:b/>
          <w:kern w:val="0"/>
          <w:sz w:val="28"/>
          <w:szCs w:val="28"/>
        </w:rPr>
        <w:t>）其他要求</w:t>
      </w:r>
    </w:p>
    <w:p w14:paraId="2ACA31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="仿宋_GB2312" w:eastAsia="仿宋_GB2312"/>
          <w:kern w:val="0"/>
          <w:sz w:val="28"/>
          <w:szCs w:val="28"/>
        </w:rPr>
      </w:pPr>
      <w:r>
        <w:rPr>
          <w:rFonts w:hint="eastAsia" w:ascii="仿宋_GB2312" w:eastAsia="仿宋_GB2312"/>
          <w:kern w:val="0"/>
          <w:sz w:val="28"/>
          <w:szCs w:val="28"/>
        </w:rPr>
        <w:t>1.所有设计、作品、产品必须保证无知识产权纠纷；</w:t>
      </w:r>
    </w:p>
    <w:p w14:paraId="66F327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="仿宋_GB2312" w:eastAsia="仿宋_GB2312"/>
          <w:b w:val="0"/>
          <w:bCs/>
          <w:kern w:val="0"/>
          <w:sz w:val="28"/>
          <w:szCs w:val="28"/>
        </w:rPr>
      </w:pPr>
      <w:r>
        <w:rPr>
          <w:rFonts w:hint="eastAsia" w:ascii="仿宋_GB2312" w:eastAsia="仿宋_GB2312"/>
          <w:b w:val="0"/>
          <w:bCs/>
          <w:kern w:val="0"/>
          <w:sz w:val="28"/>
          <w:szCs w:val="28"/>
        </w:rPr>
        <w:t>2.</w:t>
      </w:r>
      <w:r>
        <w:rPr>
          <w:rFonts w:ascii="仿宋_GB2312" w:eastAsia="仿宋_GB2312"/>
          <w:b w:val="0"/>
          <w:bCs/>
          <w:kern w:val="0"/>
          <w:sz w:val="28"/>
          <w:szCs w:val="28"/>
          <w:lang w:val="en-US" w:eastAsia="zh-CN"/>
        </w:rPr>
        <w:t>投标人须自行踏勘现场，充分了解项目现场施工条件、改造范围及施工难点，投标报价包含所有现场适配费用，后期不因现场条件差异提出加价或延期申请</w:t>
      </w:r>
      <w:r>
        <w:rPr>
          <w:rFonts w:hint="eastAsia" w:ascii="仿宋_GB2312" w:eastAsia="仿宋_GB2312"/>
          <w:b w:val="0"/>
          <w:bCs/>
          <w:kern w:val="0"/>
          <w:sz w:val="28"/>
          <w:szCs w:val="28"/>
        </w:rPr>
        <w:t>；</w:t>
      </w:r>
    </w:p>
    <w:p w14:paraId="79644D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_GB2312" w:eastAsia="仿宋_GB2312"/>
          <w:b w:val="0"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kern w:val="0"/>
          <w:sz w:val="28"/>
          <w:szCs w:val="28"/>
          <w:lang w:val="en-US" w:eastAsia="zh-CN"/>
        </w:rPr>
        <w:t>3.</w:t>
      </w:r>
      <w:r>
        <w:rPr>
          <w:rFonts w:ascii="仿宋_GB2312" w:eastAsia="仿宋_GB2312"/>
          <w:b w:val="0"/>
          <w:bCs/>
          <w:kern w:val="0"/>
          <w:sz w:val="28"/>
          <w:szCs w:val="28"/>
          <w:lang w:val="en-US" w:eastAsia="zh-CN"/>
        </w:rPr>
        <w:t>项目所有施工、改造、交付标准以满足博物馆正常运营、文物保护、消防安检、行业验收为最终准则</w:t>
      </w:r>
      <w:r>
        <w:rPr>
          <w:rFonts w:hint="eastAsia" w:ascii="仿宋_GB2312" w:eastAsia="仿宋_GB2312"/>
          <w:b w:val="0"/>
          <w:bCs/>
          <w:kern w:val="0"/>
          <w:sz w:val="28"/>
          <w:szCs w:val="28"/>
          <w:lang w:val="en-US" w:eastAsia="zh-CN"/>
        </w:rPr>
        <w:t>。</w:t>
      </w:r>
    </w:p>
    <w:p w14:paraId="3C7D718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eastAsia" w:ascii="仿宋_GB2312" w:eastAsia="仿宋_GB2312"/>
          <w:b/>
          <w:kern w:val="0"/>
          <w:sz w:val="28"/>
          <w:szCs w:val="28"/>
        </w:rPr>
      </w:pPr>
      <w:r>
        <w:rPr>
          <w:rFonts w:hint="eastAsia" w:ascii="仿宋_GB2312" w:eastAsia="仿宋_GB2312"/>
          <w:b/>
          <w:kern w:val="0"/>
          <w:sz w:val="28"/>
          <w:szCs w:val="28"/>
        </w:rPr>
        <w:t>联系方式</w:t>
      </w:r>
    </w:p>
    <w:p w14:paraId="1397CB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b w:val="0"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kern w:val="0"/>
          <w:sz w:val="28"/>
          <w:szCs w:val="28"/>
          <w:lang w:val="en-US" w:eastAsia="zh-CN"/>
        </w:rPr>
        <w:t>采购人：青岛市博物馆</w:t>
      </w:r>
    </w:p>
    <w:p w14:paraId="21F523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b w:val="0"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kern w:val="0"/>
          <w:sz w:val="28"/>
          <w:szCs w:val="28"/>
          <w:lang w:val="en-US" w:eastAsia="zh-CN"/>
        </w:rPr>
        <w:t>联系人：洪菲斐、李婷</w:t>
      </w:r>
    </w:p>
    <w:p w14:paraId="1D9D18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="仿宋_GB2312" w:eastAsia="仿宋_GB2312"/>
          <w:b w:val="0"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kern w:val="0"/>
          <w:sz w:val="28"/>
          <w:szCs w:val="28"/>
          <w:lang w:val="en-US" w:eastAsia="zh-CN"/>
        </w:rPr>
        <w:t>联系方式：0532-88896305、0532-88890968</w:t>
      </w:r>
    </w:p>
    <w:p w14:paraId="21A64814">
      <w:pPr>
        <w:spacing w:line="360" w:lineRule="auto"/>
        <w:ind w:firstLine="803" w:firstLineChars="200"/>
        <w:rPr>
          <w:rFonts w:ascii="楷体" w:hAnsi="楷体" w:eastAsia="楷体"/>
          <w:b/>
          <w:bCs/>
          <w:color w:val="auto"/>
          <w:sz w:val="40"/>
          <w:szCs w:val="40"/>
        </w:rPr>
      </w:pPr>
      <w:r>
        <w:rPr>
          <w:rFonts w:hint="eastAsia" w:ascii="楷体" w:hAnsi="楷体" w:eastAsia="楷体"/>
          <w:b/>
          <w:bCs/>
          <w:color w:val="auto"/>
          <w:sz w:val="40"/>
          <w:szCs w:val="40"/>
        </w:rPr>
        <w:t>本次公开的采购需求是本单位政府采购工作的初步安排，具体采购项目情况以相关采购公告和采购文件为准。</w:t>
      </w:r>
    </w:p>
    <w:p w14:paraId="2D17AC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eastAsia="仿宋_GB2312"/>
          <w:kern w:val="0"/>
          <w:sz w:val="28"/>
          <w:szCs w:val="28"/>
        </w:rPr>
      </w:pPr>
    </w:p>
    <w:sectPr>
      <w:footerReference r:id="rId3" w:type="default"/>
      <w:pgSz w:w="11906" w:h="16838"/>
      <w:pgMar w:top="2154" w:right="1474" w:bottom="1984" w:left="1531" w:header="851" w:footer="113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A9FB8">
    <w:pPr>
      <w:pStyle w:val="4"/>
      <w:tabs>
        <w:tab w:val="center" w:pos="4450"/>
        <w:tab w:val="clear" w:pos="4153"/>
      </w:tabs>
      <w:rPr>
        <w:sz w:val="28"/>
        <w:szCs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5A44F8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5A44F8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C72CB5"/>
    <w:multiLevelType w:val="singleLevel"/>
    <w:tmpl w:val="E6C72CB5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3MjkxZDZmODkwODViMTYyMjM3Zjg4NTVkNDQwZGEifQ=="/>
  </w:docVars>
  <w:rsids>
    <w:rsidRoot w:val="001015E3"/>
    <w:rsid w:val="00031470"/>
    <w:rsid w:val="00075E95"/>
    <w:rsid w:val="0007767E"/>
    <w:rsid w:val="000A2E5E"/>
    <w:rsid w:val="001015E3"/>
    <w:rsid w:val="00103E61"/>
    <w:rsid w:val="00161496"/>
    <w:rsid w:val="00174B3A"/>
    <w:rsid w:val="00182AB8"/>
    <w:rsid w:val="00195BBE"/>
    <w:rsid w:val="001B1ECD"/>
    <w:rsid w:val="00247AA4"/>
    <w:rsid w:val="0026387F"/>
    <w:rsid w:val="00264C6C"/>
    <w:rsid w:val="00276B71"/>
    <w:rsid w:val="00282AC6"/>
    <w:rsid w:val="00284344"/>
    <w:rsid w:val="002905B0"/>
    <w:rsid w:val="002F27A5"/>
    <w:rsid w:val="00300E9B"/>
    <w:rsid w:val="003252BC"/>
    <w:rsid w:val="00374B3E"/>
    <w:rsid w:val="0039154C"/>
    <w:rsid w:val="003D0E6B"/>
    <w:rsid w:val="003D4A41"/>
    <w:rsid w:val="003D512C"/>
    <w:rsid w:val="00474EE6"/>
    <w:rsid w:val="00476EE7"/>
    <w:rsid w:val="00487F33"/>
    <w:rsid w:val="004A406F"/>
    <w:rsid w:val="004C1B13"/>
    <w:rsid w:val="004D1293"/>
    <w:rsid w:val="004E5AE0"/>
    <w:rsid w:val="0053103F"/>
    <w:rsid w:val="00544B90"/>
    <w:rsid w:val="00592189"/>
    <w:rsid w:val="005A09E4"/>
    <w:rsid w:val="005B5BFB"/>
    <w:rsid w:val="005C1D14"/>
    <w:rsid w:val="005C4623"/>
    <w:rsid w:val="005C5158"/>
    <w:rsid w:val="005F2814"/>
    <w:rsid w:val="005F45A4"/>
    <w:rsid w:val="005F559D"/>
    <w:rsid w:val="00614818"/>
    <w:rsid w:val="00636043"/>
    <w:rsid w:val="006616C9"/>
    <w:rsid w:val="00674F58"/>
    <w:rsid w:val="00697BE6"/>
    <w:rsid w:val="006B6178"/>
    <w:rsid w:val="006E5592"/>
    <w:rsid w:val="00732584"/>
    <w:rsid w:val="00735BA5"/>
    <w:rsid w:val="00754BD0"/>
    <w:rsid w:val="0077311E"/>
    <w:rsid w:val="007A4A62"/>
    <w:rsid w:val="007D6290"/>
    <w:rsid w:val="00832ACE"/>
    <w:rsid w:val="008616B9"/>
    <w:rsid w:val="00880B53"/>
    <w:rsid w:val="008B4820"/>
    <w:rsid w:val="008B6D37"/>
    <w:rsid w:val="008F273F"/>
    <w:rsid w:val="00915EAB"/>
    <w:rsid w:val="00935A69"/>
    <w:rsid w:val="00944793"/>
    <w:rsid w:val="009840F6"/>
    <w:rsid w:val="009B0FAC"/>
    <w:rsid w:val="009B6AD5"/>
    <w:rsid w:val="009C58F5"/>
    <w:rsid w:val="009D0A82"/>
    <w:rsid w:val="009D2B3F"/>
    <w:rsid w:val="009D4D2D"/>
    <w:rsid w:val="009E09C1"/>
    <w:rsid w:val="009F4AC4"/>
    <w:rsid w:val="009F5E26"/>
    <w:rsid w:val="00A067A4"/>
    <w:rsid w:val="00A302E3"/>
    <w:rsid w:val="00A43119"/>
    <w:rsid w:val="00A46B85"/>
    <w:rsid w:val="00A533EA"/>
    <w:rsid w:val="00A535E8"/>
    <w:rsid w:val="00AA397D"/>
    <w:rsid w:val="00B057D9"/>
    <w:rsid w:val="00B1417D"/>
    <w:rsid w:val="00B23B3E"/>
    <w:rsid w:val="00B24AFB"/>
    <w:rsid w:val="00B469CE"/>
    <w:rsid w:val="00B71FC4"/>
    <w:rsid w:val="00B85DA7"/>
    <w:rsid w:val="00B96602"/>
    <w:rsid w:val="00B9744A"/>
    <w:rsid w:val="00BB2E91"/>
    <w:rsid w:val="00BD05DB"/>
    <w:rsid w:val="00BE498A"/>
    <w:rsid w:val="00BF1AC5"/>
    <w:rsid w:val="00BF2669"/>
    <w:rsid w:val="00C04B36"/>
    <w:rsid w:val="00C71168"/>
    <w:rsid w:val="00C75B6F"/>
    <w:rsid w:val="00C83695"/>
    <w:rsid w:val="00C95F9F"/>
    <w:rsid w:val="00CB2E4A"/>
    <w:rsid w:val="00CF04CF"/>
    <w:rsid w:val="00D134B5"/>
    <w:rsid w:val="00D16361"/>
    <w:rsid w:val="00D20676"/>
    <w:rsid w:val="00D45643"/>
    <w:rsid w:val="00D4628A"/>
    <w:rsid w:val="00D611A6"/>
    <w:rsid w:val="00D72EB2"/>
    <w:rsid w:val="00D840EC"/>
    <w:rsid w:val="00DF7816"/>
    <w:rsid w:val="00E10395"/>
    <w:rsid w:val="00E110D8"/>
    <w:rsid w:val="00E15EEA"/>
    <w:rsid w:val="00E23BAF"/>
    <w:rsid w:val="00E3656A"/>
    <w:rsid w:val="00E470BD"/>
    <w:rsid w:val="00E66D11"/>
    <w:rsid w:val="00EA681F"/>
    <w:rsid w:val="00EB5FC8"/>
    <w:rsid w:val="00EC1F05"/>
    <w:rsid w:val="00EC2A23"/>
    <w:rsid w:val="00ED21CB"/>
    <w:rsid w:val="00ED56D7"/>
    <w:rsid w:val="00EF11D8"/>
    <w:rsid w:val="00F26E78"/>
    <w:rsid w:val="00F9456C"/>
    <w:rsid w:val="00FA525A"/>
    <w:rsid w:val="00FA682E"/>
    <w:rsid w:val="00FA7B3D"/>
    <w:rsid w:val="00FD7B97"/>
    <w:rsid w:val="00FE234E"/>
    <w:rsid w:val="00FE2567"/>
    <w:rsid w:val="03015719"/>
    <w:rsid w:val="050F1A50"/>
    <w:rsid w:val="07660A33"/>
    <w:rsid w:val="0AD6400B"/>
    <w:rsid w:val="0C045FA3"/>
    <w:rsid w:val="12167B99"/>
    <w:rsid w:val="27F7751F"/>
    <w:rsid w:val="29C9741A"/>
    <w:rsid w:val="2D946557"/>
    <w:rsid w:val="35B951A2"/>
    <w:rsid w:val="3B072097"/>
    <w:rsid w:val="3D7A1EE8"/>
    <w:rsid w:val="471C4C5A"/>
    <w:rsid w:val="48965E37"/>
    <w:rsid w:val="4CD5300B"/>
    <w:rsid w:val="50733B43"/>
    <w:rsid w:val="51960CEF"/>
    <w:rsid w:val="52022265"/>
    <w:rsid w:val="53334A48"/>
    <w:rsid w:val="539F2C5F"/>
    <w:rsid w:val="540333A3"/>
    <w:rsid w:val="5771015D"/>
    <w:rsid w:val="5AF56A87"/>
    <w:rsid w:val="5CC2690B"/>
    <w:rsid w:val="628A080D"/>
    <w:rsid w:val="66690262"/>
    <w:rsid w:val="67335249"/>
    <w:rsid w:val="6C6331B8"/>
    <w:rsid w:val="75E20EEC"/>
    <w:rsid w:val="75FB1B05"/>
    <w:rsid w:val="787B00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basedOn w:val="8"/>
    <w:qFormat/>
    <w:uiPriority w:val="0"/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customStyle="1" w:styleId="15">
    <w:name w:val="表格文字"/>
    <w:basedOn w:val="1"/>
    <w:qFormat/>
    <w:uiPriority w:val="0"/>
    <w:pPr>
      <w:spacing w:before="25" w:after="25" w:line="300" w:lineRule="auto"/>
    </w:pPr>
    <w:rPr>
      <w:rFonts w:ascii="宋体" w:hAnsi="宋体"/>
      <w:spacing w:val="10"/>
    </w:rPr>
  </w:style>
  <w:style w:type="paragraph" w:customStyle="1" w:styleId="16">
    <w:name w:val="正文1"/>
    <w:next w:val="1"/>
    <w:qFormat/>
    <w:uiPriority w:val="0"/>
    <w:pPr>
      <w:widowControl w:val="0"/>
      <w:spacing w:line="360" w:lineRule="atLeast"/>
      <w:jc w:val="both"/>
    </w:pPr>
    <w:rPr>
      <w:rFonts w:hint="default"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2815</Words>
  <Characters>2965</Characters>
  <Lines>17</Lines>
  <Paragraphs>4</Paragraphs>
  <TotalTime>3</TotalTime>
  <ScaleCrop>false</ScaleCrop>
  <LinksUpToDate>false</LinksUpToDate>
  <CharactersWithSpaces>2972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2023-09-11T07:52:00Z</dcterms:created>
  <dc:creator>洪菲斐</dc:creator>
  <cp:lastModifiedBy>李婷</cp:lastModifiedBy>
  <dcterms:modified xsi:type="dcterms:W3CDTF">2026-06-09T02:12:46Z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3A1058F4F63B474EBB5CB37289B9A6B6_13</vt:lpwstr>
  </property>
  <property fmtid="{D5CDD505-2E9C-101B-9397-08002B2CF9AE}" pid="4" name="KSOTemplateDocerSaveRecord">
    <vt:lpwstr>eyJoZGlkIjoiYmVkMTdkNTBiNTNmYzg0NmE4NGI2OTI3Mzc1YTE2YWUiLCJ1c2VySWQiOiIxNTY5OTA3Mzk2In0=</vt:lpwstr>
  </property>
</Properties>
</file>