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文星标宋" w:hAnsi="文星标宋" w:eastAsia="文星标宋" w:cs="Times New Roman"/>
          <w:sz w:val="44"/>
          <w:szCs w:val="44"/>
        </w:rPr>
      </w:pPr>
      <w:bookmarkStart w:id="0" w:name="_Hlk89165240"/>
      <w:r>
        <w:rPr>
          <w:rFonts w:hint="eastAsia" w:ascii="文星标宋" w:hAnsi="文星标宋" w:eastAsia="文星标宋" w:cs="文星标宋"/>
          <w:sz w:val="44"/>
          <w:szCs w:val="44"/>
        </w:rPr>
        <w:t>青岛市信访局</w:t>
      </w:r>
    </w:p>
    <w:p>
      <w:pPr>
        <w:spacing w:line="560" w:lineRule="exact"/>
        <w:jc w:val="center"/>
        <w:rPr>
          <w:rFonts w:ascii="文星标宋" w:hAnsi="文星标宋" w:eastAsia="文星标宋" w:cs="Times New Roman"/>
          <w:sz w:val="44"/>
          <w:szCs w:val="44"/>
        </w:rPr>
      </w:pPr>
      <w:r>
        <w:rPr>
          <w:rFonts w:ascii="文星标宋" w:hAnsi="文星标宋" w:eastAsia="文星标宋" w:cs="文星标宋"/>
          <w:sz w:val="44"/>
          <w:szCs w:val="44"/>
        </w:rPr>
        <w:t>2021</w:t>
      </w:r>
      <w:r>
        <w:rPr>
          <w:rFonts w:hint="eastAsia" w:ascii="文星标宋" w:hAnsi="文星标宋" w:eastAsia="文星标宋" w:cs="文星标宋"/>
          <w:sz w:val="44"/>
          <w:szCs w:val="44"/>
        </w:rPr>
        <w:t>年政府信息公开工作年度报告</w:t>
      </w:r>
    </w:p>
    <w:bookmarkEnd w:id="0"/>
    <w:p>
      <w:pPr>
        <w:pStyle w:val="2"/>
        <w:spacing w:before="0" w:after="0" w:line="240" w:lineRule="auto"/>
        <w:ind w:left="640"/>
        <w:rPr>
          <w:rFonts w:ascii="黑体" w:hAnsi="黑体" w:eastAsia="黑体" w:cs="Times New Roman"/>
          <w:b w:val="0"/>
          <w:bCs w:val="0"/>
          <w:sz w:val="32"/>
          <w:szCs w:val="32"/>
        </w:rPr>
      </w:pPr>
    </w:p>
    <w:p>
      <w:pPr>
        <w:pStyle w:val="3"/>
        <w:spacing w:before="0" w:after="0" w:line="560" w:lineRule="exact"/>
        <w:ind w:firstLine="640" w:firstLineChars="200"/>
        <w:rPr>
          <w:rFonts w:ascii="仿宋_GB2312" w:hAnsi="等线" w:eastAsia="仿宋_GB2312" w:cs="Times New Roman"/>
          <w:b w:val="0"/>
          <w:bCs w:val="0"/>
        </w:rPr>
      </w:pPr>
      <w:r>
        <w:rPr>
          <w:rFonts w:ascii="仿宋_GB2312" w:hAnsi="等线" w:eastAsia="仿宋_GB2312" w:cs="仿宋_GB2312"/>
          <w:b w:val="0"/>
          <w:bCs w:val="0"/>
        </w:rPr>
        <w:t>2021</w:t>
      </w:r>
      <w:r>
        <w:rPr>
          <w:rFonts w:hint="eastAsia" w:ascii="仿宋_GB2312" w:hAnsi="等线" w:eastAsia="仿宋_GB2312" w:cs="仿宋_GB2312"/>
          <w:b w:val="0"/>
          <w:bCs w:val="0"/>
        </w:rPr>
        <w:t>年，青岛市信访局认真贯彻落实《中华人民共和国政府信息公开条例</w:t>
      </w:r>
      <w:r>
        <w:rPr>
          <w:rFonts w:ascii="仿宋_GB2312" w:hAnsi="等线" w:eastAsia="仿宋_GB2312" w:cs="仿宋_GB2312"/>
          <w:b w:val="0"/>
          <w:bCs w:val="0"/>
        </w:rPr>
        <w:t xml:space="preserve"> </w:t>
      </w:r>
      <w:r>
        <w:rPr>
          <w:rFonts w:hint="eastAsia" w:ascii="仿宋_GB2312" w:hAnsi="等线" w:eastAsia="仿宋_GB2312" w:cs="仿宋_GB2312"/>
          <w:b w:val="0"/>
          <w:bCs w:val="0"/>
        </w:rPr>
        <w:t>》和市委、市政府统一部署，不断健全完善政府信息公开工作制度，扎实做好政府信息公开工作，切实保障人民群众的知情权、参与权、监督权和表达权。现将市信访局</w:t>
      </w:r>
      <w:r>
        <w:rPr>
          <w:rFonts w:ascii="仿宋_GB2312" w:hAnsi="等线" w:eastAsia="仿宋_GB2312" w:cs="仿宋_GB2312"/>
          <w:b w:val="0"/>
          <w:bCs w:val="0"/>
        </w:rPr>
        <w:t>2021</w:t>
      </w:r>
      <w:r>
        <w:rPr>
          <w:rFonts w:hint="eastAsia" w:ascii="仿宋_GB2312" w:hAnsi="等线" w:eastAsia="仿宋_GB2312" w:cs="仿宋_GB2312"/>
          <w:b w:val="0"/>
          <w:bCs w:val="0"/>
        </w:rPr>
        <w:t>年度政府信息公开工作报告如下：</w:t>
      </w:r>
    </w:p>
    <w:p>
      <w:pPr>
        <w:pStyle w:val="3"/>
        <w:spacing w:before="0" w:after="0" w:line="560" w:lineRule="exact"/>
        <w:ind w:left="640"/>
        <w:rPr>
          <w:rFonts w:ascii="黑体" w:hAnsi="黑体" w:eastAsia="黑体" w:cs="Times New Roman"/>
        </w:rPr>
      </w:pPr>
      <w:r>
        <w:rPr>
          <w:rFonts w:hint="eastAsia" w:ascii="黑体" w:hAnsi="黑体" w:eastAsia="黑体" w:cs="黑体"/>
        </w:rPr>
        <w:t>一、总体情况</w:t>
      </w:r>
    </w:p>
    <w:p>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市信访局主要领导高度重视政府信息公开工作，把该项工作列入年度重点工作，主要抓了以下几项工作：一是明确职责。明确信息公开工作分管领导及牵头处室，并专题研究该项工作，以正式文件的形式对政府信息公开平台的所有公开栏目进行了责任划分，确保每个栏目有人管，有内容，有更新，推动市信访局政府信息公开工作向更高水平发展。二是完善机制。依据《中华人民共和国政府信息公开条例》和市政府办公厅要求，进一步梳理《市信访局</w:t>
      </w:r>
      <w:r>
        <w:rPr>
          <w:rFonts w:ascii="仿宋_GB2312" w:eastAsia="仿宋_GB2312" w:cs="仿宋_GB2312"/>
          <w:sz w:val="32"/>
          <w:szCs w:val="32"/>
        </w:rPr>
        <w:t>2021</w:t>
      </w:r>
      <w:r>
        <w:rPr>
          <w:rFonts w:hint="eastAsia" w:ascii="仿宋_GB2312" w:eastAsia="仿宋_GB2312" w:cs="仿宋_GB2312"/>
          <w:sz w:val="32"/>
          <w:szCs w:val="32"/>
        </w:rPr>
        <w:t>年信息公开指南》及主动信息公开的范围和形式。本着高效、快捷、便民的原则，及时完善政府信息公开栏目设置，对主动公开的信息目录、内容以及对申请公开的步骤、处理程序等作出了明确规定。三是强化考核。坚持将政府信息公开工作纳入年度各处室目标考评，完成情况与年底评优挂钩，从制度层面保障政府信息公开工作有序实施。</w:t>
      </w:r>
    </w:p>
    <w:p>
      <w:pPr>
        <w:spacing w:line="560" w:lineRule="exact"/>
        <w:ind w:firstLine="630" w:firstLineChars="196"/>
        <w:rPr>
          <w:rFonts w:ascii="仿宋_GB2312" w:eastAsia="仿宋_GB2312" w:cs="Times New Roman"/>
          <w:sz w:val="32"/>
          <w:szCs w:val="32"/>
        </w:rPr>
      </w:pPr>
      <w:r>
        <w:rPr>
          <w:rFonts w:ascii="楷体" w:hAnsi="楷体" w:eastAsia="楷体" w:cs="楷体"/>
          <w:b/>
          <w:bCs/>
          <w:sz w:val="32"/>
          <w:szCs w:val="32"/>
        </w:rPr>
        <w:t>1.</w:t>
      </w:r>
      <w:r>
        <w:rPr>
          <w:rFonts w:hint="eastAsia" w:ascii="楷体" w:hAnsi="楷体" w:eastAsia="楷体" w:cs="楷体"/>
          <w:b/>
          <w:bCs/>
          <w:sz w:val="32"/>
          <w:szCs w:val="32"/>
        </w:rPr>
        <w:t>主动公开。</w:t>
      </w:r>
      <w:r>
        <w:rPr>
          <w:rFonts w:ascii="仿宋_GB2312" w:hAnsi="文星标宋" w:eastAsia="仿宋_GB2312" w:cs="仿宋_GB2312"/>
          <w:sz w:val="32"/>
          <w:szCs w:val="32"/>
        </w:rPr>
        <w:t>2021</w:t>
      </w:r>
      <w:r>
        <w:rPr>
          <w:rFonts w:hint="eastAsia" w:ascii="仿宋_GB2312" w:hAnsi="文星标宋" w:eastAsia="仿宋_GB2312" w:cs="仿宋_GB2312"/>
          <w:sz w:val="32"/>
          <w:szCs w:val="32"/>
        </w:rPr>
        <w:t>年，市信访局在政府信息公开平台发布信息</w:t>
      </w:r>
      <w:r>
        <w:rPr>
          <w:rFonts w:ascii="仿宋_GB2312" w:hAnsi="文星标宋" w:eastAsia="仿宋_GB2312" w:cs="仿宋_GB2312"/>
          <w:sz w:val="32"/>
          <w:szCs w:val="32"/>
        </w:rPr>
        <w:t>62</w:t>
      </w:r>
      <w:r>
        <w:rPr>
          <w:rFonts w:hint="eastAsia" w:ascii="仿宋_GB2312" w:hAnsi="文星标宋" w:eastAsia="仿宋_GB2312" w:cs="仿宋_GB2312"/>
          <w:sz w:val="32"/>
          <w:szCs w:val="32"/>
        </w:rPr>
        <w:t>篇，在门户网站发布信息</w:t>
      </w:r>
      <w:r>
        <w:rPr>
          <w:rFonts w:ascii="仿宋_GB2312" w:hAnsi="文星标宋" w:eastAsia="仿宋_GB2312" w:cs="仿宋_GB2312"/>
          <w:sz w:val="32"/>
          <w:szCs w:val="32"/>
        </w:rPr>
        <w:t>260</w:t>
      </w:r>
      <w:r>
        <w:rPr>
          <w:rFonts w:hint="eastAsia" w:ascii="仿宋_GB2312" w:hAnsi="文星标宋" w:eastAsia="仿宋_GB2312" w:cs="仿宋_GB2312"/>
          <w:sz w:val="32"/>
          <w:szCs w:val="32"/>
        </w:rPr>
        <w:t>篇，在微信公众号发布信息</w:t>
      </w:r>
      <w:r>
        <w:rPr>
          <w:rFonts w:ascii="仿宋_GB2312" w:hAnsi="文星标宋" w:eastAsia="仿宋_GB2312" w:cs="仿宋_GB2312"/>
          <w:sz w:val="32"/>
          <w:szCs w:val="32"/>
        </w:rPr>
        <w:t>70</w:t>
      </w:r>
      <w:r>
        <w:rPr>
          <w:rFonts w:hint="eastAsia" w:ascii="仿宋_GB2312" w:hAnsi="文星标宋" w:eastAsia="仿宋_GB2312" w:cs="仿宋_GB2312"/>
          <w:sz w:val="32"/>
          <w:szCs w:val="32"/>
        </w:rPr>
        <w:t>篇。</w:t>
      </w:r>
    </w:p>
    <w:p>
      <w:pPr>
        <w:spacing w:line="560" w:lineRule="exact"/>
        <w:ind w:firstLine="643" w:firstLineChars="200"/>
        <w:rPr>
          <w:rFonts w:ascii="仿宋_GB2312" w:eastAsia="仿宋_GB2312" w:cs="Times New Roman"/>
          <w:sz w:val="32"/>
          <w:szCs w:val="32"/>
        </w:rPr>
      </w:pPr>
      <w:r>
        <w:rPr>
          <w:rFonts w:ascii="楷体" w:hAnsi="楷体" w:eastAsia="楷体" w:cs="楷体"/>
          <w:b/>
          <w:bCs/>
          <w:sz w:val="32"/>
          <w:szCs w:val="32"/>
        </w:rPr>
        <w:t>2.</w:t>
      </w:r>
      <w:r>
        <w:rPr>
          <w:rFonts w:hint="eastAsia" w:ascii="楷体" w:hAnsi="楷体" w:eastAsia="楷体" w:cs="楷体"/>
          <w:b/>
          <w:bCs/>
          <w:sz w:val="32"/>
          <w:szCs w:val="32"/>
        </w:rPr>
        <w:t>依申请公开。</w:t>
      </w:r>
      <w:r>
        <w:rPr>
          <w:rFonts w:ascii="仿宋_GB2312" w:eastAsia="仿宋_GB2312" w:cs="仿宋_GB2312"/>
          <w:sz w:val="32"/>
          <w:szCs w:val="32"/>
        </w:rPr>
        <w:t>2021</w:t>
      </w:r>
      <w:r>
        <w:rPr>
          <w:rFonts w:hint="eastAsia" w:ascii="仿宋_GB2312" w:eastAsia="仿宋_GB2312" w:cs="仿宋_GB2312"/>
          <w:sz w:val="32"/>
          <w:szCs w:val="32"/>
        </w:rPr>
        <w:t>年，市信访局共受理信息公开申请</w:t>
      </w:r>
      <w:r>
        <w:rPr>
          <w:rFonts w:ascii="仿宋_GB2312" w:eastAsia="仿宋_GB2312" w:cs="仿宋_GB2312"/>
          <w:sz w:val="32"/>
          <w:szCs w:val="32"/>
        </w:rPr>
        <w:t>15</w:t>
      </w:r>
      <w:r>
        <w:rPr>
          <w:rFonts w:hint="eastAsia" w:ascii="仿宋_GB2312" w:eastAsia="仿宋_GB2312" w:cs="仿宋_GB2312"/>
          <w:sz w:val="32"/>
          <w:szCs w:val="32"/>
        </w:rPr>
        <w:t>起，与</w:t>
      </w:r>
      <w:r>
        <w:rPr>
          <w:rFonts w:ascii="仿宋_GB2312" w:eastAsia="仿宋_GB2312" w:cs="仿宋_GB2312"/>
          <w:sz w:val="32"/>
          <w:szCs w:val="32"/>
        </w:rPr>
        <w:t>2020</w:t>
      </w:r>
      <w:r>
        <w:rPr>
          <w:rFonts w:hint="eastAsia" w:ascii="仿宋_GB2312" w:eastAsia="仿宋_GB2312" w:cs="仿宋_GB2312"/>
          <w:sz w:val="32"/>
          <w:szCs w:val="32"/>
        </w:rPr>
        <w:t>年持平。</w:t>
      </w:r>
    </w:p>
    <w:p>
      <w:pPr>
        <w:spacing w:line="560" w:lineRule="exact"/>
        <w:ind w:firstLine="643" w:firstLineChars="200"/>
        <w:rPr>
          <w:rFonts w:ascii="仿宋_GB2312" w:eastAsia="仿宋_GB2312" w:cs="Times New Roman"/>
          <w:sz w:val="32"/>
          <w:szCs w:val="32"/>
        </w:rPr>
      </w:pPr>
      <w:r>
        <w:rPr>
          <w:rFonts w:ascii="楷体" w:hAnsi="楷体" w:eastAsia="楷体" w:cs="楷体"/>
          <w:b/>
          <w:bCs/>
          <w:sz w:val="32"/>
          <w:szCs w:val="32"/>
        </w:rPr>
        <w:t>3.</w:t>
      </w:r>
      <w:r>
        <w:rPr>
          <w:rFonts w:hint="eastAsia" w:ascii="楷体" w:hAnsi="楷体" w:eastAsia="楷体" w:cs="楷体"/>
          <w:b/>
          <w:bCs/>
          <w:sz w:val="32"/>
          <w:szCs w:val="32"/>
        </w:rPr>
        <w:t>政府信息管理。</w:t>
      </w:r>
      <w:r>
        <w:rPr>
          <w:rFonts w:hint="eastAsia" w:ascii="仿宋_GB2312" w:eastAsia="仿宋_GB2312" w:cs="仿宋_GB2312"/>
          <w:sz w:val="32"/>
          <w:szCs w:val="32"/>
        </w:rPr>
        <w:t>市信访局严格按照《中华人民共和国政府信息公开条例》和国办</w:t>
      </w:r>
      <w:r>
        <w:rPr>
          <w:rFonts w:ascii="仿宋_GB2312" w:eastAsia="仿宋_GB2312" w:cs="仿宋_GB2312"/>
          <w:sz w:val="32"/>
          <w:szCs w:val="32"/>
        </w:rPr>
        <w:t>2020</w:t>
      </w:r>
      <w:r>
        <w:rPr>
          <w:rFonts w:hint="eastAsia" w:ascii="仿宋_GB2312" w:eastAsia="仿宋_GB2312" w:cs="仿宋_GB2312"/>
          <w:sz w:val="32"/>
          <w:szCs w:val="32"/>
        </w:rPr>
        <w:t>年政务公开第三方评估体系的要求，调整设置相关栏目，并严格按照《青岛市信访局互联网平台信息发布管理办法》的有关规定，主动积极做好信息发布保密审查、登记和公开工作。</w:t>
      </w:r>
    </w:p>
    <w:p>
      <w:pPr>
        <w:spacing w:line="560" w:lineRule="exact"/>
        <w:ind w:firstLine="643" w:firstLineChars="200"/>
        <w:rPr>
          <w:rFonts w:ascii="仿宋_GB2312" w:eastAsia="仿宋_GB2312" w:cs="Times New Roman"/>
          <w:sz w:val="32"/>
          <w:szCs w:val="32"/>
        </w:rPr>
      </w:pPr>
      <w:r>
        <w:rPr>
          <w:rFonts w:ascii="楷体" w:hAnsi="楷体" w:eastAsia="楷体" w:cs="楷体"/>
          <w:b/>
          <w:bCs/>
          <w:sz w:val="32"/>
          <w:szCs w:val="32"/>
        </w:rPr>
        <w:t>4.</w:t>
      </w:r>
      <w:r>
        <w:rPr>
          <w:rFonts w:hint="eastAsia" w:ascii="楷体" w:hAnsi="楷体" w:eastAsia="楷体" w:cs="楷体"/>
          <w:b/>
          <w:bCs/>
          <w:sz w:val="32"/>
          <w:szCs w:val="32"/>
        </w:rPr>
        <w:t>政府信息公开平台建设。</w:t>
      </w:r>
      <w:r>
        <w:rPr>
          <w:rFonts w:ascii="仿宋_GB2312" w:eastAsia="仿宋_GB2312" w:cs="仿宋_GB2312"/>
          <w:sz w:val="32"/>
          <w:szCs w:val="32"/>
        </w:rPr>
        <w:t>2021</w:t>
      </w:r>
      <w:r>
        <w:rPr>
          <w:rFonts w:hint="eastAsia" w:ascii="仿宋_GB2312" w:eastAsia="仿宋_GB2312" w:cs="仿宋_GB2312"/>
          <w:sz w:val="32"/>
          <w:szCs w:val="32"/>
        </w:rPr>
        <w:t>年，根据市政府办公厅的要求，市信访局对政府信息公开平台和门户网站的栏目设置进行了调整。截至目前，政府信息公开平台共设置</w:t>
      </w:r>
      <w:r>
        <w:rPr>
          <w:rFonts w:ascii="仿宋_GB2312" w:eastAsia="仿宋_GB2312" w:cs="仿宋_GB2312"/>
          <w:sz w:val="32"/>
          <w:szCs w:val="32"/>
        </w:rPr>
        <w:t>4</w:t>
      </w:r>
      <w:r>
        <w:rPr>
          <w:rFonts w:hint="eastAsia" w:ascii="仿宋_GB2312" w:eastAsia="仿宋_GB2312" w:cs="仿宋_GB2312"/>
          <w:sz w:val="32"/>
          <w:szCs w:val="32"/>
        </w:rPr>
        <w:t>个一级栏目和</w:t>
      </w:r>
      <w:r>
        <w:rPr>
          <w:rFonts w:ascii="仿宋_GB2312" w:eastAsia="仿宋_GB2312" w:cs="仿宋_GB2312"/>
          <w:sz w:val="32"/>
          <w:szCs w:val="32"/>
        </w:rPr>
        <w:t>9</w:t>
      </w:r>
      <w:r>
        <w:rPr>
          <w:rFonts w:hint="eastAsia" w:ascii="仿宋_GB2312" w:eastAsia="仿宋_GB2312" w:cs="仿宋_GB2312"/>
          <w:sz w:val="32"/>
          <w:szCs w:val="32"/>
        </w:rPr>
        <w:t>个二级栏目；门户网站共设置</w:t>
      </w:r>
      <w:r>
        <w:rPr>
          <w:rFonts w:ascii="仿宋_GB2312" w:eastAsia="仿宋_GB2312" w:cs="仿宋_GB2312"/>
          <w:sz w:val="32"/>
          <w:szCs w:val="32"/>
        </w:rPr>
        <w:t>7</w:t>
      </w:r>
      <w:r>
        <w:rPr>
          <w:rFonts w:hint="eastAsia" w:ascii="仿宋_GB2312" w:eastAsia="仿宋_GB2312" w:cs="仿宋_GB2312"/>
          <w:sz w:val="32"/>
          <w:szCs w:val="32"/>
        </w:rPr>
        <w:t>个一级栏目和</w:t>
      </w:r>
      <w:r>
        <w:rPr>
          <w:rFonts w:ascii="仿宋_GB2312" w:eastAsia="仿宋_GB2312" w:cs="仿宋_GB2312"/>
          <w:sz w:val="32"/>
          <w:szCs w:val="32"/>
        </w:rPr>
        <w:t>13</w:t>
      </w:r>
      <w:r>
        <w:rPr>
          <w:rFonts w:hint="eastAsia" w:ascii="仿宋_GB2312" w:eastAsia="仿宋_GB2312" w:cs="仿宋_GB2312"/>
          <w:sz w:val="32"/>
          <w:szCs w:val="32"/>
        </w:rPr>
        <w:t>个二级栏目。所有栏目坚持以数据化为标准、信息化为手段，使政务公开的范围和边界更加清晰，程序和运行更加规范，不断提升政务公开的精准性和实效性。</w:t>
      </w:r>
    </w:p>
    <w:p>
      <w:pPr>
        <w:spacing w:line="560" w:lineRule="exact"/>
        <w:ind w:firstLine="643" w:firstLineChars="200"/>
        <w:rPr>
          <w:rFonts w:ascii="仿宋_GB2312" w:eastAsia="仿宋_GB2312" w:cs="Times New Roman"/>
          <w:sz w:val="32"/>
          <w:szCs w:val="32"/>
        </w:rPr>
      </w:pPr>
      <w:r>
        <w:rPr>
          <w:rFonts w:ascii="楷体" w:hAnsi="楷体" w:eastAsia="楷体" w:cs="楷体"/>
          <w:b/>
          <w:bCs/>
          <w:sz w:val="32"/>
          <w:szCs w:val="32"/>
        </w:rPr>
        <w:t>5.</w:t>
      </w:r>
      <w:r>
        <w:rPr>
          <w:rFonts w:hint="eastAsia" w:ascii="楷体" w:hAnsi="楷体" w:eastAsia="楷体" w:cs="楷体"/>
          <w:b/>
          <w:bCs/>
          <w:sz w:val="32"/>
          <w:szCs w:val="32"/>
        </w:rPr>
        <w:t>监督保障。</w:t>
      </w:r>
      <w:r>
        <w:rPr>
          <w:rFonts w:hint="eastAsia" w:ascii="仿宋_GB2312" w:eastAsia="仿宋_GB2312" w:cs="仿宋_GB2312"/>
          <w:sz w:val="32"/>
          <w:szCs w:val="32"/>
        </w:rPr>
        <w:t>市信访局主要领导高度重视政府信息公开工作，在明确分管领导及牵头处室的前提下，还对该项工作进行了责任划分，确保每个栏目时时有人管，时时有更新。同时，坚持将政府信息公开工作纳入年度各处室目标考评，完成情况与年底评优挂钩，从制度层面保障政府信息公开工作有序实施。对依申请公开政府信息，依法依规进行保密审查和公开属性界定，严格规范公开程序。</w:t>
      </w:r>
    </w:p>
    <w:p>
      <w:pPr>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二、存在的问题及改进措施</w:t>
      </w:r>
    </w:p>
    <w:p>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2021</w:t>
      </w:r>
      <w:r>
        <w:rPr>
          <w:rFonts w:hint="eastAsia" w:ascii="仿宋_GB2312" w:eastAsia="仿宋_GB2312" w:cs="仿宋_GB2312"/>
          <w:sz w:val="32"/>
          <w:szCs w:val="32"/>
        </w:rPr>
        <w:t>年，市信访局政府信息公开工作虽然取得了一定进展，但离市委、市政府和人民群众的要求还有一定的差距。一是政府信息公开力度有待进一步加大；二是政府信息公开的内容还不够全面；三是信息公开更新还不够及时。为此，将采取以下改进措施：一是加大信息公开力度。进一步完善信息公开制度，强化信息公开的责任意识、大局意识、服务意识，确保政府信息公开工作及时、准确；二是更好地接受社会公众对信息公开工作的监督。</w:t>
      </w:r>
    </w:p>
    <w:p>
      <w:pPr>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三、下一步工作计划</w:t>
      </w:r>
    </w:p>
    <w:p>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2022</w:t>
      </w:r>
      <w:r>
        <w:rPr>
          <w:rFonts w:hint="eastAsia" w:ascii="仿宋_GB2312" w:eastAsia="仿宋_GB2312" w:cs="仿宋_GB2312"/>
          <w:sz w:val="32"/>
          <w:szCs w:val="32"/>
        </w:rPr>
        <w:t>年，市信访局将在市委、市政府的正确领导下，在市政府办公厅政务公开处的指导与支持下，重点做好以下工作：</w:t>
      </w:r>
    </w:p>
    <w:p>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一是认真贯彻落实《中华人民共和国政府信息公开条例》，切实加强政府信息公开业务的学习和培训，不断提升政府信息公开工作水平。</w:t>
      </w:r>
    </w:p>
    <w:p>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二是强化公开力度。进一步细化、优化政府信息公开目录，不断加大政府信息的公开力度，以社会需求为导向，选择社会关注度高的信息作为突破口，不断丰富信息公开的内容，不断加快信息内容更新的频率。</w:t>
      </w:r>
    </w:p>
    <w:p>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三是完善制度建设。进一步探索和掌握信息公开工作规律，逐步制定完善信息公开配套制度，加强对信息公开工作的检查。重视依申请公开办理效率和答复质量，推动政府信息公开工作取得更大进展。</w:t>
      </w:r>
    </w:p>
    <w:p>
      <w:pPr>
        <w:spacing w:line="560" w:lineRule="exact"/>
        <w:rPr>
          <w:rFonts w:hint="eastAsia" w:ascii="仿宋_GB2312" w:eastAsia="仿宋_GB2312" w:cs="仿宋_GB2312"/>
          <w:sz w:val="32"/>
          <w:szCs w:val="32"/>
        </w:rPr>
      </w:pPr>
    </w:p>
    <w:p>
      <w:pPr>
        <w:spacing w:line="560" w:lineRule="exact"/>
        <w:ind w:firstLine="5120" w:firstLineChars="1600"/>
        <w:rPr>
          <w:rFonts w:ascii="仿宋_GB2312" w:eastAsia="仿宋_GB2312" w:cs="Times New Roman"/>
          <w:sz w:val="32"/>
          <w:szCs w:val="32"/>
        </w:rPr>
      </w:pPr>
      <w:r>
        <w:rPr>
          <w:rFonts w:hint="eastAsia" w:ascii="仿宋_GB2312" w:eastAsia="仿宋_GB2312" w:cs="仿宋_GB2312"/>
          <w:sz w:val="32"/>
          <w:szCs w:val="32"/>
        </w:rPr>
        <w:t>青岛市信访局</w:t>
      </w:r>
      <w:bookmarkStart w:id="12" w:name="_GoBack"/>
      <w:bookmarkEnd w:id="12"/>
    </w:p>
    <w:p>
      <w:pPr>
        <w:spacing w:line="560" w:lineRule="exact"/>
        <w:ind w:firstLine="5760" w:firstLineChars="1800"/>
        <w:rPr>
          <w:rFonts w:hint="default" w:ascii="仿宋_GB2312" w:eastAsia="仿宋_GB2312" w:cs="Times New Roman"/>
          <w:sz w:val="32"/>
          <w:szCs w:val="32"/>
          <w:lang w:val="en-US"/>
        </w:rPr>
      </w:pPr>
      <w:r>
        <w:rPr>
          <w:rFonts w:ascii="仿宋_GB2312" w:eastAsia="仿宋_GB2312" w:cs="仿宋_GB2312"/>
          <w:sz w:val="32"/>
          <w:szCs w:val="32"/>
        </w:rPr>
        <w:t>2022</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13日</w:t>
      </w:r>
    </w:p>
    <w:p>
      <w:pPr>
        <w:rPr>
          <w:rFonts w:ascii="黑体" w:hAnsi="黑体" w:eastAsia="黑体" w:cs="Times New Roman"/>
          <w:sz w:val="32"/>
          <w:szCs w:val="32"/>
        </w:rPr>
      </w:pPr>
      <w:r>
        <w:rPr>
          <w:rFonts w:ascii="仿宋_GB2312" w:hAnsi="黑体" w:eastAsia="仿宋_GB2312" w:cs="Times New Roman"/>
          <w:sz w:val="32"/>
          <w:szCs w:val="32"/>
        </w:rPr>
        <w:br w:type="page"/>
      </w:r>
      <w:r>
        <w:rPr>
          <w:rFonts w:hint="eastAsia" w:ascii="黑体" w:hAnsi="黑体" w:eastAsia="黑体" w:cs="黑体"/>
          <w:sz w:val="32"/>
          <w:szCs w:val="32"/>
        </w:rPr>
        <w:t>附件</w:t>
      </w:r>
      <w:r>
        <w:rPr>
          <w:rFonts w:ascii="黑体" w:hAnsi="黑体" w:eastAsia="黑体" w:cs="黑体"/>
          <w:sz w:val="32"/>
          <w:szCs w:val="32"/>
        </w:rPr>
        <w:t>1</w:t>
      </w:r>
    </w:p>
    <w:p>
      <w:pPr>
        <w:jc w:val="center"/>
        <w:rPr>
          <w:rFonts w:ascii="方正小标宋简体" w:eastAsia="方正小标宋简体" w:cs="Times New Roman"/>
          <w:sz w:val="44"/>
          <w:szCs w:val="44"/>
        </w:rPr>
      </w:pPr>
      <w:r>
        <w:rPr>
          <w:rFonts w:hint="eastAsia" w:ascii="文星标宋" w:hAnsi="文星标宋" w:eastAsia="文星标宋" w:cs="文星标宋"/>
          <w:sz w:val="44"/>
          <w:szCs w:val="44"/>
        </w:rPr>
        <w:t>主动公开政府信息情况统计表</w:t>
      </w:r>
    </w:p>
    <w:tbl>
      <w:tblPr>
        <w:tblStyle w:val="7"/>
        <w:tblW w:w="8824" w:type="dxa"/>
        <w:tblInd w:w="-106"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Times New Roman"/>
                <w:color w:val="000000"/>
                <w:kern w:val="0"/>
              </w:rPr>
            </w:pPr>
            <w:r>
              <w:rPr>
                <w:rFonts w:hint="eastAsia" w:ascii="黑体" w:hAnsi="黑体" w:eastAsia="黑体" w:cs="黑体"/>
                <w:color w:val="000000"/>
                <w:kern w:val="0"/>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信息内容</w:t>
            </w:r>
          </w:p>
        </w:tc>
        <w:tc>
          <w:tcPr>
            <w:tcW w:w="2206" w:type="dxa"/>
            <w:tcBorders>
              <w:top w:val="nil"/>
              <w:left w:val="nil"/>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本年制发件数</w:t>
            </w:r>
          </w:p>
        </w:tc>
        <w:tc>
          <w:tcPr>
            <w:tcW w:w="2206" w:type="dxa"/>
            <w:tcBorders>
              <w:top w:val="nil"/>
              <w:left w:val="nil"/>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本年废止件数</w:t>
            </w:r>
          </w:p>
        </w:tc>
        <w:tc>
          <w:tcPr>
            <w:tcW w:w="2206" w:type="dxa"/>
            <w:tcBorders>
              <w:top w:val="nil"/>
              <w:left w:val="nil"/>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规章</w:t>
            </w:r>
          </w:p>
        </w:tc>
        <w:tc>
          <w:tcPr>
            <w:tcW w:w="2206" w:type="dxa"/>
            <w:tcBorders>
              <w:top w:val="nil"/>
              <w:left w:val="nil"/>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c>
          <w:tcPr>
            <w:tcW w:w="2206" w:type="dxa"/>
            <w:tcBorders>
              <w:top w:val="nil"/>
              <w:left w:val="nil"/>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c>
          <w:tcPr>
            <w:tcW w:w="2206" w:type="dxa"/>
            <w:tcBorders>
              <w:top w:val="nil"/>
              <w:left w:val="nil"/>
              <w:bottom w:val="single" w:color="auto" w:sz="8" w:space="0"/>
              <w:right w:val="single" w:color="auto" w:sz="8" w:space="0"/>
            </w:tcBorders>
            <w:vAlign w:val="center"/>
          </w:tcPr>
          <w:p>
            <w:pPr>
              <w:widowControl/>
              <w:jc w:val="left"/>
              <w:rPr>
                <w:rFonts w:ascii="??_GB2312" w:hAnsi="Calibri" w:eastAsia="Times New Roman" w:cs="Times New Roman"/>
                <w:color w:val="000000"/>
                <w:kern w:val="0"/>
              </w:rPr>
            </w:pPr>
            <w:r>
              <w:rPr>
                <w:rFonts w:ascii="??_GB2312" w:hAnsi="Calibri" w:eastAsia="Times New Roman" w:cs="Times New Roman"/>
                <w:color w:val="000000"/>
                <w:kern w:val="0"/>
              </w:rPr>
              <w:t>　</w:t>
            </w:r>
            <w:r>
              <w:rPr>
                <w:rFonts w:ascii="??_GB2312" w:hAnsi="Calibri" w:eastAsia="Times New Roman" w:cs="??_GB2312"/>
                <w:color w:val="000000"/>
                <w:kern w:val="0"/>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行政规范性文件</w:t>
            </w:r>
          </w:p>
        </w:tc>
        <w:tc>
          <w:tcPr>
            <w:tcW w:w="2206" w:type="dxa"/>
            <w:tcBorders>
              <w:top w:val="nil"/>
              <w:left w:val="nil"/>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c>
          <w:tcPr>
            <w:tcW w:w="2206" w:type="dxa"/>
            <w:tcBorders>
              <w:top w:val="nil"/>
              <w:left w:val="nil"/>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c>
          <w:tcPr>
            <w:tcW w:w="2206" w:type="dxa"/>
            <w:tcBorders>
              <w:top w:val="nil"/>
              <w:left w:val="nil"/>
              <w:bottom w:val="single" w:color="auto" w:sz="8" w:space="0"/>
              <w:right w:val="single" w:color="auto" w:sz="8" w:space="0"/>
            </w:tcBorders>
            <w:vAlign w:val="center"/>
          </w:tcPr>
          <w:p>
            <w:pPr>
              <w:widowControl/>
              <w:jc w:val="left"/>
              <w:rPr>
                <w:rFonts w:ascii="??_GB2312" w:hAnsi="Calibri" w:eastAsia="Times New Roman" w:cs="Times New Roman"/>
                <w:color w:val="000000"/>
                <w:kern w:val="0"/>
              </w:rPr>
            </w:pPr>
            <w:r>
              <w:rPr>
                <w:rFonts w:ascii="??_GB2312" w:hAnsi="Calibri" w:eastAsia="Times New Roman" w:cs="Times New Roman"/>
                <w:color w:val="000000"/>
                <w:kern w:val="0"/>
              </w:rPr>
              <w:t>　</w:t>
            </w:r>
            <w:r>
              <w:rPr>
                <w:rFonts w:ascii="??_GB2312" w:hAnsi="Calibri" w:eastAsia="Times New Roman" w:cs="??_GB2312"/>
                <w:color w:val="000000"/>
                <w:kern w:val="0"/>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Times New Roman"/>
                <w:color w:val="000000"/>
                <w:kern w:val="0"/>
              </w:rPr>
            </w:pPr>
            <w:r>
              <w:rPr>
                <w:rFonts w:hint="eastAsia" w:ascii="黑体" w:hAnsi="黑体" w:eastAsia="黑体" w:cs="黑体"/>
                <w:color w:val="000000"/>
                <w:kern w:val="0"/>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行政许可</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_GB2312" w:hAnsi="Calibri" w:eastAsia="Times New Roman" w:cs="Times New Roman"/>
                <w:color w:val="000000"/>
                <w:kern w:val="0"/>
              </w:rPr>
            </w:pPr>
            <w:r>
              <w:rPr>
                <w:rFonts w:ascii="??_GB2312" w:hAnsi="Calibri" w:eastAsia="Times New Roman" w:cs="Times New Roman"/>
                <w:color w:val="000000"/>
                <w:kern w:val="0"/>
              </w:rPr>
              <w:t>　</w:t>
            </w:r>
            <w:r>
              <w:rPr>
                <w:rFonts w:ascii="??_GB2312" w:hAnsi="Calibri" w:eastAsia="Times New Roman" w:cs="??_GB2312"/>
                <w:color w:val="000000"/>
                <w:kern w:val="0"/>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Times New Roman"/>
                <w:color w:val="000000"/>
                <w:kern w:val="0"/>
              </w:rPr>
            </w:pPr>
            <w:r>
              <w:rPr>
                <w:rFonts w:hint="eastAsia" w:ascii="黑体" w:hAnsi="黑体" w:eastAsia="黑体" w:cs="黑体"/>
                <w:color w:val="000000"/>
                <w:kern w:val="0"/>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行政处罚</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行政强制</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　</w:t>
            </w:r>
            <w:r>
              <w:rPr>
                <w:rFonts w:ascii="??_GB2312" w:hAnsi="宋体" w:eastAsia="Times New Roman" w:cs="??_GB2312"/>
                <w:color w:val="000000"/>
                <w:kern w:val="0"/>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Times New Roman"/>
                <w:color w:val="000000"/>
                <w:kern w:val="0"/>
              </w:rPr>
            </w:pPr>
            <w:r>
              <w:rPr>
                <w:rFonts w:hint="eastAsia" w:ascii="黑体" w:hAnsi="黑体" w:eastAsia="黑体" w:cs="黑体"/>
                <w:color w:val="000000"/>
                <w:kern w:val="0"/>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信息内容</w:t>
            </w:r>
          </w:p>
        </w:tc>
        <w:tc>
          <w:tcPr>
            <w:tcW w:w="6618" w:type="dxa"/>
            <w:gridSpan w:val="3"/>
            <w:tcBorders>
              <w:top w:val="single" w:color="auto" w:sz="8" w:space="0"/>
              <w:left w:val="nil"/>
              <w:bottom w:val="single" w:color="auto" w:sz="8" w:space="0"/>
              <w:right w:val="single" w:color="000000" w:sz="8" w:space="0"/>
            </w:tcBorders>
            <w:vAlign w:val="center"/>
          </w:tcPr>
          <w:p>
            <w:pPr>
              <w:widowControl/>
              <w:jc w:val="center"/>
              <w:rPr>
                <w:rFonts w:ascii="??_GB2312" w:hAnsi="宋体" w:eastAsia="Times New Roman" w:cs="Times New Roman"/>
                <w:color w:val="000000"/>
                <w:kern w:val="0"/>
              </w:rPr>
            </w:pPr>
            <w:r>
              <w:rPr>
                <w:rFonts w:ascii="??_GB2312" w:hAnsi="宋体" w:eastAsia="Times New Roman" w:cs="Times New Roman"/>
                <w:color w:val="000000"/>
                <w:kern w:val="0"/>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vAlign w:val="center"/>
          </w:tcPr>
          <w:p>
            <w:pPr>
              <w:widowControl/>
              <w:jc w:val="left"/>
              <w:rPr>
                <w:rFonts w:ascii="??_GB2312" w:hAnsi="宋体" w:eastAsia="Times New Roman" w:cs="Times New Roman"/>
                <w:color w:val="000000"/>
                <w:kern w:val="0"/>
              </w:rPr>
            </w:pPr>
            <w:r>
              <w:rPr>
                <w:rFonts w:ascii="??_GB2312" w:hAnsi="宋体" w:eastAsia="Times New Roman" w:cs="Times New Roman"/>
                <w:color w:val="000000"/>
                <w:kern w:val="0"/>
              </w:rPr>
              <w:t>行政事业性收费</w:t>
            </w:r>
          </w:p>
        </w:tc>
        <w:tc>
          <w:tcPr>
            <w:tcW w:w="6618" w:type="dxa"/>
            <w:gridSpan w:val="3"/>
            <w:tcBorders>
              <w:top w:val="single" w:color="auto" w:sz="8" w:space="0"/>
              <w:left w:val="nil"/>
              <w:bottom w:val="single" w:color="auto" w:sz="8" w:space="0"/>
              <w:right w:val="single" w:color="000000" w:sz="8" w:space="0"/>
            </w:tcBorders>
            <w:vAlign w:val="center"/>
          </w:tcPr>
          <w:p>
            <w:pPr>
              <w:widowControl/>
              <w:jc w:val="left"/>
              <w:rPr>
                <w:rFonts w:ascii="??_GB2312" w:hAnsi="Calibri" w:eastAsia="Times New Roman" w:cs="Times New Roman"/>
                <w:color w:val="000000"/>
                <w:kern w:val="0"/>
              </w:rPr>
            </w:pPr>
            <w:r>
              <w:rPr>
                <w:rFonts w:ascii="??_GB2312" w:hAnsi="Calibri" w:eastAsia="Times New Roman" w:cs="Times New Roman"/>
                <w:color w:val="000000"/>
                <w:kern w:val="0"/>
              </w:rPr>
              <w:t>　</w:t>
            </w:r>
            <w:r>
              <w:rPr>
                <w:rFonts w:ascii="??_GB2312" w:hAnsi="Calibri" w:eastAsia="Times New Roman" w:cs="??_GB2312"/>
                <w:color w:val="000000"/>
                <w:kern w:val="0"/>
              </w:rPr>
              <w:t>0</w:t>
            </w:r>
          </w:p>
        </w:tc>
      </w:tr>
    </w:tbl>
    <w:p>
      <w:pPr>
        <w:jc w:val="center"/>
        <w:rPr>
          <w:rFonts w:ascii="??_GB2312" w:eastAsia="Times New Roman" w:cs="Times New Roman"/>
          <w:sz w:val="32"/>
          <w:szCs w:val="32"/>
        </w:rPr>
      </w:pPr>
    </w:p>
    <w:p>
      <w:pPr>
        <w:rPr>
          <w:rFonts w:ascii="??_GB2312" w:eastAsia="Times New Roman" w:cs="Times New Roman"/>
          <w:sz w:val="32"/>
          <w:szCs w:val="32"/>
        </w:rPr>
      </w:pPr>
    </w:p>
    <w:p>
      <w:pPr>
        <w:ind w:firstLine="640" w:firstLineChars="200"/>
        <w:rPr>
          <w:rFonts w:ascii="??_GB2312" w:eastAsia="Times New Roman" w:cs="Times New Roman"/>
          <w:sz w:val="32"/>
          <w:szCs w:val="32"/>
        </w:rPr>
        <w:sectPr>
          <w:footerReference r:id="rId3" w:type="default"/>
          <w:pgSz w:w="11906" w:h="16838"/>
          <w:pgMar w:top="1440" w:right="1474" w:bottom="1440" w:left="1588" w:header="851" w:footer="992" w:gutter="0"/>
          <w:cols w:space="425" w:num="1"/>
          <w:docGrid w:type="lines" w:linePitch="312" w:charSpace="0"/>
        </w:sectPr>
      </w:pPr>
    </w:p>
    <w:p>
      <w:pPr>
        <w:rPr>
          <w:rFonts w:ascii="黑体" w:hAnsi="黑体" w:eastAsia="黑体" w:cs="Times New Roman"/>
          <w:sz w:val="32"/>
          <w:szCs w:val="32"/>
        </w:rPr>
      </w:pPr>
      <w:r>
        <w:rPr>
          <w:rFonts w:hint="eastAsia" w:ascii="黑体" w:hAnsi="黑体" w:eastAsia="黑体" w:cs="黑体"/>
          <w:sz w:val="32"/>
          <w:szCs w:val="32"/>
        </w:rPr>
        <w:t>附件</w:t>
      </w:r>
      <w:r>
        <w:rPr>
          <w:rFonts w:ascii="黑体" w:hAnsi="黑体" w:eastAsia="黑体" w:cs="黑体"/>
          <w:sz w:val="32"/>
          <w:szCs w:val="32"/>
        </w:rPr>
        <w:t>2</w:t>
      </w:r>
    </w:p>
    <w:p>
      <w:pPr>
        <w:jc w:val="center"/>
        <w:rPr>
          <w:rFonts w:ascii="文星标宋" w:hAnsi="文星标宋" w:eastAsia="文星标宋" w:cs="Times New Roman"/>
          <w:sz w:val="44"/>
          <w:szCs w:val="44"/>
        </w:rPr>
      </w:pPr>
      <w:r>
        <w:rPr>
          <w:rFonts w:hint="eastAsia" w:ascii="文星标宋" w:hAnsi="文星标宋" w:eastAsia="文星标宋" w:cs="文星标宋"/>
          <w:sz w:val="44"/>
          <w:szCs w:val="44"/>
        </w:rPr>
        <w:t>收到和处理政府信息公开申请情况</w:t>
      </w:r>
      <w:bookmarkStart w:id="1" w:name="_Hlk83814431"/>
      <w:r>
        <w:rPr>
          <w:rFonts w:hint="eastAsia" w:ascii="文星标宋" w:hAnsi="文星标宋" w:eastAsia="文星标宋" w:cs="文星标宋"/>
          <w:sz w:val="44"/>
          <w:szCs w:val="44"/>
        </w:rPr>
        <w:t>统计表</w:t>
      </w:r>
      <w:bookmarkEnd w:id="1"/>
    </w:p>
    <w:p>
      <w:pPr>
        <w:rPr>
          <w:rFonts w:ascii="??_GB2312" w:eastAsia="Times New Roman" w:cs="Times New Roman"/>
          <w:sz w:val="32"/>
          <w:szCs w:val="32"/>
        </w:rPr>
      </w:pP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tcBorders>
              <w:top w:val="single" w:color="auto" w:sz="8" w:space="0"/>
            </w:tcBorders>
            <w:tcMar>
              <w:left w:w="108" w:type="dxa"/>
              <w:right w:w="108" w:type="dxa"/>
            </w:tcMar>
            <w:vAlign w:val="center"/>
          </w:tcPr>
          <w:p>
            <w:pPr>
              <w:widowControl/>
              <w:jc w:val="center"/>
              <w:rPr>
                <w:rFonts w:ascii="楷体_GB2312" w:hAnsi="黑体" w:eastAsia="楷体_GB2312" w:cs="Times New Roman"/>
                <w:kern w:val="0"/>
              </w:rPr>
            </w:pPr>
            <w:r>
              <w:rPr>
                <w:rFonts w:hint="eastAsia" w:ascii="楷体_GB2312" w:hAnsi="黑体" w:eastAsia="楷体_GB2312" w:cs="楷体_GB2312"/>
                <w:kern w:val="0"/>
              </w:rPr>
              <w:t>（本列数据的勾稽关系为：第一项加第二项之和，</w:t>
            </w:r>
          </w:p>
          <w:p>
            <w:pPr>
              <w:widowControl/>
              <w:jc w:val="center"/>
              <w:rPr>
                <w:rFonts w:ascii="??_GB2312" w:hAnsi="Times New Roman" w:eastAsia="Times New Roman" w:cs="Times New Roman"/>
              </w:rPr>
            </w:pPr>
            <w:r>
              <w:rPr>
                <w:rFonts w:hint="eastAsia" w:ascii="楷体_GB2312" w:hAnsi="黑体" w:eastAsia="楷体_GB2312" w:cs="楷体_GB2312"/>
                <w:kern w:val="0"/>
              </w:rPr>
              <w:t>等于第三项加第四项之和）</w:t>
            </w:r>
          </w:p>
        </w:tc>
        <w:tc>
          <w:tcPr>
            <w:tcW w:w="4820" w:type="dxa"/>
            <w:gridSpan w:val="7"/>
            <w:tcBorders>
              <w:top w:val="single" w:color="auto" w:sz="8" w:space="0"/>
            </w:tcBorders>
            <w:tcMar>
              <w:left w:w="108" w:type="dxa"/>
              <w:right w:w="108" w:type="dxa"/>
            </w:tcMar>
            <w:vAlign w:val="center"/>
          </w:tcPr>
          <w:p>
            <w:pPr>
              <w:widowControl/>
              <w:spacing w:line="320" w:lineRule="exact"/>
              <w:jc w:val="center"/>
              <w:rPr>
                <w:rFonts w:ascii="黑体" w:hAnsi="黑体" w:eastAsia="黑体" w:cs="Times New Roman"/>
              </w:rPr>
            </w:pPr>
            <w:r>
              <w:rPr>
                <w:rFonts w:hint="eastAsia" w:ascii="黑体" w:hAnsi="黑体" w:eastAsia="黑体" w:cs="黑体"/>
                <w:kern w:val="0"/>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tcMar>
              <w:left w:w="108" w:type="dxa"/>
              <w:right w:w="108" w:type="dxa"/>
            </w:tcMar>
            <w:vAlign w:val="center"/>
          </w:tcPr>
          <w:p>
            <w:pPr>
              <w:jc w:val="center"/>
              <w:rPr>
                <w:rFonts w:ascii="??_GB2312" w:hAnsi="Times New Roman" w:eastAsia="Times New Roman" w:cs="Times New Roman"/>
              </w:rPr>
            </w:pPr>
          </w:p>
        </w:tc>
        <w:tc>
          <w:tcPr>
            <w:tcW w:w="829" w:type="dxa"/>
            <w:vMerge w:val="restart"/>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rPr>
              <w:t>自然人</w:t>
            </w:r>
          </w:p>
        </w:tc>
        <w:tc>
          <w:tcPr>
            <w:tcW w:w="3140" w:type="dxa"/>
            <w:gridSpan w:val="5"/>
            <w:tcMar>
              <w:left w:w="108" w:type="dxa"/>
              <w:right w:w="108" w:type="dxa"/>
            </w:tcMar>
            <w:vAlign w:val="center"/>
          </w:tcPr>
          <w:p>
            <w:pPr>
              <w:widowControl/>
              <w:spacing w:line="320" w:lineRule="exact"/>
              <w:jc w:val="center"/>
              <w:rPr>
                <w:rFonts w:ascii="黑体" w:hAnsi="黑体" w:eastAsia="黑体" w:cs="Times New Roman"/>
              </w:rPr>
            </w:pPr>
            <w:r>
              <w:rPr>
                <w:rFonts w:hint="eastAsia" w:ascii="黑体" w:hAnsi="黑体" w:eastAsia="黑体" w:cs="黑体"/>
                <w:kern w:val="0"/>
              </w:rPr>
              <w:t>法人或其他组织</w:t>
            </w:r>
          </w:p>
        </w:tc>
        <w:tc>
          <w:tcPr>
            <w:tcW w:w="851" w:type="dxa"/>
            <w:vMerge w:val="restart"/>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tcMar>
              <w:left w:w="108" w:type="dxa"/>
              <w:right w:w="108" w:type="dxa"/>
            </w:tcMar>
            <w:vAlign w:val="center"/>
          </w:tcPr>
          <w:p>
            <w:pPr>
              <w:jc w:val="center"/>
              <w:rPr>
                <w:rFonts w:ascii="??_GB2312" w:hAnsi="Times New Roman" w:eastAsia="Times New Roman" w:cs="Times New Roman"/>
              </w:rPr>
            </w:pPr>
          </w:p>
        </w:tc>
        <w:tc>
          <w:tcPr>
            <w:tcW w:w="829" w:type="dxa"/>
            <w:vMerge w:val="continue"/>
            <w:tcMar>
              <w:left w:w="108" w:type="dxa"/>
              <w:right w:w="108" w:type="dxa"/>
            </w:tcMar>
            <w:vAlign w:val="center"/>
          </w:tcPr>
          <w:p>
            <w:pPr>
              <w:jc w:val="center"/>
              <w:rPr>
                <w:rFonts w:ascii="黑体" w:hAnsi="黑体" w:eastAsia="黑体" w:cs="Times New Roman"/>
              </w:rPr>
            </w:pPr>
          </w:p>
        </w:tc>
        <w:tc>
          <w:tcPr>
            <w:tcW w:w="567" w:type="dxa"/>
            <w:tcMar>
              <w:left w:w="108" w:type="dxa"/>
              <w:right w:w="108" w:type="dxa"/>
            </w:tcMar>
            <w:vAlign w:val="center"/>
          </w:tcPr>
          <w:p>
            <w:pPr>
              <w:widowControl/>
              <w:spacing w:line="320" w:lineRule="exact"/>
              <w:ind w:left="-106" w:leftChars="-51" w:right="-107" w:rightChars="-51" w:hanging="1"/>
              <w:jc w:val="center"/>
              <w:rPr>
                <w:rFonts w:ascii="黑体" w:hAnsi="黑体" w:eastAsia="黑体" w:cs="Times New Roman"/>
              </w:rPr>
            </w:pPr>
            <w:r>
              <w:rPr>
                <w:rFonts w:hint="eastAsia" w:ascii="黑体" w:hAnsi="黑体" w:eastAsia="黑体" w:cs="黑体"/>
                <w:kern w:val="0"/>
              </w:rPr>
              <w:t>商业企业</w:t>
            </w:r>
          </w:p>
        </w:tc>
        <w:tc>
          <w:tcPr>
            <w:tcW w:w="567" w:type="dxa"/>
            <w:tcMar>
              <w:left w:w="108" w:type="dxa"/>
              <w:right w:w="108" w:type="dxa"/>
            </w:tcMar>
            <w:vAlign w:val="center"/>
          </w:tcPr>
          <w:p>
            <w:pPr>
              <w:widowControl/>
              <w:spacing w:line="320" w:lineRule="exact"/>
              <w:ind w:left="-107" w:leftChars="-51" w:right="-107" w:rightChars="-51"/>
              <w:jc w:val="center"/>
              <w:rPr>
                <w:rFonts w:ascii="黑体" w:hAnsi="黑体" w:eastAsia="黑体" w:cs="Times New Roman"/>
              </w:rPr>
            </w:pPr>
            <w:r>
              <w:rPr>
                <w:rFonts w:hint="eastAsia" w:ascii="黑体" w:hAnsi="黑体" w:eastAsia="黑体" w:cs="黑体"/>
                <w:kern w:val="0"/>
              </w:rPr>
              <w:t>科研机构</w:t>
            </w:r>
          </w:p>
        </w:tc>
        <w:tc>
          <w:tcPr>
            <w:tcW w:w="731" w:type="dxa"/>
            <w:tcMar>
              <w:left w:w="108" w:type="dxa"/>
              <w:right w:w="108" w:type="dxa"/>
            </w:tcMar>
            <w:vAlign w:val="center"/>
          </w:tcPr>
          <w:p>
            <w:pPr>
              <w:widowControl/>
              <w:spacing w:line="320" w:lineRule="exact"/>
              <w:ind w:left="-107" w:leftChars="-51" w:right="-107" w:rightChars="-51"/>
              <w:jc w:val="center"/>
              <w:rPr>
                <w:rFonts w:ascii="黑体" w:hAnsi="黑体" w:eastAsia="黑体" w:cs="Times New Roman"/>
              </w:rPr>
            </w:pPr>
            <w:r>
              <w:rPr>
                <w:rFonts w:hint="eastAsia" w:ascii="黑体" w:hAnsi="黑体" w:eastAsia="黑体" w:cs="黑体"/>
                <w:kern w:val="0"/>
              </w:rPr>
              <w:t>社会公益组织</w:t>
            </w:r>
          </w:p>
        </w:tc>
        <w:tc>
          <w:tcPr>
            <w:tcW w:w="708" w:type="dxa"/>
            <w:tcMar>
              <w:left w:w="108" w:type="dxa"/>
              <w:right w:w="108" w:type="dxa"/>
            </w:tcMar>
            <w:vAlign w:val="center"/>
          </w:tcPr>
          <w:p>
            <w:pPr>
              <w:widowControl/>
              <w:spacing w:line="320" w:lineRule="exact"/>
              <w:ind w:left="-106" w:leftChars="-51" w:right="-107" w:rightChars="-51" w:hanging="1"/>
              <w:jc w:val="center"/>
              <w:rPr>
                <w:rFonts w:ascii="黑体" w:hAnsi="黑体" w:eastAsia="黑体" w:cs="Times New Roman"/>
              </w:rPr>
            </w:pPr>
            <w:r>
              <w:rPr>
                <w:rFonts w:hint="eastAsia" w:ascii="黑体" w:hAnsi="黑体" w:eastAsia="黑体" w:cs="黑体"/>
                <w:kern w:val="0"/>
              </w:rPr>
              <w:t>法律服务机构</w:t>
            </w:r>
          </w:p>
        </w:tc>
        <w:tc>
          <w:tcPr>
            <w:tcW w:w="567" w:type="dxa"/>
            <w:tcMar>
              <w:left w:w="108" w:type="dxa"/>
              <w:right w:w="108" w:type="dxa"/>
            </w:tcMar>
            <w:vAlign w:val="center"/>
          </w:tcPr>
          <w:p>
            <w:pPr>
              <w:widowControl/>
              <w:spacing w:line="360" w:lineRule="exact"/>
              <w:ind w:left="-63" w:leftChars="-30" w:right="-134" w:rightChars="-64"/>
              <w:jc w:val="center"/>
              <w:rPr>
                <w:rFonts w:ascii="黑体" w:hAnsi="黑体" w:eastAsia="黑体" w:cs="Times New Roman"/>
              </w:rPr>
            </w:pPr>
            <w:r>
              <w:rPr>
                <w:rFonts w:hint="eastAsia" w:ascii="黑体" w:hAnsi="黑体" w:eastAsia="黑体" w:cs="黑体"/>
                <w:kern w:val="0"/>
              </w:rPr>
              <w:t>其他</w:t>
            </w:r>
          </w:p>
        </w:tc>
        <w:tc>
          <w:tcPr>
            <w:tcW w:w="851" w:type="dxa"/>
            <w:vMerge w:val="continue"/>
            <w:tcMar>
              <w:left w:w="108" w:type="dxa"/>
              <w:right w:w="108" w:type="dxa"/>
            </w:tcMar>
            <w:vAlign w:val="center"/>
          </w:tcPr>
          <w:p>
            <w:pPr>
              <w:jc w:val="center"/>
              <w:rPr>
                <w:rFonts w:ascii="??_GB2312" w:hAnsi="Times New Roman" w:eastAsia="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cs="Times New Roman"/>
              </w:rPr>
            </w:pPr>
            <w:r>
              <w:rPr>
                <w:rFonts w:hint="eastAsia" w:ascii="黑体" w:hAnsi="黑体" w:eastAsia="黑体" w:cs="黑体"/>
                <w:kern w:val="0"/>
              </w:rPr>
              <w:t>一、</w:t>
            </w:r>
            <w:bookmarkStart w:id="2" w:name="_Hlk66973412"/>
            <w:r>
              <w:rPr>
                <w:rFonts w:hint="eastAsia" w:ascii="黑体" w:hAnsi="黑体" w:eastAsia="黑体" w:cs="黑体"/>
                <w:kern w:val="0"/>
              </w:rPr>
              <w:t>本年新收政府信息公开申请数量</w:t>
            </w:r>
            <w:bookmarkEnd w:id="2"/>
          </w:p>
        </w:tc>
        <w:tc>
          <w:tcPr>
            <w:tcW w:w="829"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15</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Mar>
              <w:left w:w="108" w:type="dxa"/>
              <w:right w:w="108" w:type="dxa"/>
            </w:tcMar>
            <w:vAlign w:val="center"/>
          </w:tcPr>
          <w:p>
            <w:pPr>
              <w:widowControl/>
              <w:rPr>
                <w:rFonts w:ascii="黑体" w:hAnsi="黑体" w:eastAsia="黑体" w:cs="Times New Roman"/>
              </w:rPr>
            </w:pPr>
            <w:r>
              <w:rPr>
                <w:rFonts w:hint="eastAsia" w:ascii="黑体" w:hAnsi="黑体" w:eastAsia="黑体" w:cs="黑体"/>
                <w:kern w:val="0"/>
              </w:rPr>
              <w:t>二、上年结转政府信息公开申请数量</w:t>
            </w:r>
          </w:p>
        </w:tc>
        <w:tc>
          <w:tcPr>
            <w:tcW w:w="829"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tcMar>
              <w:left w:w="108" w:type="dxa"/>
              <w:right w:w="108" w:type="dxa"/>
            </w:tcMar>
            <w:vAlign w:val="center"/>
          </w:tcPr>
          <w:p>
            <w:pPr>
              <w:widowControl/>
              <w:spacing w:after="180"/>
              <w:rPr>
                <w:rFonts w:ascii="黑体" w:hAnsi="黑体" w:eastAsia="黑体" w:cs="Times New Roman"/>
              </w:rPr>
            </w:pPr>
            <w:r>
              <w:rPr>
                <w:rFonts w:hint="eastAsia" w:ascii="黑体" w:hAnsi="黑体" w:eastAsia="黑体" w:cs="黑体"/>
                <w:kern w:val="0"/>
              </w:rPr>
              <w:t>三、本年度办理结果</w:t>
            </w:r>
          </w:p>
        </w:tc>
        <w:tc>
          <w:tcPr>
            <w:tcW w:w="4677" w:type="dxa"/>
            <w:gridSpan w:val="2"/>
            <w:tcMar>
              <w:left w:w="108" w:type="dxa"/>
              <w:right w:w="108" w:type="dxa"/>
            </w:tcMar>
            <w:vAlign w:val="center"/>
          </w:tcPr>
          <w:p>
            <w:pPr>
              <w:widowControl/>
              <w:rPr>
                <w:rFonts w:ascii="黑体" w:hAnsi="黑体" w:eastAsia="黑体" w:cs="Times New Roman"/>
              </w:rPr>
            </w:pPr>
            <w:r>
              <w:rPr>
                <w:rFonts w:hint="eastAsia" w:ascii="黑体" w:hAnsi="黑体" w:eastAsia="黑体" w:cs="黑体"/>
                <w:kern w:val="0"/>
              </w:rPr>
              <w:t>（一）予以公开</w:t>
            </w:r>
          </w:p>
        </w:tc>
        <w:tc>
          <w:tcPr>
            <w:tcW w:w="829"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4677" w:type="dxa"/>
            <w:gridSpan w:val="2"/>
            <w:tcMar>
              <w:left w:w="108" w:type="dxa"/>
              <w:right w:w="108" w:type="dxa"/>
            </w:tcMar>
            <w:vAlign w:val="center"/>
          </w:tcPr>
          <w:p>
            <w:pPr>
              <w:widowControl/>
              <w:rPr>
                <w:rFonts w:ascii="黑体" w:hAnsi="黑体" w:eastAsia="黑体" w:cs="Times New Roman"/>
              </w:rPr>
            </w:pPr>
            <w:r>
              <w:rPr>
                <w:rFonts w:hint="eastAsia" w:ascii="黑体" w:hAnsi="黑体" w:eastAsia="黑体" w:cs="黑体"/>
                <w:kern w:val="0"/>
              </w:rPr>
              <w:t>（二）部分公开（</w:t>
            </w:r>
            <w:bookmarkStart w:id="3" w:name="_Hlk66973981"/>
            <w:r>
              <w:rPr>
                <w:rFonts w:hint="eastAsia" w:ascii="黑体" w:hAnsi="黑体" w:eastAsia="黑体" w:cs="黑体"/>
                <w:kern w:val="0"/>
              </w:rPr>
              <w:t>区分处理的，只计这一情形，不计其他情形</w:t>
            </w:r>
            <w:bookmarkEnd w:id="3"/>
            <w:r>
              <w:rPr>
                <w:rFonts w:hint="eastAsia" w:ascii="黑体" w:hAnsi="黑体" w:eastAsia="黑体" w:cs="黑体"/>
                <w:kern w:val="0"/>
              </w:rPr>
              <w:t>）</w:t>
            </w:r>
          </w:p>
        </w:tc>
        <w:tc>
          <w:tcPr>
            <w:tcW w:w="829"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cs="Times New Roman"/>
              </w:rPr>
            </w:pPr>
            <w:r>
              <w:rPr>
                <w:rFonts w:hint="eastAsia" w:ascii="黑体" w:hAnsi="黑体" w:eastAsia="黑体" w:cs="黑体"/>
                <w:kern w:val="0"/>
              </w:rPr>
              <w:t>（三）不予公开</w:t>
            </w: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1.</w:t>
            </w:r>
            <w:r>
              <w:rPr>
                <w:rFonts w:ascii="??_GB2312" w:hAnsi="黑体" w:eastAsia="Times New Roman" w:cs="Times New Roman"/>
                <w:kern w:val="0"/>
              </w:rPr>
              <w:t>属于国家秘密</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2.</w:t>
            </w:r>
            <w:bookmarkStart w:id="4" w:name="_Hlk66974104"/>
            <w:r>
              <w:rPr>
                <w:rFonts w:ascii="??_GB2312" w:hAnsi="黑体" w:eastAsia="Times New Roman" w:cs="Times New Roman"/>
                <w:kern w:val="0"/>
              </w:rPr>
              <w:t>其他法律行政法规禁止公开</w:t>
            </w:r>
            <w:bookmarkEnd w:id="4"/>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3.</w:t>
            </w:r>
            <w:r>
              <w:rPr>
                <w:rFonts w:ascii="??_GB2312" w:hAnsi="黑体" w:eastAsia="Times New Roman" w:cs="Times New Roman"/>
                <w:kern w:val="0"/>
              </w:rPr>
              <w:t>危及“三安全一稳定”</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4.</w:t>
            </w:r>
            <w:bookmarkStart w:id="5" w:name="_Hlk66974290"/>
            <w:r>
              <w:rPr>
                <w:rFonts w:ascii="??_GB2312" w:hAnsi="黑体" w:eastAsia="Times New Roman" w:cs="Times New Roman"/>
                <w:kern w:val="0"/>
              </w:rPr>
              <w:t>保护第三方合法权益</w:t>
            </w:r>
            <w:bookmarkEnd w:id="5"/>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5.</w:t>
            </w:r>
            <w:r>
              <w:rPr>
                <w:rFonts w:ascii="??_GB2312" w:hAnsi="黑体" w:eastAsia="Times New Roman" w:cs="Times New Roman"/>
                <w:kern w:val="0"/>
              </w:rPr>
              <w:t>属于三类内部事务信息</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6.</w:t>
            </w:r>
            <w:bookmarkStart w:id="6" w:name="_Hlk66974555"/>
            <w:r>
              <w:rPr>
                <w:rFonts w:ascii="??_GB2312" w:hAnsi="黑体" w:eastAsia="Times New Roman" w:cs="Times New Roman"/>
                <w:kern w:val="0"/>
              </w:rPr>
              <w:t>属于四类过程性信息</w:t>
            </w:r>
            <w:bookmarkEnd w:id="6"/>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7.</w:t>
            </w:r>
            <w:r>
              <w:rPr>
                <w:rFonts w:ascii="??_GB2312" w:hAnsi="黑体" w:eastAsia="Times New Roman" w:cs="Times New Roman"/>
                <w:kern w:val="0"/>
              </w:rPr>
              <w:t>属于行政执法案卷</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8.</w:t>
            </w:r>
            <w:bookmarkStart w:id="7" w:name="_Hlk66975211"/>
            <w:r>
              <w:rPr>
                <w:rFonts w:ascii="??_GB2312" w:hAnsi="黑体" w:eastAsia="Times New Roman" w:cs="Times New Roman"/>
                <w:kern w:val="0"/>
              </w:rPr>
              <w:t>属于行政查询事项</w:t>
            </w:r>
            <w:bookmarkEnd w:id="7"/>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cs="Times New Roman"/>
              </w:rPr>
            </w:pPr>
            <w:r>
              <w:rPr>
                <w:rFonts w:hint="eastAsia" w:ascii="黑体" w:hAnsi="黑体" w:eastAsia="黑体" w:cs="黑体"/>
                <w:kern w:val="0"/>
              </w:rPr>
              <w:t>（四）无法提供</w:t>
            </w: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1.</w:t>
            </w:r>
            <w:r>
              <w:rPr>
                <w:rFonts w:ascii="??_GB2312" w:hAnsi="黑体" w:eastAsia="Times New Roman" w:cs="Times New Roman"/>
                <w:kern w:val="0"/>
              </w:rPr>
              <w:t>本机关不掌握相关政府信息</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14</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ind w:left="-107" w:leftChars="-51"/>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2.</w:t>
            </w:r>
            <w:bookmarkStart w:id="8" w:name="_Hlk66975392"/>
            <w:r>
              <w:rPr>
                <w:rFonts w:ascii="??_GB2312" w:hAnsi="黑体" w:eastAsia="Times New Roman" w:cs="Times New Roman"/>
                <w:kern w:val="0"/>
              </w:rPr>
              <w:t>没有现成信息需要另行制作</w:t>
            </w:r>
            <w:bookmarkEnd w:id="8"/>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ind w:left="-107" w:leftChars="-51"/>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3.</w:t>
            </w:r>
            <w:bookmarkStart w:id="9" w:name="_Hlk66975466"/>
            <w:r>
              <w:rPr>
                <w:rFonts w:ascii="??_GB2312" w:hAnsi="黑体" w:eastAsia="Times New Roman" w:cs="Times New Roman"/>
                <w:kern w:val="0"/>
              </w:rPr>
              <w:t>补正后申请内容仍不明确</w:t>
            </w:r>
            <w:bookmarkEnd w:id="9"/>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restart"/>
            <w:tcMar>
              <w:left w:w="108" w:type="dxa"/>
              <w:right w:w="108" w:type="dxa"/>
            </w:tcMar>
            <w:vAlign w:val="center"/>
          </w:tcPr>
          <w:p>
            <w:pPr>
              <w:widowControl/>
              <w:spacing w:line="200" w:lineRule="exact"/>
              <w:ind w:left="-107" w:leftChars="-51"/>
              <w:rPr>
                <w:rFonts w:ascii="黑体" w:hAnsi="黑体" w:eastAsia="黑体" w:cs="Times New Roman"/>
              </w:rPr>
            </w:pPr>
            <w:r>
              <w:rPr>
                <w:rFonts w:hint="eastAsia" w:ascii="黑体" w:hAnsi="黑体" w:eastAsia="黑体" w:cs="黑体"/>
                <w:kern w:val="0"/>
              </w:rPr>
              <w:t>（五）不予处理</w:t>
            </w: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1.</w:t>
            </w:r>
            <w:bookmarkStart w:id="10" w:name="_Hlk66975537"/>
            <w:r>
              <w:rPr>
                <w:rFonts w:ascii="??_GB2312" w:hAnsi="黑体" w:eastAsia="Times New Roman" w:cs="Times New Roman"/>
                <w:kern w:val="0"/>
              </w:rPr>
              <w:t>信访举报投诉类申请</w:t>
            </w:r>
            <w:bookmarkEnd w:id="10"/>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kern w:val="0"/>
              </w:rPr>
            </w:pPr>
            <w:r>
              <w:rPr>
                <w:rFonts w:ascii="??_GB2312" w:hAnsi="黑体" w:eastAsia="Times New Roman" w:cs="??_GB2312"/>
                <w:kern w:val="0"/>
              </w:rPr>
              <w:t>2.</w:t>
            </w:r>
            <w:r>
              <w:rPr>
                <w:rFonts w:ascii="??_GB2312" w:hAnsi="黑体" w:eastAsia="Times New Roman" w:cs="Times New Roman"/>
                <w:kern w:val="0"/>
              </w:rPr>
              <w:t>重复申请</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1</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rPr>
            </w:pPr>
            <w:r>
              <w:rPr>
                <w:rFonts w:ascii="??_GB2312" w:hAnsi="黑体" w:eastAsia="Times New Roman" w:cs="??_GB2312"/>
                <w:kern w:val="0"/>
              </w:rPr>
              <w:t>3.</w:t>
            </w:r>
            <w:r>
              <w:rPr>
                <w:rFonts w:ascii="??_GB2312" w:hAnsi="黑体" w:eastAsia="Times New Roman" w:cs="Times New Roman"/>
                <w:kern w:val="0"/>
              </w:rPr>
              <w:t>要求提供公开出版物</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200" w:lineRule="exact"/>
              <w:rPr>
                <w:rFonts w:ascii="??_GB2312" w:hAnsi="黑体" w:eastAsia="Times New Roman" w:cs="Times New Roman"/>
              </w:rPr>
            </w:pPr>
            <w:r>
              <w:rPr>
                <w:rFonts w:ascii="??_GB2312" w:hAnsi="黑体" w:eastAsia="Times New Roman" w:cs="??_GB2312"/>
                <w:kern w:val="0"/>
              </w:rPr>
              <w:t>4.</w:t>
            </w:r>
            <w:r>
              <w:rPr>
                <w:rFonts w:ascii="??_GB2312" w:hAnsi="黑体" w:eastAsia="Times New Roman" w:cs="Times New Roman"/>
                <w:kern w:val="0"/>
              </w:rPr>
              <w:t>无正当理由大量反复申请</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spacing w:line="200" w:lineRule="exact"/>
              <w:rPr>
                <w:rFonts w:ascii="黑体" w:hAnsi="黑体" w:eastAsia="黑体" w:cs="Times New Roman"/>
              </w:rPr>
            </w:pPr>
          </w:p>
        </w:tc>
        <w:tc>
          <w:tcPr>
            <w:tcW w:w="2976" w:type="dxa"/>
            <w:tcMar>
              <w:left w:w="108" w:type="dxa"/>
              <w:right w:w="108" w:type="dxa"/>
            </w:tcMar>
            <w:vAlign w:val="center"/>
          </w:tcPr>
          <w:p>
            <w:pPr>
              <w:widowControl/>
              <w:spacing w:line="300" w:lineRule="exact"/>
              <w:rPr>
                <w:rFonts w:ascii="??_GB2312" w:hAnsi="黑体" w:eastAsia="Times New Roman" w:cs="Times New Roman"/>
                <w:kern w:val="0"/>
              </w:rPr>
            </w:pPr>
            <w:r>
              <w:rPr>
                <w:rFonts w:ascii="??_GB2312" w:hAnsi="黑体" w:eastAsia="Times New Roman" w:cs="??_GB2312"/>
                <w:kern w:val="0"/>
              </w:rPr>
              <w:t>5.</w:t>
            </w:r>
            <w:r>
              <w:rPr>
                <w:rFonts w:ascii="??_GB2312" w:hAnsi="黑体" w:eastAsia="Times New Roman" w:cs="Times New Roman"/>
                <w:kern w:val="0"/>
              </w:rPr>
              <w:t>要求行政机关确认或重新</w:t>
            </w:r>
          </w:p>
          <w:p>
            <w:pPr>
              <w:widowControl/>
              <w:spacing w:line="300" w:lineRule="exact"/>
              <w:ind w:firstLine="210" w:firstLineChars="100"/>
              <w:rPr>
                <w:rFonts w:ascii="??_GB2312" w:hAnsi="黑体" w:eastAsia="Times New Roman" w:cs="Times New Roman"/>
              </w:rPr>
            </w:pPr>
            <w:r>
              <w:rPr>
                <w:rFonts w:ascii="??_GB2312" w:hAnsi="黑体" w:eastAsia="Times New Roman" w:cs="Times New Roman"/>
                <w:kern w:val="0"/>
              </w:rPr>
              <w:t>出具已获取信息</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restart"/>
            <w:tcMar>
              <w:left w:w="108" w:type="dxa"/>
              <w:right w:w="108" w:type="dxa"/>
            </w:tcMar>
            <w:vAlign w:val="center"/>
          </w:tcPr>
          <w:p>
            <w:pPr>
              <w:widowControl/>
              <w:spacing w:line="300" w:lineRule="exact"/>
              <w:rPr>
                <w:rFonts w:ascii="黑体" w:hAnsi="黑体" w:eastAsia="黑体" w:cs="Times New Roman"/>
                <w:kern w:val="0"/>
              </w:rPr>
            </w:pPr>
            <w:r>
              <w:rPr>
                <w:rFonts w:hint="eastAsia" w:ascii="黑体" w:hAnsi="黑体" w:eastAsia="黑体" w:cs="黑体"/>
                <w:kern w:val="0"/>
              </w:rPr>
              <w:t>（六）其他处理</w:t>
            </w:r>
          </w:p>
        </w:tc>
        <w:tc>
          <w:tcPr>
            <w:tcW w:w="2976" w:type="dxa"/>
            <w:tcMar>
              <w:left w:w="108" w:type="dxa"/>
              <w:right w:w="108" w:type="dxa"/>
            </w:tcMar>
            <w:vAlign w:val="center"/>
          </w:tcPr>
          <w:p>
            <w:pPr>
              <w:widowControl/>
              <w:spacing w:line="300" w:lineRule="exact"/>
              <w:rPr>
                <w:rFonts w:ascii="??_GB2312" w:hAnsi="楷体" w:eastAsia="Times New Roman" w:cs="Times New Roman"/>
              </w:rPr>
            </w:pPr>
            <w:r>
              <w:rPr>
                <w:rFonts w:ascii="??_GB2312" w:hAnsi="楷体" w:eastAsia="Times New Roman" w:cs="??_GB2312"/>
              </w:rPr>
              <w:t>1.</w:t>
            </w:r>
            <w:r>
              <w:rPr>
                <w:rFonts w:ascii="??_GB2312" w:hAnsi="楷体" w:eastAsia="Times New Roman" w:cs="Times New Roman"/>
              </w:rPr>
              <w:t>申请人无正当理由逾期不补正、行政机关不再处理其政府信息公开申请</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widowControl/>
              <w:spacing w:line="300" w:lineRule="exact"/>
              <w:rPr>
                <w:rFonts w:ascii="黑体" w:hAnsi="黑体" w:eastAsia="黑体" w:cs="Times New Roman"/>
                <w:kern w:val="0"/>
              </w:rPr>
            </w:pPr>
          </w:p>
        </w:tc>
        <w:tc>
          <w:tcPr>
            <w:tcW w:w="2976" w:type="dxa"/>
            <w:tcMar>
              <w:left w:w="108" w:type="dxa"/>
              <w:right w:w="108" w:type="dxa"/>
            </w:tcMar>
            <w:vAlign w:val="center"/>
          </w:tcPr>
          <w:p>
            <w:pPr>
              <w:widowControl/>
              <w:spacing w:line="300" w:lineRule="exact"/>
              <w:rPr>
                <w:rFonts w:ascii="??_GB2312" w:hAnsi="黑体" w:eastAsia="Times New Roman" w:cs="Times New Roman"/>
                <w:kern w:val="0"/>
              </w:rPr>
            </w:pPr>
            <w:r>
              <w:rPr>
                <w:rFonts w:ascii="??_GB2312" w:hAnsi="楷体" w:eastAsia="Times New Roman" w:cs="??_GB2312"/>
              </w:rPr>
              <w:t>2.</w:t>
            </w:r>
            <w:r>
              <w:rPr>
                <w:rFonts w:ascii="??_GB2312" w:hAnsi="楷体" w:eastAsia="Times New Roman" w:cs="Times New Roman"/>
              </w:rPr>
              <w:t>申请人逾期未按收费通知要求缴纳费用、行政机关不再处理其政府信息公开申请</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1701" w:type="dxa"/>
            <w:vMerge w:val="continue"/>
            <w:tcMar>
              <w:left w:w="108" w:type="dxa"/>
              <w:right w:w="108" w:type="dxa"/>
            </w:tcMar>
            <w:vAlign w:val="center"/>
          </w:tcPr>
          <w:p>
            <w:pPr>
              <w:widowControl/>
              <w:spacing w:line="300" w:lineRule="exact"/>
              <w:rPr>
                <w:rFonts w:ascii="黑体" w:hAnsi="黑体" w:eastAsia="黑体" w:cs="Times New Roman"/>
                <w:kern w:val="0"/>
              </w:rPr>
            </w:pPr>
          </w:p>
        </w:tc>
        <w:tc>
          <w:tcPr>
            <w:tcW w:w="2976" w:type="dxa"/>
            <w:tcMar>
              <w:left w:w="108" w:type="dxa"/>
              <w:right w:w="108" w:type="dxa"/>
            </w:tcMar>
            <w:vAlign w:val="center"/>
          </w:tcPr>
          <w:p>
            <w:pPr>
              <w:widowControl/>
              <w:spacing w:line="300" w:lineRule="exact"/>
              <w:rPr>
                <w:rFonts w:ascii="??_GB2312" w:hAnsi="黑体" w:eastAsia="Times New Roman" w:cs="Times New Roman"/>
                <w:kern w:val="0"/>
              </w:rPr>
            </w:pPr>
            <w:r>
              <w:rPr>
                <w:rFonts w:ascii="??_GB2312" w:hAnsi="楷体" w:eastAsia="Times New Roman" w:cs="??_GB2312"/>
              </w:rPr>
              <w:t>3.</w:t>
            </w:r>
            <w:r>
              <w:rPr>
                <w:rFonts w:ascii="??_GB2312" w:hAnsi="楷体" w:eastAsia="Times New Roman" w:cs="Times New Roman"/>
              </w:rPr>
              <w:t>其他</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Mar>
              <w:left w:w="108" w:type="dxa"/>
              <w:right w:w="108" w:type="dxa"/>
            </w:tcMar>
            <w:vAlign w:val="center"/>
          </w:tcPr>
          <w:p>
            <w:pPr>
              <w:rPr>
                <w:rFonts w:ascii="黑体" w:hAnsi="黑体" w:eastAsia="黑体" w:cs="Times New Roman"/>
              </w:rPr>
            </w:pPr>
          </w:p>
        </w:tc>
        <w:tc>
          <w:tcPr>
            <w:tcW w:w="4677" w:type="dxa"/>
            <w:gridSpan w:val="2"/>
            <w:tcMar>
              <w:left w:w="108" w:type="dxa"/>
              <w:right w:w="108" w:type="dxa"/>
            </w:tcMar>
            <w:vAlign w:val="center"/>
          </w:tcPr>
          <w:p>
            <w:pPr>
              <w:widowControl/>
              <w:spacing w:line="300" w:lineRule="exact"/>
              <w:rPr>
                <w:rFonts w:ascii="黑体" w:hAnsi="黑体" w:eastAsia="黑体" w:cs="Times New Roman"/>
                <w:kern w:val="0"/>
              </w:rPr>
            </w:pPr>
            <w:r>
              <w:rPr>
                <w:rFonts w:hint="eastAsia" w:ascii="黑体" w:hAnsi="黑体" w:eastAsia="黑体" w:cs="黑体"/>
                <w:kern w:val="0"/>
              </w:rPr>
              <w:t>（七）总计</w:t>
            </w:r>
          </w:p>
        </w:tc>
        <w:tc>
          <w:tcPr>
            <w:tcW w:w="829"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15</w:t>
            </w:r>
          </w:p>
        </w:tc>
        <w:tc>
          <w:tcPr>
            <w:tcW w:w="567" w:type="dxa"/>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tcBorders>
              <w:bottom w:val="single" w:color="auto" w:sz="8" w:space="0"/>
            </w:tcBorders>
            <w:tcMar>
              <w:left w:w="108" w:type="dxa"/>
              <w:right w:w="108" w:type="dxa"/>
            </w:tcMar>
            <w:vAlign w:val="center"/>
          </w:tcPr>
          <w:p>
            <w:pPr>
              <w:widowControl/>
              <w:spacing w:line="300" w:lineRule="exact"/>
              <w:rPr>
                <w:rFonts w:ascii="黑体" w:hAnsi="黑体" w:eastAsia="黑体" w:cs="Times New Roman"/>
                <w:kern w:val="0"/>
              </w:rPr>
            </w:pPr>
            <w:r>
              <w:rPr>
                <w:rFonts w:hint="eastAsia" w:ascii="黑体" w:hAnsi="黑体" w:eastAsia="黑体" w:cs="黑体"/>
                <w:kern w:val="0"/>
              </w:rPr>
              <w:t>四、结转下年度继续办理</w:t>
            </w:r>
          </w:p>
        </w:tc>
        <w:tc>
          <w:tcPr>
            <w:tcW w:w="829" w:type="dxa"/>
            <w:tcBorders>
              <w:bottom w:val="single" w:color="auto" w:sz="8" w:space="0"/>
            </w:tcBorders>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Borders>
              <w:bottom w:val="single" w:color="auto" w:sz="8" w:space="0"/>
            </w:tcBorders>
            <w:tcMar>
              <w:left w:w="108" w:type="dxa"/>
              <w:right w:w="108" w:type="dxa"/>
            </w:tcMar>
            <w:vAlign w:val="center"/>
          </w:tcPr>
          <w:p>
            <w:pPr>
              <w:widowControl/>
              <w:spacing w:after="180" w:line="200" w:lineRule="exact"/>
              <w:jc w:val="center"/>
              <w:rPr>
                <w:rFonts w:ascii="??_GB2312" w:hAnsi="Times New Roman" w:eastAsia="Times New Roman" w:cs="Times New Roman"/>
              </w:rPr>
            </w:pPr>
            <w:r>
              <w:rPr>
                <w:rFonts w:ascii="??_GB2312" w:hAnsi="Times New Roman" w:eastAsia="Times New Roman" w:cs="??_GB2312"/>
              </w:rPr>
              <w:t>0</w:t>
            </w:r>
          </w:p>
        </w:tc>
        <w:tc>
          <w:tcPr>
            <w:tcW w:w="567" w:type="dxa"/>
            <w:tcBorders>
              <w:bottom w:val="single" w:color="auto" w:sz="8" w:space="0"/>
            </w:tcBorders>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31" w:type="dxa"/>
            <w:tcBorders>
              <w:bottom w:val="single" w:color="auto" w:sz="8" w:space="0"/>
            </w:tcBorders>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708" w:type="dxa"/>
            <w:tcBorders>
              <w:bottom w:val="single" w:color="auto" w:sz="8" w:space="0"/>
            </w:tcBorders>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567" w:type="dxa"/>
            <w:tcBorders>
              <w:bottom w:val="single" w:color="auto" w:sz="8" w:space="0"/>
            </w:tcBorders>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c>
          <w:tcPr>
            <w:tcW w:w="851" w:type="dxa"/>
            <w:tcBorders>
              <w:bottom w:val="single" w:color="auto" w:sz="8" w:space="0"/>
            </w:tcBorders>
            <w:tcMar>
              <w:left w:w="108" w:type="dxa"/>
              <w:right w:w="108" w:type="dxa"/>
            </w:tcMar>
            <w:vAlign w:val="center"/>
          </w:tcPr>
          <w:p>
            <w:pPr>
              <w:widowControl/>
              <w:spacing w:after="180"/>
              <w:jc w:val="center"/>
              <w:rPr>
                <w:rFonts w:ascii="??_GB2312" w:hAnsi="Times New Roman" w:eastAsia="Times New Roman" w:cs="Times New Roman"/>
              </w:rPr>
            </w:pPr>
            <w:r>
              <w:rPr>
                <w:rFonts w:ascii="??_GB2312" w:hAnsi="Times New Roman" w:eastAsia="Times New Roman" w:cs="??_GB2312"/>
              </w:rPr>
              <w:t>0</w:t>
            </w:r>
          </w:p>
        </w:tc>
      </w:tr>
    </w:tbl>
    <w:p>
      <w:pPr>
        <w:jc w:val="center"/>
        <w:rPr>
          <w:rFonts w:ascii="??_GB2312" w:eastAsia="Times New Roman" w:cs="Times New Roman"/>
          <w:sz w:val="32"/>
          <w:szCs w:val="32"/>
        </w:rPr>
      </w:pPr>
    </w:p>
    <w:p>
      <w:pPr>
        <w:ind w:firstLine="640" w:firstLineChars="200"/>
        <w:rPr>
          <w:rFonts w:ascii="??_GB2312" w:eastAsia="Times New Roman" w:cs="Times New Roman"/>
          <w:sz w:val="32"/>
          <w:szCs w:val="32"/>
        </w:rPr>
        <w:sectPr>
          <w:pgSz w:w="11906" w:h="16838"/>
          <w:pgMar w:top="1440" w:right="1474" w:bottom="1440" w:left="1588" w:header="851" w:footer="992" w:gutter="0"/>
          <w:cols w:space="425" w:num="1"/>
          <w:docGrid w:type="lines" w:linePitch="312" w:charSpace="0"/>
        </w:sectPr>
      </w:pPr>
    </w:p>
    <w:p>
      <w:pPr>
        <w:rPr>
          <w:rFonts w:ascii="黑体" w:hAnsi="黑体" w:eastAsia="黑体" w:cs="Times New Roman"/>
          <w:sz w:val="32"/>
          <w:szCs w:val="32"/>
        </w:rPr>
      </w:pPr>
      <w:r>
        <w:rPr>
          <w:rFonts w:hint="eastAsia" w:ascii="黑体" w:hAnsi="黑体" w:eastAsia="黑体" w:cs="黑体"/>
          <w:sz w:val="32"/>
          <w:szCs w:val="32"/>
        </w:rPr>
        <w:t>附件</w:t>
      </w:r>
      <w:r>
        <w:rPr>
          <w:rFonts w:ascii="黑体" w:hAnsi="黑体" w:eastAsia="黑体" w:cs="黑体"/>
          <w:sz w:val="32"/>
          <w:szCs w:val="32"/>
        </w:rPr>
        <w:t>3</w:t>
      </w:r>
    </w:p>
    <w:p>
      <w:pPr>
        <w:jc w:val="center"/>
        <w:rPr>
          <w:rFonts w:ascii="文星标宋" w:hAnsi="文星标宋" w:eastAsia="文星标宋" w:cs="Times New Roman"/>
          <w:sz w:val="44"/>
          <w:szCs w:val="44"/>
        </w:rPr>
      </w:pPr>
      <w:r>
        <w:rPr>
          <w:rFonts w:hint="eastAsia" w:ascii="文星标宋" w:hAnsi="文星标宋" w:eastAsia="文星标宋" w:cs="文星标宋"/>
          <w:sz w:val="44"/>
          <w:szCs w:val="44"/>
        </w:rPr>
        <w:t>因政府信息公开工作被申请行政复议、提起</w:t>
      </w:r>
    </w:p>
    <w:p>
      <w:pPr>
        <w:jc w:val="center"/>
        <w:rPr>
          <w:rFonts w:ascii="文星标宋" w:hAnsi="文星标宋" w:eastAsia="文星标宋" w:cs="Times New Roman"/>
          <w:sz w:val="44"/>
          <w:szCs w:val="44"/>
        </w:rPr>
      </w:pPr>
      <w:r>
        <w:rPr>
          <w:rFonts w:hint="eastAsia" w:ascii="文星标宋" w:hAnsi="文星标宋" w:eastAsia="文星标宋" w:cs="文星标宋"/>
          <w:sz w:val="44"/>
          <w:szCs w:val="44"/>
        </w:rPr>
        <w:t>行政诉讼情况统计表模板</w:t>
      </w:r>
    </w:p>
    <w:p>
      <w:pPr>
        <w:jc w:val="center"/>
        <w:rPr>
          <w:rFonts w:ascii="??_GB2312" w:eastAsia="Times New Roman" w:cs="Times New Roman"/>
          <w:sz w:val="32"/>
          <w:szCs w:val="32"/>
        </w:rPr>
      </w:pP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9" w:leftChars="-71" w:right="-170" w:rightChars="-81"/>
              <w:jc w:val="center"/>
              <w:rPr>
                <w:rFonts w:ascii="黑体" w:hAnsi="黑体" w:eastAsia="黑体" w:cs="Times New Roman"/>
                <w:kern w:val="0"/>
                <w:sz w:val="20"/>
                <w:szCs w:val="20"/>
              </w:rPr>
            </w:pPr>
            <w:r>
              <w:rPr>
                <w:rFonts w:hint="eastAsia" w:ascii="黑体" w:hAnsi="黑体" w:eastAsia="黑体" w:cs="黑体"/>
                <w:kern w:val="0"/>
                <w:sz w:val="20"/>
                <w:szCs w:val="20"/>
              </w:rPr>
              <w:t>结果</w:t>
            </w:r>
          </w:p>
          <w:p>
            <w:pPr>
              <w:widowControl/>
              <w:ind w:left="-149" w:leftChars="-71" w:right="-170" w:rightChars="-81"/>
              <w:jc w:val="center"/>
              <w:rPr>
                <w:rFonts w:ascii="黑体" w:hAnsi="黑体" w:eastAsia="黑体" w:cs="Times New Roman"/>
              </w:rPr>
            </w:pPr>
            <w:r>
              <w:rPr>
                <w:rFonts w:hint="eastAsia" w:ascii="黑体" w:hAnsi="黑体" w:eastAsia="黑体" w:cs="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3" w:leftChars="-21" w:right="-132" w:rightChars="-63" w:hanging="1"/>
              <w:jc w:val="center"/>
              <w:rPr>
                <w:rFonts w:ascii="黑体" w:hAnsi="黑体" w:eastAsia="黑体" w:cs="Times New Roman"/>
              </w:rPr>
            </w:pPr>
            <w:r>
              <w:rPr>
                <w:rFonts w:hint="eastAsia" w:ascii="黑体" w:hAnsi="黑体" w:eastAsia="黑体" w:cs="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82" w:leftChars="-39" w:right="-97" w:rightChars="-46"/>
              <w:jc w:val="center"/>
              <w:rPr>
                <w:rFonts w:ascii="黑体" w:hAnsi="黑体" w:eastAsia="黑体" w:cs="Times New Roman"/>
              </w:rPr>
            </w:pPr>
            <w:r>
              <w:rPr>
                <w:rFonts w:hint="eastAsia" w:ascii="黑体" w:hAnsi="黑体" w:eastAsia="黑体" w:cs="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8" w:leftChars="-56" w:right="-118" w:rightChars="-56"/>
              <w:jc w:val="center"/>
              <w:rPr>
                <w:rFonts w:ascii="黑体" w:hAnsi="黑体" w:eastAsia="黑体" w:cs="Times New Roman"/>
                <w:kern w:val="0"/>
                <w:sz w:val="20"/>
                <w:szCs w:val="20"/>
              </w:rPr>
            </w:pPr>
            <w:r>
              <w:rPr>
                <w:rFonts w:hint="eastAsia" w:ascii="黑体" w:hAnsi="黑体" w:eastAsia="黑体" w:cs="黑体"/>
                <w:kern w:val="0"/>
                <w:sz w:val="20"/>
                <w:szCs w:val="20"/>
              </w:rPr>
              <w:t>尚未</w:t>
            </w:r>
          </w:p>
          <w:p>
            <w:pPr>
              <w:widowControl/>
              <w:ind w:left="-118" w:leftChars="-56" w:right="-118" w:rightChars="-56"/>
              <w:jc w:val="center"/>
              <w:rPr>
                <w:rFonts w:ascii="黑体" w:hAnsi="黑体" w:eastAsia="黑体" w:cs="Times New Roman"/>
              </w:rPr>
            </w:pPr>
            <w:r>
              <w:rPr>
                <w:rFonts w:hint="eastAsia" w:ascii="黑体" w:hAnsi="黑体" w:eastAsia="黑体" w:cs="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cs="Times New Roman"/>
                <w:kern w:val="0"/>
                <w:sz w:val="20"/>
                <w:szCs w:val="20"/>
              </w:rPr>
            </w:pPr>
            <w:r>
              <w:rPr>
                <w:rFonts w:hint="eastAsia" w:ascii="黑体" w:hAnsi="黑体" w:eastAsia="黑体" w:cs="黑体"/>
                <w:kern w:val="0"/>
                <w:sz w:val="20"/>
                <w:szCs w:val="20"/>
              </w:rPr>
              <w:t>总</w:t>
            </w:r>
          </w:p>
          <w:p>
            <w:pPr>
              <w:widowControl/>
              <w:spacing w:line="320" w:lineRule="exact"/>
              <w:jc w:val="center"/>
              <w:rPr>
                <w:rFonts w:ascii="黑体" w:hAnsi="黑体" w:eastAsia="黑体" w:cs="Times New Roman"/>
              </w:rPr>
            </w:pPr>
            <w:r>
              <w:rPr>
                <w:rFonts w:hint="eastAsia" w:ascii="黑体" w:hAnsi="黑体" w:eastAsia="黑体" w:cs="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bookmarkStart w:id="11" w:name="_Hlk67039688"/>
            <w:r>
              <w:rPr>
                <w:rFonts w:hint="eastAsia" w:ascii="黑体" w:hAnsi="黑体" w:eastAsia="黑体" w:cs="黑体"/>
                <w:kern w:val="0"/>
                <w:sz w:val="20"/>
                <w:szCs w:val="20"/>
              </w:rPr>
              <w:t>复议后起诉</w:t>
            </w:r>
            <w:bookmarkEnd w:id="11"/>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cs="Times New Roman"/>
                <w:sz w:val="24"/>
                <w:szCs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cs="Times New Roman"/>
                <w:sz w:val="24"/>
                <w:szCs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s="Times New Roman"/>
                <w:sz w:val="24"/>
                <w:szCs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s="Times New Roman"/>
                <w:sz w:val="24"/>
                <w:szCs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cs="Times New Roman"/>
                <w:sz w:val="24"/>
                <w:szCs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5" w:leftChars="-50" w:right="-126" w:rightChars="-60"/>
              <w:jc w:val="center"/>
              <w:rPr>
                <w:rFonts w:ascii="黑体" w:hAnsi="黑体" w:eastAsia="黑体" w:cs="Times New Roman"/>
              </w:rPr>
            </w:pPr>
            <w:r>
              <w:rPr>
                <w:rFonts w:hint="eastAsia" w:ascii="黑体" w:hAnsi="黑体" w:eastAsia="黑体" w:cs="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6" w:leftChars="-41" w:right="-88" w:rightChars="-42"/>
              <w:jc w:val="center"/>
              <w:rPr>
                <w:rFonts w:ascii="黑体" w:hAnsi="黑体" w:eastAsia="黑体" w:cs="Times New Roman"/>
              </w:rPr>
            </w:pPr>
            <w:r>
              <w:rPr>
                <w:rFonts w:hint="eastAsia" w:ascii="黑体" w:hAnsi="黑体" w:eastAsia="黑体" w:cs="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6" w:leftChars="-60" w:right="-136" w:rightChars="-65"/>
              <w:jc w:val="center"/>
              <w:rPr>
                <w:rFonts w:ascii="黑体" w:hAnsi="黑体" w:eastAsia="黑体" w:cs="Times New Roman"/>
                <w:kern w:val="0"/>
                <w:sz w:val="20"/>
                <w:szCs w:val="20"/>
              </w:rPr>
            </w:pPr>
            <w:r>
              <w:rPr>
                <w:rFonts w:hint="eastAsia" w:ascii="黑体" w:hAnsi="黑体" w:eastAsia="黑体" w:cs="黑体"/>
                <w:kern w:val="0"/>
                <w:sz w:val="20"/>
                <w:szCs w:val="20"/>
              </w:rPr>
              <w:t>其他</w:t>
            </w:r>
          </w:p>
          <w:p>
            <w:pPr>
              <w:widowControl/>
              <w:ind w:left="-126" w:leftChars="-60" w:right="-136" w:rightChars="-65"/>
              <w:jc w:val="center"/>
              <w:rPr>
                <w:rFonts w:ascii="黑体" w:hAnsi="黑体" w:eastAsia="黑体" w:cs="Times New Roman"/>
              </w:rPr>
            </w:pPr>
            <w:r>
              <w:rPr>
                <w:rFonts w:hint="eastAsia" w:ascii="黑体" w:hAnsi="黑体" w:eastAsia="黑体" w:cs="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4" w:leftChars="-78" w:right="-153" w:rightChars="-73"/>
              <w:jc w:val="center"/>
              <w:rPr>
                <w:rFonts w:ascii="黑体" w:hAnsi="黑体" w:eastAsia="黑体" w:cs="Times New Roman"/>
                <w:kern w:val="0"/>
                <w:sz w:val="20"/>
                <w:szCs w:val="20"/>
              </w:rPr>
            </w:pPr>
            <w:r>
              <w:rPr>
                <w:rFonts w:hint="eastAsia" w:ascii="黑体" w:hAnsi="黑体" w:eastAsia="黑体" w:cs="黑体"/>
                <w:kern w:val="0"/>
                <w:sz w:val="20"/>
                <w:szCs w:val="20"/>
              </w:rPr>
              <w:t>尚未</w:t>
            </w:r>
          </w:p>
          <w:p>
            <w:pPr>
              <w:widowControl/>
              <w:ind w:left="-164" w:leftChars="-78" w:right="-153" w:rightChars="-73"/>
              <w:jc w:val="center"/>
              <w:rPr>
                <w:rFonts w:ascii="黑体" w:hAnsi="黑体" w:eastAsia="黑体" w:cs="Times New Roman"/>
              </w:rPr>
            </w:pPr>
            <w:r>
              <w:rPr>
                <w:rFonts w:hint="eastAsia" w:ascii="黑体" w:hAnsi="黑体" w:eastAsia="黑体" w:cs="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9" w:leftChars="-47" w:right="-78" w:rightChars="-37"/>
              <w:jc w:val="center"/>
              <w:rPr>
                <w:rFonts w:ascii="黑体" w:hAnsi="黑体" w:eastAsia="黑体" w:cs="Times New Roman"/>
              </w:rPr>
            </w:pPr>
            <w:r>
              <w:rPr>
                <w:rFonts w:hint="eastAsia" w:ascii="黑体" w:hAnsi="黑体" w:eastAsia="黑体" w:cs="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6" w:leftChars="-65" w:right="-124" w:rightChars="-59"/>
              <w:jc w:val="center"/>
              <w:rPr>
                <w:rFonts w:ascii="黑体" w:hAnsi="黑体" w:eastAsia="黑体" w:cs="Times New Roman"/>
                <w:kern w:val="0"/>
                <w:sz w:val="20"/>
                <w:szCs w:val="20"/>
              </w:rPr>
            </w:pPr>
            <w:r>
              <w:rPr>
                <w:rFonts w:hint="eastAsia" w:ascii="黑体" w:hAnsi="黑体" w:eastAsia="黑体" w:cs="黑体"/>
                <w:kern w:val="0"/>
                <w:sz w:val="20"/>
                <w:szCs w:val="20"/>
              </w:rPr>
              <w:t>结果</w:t>
            </w:r>
          </w:p>
          <w:p>
            <w:pPr>
              <w:widowControl/>
              <w:ind w:left="-136" w:leftChars="-65" w:right="-124" w:rightChars="-59"/>
              <w:jc w:val="center"/>
              <w:rPr>
                <w:rFonts w:ascii="黑体" w:hAnsi="黑体" w:eastAsia="黑体" w:cs="Times New Roman"/>
              </w:rPr>
            </w:pPr>
            <w:r>
              <w:rPr>
                <w:rFonts w:hint="eastAsia" w:ascii="黑体" w:hAnsi="黑体" w:eastAsia="黑体" w:cs="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73" w:leftChars="-83" w:right="-134" w:rightChars="-64" w:hanging="1"/>
              <w:jc w:val="center"/>
              <w:rPr>
                <w:rFonts w:ascii="黑体" w:hAnsi="黑体" w:eastAsia="黑体" w:cs="Times New Roman"/>
                <w:kern w:val="0"/>
                <w:sz w:val="20"/>
                <w:szCs w:val="20"/>
              </w:rPr>
            </w:pPr>
            <w:r>
              <w:rPr>
                <w:rFonts w:hint="eastAsia" w:ascii="黑体" w:hAnsi="黑体" w:eastAsia="黑体" w:cs="黑体"/>
                <w:kern w:val="0"/>
                <w:sz w:val="20"/>
                <w:szCs w:val="20"/>
              </w:rPr>
              <w:t>其他</w:t>
            </w:r>
          </w:p>
          <w:p>
            <w:pPr>
              <w:widowControl/>
              <w:ind w:left="-173" w:leftChars="-83" w:right="-134" w:rightChars="-64" w:hanging="1"/>
              <w:jc w:val="center"/>
              <w:rPr>
                <w:rFonts w:ascii="黑体" w:hAnsi="黑体" w:eastAsia="黑体" w:cs="Times New Roman"/>
              </w:rPr>
            </w:pPr>
            <w:r>
              <w:rPr>
                <w:rFonts w:hint="eastAsia" w:ascii="黑体" w:hAnsi="黑体" w:eastAsia="黑体" w:cs="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7" w:leftChars="-33" w:right="-105" w:rightChars="-50" w:hanging="2" w:hangingChars="1"/>
              <w:jc w:val="center"/>
              <w:rPr>
                <w:rFonts w:ascii="黑体" w:hAnsi="黑体" w:eastAsia="黑体" w:cs="Times New Roman"/>
              </w:rPr>
            </w:pPr>
            <w:r>
              <w:rPr>
                <w:rFonts w:hint="eastAsia" w:ascii="黑体" w:hAnsi="黑体" w:eastAsia="黑体" w:cs="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cs="Times New Roman"/>
              </w:rPr>
            </w:pPr>
            <w:r>
              <w:rPr>
                <w:rFonts w:hint="eastAsia" w:ascii="黑体" w:hAnsi="黑体" w:eastAsia="黑体" w:cs="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3</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3</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rPr>
                <w:rFonts w:ascii="Times New Roman" w:hAnsi="Times New Roman" w:cs="Times New Roman"/>
              </w:rPr>
            </w:pPr>
            <w:r>
              <w:rPr>
                <w:rFonts w:ascii="Times New Roman" w:hAnsi="Times New Roman" w:cs="Times New Roman"/>
              </w:rPr>
              <w:t>4</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1</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cs="Times New Roman"/>
              </w:rPr>
            </w:pPr>
            <w:r>
              <w:rPr>
                <w:rFonts w:ascii="Times New Roman" w:hAnsi="Times New Roman" w:cs="Times New Roman"/>
              </w:rPr>
              <w:t>5</w:t>
            </w:r>
          </w:p>
        </w:tc>
      </w:tr>
    </w:tbl>
    <w:p>
      <w:pPr>
        <w:jc w:val="center"/>
        <w:rPr>
          <w:rFonts w:ascii="??_GB2312" w:eastAsia="Times New Roman" w:cs="Times New Roman"/>
          <w:sz w:val="32"/>
          <w:szCs w:val="32"/>
        </w:rPr>
      </w:pPr>
    </w:p>
    <w:p>
      <w:pPr>
        <w:ind w:firstLine="640" w:firstLineChars="200"/>
        <w:rPr>
          <w:rFonts w:ascii="??_GB2312" w:eastAsia="Times New Roman" w:cs="Times New Roman"/>
          <w:sz w:val="32"/>
          <w:szCs w:val="32"/>
        </w:rPr>
      </w:pPr>
    </w:p>
    <w:sectPr>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enlo">
    <w:altName w:val="Segoe Print"/>
    <w:panose1 w:val="00000000000000000000"/>
    <w:charset w:val="00"/>
    <w:family w:val="auto"/>
    <w:pitch w:val="default"/>
    <w:sig w:usb0="00000000" w:usb1="00000000" w:usb2="00000000" w:usb3="00000000" w:csb0="00000001" w:csb1="00000000"/>
  </w:font>
  <w:font w:name="文星标宋">
    <w:panose1 w:val="02010604000101010101"/>
    <w:charset w:val="86"/>
    <w:family w:val="auto"/>
    <w:pitch w:val="default"/>
    <w:sig w:usb0="00000001" w:usb1="080E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eastAsia="宋体" w:cs="Times New Roman"/>
        <w:sz w:val="28"/>
        <w:szCs w:val="28"/>
      </w:rP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snapToGrid w:val="0"/>
                  <w:rPr>
                    <w:rFonts w:eastAsia="宋体" w:cs="Times New Roman"/>
                    <w:sz w:val="18"/>
                    <w:szCs w:val="18"/>
                  </w:rPr>
                </w:pPr>
                <w:r>
                  <w:rPr>
                    <w:rFonts w:eastAsia="宋体"/>
                  </w:rPr>
                  <w:fldChar w:fldCharType="begin"/>
                </w:r>
                <w:r>
                  <w:rPr>
                    <w:rFonts w:eastAsia="宋体"/>
                  </w:rPr>
                  <w:instrText xml:space="preserve"> PAGE  \* MERGEFORMAT </w:instrText>
                </w:r>
                <w:r>
                  <w:rPr>
                    <w:rFonts w:eastAsia="宋体"/>
                  </w:rPr>
                  <w:fldChar w:fldCharType="separate"/>
                </w:r>
                <w:r>
                  <w:t>1</w:t>
                </w:r>
                <w:r>
                  <w:rPr>
                    <w:rFonts w:eastAsia="宋体"/>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2C34"/>
    <w:rsid w:val="0003350B"/>
    <w:rsid w:val="000500B1"/>
    <w:rsid w:val="000572E3"/>
    <w:rsid w:val="0006512C"/>
    <w:rsid w:val="000A57BF"/>
    <w:rsid w:val="000B4F9F"/>
    <w:rsid w:val="000C1FDA"/>
    <w:rsid w:val="000D2628"/>
    <w:rsid w:val="000E3F05"/>
    <w:rsid w:val="00121655"/>
    <w:rsid w:val="00123E53"/>
    <w:rsid w:val="0014619B"/>
    <w:rsid w:val="001679FF"/>
    <w:rsid w:val="00180B4F"/>
    <w:rsid w:val="00196721"/>
    <w:rsid w:val="001F026B"/>
    <w:rsid w:val="00203F15"/>
    <w:rsid w:val="00211F6A"/>
    <w:rsid w:val="00226BF9"/>
    <w:rsid w:val="00243BAF"/>
    <w:rsid w:val="00286BF3"/>
    <w:rsid w:val="00291447"/>
    <w:rsid w:val="002B58BB"/>
    <w:rsid w:val="00315DDF"/>
    <w:rsid w:val="00333740"/>
    <w:rsid w:val="00361F95"/>
    <w:rsid w:val="00364959"/>
    <w:rsid w:val="00372E47"/>
    <w:rsid w:val="00384B12"/>
    <w:rsid w:val="00392DAD"/>
    <w:rsid w:val="00394492"/>
    <w:rsid w:val="003C1943"/>
    <w:rsid w:val="004162E7"/>
    <w:rsid w:val="00456D16"/>
    <w:rsid w:val="00460A34"/>
    <w:rsid w:val="00463EF5"/>
    <w:rsid w:val="00480DD0"/>
    <w:rsid w:val="004958CF"/>
    <w:rsid w:val="004A6246"/>
    <w:rsid w:val="004D3C2B"/>
    <w:rsid w:val="004D6D24"/>
    <w:rsid w:val="00502C34"/>
    <w:rsid w:val="00515416"/>
    <w:rsid w:val="00531FBB"/>
    <w:rsid w:val="00532CA4"/>
    <w:rsid w:val="00552F1D"/>
    <w:rsid w:val="00552FAA"/>
    <w:rsid w:val="005548EB"/>
    <w:rsid w:val="005A79A5"/>
    <w:rsid w:val="00612182"/>
    <w:rsid w:val="00683E94"/>
    <w:rsid w:val="006B5301"/>
    <w:rsid w:val="006E2A67"/>
    <w:rsid w:val="00720EAC"/>
    <w:rsid w:val="00760120"/>
    <w:rsid w:val="007E43CD"/>
    <w:rsid w:val="008142F7"/>
    <w:rsid w:val="008244CB"/>
    <w:rsid w:val="00836506"/>
    <w:rsid w:val="00846109"/>
    <w:rsid w:val="00851E51"/>
    <w:rsid w:val="008A46A9"/>
    <w:rsid w:val="008C68B1"/>
    <w:rsid w:val="00905984"/>
    <w:rsid w:val="009132C7"/>
    <w:rsid w:val="009229B9"/>
    <w:rsid w:val="00923DE3"/>
    <w:rsid w:val="00927CCE"/>
    <w:rsid w:val="009443C4"/>
    <w:rsid w:val="00990BC0"/>
    <w:rsid w:val="009D1EAC"/>
    <w:rsid w:val="009E1864"/>
    <w:rsid w:val="00A00D22"/>
    <w:rsid w:val="00A930E0"/>
    <w:rsid w:val="00A9562B"/>
    <w:rsid w:val="00AC0838"/>
    <w:rsid w:val="00AC0B55"/>
    <w:rsid w:val="00AF41E9"/>
    <w:rsid w:val="00B0360E"/>
    <w:rsid w:val="00B06CEF"/>
    <w:rsid w:val="00B44E22"/>
    <w:rsid w:val="00B75D7F"/>
    <w:rsid w:val="00B82BD5"/>
    <w:rsid w:val="00B846A3"/>
    <w:rsid w:val="00BA1959"/>
    <w:rsid w:val="00BB1402"/>
    <w:rsid w:val="00BD1F13"/>
    <w:rsid w:val="00BD2DFA"/>
    <w:rsid w:val="00BD6294"/>
    <w:rsid w:val="00BF2ADA"/>
    <w:rsid w:val="00BF2FF7"/>
    <w:rsid w:val="00BF587E"/>
    <w:rsid w:val="00C106D4"/>
    <w:rsid w:val="00C24C5F"/>
    <w:rsid w:val="00C436A1"/>
    <w:rsid w:val="00C74995"/>
    <w:rsid w:val="00CA2A1F"/>
    <w:rsid w:val="00CE332F"/>
    <w:rsid w:val="00D206E1"/>
    <w:rsid w:val="00D26E8C"/>
    <w:rsid w:val="00DB07DD"/>
    <w:rsid w:val="00DD7168"/>
    <w:rsid w:val="00DF3523"/>
    <w:rsid w:val="00DF7D80"/>
    <w:rsid w:val="00E42853"/>
    <w:rsid w:val="00E620CA"/>
    <w:rsid w:val="00EA0B0D"/>
    <w:rsid w:val="00ED0919"/>
    <w:rsid w:val="00ED6193"/>
    <w:rsid w:val="00ED6874"/>
    <w:rsid w:val="00ED698F"/>
    <w:rsid w:val="00EE7943"/>
    <w:rsid w:val="00EF1E97"/>
    <w:rsid w:val="00F01622"/>
    <w:rsid w:val="00F03027"/>
    <w:rsid w:val="00F07CC4"/>
    <w:rsid w:val="00F42818"/>
    <w:rsid w:val="00F57A9C"/>
    <w:rsid w:val="00F7173D"/>
    <w:rsid w:val="00F90155"/>
    <w:rsid w:val="00FB2FB6"/>
    <w:rsid w:val="00FC01CB"/>
    <w:rsid w:val="00FF3FF5"/>
    <w:rsid w:val="00FF65C3"/>
    <w:rsid w:val="052C65EB"/>
    <w:rsid w:val="204E4737"/>
    <w:rsid w:val="21A02294"/>
    <w:rsid w:val="257C0C0C"/>
    <w:rsid w:val="3C787E8C"/>
    <w:rsid w:val="417F7F40"/>
    <w:rsid w:val="43B5082E"/>
    <w:rsid w:val="47A72388"/>
    <w:rsid w:val="55740C42"/>
    <w:rsid w:val="55BB40D7"/>
    <w:rsid w:val="601C5E1C"/>
    <w:rsid w:val="672719BF"/>
    <w:rsid w:val="6EB97ECE"/>
    <w:rsid w:val="702664A8"/>
    <w:rsid w:val="7273025B"/>
    <w:rsid w:val="7B234B43"/>
    <w:rsid w:val="7D5A1AB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name="Normal (Web)" w:locked="1"/>
    <w:lsdException w:uiPriority="99" w:name="HTML Acronym" w:locked="1"/>
    <w:lsdException w:uiPriority="99" w:name="HTML Address" w:locked="1"/>
    <w:lsdException w:uiPriority="99" w:name="HTML Cite" w:locked="1"/>
    <w:lsdException w:unhideWhenUsed="0" w:uiPriority="99" w:semiHidden="0" w:name="HTML Code"/>
    <w:lsdException w:unhideWhenUsed="0" w:uiPriority="99" w:semiHidden="0" w:name="HTML Definition"/>
    <w:lsdException w:unhideWhenUsed="0" w:uiPriority="99" w:semiHidden="0" w:name="HTML Keyboard"/>
    <w:lsdException w:uiPriority="99" w:name="HTML Preformatted" w:locked="1"/>
    <w:lsdException w:unhideWhenUsed="0" w:uiPriority="99" w:semiHidden="0"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等线 Light" w:hAnsi="等线 Light" w:eastAsia="等线 Light" w:cs="等线 Light"/>
      <w:b/>
      <w:bCs/>
      <w:sz w:val="32"/>
      <w:szCs w:val="32"/>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8"/>
    <w:uiPriority w:val="99"/>
    <w:pPr>
      <w:tabs>
        <w:tab w:val="center" w:pos="4153"/>
        <w:tab w:val="right" w:pos="8306"/>
      </w:tabs>
      <w:snapToGrid w:val="0"/>
      <w:jc w:val="left"/>
    </w:pPr>
    <w:rPr>
      <w:sz w:val="18"/>
      <w:szCs w:val="18"/>
    </w:rPr>
  </w:style>
  <w:style w:type="paragraph" w:styleId="5">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locked/>
    <w:uiPriority w:val="99"/>
    <w:rPr>
      <w:sz w:val="24"/>
      <w:szCs w:val="24"/>
    </w:rPr>
  </w:style>
  <w:style w:type="character" w:styleId="9">
    <w:name w:val="Strong"/>
    <w:basedOn w:val="8"/>
    <w:qFormat/>
    <w:uiPriority w:val="99"/>
    <w:rPr>
      <w:b/>
      <w:bCs/>
    </w:rPr>
  </w:style>
  <w:style w:type="character" w:styleId="10">
    <w:name w:val="FollowedHyperlink"/>
    <w:basedOn w:val="8"/>
    <w:uiPriority w:val="99"/>
    <w:rPr>
      <w:color w:val="auto"/>
      <w:u w:val="single"/>
    </w:rPr>
  </w:style>
  <w:style w:type="character" w:styleId="11">
    <w:name w:val="HTML Definition"/>
    <w:basedOn w:val="8"/>
    <w:uiPriority w:val="99"/>
    <w:rPr>
      <w:i/>
      <w:iCs/>
    </w:rPr>
  </w:style>
  <w:style w:type="character" w:styleId="12">
    <w:name w:val="Hyperlink"/>
    <w:basedOn w:val="8"/>
    <w:uiPriority w:val="99"/>
    <w:rPr>
      <w:color w:val="auto"/>
      <w:u w:val="single"/>
    </w:rPr>
  </w:style>
  <w:style w:type="character" w:styleId="13">
    <w:name w:val="HTML Code"/>
    <w:basedOn w:val="8"/>
    <w:uiPriority w:val="99"/>
    <w:rPr>
      <w:rFonts w:ascii="Menlo" w:hAnsi="Menlo" w:cs="Menlo"/>
      <w:color w:val="auto"/>
      <w:sz w:val="21"/>
      <w:szCs w:val="21"/>
      <w:shd w:val="clear" w:color="auto" w:fill="auto"/>
    </w:rPr>
  </w:style>
  <w:style w:type="character" w:styleId="14">
    <w:name w:val="HTML Keyboard"/>
    <w:basedOn w:val="8"/>
    <w:uiPriority w:val="99"/>
    <w:rPr>
      <w:rFonts w:ascii="Menlo" w:hAnsi="Menlo" w:cs="Menlo"/>
      <w:color w:val="FFFFFF"/>
      <w:sz w:val="21"/>
      <w:szCs w:val="21"/>
      <w:shd w:val="clear" w:color="auto" w:fill="auto"/>
    </w:rPr>
  </w:style>
  <w:style w:type="character" w:styleId="15">
    <w:name w:val="HTML Sample"/>
    <w:basedOn w:val="8"/>
    <w:uiPriority w:val="99"/>
    <w:rPr>
      <w:rFonts w:ascii="Menlo" w:hAnsi="Menlo" w:cs="Menlo"/>
      <w:sz w:val="21"/>
      <w:szCs w:val="21"/>
    </w:rPr>
  </w:style>
  <w:style w:type="character" w:customStyle="1" w:styleId="16">
    <w:name w:val="Heading 1 Char"/>
    <w:basedOn w:val="8"/>
    <w:link w:val="2"/>
    <w:locked/>
    <w:uiPriority w:val="99"/>
    <w:rPr>
      <w:b/>
      <w:bCs/>
      <w:kern w:val="44"/>
      <w:sz w:val="44"/>
      <w:szCs w:val="44"/>
    </w:rPr>
  </w:style>
  <w:style w:type="character" w:customStyle="1" w:styleId="17">
    <w:name w:val="Heading 2 Char"/>
    <w:basedOn w:val="8"/>
    <w:link w:val="3"/>
    <w:locked/>
    <w:uiPriority w:val="99"/>
    <w:rPr>
      <w:rFonts w:ascii="等线 Light" w:hAnsi="等线 Light" w:eastAsia="等线 Light" w:cs="等线 Light"/>
      <w:b/>
      <w:bCs/>
      <w:sz w:val="32"/>
      <w:szCs w:val="32"/>
    </w:rPr>
  </w:style>
  <w:style w:type="character" w:customStyle="1" w:styleId="18">
    <w:name w:val="Footer Char"/>
    <w:basedOn w:val="8"/>
    <w:link w:val="4"/>
    <w:locked/>
    <w:uiPriority w:val="99"/>
    <w:rPr>
      <w:sz w:val="18"/>
      <w:szCs w:val="18"/>
    </w:rPr>
  </w:style>
  <w:style w:type="character" w:customStyle="1" w:styleId="19">
    <w:name w:val="Header Char"/>
    <w:basedOn w:val="8"/>
    <w:link w:val="5"/>
    <w:locked/>
    <w:uiPriority w:val="99"/>
    <w:rPr>
      <w:sz w:val="18"/>
      <w:szCs w:val="18"/>
    </w:rPr>
  </w:style>
  <w:style w:type="paragraph" w:customStyle="1" w:styleId="20">
    <w:name w:val="列出段落1"/>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7</Pages>
  <Words>443</Words>
  <Characters>2531</Characters>
  <Lines>0</Lines>
  <Paragraphs>0</Paragraphs>
  <TotalTime>192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2022-01-11T01:22:00Z</dcterms:created>
  <dc:creator>qiyuanhua0168@163.com</dc:creator>
  <cp:lastModifiedBy>崔海</cp:lastModifiedBy>
  <cp:lastPrinted>2021-12-06T01:42:00Z</cp:lastPrinted>
  <dcterms:modified xsi:type="dcterms:W3CDTF">2022-01-13T04:35:11Z</dcterms:modified>
  <dc:title>附件1</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0B9038B9166342579C06D45D0AF4321C</vt:lpwstr>
  </property>
</Properties>
</file>